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7F" w:rsidRDefault="000C0D7F" w:rsidP="000C0D7F">
      <w:pPr>
        <w:rPr>
          <w:rFonts w:cs="Arial"/>
          <w:sz w:val="20"/>
          <w:szCs w:val="20"/>
        </w:rPr>
      </w:pPr>
    </w:p>
    <w:tbl>
      <w:tblPr>
        <w:tblpPr w:leftFromText="181" w:rightFromText="181" w:horzAnchor="margin" w:tblpY="-674"/>
        <w:tblW w:w="9747" w:type="dxa"/>
        <w:tblLayout w:type="fixed"/>
        <w:tblLook w:val="0000" w:firstRow="0" w:lastRow="0" w:firstColumn="0" w:lastColumn="0" w:noHBand="0" w:noVBand="0"/>
      </w:tblPr>
      <w:tblGrid>
        <w:gridCol w:w="5954"/>
        <w:gridCol w:w="3793"/>
      </w:tblGrid>
      <w:tr w:rsidR="000C0D7F" w:rsidTr="0082127B">
        <w:trPr>
          <w:cantSplit/>
        </w:trPr>
        <w:tc>
          <w:tcPr>
            <w:tcW w:w="5954" w:type="dxa"/>
          </w:tcPr>
          <w:p w:rsidR="000C0D7F" w:rsidRPr="00B020B5" w:rsidRDefault="00B020B5" w:rsidP="000C0D7F">
            <w:pPr>
              <w:spacing w:before="240" w:after="0" w:line="240" w:lineRule="auto"/>
              <w:rPr>
                <w:b/>
                <w:position w:val="6"/>
                <w:sz w:val="28"/>
                <w:szCs w:val="28"/>
              </w:rPr>
            </w:pPr>
            <w:bookmarkStart w:id="0" w:name="dc06"/>
            <w:bookmarkEnd w:id="0"/>
            <w:r w:rsidRPr="00B020B5">
              <w:rPr>
                <w:rFonts w:hint="eastAsia"/>
                <w:b/>
                <w:sz w:val="28"/>
                <w:szCs w:val="28"/>
              </w:rPr>
              <w:t>理事会</w:t>
            </w:r>
            <w:r w:rsidRPr="00B020B5">
              <w:rPr>
                <w:b/>
                <w:sz w:val="28"/>
                <w:szCs w:val="28"/>
              </w:rPr>
              <w:t>2020-2023</w:t>
            </w:r>
            <w:r>
              <w:rPr>
                <w:rFonts w:hint="eastAsia"/>
                <w:b/>
                <w:sz w:val="28"/>
                <w:szCs w:val="28"/>
              </w:rPr>
              <w:t>年</w:t>
            </w:r>
            <w:r w:rsidRPr="00B020B5">
              <w:rPr>
                <w:rFonts w:hint="eastAsia"/>
                <w:b/>
                <w:sz w:val="28"/>
                <w:szCs w:val="28"/>
              </w:rPr>
              <w:t>战略</w:t>
            </w:r>
            <w:r w:rsidRPr="00B020B5">
              <w:rPr>
                <w:b/>
                <w:sz w:val="28"/>
                <w:szCs w:val="28"/>
              </w:rPr>
              <w:t>和财务规划工作组</w:t>
            </w:r>
          </w:p>
          <w:p w:rsidR="000C0D7F" w:rsidRPr="00D613F6" w:rsidRDefault="00B020B5" w:rsidP="00B020B5">
            <w:pPr>
              <w:spacing w:after="0" w:line="240" w:lineRule="auto"/>
              <w:rPr>
                <w:b/>
                <w:position w:val="6"/>
                <w:sz w:val="26"/>
                <w:szCs w:val="26"/>
              </w:rPr>
            </w:pPr>
            <w:r>
              <w:rPr>
                <w:rFonts w:cs="Times New Roman Bold" w:hint="eastAsia"/>
                <w:b/>
                <w:sz w:val="24"/>
              </w:rPr>
              <w:t>第</w:t>
            </w:r>
            <w:r>
              <w:rPr>
                <w:rFonts w:cs="Times New Roman Bold"/>
                <w:b/>
                <w:sz w:val="24"/>
              </w:rPr>
              <w:t>二次会议</w:t>
            </w:r>
            <w:r w:rsidR="000C0D7F" w:rsidRPr="001B506B">
              <w:rPr>
                <w:rFonts w:cs="Times New Roman Bold"/>
                <w:b/>
                <w:sz w:val="24"/>
              </w:rPr>
              <w:t xml:space="preserve"> </w:t>
            </w:r>
            <w:r w:rsidR="000C0D7F" w:rsidRPr="001B506B">
              <w:rPr>
                <w:rFonts w:ascii="Calibri" w:eastAsia="Calibri" w:hAnsi="Calibri" w:cs="Calibri"/>
                <w:b/>
                <w:color w:val="000000"/>
                <w:sz w:val="24"/>
              </w:rPr>
              <w:t>–</w:t>
            </w:r>
            <w:r w:rsidR="000C0D7F" w:rsidRPr="000F2E67">
              <w:rPr>
                <w:rFonts w:cs="Times New Roman Bold"/>
                <w:b/>
                <w:sz w:val="24"/>
              </w:rPr>
              <w:t xml:space="preserve"> </w:t>
            </w:r>
            <w:r>
              <w:rPr>
                <w:rFonts w:cs="Times New Roman Bold"/>
                <w:b/>
                <w:sz w:val="24"/>
              </w:rPr>
              <w:t>2017</w:t>
            </w:r>
            <w:r>
              <w:rPr>
                <w:rFonts w:cs="Times New Roman Bold"/>
                <w:b/>
                <w:sz w:val="24"/>
              </w:rPr>
              <w:t>年</w:t>
            </w:r>
            <w:r>
              <w:rPr>
                <w:rFonts w:cs="Times New Roman Bold"/>
                <w:b/>
                <w:sz w:val="24"/>
              </w:rPr>
              <w:t>9</w:t>
            </w:r>
            <w:r>
              <w:rPr>
                <w:rFonts w:cs="Times New Roman Bold"/>
                <w:b/>
                <w:sz w:val="24"/>
              </w:rPr>
              <w:t>月</w:t>
            </w:r>
            <w:r w:rsidR="000C0D7F">
              <w:rPr>
                <w:rFonts w:cs="Times New Roman Bold"/>
                <w:b/>
                <w:sz w:val="24"/>
              </w:rPr>
              <w:t>11-12</w:t>
            </w:r>
            <w:r>
              <w:rPr>
                <w:rFonts w:cs="Times New Roman Bold" w:hint="eastAsia"/>
                <w:b/>
                <w:sz w:val="24"/>
              </w:rPr>
              <w:t>日</w:t>
            </w:r>
            <w:r>
              <w:rPr>
                <w:rFonts w:cs="Times New Roman Bold"/>
                <w:b/>
                <w:sz w:val="24"/>
              </w:rPr>
              <w:t>，日内瓦</w:t>
            </w:r>
          </w:p>
        </w:tc>
        <w:tc>
          <w:tcPr>
            <w:tcW w:w="3793" w:type="dxa"/>
          </w:tcPr>
          <w:p w:rsidR="000C0D7F" w:rsidRPr="00D613F6" w:rsidRDefault="00B020B5" w:rsidP="0082127B">
            <w:pPr>
              <w:spacing w:before="120" w:line="240" w:lineRule="atLeast"/>
            </w:pPr>
            <w:r>
              <w:rPr>
                <w:noProof/>
              </w:rPr>
              <w:drawing>
                <wp:inline distT="0" distB="0" distL="0" distR="0" wp14:anchorId="07EA75AB" wp14:editId="48B0D918">
                  <wp:extent cx="1666875" cy="695325"/>
                  <wp:effectExtent l="0" t="0" r="9525" b="9525"/>
                  <wp:docPr id="3" name="Picture 3"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C0D7F" w:rsidRPr="00617BE4" w:rsidTr="0082127B">
        <w:trPr>
          <w:cantSplit/>
        </w:trPr>
        <w:tc>
          <w:tcPr>
            <w:tcW w:w="5954" w:type="dxa"/>
            <w:tcBorders>
              <w:top w:val="single" w:sz="12" w:space="0" w:color="auto"/>
            </w:tcBorders>
          </w:tcPr>
          <w:p w:rsidR="000C0D7F" w:rsidRPr="00D613F6" w:rsidRDefault="000C0D7F" w:rsidP="000C0D7F">
            <w:pPr>
              <w:snapToGrid w:val="0"/>
              <w:spacing w:after="0" w:line="240" w:lineRule="auto"/>
              <w:rPr>
                <w:b/>
                <w:smallCaps/>
              </w:rPr>
            </w:pPr>
          </w:p>
        </w:tc>
        <w:tc>
          <w:tcPr>
            <w:tcW w:w="3793" w:type="dxa"/>
            <w:tcBorders>
              <w:top w:val="single" w:sz="12" w:space="0" w:color="auto"/>
            </w:tcBorders>
          </w:tcPr>
          <w:p w:rsidR="000C0D7F" w:rsidRPr="00D613F6" w:rsidRDefault="000C0D7F" w:rsidP="000C0D7F">
            <w:pPr>
              <w:snapToGrid w:val="0"/>
              <w:spacing w:after="0" w:line="240" w:lineRule="auto"/>
              <w:ind w:left="209"/>
              <w:rPr>
                <w:rFonts w:ascii="Verdana" w:hAnsi="Verdana"/>
              </w:rPr>
            </w:pPr>
          </w:p>
        </w:tc>
      </w:tr>
      <w:tr w:rsidR="000C0D7F" w:rsidRPr="00131780" w:rsidTr="0082127B">
        <w:trPr>
          <w:cantSplit/>
          <w:trHeight w:val="23"/>
        </w:trPr>
        <w:tc>
          <w:tcPr>
            <w:tcW w:w="5954" w:type="dxa"/>
            <w:vMerge w:val="restart"/>
          </w:tcPr>
          <w:p w:rsidR="000C0D7F" w:rsidRPr="00D613F6" w:rsidRDefault="000C0D7F" w:rsidP="000C0D7F">
            <w:pPr>
              <w:snapToGrid w:val="0"/>
              <w:spacing w:after="0" w:line="240" w:lineRule="auto"/>
              <w:rPr>
                <w:b/>
              </w:rPr>
            </w:pPr>
          </w:p>
        </w:tc>
        <w:tc>
          <w:tcPr>
            <w:tcW w:w="3793" w:type="dxa"/>
          </w:tcPr>
          <w:p w:rsidR="000C0D7F" w:rsidRPr="00A74ED2" w:rsidRDefault="00BC53D2" w:rsidP="00BC53D2">
            <w:pPr>
              <w:snapToGrid w:val="0"/>
              <w:spacing w:after="0" w:line="240" w:lineRule="auto"/>
              <w:ind w:left="57"/>
              <w:rPr>
                <w:rFonts w:cs="Times New Roman Bold"/>
                <w:b/>
                <w:spacing w:val="-4"/>
                <w:sz w:val="24"/>
                <w:lang w:val="de-CH"/>
              </w:rPr>
            </w:pPr>
            <w:r>
              <w:rPr>
                <w:rFonts w:cs="Times New Roman Bold" w:hint="eastAsia"/>
                <w:b/>
                <w:spacing w:val="-4"/>
                <w:sz w:val="24"/>
                <w:lang w:val="de-CH"/>
              </w:rPr>
              <w:t>文件</w:t>
            </w:r>
            <w:r w:rsidR="000C0D7F" w:rsidRPr="00A74ED2">
              <w:rPr>
                <w:rFonts w:cs="Times New Roman Bold"/>
                <w:b/>
                <w:spacing w:val="-4"/>
                <w:sz w:val="24"/>
                <w:lang w:val="de-CH"/>
              </w:rPr>
              <w:t>CWG-SFP-2/</w:t>
            </w:r>
            <w:r w:rsidR="000C0D7F">
              <w:rPr>
                <w:rFonts w:cs="Times New Roman Bold"/>
                <w:b/>
                <w:spacing w:val="-4"/>
                <w:sz w:val="24"/>
                <w:lang w:val="de-CH"/>
              </w:rPr>
              <w:t>2</w:t>
            </w:r>
            <w:r w:rsidR="000C0D7F" w:rsidRPr="00A74ED2">
              <w:rPr>
                <w:rFonts w:cs="Times New Roman Bold"/>
                <w:b/>
                <w:spacing w:val="-4"/>
                <w:sz w:val="24"/>
                <w:lang w:val="de-CH"/>
              </w:rPr>
              <w:t>-</w:t>
            </w:r>
            <w:r>
              <w:rPr>
                <w:rFonts w:cs="Times New Roman Bold"/>
                <w:b/>
                <w:spacing w:val="-4"/>
                <w:sz w:val="24"/>
                <w:lang w:val="de-CH"/>
              </w:rPr>
              <w:t>C</w:t>
            </w:r>
          </w:p>
        </w:tc>
      </w:tr>
      <w:tr w:rsidR="000C0D7F" w:rsidRPr="00E544AC" w:rsidTr="0082127B">
        <w:trPr>
          <w:cantSplit/>
          <w:trHeight w:val="23"/>
        </w:trPr>
        <w:tc>
          <w:tcPr>
            <w:tcW w:w="5954" w:type="dxa"/>
            <w:vMerge/>
          </w:tcPr>
          <w:p w:rsidR="000C0D7F" w:rsidRPr="00D613F6" w:rsidRDefault="000C0D7F" w:rsidP="000C0D7F">
            <w:pPr>
              <w:snapToGrid w:val="0"/>
              <w:spacing w:after="0" w:line="240" w:lineRule="auto"/>
              <w:rPr>
                <w:b/>
                <w:lang w:val="de-CH"/>
              </w:rPr>
            </w:pPr>
          </w:p>
        </w:tc>
        <w:tc>
          <w:tcPr>
            <w:tcW w:w="3793" w:type="dxa"/>
          </w:tcPr>
          <w:p w:rsidR="000C0D7F" w:rsidRPr="00A74ED2" w:rsidRDefault="000C0D7F" w:rsidP="00BC53D2">
            <w:pPr>
              <w:snapToGrid w:val="0"/>
              <w:spacing w:after="0" w:line="240" w:lineRule="auto"/>
              <w:ind w:left="57"/>
              <w:rPr>
                <w:b/>
                <w:sz w:val="24"/>
              </w:rPr>
            </w:pPr>
            <w:r w:rsidRPr="00A74ED2">
              <w:rPr>
                <w:b/>
                <w:sz w:val="24"/>
              </w:rPr>
              <w:t>2017</w:t>
            </w:r>
            <w:r w:rsidR="00BC53D2">
              <w:rPr>
                <w:rFonts w:hint="eastAsia"/>
                <w:b/>
                <w:sz w:val="24"/>
              </w:rPr>
              <w:t>年</w:t>
            </w:r>
            <w:r w:rsidR="00BC53D2">
              <w:rPr>
                <w:rFonts w:hint="eastAsia"/>
                <w:b/>
                <w:sz w:val="24"/>
              </w:rPr>
              <w:t>8</w:t>
            </w:r>
            <w:r w:rsidR="00BC53D2">
              <w:rPr>
                <w:rFonts w:hint="eastAsia"/>
                <w:b/>
                <w:sz w:val="24"/>
              </w:rPr>
              <w:t>月</w:t>
            </w:r>
            <w:r w:rsidR="00BC53D2">
              <w:rPr>
                <w:rFonts w:hint="eastAsia"/>
                <w:b/>
                <w:sz w:val="24"/>
              </w:rPr>
              <w:t>4</w:t>
            </w:r>
            <w:r w:rsidR="00BC53D2">
              <w:rPr>
                <w:rFonts w:hint="eastAsia"/>
                <w:b/>
                <w:sz w:val="24"/>
              </w:rPr>
              <w:t>日</w:t>
            </w:r>
          </w:p>
        </w:tc>
      </w:tr>
      <w:tr w:rsidR="000C0D7F" w:rsidRPr="00E544AC" w:rsidTr="0082127B">
        <w:trPr>
          <w:cantSplit/>
          <w:trHeight w:val="80"/>
        </w:trPr>
        <w:tc>
          <w:tcPr>
            <w:tcW w:w="5954" w:type="dxa"/>
            <w:vMerge/>
          </w:tcPr>
          <w:p w:rsidR="000C0D7F" w:rsidRPr="00E544AC" w:rsidRDefault="000C0D7F" w:rsidP="000C0D7F">
            <w:pPr>
              <w:snapToGrid w:val="0"/>
              <w:spacing w:after="0" w:line="240" w:lineRule="auto"/>
              <w:rPr>
                <w:b/>
              </w:rPr>
            </w:pPr>
          </w:p>
        </w:tc>
        <w:tc>
          <w:tcPr>
            <w:tcW w:w="3793" w:type="dxa"/>
          </w:tcPr>
          <w:p w:rsidR="000C0D7F" w:rsidRPr="000F2E67" w:rsidRDefault="00BC53D2" w:rsidP="006F0E15">
            <w:pPr>
              <w:snapToGrid w:val="0"/>
              <w:spacing w:after="0" w:line="240" w:lineRule="auto"/>
              <w:ind w:left="57"/>
              <w:rPr>
                <w:b/>
                <w:sz w:val="24"/>
              </w:rPr>
            </w:pPr>
            <w:r>
              <w:rPr>
                <w:rFonts w:hint="eastAsia"/>
                <w:b/>
                <w:sz w:val="24"/>
              </w:rPr>
              <w:t>原文</w:t>
            </w:r>
            <w:r w:rsidR="006F0E15">
              <w:rPr>
                <w:rFonts w:hint="eastAsia"/>
                <w:b/>
                <w:sz w:val="24"/>
              </w:rPr>
              <w:t>：</w:t>
            </w:r>
            <w:r>
              <w:rPr>
                <w:rFonts w:hint="eastAsia"/>
                <w:b/>
                <w:sz w:val="24"/>
              </w:rPr>
              <w:t>英文</w:t>
            </w:r>
          </w:p>
        </w:tc>
      </w:tr>
    </w:tbl>
    <w:p w:rsidR="000C0D7F" w:rsidRDefault="00BC53D2" w:rsidP="00B020B5">
      <w:pPr>
        <w:spacing w:before="840" w:after="120"/>
        <w:jc w:val="center"/>
        <w:rPr>
          <w:b/>
          <w:sz w:val="28"/>
          <w:szCs w:val="32"/>
        </w:rPr>
      </w:pPr>
      <w:r>
        <w:rPr>
          <w:rFonts w:hint="eastAsia"/>
          <w:b/>
          <w:sz w:val="28"/>
          <w:szCs w:val="32"/>
        </w:rPr>
        <w:t>理事会</w:t>
      </w:r>
      <w:r w:rsidRPr="0021539B">
        <w:rPr>
          <w:b/>
          <w:sz w:val="28"/>
          <w:szCs w:val="32"/>
        </w:rPr>
        <w:t>2020-2023</w:t>
      </w:r>
      <w:r w:rsidR="00B020B5">
        <w:rPr>
          <w:rFonts w:hint="eastAsia"/>
          <w:b/>
          <w:sz w:val="28"/>
          <w:szCs w:val="32"/>
        </w:rPr>
        <w:t>年</w:t>
      </w:r>
      <w:r>
        <w:rPr>
          <w:rFonts w:hint="eastAsia"/>
          <w:b/>
          <w:sz w:val="28"/>
          <w:szCs w:val="32"/>
        </w:rPr>
        <w:t>战略</w:t>
      </w:r>
      <w:r>
        <w:rPr>
          <w:b/>
          <w:sz w:val="28"/>
          <w:szCs w:val="32"/>
        </w:rPr>
        <w:t>和财务规划工作组主席</w:t>
      </w:r>
    </w:p>
    <w:p w:rsidR="000C0D7F" w:rsidRPr="000C0D7F" w:rsidRDefault="00BC53D2" w:rsidP="00BC53D2">
      <w:pPr>
        <w:spacing w:before="840" w:after="120"/>
        <w:jc w:val="center"/>
        <w:rPr>
          <w:b/>
          <w:caps/>
          <w:sz w:val="28"/>
          <w:szCs w:val="32"/>
        </w:rPr>
      </w:pPr>
      <w:r w:rsidRPr="00BC53D2">
        <w:rPr>
          <w:rFonts w:hint="eastAsia"/>
          <w:caps/>
          <w:sz w:val="24"/>
          <w:lang w:val="en-CA"/>
        </w:rPr>
        <w:t>理事会战略</w:t>
      </w:r>
      <w:r w:rsidRPr="00BC53D2">
        <w:rPr>
          <w:caps/>
          <w:sz w:val="24"/>
          <w:lang w:val="en-CA"/>
        </w:rPr>
        <w:t>和财务规划工作组</w:t>
      </w:r>
      <w:r>
        <w:rPr>
          <w:rFonts w:hint="eastAsia"/>
          <w:caps/>
          <w:sz w:val="24"/>
          <w:lang w:val="en-CA"/>
        </w:rPr>
        <w:t>（</w:t>
      </w:r>
      <w:r w:rsidR="000C0D7F" w:rsidRPr="000C0D7F">
        <w:rPr>
          <w:caps/>
          <w:sz w:val="24"/>
          <w:lang w:val="en-CA"/>
        </w:rPr>
        <w:t>CWG-SFP</w:t>
      </w:r>
      <w:r>
        <w:rPr>
          <w:rFonts w:hint="eastAsia"/>
          <w:caps/>
          <w:sz w:val="24"/>
          <w:lang w:val="en-CA"/>
        </w:rPr>
        <w:t>）第一次</w:t>
      </w:r>
      <w:r>
        <w:rPr>
          <w:caps/>
          <w:sz w:val="24"/>
          <w:lang w:val="en-CA"/>
        </w:rPr>
        <w:t>会议</w:t>
      </w:r>
      <w:r>
        <w:rPr>
          <w:rFonts w:hint="eastAsia"/>
          <w:caps/>
          <w:sz w:val="24"/>
          <w:lang w:val="en-CA"/>
        </w:rPr>
        <w:t>的</w:t>
      </w:r>
      <w:r>
        <w:rPr>
          <w:caps/>
          <w:sz w:val="24"/>
          <w:lang w:val="en-CA"/>
        </w:rPr>
        <w:t>报告</w:t>
      </w:r>
    </w:p>
    <w:p w:rsidR="000C0D7F" w:rsidRDefault="000C0D7F">
      <w:r>
        <w:br w:type="page"/>
      </w:r>
    </w:p>
    <w:tbl>
      <w:tblPr>
        <w:tblW w:w="10031" w:type="dxa"/>
        <w:tblLayout w:type="fixed"/>
        <w:tblLook w:val="0000" w:firstRow="0" w:lastRow="0" w:firstColumn="0" w:lastColumn="0" w:noHBand="0" w:noVBand="0"/>
      </w:tblPr>
      <w:tblGrid>
        <w:gridCol w:w="6911"/>
        <w:gridCol w:w="3120"/>
      </w:tblGrid>
      <w:tr w:rsidR="00B020B5" w:rsidTr="00B020B5">
        <w:trPr>
          <w:cantSplit/>
        </w:trPr>
        <w:tc>
          <w:tcPr>
            <w:tcW w:w="6911" w:type="dxa"/>
          </w:tcPr>
          <w:p w:rsidR="00B020B5" w:rsidRPr="00DF23FC" w:rsidRDefault="00B020B5" w:rsidP="00B020B5">
            <w:pPr>
              <w:spacing w:before="360" w:after="48"/>
              <w:rPr>
                <w:rFonts w:ascii="Verdana" w:hAnsi="Verdana"/>
                <w:position w:val="6"/>
              </w:rPr>
            </w:pPr>
            <w:r w:rsidRPr="00396098">
              <w:rPr>
                <w:rFonts w:ascii="SimSun" w:hAnsi="SimSun" w:hint="eastAsia"/>
                <w:b/>
                <w:bCs/>
                <w:sz w:val="26"/>
                <w:szCs w:val="26"/>
              </w:rPr>
              <w:lastRenderedPageBreak/>
              <w:t>理事会</w:t>
            </w:r>
            <w:r w:rsidRPr="004D163F">
              <w:rPr>
                <w:rFonts w:cs="Arial"/>
                <w:b/>
                <w:bCs/>
                <w:sz w:val="26"/>
                <w:szCs w:val="26"/>
              </w:rPr>
              <w:t>201</w:t>
            </w:r>
            <w:r>
              <w:rPr>
                <w:rFonts w:cs="Arial"/>
                <w:b/>
                <w:bCs/>
                <w:sz w:val="26"/>
                <w:szCs w:val="26"/>
              </w:rPr>
              <w:t>7</w:t>
            </w:r>
            <w:r w:rsidRPr="00396098">
              <w:rPr>
                <w:rFonts w:ascii="SimSun" w:hAnsi="SimSun" w:hint="eastAsia"/>
                <w:b/>
                <w:bCs/>
                <w:sz w:val="26"/>
                <w:szCs w:val="26"/>
              </w:rPr>
              <w:t>年会议</w:t>
            </w:r>
            <w:bookmarkStart w:id="1" w:name="_GoBack"/>
            <w:bookmarkEnd w:id="1"/>
            <w:r w:rsidRPr="00396098">
              <w:rPr>
                <w:rFonts w:ascii="Arial" w:hAnsi="Arial" w:cs="Arial"/>
                <w:b/>
                <w:bCs/>
                <w:szCs w:val="24"/>
              </w:rPr>
              <w:br/>
            </w:r>
            <w:r w:rsidRPr="009625D8">
              <w:rPr>
                <w:b/>
                <w:bCs/>
                <w:color w:val="000000"/>
              </w:rPr>
              <w:t>201</w:t>
            </w:r>
            <w:r>
              <w:rPr>
                <w:b/>
                <w:bCs/>
                <w:color w:val="000000"/>
              </w:rPr>
              <w:t>7</w:t>
            </w:r>
            <w:r w:rsidRPr="009625D8">
              <w:rPr>
                <w:rFonts w:ascii="SimSun" w:hAnsi="SimSun" w:hint="eastAsia"/>
                <w:b/>
                <w:bCs/>
                <w:color w:val="000000"/>
              </w:rPr>
              <w:t>年</w:t>
            </w:r>
            <w:r w:rsidRPr="009625D8">
              <w:rPr>
                <w:b/>
                <w:bCs/>
                <w:color w:val="000000"/>
              </w:rPr>
              <w:t>5</w:t>
            </w:r>
            <w:r w:rsidRPr="009625D8">
              <w:rPr>
                <w:rFonts w:ascii="SimSun" w:hAnsi="SimSun" w:hint="eastAsia"/>
                <w:b/>
                <w:bCs/>
                <w:color w:val="000000"/>
              </w:rPr>
              <w:t>月</w:t>
            </w:r>
            <w:r>
              <w:rPr>
                <w:b/>
                <w:bCs/>
                <w:color w:val="000000"/>
              </w:rPr>
              <w:t>1</w:t>
            </w:r>
            <w:r>
              <w:rPr>
                <w:rFonts w:hint="eastAsia"/>
                <w:b/>
                <w:bCs/>
                <w:color w:val="000000"/>
              </w:rPr>
              <w:t>5</w:t>
            </w:r>
            <w:r>
              <w:rPr>
                <w:b/>
                <w:bCs/>
                <w:color w:val="000000"/>
              </w:rPr>
              <w:t>-</w:t>
            </w:r>
            <w:r w:rsidRPr="009625D8">
              <w:rPr>
                <w:b/>
                <w:bCs/>
                <w:color w:val="000000"/>
              </w:rPr>
              <w:t>2</w:t>
            </w:r>
            <w:r>
              <w:rPr>
                <w:rFonts w:hint="eastAsia"/>
                <w:b/>
                <w:bCs/>
                <w:color w:val="000000"/>
              </w:rPr>
              <w:t>5</w:t>
            </w:r>
            <w:r w:rsidRPr="009625D8">
              <w:rPr>
                <w:rFonts w:ascii="SimSun" w:hAnsi="SimSun" w:hint="eastAsia"/>
                <w:b/>
                <w:bCs/>
                <w:color w:val="000000"/>
              </w:rPr>
              <w:t>日</w:t>
            </w:r>
            <w:r w:rsidRPr="009625D8">
              <w:rPr>
                <w:rFonts w:ascii="SimSun" w:hAnsi="SimSun" w:cs="SimSun" w:hint="eastAsia"/>
                <w:b/>
                <w:bCs/>
                <w:smallCaps/>
                <w:szCs w:val="24"/>
              </w:rPr>
              <w:t>，</w:t>
            </w:r>
            <w:r w:rsidRPr="009625D8">
              <w:rPr>
                <w:rFonts w:ascii="SimSun" w:hAnsi="SimSun" w:hint="eastAsia"/>
                <w:b/>
                <w:bCs/>
                <w:szCs w:val="24"/>
              </w:rPr>
              <w:t>日内瓦</w:t>
            </w:r>
          </w:p>
        </w:tc>
        <w:tc>
          <w:tcPr>
            <w:tcW w:w="3120" w:type="dxa"/>
          </w:tcPr>
          <w:p w:rsidR="00B020B5" w:rsidRDefault="00B020B5" w:rsidP="00B020B5">
            <w:pPr>
              <w:jc w:val="right"/>
            </w:pPr>
            <w:bookmarkStart w:id="2" w:name="ditulogo"/>
            <w:bookmarkEnd w:id="2"/>
            <w:r>
              <w:rPr>
                <w:noProof/>
              </w:rPr>
              <w:drawing>
                <wp:inline distT="0" distB="0" distL="0" distR="0" wp14:anchorId="4793C7F7" wp14:editId="0B6B28A6">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020B5" w:rsidRPr="00617BE4" w:rsidTr="00B020B5">
        <w:trPr>
          <w:cantSplit/>
        </w:trPr>
        <w:tc>
          <w:tcPr>
            <w:tcW w:w="6911" w:type="dxa"/>
            <w:tcBorders>
              <w:bottom w:val="single" w:sz="12" w:space="0" w:color="auto"/>
            </w:tcBorders>
          </w:tcPr>
          <w:p w:rsidR="00B020B5" w:rsidRPr="00617BE4" w:rsidRDefault="00B020B5" w:rsidP="006F0E15">
            <w:pPr>
              <w:spacing w:after="0" w:line="240" w:lineRule="auto"/>
              <w:rPr>
                <w:b/>
                <w:smallCaps/>
                <w:szCs w:val="24"/>
              </w:rPr>
            </w:pPr>
          </w:p>
        </w:tc>
        <w:tc>
          <w:tcPr>
            <w:tcW w:w="3120" w:type="dxa"/>
            <w:tcBorders>
              <w:bottom w:val="single" w:sz="12" w:space="0" w:color="auto"/>
            </w:tcBorders>
          </w:tcPr>
          <w:p w:rsidR="00B020B5" w:rsidRPr="00617BE4" w:rsidRDefault="00B020B5" w:rsidP="006F0E15">
            <w:pPr>
              <w:spacing w:after="0" w:line="240" w:lineRule="auto"/>
              <w:rPr>
                <w:rFonts w:ascii="Verdana" w:hAnsi="Verdana"/>
                <w:szCs w:val="24"/>
              </w:rPr>
            </w:pPr>
          </w:p>
        </w:tc>
      </w:tr>
      <w:tr w:rsidR="00B020B5" w:rsidRPr="00617BE4" w:rsidTr="00B020B5">
        <w:trPr>
          <w:cantSplit/>
        </w:trPr>
        <w:tc>
          <w:tcPr>
            <w:tcW w:w="6911" w:type="dxa"/>
            <w:tcBorders>
              <w:top w:val="single" w:sz="12" w:space="0" w:color="auto"/>
            </w:tcBorders>
          </w:tcPr>
          <w:p w:rsidR="00B020B5" w:rsidRPr="00617BE4" w:rsidRDefault="00B020B5" w:rsidP="006F0E15">
            <w:pPr>
              <w:spacing w:after="0" w:line="240" w:lineRule="auto"/>
              <w:rPr>
                <w:b/>
                <w:smallCaps/>
                <w:szCs w:val="24"/>
              </w:rPr>
            </w:pPr>
          </w:p>
        </w:tc>
        <w:tc>
          <w:tcPr>
            <w:tcW w:w="3120" w:type="dxa"/>
            <w:tcBorders>
              <w:top w:val="single" w:sz="12" w:space="0" w:color="auto"/>
            </w:tcBorders>
          </w:tcPr>
          <w:p w:rsidR="00B020B5" w:rsidRPr="00617BE4" w:rsidRDefault="00B020B5" w:rsidP="006F0E15">
            <w:pPr>
              <w:spacing w:after="0" w:line="240" w:lineRule="auto"/>
              <w:rPr>
                <w:rFonts w:ascii="Verdana" w:hAnsi="Verdana"/>
                <w:szCs w:val="24"/>
              </w:rPr>
            </w:pPr>
          </w:p>
        </w:tc>
      </w:tr>
      <w:tr w:rsidR="00B020B5" w:rsidTr="00B020B5">
        <w:trPr>
          <w:cantSplit/>
          <w:trHeight w:val="23"/>
        </w:trPr>
        <w:tc>
          <w:tcPr>
            <w:tcW w:w="6911" w:type="dxa"/>
            <w:vMerge w:val="restart"/>
          </w:tcPr>
          <w:p w:rsidR="00B020B5" w:rsidRPr="00FC5386" w:rsidRDefault="00B020B5" w:rsidP="00B020B5">
            <w:pPr>
              <w:tabs>
                <w:tab w:val="left" w:pos="851"/>
              </w:tabs>
              <w:rPr>
                <w:b/>
                <w:szCs w:val="24"/>
              </w:rPr>
            </w:pPr>
            <w:bookmarkStart w:id="3" w:name="dmeeting" w:colFirst="0" w:colLast="0"/>
            <w:r w:rsidRPr="00FC5386">
              <w:rPr>
                <w:rFonts w:hint="eastAsia"/>
                <w:b/>
                <w:szCs w:val="24"/>
              </w:rPr>
              <w:t>议项</w:t>
            </w:r>
            <w:r w:rsidRPr="00FC5386">
              <w:rPr>
                <w:b/>
                <w:szCs w:val="24"/>
              </w:rPr>
              <w:t>：</w:t>
            </w:r>
            <w:r>
              <w:rPr>
                <w:b/>
              </w:rPr>
              <w:t>PL 3.1</w:t>
            </w:r>
          </w:p>
        </w:tc>
        <w:tc>
          <w:tcPr>
            <w:tcW w:w="3120" w:type="dxa"/>
          </w:tcPr>
          <w:p w:rsidR="00B020B5" w:rsidRPr="00700D1F" w:rsidRDefault="00B020B5" w:rsidP="00B020B5">
            <w:pPr>
              <w:tabs>
                <w:tab w:val="left" w:pos="851"/>
              </w:tabs>
              <w:spacing w:after="0"/>
              <w:rPr>
                <w:b/>
                <w:bCs/>
              </w:rPr>
            </w:pPr>
            <w:r w:rsidRPr="00FC5386">
              <w:rPr>
                <w:rFonts w:hint="eastAsia"/>
                <w:b/>
                <w:bCs/>
                <w:szCs w:val="24"/>
                <w:lang w:val="fr-CH"/>
              </w:rPr>
              <w:t>文件</w:t>
            </w:r>
            <w:r w:rsidRPr="00700D1F">
              <w:rPr>
                <w:b/>
                <w:bCs/>
                <w:sz w:val="20"/>
              </w:rPr>
              <w:t xml:space="preserve"> </w:t>
            </w:r>
            <w:r w:rsidRPr="00FC5386">
              <w:rPr>
                <w:b/>
                <w:bCs/>
                <w:szCs w:val="24"/>
              </w:rPr>
              <w:t>C1</w:t>
            </w:r>
            <w:r>
              <w:rPr>
                <w:b/>
                <w:bCs/>
                <w:szCs w:val="24"/>
              </w:rPr>
              <w:t>7</w:t>
            </w:r>
            <w:r w:rsidRPr="00FC5386">
              <w:rPr>
                <w:b/>
                <w:bCs/>
                <w:szCs w:val="24"/>
              </w:rPr>
              <w:t>/</w:t>
            </w:r>
            <w:r>
              <w:rPr>
                <w:b/>
                <w:bCs/>
                <w:szCs w:val="24"/>
              </w:rPr>
              <w:t>123</w:t>
            </w:r>
            <w:r w:rsidRPr="00FC5386">
              <w:rPr>
                <w:b/>
                <w:bCs/>
                <w:szCs w:val="24"/>
              </w:rPr>
              <w:t>-C</w:t>
            </w:r>
          </w:p>
        </w:tc>
      </w:tr>
      <w:bookmarkEnd w:id="3"/>
      <w:tr w:rsidR="00B020B5" w:rsidTr="00B020B5">
        <w:trPr>
          <w:cantSplit/>
          <w:trHeight w:val="23"/>
        </w:trPr>
        <w:tc>
          <w:tcPr>
            <w:tcW w:w="6911" w:type="dxa"/>
            <w:vMerge/>
          </w:tcPr>
          <w:p w:rsidR="00B020B5" w:rsidRDefault="00B020B5" w:rsidP="00B020B5">
            <w:pPr>
              <w:tabs>
                <w:tab w:val="left" w:pos="851"/>
              </w:tabs>
              <w:rPr>
                <w:b/>
              </w:rPr>
            </w:pPr>
          </w:p>
        </w:tc>
        <w:tc>
          <w:tcPr>
            <w:tcW w:w="3120" w:type="dxa"/>
          </w:tcPr>
          <w:p w:rsidR="00B020B5" w:rsidRPr="00FC5386" w:rsidRDefault="00B020B5" w:rsidP="00B020B5">
            <w:pPr>
              <w:tabs>
                <w:tab w:val="left" w:pos="993"/>
              </w:tabs>
              <w:spacing w:after="0"/>
              <w:rPr>
                <w:b/>
                <w:bCs/>
                <w:szCs w:val="24"/>
              </w:rPr>
            </w:pPr>
            <w:r w:rsidRPr="00FC5386">
              <w:rPr>
                <w:b/>
                <w:bCs/>
                <w:szCs w:val="24"/>
              </w:rPr>
              <w:t>201</w:t>
            </w:r>
            <w:r>
              <w:rPr>
                <w:b/>
                <w:bCs/>
                <w:szCs w:val="24"/>
              </w:rPr>
              <w:t>7</w:t>
            </w:r>
            <w:r w:rsidRPr="00FC5386">
              <w:rPr>
                <w:rFonts w:hint="eastAsia"/>
                <w:b/>
                <w:bCs/>
                <w:szCs w:val="24"/>
              </w:rPr>
              <w:t>年</w:t>
            </w:r>
            <w:r>
              <w:rPr>
                <w:rFonts w:cstheme="minorHAnsi"/>
                <w:b/>
                <w:bCs/>
                <w:szCs w:val="24"/>
              </w:rPr>
              <w:t>5</w:t>
            </w:r>
            <w:r w:rsidRPr="00FC5386">
              <w:rPr>
                <w:rFonts w:hint="eastAsia"/>
                <w:b/>
                <w:bCs/>
                <w:szCs w:val="24"/>
              </w:rPr>
              <w:t>月</w:t>
            </w:r>
            <w:r>
              <w:rPr>
                <w:rFonts w:cstheme="minorHAnsi"/>
                <w:b/>
                <w:bCs/>
                <w:szCs w:val="24"/>
              </w:rPr>
              <w:t>24</w:t>
            </w:r>
            <w:r w:rsidRPr="00FC5386">
              <w:rPr>
                <w:rFonts w:hint="eastAsia"/>
                <w:b/>
                <w:bCs/>
                <w:szCs w:val="24"/>
              </w:rPr>
              <w:t>日</w:t>
            </w:r>
          </w:p>
        </w:tc>
      </w:tr>
      <w:tr w:rsidR="00B020B5" w:rsidTr="00B020B5">
        <w:trPr>
          <w:cantSplit/>
          <w:trHeight w:val="23"/>
        </w:trPr>
        <w:tc>
          <w:tcPr>
            <w:tcW w:w="6911" w:type="dxa"/>
            <w:vMerge/>
          </w:tcPr>
          <w:p w:rsidR="00B020B5" w:rsidRDefault="00B020B5" w:rsidP="00B020B5">
            <w:pPr>
              <w:tabs>
                <w:tab w:val="left" w:pos="851"/>
              </w:tabs>
              <w:rPr>
                <w:b/>
              </w:rPr>
            </w:pPr>
          </w:p>
        </w:tc>
        <w:tc>
          <w:tcPr>
            <w:tcW w:w="3120" w:type="dxa"/>
          </w:tcPr>
          <w:p w:rsidR="00B020B5" w:rsidRPr="00FC5386" w:rsidRDefault="00B020B5" w:rsidP="00B020B5">
            <w:pPr>
              <w:tabs>
                <w:tab w:val="left" w:pos="993"/>
              </w:tabs>
              <w:spacing w:after="0"/>
              <w:rPr>
                <w:rFonts w:ascii="SimSun" w:hAnsi="SimSun"/>
                <w:b/>
                <w:bCs/>
                <w:szCs w:val="24"/>
              </w:rPr>
            </w:pPr>
            <w:r w:rsidRPr="00FC5386">
              <w:rPr>
                <w:rFonts w:hint="eastAsia"/>
                <w:b/>
                <w:bCs/>
                <w:szCs w:val="24"/>
              </w:rPr>
              <w:t>原文：英文</w:t>
            </w:r>
          </w:p>
        </w:tc>
      </w:tr>
      <w:tr w:rsidR="00B020B5" w:rsidTr="00506486">
        <w:trPr>
          <w:cantSplit/>
        </w:trPr>
        <w:tc>
          <w:tcPr>
            <w:tcW w:w="10031" w:type="dxa"/>
            <w:gridSpan w:val="2"/>
          </w:tcPr>
          <w:p w:rsidR="00B020B5" w:rsidRDefault="00B020B5" w:rsidP="006F0E15">
            <w:pPr>
              <w:pStyle w:val="Source"/>
              <w:framePr w:hSpace="0" w:wrap="auto" w:hAnchor="text" w:yAlign="inline"/>
              <w:spacing w:line="240" w:lineRule="auto"/>
            </w:pPr>
          </w:p>
        </w:tc>
      </w:tr>
      <w:tr w:rsidR="00B020B5" w:rsidTr="00506486">
        <w:trPr>
          <w:cantSplit/>
        </w:trPr>
        <w:tc>
          <w:tcPr>
            <w:tcW w:w="10031" w:type="dxa"/>
            <w:gridSpan w:val="2"/>
          </w:tcPr>
          <w:p w:rsidR="00B020B5" w:rsidRDefault="00B020B5" w:rsidP="00B020B5">
            <w:pPr>
              <w:pStyle w:val="Title1"/>
              <w:framePr w:hSpace="0" w:wrap="auto" w:hAnchor="text" w:yAlign="inline"/>
              <w:rPr>
                <w:bCs/>
              </w:rPr>
            </w:pPr>
            <w:r w:rsidRPr="00504494">
              <w:rPr>
                <w:rFonts w:hint="eastAsia"/>
                <w:bCs/>
              </w:rPr>
              <w:t>理事会制定国际电联</w:t>
            </w:r>
            <w:r w:rsidRPr="00654940">
              <w:rPr>
                <w:szCs w:val="28"/>
              </w:rPr>
              <w:t>2020-2023</w:t>
            </w:r>
            <w:r w:rsidRPr="00504494">
              <w:rPr>
                <w:rFonts w:hint="eastAsia"/>
                <w:bCs/>
              </w:rPr>
              <w:t>年《战略规划》</w:t>
            </w:r>
            <w:r>
              <w:rPr>
                <w:rFonts w:hint="eastAsia"/>
                <w:bCs/>
              </w:rPr>
              <w:t>和</w:t>
            </w:r>
            <w:r>
              <w:rPr>
                <w:bCs/>
              </w:rPr>
              <w:br/>
            </w:r>
            <w:r w:rsidRPr="00504494">
              <w:rPr>
                <w:rFonts w:hint="eastAsia"/>
                <w:bCs/>
              </w:rPr>
              <w:t>《财务规划》</w:t>
            </w:r>
            <w:r>
              <w:rPr>
                <w:rFonts w:hint="eastAsia"/>
                <w:bCs/>
              </w:rPr>
              <w:t>工作组主席的报告</w:t>
            </w:r>
          </w:p>
        </w:tc>
      </w:tr>
    </w:tbl>
    <w:p w:rsidR="00B020B5" w:rsidRPr="004F00AE" w:rsidRDefault="00B020B5" w:rsidP="00B020B5"/>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020B5" w:rsidRPr="00537254" w:rsidTr="00506486">
        <w:trPr>
          <w:trHeight w:val="3372"/>
        </w:trPr>
        <w:tc>
          <w:tcPr>
            <w:tcW w:w="8080" w:type="dxa"/>
            <w:tcBorders>
              <w:top w:val="single" w:sz="12" w:space="0" w:color="auto"/>
              <w:left w:val="single" w:sz="12" w:space="0" w:color="auto"/>
              <w:bottom w:val="single" w:sz="12" w:space="0" w:color="auto"/>
              <w:right w:val="single" w:sz="12" w:space="0" w:color="auto"/>
            </w:tcBorders>
          </w:tcPr>
          <w:p w:rsidR="00B020B5" w:rsidRDefault="00B020B5" w:rsidP="00B020B5">
            <w:pPr>
              <w:pStyle w:val="Headingb"/>
              <w:rPr>
                <w:lang w:val="fr-FR"/>
              </w:rPr>
            </w:pPr>
            <w:r>
              <w:rPr>
                <w:rFonts w:hint="eastAsia"/>
                <w:lang w:val="fr-FR"/>
              </w:rPr>
              <w:t>概</w:t>
            </w:r>
            <w:r>
              <w:rPr>
                <w:rFonts w:hint="eastAsia"/>
              </w:rPr>
              <w:t>要</w:t>
            </w:r>
          </w:p>
          <w:p w:rsidR="00B020B5" w:rsidRPr="004F00AE" w:rsidRDefault="00B020B5" w:rsidP="00B020B5">
            <w:pPr>
              <w:ind w:firstLineChars="200" w:firstLine="440"/>
            </w:pPr>
            <w:r>
              <w:rPr>
                <w:rFonts w:hint="eastAsia"/>
                <w:lang w:val="fr-FR"/>
              </w:rPr>
              <w:t>本文件总结了根据国际电联理事会</w:t>
            </w:r>
            <w:r>
              <w:rPr>
                <w:rFonts w:hint="eastAsia"/>
                <w:lang w:val="fr-FR"/>
              </w:rPr>
              <w:t>2017</w:t>
            </w:r>
            <w:r>
              <w:rPr>
                <w:rFonts w:hint="eastAsia"/>
                <w:lang w:val="fr-FR"/>
              </w:rPr>
              <w:t>年会议第</w:t>
            </w:r>
            <w:r>
              <w:rPr>
                <w:rFonts w:hint="eastAsia"/>
                <w:lang w:val="fr-FR"/>
              </w:rPr>
              <w:t>1384</w:t>
            </w:r>
            <w:r>
              <w:rPr>
                <w:rFonts w:hint="eastAsia"/>
                <w:lang w:val="fr-FR"/>
              </w:rPr>
              <w:t>号决议设立的</w:t>
            </w:r>
            <w:r w:rsidRPr="00504494">
              <w:rPr>
                <w:rFonts w:hint="eastAsia"/>
                <w:lang w:val="fr-FR"/>
              </w:rPr>
              <w:t>理事会制定国际电联</w:t>
            </w:r>
            <w:r w:rsidRPr="00A24F2F">
              <w:t>2020-2023</w:t>
            </w:r>
            <w:r w:rsidRPr="00504494">
              <w:rPr>
                <w:rFonts w:hint="eastAsia"/>
                <w:lang w:val="fr-FR"/>
              </w:rPr>
              <w:t>年《战略规划》和《财务规划》工作组</w:t>
            </w:r>
            <w:r>
              <w:rPr>
                <w:rFonts w:hint="eastAsia"/>
                <w:lang w:val="fr-FR"/>
              </w:rPr>
              <w:t>第一次会议的主要结果，该会议在理事会会议期间于</w:t>
            </w:r>
            <w:r>
              <w:rPr>
                <w:rFonts w:hint="eastAsia"/>
                <w:lang w:val="fr-FR"/>
              </w:rPr>
              <w:t>2017</w:t>
            </w:r>
            <w:r>
              <w:rPr>
                <w:rFonts w:hint="eastAsia"/>
                <w:lang w:val="fr-FR"/>
              </w:rPr>
              <w:t>年</w:t>
            </w:r>
            <w:r>
              <w:rPr>
                <w:rFonts w:hint="eastAsia"/>
                <w:lang w:val="fr-FR"/>
              </w:rPr>
              <w:t>5</w:t>
            </w:r>
            <w:r>
              <w:rPr>
                <w:rFonts w:hint="eastAsia"/>
                <w:lang w:val="fr-FR"/>
              </w:rPr>
              <w:t>月</w:t>
            </w:r>
            <w:r>
              <w:rPr>
                <w:rFonts w:hint="eastAsia"/>
                <w:lang w:val="fr-FR"/>
              </w:rPr>
              <w:t>23</w:t>
            </w:r>
            <w:r>
              <w:rPr>
                <w:rFonts w:hint="eastAsia"/>
                <w:lang w:val="fr-FR"/>
              </w:rPr>
              <w:t>日召开。</w:t>
            </w:r>
          </w:p>
          <w:p w:rsidR="00B020B5" w:rsidRPr="003C2E37" w:rsidRDefault="00B020B5" w:rsidP="00B020B5">
            <w:pPr>
              <w:pStyle w:val="Headingb"/>
            </w:pPr>
            <w:r>
              <w:rPr>
                <w:rFonts w:hint="eastAsia"/>
              </w:rPr>
              <w:t>行动</w:t>
            </w:r>
          </w:p>
          <w:p w:rsidR="00B020B5" w:rsidRPr="004F00AE" w:rsidRDefault="00B020B5" w:rsidP="00B020B5">
            <w:pPr>
              <w:pStyle w:val="BodyTextIndent3"/>
              <w:spacing w:before="120"/>
              <w:ind w:firstLineChars="200" w:firstLine="480"/>
              <w:textAlignment w:val="baseline"/>
              <w:rPr>
                <w:sz w:val="24"/>
                <w:szCs w:val="24"/>
                <w:lang w:val="en-GB"/>
              </w:rPr>
            </w:pPr>
            <w:r>
              <w:rPr>
                <w:rFonts w:hint="eastAsia"/>
                <w:sz w:val="24"/>
                <w:szCs w:val="22"/>
              </w:rPr>
              <w:t>请理事会将本报告</w:t>
            </w:r>
            <w:r w:rsidRPr="00D340AB">
              <w:rPr>
                <w:rFonts w:hint="eastAsia"/>
                <w:b/>
                <w:bCs/>
                <w:sz w:val="24"/>
                <w:szCs w:val="22"/>
              </w:rPr>
              <w:t>记录在案</w:t>
            </w:r>
            <w:r>
              <w:rPr>
                <w:rFonts w:hint="eastAsia"/>
                <w:sz w:val="24"/>
                <w:szCs w:val="22"/>
              </w:rPr>
              <w:t>。</w:t>
            </w:r>
          </w:p>
          <w:p w:rsidR="00B020B5" w:rsidRDefault="00B020B5" w:rsidP="00B020B5">
            <w:pPr>
              <w:jc w:val="center"/>
              <w:rPr>
                <w:sz w:val="28"/>
              </w:rPr>
            </w:pPr>
            <w:r>
              <w:rPr>
                <w:sz w:val="28"/>
              </w:rPr>
              <w:t>______________</w:t>
            </w:r>
          </w:p>
          <w:p w:rsidR="00B020B5" w:rsidRPr="00FC5386" w:rsidRDefault="00B020B5" w:rsidP="00B020B5">
            <w:pPr>
              <w:pStyle w:val="Tabletext"/>
              <w:tabs>
                <w:tab w:val="left" w:pos="794"/>
                <w:tab w:val="left" w:pos="1191"/>
                <w:tab w:val="left" w:pos="1588"/>
              </w:tabs>
              <w:spacing w:before="0" w:after="0"/>
              <w:rPr>
                <w:caps/>
                <w:sz w:val="24"/>
                <w:lang w:val="fr-FR"/>
              </w:rPr>
            </w:pPr>
          </w:p>
          <w:p w:rsidR="00B020B5" w:rsidRPr="00FC5386" w:rsidRDefault="00B020B5" w:rsidP="00B020B5">
            <w:pPr>
              <w:pStyle w:val="Headingb"/>
              <w:rPr>
                <w:lang w:val="fr-FR"/>
              </w:rPr>
            </w:pPr>
            <w:r w:rsidRPr="00FC5386">
              <w:rPr>
                <w:rFonts w:hint="eastAsia"/>
              </w:rPr>
              <w:t>参考文件</w:t>
            </w:r>
          </w:p>
          <w:p w:rsidR="00B020B5" w:rsidRPr="005518DD" w:rsidRDefault="006F0E15" w:rsidP="00B020B5">
            <w:pPr>
              <w:pStyle w:val="Tabletext"/>
              <w:tabs>
                <w:tab w:val="left" w:pos="794"/>
                <w:tab w:val="left" w:pos="1191"/>
                <w:tab w:val="left" w:pos="1588"/>
              </w:tabs>
              <w:spacing w:before="120" w:after="0"/>
              <w:ind w:firstLineChars="200" w:firstLine="440"/>
              <w:rPr>
                <w:rFonts w:eastAsia="STKaiti"/>
                <w:caps/>
                <w:sz w:val="24"/>
                <w:szCs w:val="24"/>
                <w:lang w:val="fr-FR"/>
              </w:rPr>
            </w:pPr>
            <w:hyperlink r:id="rId12" w:history="1">
              <w:r w:rsidR="00B020B5" w:rsidRPr="005518DD">
                <w:rPr>
                  <w:rStyle w:val="Hyperlink"/>
                  <w:rFonts w:eastAsia="STKaiti" w:cstheme="minorHAnsi"/>
                  <w:sz w:val="24"/>
                  <w:szCs w:val="24"/>
                </w:rPr>
                <w:t>第</w:t>
              </w:r>
              <w:r w:rsidR="00B020B5" w:rsidRPr="005518DD">
                <w:rPr>
                  <w:rStyle w:val="Hyperlink"/>
                  <w:rFonts w:eastAsia="STKaiti" w:cstheme="minorHAnsi"/>
                  <w:sz w:val="24"/>
                  <w:szCs w:val="24"/>
                  <w:lang w:val="fr-FR"/>
                </w:rPr>
                <w:t>71</w:t>
              </w:r>
            </w:hyperlink>
            <w:r w:rsidR="00B020B5" w:rsidRPr="005518DD">
              <w:rPr>
                <w:rStyle w:val="Hyperlink"/>
                <w:rFonts w:eastAsia="STKaiti" w:cstheme="minorHAnsi"/>
                <w:sz w:val="24"/>
                <w:szCs w:val="24"/>
              </w:rPr>
              <w:t>号决议</w:t>
            </w:r>
            <w:r w:rsidR="00B020B5" w:rsidRPr="005518DD">
              <w:rPr>
                <w:rFonts w:eastAsia="STKaiti" w:cstheme="minorHAnsi"/>
                <w:sz w:val="24"/>
                <w:szCs w:val="24"/>
                <w:lang w:val="fr-FR"/>
              </w:rPr>
              <w:t>（</w:t>
            </w:r>
            <w:r w:rsidR="00B020B5" w:rsidRPr="005518DD">
              <w:rPr>
                <w:rFonts w:eastAsia="STKaiti" w:cstheme="minorHAnsi"/>
                <w:sz w:val="24"/>
                <w:szCs w:val="24"/>
                <w:lang w:val="fr-FR"/>
              </w:rPr>
              <w:t>2014</w:t>
            </w:r>
            <w:r w:rsidR="00B020B5" w:rsidRPr="005518DD">
              <w:rPr>
                <w:rFonts w:eastAsia="STKaiti" w:cstheme="minorHAnsi"/>
                <w:sz w:val="24"/>
                <w:szCs w:val="24"/>
                <w:lang w:val="fr-FR"/>
              </w:rPr>
              <w:t>年，釜山，修订版）；</w:t>
            </w:r>
            <w:hyperlink r:id="rId13" w:history="1">
              <w:r w:rsidR="00B020B5" w:rsidRPr="005518DD">
                <w:rPr>
                  <w:rStyle w:val="Hyperlink"/>
                  <w:rFonts w:eastAsia="STKaiti"/>
                  <w:sz w:val="24"/>
                  <w:szCs w:val="24"/>
                  <w:lang w:val="fr-FR"/>
                </w:rPr>
                <w:t>第</w:t>
              </w:r>
              <w:r w:rsidR="00B020B5" w:rsidRPr="005518DD">
                <w:rPr>
                  <w:rStyle w:val="Hyperlink"/>
                  <w:rFonts w:eastAsia="STKaiti"/>
                  <w:sz w:val="24"/>
                  <w:szCs w:val="24"/>
                  <w:lang w:val="fr-FR"/>
                </w:rPr>
                <w:t>72</w:t>
              </w:r>
              <w:r w:rsidR="00B020B5" w:rsidRPr="005518DD">
                <w:rPr>
                  <w:rStyle w:val="Hyperlink"/>
                  <w:rFonts w:eastAsia="STKaiti"/>
                  <w:sz w:val="24"/>
                  <w:szCs w:val="24"/>
                  <w:lang w:val="fr-FR"/>
                </w:rPr>
                <w:t>号决议</w:t>
              </w:r>
              <w:r w:rsidR="00B020B5" w:rsidRPr="005518DD">
                <w:rPr>
                  <w:rFonts w:eastAsia="STKaiti" w:cstheme="minorHAnsi"/>
                  <w:sz w:val="24"/>
                  <w:szCs w:val="24"/>
                  <w:lang w:val="fr-FR"/>
                </w:rPr>
                <w:t>（</w:t>
              </w:r>
              <w:r w:rsidR="00B020B5" w:rsidRPr="005518DD">
                <w:rPr>
                  <w:rFonts w:eastAsia="STKaiti" w:cstheme="minorHAnsi"/>
                  <w:sz w:val="24"/>
                  <w:szCs w:val="24"/>
                  <w:lang w:val="fr-FR"/>
                </w:rPr>
                <w:t>2014</w:t>
              </w:r>
              <w:r w:rsidR="00B020B5" w:rsidRPr="005518DD">
                <w:rPr>
                  <w:rFonts w:eastAsia="STKaiti" w:cstheme="minorHAnsi"/>
                  <w:sz w:val="24"/>
                  <w:szCs w:val="24"/>
                  <w:lang w:val="fr-FR"/>
                </w:rPr>
                <w:t>年，釜山，修订版）；</w:t>
              </w:r>
            </w:hyperlink>
            <w:hyperlink r:id="rId14" w:history="1">
              <w:r w:rsidR="00B020B5" w:rsidRPr="005518DD">
                <w:rPr>
                  <w:rStyle w:val="Hyperlink"/>
                  <w:rFonts w:eastAsia="STKaiti"/>
                  <w:sz w:val="24"/>
                  <w:szCs w:val="24"/>
                  <w:lang w:val="fr-FR"/>
                </w:rPr>
                <w:t>第</w:t>
              </w:r>
              <w:r w:rsidR="00B020B5" w:rsidRPr="005518DD">
                <w:rPr>
                  <w:rStyle w:val="Hyperlink"/>
                  <w:rFonts w:eastAsia="STKaiti"/>
                  <w:sz w:val="24"/>
                  <w:szCs w:val="24"/>
                  <w:lang w:val="fr-FR"/>
                </w:rPr>
                <w:t>151</w:t>
              </w:r>
              <w:r w:rsidR="00B020B5" w:rsidRPr="005518DD">
                <w:rPr>
                  <w:rStyle w:val="Hyperlink"/>
                  <w:rFonts w:eastAsia="STKaiti"/>
                  <w:sz w:val="24"/>
                  <w:szCs w:val="24"/>
                  <w:lang w:val="fr-FR"/>
                </w:rPr>
                <w:t>号决议</w:t>
              </w:r>
              <w:r w:rsidR="00B020B5" w:rsidRPr="005518DD">
                <w:rPr>
                  <w:rFonts w:eastAsia="STKaiti" w:cstheme="minorHAnsi"/>
                  <w:sz w:val="24"/>
                  <w:szCs w:val="24"/>
                  <w:lang w:val="fr-FR"/>
                </w:rPr>
                <w:t>（</w:t>
              </w:r>
              <w:r w:rsidR="00B020B5" w:rsidRPr="005518DD">
                <w:rPr>
                  <w:rFonts w:eastAsia="STKaiti" w:cstheme="minorHAnsi"/>
                  <w:sz w:val="24"/>
                  <w:szCs w:val="24"/>
                  <w:lang w:val="fr-FR"/>
                </w:rPr>
                <w:t>2014</w:t>
              </w:r>
              <w:r w:rsidR="00B020B5" w:rsidRPr="005518DD">
                <w:rPr>
                  <w:rFonts w:eastAsia="STKaiti" w:cstheme="minorHAnsi"/>
                  <w:sz w:val="24"/>
                  <w:szCs w:val="24"/>
                  <w:lang w:val="fr-FR"/>
                </w:rPr>
                <w:t>年，釜山，修订版）；</w:t>
              </w:r>
            </w:hyperlink>
            <w:r w:rsidR="00B020B5" w:rsidRPr="005518DD">
              <w:rPr>
                <w:rFonts w:eastAsia="STKaiti"/>
                <w:sz w:val="24"/>
                <w:szCs w:val="24"/>
                <w:lang w:val="fr-FR"/>
              </w:rPr>
              <w:t>理事会</w:t>
            </w:r>
            <w:hyperlink r:id="rId15" w:history="1">
              <w:r w:rsidR="00B020B5" w:rsidRPr="005518DD">
                <w:rPr>
                  <w:rStyle w:val="Hyperlink"/>
                  <w:rFonts w:eastAsia="STKaiti"/>
                  <w:sz w:val="24"/>
                  <w:szCs w:val="24"/>
                  <w:lang w:val="fr-FR"/>
                </w:rPr>
                <w:t>第</w:t>
              </w:r>
              <w:r w:rsidR="00B020B5" w:rsidRPr="005518DD">
                <w:rPr>
                  <w:rStyle w:val="Hyperlink"/>
                  <w:rFonts w:eastAsia="STKaiti"/>
                  <w:sz w:val="24"/>
                  <w:szCs w:val="24"/>
                  <w:lang w:val="fr-FR"/>
                </w:rPr>
                <w:t>1384</w:t>
              </w:r>
            </w:hyperlink>
            <w:r w:rsidR="00B020B5" w:rsidRPr="005518DD">
              <w:rPr>
                <w:rStyle w:val="Hyperlink"/>
                <w:rFonts w:eastAsia="STKaiti"/>
                <w:sz w:val="24"/>
                <w:szCs w:val="24"/>
              </w:rPr>
              <w:t>号决议</w:t>
            </w:r>
            <w:r w:rsidR="00B020B5" w:rsidRPr="005518DD">
              <w:rPr>
                <w:rFonts w:eastAsia="STKaiti"/>
                <w:sz w:val="24"/>
                <w:szCs w:val="24"/>
                <w:lang w:val="fr-FR"/>
              </w:rPr>
              <w:t xml:space="preserve"> </w:t>
            </w:r>
            <w:r w:rsidR="00B020B5" w:rsidRPr="005518DD">
              <w:rPr>
                <w:rFonts w:eastAsia="STKaiti"/>
                <w:sz w:val="24"/>
                <w:szCs w:val="24"/>
                <w:lang w:val="fr-FR"/>
              </w:rPr>
              <w:t>（</w:t>
            </w:r>
            <w:r w:rsidR="00B020B5" w:rsidRPr="005518DD">
              <w:rPr>
                <w:rFonts w:eastAsia="STKaiti"/>
                <w:sz w:val="24"/>
                <w:szCs w:val="24"/>
                <w:lang w:val="fr-FR"/>
              </w:rPr>
              <w:t>2017</w:t>
            </w:r>
            <w:r w:rsidR="00B020B5" w:rsidRPr="005518DD">
              <w:rPr>
                <w:rFonts w:eastAsia="STKaiti" w:cstheme="minorHAnsi"/>
                <w:szCs w:val="24"/>
                <w:lang w:val="fr-FR"/>
              </w:rPr>
              <w:t>年</w:t>
            </w:r>
            <w:r w:rsidR="00B020B5" w:rsidRPr="005518DD">
              <w:rPr>
                <w:rFonts w:eastAsia="STKaiti"/>
                <w:sz w:val="24"/>
                <w:szCs w:val="24"/>
                <w:lang w:val="fr-FR"/>
              </w:rPr>
              <w:t>），理事会</w:t>
            </w:r>
            <w:hyperlink r:id="rId16" w:history="1">
              <w:r w:rsidR="00B020B5" w:rsidRPr="005518DD">
                <w:rPr>
                  <w:rStyle w:val="Hyperlink"/>
                  <w:rFonts w:eastAsia="STKaiti" w:cstheme="minorHAnsi"/>
                  <w:sz w:val="24"/>
                  <w:szCs w:val="24"/>
                  <w:lang w:val="fr-FR"/>
                </w:rPr>
                <w:t>第</w:t>
              </w:r>
              <w:r w:rsidR="00B020B5" w:rsidRPr="005518DD">
                <w:rPr>
                  <w:rStyle w:val="Hyperlink"/>
                  <w:rFonts w:eastAsia="STKaiti" w:cstheme="minorHAnsi"/>
                  <w:sz w:val="24"/>
                  <w:szCs w:val="24"/>
                  <w:lang w:val="fr-FR"/>
                </w:rPr>
                <w:t>1333</w:t>
              </w:r>
            </w:hyperlink>
            <w:r w:rsidR="00B020B5" w:rsidRPr="005518DD">
              <w:rPr>
                <w:rStyle w:val="Hyperlink"/>
                <w:rFonts w:eastAsia="STKaiti" w:cstheme="minorHAnsi"/>
                <w:sz w:val="24"/>
                <w:szCs w:val="24"/>
              </w:rPr>
              <w:t>号决议</w:t>
            </w:r>
            <w:r w:rsidR="00B020B5" w:rsidRPr="005518DD">
              <w:rPr>
                <w:rFonts w:eastAsia="STKaiti" w:cstheme="minorHAnsi"/>
                <w:sz w:val="24"/>
                <w:szCs w:val="24"/>
                <w:lang w:val="fr-FR"/>
              </w:rPr>
              <w:t>（</w:t>
            </w:r>
            <w:r w:rsidR="00B020B5" w:rsidRPr="005518DD">
              <w:rPr>
                <w:rFonts w:eastAsia="STKaiti" w:cstheme="minorHAnsi"/>
                <w:sz w:val="24"/>
                <w:szCs w:val="24"/>
                <w:lang w:val="fr-FR"/>
              </w:rPr>
              <w:t>2016</w:t>
            </w:r>
            <w:r w:rsidR="00B020B5" w:rsidRPr="005518DD">
              <w:rPr>
                <w:rFonts w:eastAsia="STKaiti" w:cstheme="minorHAnsi"/>
                <w:sz w:val="24"/>
                <w:szCs w:val="24"/>
                <w:lang w:val="fr-FR"/>
              </w:rPr>
              <w:t>年，修订版）；理事会文件：</w:t>
            </w:r>
            <w:hyperlink r:id="rId17" w:history="1">
              <w:r w:rsidR="00B020B5" w:rsidRPr="005518DD">
                <w:rPr>
                  <w:rStyle w:val="Hyperlink"/>
                  <w:rFonts w:eastAsia="STKaiti" w:cstheme="minorHAnsi"/>
                  <w:sz w:val="24"/>
                  <w:szCs w:val="24"/>
                  <w:lang w:val="fr-FR"/>
                </w:rPr>
                <w:t>C17/75</w:t>
              </w:r>
            </w:hyperlink>
            <w:r w:rsidR="00B020B5" w:rsidRPr="005518DD">
              <w:rPr>
                <w:rFonts w:eastAsia="STKaiti" w:cstheme="minorHAnsi"/>
                <w:sz w:val="24"/>
                <w:szCs w:val="24"/>
                <w:lang w:val="fr-FR"/>
              </w:rPr>
              <w:t>、</w:t>
            </w:r>
            <w:hyperlink r:id="rId18" w:history="1">
              <w:r w:rsidR="00B020B5" w:rsidRPr="005518DD">
                <w:rPr>
                  <w:rStyle w:val="Hyperlink"/>
                  <w:rFonts w:eastAsia="STKaiti" w:cstheme="minorHAnsi"/>
                  <w:sz w:val="24"/>
                  <w:szCs w:val="24"/>
                  <w:lang w:val="fr-FR"/>
                </w:rPr>
                <w:t>C17/35</w:t>
              </w:r>
            </w:hyperlink>
            <w:r w:rsidR="00B020B5" w:rsidRPr="005518DD">
              <w:rPr>
                <w:rStyle w:val="Hyperlink"/>
                <w:rFonts w:eastAsia="STKaiti" w:cstheme="minorHAnsi"/>
                <w:sz w:val="24"/>
                <w:szCs w:val="24"/>
              </w:rPr>
              <w:t>、</w:t>
            </w:r>
            <w:hyperlink r:id="rId19" w:history="1">
              <w:r w:rsidR="00B020B5" w:rsidRPr="005518DD">
                <w:rPr>
                  <w:rStyle w:val="Hyperlink"/>
                  <w:rFonts w:eastAsia="STKaiti" w:cstheme="minorHAnsi"/>
                  <w:sz w:val="24"/>
                  <w:szCs w:val="24"/>
                  <w:lang w:val="fr-FR"/>
                </w:rPr>
                <w:t>C17/39</w:t>
              </w:r>
            </w:hyperlink>
            <w:r w:rsidR="00B020B5" w:rsidRPr="005518DD">
              <w:rPr>
                <w:rFonts w:eastAsia="STKaiti" w:cstheme="minorHAnsi"/>
                <w:sz w:val="24"/>
                <w:szCs w:val="24"/>
                <w:lang w:val="fr-FR"/>
              </w:rPr>
              <w:t>和</w:t>
            </w:r>
            <w:hyperlink r:id="rId20" w:history="1">
              <w:r w:rsidR="00B020B5" w:rsidRPr="005518DD">
                <w:rPr>
                  <w:rStyle w:val="Hyperlink"/>
                  <w:rFonts w:eastAsia="STKaiti" w:cstheme="minorHAnsi"/>
                  <w:sz w:val="24"/>
                  <w:szCs w:val="24"/>
                  <w:lang w:val="fr-FR"/>
                </w:rPr>
                <w:t>C17/111</w:t>
              </w:r>
            </w:hyperlink>
            <w:r w:rsidR="00B020B5" w:rsidRPr="005518DD">
              <w:rPr>
                <w:rStyle w:val="Hyperlink"/>
                <w:rFonts w:eastAsia="STKaiti" w:cstheme="minorHAnsi"/>
                <w:sz w:val="24"/>
                <w:szCs w:val="24"/>
              </w:rPr>
              <w:t>号文件</w:t>
            </w:r>
            <w:r w:rsidR="00B020B5" w:rsidRPr="005518DD">
              <w:rPr>
                <w:rStyle w:val="Hyperlink"/>
                <w:rFonts w:eastAsia="STKaiti" w:cstheme="minorHAnsi"/>
                <w:color w:val="auto"/>
                <w:sz w:val="24"/>
                <w:szCs w:val="24"/>
                <w:u w:val="none"/>
                <w:lang w:val="fr-FR"/>
              </w:rPr>
              <w:t>；</w:t>
            </w:r>
            <w:hyperlink r:id="rId21" w:history="1">
              <w:r w:rsidR="00B020B5" w:rsidRPr="005518DD">
                <w:rPr>
                  <w:rStyle w:val="Hyperlink"/>
                  <w:rFonts w:eastAsia="STKaiti" w:cstheme="minorHAnsi"/>
                  <w:sz w:val="24"/>
                  <w:szCs w:val="24"/>
                  <w:lang w:val="fr-FR"/>
                </w:rPr>
                <w:t>TDAG</w:t>
              </w:r>
              <w:r w:rsidR="00B020B5" w:rsidRPr="005518DD">
                <w:rPr>
                  <w:rStyle w:val="Hyperlink"/>
                  <w:rFonts w:eastAsia="STKaiti" w:cstheme="minorHAnsi"/>
                  <w:sz w:val="24"/>
                  <w:szCs w:val="24"/>
                  <w:lang w:val="fr-FR"/>
                </w:rPr>
                <w:t>文件</w:t>
              </w:r>
              <w:r w:rsidR="00B020B5" w:rsidRPr="005518DD">
                <w:rPr>
                  <w:rStyle w:val="Hyperlink"/>
                  <w:rFonts w:eastAsia="STKaiti" w:cstheme="minorHAnsi"/>
                  <w:bCs/>
                  <w:sz w:val="24"/>
                  <w:szCs w:val="24"/>
                  <w:lang w:val="fr-FR"/>
                </w:rPr>
                <w:t>TDAG17-22/</w:t>
              </w:r>
              <w:bookmarkStart w:id="4" w:name="DocNo1"/>
              <w:bookmarkEnd w:id="4"/>
              <w:r w:rsidR="00B020B5" w:rsidRPr="005518DD">
                <w:rPr>
                  <w:rStyle w:val="Hyperlink"/>
                  <w:rFonts w:eastAsia="STKaiti" w:cstheme="minorHAnsi"/>
                  <w:bCs/>
                  <w:sz w:val="24"/>
                  <w:szCs w:val="24"/>
                  <w:lang w:val="fr-FR"/>
                </w:rPr>
                <w:t>7</w:t>
              </w:r>
            </w:hyperlink>
            <w:r w:rsidR="00B020B5" w:rsidRPr="005518DD">
              <w:rPr>
                <w:rStyle w:val="Hyperlink"/>
                <w:rFonts w:eastAsia="STKaiti" w:cstheme="minorHAnsi"/>
                <w:color w:val="auto"/>
                <w:sz w:val="24"/>
                <w:szCs w:val="24"/>
                <w:u w:val="none"/>
                <w:lang w:val="fr-FR"/>
              </w:rPr>
              <w:t>。</w:t>
            </w:r>
          </w:p>
        </w:tc>
      </w:tr>
    </w:tbl>
    <w:p w:rsidR="00B020B5" w:rsidRPr="00DD0448" w:rsidRDefault="00B020B5" w:rsidP="00B020B5">
      <w:pPr>
        <w:pStyle w:val="Heading1"/>
        <w:spacing w:before="960"/>
      </w:pPr>
      <w:r>
        <w:t>1</w:t>
      </w:r>
      <w:r>
        <w:tab/>
      </w:r>
      <w:r>
        <w:rPr>
          <w:rFonts w:hint="eastAsia"/>
        </w:rPr>
        <w:t>引言</w:t>
      </w:r>
    </w:p>
    <w:p w:rsidR="00B020B5" w:rsidRPr="00654940" w:rsidRDefault="00B020B5" w:rsidP="00B020B5">
      <w:pPr>
        <w:rPr>
          <w:szCs w:val="24"/>
        </w:rPr>
      </w:pPr>
      <w:r w:rsidRPr="00DB20C4">
        <w:t>1.1</w:t>
      </w:r>
      <w:r w:rsidRPr="00DB20C4">
        <w:tab/>
      </w:r>
      <w:r>
        <w:rPr>
          <w:rFonts w:hint="eastAsia"/>
        </w:rPr>
        <w:t>国际电联理事会</w:t>
      </w:r>
      <w:r>
        <w:rPr>
          <w:rFonts w:hint="eastAsia"/>
        </w:rPr>
        <w:t>201</w:t>
      </w:r>
      <w:r>
        <w:t>7</w:t>
      </w:r>
      <w:r>
        <w:rPr>
          <w:rFonts w:hint="eastAsia"/>
        </w:rPr>
        <w:t>年会议在其第三次全体会议上通过了有关设立</w:t>
      </w:r>
      <w:r w:rsidRPr="00504494">
        <w:rPr>
          <w:rFonts w:hint="eastAsia"/>
          <w:lang w:val="fr-FR"/>
        </w:rPr>
        <w:t>理事会制定国际电联</w:t>
      </w:r>
      <w:r w:rsidRPr="00DB20C4">
        <w:rPr>
          <w:rFonts w:hint="eastAsia"/>
        </w:rPr>
        <w:t>20</w:t>
      </w:r>
      <w:r>
        <w:t>20</w:t>
      </w:r>
      <w:r w:rsidRPr="00DB20C4">
        <w:rPr>
          <w:rFonts w:hint="eastAsia"/>
        </w:rPr>
        <w:t>-20</w:t>
      </w:r>
      <w:r>
        <w:t>23</w:t>
      </w:r>
      <w:r w:rsidRPr="00504494">
        <w:rPr>
          <w:rFonts w:hint="eastAsia"/>
          <w:lang w:val="fr-FR"/>
        </w:rPr>
        <w:t>年《战略规划》</w:t>
      </w:r>
      <w:r>
        <w:rPr>
          <w:rFonts w:hint="eastAsia"/>
          <w:lang w:val="fr-FR"/>
        </w:rPr>
        <w:t>（</w:t>
      </w:r>
      <w:r>
        <w:rPr>
          <w:rFonts w:hint="eastAsia"/>
          <w:lang w:val="fr-FR"/>
        </w:rPr>
        <w:t>SP</w:t>
      </w:r>
      <w:r>
        <w:rPr>
          <w:rFonts w:hint="eastAsia"/>
          <w:lang w:val="fr-FR"/>
        </w:rPr>
        <w:t>）</w:t>
      </w:r>
      <w:r w:rsidRPr="00504494">
        <w:rPr>
          <w:rFonts w:hint="eastAsia"/>
          <w:lang w:val="fr-FR"/>
        </w:rPr>
        <w:t>和《财务规划》</w:t>
      </w:r>
      <w:r>
        <w:rPr>
          <w:rFonts w:hint="eastAsia"/>
          <w:lang w:val="fr-FR"/>
        </w:rPr>
        <w:t>（</w:t>
      </w:r>
      <w:r>
        <w:rPr>
          <w:rFonts w:hint="eastAsia"/>
          <w:lang w:val="fr-FR"/>
        </w:rPr>
        <w:t>FP</w:t>
      </w:r>
      <w:r>
        <w:rPr>
          <w:rFonts w:hint="eastAsia"/>
          <w:lang w:val="fr-FR"/>
        </w:rPr>
        <w:t>）</w:t>
      </w:r>
      <w:r w:rsidRPr="00504494">
        <w:rPr>
          <w:rFonts w:hint="eastAsia"/>
          <w:lang w:val="fr-FR"/>
        </w:rPr>
        <w:t>工作组</w:t>
      </w:r>
      <w:r w:rsidRPr="00DB20C4">
        <w:rPr>
          <w:rFonts w:hint="eastAsia"/>
        </w:rPr>
        <w:t>（</w:t>
      </w:r>
      <w:r w:rsidRPr="00F818BB">
        <w:t>CWG-SFP</w:t>
      </w:r>
      <w:r>
        <w:rPr>
          <w:rFonts w:hint="eastAsia"/>
        </w:rPr>
        <w:t>）的</w:t>
      </w:r>
      <w:hyperlink r:id="rId22" w:history="1">
        <w:r w:rsidRPr="0006239F">
          <w:rPr>
            <w:rStyle w:val="Hyperlink"/>
            <w:rFonts w:hint="eastAsia"/>
          </w:rPr>
          <w:t>第</w:t>
        </w:r>
        <w:r w:rsidRPr="00F41A9B">
          <w:rPr>
            <w:rStyle w:val="Hyperlink"/>
          </w:rPr>
          <w:t>1384</w:t>
        </w:r>
        <w:r w:rsidRPr="0006239F">
          <w:rPr>
            <w:rStyle w:val="Hyperlink"/>
            <w:rFonts w:hint="eastAsia"/>
          </w:rPr>
          <w:t>号决议</w:t>
        </w:r>
      </w:hyperlink>
      <w:r>
        <w:rPr>
          <w:rFonts w:hint="eastAsia"/>
        </w:rPr>
        <w:t>。该决议包含了</w:t>
      </w:r>
      <w:r>
        <w:t>CWG-SFP</w:t>
      </w:r>
      <w:r>
        <w:rPr>
          <w:rFonts w:hint="eastAsia"/>
        </w:rPr>
        <w:t>的职责范围。此工作组向所有成员国开放，而且在研究战略规划问题时，亦向所有部门成员开放。</w:t>
      </w:r>
    </w:p>
    <w:p w:rsidR="00B020B5" w:rsidRPr="00DD0448" w:rsidRDefault="00B020B5" w:rsidP="00B020B5">
      <w:pPr>
        <w:pStyle w:val="Heading1"/>
      </w:pPr>
      <w:r>
        <w:lastRenderedPageBreak/>
        <w:t>2</w:t>
      </w:r>
      <w:r>
        <w:tab/>
      </w:r>
      <w:r>
        <w:rPr>
          <w:rFonts w:hint="eastAsia"/>
        </w:rPr>
        <w:t>欢迎致辞</w:t>
      </w:r>
    </w:p>
    <w:p w:rsidR="00B020B5" w:rsidRPr="00B921F9" w:rsidRDefault="00B020B5" w:rsidP="00B020B5">
      <w:r w:rsidRPr="00B921F9">
        <w:t>2.1</w:t>
      </w:r>
      <w:r w:rsidRPr="00B921F9">
        <w:tab/>
      </w:r>
      <w:r>
        <w:rPr>
          <w:rFonts w:hint="eastAsia"/>
        </w:rPr>
        <w:t>主席对与会者表示欢迎并且指出了国际电联《战略规划》和</w:t>
      </w:r>
      <w:r>
        <w:t>《</w:t>
      </w:r>
      <w:r>
        <w:rPr>
          <w:rFonts w:hint="eastAsia"/>
        </w:rPr>
        <w:t>财务规划</w:t>
      </w:r>
      <w:r>
        <w:t>》</w:t>
      </w:r>
      <w:r>
        <w:rPr>
          <w:rFonts w:hint="eastAsia"/>
        </w:rPr>
        <w:t>的重要性。主席提醒与会者，成立</w:t>
      </w:r>
      <w:r w:rsidRPr="00B921F9">
        <w:t>CWG-SFP</w:t>
      </w:r>
      <w:r>
        <w:t>的目的在于制定规划草案，以便提交</w:t>
      </w:r>
      <w:r>
        <w:rPr>
          <w:rFonts w:hint="eastAsia"/>
        </w:rPr>
        <w:t>理事会</w:t>
      </w:r>
      <w:r>
        <w:t>201</w:t>
      </w:r>
      <w:r>
        <w:rPr>
          <w:rFonts w:hint="eastAsia"/>
        </w:rPr>
        <w:t>8</w:t>
      </w:r>
      <w:r>
        <w:rPr>
          <w:rFonts w:hint="eastAsia"/>
        </w:rPr>
        <w:t>年会议审议，之后将其转呈</w:t>
      </w:r>
      <w:r>
        <w:rPr>
          <w:rFonts w:hint="eastAsia"/>
        </w:rPr>
        <w:t>2018</w:t>
      </w:r>
      <w:r>
        <w:rPr>
          <w:rFonts w:hint="eastAsia"/>
        </w:rPr>
        <w:t>年全权代表大会（</w:t>
      </w:r>
      <w:r w:rsidRPr="00B921F9">
        <w:t>PP-18</w:t>
      </w:r>
      <w:r>
        <w:rPr>
          <w:rFonts w:hint="eastAsia"/>
        </w:rPr>
        <w:t>）通过。</w:t>
      </w:r>
      <w:r>
        <w:t>主席表达</w:t>
      </w:r>
      <w:r>
        <w:rPr>
          <w:rFonts w:hint="eastAsia"/>
        </w:rPr>
        <w:t>了</w:t>
      </w:r>
      <w:r>
        <w:t>希望工作组以及整个进程均能尽可能体现出开放、透明和包容性的意愿。</w:t>
      </w:r>
    </w:p>
    <w:p w:rsidR="00B020B5" w:rsidRPr="00B921F9" w:rsidRDefault="00B020B5" w:rsidP="00B020B5">
      <w:r w:rsidRPr="00B921F9">
        <w:t>2.2</w:t>
      </w:r>
      <w:r w:rsidRPr="00B921F9">
        <w:tab/>
      </w:r>
      <w:r>
        <w:t>秘书长向与会者表示欢迎，并且向主席的任命表示祝贺，同时强调了</w:t>
      </w:r>
      <w:r w:rsidRPr="00B921F9">
        <w:t>CWG-SFP</w:t>
      </w:r>
      <w:r>
        <w:t>的工作对于国际电联的重要性。</w:t>
      </w:r>
    </w:p>
    <w:p w:rsidR="00B020B5" w:rsidRPr="00B921F9" w:rsidRDefault="00B020B5" w:rsidP="00B020B5">
      <w:r w:rsidRPr="00B921F9">
        <w:t>2.3</w:t>
      </w:r>
      <w:r>
        <w:tab/>
      </w:r>
      <w:r>
        <w:t>工作组得知，秘书处已</w:t>
      </w:r>
      <w:r>
        <w:rPr>
          <w:rFonts w:hint="eastAsia"/>
        </w:rPr>
        <w:t>经</w:t>
      </w:r>
      <w:r>
        <w:t>成立了一个由无线电通信局主任</w:t>
      </w:r>
      <w:r w:rsidRPr="00ED0A9E">
        <w:rPr>
          <w:rFonts w:hint="eastAsia"/>
        </w:rPr>
        <w:t>弗朗索瓦</w:t>
      </w:r>
      <w:r w:rsidRPr="00F41A9B">
        <w:rPr>
          <w:sz w:val="20"/>
        </w:rPr>
        <w:t>•</w:t>
      </w:r>
      <w:r w:rsidRPr="00ED0A9E">
        <w:rPr>
          <w:rFonts w:hint="eastAsia"/>
        </w:rPr>
        <w:t>朗西</w:t>
      </w:r>
      <w:r>
        <w:rPr>
          <w:rFonts w:hint="eastAsia"/>
          <w:b/>
          <w:bCs/>
          <w:szCs w:val="24"/>
        </w:rPr>
        <w:t>（</w:t>
      </w:r>
      <w:r w:rsidRPr="00B921F9">
        <w:t>Francois Rancy</w:t>
      </w:r>
      <w:r>
        <w:rPr>
          <w:rFonts w:hint="eastAsia"/>
          <w:b/>
          <w:bCs/>
          <w:szCs w:val="24"/>
        </w:rPr>
        <w:t>）</w:t>
      </w:r>
      <w:r>
        <w:rPr>
          <w:rFonts w:hint="eastAsia"/>
        </w:rPr>
        <w:t>先生领导的</w:t>
      </w:r>
      <w:r>
        <w:t>跨部门组，对秘书处提交</w:t>
      </w:r>
      <w:r w:rsidRPr="00B921F9">
        <w:t>CWG-SFP</w:t>
      </w:r>
      <w:r>
        <w:t>的输入意见进行协调。</w:t>
      </w:r>
    </w:p>
    <w:p w:rsidR="00B020B5" w:rsidRPr="00654940" w:rsidRDefault="00B020B5" w:rsidP="00B020B5">
      <w:pPr>
        <w:rPr>
          <w:rFonts w:cstheme="minorHAnsi"/>
        </w:rPr>
      </w:pPr>
      <w:r w:rsidRPr="00B921F9">
        <w:t>2.4</w:t>
      </w:r>
      <w:r w:rsidRPr="00B921F9">
        <w:tab/>
      </w:r>
      <w:r>
        <w:t>有关</w:t>
      </w:r>
      <w:r w:rsidRPr="00B921F9">
        <w:t>CWG-SFP</w:t>
      </w:r>
      <w:r>
        <w:t>副主席的决定应在</w:t>
      </w:r>
      <w:r>
        <w:rPr>
          <w:rFonts w:hint="eastAsia"/>
        </w:rPr>
        <w:t>理事会</w:t>
      </w:r>
      <w:r>
        <w:t>2017</w:t>
      </w:r>
      <w:r>
        <w:rPr>
          <w:rFonts w:hint="eastAsia"/>
        </w:rPr>
        <w:t>年会议晚些时候的一次全体会议上做出。</w:t>
      </w:r>
    </w:p>
    <w:p w:rsidR="00B020B5" w:rsidRPr="001E0B30" w:rsidRDefault="00B020B5" w:rsidP="00B020B5">
      <w:pPr>
        <w:pStyle w:val="Heading1"/>
        <w:rPr>
          <w:rFonts w:cstheme="minorHAnsi"/>
          <w:bCs/>
          <w:szCs w:val="28"/>
        </w:rPr>
      </w:pPr>
      <w:r w:rsidRPr="001E0B30">
        <w:rPr>
          <w:rFonts w:cstheme="minorHAnsi"/>
          <w:bCs/>
          <w:szCs w:val="28"/>
        </w:rPr>
        <w:t>3</w:t>
      </w:r>
      <w:r w:rsidRPr="001E0B30">
        <w:rPr>
          <w:rFonts w:cstheme="minorHAnsi"/>
          <w:bCs/>
          <w:szCs w:val="28"/>
        </w:rPr>
        <w:tab/>
      </w:r>
      <w:r w:rsidRPr="001E0B30">
        <w:rPr>
          <w:rFonts w:hint="eastAsia"/>
          <w:szCs w:val="28"/>
        </w:rPr>
        <w:t>通过议程（</w:t>
      </w:r>
      <w:hyperlink r:id="rId23" w:history="1">
        <w:r w:rsidRPr="001E0B30">
          <w:rPr>
            <w:rStyle w:val="Hyperlink"/>
            <w:rFonts w:cstheme="minorHAnsi"/>
            <w:bCs/>
            <w:szCs w:val="28"/>
          </w:rPr>
          <w:t>CWG SFP/01</w:t>
        </w:r>
      </w:hyperlink>
      <w:r w:rsidRPr="001E0B30">
        <w:rPr>
          <w:rFonts w:hint="eastAsia"/>
          <w:szCs w:val="28"/>
        </w:rPr>
        <w:t>号文件</w:t>
      </w:r>
      <w:r w:rsidRPr="001E0B30">
        <w:rPr>
          <w:rFonts w:cstheme="minorHAnsi" w:hint="eastAsia"/>
          <w:bCs/>
          <w:szCs w:val="28"/>
        </w:rPr>
        <w:t>）</w:t>
      </w:r>
    </w:p>
    <w:p w:rsidR="00B020B5" w:rsidRPr="00646D32" w:rsidRDefault="00B020B5" w:rsidP="00B020B5">
      <w:pPr>
        <w:pStyle w:val="Heading1"/>
        <w:spacing w:before="120"/>
        <w:rPr>
          <w:rFonts w:cstheme="minorHAnsi"/>
          <w:b w:val="0"/>
          <w:bCs/>
          <w:sz w:val="26"/>
          <w:szCs w:val="26"/>
        </w:rPr>
      </w:pPr>
      <w:r w:rsidRPr="00646D32">
        <w:rPr>
          <w:b w:val="0"/>
          <w:bCs/>
          <w:szCs w:val="24"/>
        </w:rPr>
        <w:t>3.1</w:t>
      </w:r>
      <w:r>
        <w:rPr>
          <w:b w:val="0"/>
          <w:bCs/>
          <w:szCs w:val="24"/>
        </w:rPr>
        <w:tab/>
      </w:r>
      <w:r w:rsidRPr="00ED0A9E">
        <w:rPr>
          <w:b w:val="0"/>
          <w:sz w:val="24"/>
        </w:rPr>
        <w:t>议程（</w:t>
      </w:r>
      <w:r w:rsidRPr="00ED0A9E">
        <w:rPr>
          <w:b w:val="0"/>
          <w:sz w:val="24"/>
        </w:rPr>
        <w:t>CWG SFP/01</w:t>
      </w:r>
      <w:r w:rsidRPr="00ED0A9E">
        <w:rPr>
          <w:b w:val="0"/>
          <w:sz w:val="24"/>
        </w:rPr>
        <w:t>号文件）在没有</w:t>
      </w:r>
      <w:r w:rsidRPr="00ED0A9E">
        <w:rPr>
          <w:rFonts w:hint="eastAsia"/>
          <w:b w:val="0"/>
          <w:sz w:val="24"/>
        </w:rPr>
        <w:t>异议</w:t>
      </w:r>
      <w:r w:rsidRPr="00ED0A9E">
        <w:rPr>
          <w:b w:val="0"/>
          <w:sz w:val="24"/>
        </w:rPr>
        <w:t>的情况下</w:t>
      </w:r>
      <w:r>
        <w:rPr>
          <w:rFonts w:hint="eastAsia"/>
          <w:b w:val="0"/>
          <w:sz w:val="24"/>
        </w:rPr>
        <w:t>获</w:t>
      </w:r>
      <w:r>
        <w:rPr>
          <w:b w:val="0"/>
          <w:sz w:val="24"/>
        </w:rPr>
        <w:t>得</w:t>
      </w:r>
      <w:r w:rsidRPr="00ED0A9E">
        <w:rPr>
          <w:b w:val="0"/>
          <w:sz w:val="24"/>
        </w:rPr>
        <w:t>通过。</w:t>
      </w:r>
    </w:p>
    <w:p w:rsidR="00B020B5" w:rsidRPr="004B560B" w:rsidRDefault="00B020B5" w:rsidP="00B020B5">
      <w:pPr>
        <w:pStyle w:val="Heading1"/>
        <w:rPr>
          <w:rFonts w:cstheme="minorHAnsi"/>
          <w:bCs/>
          <w:szCs w:val="28"/>
        </w:rPr>
      </w:pPr>
      <w:r w:rsidRPr="004B560B">
        <w:rPr>
          <w:rFonts w:cstheme="minorHAnsi"/>
          <w:bCs/>
          <w:szCs w:val="28"/>
        </w:rPr>
        <w:t>4</w:t>
      </w:r>
      <w:r w:rsidRPr="004B560B">
        <w:rPr>
          <w:rFonts w:cstheme="minorHAnsi"/>
          <w:bCs/>
          <w:szCs w:val="28"/>
        </w:rPr>
        <w:tab/>
      </w:r>
      <w:r w:rsidRPr="004B560B">
        <w:rPr>
          <w:rFonts w:cstheme="minorHAnsi" w:hint="eastAsia"/>
          <w:bCs/>
          <w:szCs w:val="28"/>
        </w:rPr>
        <w:t>第</w:t>
      </w:r>
      <w:r w:rsidRPr="004B560B">
        <w:rPr>
          <w:rFonts w:cstheme="minorHAnsi"/>
          <w:bCs/>
          <w:szCs w:val="28"/>
        </w:rPr>
        <w:t>1384</w:t>
      </w:r>
      <w:r w:rsidRPr="004B560B">
        <w:rPr>
          <w:rFonts w:cstheme="minorHAnsi" w:hint="eastAsia"/>
          <w:bCs/>
          <w:szCs w:val="28"/>
        </w:rPr>
        <w:t>号决议</w:t>
      </w:r>
      <w:r w:rsidRPr="004B560B">
        <w:rPr>
          <w:rFonts w:cstheme="minorHAnsi"/>
          <w:bCs/>
          <w:szCs w:val="28"/>
        </w:rPr>
        <w:t>（理事会</w:t>
      </w:r>
      <w:r w:rsidRPr="004B560B">
        <w:rPr>
          <w:rFonts w:cstheme="minorHAnsi"/>
          <w:bCs/>
          <w:szCs w:val="28"/>
        </w:rPr>
        <w:t>2017</w:t>
      </w:r>
      <w:r w:rsidRPr="004B560B">
        <w:rPr>
          <w:rFonts w:cstheme="minorHAnsi" w:hint="eastAsia"/>
          <w:bCs/>
          <w:szCs w:val="28"/>
        </w:rPr>
        <w:t>年</w:t>
      </w:r>
      <w:r w:rsidRPr="004B560B">
        <w:rPr>
          <w:rFonts w:cstheme="minorHAnsi"/>
          <w:bCs/>
          <w:szCs w:val="28"/>
        </w:rPr>
        <w:t>会议）</w:t>
      </w:r>
      <w:r w:rsidRPr="004B560B">
        <w:rPr>
          <w:rFonts w:cstheme="minorHAnsi" w:hint="eastAsia"/>
          <w:bCs/>
          <w:szCs w:val="28"/>
        </w:rPr>
        <w:t>（</w:t>
      </w:r>
      <w:hyperlink r:id="rId24" w:history="1">
        <w:r w:rsidRPr="004B560B">
          <w:rPr>
            <w:rStyle w:val="Hyperlink"/>
            <w:szCs w:val="28"/>
          </w:rPr>
          <w:t>CWG-SFP-INF/1/1</w:t>
        </w:r>
      </w:hyperlink>
      <w:r w:rsidRPr="004B560B">
        <w:rPr>
          <w:rFonts w:cstheme="minorHAnsi" w:hint="eastAsia"/>
          <w:bCs/>
          <w:szCs w:val="28"/>
        </w:rPr>
        <w:t>号</w:t>
      </w:r>
      <w:r w:rsidRPr="004B560B">
        <w:rPr>
          <w:rFonts w:cstheme="minorHAnsi"/>
          <w:bCs/>
          <w:szCs w:val="28"/>
        </w:rPr>
        <w:t>文件</w:t>
      </w:r>
      <w:r w:rsidRPr="004B560B">
        <w:rPr>
          <w:rFonts w:cstheme="minorHAnsi" w:hint="eastAsia"/>
          <w:bCs/>
          <w:szCs w:val="28"/>
        </w:rPr>
        <w:t>）的概述</w:t>
      </w:r>
    </w:p>
    <w:p w:rsidR="00B020B5" w:rsidRPr="00892525" w:rsidRDefault="00B020B5" w:rsidP="00B020B5">
      <w:r w:rsidRPr="00892525">
        <w:t>4.1</w:t>
      </w:r>
      <w:r w:rsidRPr="00892525">
        <w:tab/>
      </w:r>
      <w:r>
        <w:t>主席介绍了有关设立</w:t>
      </w:r>
      <w:r w:rsidRPr="00892525">
        <w:t>CWG-SFP</w:t>
      </w:r>
      <w:r>
        <w:rPr>
          <w:rFonts w:hint="eastAsia"/>
        </w:rPr>
        <w:t>的</w:t>
      </w:r>
      <w:r>
        <w:rPr>
          <w:rFonts w:hint="eastAsia"/>
          <w:lang w:val="fr-FR"/>
        </w:rPr>
        <w:t>第</w:t>
      </w:r>
      <w:r w:rsidRPr="00DE3864">
        <w:t>1384</w:t>
      </w:r>
      <w:r>
        <w:rPr>
          <w:rFonts w:hint="eastAsia"/>
          <w:lang w:val="fr-FR"/>
        </w:rPr>
        <w:t>号决议</w:t>
      </w:r>
      <w:r w:rsidRPr="00FC3564">
        <w:rPr>
          <w:rFonts w:hint="eastAsia"/>
          <w:szCs w:val="24"/>
        </w:rPr>
        <w:t>（</w:t>
      </w:r>
      <w:r w:rsidRPr="00FC3564">
        <w:rPr>
          <w:rFonts w:cstheme="minorHAnsi" w:hint="eastAsia"/>
        </w:rPr>
        <w:t>理事会</w:t>
      </w:r>
      <w:r w:rsidRPr="00FC3564">
        <w:rPr>
          <w:rFonts w:cstheme="minorHAnsi"/>
        </w:rPr>
        <w:t>2017</w:t>
      </w:r>
      <w:r w:rsidRPr="00FC3564">
        <w:rPr>
          <w:rFonts w:cstheme="minorHAnsi" w:hint="eastAsia"/>
        </w:rPr>
        <w:t>年会议</w:t>
      </w:r>
      <w:r w:rsidRPr="00FC3564">
        <w:rPr>
          <w:rFonts w:hint="eastAsia"/>
          <w:szCs w:val="24"/>
        </w:rPr>
        <w:t>）</w:t>
      </w:r>
      <w:r>
        <w:rPr>
          <w:rFonts w:hint="eastAsia"/>
          <w:szCs w:val="24"/>
        </w:rPr>
        <w:t>。工作组同意在主席报告中加入澄清的内容，即，规划草案将首先在四月召开的</w:t>
      </w:r>
      <w:r>
        <w:rPr>
          <w:rFonts w:cstheme="minorHAnsi" w:hint="eastAsia"/>
          <w:bCs/>
        </w:rPr>
        <w:t>理事会</w:t>
      </w:r>
      <w:r>
        <w:rPr>
          <w:rFonts w:cstheme="minorHAnsi"/>
          <w:bCs/>
        </w:rPr>
        <w:t>201</w:t>
      </w:r>
      <w:r>
        <w:rPr>
          <w:rFonts w:cstheme="minorHAnsi" w:hint="eastAsia"/>
          <w:bCs/>
        </w:rPr>
        <w:t>8</w:t>
      </w:r>
      <w:r>
        <w:rPr>
          <w:rFonts w:cstheme="minorHAnsi" w:hint="eastAsia"/>
          <w:bCs/>
        </w:rPr>
        <w:t>年例会上进行介绍并获得批准。</w:t>
      </w:r>
    </w:p>
    <w:p w:rsidR="00B020B5" w:rsidRPr="00F9668B" w:rsidRDefault="00B020B5" w:rsidP="00B020B5">
      <w:pPr>
        <w:pStyle w:val="Heading1"/>
        <w:rPr>
          <w:szCs w:val="28"/>
        </w:rPr>
      </w:pPr>
      <w:r w:rsidRPr="00F9668B">
        <w:rPr>
          <w:szCs w:val="28"/>
        </w:rPr>
        <w:t>5</w:t>
      </w:r>
      <w:r w:rsidRPr="00F9668B">
        <w:rPr>
          <w:szCs w:val="28"/>
        </w:rPr>
        <w:tab/>
      </w:r>
      <w:r w:rsidRPr="00F9668B">
        <w:rPr>
          <w:rFonts w:hint="eastAsia"/>
          <w:szCs w:val="28"/>
        </w:rPr>
        <w:t>有关</w:t>
      </w:r>
      <w:r w:rsidRPr="00F9668B">
        <w:rPr>
          <w:rFonts w:hint="eastAsia"/>
          <w:szCs w:val="28"/>
          <w:lang w:val="fr-FR"/>
        </w:rPr>
        <w:t>制定国际电联</w:t>
      </w:r>
      <w:r w:rsidRPr="00F9668B">
        <w:rPr>
          <w:szCs w:val="28"/>
        </w:rPr>
        <w:t>2020-2023</w:t>
      </w:r>
      <w:r w:rsidRPr="00F9668B">
        <w:rPr>
          <w:rFonts w:hint="eastAsia"/>
          <w:szCs w:val="28"/>
          <w:lang w:val="fr-FR"/>
        </w:rPr>
        <w:t>年《战略规划》和《财务规划》拟议进程的介绍</w:t>
      </w:r>
      <w:r w:rsidRPr="00F9668B">
        <w:rPr>
          <w:rFonts w:hint="eastAsia"/>
          <w:szCs w:val="28"/>
        </w:rPr>
        <w:t>（</w:t>
      </w:r>
      <w:hyperlink r:id="rId25" w:history="1">
        <w:r w:rsidRPr="00F9668B">
          <w:rPr>
            <w:rStyle w:val="Hyperlink"/>
            <w:rFonts w:cstheme="minorHAnsi"/>
            <w:szCs w:val="28"/>
          </w:rPr>
          <w:t>CWG SFP/02</w:t>
        </w:r>
      </w:hyperlink>
      <w:r w:rsidRPr="00F9668B">
        <w:rPr>
          <w:rFonts w:hint="eastAsia"/>
          <w:szCs w:val="28"/>
        </w:rPr>
        <w:t>号文件）</w:t>
      </w:r>
    </w:p>
    <w:p w:rsidR="00B020B5" w:rsidRPr="00B921F9" w:rsidRDefault="00B020B5" w:rsidP="00B020B5">
      <w:r w:rsidRPr="00B921F9">
        <w:t>5.1</w:t>
      </w:r>
      <w:r>
        <w:tab/>
      </w:r>
      <w:r>
        <w:t>秘书处</w:t>
      </w:r>
      <w:r w:rsidRPr="00DD6C69">
        <w:rPr>
          <w:rFonts w:hint="eastAsia"/>
        </w:rPr>
        <w:t>（</w:t>
      </w:r>
      <w:r w:rsidRPr="00B921F9">
        <w:t>SPM/CSD</w:t>
      </w:r>
      <w:r>
        <w:rPr>
          <w:rFonts w:hint="eastAsia"/>
        </w:rPr>
        <w:t>的</w:t>
      </w:r>
      <w:r>
        <w:t>处长</w:t>
      </w:r>
      <w:r w:rsidRPr="00DD6C69">
        <w:rPr>
          <w:rFonts w:hint="eastAsia"/>
        </w:rPr>
        <w:t>）介绍了制定这两个规划的拟议进程和时间表。此介绍包括：</w:t>
      </w:r>
    </w:p>
    <w:p w:rsidR="00B020B5" w:rsidRPr="00654940" w:rsidRDefault="00B020B5" w:rsidP="00B020B5">
      <w:pPr>
        <w:pStyle w:val="enumlev1"/>
      </w:pPr>
      <w:r w:rsidRPr="00B921F9">
        <w:t>•</w:t>
      </w:r>
      <w:r>
        <w:tab/>
      </w:r>
      <w:r>
        <w:t>对</w:t>
      </w:r>
      <w:r w:rsidRPr="00654940">
        <w:t>2016-2019</w:t>
      </w:r>
      <w:r>
        <w:t>年现行战略框架的介绍，</w:t>
      </w:r>
      <w:r>
        <w:rPr>
          <w:rFonts w:hint="eastAsia"/>
        </w:rPr>
        <w:t>说明</w:t>
      </w:r>
      <w:r>
        <w:t>哪些是新引入的元素，而且在实施中可汲取哪些教</w:t>
      </w:r>
      <w:r>
        <w:rPr>
          <w:rFonts w:hint="eastAsia"/>
        </w:rPr>
        <w:t>训</w:t>
      </w:r>
      <w:r>
        <w:t>；</w:t>
      </w:r>
    </w:p>
    <w:p w:rsidR="00B020B5" w:rsidRPr="00654940" w:rsidRDefault="00B020B5" w:rsidP="00B020B5">
      <w:pPr>
        <w:pStyle w:val="enumlev1"/>
      </w:pPr>
      <w:r w:rsidRPr="00B921F9">
        <w:t>•</w:t>
      </w:r>
      <w:r>
        <w:tab/>
      </w:r>
      <w:r>
        <w:rPr>
          <w:rFonts w:hint="eastAsia"/>
        </w:rPr>
        <w:t>描述</w:t>
      </w:r>
      <w:r>
        <w:t>了在制定</w:t>
      </w:r>
      <w:r>
        <w:rPr>
          <w:rFonts w:hint="eastAsia"/>
        </w:rPr>
        <w:t>《</w:t>
      </w:r>
      <w:r>
        <w:t>财务规划</w:t>
      </w:r>
      <w:r>
        <w:rPr>
          <w:rFonts w:hint="eastAsia"/>
        </w:rPr>
        <w:t>》</w:t>
      </w:r>
      <w:r>
        <w:t>草案</w:t>
      </w:r>
      <w:r>
        <w:rPr>
          <w:rFonts w:hint="eastAsia"/>
        </w:rPr>
        <w:t>时将</w:t>
      </w:r>
      <w:r>
        <w:t>遵循</w:t>
      </w:r>
      <w:r>
        <w:rPr>
          <w:rFonts w:hint="eastAsia"/>
        </w:rPr>
        <w:t>的</w:t>
      </w:r>
      <w:r>
        <w:t>进程；</w:t>
      </w:r>
    </w:p>
    <w:p w:rsidR="00B020B5" w:rsidRPr="00654940" w:rsidRDefault="00B020B5" w:rsidP="00B020B5">
      <w:pPr>
        <w:pStyle w:val="enumlev1"/>
      </w:pPr>
      <w:r w:rsidRPr="00B921F9">
        <w:t>•</w:t>
      </w:r>
      <w:r>
        <w:tab/>
      </w:r>
      <w:r>
        <w:rPr>
          <w:rFonts w:hint="eastAsia"/>
        </w:rPr>
        <w:t>在制定《战略规划》时需予以考虑的</w:t>
      </w:r>
      <w:r>
        <w:t>重</w:t>
      </w:r>
      <w:r>
        <w:rPr>
          <w:rFonts w:hint="eastAsia"/>
        </w:rPr>
        <w:t>大</w:t>
      </w:r>
      <w:r>
        <w:t>进展。</w:t>
      </w:r>
    </w:p>
    <w:p w:rsidR="00B020B5" w:rsidRPr="00B921F9" w:rsidRDefault="00B020B5" w:rsidP="00B020B5">
      <w:r w:rsidRPr="00B921F9">
        <w:t>5.2</w:t>
      </w:r>
      <w:r w:rsidRPr="00B921F9">
        <w:tab/>
      </w:r>
      <w:r>
        <w:t>工作组注意到新的技术趋势以及</w:t>
      </w:r>
      <w:r w:rsidRPr="00B921F9">
        <w:t>2030</w:t>
      </w:r>
      <w:r>
        <w:t>议程，其中包括可持续发展目标及具体目标，而且在制定战略规划</w:t>
      </w:r>
      <w:r>
        <w:rPr>
          <w:rFonts w:hint="eastAsia"/>
        </w:rPr>
        <w:t>时需</w:t>
      </w:r>
      <w:r>
        <w:t>充分考虑上述内容的必要性。</w:t>
      </w:r>
    </w:p>
    <w:p w:rsidR="00B020B5" w:rsidRPr="00654940" w:rsidRDefault="00B020B5" w:rsidP="00B020B5">
      <w:r w:rsidRPr="00B921F9">
        <w:t>5.3</w:t>
      </w:r>
      <w:r w:rsidRPr="00B921F9">
        <w:tab/>
      </w:r>
      <w:r>
        <w:t>工作组对</w:t>
      </w:r>
      <w:r w:rsidRPr="00B921F9">
        <w:t>CWG-SFP</w:t>
      </w:r>
      <w:r>
        <w:t>会议的</w:t>
      </w:r>
      <w:r>
        <w:rPr>
          <w:rFonts w:hint="eastAsia"/>
        </w:rPr>
        <w:t>时间</w:t>
      </w:r>
      <w:r>
        <w:t>安排达成</w:t>
      </w:r>
      <w:r>
        <w:rPr>
          <w:rFonts w:hint="eastAsia"/>
        </w:rPr>
        <w:t>一致如下</w:t>
      </w:r>
      <w:r>
        <w:t>：</w:t>
      </w:r>
    </w:p>
    <w:p w:rsidR="00B020B5" w:rsidRPr="00654940" w:rsidRDefault="00B020B5" w:rsidP="00B020B5">
      <w:pPr>
        <w:pStyle w:val="enumlev1"/>
      </w:pPr>
      <w:r w:rsidRPr="00B921F9">
        <w:t>•</w:t>
      </w:r>
      <w:r>
        <w:tab/>
      </w:r>
      <w:r>
        <w:rPr>
          <w:rFonts w:hint="eastAsia"/>
        </w:rPr>
        <w:t>第</w:t>
      </w:r>
      <w:r w:rsidRPr="00654940">
        <w:t>2</w:t>
      </w:r>
      <w:r>
        <w:t>次会议：在</w:t>
      </w:r>
      <w:r w:rsidRPr="00654940">
        <w:t>2017</w:t>
      </w:r>
      <w:r>
        <w:t>年</w:t>
      </w:r>
      <w:r>
        <w:t>9</w:t>
      </w:r>
      <w:r>
        <w:t>月</w:t>
      </w:r>
      <w:r>
        <w:rPr>
          <w:rFonts w:hint="eastAsia"/>
        </w:rPr>
        <w:t>理事会工作组集中开</w:t>
      </w:r>
      <w:r w:rsidRPr="00A175B9">
        <w:rPr>
          <w:rFonts w:hint="eastAsia"/>
        </w:rPr>
        <w:t>会</w:t>
      </w:r>
      <w:r>
        <w:rPr>
          <w:rFonts w:hint="eastAsia"/>
        </w:rPr>
        <w:t>期间召开一次</w:t>
      </w:r>
      <w:r>
        <w:rPr>
          <w:rFonts w:hint="eastAsia"/>
        </w:rPr>
        <w:t>2</w:t>
      </w:r>
      <w:r>
        <w:rPr>
          <w:rFonts w:hint="eastAsia"/>
        </w:rPr>
        <w:t>天的会议；</w:t>
      </w:r>
    </w:p>
    <w:p w:rsidR="00B020B5" w:rsidRPr="00654940" w:rsidRDefault="00B020B5" w:rsidP="00B020B5">
      <w:pPr>
        <w:pStyle w:val="enumlev1"/>
      </w:pPr>
      <w:r w:rsidRPr="00B921F9">
        <w:t>•</w:t>
      </w:r>
      <w:r>
        <w:tab/>
      </w:r>
      <w:r>
        <w:rPr>
          <w:rFonts w:hint="eastAsia"/>
        </w:rPr>
        <w:t>第</w:t>
      </w:r>
      <w:r w:rsidRPr="00654940">
        <w:t>3</w:t>
      </w:r>
      <w:r>
        <w:rPr>
          <w:rFonts w:hint="eastAsia"/>
        </w:rPr>
        <w:t>次会议：在</w:t>
      </w:r>
      <w:r>
        <w:t>201</w:t>
      </w:r>
      <w:r>
        <w:rPr>
          <w:rFonts w:hint="eastAsia"/>
        </w:rPr>
        <w:t>8</w:t>
      </w:r>
      <w:r>
        <w:rPr>
          <w:rFonts w:hint="eastAsia"/>
        </w:rPr>
        <w:t>年</w:t>
      </w:r>
      <w:r>
        <w:rPr>
          <w:rFonts w:hint="eastAsia"/>
        </w:rPr>
        <w:t>1</w:t>
      </w:r>
      <w:r>
        <w:rPr>
          <w:rFonts w:hint="eastAsia"/>
        </w:rPr>
        <w:t>月</w:t>
      </w:r>
      <w:r>
        <w:rPr>
          <w:rFonts w:hint="eastAsia"/>
        </w:rPr>
        <w:t>/2</w:t>
      </w:r>
      <w:r>
        <w:rPr>
          <w:rFonts w:hint="eastAsia"/>
        </w:rPr>
        <w:t>月理事会工作组集中开会期间召开一次</w:t>
      </w:r>
      <w:r>
        <w:t>2</w:t>
      </w:r>
      <w:r>
        <w:rPr>
          <w:rFonts w:hint="eastAsia"/>
        </w:rPr>
        <w:t>天的会议；</w:t>
      </w:r>
    </w:p>
    <w:p w:rsidR="00B020B5" w:rsidRPr="00654940" w:rsidRDefault="00B020B5" w:rsidP="00B020B5">
      <w:pPr>
        <w:pStyle w:val="enumlev1"/>
      </w:pPr>
      <w:r w:rsidRPr="00B921F9">
        <w:t>•</w:t>
      </w:r>
      <w:r>
        <w:tab/>
      </w:r>
      <w:r>
        <w:rPr>
          <w:rFonts w:hint="eastAsia"/>
        </w:rPr>
        <w:t>第</w:t>
      </w:r>
      <w:r w:rsidRPr="00654940">
        <w:t>4</w:t>
      </w:r>
      <w:r>
        <w:rPr>
          <w:rFonts w:hint="eastAsia"/>
        </w:rPr>
        <w:t>次会议：在理事会</w:t>
      </w:r>
      <w:r>
        <w:t>201</w:t>
      </w:r>
      <w:r>
        <w:rPr>
          <w:rFonts w:hint="eastAsia"/>
        </w:rPr>
        <w:t>8</w:t>
      </w:r>
      <w:r>
        <w:rPr>
          <w:rFonts w:hint="eastAsia"/>
        </w:rPr>
        <w:t>年会议期间召开一次</w:t>
      </w:r>
      <w:r>
        <w:rPr>
          <w:rFonts w:hint="eastAsia"/>
        </w:rPr>
        <w:t>1</w:t>
      </w:r>
      <w:r>
        <w:rPr>
          <w:rFonts w:hint="eastAsia"/>
        </w:rPr>
        <w:t>天或</w:t>
      </w:r>
      <w:r>
        <w:t>2</w:t>
      </w:r>
      <w:r>
        <w:rPr>
          <w:rFonts w:hint="eastAsia"/>
        </w:rPr>
        <w:t>天的会议。</w:t>
      </w:r>
    </w:p>
    <w:p w:rsidR="00B020B5" w:rsidRPr="00B921F9" w:rsidRDefault="00B020B5" w:rsidP="00B020B5">
      <w:r>
        <w:t>5.4</w:t>
      </w:r>
      <w:r w:rsidRPr="00B921F9">
        <w:tab/>
      </w:r>
      <w:r>
        <w:rPr>
          <w:rFonts w:hint="eastAsia"/>
        </w:rPr>
        <w:t>工作组同意需要进行国际电联六种正式语文的口译和笔译服务，同时需要出台</w:t>
      </w:r>
      <w:r w:rsidRPr="00B921F9">
        <w:t>CWG-SFP</w:t>
      </w:r>
      <w:r>
        <w:rPr>
          <w:rFonts w:hint="eastAsia"/>
        </w:rPr>
        <w:t>所有会议的高效远程参与机制。</w:t>
      </w:r>
    </w:p>
    <w:p w:rsidR="00B020B5" w:rsidRPr="00C76DA0" w:rsidRDefault="00B020B5" w:rsidP="00B020B5">
      <w:pPr>
        <w:pStyle w:val="Heading1"/>
        <w:rPr>
          <w:rFonts w:cstheme="minorHAnsi"/>
          <w:bCs/>
          <w:szCs w:val="28"/>
        </w:rPr>
      </w:pPr>
      <w:r w:rsidRPr="00C76DA0">
        <w:rPr>
          <w:rFonts w:cstheme="minorHAnsi"/>
          <w:bCs/>
          <w:szCs w:val="28"/>
        </w:rPr>
        <w:lastRenderedPageBreak/>
        <w:t>6</w:t>
      </w:r>
      <w:r w:rsidRPr="00C76DA0">
        <w:rPr>
          <w:rFonts w:cstheme="minorHAnsi"/>
          <w:bCs/>
          <w:szCs w:val="28"/>
        </w:rPr>
        <w:tab/>
      </w:r>
      <w:r w:rsidRPr="00C76DA0">
        <w:rPr>
          <w:rFonts w:cstheme="minorHAnsi" w:hint="eastAsia"/>
          <w:bCs/>
          <w:szCs w:val="28"/>
        </w:rPr>
        <w:t>审议国际电联</w:t>
      </w:r>
      <w:r w:rsidRPr="00C76DA0">
        <w:rPr>
          <w:rFonts w:cstheme="minorHAnsi" w:hint="eastAsia"/>
          <w:bCs/>
          <w:szCs w:val="28"/>
        </w:rPr>
        <w:t>2016-2019</w:t>
      </w:r>
      <w:r w:rsidRPr="00C76DA0">
        <w:rPr>
          <w:rFonts w:cstheme="minorHAnsi" w:hint="eastAsia"/>
          <w:bCs/>
          <w:szCs w:val="28"/>
        </w:rPr>
        <w:t>年战略规划、第</w:t>
      </w:r>
      <w:r w:rsidRPr="00C76DA0">
        <w:rPr>
          <w:rFonts w:cstheme="minorHAnsi"/>
          <w:bCs/>
          <w:szCs w:val="28"/>
        </w:rPr>
        <w:t>71</w:t>
      </w:r>
      <w:r w:rsidRPr="00C76DA0">
        <w:rPr>
          <w:rFonts w:cstheme="minorHAnsi" w:hint="eastAsia"/>
          <w:bCs/>
          <w:szCs w:val="28"/>
        </w:rPr>
        <w:t>、</w:t>
      </w:r>
      <w:r w:rsidRPr="00C76DA0">
        <w:rPr>
          <w:rFonts w:cstheme="minorHAnsi"/>
          <w:bCs/>
          <w:szCs w:val="28"/>
        </w:rPr>
        <w:t>72</w:t>
      </w:r>
      <w:r w:rsidRPr="00C76DA0">
        <w:rPr>
          <w:rFonts w:cstheme="minorHAnsi" w:hint="eastAsia"/>
          <w:bCs/>
          <w:szCs w:val="28"/>
        </w:rPr>
        <w:t>、</w:t>
      </w:r>
      <w:r w:rsidRPr="00C76DA0">
        <w:rPr>
          <w:rFonts w:cstheme="minorHAnsi"/>
          <w:bCs/>
          <w:szCs w:val="28"/>
        </w:rPr>
        <w:t>151</w:t>
      </w:r>
      <w:r w:rsidRPr="00C76DA0">
        <w:rPr>
          <w:rFonts w:cstheme="minorHAnsi" w:hint="eastAsia"/>
          <w:bCs/>
          <w:szCs w:val="28"/>
        </w:rPr>
        <w:t>、</w:t>
      </w:r>
      <w:r w:rsidRPr="00C76DA0">
        <w:rPr>
          <w:rFonts w:cstheme="minorHAnsi"/>
          <w:bCs/>
          <w:szCs w:val="28"/>
        </w:rPr>
        <w:t>191</w:t>
      </w:r>
      <w:r w:rsidRPr="00C76DA0">
        <w:rPr>
          <w:rFonts w:cstheme="minorHAnsi" w:hint="eastAsia"/>
          <w:bCs/>
          <w:szCs w:val="28"/>
        </w:rPr>
        <w:t>、</w:t>
      </w:r>
      <w:r w:rsidRPr="00C76DA0">
        <w:rPr>
          <w:rFonts w:cstheme="minorHAnsi"/>
          <w:bCs/>
          <w:szCs w:val="28"/>
        </w:rPr>
        <w:t>200</w:t>
      </w:r>
      <w:r w:rsidRPr="00C76DA0">
        <w:rPr>
          <w:rFonts w:cstheme="minorHAnsi" w:hint="eastAsia"/>
          <w:bCs/>
          <w:szCs w:val="28"/>
        </w:rPr>
        <w:t>号决议（</w:t>
      </w:r>
      <w:hyperlink r:id="rId26" w:history="1">
        <w:r w:rsidRPr="00C76DA0">
          <w:rPr>
            <w:rStyle w:val="Hyperlink"/>
            <w:szCs w:val="28"/>
          </w:rPr>
          <w:t>CWG-SFP-INF/1/2</w:t>
        </w:r>
      </w:hyperlink>
      <w:r w:rsidRPr="00C76DA0">
        <w:rPr>
          <w:rFonts w:cstheme="minorHAnsi" w:hint="eastAsia"/>
          <w:bCs/>
          <w:szCs w:val="28"/>
        </w:rPr>
        <w:t>）和</w:t>
      </w:r>
      <w:r w:rsidRPr="00C76DA0">
        <w:rPr>
          <w:rFonts w:cstheme="minorHAnsi" w:hint="eastAsia"/>
          <w:bCs/>
          <w:szCs w:val="28"/>
        </w:rPr>
        <w:t>2020-2023</w:t>
      </w:r>
      <w:r w:rsidRPr="00C76DA0">
        <w:rPr>
          <w:rFonts w:cstheme="minorHAnsi" w:hint="eastAsia"/>
          <w:bCs/>
          <w:szCs w:val="28"/>
        </w:rPr>
        <w:t>年战略规划的结构（</w:t>
      </w:r>
      <w:hyperlink r:id="rId27" w:history="1">
        <w:r w:rsidRPr="00C76DA0">
          <w:rPr>
            <w:rStyle w:val="Hyperlink"/>
            <w:szCs w:val="28"/>
            <w:lang w:val="en-CA"/>
          </w:rPr>
          <w:t>CWG-SFP-1/3</w:t>
        </w:r>
      </w:hyperlink>
      <w:r w:rsidRPr="00C76DA0">
        <w:rPr>
          <w:rFonts w:cstheme="minorHAnsi" w:hint="eastAsia"/>
          <w:bCs/>
          <w:szCs w:val="28"/>
        </w:rPr>
        <w:t>）</w:t>
      </w:r>
    </w:p>
    <w:p w:rsidR="00B020B5" w:rsidRPr="00654940" w:rsidRDefault="00B020B5" w:rsidP="00B020B5">
      <w:pPr>
        <w:snapToGrid w:val="0"/>
        <w:jc w:val="both"/>
        <w:rPr>
          <w:rFonts w:cstheme="minorHAnsi"/>
          <w:szCs w:val="24"/>
        </w:rPr>
      </w:pPr>
      <w:r w:rsidRPr="00654940">
        <w:rPr>
          <w:rFonts w:cstheme="minorHAnsi"/>
          <w:szCs w:val="24"/>
        </w:rPr>
        <w:t>6.1</w:t>
      </w:r>
      <w:r w:rsidRPr="00654940">
        <w:rPr>
          <w:rFonts w:cstheme="minorHAnsi"/>
          <w:szCs w:val="24"/>
        </w:rPr>
        <w:tab/>
      </w:r>
      <w:r>
        <w:rPr>
          <w:rFonts w:cstheme="minorHAnsi" w:hint="eastAsia"/>
          <w:szCs w:val="24"/>
        </w:rPr>
        <w:t>工作组同意在</w:t>
      </w:r>
      <w:r w:rsidRPr="00B921F9">
        <w:t>CWG-SFP</w:t>
      </w:r>
      <w:r>
        <w:rPr>
          <w:rFonts w:cstheme="minorHAnsi" w:hint="eastAsia"/>
          <w:szCs w:val="24"/>
        </w:rPr>
        <w:t>工作中纳入关于修订全权代表大会第</w:t>
      </w:r>
      <w:r>
        <w:rPr>
          <w:rFonts w:cstheme="minorHAnsi"/>
          <w:szCs w:val="24"/>
        </w:rPr>
        <w:t>71</w:t>
      </w:r>
      <w:r>
        <w:rPr>
          <w:rFonts w:cstheme="minorHAnsi" w:hint="eastAsia"/>
          <w:szCs w:val="24"/>
        </w:rPr>
        <w:t>、</w:t>
      </w:r>
      <w:r>
        <w:rPr>
          <w:rFonts w:cstheme="minorHAnsi"/>
          <w:szCs w:val="24"/>
        </w:rPr>
        <w:t>72</w:t>
      </w:r>
      <w:r>
        <w:rPr>
          <w:rFonts w:cstheme="minorHAnsi" w:hint="eastAsia"/>
          <w:szCs w:val="24"/>
        </w:rPr>
        <w:t>、</w:t>
      </w:r>
      <w:r>
        <w:rPr>
          <w:rFonts w:cstheme="minorHAnsi"/>
          <w:szCs w:val="24"/>
        </w:rPr>
        <w:t>151</w:t>
      </w:r>
      <w:r>
        <w:rPr>
          <w:rFonts w:cstheme="minorHAnsi" w:hint="eastAsia"/>
          <w:szCs w:val="24"/>
        </w:rPr>
        <w:t>、</w:t>
      </w:r>
      <w:r w:rsidRPr="00654940">
        <w:rPr>
          <w:rFonts w:cstheme="minorHAnsi"/>
          <w:szCs w:val="24"/>
        </w:rPr>
        <w:t>191</w:t>
      </w:r>
      <w:r>
        <w:rPr>
          <w:rFonts w:cstheme="minorHAnsi" w:hint="eastAsia"/>
          <w:szCs w:val="24"/>
        </w:rPr>
        <w:t>和</w:t>
      </w:r>
      <w:r>
        <w:rPr>
          <w:rFonts w:cstheme="minorHAnsi"/>
          <w:szCs w:val="24"/>
        </w:rPr>
        <w:t>200</w:t>
      </w:r>
      <w:r>
        <w:rPr>
          <w:rFonts w:cstheme="minorHAnsi" w:hint="eastAsia"/>
          <w:szCs w:val="24"/>
        </w:rPr>
        <w:t>号决议的工作，以使其与新战略规划相吻合。</w:t>
      </w:r>
    </w:p>
    <w:p w:rsidR="00B020B5" w:rsidRPr="00654940" w:rsidRDefault="00B020B5" w:rsidP="00B020B5">
      <w:pPr>
        <w:snapToGrid w:val="0"/>
        <w:jc w:val="both"/>
        <w:rPr>
          <w:rFonts w:cstheme="minorHAnsi"/>
          <w:szCs w:val="24"/>
        </w:rPr>
      </w:pPr>
      <w:r w:rsidRPr="00654940">
        <w:rPr>
          <w:rFonts w:cstheme="minorHAnsi"/>
          <w:szCs w:val="24"/>
        </w:rPr>
        <w:t>6.2</w:t>
      </w:r>
      <w:r w:rsidRPr="00654940">
        <w:rPr>
          <w:rFonts w:cstheme="minorHAnsi"/>
          <w:szCs w:val="24"/>
        </w:rPr>
        <w:tab/>
      </w:r>
      <w:r>
        <w:rPr>
          <w:rFonts w:cstheme="minorHAnsi" w:hint="eastAsia"/>
          <w:szCs w:val="24"/>
        </w:rPr>
        <w:t>2020-2023</w:t>
      </w:r>
      <w:r>
        <w:rPr>
          <w:rFonts w:cstheme="minorHAnsi" w:hint="eastAsia"/>
          <w:szCs w:val="24"/>
        </w:rPr>
        <w:t>年战略规划的拟议结构获得批准，且会议决定将该规划标为第</w:t>
      </w:r>
      <w:r>
        <w:rPr>
          <w:rFonts w:cstheme="minorHAnsi" w:hint="eastAsia"/>
          <w:szCs w:val="24"/>
        </w:rPr>
        <w:t>71</w:t>
      </w:r>
      <w:r>
        <w:rPr>
          <w:rFonts w:cstheme="minorHAnsi" w:hint="eastAsia"/>
          <w:szCs w:val="24"/>
        </w:rPr>
        <w:t>号决议附件</w:t>
      </w:r>
      <w:r>
        <w:rPr>
          <w:rFonts w:cstheme="minorHAnsi" w:hint="eastAsia"/>
          <w:szCs w:val="24"/>
        </w:rPr>
        <w:t>1</w:t>
      </w:r>
      <w:r>
        <w:rPr>
          <w:rFonts w:cstheme="minorHAnsi" w:hint="eastAsia"/>
          <w:szCs w:val="24"/>
        </w:rPr>
        <w:t>，而附件</w:t>
      </w:r>
      <w:r>
        <w:rPr>
          <w:rFonts w:cstheme="minorHAnsi" w:hint="eastAsia"/>
          <w:szCs w:val="24"/>
        </w:rPr>
        <w:t>2</w:t>
      </w:r>
      <w:r>
        <w:rPr>
          <w:rFonts w:cstheme="minorHAnsi" w:hint="eastAsia"/>
          <w:szCs w:val="24"/>
        </w:rPr>
        <w:t>则应包含背景分析。</w:t>
      </w:r>
    </w:p>
    <w:p w:rsidR="00B020B5" w:rsidRPr="00F63202" w:rsidRDefault="00B020B5" w:rsidP="00B020B5">
      <w:pPr>
        <w:pStyle w:val="Heading1"/>
        <w:rPr>
          <w:rFonts w:cstheme="minorHAnsi"/>
          <w:bCs/>
          <w:szCs w:val="28"/>
        </w:rPr>
      </w:pPr>
      <w:r w:rsidRPr="00F63202">
        <w:rPr>
          <w:rFonts w:cstheme="minorHAnsi"/>
          <w:bCs/>
          <w:szCs w:val="28"/>
        </w:rPr>
        <w:t>7</w:t>
      </w:r>
      <w:r w:rsidRPr="00F63202">
        <w:rPr>
          <w:rFonts w:cstheme="minorHAnsi"/>
          <w:bCs/>
          <w:szCs w:val="28"/>
        </w:rPr>
        <w:tab/>
      </w:r>
      <w:r w:rsidRPr="00F63202">
        <w:rPr>
          <w:rFonts w:cstheme="minorHAnsi" w:hint="eastAsia"/>
          <w:bCs/>
          <w:szCs w:val="28"/>
        </w:rPr>
        <w:t>无线电通信顾问组（</w:t>
      </w:r>
      <w:r w:rsidRPr="00F63202">
        <w:rPr>
          <w:rFonts w:cstheme="minorHAnsi" w:hint="eastAsia"/>
          <w:bCs/>
          <w:szCs w:val="28"/>
        </w:rPr>
        <w:t>RAG</w:t>
      </w:r>
      <w:r w:rsidRPr="00F63202">
        <w:rPr>
          <w:rFonts w:cstheme="minorHAnsi" w:hint="eastAsia"/>
          <w:bCs/>
          <w:szCs w:val="28"/>
        </w:rPr>
        <w:t>）的文稿（</w:t>
      </w:r>
      <w:hyperlink r:id="rId28" w:history="1">
        <w:r w:rsidRPr="00F63202">
          <w:rPr>
            <w:rStyle w:val="Hyperlink"/>
            <w:szCs w:val="28"/>
          </w:rPr>
          <w:t>CWG-SFP-INF/1/3</w:t>
        </w:r>
      </w:hyperlink>
      <w:r w:rsidRPr="00F63202">
        <w:rPr>
          <w:rFonts w:cstheme="minorHAnsi" w:hint="eastAsia"/>
          <w:bCs/>
          <w:szCs w:val="28"/>
        </w:rPr>
        <w:t>）</w:t>
      </w:r>
    </w:p>
    <w:p w:rsidR="00B020B5" w:rsidRPr="00654940" w:rsidRDefault="00B020B5" w:rsidP="00B020B5">
      <w:pPr>
        <w:snapToGrid w:val="0"/>
        <w:jc w:val="both"/>
        <w:rPr>
          <w:rFonts w:cstheme="minorHAnsi"/>
          <w:szCs w:val="24"/>
        </w:rPr>
      </w:pPr>
      <w:r w:rsidRPr="00654940">
        <w:rPr>
          <w:rFonts w:cstheme="minorHAnsi"/>
          <w:szCs w:val="24"/>
        </w:rPr>
        <w:t>7.1</w:t>
      </w:r>
      <w:r w:rsidRPr="00654940">
        <w:rPr>
          <w:rFonts w:cstheme="minorHAnsi"/>
          <w:szCs w:val="24"/>
        </w:rPr>
        <w:tab/>
      </w:r>
      <w:r>
        <w:rPr>
          <w:rFonts w:cstheme="minorHAnsi" w:hint="eastAsia"/>
          <w:szCs w:val="24"/>
        </w:rPr>
        <w:t>无线电通信局（</w:t>
      </w:r>
      <w:r>
        <w:rPr>
          <w:rFonts w:cstheme="minorHAnsi" w:hint="eastAsia"/>
          <w:szCs w:val="24"/>
        </w:rPr>
        <w:t>BR</w:t>
      </w:r>
      <w:r>
        <w:rPr>
          <w:rFonts w:cstheme="minorHAnsi" w:hint="eastAsia"/>
          <w:szCs w:val="24"/>
        </w:rPr>
        <w:t>）主任介绍了</w:t>
      </w:r>
      <w:r>
        <w:rPr>
          <w:rFonts w:cstheme="minorHAnsi" w:hint="eastAsia"/>
          <w:szCs w:val="24"/>
        </w:rPr>
        <w:t>RAG</w:t>
      </w:r>
      <w:r>
        <w:rPr>
          <w:rFonts w:cstheme="minorHAnsi" w:hint="eastAsia"/>
          <w:szCs w:val="24"/>
        </w:rPr>
        <w:t>提交理事会</w:t>
      </w:r>
      <w:r>
        <w:rPr>
          <w:rFonts w:cstheme="minorHAnsi" w:hint="eastAsia"/>
          <w:szCs w:val="24"/>
        </w:rPr>
        <w:t>2017</w:t>
      </w:r>
      <w:r>
        <w:rPr>
          <w:rFonts w:cstheme="minorHAnsi" w:hint="eastAsia"/>
          <w:szCs w:val="24"/>
        </w:rPr>
        <w:t>年会议的文稿（</w:t>
      </w:r>
      <w:hyperlink r:id="rId29" w:history="1">
        <w:r w:rsidRPr="00654940">
          <w:rPr>
            <w:szCs w:val="24"/>
          </w:rPr>
          <w:t>C17/111</w:t>
        </w:r>
      </w:hyperlink>
      <w:r>
        <w:rPr>
          <w:rFonts w:hint="eastAsia"/>
          <w:szCs w:val="24"/>
        </w:rPr>
        <w:t>号文件），该文件要求将下列方面予以考虑：</w:t>
      </w:r>
      <w:r w:rsidRPr="00654940">
        <w:rPr>
          <w:rFonts w:cstheme="minorHAnsi"/>
          <w:szCs w:val="24"/>
        </w:rPr>
        <w:t>ITU-R</w:t>
      </w:r>
      <w:r>
        <w:rPr>
          <w:rFonts w:cstheme="minorHAnsi" w:hint="eastAsia"/>
          <w:szCs w:val="24"/>
        </w:rPr>
        <w:t>部门目标与无线电通信局目标之间的区分；各指标数据来源的可信度。</w:t>
      </w:r>
    </w:p>
    <w:p w:rsidR="00B020B5" w:rsidRPr="00654940" w:rsidRDefault="00B020B5" w:rsidP="00B020B5">
      <w:pPr>
        <w:snapToGrid w:val="0"/>
        <w:jc w:val="both"/>
        <w:rPr>
          <w:rFonts w:cstheme="minorHAnsi"/>
          <w:szCs w:val="24"/>
        </w:rPr>
      </w:pPr>
      <w:r w:rsidRPr="00654940">
        <w:rPr>
          <w:rFonts w:cstheme="minorHAnsi"/>
          <w:szCs w:val="24"/>
        </w:rPr>
        <w:t>7.2</w:t>
      </w:r>
      <w:r w:rsidRPr="00654940">
        <w:rPr>
          <w:rFonts w:cstheme="minorHAnsi"/>
          <w:szCs w:val="24"/>
        </w:rPr>
        <w:tab/>
      </w:r>
      <w:r>
        <w:rPr>
          <w:rFonts w:cstheme="minorHAnsi" w:hint="eastAsia"/>
          <w:szCs w:val="24"/>
        </w:rPr>
        <w:t>相关方面提议，</w:t>
      </w:r>
      <w:r>
        <w:rPr>
          <w:rFonts w:cstheme="minorHAnsi" w:hint="eastAsia"/>
          <w:szCs w:val="24"/>
        </w:rPr>
        <w:t>RAG</w:t>
      </w:r>
      <w:r>
        <w:rPr>
          <w:rFonts w:cstheme="minorHAnsi" w:hint="eastAsia"/>
          <w:szCs w:val="24"/>
        </w:rPr>
        <w:t>成立一个信函组来讨论</w:t>
      </w:r>
      <w:r>
        <w:rPr>
          <w:rFonts w:cstheme="minorHAnsi" w:hint="eastAsia"/>
          <w:szCs w:val="24"/>
        </w:rPr>
        <w:t>ITU-R</w:t>
      </w:r>
      <w:r>
        <w:rPr>
          <w:rFonts w:cstheme="minorHAnsi" w:hint="eastAsia"/>
          <w:szCs w:val="24"/>
        </w:rPr>
        <w:t>为国际电联战略规划提供的输入意见。秘书处将向</w:t>
      </w:r>
      <w:r>
        <w:rPr>
          <w:rFonts w:cstheme="minorHAnsi" w:hint="eastAsia"/>
          <w:szCs w:val="24"/>
        </w:rPr>
        <w:t>RAG</w:t>
      </w:r>
      <w:r>
        <w:rPr>
          <w:rFonts w:cstheme="minorHAnsi" w:hint="eastAsia"/>
          <w:szCs w:val="24"/>
        </w:rPr>
        <w:t>主席转达这一建议，且支持成立上述信函组。</w:t>
      </w:r>
    </w:p>
    <w:p w:rsidR="00B020B5" w:rsidRPr="00654940" w:rsidRDefault="00B020B5" w:rsidP="00B020B5">
      <w:pPr>
        <w:snapToGrid w:val="0"/>
        <w:jc w:val="both"/>
        <w:rPr>
          <w:rFonts w:cstheme="minorHAnsi"/>
          <w:szCs w:val="24"/>
        </w:rPr>
      </w:pPr>
      <w:r w:rsidRPr="00654940">
        <w:rPr>
          <w:rFonts w:cstheme="minorHAnsi"/>
          <w:szCs w:val="24"/>
        </w:rPr>
        <w:t>7.3</w:t>
      </w:r>
      <w:r w:rsidRPr="00654940">
        <w:rPr>
          <w:rFonts w:cstheme="minorHAnsi"/>
          <w:szCs w:val="24"/>
        </w:rPr>
        <w:tab/>
      </w:r>
      <w:r>
        <w:rPr>
          <w:rFonts w:cstheme="minorHAnsi" w:hint="eastAsia"/>
          <w:szCs w:val="24"/>
        </w:rPr>
        <w:t>代表们在讨论中强调，由于局和部门的活动不同，因此难以完全将运作规划与战略规划相统一，同时有必要审议现有业绩指标，特别是《无线电规则》方面的业绩指标。</w:t>
      </w:r>
    </w:p>
    <w:p w:rsidR="00B020B5" w:rsidRPr="00DD0448" w:rsidRDefault="00B020B5" w:rsidP="00B020B5">
      <w:pPr>
        <w:pStyle w:val="Heading1"/>
      </w:pPr>
      <w:r>
        <w:t>8</w:t>
      </w:r>
      <w:r>
        <w:tab/>
      </w:r>
      <w:r>
        <w:rPr>
          <w:rFonts w:hint="eastAsia"/>
        </w:rPr>
        <w:t>电信发展顾问组（</w:t>
      </w:r>
      <w:r>
        <w:rPr>
          <w:rFonts w:hint="eastAsia"/>
        </w:rPr>
        <w:t>TDAG</w:t>
      </w:r>
      <w:r>
        <w:rPr>
          <w:rFonts w:hint="eastAsia"/>
        </w:rPr>
        <w:t>）的文稿</w:t>
      </w:r>
    </w:p>
    <w:p w:rsidR="00B020B5" w:rsidRPr="00654940" w:rsidRDefault="00B020B5" w:rsidP="00B020B5">
      <w:pPr>
        <w:snapToGrid w:val="0"/>
        <w:jc w:val="both"/>
        <w:rPr>
          <w:rFonts w:cstheme="minorHAnsi"/>
          <w:szCs w:val="24"/>
        </w:rPr>
      </w:pPr>
      <w:r w:rsidRPr="00654940">
        <w:rPr>
          <w:rFonts w:cstheme="minorHAnsi"/>
          <w:szCs w:val="24"/>
        </w:rPr>
        <w:t>8.1</w:t>
      </w:r>
      <w:r w:rsidRPr="00654940">
        <w:rPr>
          <w:rFonts w:cstheme="minorHAnsi"/>
          <w:szCs w:val="24"/>
        </w:rPr>
        <w:tab/>
      </w:r>
      <w:r>
        <w:rPr>
          <w:rFonts w:cstheme="minorHAnsi" w:hint="eastAsia"/>
          <w:szCs w:val="24"/>
        </w:rPr>
        <w:t>TDAG</w:t>
      </w:r>
      <w:r>
        <w:rPr>
          <w:rFonts w:cstheme="minorHAnsi" w:hint="eastAsia"/>
          <w:szCs w:val="24"/>
        </w:rPr>
        <w:t>战略规划、运作规划和宣言信函组主席</w:t>
      </w:r>
      <w:r w:rsidRPr="00654940">
        <w:rPr>
          <w:rFonts w:cstheme="minorHAnsi"/>
          <w:szCs w:val="24"/>
        </w:rPr>
        <w:t>Fabio Bigi</w:t>
      </w:r>
      <w:r>
        <w:rPr>
          <w:rFonts w:cstheme="minorHAnsi" w:hint="eastAsia"/>
          <w:szCs w:val="24"/>
        </w:rPr>
        <w:t>先生解释了</w:t>
      </w:r>
      <w:r>
        <w:rPr>
          <w:rFonts w:cstheme="minorHAnsi" w:hint="eastAsia"/>
          <w:szCs w:val="24"/>
        </w:rPr>
        <w:t>ITU-D</w:t>
      </w:r>
      <w:r>
        <w:rPr>
          <w:rFonts w:cstheme="minorHAnsi" w:hint="eastAsia"/>
          <w:szCs w:val="24"/>
        </w:rPr>
        <w:t>目前正在进行的关于</w:t>
      </w:r>
      <w:r>
        <w:rPr>
          <w:rFonts w:cstheme="minorHAnsi" w:hint="eastAsia"/>
          <w:szCs w:val="24"/>
        </w:rPr>
        <w:t>2017</w:t>
      </w:r>
      <w:r>
        <w:rPr>
          <w:rFonts w:cstheme="minorHAnsi" w:hint="eastAsia"/>
          <w:szCs w:val="24"/>
        </w:rPr>
        <w:t>年世界电信发展大会（</w:t>
      </w:r>
      <w:r>
        <w:rPr>
          <w:rFonts w:cstheme="minorHAnsi" w:hint="eastAsia"/>
          <w:szCs w:val="24"/>
        </w:rPr>
        <w:t>WTDC-17</w:t>
      </w:r>
      <w:r>
        <w:rPr>
          <w:rFonts w:cstheme="minorHAnsi" w:hint="eastAsia"/>
          <w:szCs w:val="24"/>
        </w:rPr>
        <w:t>）的筹备工作情况（</w:t>
      </w:r>
      <w:hyperlink r:id="rId30" w:history="1">
        <w:r w:rsidRPr="00654940">
          <w:rPr>
            <w:rStyle w:val="Hyperlink"/>
            <w:rFonts w:cstheme="minorHAnsi"/>
            <w:szCs w:val="24"/>
          </w:rPr>
          <w:t>CWG-SFP-INF/1/4</w:t>
        </w:r>
      </w:hyperlink>
      <w:r>
        <w:rPr>
          <w:rFonts w:cstheme="minorHAnsi" w:hint="eastAsia"/>
          <w:szCs w:val="24"/>
        </w:rPr>
        <w:t>号文件）。</w:t>
      </w:r>
    </w:p>
    <w:p w:rsidR="00B020B5" w:rsidRPr="00DD0448" w:rsidRDefault="00B020B5" w:rsidP="00B020B5">
      <w:pPr>
        <w:pStyle w:val="Heading1"/>
      </w:pPr>
      <w:r>
        <w:t>9</w:t>
      </w:r>
      <w:r>
        <w:tab/>
      </w:r>
      <w:r>
        <w:rPr>
          <w:rFonts w:hint="eastAsia"/>
        </w:rPr>
        <w:t>电信标准化顾问组（</w:t>
      </w:r>
      <w:r w:rsidRPr="00DD0448">
        <w:t>TSAG</w:t>
      </w:r>
      <w:r>
        <w:rPr>
          <w:rFonts w:hint="eastAsia"/>
        </w:rPr>
        <w:t>）的文稿</w:t>
      </w:r>
    </w:p>
    <w:p w:rsidR="00B020B5" w:rsidRPr="00654940" w:rsidRDefault="00B020B5" w:rsidP="00B020B5">
      <w:pPr>
        <w:snapToGrid w:val="0"/>
        <w:jc w:val="both"/>
        <w:rPr>
          <w:rFonts w:cstheme="minorHAnsi"/>
          <w:szCs w:val="24"/>
        </w:rPr>
      </w:pPr>
      <w:r w:rsidRPr="00654940">
        <w:rPr>
          <w:rFonts w:cstheme="minorHAnsi"/>
          <w:szCs w:val="24"/>
        </w:rPr>
        <w:t>9.1</w:t>
      </w:r>
      <w:r w:rsidRPr="00654940">
        <w:rPr>
          <w:rFonts w:cstheme="minorHAnsi"/>
          <w:szCs w:val="24"/>
        </w:rPr>
        <w:tab/>
        <w:t>TSAG</w:t>
      </w:r>
      <w:r>
        <w:rPr>
          <w:rFonts w:cstheme="minorHAnsi" w:hint="eastAsia"/>
          <w:szCs w:val="24"/>
        </w:rPr>
        <w:t>主席</w:t>
      </w:r>
      <w:r w:rsidRPr="00654940">
        <w:rPr>
          <w:rFonts w:cstheme="minorHAnsi"/>
          <w:szCs w:val="24"/>
        </w:rPr>
        <w:t>Bruce Gracie</w:t>
      </w:r>
      <w:r>
        <w:rPr>
          <w:rFonts w:cstheme="minorHAnsi" w:hint="eastAsia"/>
          <w:szCs w:val="24"/>
        </w:rPr>
        <w:t>先生就向工作组工作做出贡献的机制向工作组进行了说明，并表示愿意进行紧密协作。他提议在</w:t>
      </w:r>
      <w:r w:rsidRPr="00B921F9">
        <w:t>CWG-SFP</w:t>
      </w:r>
      <w:r>
        <w:rPr>
          <w:rFonts w:hint="eastAsia"/>
        </w:rPr>
        <w:t>工作中将</w:t>
      </w:r>
      <w:r>
        <w:rPr>
          <w:rFonts w:hint="eastAsia"/>
        </w:rPr>
        <w:t>TSAG</w:t>
      </w:r>
      <w:r>
        <w:rPr>
          <w:rFonts w:hint="eastAsia"/>
        </w:rPr>
        <w:t>的标准化战略举措考虑在内。他还告知工作组说，</w:t>
      </w:r>
      <w:r>
        <w:rPr>
          <w:rFonts w:hint="eastAsia"/>
        </w:rPr>
        <w:t>TSAG</w:t>
      </w:r>
      <w:r>
        <w:rPr>
          <w:rFonts w:hint="eastAsia"/>
        </w:rPr>
        <w:t>战略规划信函组的主席是</w:t>
      </w:r>
      <w:r w:rsidRPr="00654940">
        <w:rPr>
          <w:rFonts w:cstheme="minorHAnsi"/>
          <w:szCs w:val="24"/>
        </w:rPr>
        <w:t>Victor Martínez Vanegas</w:t>
      </w:r>
      <w:r>
        <w:rPr>
          <w:rFonts w:cstheme="minorHAnsi" w:hint="eastAsia"/>
          <w:szCs w:val="24"/>
        </w:rPr>
        <w:t>先生（墨西哥）。</w:t>
      </w:r>
    </w:p>
    <w:p w:rsidR="00B020B5" w:rsidRPr="00654940" w:rsidRDefault="00B020B5" w:rsidP="00B020B5">
      <w:pPr>
        <w:snapToGrid w:val="0"/>
        <w:jc w:val="both"/>
        <w:rPr>
          <w:rFonts w:cstheme="minorHAnsi"/>
          <w:szCs w:val="24"/>
        </w:rPr>
      </w:pPr>
      <w:r w:rsidRPr="00654940">
        <w:rPr>
          <w:rFonts w:cstheme="minorHAnsi"/>
          <w:szCs w:val="24"/>
        </w:rPr>
        <w:t>9.2</w:t>
      </w:r>
      <w:r w:rsidRPr="00654940">
        <w:rPr>
          <w:rFonts w:cstheme="minorHAnsi"/>
          <w:szCs w:val="24"/>
        </w:rPr>
        <w:tab/>
      </w:r>
      <w:r>
        <w:rPr>
          <w:rFonts w:cstheme="minorHAnsi" w:hint="eastAsia"/>
          <w:szCs w:val="24"/>
        </w:rPr>
        <w:t>工作组同意有必要在</w:t>
      </w:r>
      <w:r w:rsidRPr="00B921F9">
        <w:t>CWG-SFP</w:t>
      </w:r>
      <w:r>
        <w:rPr>
          <w:rFonts w:cstheme="minorHAnsi" w:hint="eastAsia"/>
          <w:szCs w:val="24"/>
        </w:rPr>
        <w:t>、秘书处内部组以及各部门顾问组和信函组之间进行密切和充满活力的协作工作。</w:t>
      </w:r>
    </w:p>
    <w:p w:rsidR="00B020B5" w:rsidRPr="00654940" w:rsidRDefault="00B020B5" w:rsidP="00B020B5">
      <w:pPr>
        <w:snapToGrid w:val="0"/>
        <w:jc w:val="both"/>
        <w:rPr>
          <w:rFonts w:cstheme="minorHAnsi"/>
          <w:szCs w:val="24"/>
        </w:rPr>
      </w:pPr>
      <w:r w:rsidRPr="00654940">
        <w:rPr>
          <w:rFonts w:cstheme="minorHAnsi"/>
          <w:szCs w:val="24"/>
        </w:rPr>
        <w:t>9.3</w:t>
      </w:r>
      <w:r w:rsidRPr="00654940">
        <w:rPr>
          <w:rFonts w:cstheme="minorHAnsi"/>
          <w:szCs w:val="24"/>
        </w:rPr>
        <w:tab/>
      </w:r>
      <w:r>
        <w:rPr>
          <w:rFonts w:cstheme="minorHAnsi" w:hint="eastAsia"/>
          <w:szCs w:val="24"/>
        </w:rPr>
        <w:t>主席提醒会议说，最终，战略规划和财务规划草案将由秘书处在成员输入意见、公开磋商、</w:t>
      </w:r>
      <w:r w:rsidRPr="00B921F9">
        <w:t>CWG-SFP</w:t>
      </w:r>
      <w:r>
        <w:rPr>
          <w:rFonts w:cstheme="minorHAnsi" w:hint="eastAsia"/>
          <w:szCs w:val="24"/>
        </w:rPr>
        <w:t>意见和各部门顾问组意见基础上进行详细制定，因此，他请与会代表利用可利用的所有渠道确保其提案能够在上述规划草案中得到反映。</w:t>
      </w:r>
    </w:p>
    <w:p w:rsidR="00B020B5" w:rsidRPr="00E61FB4" w:rsidRDefault="00B020B5" w:rsidP="00B020B5">
      <w:pPr>
        <w:pStyle w:val="Heading1"/>
        <w:rPr>
          <w:rFonts w:cstheme="minorHAnsi"/>
          <w:bCs/>
          <w:szCs w:val="28"/>
        </w:rPr>
      </w:pPr>
      <w:r w:rsidRPr="00E61FB4">
        <w:rPr>
          <w:rFonts w:hint="eastAsia"/>
          <w:szCs w:val="28"/>
        </w:rPr>
        <w:t>10</w:t>
      </w:r>
      <w:r w:rsidRPr="00E61FB4">
        <w:rPr>
          <w:rFonts w:hint="eastAsia"/>
          <w:szCs w:val="28"/>
        </w:rPr>
        <w:tab/>
      </w:r>
      <w:r w:rsidRPr="00E61FB4">
        <w:rPr>
          <w:szCs w:val="28"/>
        </w:rPr>
        <w:t>CWG-SFP</w:t>
      </w:r>
      <w:r w:rsidRPr="00E61FB4">
        <w:rPr>
          <w:rFonts w:cstheme="minorHAnsi" w:hint="eastAsia"/>
          <w:bCs/>
          <w:szCs w:val="28"/>
        </w:rPr>
        <w:t>首次公开磋商的议题（</w:t>
      </w:r>
      <w:hyperlink r:id="rId31" w:history="1">
        <w:r w:rsidRPr="00E61FB4">
          <w:rPr>
            <w:rStyle w:val="Hyperlink"/>
            <w:szCs w:val="28"/>
            <w:lang w:val="en-CA"/>
          </w:rPr>
          <w:t>CWG-SFP-1/4</w:t>
        </w:r>
      </w:hyperlink>
      <w:r w:rsidRPr="00E61FB4">
        <w:rPr>
          <w:rFonts w:cstheme="minorHAnsi" w:hint="eastAsia"/>
          <w:bCs/>
          <w:szCs w:val="28"/>
        </w:rPr>
        <w:t>）</w:t>
      </w:r>
    </w:p>
    <w:p w:rsidR="00B020B5" w:rsidRPr="00654940" w:rsidRDefault="00B020B5" w:rsidP="00B020B5">
      <w:pPr>
        <w:pStyle w:val="ListParagraph"/>
        <w:snapToGrid w:val="0"/>
        <w:ind w:left="0"/>
        <w:contextualSpacing w:val="0"/>
        <w:jc w:val="both"/>
        <w:rPr>
          <w:rFonts w:cstheme="minorHAnsi"/>
          <w:szCs w:val="24"/>
        </w:rPr>
      </w:pPr>
      <w:r>
        <w:rPr>
          <w:rFonts w:cstheme="minorHAnsi" w:hint="eastAsia"/>
          <w:szCs w:val="24"/>
        </w:rPr>
        <w:t>10</w:t>
      </w:r>
      <w:r>
        <w:rPr>
          <w:rFonts w:cstheme="minorHAnsi"/>
          <w:szCs w:val="24"/>
        </w:rPr>
        <w:t>.</w:t>
      </w:r>
      <w:r>
        <w:rPr>
          <w:rFonts w:cstheme="minorHAnsi" w:hint="eastAsia"/>
          <w:szCs w:val="24"/>
        </w:rPr>
        <w:t>1</w:t>
      </w:r>
      <w:r w:rsidRPr="00654940">
        <w:rPr>
          <w:rFonts w:cstheme="minorHAnsi"/>
          <w:szCs w:val="24"/>
        </w:rPr>
        <w:tab/>
      </w:r>
      <w:r>
        <w:rPr>
          <w:rFonts w:cstheme="minorHAnsi" w:hint="eastAsia"/>
          <w:szCs w:val="24"/>
        </w:rPr>
        <w:t>秘书处介绍了首次公开公共磋商将涉及的一系列拟议问题。上述公开磋商将自理事会</w:t>
      </w:r>
      <w:r>
        <w:rPr>
          <w:rFonts w:cstheme="minorHAnsi" w:hint="eastAsia"/>
          <w:szCs w:val="24"/>
        </w:rPr>
        <w:t>2017</w:t>
      </w:r>
      <w:r>
        <w:rPr>
          <w:rFonts w:cstheme="minorHAnsi" w:hint="eastAsia"/>
          <w:szCs w:val="24"/>
        </w:rPr>
        <w:t>年会议开始到</w:t>
      </w:r>
      <w:r>
        <w:rPr>
          <w:rFonts w:cstheme="minorHAnsi" w:hint="eastAsia"/>
          <w:szCs w:val="24"/>
        </w:rPr>
        <w:t>6</w:t>
      </w:r>
      <w:r>
        <w:rPr>
          <w:rFonts w:cstheme="minorHAnsi" w:hint="eastAsia"/>
          <w:szCs w:val="24"/>
        </w:rPr>
        <w:t>月底结束。</w:t>
      </w:r>
    </w:p>
    <w:p w:rsidR="00B020B5" w:rsidRPr="00654940" w:rsidRDefault="00B020B5" w:rsidP="00B020B5">
      <w:pPr>
        <w:pStyle w:val="ListParagraph"/>
        <w:snapToGrid w:val="0"/>
        <w:ind w:left="0"/>
        <w:contextualSpacing w:val="0"/>
        <w:jc w:val="both"/>
        <w:rPr>
          <w:rFonts w:cstheme="minorHAnsi"/>
          <w:szCs w:val="24"/>
        </w:rPr>
      </w:pPr>
      <w:r>
        <w:rPr>
          <w:rFonts w:cstheme="minorHAnsi" w:hint="eastAsia"/>
          <w:szCs w:val="24"/>
        </w:rPr>
        <w:t>10</w:t>
      </w:r>
      <w:r>
        <w:rPr>
          <w:rFonts w:cstheme="minorHAnsi"/>
          <w:szCs w:val="24"/>
        </w:rPr>
        <w:t>.</w:t>
      </w:r>
      <w:r>
        <w:rPr>
          <w:rFonts w:cstheme="minorHAnsi" w:hint="eastAsia"/>
          <w:szCs w:val="24"/>
        </w:rPr>
        <w:t>2</w:t>
      </w:r>
      <w:r w:rsidRPr="00654940">
        <w:rPr>
          <w:rFonts w:cstheme="minorHAnsi"/>
          <w:szCs w:val="24"/>
        </w:rPr>
        <w:tab/>
      </w:r>
      <w:r>
        <w:rPr>
          <w:rFonts w:cstheme="minorHAnsi" w:hint="eastAsia"/>
          <w:szCs w:val="24"/>
        </w:rPr>
        <w:t>工作组同意，在其首次、第二次和第三次会议之后进行的三次公开磋商的每一次都至少延续</w:t>
      </w:r>
      <w:r>
        <w:rPr>
          <w:rFonts w:cstheme="minorHAnsi" w:hint="eastAsia"/>
          <w:szCs w:val="24"/>
        </w:rPr>
        <w:t>30</w:t>
      </w:r>
      <w:r>
        <w:rPr>
          <w:rFonts w:cstheme="minorHAnsi" w:hint="eastAsia"/>
          <w:szCs w:val="24"/>
        </w:rPr>
        <w:t>天。</w:t>
      </w:r>
    </w:p>
    <w:p w:rsidR="00B020B5" w:rsidRPr="00654940" w:rsidRDefault="00B020B5" w:rsidP="00B020B5">
      <w:pPr>
        <w:pStyle w:val="ListParagraph"/>
        <w:snapToGrid w:val="0"/>
        <w:ind w:left="0"/>
        <w:contextualSpacing w:val="0"/>
        <w:jc w:val="both"/>
        <w:rPr>
          <w:rFonts w:cstheme="minorHAnsi"/>
          <w:szCs w:val="24"/>
        </w:rPr>
      </w:pPr>
      <w:r>
        <w:rPr>
          <w:rFonts w:cstheme="minorHAnsi" w:hint="eastAsia"/>
          <w:szCs w:val="24"/>
        </w:rPr>
        <w:t>10</w:t>
      </w:r>
      <w:r>
        <w:rPr>
          <w:rFonts w:cstheme="minorHAnsi"/>
          <w:szCs w:val="24"/>
        </w:rPr>
        <w:t>.</w:t>
      </w:r>
      <w:r>
        <w:rPr>
          <w:rFonts w:cstheme="minorHAnsi" w:hint="eastAsia"/>
          <w:szCs w:val="24"/>
        </w:rPr>
        <w:t>3</w:t>
      </w:r>
      <w:r w:rsidRPr="00654940">
        <w:rPr>
          <w:rFonts w:cstheme="minorHAnsi"/>
          <w:szCs w:val="24"/>
        </w:rPr>
        <w:tab/>
      </w:r>
      <w:r>
        <w:rPr>
          <w:rFonts w:cstheme="minorHAnsi" w:hint="eastAsia"/>
          <w:szCs w:val="24"/>
        </w:rPr>
        <w:t>工作组要求主席与所有相关方面协商来最终确定所涉问题。</w:t>
      </w:r>
    </w:p>
    <w:p w:rsidR="00B020B5" w:rsidRPr="00654940" w:rsidRDefault="00B020B5" w:rsidP="00B020B5">
      <w:pPr>
        <w:pStyle w:val="ListParagraph"/>
        <w:snapToGrid w:val="0"/>
        <w:ind w:left="0"/>
        <w:contextualSpacing w:val="0"/>
        <w:rPr>
          <w:rFonts w:cstheme="minorHAnsi"/>
          <w:szCs w:val="24"/>
        </w:rPr>
      </w:pPr>
      <w:r>
        <w:rPr>
          <w:rFonts w:cstheme="minorHAnsi" w:hint="eastAsia"/>
          <w:szCs w:val="24"/>
        </w:rPr>
        <w:lastRenderedPageBreak/>
        <w:t>10</w:t>
      </w:r>
      <w:r>
        <w:rPr>
          <w:rFonts w:cstheme="minorHAnsi"/>
          <w:szCs w:val="24"/>
        </w:rPr>
        <w:t>.4</w:t>
      </w:r>
      <w:r w:rsidRPr="00654940">
        <w:rPr>
          <w:rFonts w:cstheme="minorHAnsi"/>
          <w:szCs w:val="24"/>
        </w:rPr>
        <w:tab/>
      </w:r>
      <w:r>
        <w:rPr>
          <w:rFonts w:cstheme="minorHAnsi" w:hint="eastAsia"/>
          <w:szCs w:val="24"/>
        </w:rPr>
        <w:t>经过协商，主席提议，首次公开磋商将把第</w:t>
      </w:r>
      <w:r>
        <w:rPr>
          <w:rFonts w:cstheme="minorHAnsi" w:hint="eastAsia"/>
          <w:szCs w:val="24"/>
        </w:rPr>
        <w:t>71</w:t>
      </w:r>
      <w:r>
        <w:rPr>
          <w:rFonts w:cstheme="minorHAnsi" w:hint="eastAsia"/>
          <w:szCs w:val="24"/>
        </w:rPr>
        <w:t>号决议作为背景文件提供，并提出下列问题：</w:t>
      </w:r>
    </w:p>
    <w:p w:rsidR="00B020B5" w:rsidRPr="00892525" w:rsidRDefault="00B020B5" w:rsidP="00B020B5">
      <w:pPr>
        <w:pStyle w:val="enumlev1"/>
      </w:pPr>
      <w:r>
        <w:t>•</w:t>
      </w:r>
      <w:r>
        <w:tab/>
      </w:r>
      <w:r>
        <w:rPr>
          <w:rFonts w:hint="eastAsia"/>
        </w:rPr>
        <w:t>在考虑到联合国《</w:t>
      </w:r>
      <w:r>
        <w:rPr>
          <w:rFonts w:hint="eastAsia"/>
        </w:rPr>
        <w:t>2030</w:t>
      </w:r>
      <w:r>
        <w:rPr>
          <w:rFonts w:hint="eastAsia"/>
        </w:rPr>
        <w:t>年可持续发展议程》和可持续发展目标的情况下，国际电联</w:t>
      </w:r>
      <w:r>
        <w:rPr>
          <w:rFonts w:hint="eastAsia"/>
        </w:rPr>
        <w:t>2020-2023</w:t>
      </w:r>
      <w:r>
        <w:rPr>
          <w:rFonts w:hint="eastAsia"/>
        </w:rPr>
        <w:t>年期间的关键</w:t>
      </w:r>
      <w:r>
        <w:t>性</w:t>
      </w:r>
      <w:r>
        <w:rPr>
          <w:rFonts w:hint="eastAsia"/>
        </w:rPr>
        <w:t>优先战略工作应有哪些？</w:t>
      </w:r>
    </w:p>
    <w:p w:rsidR="00B020B5" w:rsidRPr="00892525" w:rsidRDefault="00B020B5" w:rsidP="00B020B5">
      <w:pPr>
        <w:pStyle w:val="enumlev1"/>
      </w:pPr>
      <w:r>
        <w:t>•</w:t>
      </w:r>
      <w:r>
        <w:tab/>
      </w:r>
      <w:r>
        <w:rPr>
          <w:rFonts w:hint="eastAsia"/>
        </w:rPr>
        <w:t>国际电联在做出战略规划时应考虑到哪些主要技术趋势？</w:t>
      </w:r>
    </w:p>
    <w:p w:rsidR="00B020B5" w:rsidRPr="00892525" w:rsidRDefault="00B020B5" w:rsidP="00B020B5">
      <w:pPr>
        <w:pStyle w:val="enumlev1"/>
      </w:pPr>
      <w:r>
        <w:t>•</w:t>
      </w:r>
      <w:r>
        <w:tab/>
      </w:r>
      <w:r>
        <w:rPr>
          <w:rFonts w:hint="eastAsia"/>
        </w:rPr>
        <w:t>您认为国际电联在</w:t>
      </w:r>
      <w:r>
        <w:rPr>
          <w:rFonts w:hint="eastAsia"/>
        </w:rPr>
        <w:t>2020-2023</w:t>
      </w:r>
      <w:r>
        <w:rPr>
          <w:rFonts w:hint="eastAsia"/>
        </w:rPr>
        <w:t>年期间面临的前三大挑战是什么，您希望看到国际电联在此阶段实现哪三项最大成就？</w:t>
      </w:r>
    </w:p>
    <w:p w:rsidR="00B020B5" w:rsidRPr="00892525" w:rsidRDefault="00B020B5" w:rsidP="00B020B5">
      <w:pPr>
        <w:pStyle w:val="enumlev1"/>
      </w:pPr>
      <w:r>
        <w:t>•</w:t>
      </w:r>
      <w:r>
        <w:tab/>
      </w:r>
      <w:r>
        <w:rPr>
          <w:rFonts w:hint="eastAsia"/>
        </w:rPr>
        <w:t>您希望提出哪些其它想法或意见？</w:t>
      </w:r>
    </w:p>
    <w:p w:rsidR="00B020B5" w:rsidRPr="00DD0448" w:rsidRDefault="00B020B5" w:rsidP="00B020B5">
      <w:pPr>
        <w:pStyle w:val="Heading1"/>
      </w:pPr>
      <w:r>
        <w:t>11</w:t>
      </w:r>
      <w:r>
        <w:tab/>
      </w:r>
      <w:r>
        <w:rPr>
          <w:rFonts w:hint="eastAsia"/>
        </w:rPr>
        <w:t>下次会议</w:t>
      </w:r>
    </w:p>
    <w:p w:rsidR="00B020B5" w:rsidRPr="00654940" w:rsidRDefault="00B020B5" w:rsidP="00B020B5">
      <w:pPr>
        <w:keepNext/>
        <w:keepLines/>
        <w:snapToGrid w:val="0"/>
        <w:spacing w:after="120"/>
        <w:jc w:val="both"/>
        <w:rPr>
          <w:rFonts w:cstheme="minorHAnsi"/>
          <w:b/>
          <w:bCs/>
          <w:szCs w:val="24"/>
        </w:rPr>
      </w:pPr>
      <w:r w:rsidRPr="00654940">
        <w:rPr>
          <w:rFonts w:cstheme="minorHAnsi"/>
          <w:szCs w:val="24"/>
        </w:rPr>
        <w:t>11.1</w:t>
      </w:r>
      <w:r w:rsidRPr="00654940">
        <w:rPr>
          <w:rFonts w:cstheme="minorHAnsi"/>
          <w:szCs w:val="24"/>
        </w:rPr>
        <w:tab/>
      </w:r>
      <w:r w:rsidRPr="00B921F9">
        <w:t>CWG-SFP</w:t>
      </w:r>
      <w:r>
        <w:rPr>
          <w:rFonts w:cstheme="minorHAnsi" w:hint="eastAsia"/>
          <w:szCs w:val="24"/>
        </w:rPr>
        <w:t>的下次会议将在理事会工作组于</w:t>
      </w:r>
      <w:r>
        <w:rPr>
          <w:rFonts w:cstheme="minorHAnsi" w:hint="eastAsia"/>
          <w:szCs w:val="24"/>
        </w:rPr>
        <w:t>2017</w:t>
      </w:r>
      <w:r>
        <w:rPr>
          <w:rFonts w:cstheme="minorHAnsi" w:hint="eastAsia"/>
          <w:szCs w:val="24"/>
        </w:rPr>
        <w:t>年</w:t>
      </w:r>
      <w:r>
        <w:rPr>
          <w:rFonts w:cstheme="minorHAnsi" w:hint="eastAsia"/>
          <w:szCs w:val="24"/>
        </w:rPr>
        <w:t>9</w:t>
      </w:r>
      <w:r>
        <w:rPr>
          <w:rFonts w:cstheme="minorHAnsi" w:hint="eastAsia"/>
          <w:szCs w:val="24"/>
        </w:rPr>
        <w:t>月召开的集中会议期间举行。</w:t>
      </w:r>
    </w:p>
    <w:p w:rsidR="00B020B5" w:rsidRDefault="00B020B5" w:rsidP="0032202E">
      <w:pPr>
        <w:pStyle w:val="Reasons"/>
      </w:pPr>
    </w:p>
    <w:p w:rsidR="00B020B5" w:rsidRDefault="00B020B5">
      <w:pPr>
        <w:jc w:val="center"/>
      </w:pPr>
      <w:r>
        <w:t>______________</w:t>
      </w:r>
    </w:p>
    <w:p w:rsidR="00E11091" w:rsidRPr="00B020B5" w:rsidRDefault="00E11091" w:rsidP="00B020B5"/>
    <w:sectPr w:rsidR="00E11091" w:rsidRPr="00B020B5" w:rsidSect="00C845B3">
      <w:headerReference w:type="default" r:id="rId32"/>
      <w:footerReference w:type="default" r:id="rId33"/>
      <w:footerReference w:type="first" r:id="rId34"/>
      <w:pgSz w:w="11907" w:h="16834" w:code="9"/>
      <w:pgMar w:top="1135" w:right="1134"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26" w:rsidRDefault="00887126">
      <w:r>
        <w:separator/>
      </w:r>
    </w:p>
  </w:endnote>
  <w:endnote w:type="continuationSeparator" w:id="0">
    <w:p w:rsidR="00887126" w:rsidRDefault="0088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15" w:rsidRPr="006F0E15" w:rsidRDefault="006F0E15" w:rsidP="006F0E15">
    <w:pPr>
      <w:pStyle w:val="Footer"/>
      <w:rPr>
        <w:lang w:val="fr-CH"/>
      </w:rPr>
    </w:pPr>
    <w:r>
      <w:fldChar w:fldCharType="begin"/>
    </w:r>
    <w:r w:rsidRPr="006F0E15">
      <w:rPr>
        <w:lang w:val="fr-CH"/>
      </w:rPr>
      <w:instrText xml:space="preserve"> FILENAME \p  \* MERGEFORMAT </w:instrText>
    </w:r>
    <w:r>
      <w:fldChar w:fldCharType="separate"/>
    </w:r>
    <w:r w:rsidRPr="006F0E15">
      <w:rPr>
        <w:lang w:val="fr-CH"/>
      </w:rPr>
      <w:t>P:\CHI\SG\CONSEIL\CWG-SFP2\000\002C.docx</w:t>
    </w:r>
    <w:r>
      <w:fldChar w:fldCharType="end"/>
    </w:r>
    <w:r w:rsidRPr="006F0E15">
      <w:rPr>
        <w:lang w:val="fr-CH"/>
      </w:rPr>
      <w:t xml:space="preserve"> (</w:t>
    </w:r>
    <w:r>
      <w:rPr>
        <w:lang w:val="fr-CH"/>
      </w:rPr>
      <w:t>422355</w:t>
    </w:r>
    <w:r w:rsidRPr="006F0E1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2D" w:rsidRDefault="00F7022D" w:rsidP="00DD0448">
    <w:pPr>
      <w:spacing w:after="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26" w:rsidRDefault="00887126">
      <w:r>
        <w:t>____________________</w:t>
      </w:r>
    </w:p>
    <w:p w:rsidR="00887126" w:rsidRDefault="00887126"/>
  </w:footnote>
  <w:footnote w:type="continuationSeparator" w:id="0">
    <w:p w:rsidR="00887126" w:rsidRDefault="0088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2D" w:rsidRDefault="00F7022D" w:rsidP="00654940">
    <w:pPr>
      <w:pStyle w:val="Header"/>
      <w:spacing w:after="0"/>
    </w:pPr>
    <w:r>
      <w:t xml:space="preserve">- </w:t>
    </w:r>
    <w:r>
      <w:fldChar w:fldCharType="begin"/>
    </w:r>
    <w:r>
      <w:instrText>PAGE</w:instrText>
    </w:r>
    <w:r>
      <w:fldChar w:fldCharType="separate"/>
    </w:r>
    <w:r w:rsidR="006F0E15">
      <w:rPr>
        <w:noProof/>
      </w:rPr>
      <w:t>3</w:t>
    </w:r>
    <w:r>
      <w:rPr>
        <w:noProof/>
      </w:rPr>
      <w:fldChar w:fldCharType="end"/>
    </w:r>
    <w:r>
      <w:rPr>
        <w:noProof/>
      </w:rPr>
      <w:t>/</w:t>
    </w:r>
    <w:r w:rsidR="006F0E15">
      <w:fldChar w:fldCharType="begin"/>
    </w:r>
    <w:r w:rsidR="006F0E15">
      <w:instrText xml:space="preserve"> NUMPAGES   \* MERGEFORMAT </w:instrText>
    </w:r>
    <w:r w:rsidR="006F0E15">
      <w:fldChar w:fldCharType="separate"/>
    </w:r>
    <w:r w:rsidR="006F0E15">
      <w:rPr>
        <w:noProof/>
      </w:rPr>
      <w:t>5</w:t>
    </w:r>
    <w:r w:rsidR="006F0E15">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068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B45D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22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520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C2C0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784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A88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62C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EA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8C9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2450"/>
    <w:multiLevelType w:val="hybridMultilevel"/>
    <w:tmpl w:val="C3AA05D4"/>
    <w:lvl w:ilvl="0" w:tplc="4C689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747A80"/>
    <w:multiLevelType w:val="hybridMultilevel"/>
    <w:tmpl w:val="64D84818"/>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C5F435E"/>
    <w:multiLevelType w:val="hybridMultilevel"/>
    <w:tmpl w:val="6328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C270B"/>
    <w:multiLevelType w:val="hybridMultilevel"/>
    <w:tmpl w:val="133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01C5A"/>
    <w:multiLevelType w:val="hybridMultilevel"/>
    <w:tmpl w:val="03D8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111CA"/>
    <w:multiLevelType w:val="hybridMultilevel"/>
    <w:tmpl w:val="630AFC14"/>
    <w:lvl w:ilvl="0" w:tplc="2D98A292">
      <w:start w:val="1"/>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231B73"/>
    <w:multiLevelType w:val="hybridMultilevel"/>
    <w:tmpl w:val="7346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7444D"/>
    <w:multiLevelType w:val="hybridMultilevel"/>
    <w:tmpl w:val="F070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B20B7"/>
    <w:multiLevelType w:val="hybridMultilevel"/>
    <w:tmpl w:val="AC40BFDE"/>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3632D20"/>
    <w:multiLevelType w:val="hybridMultilevel"/>
    <w:tmpl w:val="6B0414DA"/>
    <w:lvl w:ilvl="0" w:tplc="CB3AEA7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B6317"/>
    <w:multiLevelType w:val="hybridMultilevel"/>
    <w:tmpl w:val="0CDC9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CB51B8B"/>
    <w:multiLevelType w:val="hybridMultilevel"/>
    <w:tmpl w:val="8D50AAE6"/>
    <w:lvl w:ilvl="0" w:tplc="8662ECA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F40B1"/>
    <w:multiLevelType w:val="hybridMultilevel"/>
    <w:tmpl w:val="CCAC8284"/>
    <w:lvl w:ilvl="0" w:tplc="82AA1CCC">
      <w:start w:val="1"/>
      <w:numFmt w:val="lowerLetter"/>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53A54"/>
    <w:multiLevelType w:val="hybridMultilevel"/>
    <w:tmpl w:val="99B672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C2B25"/>
    <w:multiLevelType w:val="hybridMultilevel"/>
    <w:tmpl w:val="CC72D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926AF8"/>
    <w:multiLevelType w:val="hybridMultilevel"/>
    <w:tmpl w:val="D286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62361"/>
    <w:multiLevelType w:val="hybridMultilevel"/>
    <w:tmpl w:val="23FCFA2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3E36A0"/>
    <w:multiLevelType w:val="hybridMultilevel"/>
    <w:tmpl w:val="255A6E84"/>
    <w:lvl w:ilvl="0" w:tplc="2D98A292">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242753"/>
    <w:multiLevelType w:val="hybridMultilevel"/>
    <w:tmpl w:val="C5784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0D7390"/>
    <w:multiLevelType w:val="hybridMultilevel"/>
    <w:tmpl w:val="3064B5F2"/>
    <w:lvl w:ilvl="0" w:tplc="FFFFFFFF">
      <w:start w:val="1"/>
      <w:numFmt w:val="decimal"/>
      <w:lvlText w:val="%1."/>
      <w:lvlJc w:val="left"/>
      <w:pPr>
        <w:tabs>
          <w:tab w:val="num" w:pos="360"/>
        </w:tabs>
        <w:ind w:left="360" w:hanging="360"/>
      </w:pPr>
      <w:rPr>
        <w:rFonts w:hint="default"/>
        <w:b/>
        <w:i w:val="0"/>
      </w:rPr>
    </w:lvl>
    <w:lvl w:ilvl="1" w:tplc="902444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579"/>
    <w:multiLevelType w:val="hybridMultilevel"/>
    <w:tmpl w:val="5EDA2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3" w15:restartNumberingAfterBreak="0">
    <w:nsid w:val="69D73D36"/>
    <w:multiLevelType w:val="hybridMultilevel"/>
    <w:tmpl w:val="29028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C48DD"/>
    <w:multiLevelType w:val="hybridMultilevel"/>
    <w:tmpl w:val="91C26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610491"/>
    <w:multiLevelType w:val="hybridMultilevel"/>
    <w:tmpl w:val="3C609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A13B8"/>
    <w:multiLevelType w:val="hybridMultilevel"/>
    <w:tmpl w:val="EAD69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28"/>
  </w:num>
  <w:num w:numId="4">
    <w:abstractNumId w:val="15"/>
  </w:num>
  <w:num w:numId="5">
    <w:abstractNumId w:val="27"/>
  </w:num>
  <w:num w:numId="6">
    <w:abstractNumId w:val="29"/>
  </w:num>
  <w:num w:numId="7">
    <w:abstractNumId w:val="19"/>
  </w:num>
  <w:num w:numId="8">
    <w:abstractNumId w:val="14"/>
  </w:num>
  <w:num w:numId="9">
    <w:abstractNumId w:val="17"/>
  </w:num>
  <w:num w:numId="10">
    <w:abstractNumId w:val="10"/>
  </w:num>
  <w:num w:numId="11">
    <w:abstractNumId w:val="24"/>
  </w:num>
  <w:num w:numId="12">
    <w:abstractNumId w:val="11"/>
  </w:num>
  <w:num w:numId="13">
    <w:abstractNumId w:val="18"/>
  </w:num>
  <w:num w:numId="14">
    <w:abstractNumId w:val="23"/>
  </w:num>
  <w:num w:numId="15">
    <w:abstractNumId w:val="33"/>
  </w:num>
  <w:num w:numId="16">
    <w:abstractNumId w:val="34"/>
  </w:num>
  <w:num w:numId="17">
    <w:abstractNumId w:val="13"/>
  </w:num>
  <w:num w:numId="18">
    <w:abstractNumId w:val="36"/>
  </w:num>
  <w:num w:numId="19">
    <w:abstractNumId w:val="22"/>
  </w:num>
  <w:num w:numId="20">
    <w:abstractNumId w:val="35"/>
  </w:num>
  <w:num w:numId="21">
    <w:abstractNumId w:val="32"/>
  </w:num>
  <w:num w:numId="22">
    <w:abstractNumId w:val="30"/>
  </w:num>
  <w:num w:numId="23">
    <w:abstractNumId w:val="20"/>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12"/>
  </w:num>
  <w:num w:numId="35">
    <w:abstractNumId w:val="26"/>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C8"/>
    <w:rsid w:val="0000328B"/>
    <w:rsid w:val="000033DA"/>
    <w:rsid w:val="000111BC"/>
    <w:rsid w:val="000126D3"/>
    <w:rsid w:val="00012B66"/>
    <w:rsid w:val="000152FA"/>
    <w:rsid w:val="00016DC5"/>
    <w:rsid w:val="00017495"/>
    <w:rsid w:val="000179F3"/>
    <w:rsid w:val="000226DB"/>
    <w:rsid w:val="000234CB"/>
    <w:rsid w:val="0002404E"/>
    <w:rsid w:val="00025166"/>
    <w:rsid w:val="000269FC"/>
    <w:rsid w:val="00026AED"/>
    <w:rsid w:val="000305EC"/>
    <w:rsid w:val="00030C7E"/>
    <w:rsid w:val="000310E9"/>
    <w:rsid w:val="00036BAA"/>
    <w:rsid w:val="0003748A"/>
    <w:rsid w:val="00037AA5"/>
    <w:rsid w:val="00041B12"/>
    <w:rsid w:val="00043344"/>
    <w:rsid w:val="00043AE9"/>
    <w:rsid w:val="00044518"/>
    <w:rsid w:val="00050051"/>
    <w:rsid w:val="0005011B"/>
    <w:rsid w:val="000527C1"/>
    <w:rsid w:val="000540DB"/>
    <w:rsid w:val="0005532F"/>
    <w:rsid w:val="00056011"/>
    <w:rsid w:val="00061D25"/>
    <w:rsid w:val="000623AA"/>
    <w:rsid w:val="000647A5"/>
    <w:rsid w:val="00065618"/>
    <w:rsid w:val="00066A9A"/>
    <w:rsid w:val="000679DA"/>
    <w:rsid w:val="00067FB0"/>
    <w:rsid w:val="00075B61"/>
    <w:rsid w:val="00077EC7"/>
    <w:rsid w:val="000831EC"/>
    <w:rsid w:val="00093AD2"/>
    <w:rsid w:val="0009407D"/>
    <w:rsid w:val="00094BE5"/>
    <w:rsid w:val="00096091"/>
    <w:rsid w:val="00096D7D"/>
    <w:rsid w:val="00097559"/>
    <w:rsid w:val="000A04A4"/>
    <w:rsid w:val="000A1EBA"/>
    <w:rsid w:val="000A49BD"/>
    <w:rsid w:val="000A51F3"/>
    <w:rsid w:val="000A5351"/>
    <w:rsid w:val="000A79A3"/>
    <w:rsid w:val="000A7A8C"/>
    <w:rsid w:val="000B039C"/>
    <w:rsid w:val="000B0ABA"/>
    <w:rsid w:val="000B2BB6"/>
    <w:rsid w:val="000C0D7F"/>
    <w:rsid w:val="000C1C30"/>
    <w:rsid w:val="000C33A3"/>
    <w:rsid w:val="000C4133"/>
    <w:rsid w:val="000C592C"/>
    <w:rsid w:val="000C6671"/>
    <w:rsid w:val="000C7D72"/>
    <w:rsid w:val="000C7E20"/>
    <w:rsid w:val="000D18AD"/>
    <w:rsid w:val="000D2693"/>
    <w:rsid w:val="000D3B66"/>
    <w:rsid w:val="000D63A0"/>
    <w:rsid w:val="000E0133"/>
    <w:rsid w:val="000E3E22"/>
    <w:rsid w:val="000E51BF"/>
    <w:rsid w:val="000E5BC2"/>
    <w:rsid w:val="000E5ED7"/>
    <w:rsid w:val="000E677D"/>
    <w:rsid w:val="000F0C03"/>
    <w:rsid w:val="000F28AC"/>
    <w:rsid w:val="000F45F1"/>
    <w:rsid w:val="000F5665"/>
    <w:rsid w:val="000F7045"/>
    <w:rsid w:val="00105042"/>
    <w:rsid w:val="001114D1"/>
    <w:rsid w:val="00111866"/>
    <w:rsid w:val="00114592"/>
    <w:rsid w:val="00117242"/>
    <w:rsid w:val="001206E9"/>
    <w:rsid w:val="001229DC"/>
    <w:rsid w:val="00122F48"/>
    <w:rsid w:val="00125C38"/>
    <w:rsid w:val="00132DAD"/>
    <w:rsid w:val="00134504"/>
    <w:rsid w:val="0013605B"/>
    <w:rsid w:val="00136536"/>
    <w:rsid w:val="001375ED"/>
    <w:rsid w:val="0014075F"/>
    <w:rsid w:val="00140760"/>
    <w:rsid w:val="00140BD0"/>
    <w:rsid w:val="00141E3B"/>
    <w:rsid w:val="00150386"/>
    <w:rsid w:val="001516DB"/>
    <w:rsid w:val="00151AEC"/>
    <w:rsid w:val="001528F4"/>
    <w:rsid w:val="00152E34"/>
    <w:rsid w:val="00153521"/>
    <w:rsid w:val="0015666C"/>
    <w:rsid w:val="001573A8"/>
    <w:rsid w:val="0016169F"/>
    <w:rsid w:val="00162BFC"/>
    <w:rsid w:val="00165835"/>
    <w:rsid w:val="00165938"/>
    <w:rsid w:val="00165E4C"/>
    <w:rsid w:val="0017057C"/>
    <w:rsid w:val="00170675"/>
    <w:rsid w:val="00172546"/>
    <w:rsid w:val="001737DD"/>
    <w:rsid w:val="001763B4"/>
    <w:rsid w:val="00177CB3"/>
    <w:rsid w:val="001803EA"/>
    <w:rsid w:val="001818DE"/>
    <w:rsid w:val="00182B78"/>
    <w:rsid w:val="00186565"/>
    <w:rsid w:val="001902B0"/>
    <w:rsid w:val="00190DBF"/>
    <w:rsid w:val="00191CDB"/>
    <w:rsid w:val="00192543"/>
    <w:rsid w:val="00195566"/>
    <w:rsid w:val="001A6AB0"/>
    <w:rsid w:val="001B29FF"/>
    <w:rsid w:val="001B4D9A"/>
    <w:rsid w:val="001B50B4"/>
    <w:rsid w:val="001B61EB"/>
    <w:rsid w:val="001B6F9F"/>
    <w:rsid w:val="001C2D7B"/>
    <w:rsid w:val="001C35A8"/>
    <w:rsid w:val="001C5FBC"/>
    <w:rsid w:val="001C662E"/>
    <w:rsid w:val="001D3820"/>
    <w:rsid w:val="001D414B"/>
    <w:rsid w:val="001D7759"/>
    <w:rsid w:val="001E050E"/>
    <w:rsid w:val="001E4766"/>
    <w:rsid w:val="001E7915"/>
    <w:rsid w:val="001F0D87"/>
    <w:rsid w:val="001F2ECB"/>
    <w:rsid w:val="001F5150"/>
    <w:rsid w:val="00200D9B"/>
    <w:rsid w:val="002021C5"/>
    <w:rsid w:val="00202240"/>
    <w:rsid w:val="002028B2"/>
    <w:rsid w:val="0020399D"/>
    <w:rsid w:val="00207783"/>
    <w:rsid w:val="00210A6F"/>
    <w:rsid w:val="00213FCE"/>
    <w:rsid w:val="00214324"/>
    <w:rsid w:val="002144D9"/>
    <w:rsid w:val="00215C31"/>
    <w:rsid w:val="002248F8"/>
    <w:rsid w:val="0023050A"/>
    <w:rsid w:val="002331EE"/>
    <w:rsid w:val="0023554D"/>
    <w:rsid w:val="00240E30"/>
    <w:rsid w:val="00242CDE"/>
    <w:rsid w:val="0024386F"/>
    <w:rsid w:val="00247F45"/>
    <w:rsid w:val="00252F19"/>
    <w:rsid w:val="0025399B"/>
    <w:rsid w:val="002546E7"/>
    <w:rsid w:val="0025483D"/>
    <w:rsid w:val="00256710"/>
    <w:rsid w:val="002572E0"/>
    <w:rsid w:val="002573A9"/>
    <w:rsid w:val="002607B3"/>
    <w:rsid w:val="00260D90"/>
    <w:rsid w:val="00261389"/>
    <w:rsid w:val="002613A6"/>
    <w:rsid w:val="002618F8"/>
    <w:rsid w:val="00262CD9"/>
    <w:rsid w:val="002647BA"/>
    <w:rsid w:val="00265F05"/>
    <w:rsid w:val="002661CE"/>
    <w:rsid w:val="00270323"/>
    <w:rsid w:val="002725D4"/>
    <w:rsid w:val="0027292A"/>
    <w:rsid w:val="00281170"/>
    <w:rsid w:val="002839DB"/>
    <w:rsid w:val="0028608A"/>
    <w:rsid w:val="00294B8F"/>
    <w:rsid w:val="00295DB2"/>
    <w:rsid w:val="0029676B"/>
    <w:rsid w:val="0029753C"/>
    <w:rsid w:val="002A0B52"/>
    <w:rsid w:val="002A101E"/>
    <w:rsid w:val="002A22AD"/>
    <w:rsid w:val="002A2C9E"/>
    <w:rsid w:val="002A466D"/>
    <w:rsid w:val="002B062C"/>
    <w:rsid w:val="002B08A5"/>
    <w:rsid w:val="002B1E79"/>
    <w:rsid w:val="002B2133"/>
    <w:rsid w:val="002B26A3"/>
    <w:rsid w:val="002B32DF"/>
    <w:rsid w:val="002B6434"/>
    <w:rsid w:val="002B7F64"/>
    <w:rsid w:val="002C124D"/>
    <w:rsid w:val="002C18A6"/>
    <w:rsid w:val="002C2382"/>
    <w:rsid w:val="002C40B2"/>
    <w:rsid w:val="002C46C5"/>
    <w:rsid w:val="002C4751"/>
    <w:rsid w:val="002C4D51"/>
    <w:rsid w:val="002C60B9"/>
    <w:rsid w:val="002D50FC"/>
    <w:rsid w:val="002E0053"/>
    <w:rsid w:val="002E250F"/>
    <w:rsid w:val="002E3025"/>
    <w:rsid w:val="002E42FD"/>
    <w:rsid w:val="002E49B3"/>
    <w:rsid w:val="002F1E4B"/>
    <w:rsid w:val="002F2AAD"/>
    <w:rsid w:val="002F2B1F"/>
    <w:rsid w:val="002F425D"/>
    <w:rsid w:val="002F6AB8"/>
    <w:rsid w:val="003003B2"/>
    <w:rsid w:val="00302275"/>
    <w:rsid w:val="00303791"/>
    <w:rsid w:val="00304942"/>
    <w:rsid w:val="00305D66"/>
    <w:rsid w:val="0030761C"/>
    <w:rsid w:val="00311E82"/>
    <w:rsid w:val="00312453"/>
    <w:rsid w:val="00313AC8"/>
    <w:rsid w:val="00314B06"/>
    <w:rsid w:val="0031525F"/>
    <w:rsid w:val="0032155E"/>
    <w:rsid w:val="00323355"/>
    <w:rsid w:val="003278DB"/>
    <w:rsid w:val="00332416"/>
    <w:rsid w:val="00335D87"/>
    <w:rsid w:val="00335F0A"/>
    <w:rsid w:val="00336C7B"/>
    <w:rsid w:val="00337725"/>
    <w:rsid w:val="00337D21"/>
    <w:rsid w:val="00342333"/>
    <w:rsid w:val="00343547"/>
    <w:rsid w:val="00345588"/>
    <w:rsid w:val="00346157"/>
    <w:rsid w:val="00346EA5"/>
    <w:rsid w:val="003526C2"/>
    <w:rsid w:val="00355656"/>
    <w:rsid w:val="003558A4"/>
    <w:rsid w:val="00356365"/>
    <w:rsid w:val="00360FAA"/>
    <w:rsid w:val="003612E2"/>
    <w:rsid w:val="0036417C"/>
    <w:rsid w:val="00366159"/>
    <w:rsid w:val="003673ED"/>
    <w:rsid w:val="003674CA"/>
    <w:rsid w:val="003716A7"/>
    <w:rsid w:val="0037224A"/>
    <w:rsid w:val="003770E6"/>
    <w:rsid w:val="0037749D"/>
    <w:rsid w:val="00377EC4"/>
    <w:rsid w:val="00383144"/>
    <w:rsid w:val="003861EB"/>
    <w:rsid w:val="00386C6F"/>
    <w:rsid w:val="0038742F"/>
    <w:rsid w:val="00391323"/>
    <w:rsid w:val="0039341B"/>
    <w:rsid w:val="00394D24"/>
    <w:rsid w:val="003A4B49"/>
    <w:rsid w:val="003A4C1D"/>
    <w:rsid w:val="003A5999"/>
    <w:rsid w:val="003B354D"/>
    <w:rsid w:val="003B4619"/>
    <w:rsid w:val="003B6926"/>
    <w:rsid w:val="003C1573"/>
    <w:rsid w:val="003C2358"/>
    <w:rsid w:val="003C6280"/>
    <w:rsid w:val="003C6AB5"/>
    <w:rsid w:val="003C6CCC"/>
    <w:rsid w:val="003D1370"/>
    <w:rsid w:val="003D171B"/>
    <w:rsid w:val="003D5D13"/>
    <w:rsid w:val="003E2295"/>
    <w:rsid w:val="003E23B7"/>
    <w:rsid w:val="003E3A23"/>
    <w:rsid w:val="003E5018"/>
    <w:rsid w:val="003E78D6"/>
    <w:rsid w:val="003F006B"/>
    <w:rsid w:val="003F222A"/>
    <w:rsid w:val="003F3B14"/>
    <w:rsid w:val="003F5072"/>
    <w:rsid w:val="003F5991"/>
    <w:rsid w:val="00402115"/>
    <w:rsid w:val="004027C8"/>
    <w:rsid w:val="0040304F"/>
    <w:rsid w:val="004031C2"/>
    <w:rsid w:val="00405B3F"/>
    <w:rsid w:val="00411678"/>
    <w:rsid w:val="00412286"/>
    <w:rsid w:val="0041274C"/>
    <w:rsid w:val="0042647F"/>
    <w:rsid w:val="00431721"/>
    <w:rsid w:val="00431840"/>
    <w:rsid w:val="00431ACF"/>
    <w:rsid w:val="00431C4E"/>
    <w:rsid w:val="00432431"/>
    <w:rsid w:val="00435175"/>
    <w:rsid w:val="00437245"/>
    <w:rsid w:val="00440F23"/>
    <w:rsid w:val="00442E85"/>
    <w:rsid w:val="00444DF2"/>
    <w:rsid w:val="00450609"/>
    <w:rsid w:val="00450939"/>
    <w:rsid w:val="00452354"/>
    <w:rsid w:val="004526F2"/>
    <w:rsid w:val="00452D09"/>
    <w:rsid w:val="00452EC3"/>
    <w:rsid w:val="00454017"/>
    <w:rsid w:val="004547B0"/>
    <w:rsid w:val="0045488E"/>
    <w:rsid w:val="00454DA0"/>
    <w:rsid w:val="00456739"/>
    <w:rsid w:val="0045754F"/>
    <w:rsid w:val="004612EF"/>
    <w:rsid w:val="00464340"/>
    <w:rsid w:val="00471872"/>
    <w:rsid w:val="004718FD"/>
    <w:rsid w:val="00475EDF"/>
    <w:rsid w:val="00477173"/>
    <w:rsid w:val="00477D0D"/>
    <w:rsid w:val="00481EDB"/>
    <w:rsid w:val="004847BB"/>
    <w:rsid w:val="00485A4A"/>
    <w:rsid w:val="00485B7A"/>
    <w:rsid w:val="00486465"/>
    <w:rsid w:val="00486BA2"/>
    <w:rsid w:val="00487570"/>
    <w:rsid w:val="00494D75"/>
    <w:rsid w:val="00494DC6"/>
    <w:rsid w:val="00496A4C"/>
    <w:rsid w:val="00497DDE"/>
    <w:rsid w:val="004A110A"/>
    <w:rsid w:val="004A240D"/>
    <w:rsid w:val="004A2F35"/>
    <w:rsid w:val="004A3781"/>
    <w:rsid w:val="004A42CE"/>
    <w:rsid w:val="004A43FD"/>
    <w:rsid w:val="004A62C7"/>
    <w:rsid w:val="004A6A42"/>
    <w:rsid w:val="004A795E"/>
    <w:rsid w:val="004B225B"/>
    <w:rsid w:val="004B2973"/>
    <w:rsid w:val="004B6ACC"/>
    <w:rsid w:val="004C0B6A"/>
    <w:rsid w:val="004C42D5"/>
    <w:rsid w:val="004C4345"/>
    <w:rsid w:val="004C49B4"/>
    <w:rsid w:val="004C4AB0"/>
    <w:rsid w:val="004C4E88"/>
    <w:rsid w:val="004C5BF6"/>
    <w:rsid w:val="004C66C7"/>
    <w:rsid w:val="004C79D4"/>
    <w:rsid w:val="004D0A25"/>
    <w:rsid w:val="004D115A"/>
    <w:rsid w:val="004D2AE9"/>
    <w:rsid w:val="004D55C7"/>
    <w:rsid w:val="004D7DDA"/>
    <w:rsid w:val="004D7E6F"/>
    <w:rsid w:val="004E05CA"/>
    <w:rsid w:val="004E4E01"/>
    <w:rsid w:val="004E6E7A"/>
    <w:rsid w:val="004E7962"/>
    <w:rsid w:val="004E7A4B"/>
    <w:rsid w:val="004E7F01"/>
    <w:rsid w:val="004F0B24"/>
    <w:rsid w:val="004F0EFD"/>
    <w:rsid w:val="004F106C"/>
    <w:rsid w:val="004F301F"/>
    <w:rsid w:val="004F4ABA"/>
    <w:rsid w:val="004F523A"/>
    <w:rsid w:val="004F7712"/>
    <w:rsid w:val="004F7883"/>
    <w:rsid w:val="00500C43"/>
    <w:rsid w:val="00501A6C"/>
    <w:rsid w:val="00503362"/>
    <w:rsid w:val="00503BBC"/>
    <w:rsid w:val="00504316"/>
    <w:rsid w:val="00507EE2"/>
    <w:rsid w:val="00510E69"/>
    <w:rsid w:val="00512F8A"/>
    <w:rsid w:val="00520C98"/>
    <w:rsid w:val="00521486"/>
    <w:rsid w:val="00521537"/>
    <w:rsid w:val="0052193D"/>
    <w:rsid w:val="00521A62"/>
    <w:rsid w:val="005240A5"/>
    <w:rsid w:val="00524DD4"/>
    <w:rsid w:val="00533E52"/>
    <w:rsid w:val="005360E7"/>
    <w:rsid w:val="005400C0"/>
    <w:rsid w:val="00540D20"/>
    <w:rsid w:val="0054162D"/>
    <w:rsid w:val="005417E7"/>
    <w:rsid w:val="00546341"/>
    <w:rsid w:val="005510B4"/>
    <w:rsid w:val="00551A2A"/>
    <w:rsid w:val="0055269A"/>
    <w:rsid w:val="005538AC"/>
    <w:rsid w:val="00557AB6"/>
    <w:rsid w:val="00560E67"/>
    <w:rsid w:val="00563310"/>
    <w:rsid w:val="00564397"/>
    <w:rsid w:val="00564860"/>
    <w:rsid w:val="00572E38"/>
    <w:rsid w:val="0057435A"/>
    <w:rsid w:val="0058023A"/>
    <w:rsid w:val="00582F32"/>
    <w:rsid w:val="00583AED"/>
    <w:rsid w:val="00587F27"/>
    <w:rsid w:val="00593DAB"/>
    <w:rsid w:val="00594D69"/>
    <w:rsid w:val="005950A1"/>
    <w:rsid w:val="005A005F"/>
    <w:rsid w:val="005A2A02"/>
    <w:rsid w:val="005A2D51"/>
    <w:rsid w:val="005A3BDF"/>
    <w:rsid w:val="005A4AEE"/>
    <w:rsid w:val="005A4C94"/>
    <w:rsid w:val="005A4F88"/>
    <w:rsid w:val="005A5363"/>
    <w:rsid w:val="005A690A"/>
    <w:rsid w:val="005B1F95"/>
    <w:rsid w:val="005B288E"/>
    <w:rsid w:val="005B355F"/>
    <w:rsid w:val="005B42F4"/>
    <w:rsid w:val="005B638D"/>
    <w:rsid w:val="005C124B"/>
    <w:rsid w:val="005C437F"/>
    <w:rsid w:val="005C4C1E"/>
    <w:rsid w:val="005C4E6D"/>
    <w:rsid w:val="005C4F46"/>
    <w:rsid w:val="005C581B"/>
    <w:rsid w:val="005C5DA9"/>
    <w:rsid w:val="005C7FA3"/>
    <w:rsid w:val="005D4929"/>
    <w:rsid w:val="005D4E54"/>
    <w:rsid w:val="005D6021"/>
    <w:rsid w:val="005E0D4B"/>
    <w:rsid w:val="005E2BC1"/>
    <w:rsid w:val="005E3223"/>
    <w:rsid w:val="005E4072"/>
    <w:rsid w:val="005E5831"/>
    <w:rsid w:val="005E6697"/>
    <w:rsid w:val="005F0C39"/>
    <w:rsid w:val="005F0F59"/>
    <w:rsid w:val="005F2EB6"/>
    <w:rsid w:val="006022A3"/>
    <w:rsid w:val="006031B9"/>
    <w:rsid w:val="00604A5B"/>
    <w:rsid w:val="00604B90"/>
    <w:rsid w:val="00606D4B"/>
    <w:rsid w:val="00606ECC"/>
    <w:rsid w:val="00607C63"/>
    <w:rsid w:val="00610C65"/>
    <w:rsid w:val="006118CA"/>
    <w:rsid w:val="006132FA"/>
    <w:rsid w:val="006164D3"/>
    <w:rsid w:val="00616922"/>
    <w:rsid w:val="00617FD6"/>
    <w:rsid w:val="00620AC4"/>
    <w:rsid w:val="00621465"/>
    <w:rsid w:val="00623C12"/>
    <w:rsid w:val="00623CFB"/>
    <w:rsid w:val="00624501"/>
    <w:rsid w:val="006264A5"/>
    <w:rsid w:val="00630D1B"/>
    <w:rsid w:val="00632B3A"/>
    <w:rsid w:val="00634E2A"/>
    <w:rsid w:val="00635588"/>
    <w:rsid w:val="0064073A"/>
    <w:rsid w:val="0064094A"/>
    <w:rsid w:val="00641004"/>
    <w:rsid w:val="00641DA8"/>
    <w:rsid w:val="00643B29"/>
    <w:rsid w:val="00645E5B"/>
    <w:rsid w:val="00646C48"/>
    <w:rsid w:val="006512D3"/>
    <w:rsid w:val="00654940"/>
    <w:rsid w:val="00655217"/>
    <w:rsid w:val="00656C5D"/>
    <w:rsid w:val="00660088"/>
    <w:rsid w:val="00660BCA"/>
    <w:rsid w:val="006611D0"/>
    <w:rsid w:val="00663EF1"/>
    <w:rsid w:val="00670BF5"/>
    <w:rsid w:val="00677B4D"/>
    <w:rsid w:val="0068127A"/>
    <w:rsid w:val="00681914"/>
    <w:rsid w:val="00685760"/>
    <w:rsid w:val="00685F3E"/>
    <w:rsid w:val="00686D59"/>
    <w:rsid w:val="00687526"/>
    <w:rsid w:val="00692D8E"/>
    <w:rsid w:val="00692EC7"/>
    <w:rsid w:val="006942AA"/>
    <w:rsid w:val="00694F9B"/>
    <w:rsid w:val="006973C8"/>
    <w:rsid w:val="00697DB5"/>
    <w:rsid w:val="006A2207"/>
    <w:rsid w:val="006A3A1F"/>
    <w:rsid w:val="006B0D87"/>
    <w:rsid w:val="006B2381"/>
    <w:rsid w:val="006B4932"/>
    <w:rsid w:val="006B6954"/>
    <w:rsid w:val="006C3952"/>
    <w:rsid w:val="006C7F35"/>
    <w:rsid w:val="006D0488"/>
    <w:rsid w:val="006D0EDE"/>
    <w:rsid w:val="006D23E4"/>
    <w:rsid w:val="006D2747"/>
    <w:rsid w:val="006D5B68"/>
    <w:rsid w:val="006D6B05"/>
    <w:rsid w:val="006D77E7"/>
    <w:rsid w:val="006E1411"/>
    <w:rsid w:val="006E4AA6"/>
    <w:rsid w:val="006E56FD"/>
    <w:rsid w:val="006E7CBE"/>
    <w:rsid w:val="006F0E15"/>
    <w:rsid w:val="006F1DC2"/>
    <w:rsid w:val="006F3F2B"/>
    <w:rsid w:val="006F552D"/>
    <w:rsid w:val="007051ED"/>
    <w:rsid w:val="00710F03"/>
    <w:rsid w:val="00712358"/>
    <w:rsid w:val="00712653"/>
    <w:rsid w:val="007130A6"/>
    <w:rsid w:val="00715352"/>
    <w:rsid w:val="007168E6"/>
    <w:rsid w:val="0071698F"/>
    <w:rsid w:val="00716C0F"/>
    <w:rsid w:val="0072091E"/>
    <w:rsid w:val="00722DB4"/>
    <w:rsid w:val="0072303E"/>
    <w:rsid w:val="0072467E"/>
    <w:rsid w:val="00725D63"/>
    <w:rsid w:val="0073125B"/>
    <w:rsid w:val="0073220C"/>
    <w:rsid w:val="00733C3D"/>
    <w:rsid w:val="0073576A"/>
    <w:rsid w:val="00736D2C"/>
    <w:rsid w:val="00736E2D"/>
    <w:rsid w:val="0073714D"/>
    <w:rsid w:val="00743C1D"/>
    <w:rsid w:val="00747746"/>
    <w:rsid w:val="00747D1F"/>
    <w:rsid w:val="00751248"/>
    <w:rsid w:val="00752377"/>
    <w:rsid w:val="007524EC"/>
    <w:rsid w:val="00755390"/>
    <w:rsid w:val="00755C72"/>
    <w:rsid w:val="00756FA5"/>
    <w:rsid w:val="00757689"/>
    <w:rsid w:val="007715F2"/>
    <w:rsid w:val="00772948"/>
    <w:rsid w:val="007748A6"/>
    <w:rsid w:val="007758AC"/>
    <w:rsid w:val="00780A79"/>
    <w:rsid w:val="00780F1F"/>
    <w:rsid w:val="00781477"/>
    <w:rsid w:val="00782DF5"/>
    <w:rsid w:val="00783119"/>
    <w:rsid w:val="0078340C"/>
    <w:rsid w:val="0078459F"/>
    <w:rsid w:val="00784EAC"/>
    <w:rsid w:val="007902D9"/>
    <w:rsid w:val="007927A6"/>
    <w:rsid w:val="0079438A"/>
    <w:rsid w:val="00795A23"/>
    <w:rsid w:val="0079632A"/>
    <w:rsid w:val="0079695F"/>
    <w:rsid w:val="007A2698"/>
    <w:rsid w:val="007A30BE"/>
    <w:rsid w:val="007A3D8A"/>
    <w:rsid w:val="007A4053"/>
    <w:rsid w:val="007A5D87"/>
    <w:rsid w:val="007A6268"/>
    <w:rsid w:val="007B06C2"/>
    <w:rsid w:val="007B0961"/>
    <w:rsid w:val="007B2191"/>
    <w:rsid w:val="007B57BF"/>
    <w:rsid w:val="007B6379"/>
    <w:rsid w:val="007B67F5"/>
    <w:rsid w:val="007B6BA2"/>
    <w:rsid w:val="007C0B9C"/>
    <w:rsid w:val="007C1269"/>
    <w:rsid w:val="007C2151"/>
    <w:rsid w:val="007C27FA"/>
    <w:rsid w:val="007C4559"/>
    <w:rsid w:val="007C5838"/>
    <w:rsid w:val="007C6FD5"/>
    <w:rsid w:val="007D0E50"/>
    <w:rsid w:val="007D325A"/>
    <w:rsid w:val="007D619C"/>
    <w:rsid w:val="007E0DF3"/>
    <w:rsid w:val="007E101F"/>
    <w:rsid w:val="007E4A25"/>
    <w:rsid w:val="007E6422"/>
    <w:rsid w:val="007F231A"/>
    <w:rsid w:val="007F67A8"/>
    <w:rsid w:val="007F71F3"/>
    <w:rsid w:val="00800219"/>
    <w:rsid w:val="00800A92"/>
    <w:rsid w:val="00801AD9"/>
    <w:rsid w:val="00801DA4"/>
    <w:rsid w:val="00803636"/>
    <w:rsid w:val="008044EB"/>
    <w:rsid w:val="00810B65"/>
    <w:rsid w:val="00810F4D"/>
    <w:rsid w:val="00811FD5"/>
    <w:rsid w:val="00813E4F"/>
    <w:rsid w:val="00816018"/>
    <w:rsid w:val="0081635D"/>
    <w:rsid w:val="00816C50"/>
    <w:rsid w:val="00817945"/>
    <w:rsid w:val="00820376"/>
    <w:rsid w:val="00823537"/>
    <w:rsid w:val="00824E1D"/>
    <w:rsid w:val="008255E6"/>
    <w:rsid w:val="00825EA6"/>
    <w:rsid w:val="008331F0"/>
    <w:rsid w:val="00833363"/>
    <w:rsid w:val="0083370A"/>
    <w:rsid w:val="00833723"/>
    <w:rsid w:val="0083403E"/>
    <w:rsid w:val="008344F7"/>
    <w:rsid w:val="00834D26"/>
    <w:rsid w:val="00836431"/>
    <w:rsid w:val="00841520"/>
    <w:rsid w:val="008417B1"/>
    <w:rsid w:val="00841BA8"/>
    <w:rsid w:val="0084210E"/>
    <w:rsid w:val="00843277"/>
    <w:rsid w:val="00843EED"/>
    <w:rsid w:val="008448C7"/>
    <w:rsid w:val="0084615F"/>
    <w:rsid w:val="00846573"/>
    <w:rsid w:val="00847AD0"/>
    <w:rsid w:val="00847B35"/>
    <w:rsid w:val="0085058C"/>
    <w:rsid w:val="00850DB3"/>
    <w:rsid w:val="00850F4F"/>
    <w:rsid w:val="00852C54"/>
    <w:rsid w:val="00853607"/>
    <w:rsid w:val="00856204"/>
    <w:rsid w:val="0085653B"/>
    <w:rsid w:val="008568D1"/>
    <w:rsid w:val="00860811"/>
    <w:rsid w:val="00861629"/>
    <w:rsid w:val="0086341B"/>
    <w:rsid w:val="00863CA4"/>
    <w:rsid w:val="008658C9"/>
    <w:rsid w:val="00865BEE"/>
    <w:rsid w:val="00865C94"/>
    <w:rsid w:val="00870070"/>
    <w:rsid w:val="00872BDE"/>
    <w:rsid w:val="00874499"/>
    <w:rsid w:val="008753F7"/>
    <w:rsid w:val="0087644F"/>
    <w:rsid w:val="00876AF3"/>
    <w:rsid w:val="008773D3"/>
    <w:rsid w:val="00880F7D"/>
    <w:rsid w:val="00881ABD"/>
    <w:rsid w:val="008820BE"/>
    <w:rsid w:val="00883732"/>
    <w:rsid w:val="00887126"/>
    <w:rsid w:val="00887DE7"/>
    <w:rsid w:val="00891CD5"/>
    <w:rsid w:val="008962DC"/>
    <w:rsid w:val="008969D2"/>
    <w:rsid w:val="008972A6"/>
    <w:rsid w:val="008A194C"/>
    <w:rsid w:val="008A20D6"/>
    <w:rsid w:val="008A592E"/>
    <w:rsid w:val="008A5E5C"/>
    <w:rsid w:val="008A642B"/>
    <w:rsid w:val="008A7CFD"/>
    <w:rsid w:val="008B05F1"/>
    <w:rsid w:val="008B1F58"/>
    <w:rsid w:val="008B2A4A"/>
    <w:rsid w:val="008B506E"/>
    <w:rsid w:val="008B5C8D"/>
    <w:rsid w:val="008B679E"/>
    <w:rsid w:val="008B6D7A"/>
    <w:rsid w:val="008B720D"/>
    <w:rsid w:val="008C0704"/>
    <w:rsid w:val="008C0928"/>
    <w:rsid w:val="008C6DA2"/>
    <w:rsid w:val="008C7D92"/>
    <w:rsid w:val="008D2719"/>
    <w:rsid w:val="008D30E7"/>
    <w:rsid w:val="008D32AE"/>
    <w:rsid w:val="008D442E"/>
    <w:rsid w:val="008D7117"/>
    <w:rsid w:val="008E202E"/>
    <w:rsid w:val="008E2D75"/>
    <w:rsid w:val="008E723D"/>
    <w:rsid w:val="008F0B0D"/>
    <w:rsid w:val="008F23D7"/>
    <w:rsid w:val="008F2B85"/>
    <w:rsid w:val="008F42F8"/>
    <w:rsid w:val="008F5AB6"/>
    <w:rsid w:val="008F7A9E"/>
    <w:rsid w:val="009014D2"/>
    <w:rsid w:val="00902A51"/>
    <w:rsid w:val="00906CB1"/>
    <w:rsid w:val="00906CFA"/>
    <w:rsid w:val="0090721C"/>
    <w:rsid w:val="0091251D"/>
    <w:rsid w:val="00912CD3"/>
    <w:rsid w:val="00915022"/>
    <w:rsid w:val="00915266"/>
    <w:rsid w:val="00922E9E"/>
    <w:rsid w:val="009231D4"/>
    <w:rsid w:val="009248E9"/>
    <w:rsid w:val="00924F50"/>
    <w:rsid w:val="00925A63"/>
    <w:rsid w:val="00926143"/>
    <w:rsid w:val="0092761C"/>
    <w:rsid w:val="00930376"/>
    <w:rsid w:val="00930412"/>
    <w:rsid w:val="009318CD"/>
    <w:rsid w:val="009321D4"/>
    <w:rsid w:val="009329F9"/>
    <w:rsid w:val="00932FE2"/>
    <w:rsid w:val="00933D2C"/>
    <w:rsid w:val="009340EB"/>
    <w:rsid w:val="00935F33"/>
    <w:rsid w:val="0094064D"/>
    <w:rsid w:val="00940CDA"/>
    <w:rsid w:val="00940CE2"/>
    <w:rsid w:val="00941F2D"/>
    <w:rsid w:val="00943F4C"/>
    <w:rsid w:val="00950469"/>
    <w:rsid w:val="00950BDB"/>
    <w:rsid w:val="009536DD"/>
    <w:rsid w:val="00957AF0"/>
    <w:rsid w:val="00961BC7"/>
    <w:rsid w:val="00961C35"/>
    <w:rsid w:val="009670E3"/>
    <w:rsid w:val="00967D02"/>
    <w:rsid w:val="009700A2"/>
    <w:rsid w:val="0097076A"/>
    <w:rsid w:val="00970AC9"/>
    <w:rsid w:val="00971DC5"/>
    <w:rsid w:val="0097493E"/>
    <w:rsid w:val="009751CE"/>
    <w:rsid w:val="009751DF"/>
    <w:rsid w:val="00975D70"/>
    <w:rsid w:val="00976F39"/>
    <w:rsid w:val="009773FC"/>
    <w:rsid w:val="00977C45"/>
    <w:rsid w:val="009812BF"/>
    <w:rsid w:val="009818B2"/>
    <w:rsid w:val="00981EEA"/>
    <w:rsid w:val="0098327D"/>
    <w:rsid w:val="00983703"/>
    <w:rsid w:val="00985F4C"/>
    <w:rsid w:val="009861DB"/>
    <w:rsid w:val="009874D2"/>
    <w:rsid w:val="00987EE8"/>
    <w:rsid w:val="00992296"/>
    <w:rsid w:val="009923A3"/>
    <w:rsid w:val="009927CE"/>
    <w:rsid w:val="0099786D"/>
    <w:rsid w:val="00997E01"/>
    <w:rsid w:val="009A4202"/>
    <w:rsid w:val="009A4EA1"/>
    <w:rsid w:val="009A50AC"/>
    <w:rsid w:val="009B1DDF"/>
    <w:rsid w:val="009B22D6"/>
    <w:rsid w:val="009B24DF"/>
    <w:rsid w:val="009B5170"/>
    <w:rsid w:val="009B563E"/>
    <w:rsid w:val="009B6B12"/>
    <w:rsid w:val="009B6D7A"/>
    <w:rsid w:val="009C10FD"/>
    <w:rsid w:val="009C1DEC"/>
    <w:rsid w:val="009C585F"/>
    <w:rsid w:val="009D0EBA"/>
    <w:rsid w:val="009D3482"/>
    <w:rsid w:val="009D541D"/>
    <w:rsid w:val="009D6450"/>
    <w:rsid w:val="009D6454"/>
    <w:rsid w:val="009D7225"/>
    <w:rsid w:val="009E0B39"/>
    <w:rsid w:val="009E1CFE"/>
    <w:rsid w:val="009E1D0C"/>
    <w:rsid w:val="009E25EA"/>
    <w:rsid w:val="009E346D"/>
    <w:rsid w:val="009E48EE"/>
    <w:rsid w:val="009E5AE8"/>
    <w:rsid w:val="009F08E6"/>
    <w:rsid w:val="009F1648"/>
    <w:rsid w:val="009F5ED6"/>
    <w:rsid w:val="009F638A"/>
    <w:rsid w:val="009F6887"/>
    <w:rsid w:val="009F79EC"/>
    <w:rsid w:val="00A02D2B"/>
    <w:rsid w:val="00A04179"/>
    <w:rsid w:val="00A046FE"/>
    <w:rsid w:val="00A10CD0"/>
    <w:rsid w:val="00A11621"/>
    <w:rsid w:val="00A12145"/>
    <w:rsid w:val="00A12C96"/>
    <w:rsid w:val="00A13106"/>
    <w:rsid w:val="00A1381D"/>
    <w:rsid w:val="00A13B5E"/>
    <w:rsid w:val="00A16196"/>
    <w:rsid w:val="00A203F0"/>
    <w:rsid w:val="00A204F5"/>
    <w:rsid w:val="00A20654"/>
    <w:rsid w:val="00A2080D"/>
    <w:rsid w:val="00A20B89"/>
    <w:rsid w:val="00A20BDE"/>
    <w:rsid w:val="00A224FA"/>
    <w:rsid w:val="00A314D3"/>
    <w:rsid w:val="00A316A8"/>
    <w:rsid w:val="00A510EB"/>
    <w:rsid w:val="00A51801"/>
    <w:rsid w:val="00A52672"/>
    <w:rsid w:val="00A56595"/>
    <w:rsid w:val="00A60BFD"/>
    <w:rsid w:val="00A60E76"/>
    <w:rsid w:val="00A63C6A"/>
    <w:rsid w:val="00A66506"/>
    <w:rsid w:val="00A67FD7"/>
    <w:rsid w:val="00A72A55"/>
    <w:rsid w:val="00A731B1"/>
    <w:rsid w:val="00A736BD"/>
    <w:rsid w:val="00A740B3"/>
    <w:rsid w:val="00A75305"/>
    <w:rsid w:val="00A766DE"/>
    <w:rsid w:val="00A813D6"/>
    <w:rsid w:val="00A821A0"/>
    <w:rsid w:val="00A85B2A"/>
    <w:rsid w:val="00A86F09"/>
    <w:rsid w:val="00A86FF5"/>
    <w:rsid w:val="00A8714D"/>
    <w:rsid w:val="00A87E37"/>
    <w:rsid w:val="00A91B38"/>
    <w:rsid w:val="00A92EC0"/>
    <w:rsid w:val="00A9424D"/>
    <w:rsid w:val="00A96A91"/>
    <w:rsid w:val="00A96C6B"/>
    <w:rsid w:val="00A96EA8"/>
    <w:rsid w:val="00AA2436"/>
    <w:rsid w:val="00AB02EB"/>
    <w:rsid w:val="00AB074C"/>
    <w:rsid w:val="00AB0EFF"/>
    <w:rsid w:val="00AB25AE"/>
    <w:rsid w:val="00AB36F2"/>
    <w:rsid w:val="00AB4687"/>
    <w:rsid w:val="00AB5C2B"/>
    <w:rsid w:val="00AB65AD"/>
    <w:rsid w:val="00AC1C05"/>
    <w:rsid w:val="00AC34E8"/>
    <w:rsid w:val="00AC478A"/>
    <w:rsid w:val="00AC7095"/>
    <w:rsid w:val="00AD09CA"/>
    <w:rsid w:val="00AD0DF2"/>
    <w:rsid w:val="00AD1D62"/>
    <w:rsid w:val="00AD20E3"/>
    <w:rsid w:val="00AD4FC7"/>
    <w:rsid w:val="00AD5651"/>
    <w:rsid w:val="00AD5D41"/>
    <w:rsid w:val="00AE0187"/>
    <w:rsid w:val="00AE133E"/>
    <w:rsid w:val="00AE3A2A"/>
    <w:rsid w:val="00AE3F62"/>
    <w:rsid w:val="00AE4636"/>
    <w:rsid w:val="00AE6D18"/>
    <w:rsid w:val="00AE7911"/>
    <w:rsid w:val="00AF01B6"/>
    <w:rsid w:val="00AF137D"/>
    <w:rsid w:val="00AF1791"/>
    <w:rsid w:val="00AF6976"/>
    <w:rsid w:val="00B01237"/>
    <w:rsid w:val="00B01601"/>
    <w:rsid w:val="00B020B5"/>
    <w:rsid w:val="00B02C18"/>
    <w:rsid w:val="00B0334C"/>
    <w:rsid w:val="00B05E9A"/>
    <w:rsid w:val="00B071B5"/>
    <w:rsid w:val="00B102D0"/>
    <w:rsid w:val="00B1037D"/>
    <w:rsid w:val="00B13E42"/>
    <w:rsid w:val="00B13E9F"/>
    <w:rsid w:val="00B149A2"/>
    <w:rsid w:val="00B14B36"/>
    <w:rsid w:val="00B16458"/>
    <w:rsid w:val="00B17A5B"/>
    <w:rsid w:val="00B17A5D"/>
    <w:rsid w:val="00B20B7E"/>
    <w:rsid w:val="00B23490"/>
    <w:rsid w:val="00B23D31"/>
    <w:rsid w:val="00B243E8"/>
    <w:rsid w:val="00B252AC"/>
    <w:rsid w:val="00B316B3"/>
    <w:rsid w:val="00B31BE9"/>
    <w:rsid w:val="00B32468"/>
    <w:rsid w:val="00B32681"/>
    <w:rsid w:val="00B34A6D"/>
    <w:rsid w:val="00B36A33"/>
    <w:rsid w:val="00B36F85"/>
    <w:rsid w:val="00B371BD"/>
    <w:rsid w:val="00B412D4"/>
    <w:rsid w:val="00B44380"/>
    <w:rsid w:val="00B458DF"/>
    <w:rsid w:val="00B50787"/>
    <w:rsid w:val="00B5469D"/>
    <w:rsid w:val="00B56123"/>
    <w:rsid w:val="00B6063A"/>
    <w:rsid w:val="00B60B14"/>
    <w:rsid w:val="00B61731"/>
    <w:rsid w:val="00B61B05"/>
    <w:rsid w:val="00B6321B"/>
    <w:rsid w:val="00B635E6"/>
    <w:rsid w:val="00B63A3D"/>
    <w:rsid w:val="00B66795"/>
    <w:rsid w:val="00B66D2D"/>
    <w:rsid w:val="00B708BC"/>
    <w:rsid w:val="00B71BF6"/>
    <w:rsid w:val="00B72697"/>
    <w:rsid w:val="00B735CD"/>
    <w:rsid w:val="00B73913"/>
    <w:rsid w:val="00B807EE"/>
    <w:rsid w:val="00B84C0A"/>
    <w:rsid w:val="00B877B0"/>
    <w:rsid w:val="00B94429"/>
    <w:rsid w:val="00B9456B"/>
    <w:rsid w:val="00BA0F7D"/>
    <w:rsid w:val="00BA3D49"/>
    <w:rsid w:val="00BA5FCE"/>
    <w:rsid w:val="00BA77B6"/>
    <w:rsid w:val="00BB0E43"/>
    <w:rsid w:val="00BB36A3"/>
    <w:rsid w:val="00BB3D0B"/>
    <w:rsid w:val="00BB6573"/>
    <w:rsid w:val="00BB67C3"/>
    <w:rsid w:val="00BC1F32"/>
    <w:rsid w:val="00BC2E42"/>
    <w:rsid w:val="00BC35DC"/>
    <w:rsid w:val="00BC42DA"/>
    <w:rsid w:val="00BC45A9"/>
    <w:rsid w:val="00BC53D2"/>
    <w:rsid w:val="00BC5536"/>
    <w:rsid w:val="00BD2229"/>
    <w:rsid w:val="00BD3786"/>
    <w:rsid w:val="00BD4991"/>
    <w:rsid w:val="00BD6EBA"/>
    <w:rsid w:val="00BE0D6D"/>
    <w:rsid w:val="00BE35BD"/>
    <w:rsid w:val="00BE3C92"/>
    <w:rsid w:val="00BF04AB"/>
    <w:rsid w:val="00BF6780"/>
    <w:rsid w:val="00BF76C1"/>
    <w:rsid w:val="00C005ED"/>
    <w:rsid w:val="00C0110F"/>
    <w:rsid w:val="00C0152C"/>
    <w:rsid w:val="00C02E61"/>
    <w:rsid w:val="00C032CB"/>
    <w:rsid w:val="00C03F8B"/>
    <w:rsid w:val="00C04650"/>
    <w:rsid w:val="00C049EA"/>
    <w:rsid w:val="00C0561D"/>
    <w:rsid w:val="00C0705C"/>
    <w:rsid w:val="00C07491"/>
    <w:rsid w:val="00C108CB"/>
    <w:rsid w:val="00C12213"/>
    <w:rsid w:val="00C22DAC"/>
    <w:rsid w:val="00C26A99"/>
    <w:rsid w:val="00C27547"/>
    <w:rsid w:val="00C31998"/>
    <w:rsid w:val="00C3239E"/>
    <w:rsid w:val="00C334A7"/>
    <w:rsid w:val="00C342D3"/>
    <w:rsid w:val="00C35227"/>
    <w:rsid w:val="00C36E5A"/>
    <w:rsid w:val="00C3744D"/>
    <w:rsid w:val="00C44B7E"/>
    <w:rsid w:val="00C455B6"/>
    <w:rsid w:val="00C513DA"/>
    <w:rsid w:val="00C51B3E"/>
    <w:rsid w:val="00C52389"/>
    <w:rsid w:val="00C52E6A"/>
    <w:rsid w:val="00C5310E"/>
    <w:rsid w:val="00C5345E"/>
    <w:rsid w:val="00C54630"/>
    <w:rsid w:val="00C60829"/>
    <w:rsid w:val="00C61336"/>
    <w:rsid w:val="00C65359"/>
    <w:rsid w:val="00C66A6E"/>
    <w:rsid w:val="00C70B69"/>
    <w:rsid w:val="00C70BAE"/>
    <w:rsid w:val="00C71D21"/>
    <w:rsid w:val="00C72F71"/>
    <w:rsid w:val="00C7370B"/>
    <w:rsid w:val="00C77218"/>
    <w:rsid w:val="00C77638"/>
    <w:rsid w:val="00C77F2E"/>
    <w:rsid w:val="00C845B3"/>
    <w:rsid w:val="00C87914"/>
    <w:rsid w:val="00C907B7"/>
    <w:rsid w:val="00C913CD"/>
    <w:rsid w:val="00C92686"/>
    <w:rsid w:val="00C9385E"/>
    <w:rsid w:val="00C9440A"/>
    <w:rsid w:val="00C95978"/>
    <w:rsid w:val="00C96790"/>
    <w:rsid w:val="00C97A9E"/>
    <w:rsid w:val="00CA0D7E"/>
    <w:rsid w:val="00CA27D3"/>
    <w:rsid w:val="00CA40F3"/>
    <w:rsid w:val="00CA479D"/>
    <w:rsid w:val="00CA4927"/>
    <w:rsid w:val="00CA721B"/>
    <w:rsid w:val="00CA7269"/>
    <w:rsid w:val="00CA7A9D"/>
    <w:rsid w:val="00CB052C"/>
    <w:rsid w:val="00CB084E"/>
    <w:rsid w:val="00CB34E2"/>
    <w:rsid w:val="00CB45D2"/>
    <w:rsid w:val="00CB7C55"/>
    <w:rsid w:val="00CC083C"/>
    <w:rsid w:val="00CC29E2"/>
    <w:rsid w:val="00CC2E24"/>
    <w:rsid w:val="00CC2EC8"/>
    <w:rsid w:val="00CC4626"/>
    <w:rsid w:val="00CC5CAA"/>
    <w:rsid w:val="00CC5EFC"/>
    <w:rsid w:val="00CD0DB5"/>
    <w:rsid w:val="00CD2B3A"/>
    <w:rsid w:val="00CD5ABB"/>
    <w:rsid w:val="00CE3A4E"/>
    <w:rsid w:val="00CE6CCC"/>
    <w:rsid w:val="00CF6391"/>
    <w:rsid w:val="00CF7FCF"/>
    <w:rsid w:val="00D021AD"/>
    <w:rsid w:val="00D05076"/>
    <w:rsid w:val="00D05B3A"/>
    <w:rsid w:val="00D106A6"/>
    <w:rsid w:val="00D13CDA"/>
    <w:rsid w:val="00D13CFE"/>
    <w:rsid w:val="00D15B00"/>
    <w:rsid w:val="00D17960"/>
    <w:rsid w:val="00D20423"/>
    <w:rsid w:val="00D22D16"/>
    <w:rsid w:val="00D22E31"/>
    <w:rsid w:val="00D26329"/>
    <w:rsid w:val="00D27908"/>
    <w:rsid w:val="00D32802"/>
    <w:rsid w:val="00D32F2E"/>
    <w:rsid w:val="00D37CB9"/>
    <w:rsid w:val="00D37DFF"/>
    <w:rsid w:val="00D41257"/>
    <w:rsid w:val="00D41F73"/>
    <w:rsid w:val="00D42B35"/>
    <w:rsid w:val="00D43292"/>
    <w:rsid w:val="00D43450"/>
    <w:rsid w:val="00D43563"/>
    <w:rsid w:val="00D4452F"/>
    <w:rsid w:val="00D45774"/>
    <w:rsid w:val="00D5147E"/>
    <w:rsid w:val="00D533BD"/>
    <w:rsid w:val="00D534C2"/>
    <w:rsid w:val="00D54304"/>
    <w:rsid w:val="00D5531E"/>
    <w:rsid w:val="00D563EA"/>
    <w:rsid w:val="00D56D23"/>
    <w:rsid w:val="00D64170"/>
    <w:rsid w:val="00D67097"/>
    <w:rsid w:val="00D67DEC"/>
    <w:rsid w:val="00D70016"/>
    <w:rsid w:val="00D70D28"/>
    <w:rsid w:val="00D71D01"/>
    <w:rsid w:val="00D73CF5"/>
    <w:rsid w:val="00D759CD"/>
    <w:rsid w:val="00D7612C"/>
    <w:rsid w:val="00D77732"/>
    <w:rsid w:val="00D82C7E"/>
    <w:rsid w:val="00D847FB"/>
    <w:rsid w:val="00D8631C"/>
    <w:rsid w:val="00D87C72"/>
    <w:rsid w:val="00D92221"/>
    <w:rsid w:val="00D9241D"/>
    <w:rsid w:val="00D924EC"/>
    <w:rsid w:val="00D94BBB"/>
    <w:rsid w:val="00D94BC2"/>
    <w:rsid w:val="00D95BC9"/>
    <w:rsid w:val="00D95DCD"/>
    <w:rsid w:val="00DA38D0"/>
    <w:rsid w:val="00DA5643"/>
    <w:rsid w:val="00DA6F69"/>
    <w:rsid w:val="00DB0BE4"/>
    <w:rsid w:val="00DB0E20"/>
    <w:rsid w:val="00DB199F"/>
    <w:rsid w:val="00DB1BD9"/>
    <w:rsid w:val="00DB6A1F"/>
    <w:rsid w:val="00DB77CD"/>
    <w:rsid w:val="00DB79D0"/>
    <w:rsid w:val="00DC03A7"/>
    <w:rsid w:val="00DC040F"/>
    <w:rsid w:val="00DC28BC"/>
    <w:rsid w:val="00DC4F52"/>
    <w:rsid w:val="00DC682B"/>
    <w:rsid w:val="00DC6A2E"/>
    <w:rsid w:val="00DC7A1A"/>
    <w:rsid w:val="00DD0448"/>
    <w:rsid w:val="00DD0DFB"/>
    <w:rsid w:val="00DE02E1"/>
    <w:rsid w:val="00DE0E3B"/>
    <w:rsid w:val="00DE6538"/>
    <w:rsid w:val="00DF0BA4"/>
    <w:rsid w:val="00DF2DAF"/>
    <w:rsid w:val="00DF3038"/>
    <w:rsid w:val="00DF55C4"/>
    <w:rsid w:val="00DF5E99"/>
    <w:rsid w:val="00DF6289"/>
    <w:rsid w:val="00DF7213"/>
    <w:rsid w:val="00E00625"/>
    <w:rsid w:val="00E00B88"/>
    <w:rsid w:val="00E0367A"/>
    <w:rsid w:val="00E05CA0"/>
    <w:rsid w:val="00E068F3"/>
    <w:rsid w:val="00E0748D"/>
    <w:rsid w:val="00E11091"/>
    <w:rsid w:val="00E12EAB"/>
    <w:rsid w:val="00E1589B"/>
    <w:rsid w:val="00E15B3E"/>
    <w:rsid w:val="00E1784B"/>
    <w:rsid w:val="00E20954"/>
    <w:rsid w:val="00E21211"/>
    <w:rsid w:val="00E21A2C"/>
    <w:rsid w:val="00E22F36"/>
    <w:rsid w:val="00E25877"/>
    <w:rsid w:val="00E26034"/>
    <w:rsid w:val="00E27B3B"/>
    <w:rsid w:val="00E30BAD"/>
    <w:rsid w:val="00E31220"/>
    <w:rsid w:val="00E31BF3"/>
    <w:rsid w:val="00E3388B"/>
    <w:rsid w:val="00E35A9D"/>
    <w:rsid w:val="00E35ED0"/>
    <w:rsid w:val="00E37025"/>
    <w:rsid w:val="00E370D8"/>
    <w:rsid w:val="00E3763E"/>
    <w:rsid w:val="00E4042B"/>
    <w:rsid w:val="00E40830"/>
    <w:rsid w:val="00E40B24"/>
    <w:rsid w:val="00E4729E"/>
    <w:rsid w:val="00E50509"/>
    <w:rsid w:val="00E50E4D"/>
    <w:rsid w:val="00E51261"/>
    <w:rsid w:val="00E522D6"/>
    <w:rsid w:val="00E53411"/>
    <w:rsid w:val="00E56929"/>
    <w:rsid w:val="00E57A29"/>
    <w:rsid w:val="00E57A68"/>
    <w:rsid w:val="00E619A9"/>
    <w:rsid w:val="00E6258D"/>
    <w:rsid w:val="00E6350C"/>
    <w:rsid w:val="00E64459"/>
    <w:rsid w:val="00E6492E"/>
    <w:rsid w:val="00E6577E"/>
    <w:rsid w:val="00E7014C"/>
    <w:rsid w:val="00E73A93"/>
    <w:rsid w:val="00E74B94"/>
    <w:rsid w:val="00E84D8C"/>
    <w:rsid w:val="00E871BB"/>
    <w:rsid w:val="00E902C7"/>
    <w:rsid w:val="00E93CAF"/>
    <w:rsid w:val="00E9566E"/>
    <w:rsid w:val="00EA3280"/>
    <w:rsid w:val="00EA5CB3"/>
    <w:rsid w:val="00EB1A45"/>
    <w:rsid w:val="00EB29F5"/>
    <w:rsid w:val="00EB2F59"/>
    <w:rsid w:val="00EB30BF"/>
    <w:rsid w:val="00EB4527"/>
    <w:rsid w:val="00EB4959"/>
    <w:rsid w:val="00EB53B6"/>
    <w:rsid w:val="00EC3A6D"/>
    <w:rsid w:val="00EC3A8B"/>
    <w:rsid w:val="00EC6EE7"/>
    <w:rsid w:val="00EC7763"/>
    <w:rsid w:val="00ED008C"/>
    <w:rsid w:val="00ED0C46"/>
    <w:rsid w:val="00ED2685"/>
    <w:rsid w:val="00ED27BF"/>
    <w:rsid w:val="00ED2AC7"/>
    <w:rsid w:val="00ED3408"/>
    <w:rsid w:val="00ED3523"/>
    <w:rsid w:val="00ED666F"/>
    <w:rsid w:val="00ED7AC7"/>
    <w:rsid w:val="00EE3454"/>
    <w:rsid w:val="00EE4184"/>
    <w:rsid w:val="00EE478E"/>
    <w:rsid w:val="00EE498F"/>
    <w:rsid w:val="00EF2C58"/>
    <w:rsid w:val="00EF2E35"/>
    <w:rsid w:val="00EF3465"/>
    <w:rsid w:val="00EF3F53"/>
    <w:rsid w:val="00EF4366"/>
    <w:rsid w:val="00EF4721"/>
    <w:rsid w:val="00EF5A7A"/>
    <w:rsid w:val="00F031BE"/>
    <w:rsid w:val="00F03F72"/>
    <w:rsid w:val="00F04483"/>
    <w:rsid w:val="00F04669"/>
    <w:rsid w:val="00F05A85"/>
    <w:rsid w:val="00F05F5E"/>
    <w:rsid w:val="00F06316"/>
    <w:rsid w:val="00F06F76"/>
    <w:rsid w:val="00F076E2"/>
    <w:rsid w:val="00F143ED"/>
    <w:rsid w:val="00F15D16"/>
    <w:rsid w:val="00F15ED0"/>
    <w:rsid w:val="00F17C4F"/>
    <w:rsid w:val="00F17C74"/>
    <w:rsid w:val="00F20556"/>
    <w:rsid w:val="00F2543A"/>
    <w:rsid w:val="00F27A3D"/>
    <w:rsid w:val="00F31CCB"/>
    <w:rsid w:val="00F3405E"/>
    <w:rsid w:val="00F36ACD"/>
    <w:rsid w:val="00F4147F"/>
    <w:rsid w:val="00F4199E"/>
    <w:rsid w:val="00F427EB"/>
    <w:rsid w:val="00F439B5"/>
    <w:rsid w:val="00F463F6"/>
    <w:rsid w:val="00F46A0F"/>
    <w:rsid w:val="00F5048D"/>
    <w:rsid w:val="00F5064D"/>
    <w:rsid w:val="00F50E84"/>
    <w:rsid w:val="00F514BC"/>
    <w:rsid w:val="00F53551"/>
    <w:rsid w:val="00F550B6"/>
    <w:rsid w:val="00F55366"/>
    <w:rsid w:val="00F55D12"/>
    <w:rsid w:val="00F561AE"/>
    <w:rsid w:val="00F618CA"/>
    <w:rsid w:val="00F61DC7"/>
    <w:rsid w:val="00F62520"/>
    <w:rsid w:val="00F6373F"/>
    <w:rsid w:val="00F662AF"/>
    <w:rsid w:val="00F7022D"/>
    <w:rsid w:val="00F703BC"/>
    <w:rsid w:val="00F708AC"/>
    <w:rsid w:val="00F728E8"/>
    <w:rsid w:val="00F74D3F"/>
    <w:rsid w:val="00F75A98"/>
    <w:rsid w:val="00F75C4F"/>
    <w:rsid w:val="00F75F26"/>
    <w:rsid w:val="00F7760A"/>
    <w:rsid w:val="00F82432"/>
    <w:rsid w:val="00F824A4"/>
    <w:rsid w:val="00F82A81"/>
    <w:rsid w:val="00F85250"/>
    <w:rsid w:val="00F86C13"/>
    <w:rsid w:val="00F86CD1"/>
    <w:rsid w:val="00F87033"/>
    <w:rsid w:val="00F905FA"/>
    <w:rsid w:val="00F90D90"/>
    <w:rsid w:val="00F918D2"/>
    <w:rsid w:val="00F95AD0"/>
    <w:rsid w:val="00F97917"/>
    <w:rsid w:val="00F97E59"/>
    <w:rsid w:val="00FA0980"/>
    <w:rsid w:val="00FA1D92"/>
    <w:rsid w:val="00FA4559"/>
    <w:rsid w:val="00FA77EB"/>
    <w:rsid w:val="00FB2A7E"/>
    <w:rsid w:val="00FB37A7"/>
    <w:rsid w:val="00FB4F3E"/>
    <w:rsid w:val="00FB6314"/>
    <w:rsid w:val="00FB692D"/>
    <w:rsid w:val="00FB72B6"/>
    <w:rsid w:val="00FC03D0"/>
    <w:rsid w:val="00FC66A9"/>
    <w:rsid w:val="00FC70E3"/>
    <w:rsid w:val="00FD1498"/>
    <w:rsid w:val="00FD5E55"/>
    <w:rsid w:val="00FD6326"/>
    <w:rsid w:val="00FD693C"/>
    <w:rsid w:val="00FD6CD6"/>
    <w:rsid w:val="00FE0B09"/>
    <w:rsid w:val="00FE3A9F"/>
    <w:rsid w:val="00FE4156"/>
    <w:rsid w:val="00FE4985"/>
    <w:rsid w:val="00FE4B75"/>
    <w:rsid w:val="00FE78AA"/>
    <w:rsid w:val="00FE7E64"/>
    <w:rsid w:val="00FF195E"/>
    <w:rsid w:val="00FF2625"/>
    <w:rsid w:val="00FF4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A2F9C395-8EF5-4D70-A996-065AE928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15"/>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qFormat/>
    <w:rsid w:val="0020399D"/>
    <w:pPr>
      <w:keepNext/>
      <w:keepLines/>
      <w:spacing w:before="480"/>
      <w:ind w:left="567" w:hanging="567"/>
      <w:outlineLvl w:val="0"/>
    </w:pPr>
    <w:rPr>
      <w:b/>
      <w:sz w:val="28"/>
    </w:rPr>
  </w:style>
  <w:style w:type="paragraph" w:styleId="Heading2">
    <w:name w:val="heading 2"/>
    <w:basedOn w:val="Heading1"/>
    <w:next w:val="Normal"/>
    <w:qFormat/>
    <w:rsid w:val="0020399D"/>
    <w:pPr>
      <w:spacing w:before="320"/>
      <w:outlineLvl w:val="1"/>
    </w:pPr>
    <w:rPr>
      <w:sz w:val="24"/>
    </w:rPr>
  </w:style>
  <w:style w:type="paragraph" w:styleId="Heading3">
    <w:name w:val="heading 3"/>
    <w:basedOn w:val="Heading1"/>
    <w:next w:val="Normal"/>
    <w:qFormat/>
    <w:rsid w:val="0020399D"/>
    <w:pPr>
      <w:spacing w:before="200"/>
      <w:outlineLvl w:val="2"/>
    </w:pPr>
    <w:rPr>
      <w:sz w:val="24"/>
    </w:rPr>
  </w:style>
  <w:style w:type="paragraph" w:styleId="Heading4">
    <w:name w:val="heading 4"/>
    <w:basedOn w:val="Heading3"/>
    <w:next w:val="Normal"/>
    <w:qFormat/>
    <w:rsid w:val="0020399D"/>
    <w:pPr>
      <w:ind w:left="1134" w:hanging="1134"/>
      <w:outlineLvl w:val="3"/>
    </w:pPr>
  </w:style>
  <w:style w:type="paragraph" w:styleId="Heading5">
    <w:name w:val="heading 5"/>
    <w:basedOn w:val="Heading4"/>
    <w:next w:val="Normal"/>
    <w:qFormat/>
    <w:rsid w:val="0020399D"/>
    <w:pPr>
      <w:outlineLvl w:val="4"/>
    </w:pPr>
  </w:style>
  <w:style w:type="paragraph" w:styleId="Heading6">
    <w:name w:val="heading 6"/>
    <w:basedOn w:val="Heading4"/>
    <w:next w:val="Normal"/>
    <w:qFormat/>
    <w:rsid w:val="0020399D"/>
    <w:pPr>
      <w:outlineLvl w:val="5"/>
    </w:pPr>
  </w:style>
  <w:style w:type="paragraph" w:styleId="Heading7">
    <w:name w:val="heading 7"/>
    <w:basedOn w:val="Heading4"/>
    <w:next w:val="Normal"/>
    <w:qFormat/>
    <w:rsid w:val="0020399D"/>
    <w:pPr>
      <w:ind w:left="1701" w:hanging="1701"/>
      <w:outlineLvl w:val="6"/>
    </w:pPr>
  </w:style>
  <w:style w:type="paragraph" w:styleId="Heading8">
    <w:name w:val="heading 8"/>
    <w:basedOn w:val="Heading4"/>
    <w:next w:val="Normal"/>
    <w:qFormat/>
    <w:rsid w:val="0020399D"/>
    <w:pPr>
      <w:ind w:left="1701" w:hanging="1701"/>
      <w:outlineLvl w:val="7"/>
    </w:pPr>
  </w:style>
  <w:style w:type="paragraph" w:styleId="Heading9">
    <w:name w:val="heading 9"/>
    <w:basedOn w:val="Heading4"/>
    <w:next w:val="Normal"/>
    <w:qFormat/>
    <w:rsid w:val="0020399D"/>
    <w:pPr>
      <w:ind w:left="1701" w:hanging="1701"/>
      <w:outlineLvl w:val="8"/>
    </w:pPr>
  </w:style>
  <w:style w:type="character" w:default="1" w:styleId="DefaultParagraphFont">
    <w:name w:val="Default Paragraph Font"/>
    <w:uiPriority w:val="1"/>
    <w:semiHidden/>
    <w:unhideWhenUsed/>
    <w:rsid w:val="006F0E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0E15"/>
  </w:style>
  <w:style w:type="paragraph" w:styleId="TOC8">
    <w:name w:val="toc 8"/>
    <w:basedOn w:val="Normal"/>
    <w:next w:val="Normal"/>
    <w:rsid w:val="0020399D"/>
    <w:pPr>
      <w:tabs>
        <w:tab w:val="left" w:pos="964"/>
        <w:tab w:val="left" w:leader="dot" w:pos="8789"/>
        <w:tab w:val="right" w:pos="9639"/>
      </w:tabs>
      <w:ind w:left="964" w:hanging="964"/>
    </w:pPr>
  </w:style>
  <w:style w:type="paragraph" w:styleId="TOC4">
    <w:name w:val="toc 4"/>
    <w:basedOn w:val="Normal"/>
    <w:next w:val="Normal"/>
    <w:rsid w:val="0020399D"/>
    <w:pPr>
      <w:tabs>
        <w:tab w:val="left" w:pos="964"/>
        <w:tab w:val="left" w:pos="8789"/>
        <w:tab w:val="right" w:pos="9639"/>
      </w:tabs>
      <w:ind w:left="964" w:hanging="964"/>
    </w:pPr>
  </w:style>
  <w:style w:type="paragraph" w:styleId="TOC3">
    <w:name w:val="toc 3"/>
    <w:basedOn w:val="Normal"/>
    <w:next w:val="Normal"/>
    <w:rsid w:val="0020399D"/>
    <w:pPr>
      <w:tabs>
        <w:tab w:val="left" w:pos="964"/>
        <w:tab w:val="left" w:leader="dot" w:pos="8789"/>
        <w:tab w:val="right" w:pos="9639"/>
      </w:tabs>
      <w:ind w:left="964" w:hanging="964"/>
    </w:pPr>
  </w:style>
  <w:style w:type="paragraph" w:styleId="TOC2">
    <w:name w:val="toc 2"/>
    <w:basedOn w:val="Normal"/>
    <w:next w:val="Normal"/>
    <w:rsid w:val="0020399D"/>
    <w:pPr>
      <w:tabs>
        <w:tab w:val="left" w:pos="964"/>
        <w:tab w:val="left" w:leader="dot" w:pos="8789"/>
        <w:tab w:val="right" w:pos="9639"/>
      </w:tabs>
      <w:ind w:left="964" w:hanging="964"/>
    </w:pPr>
  </w:style>
  <w:style w:type="paragraph" w:styleId="TOC1">
    <w:name w:val="toc 1"/>
    <w:basedOn w:val="Normal"/>
    <w:rsid w:val="0020399D"/>
    <w:pPr>
      <w:tabs>
        <w:tab w:val="left" w:pos="964"/>
        <w:tab w:val="left" w:leader="dot" w:pos="8789"/>
        <w:tab w:val="right" w:pos="9639"/>
      </w:tabs>
      <w:spacing w:before="240"/>
      <w:ind w:left="964" w:hanging="964"/>
    </w:pPr>
  </w:style>
  <w:style w:type="paragraph" w:styleId="TOC7">
    <w:name w:val="toc 7"/>
    <w:basedOn w:val="Normal"/>
    <w:next w:val="Normal"/>
    <w:rsid w:val="0020399D"/>
    <w:pPr>
      <w:tabs>
        <w:tab w:val="left" w:pos="964"/>
        <w:tab w:val="left" w:leader="dot" w:pos="8789"/>
        <w:tab w:val="right" w:pos="9639"/>
      </w:tabs>
      <w:ind w:left="964" w:hanging="964"/>
    </w:pPr>
  </w:style>
  <w:style w:type="paragraph" w:styleId="TOC6">
    <w:name w:val="toc 6"/>
    <w:basedOn w:val="Normal"/>
    <w:next w:val="Normal"/>
    <w:rsid w:val="0020399D"/>
    <w:pPr>
      <w:tabs>
        <w:tab w:val="left" w:pos="964"/>
        <w:tab w:val="left" w:leader="dot" w:pos="8789"/>
        <w:tab w:val="right" w:pos="9639"/>
      </w:tabs>
      <w:ind w:left="964" w:hanging="964"/>
    </w:pPr>
  </w:style>
  <w:style w:type="paragraph" w:styleId="TOC5">
    <w:name w:val="toc 5"/>
    <w:basedOn w:val="Normal"/>
    <w:next w:val="Normal"/>
    <w:rsid w:val="0020399D"/>
    <w:pPr>
      <w:tabs>
        <w:tab w:val="left" w:pos="964"/>
        <w:tab w:val="left" w:leader="dot" w:pos="8789"/>
        <w:tab w:val="right" w:pos="9639"/>
      </w:tabs>
      <w:ind w:left="964" w:hanging="964"/>
    </w:pPr>
  </w:style>
  <w:style w:type="paragraph" w:styleId="Index7">
    <w:name w:val="index 7"/>
    <w:basedOn w:val="Normal"/>
    <w:next w:val="Normal"/>
    <w:rsid w:val="0020399D"/>
    <w:pPr>
      <w:ind w:left="1698"/>
    </w:pPr>
  </w:style>
  <w:style w:type="paragraph" w:styleId="Index6">
    <w:name w:val="index 6"/>
    <w:basedOn w:val="Normal"/>
    <w:next w:val="Normal"/>
    <w:rsid w:val="0020399D"/>
    <w:pPr>
      <w:ind w:left="1415"/>
    </w:pPr>
  </w:style>
  <w:style w:type="paragraph" w:styleId="Index5">
    <w:name w:val="index 5"/>
    <w:basedOn w:val="Normal"/>
    <w:next w:val="Normal"/>
    <w:rsid w:val="0020399D"/>
    <w:pPr>
      <w:ind w:left="1132"/>
    </w:pPr>
  </w:style>
  <w:style w:type="paragraph" w:styleId="Index4">
    <w:name w:val="index 4"/>
    <w:basedOn w:val="Normal"/>
    <w:next w:val="Normal"/>
    <w:rsid w:val="0020399D"/>
    <w:pPr>
      <w:ind w:left="849"/>
    </w:pPr>
  </w:style>
  <w:style w:type="paragraph" w:styleId="Index3">
    <w:name w:val="index 3"/>
    <w:basedOn w:val="Normal"/>
    <w:next w:val="Normal"/>
    <w:rsid w:val="0020399D"/>
    <w:pPr>
      <w:ind w:left="566"/>
    </w:pPr>
  </w:style>
  <w:style w:type="paragraph" w:styleId="Index2">
    <w:name w:val="index 2"/>
    <w:basedOn w:val="Normal"/>
    <w:next w:val="Normal"/>
    <w:rsid w:val="0020399D"/>
    <w:pPr>
      <w:ind w:left="283"/>
    </w:pPr>
  </w:style>
  <w:style w:type="paragraph" w:styleId="Index1">
    <w:name w:val="index 1"/>
    <w:basedOn w:val="Normal"/>
    <w:next w:val="Normal"/>
    <w:rsid w:val="0020399D"/>
  </w:style>
  <w:style w:type="character" w:styleId="LineNumber">
    <w:name w:val="line number"/>
    <w:basedOn w:val="DefaultParagraphFont"/>
    <w:rsid w:val="0020399D"/>
  </w:style>
  <w:style w:type="paragraph" w:styleId="IndexHeading">
    <w:name w:val="index heading"/>
    <w:basedOn w:val="Normal"/>
    <w:next w:val="Index1"/>
    <w:rsid w:val="0020399D"/>
  </w:style>
  <w:style w:type="paragraph" w:styleId="Footer">
    <w:name w:val="footer"/>
    <w:basedOn w:val="Normal"/>
    <w:rsid w:val="0020399D"/>
    <w:pPr>
      <w:tabs>
        <w:tab w:val="left" w:pos="5954"/>
        <w:tab w:val="right" w:pos="9639"/>
      </w:tabs>
    </w:pPr>
    <w:rPr>
      <w:caps/>
      <w:noProof/>
      <w:sz w:val="16"/>
    </w:rPr>
  </w:style>
  <w:style w:type="paragraph" w:styleId="Header">
    <w:name w:val="header"/>
    <w:basedOn w:val="Normal"/>
    <w:link w:val="HeaderChar"/>
    <w:rsid w:val="0020399D"/>
    <w:pPr>
      <w:jc w:val="center"/>
    </w:pPr>
    <w:rPr>
      <w:sz w:val="18"/>
    </w:rPr>
  </w:style>
  <w:style w:type="character" w:styleId="FootnoteReference">
    <w:name w:val="footnote reference"/>
    <w:basedOn w:val="DefaultParagraphFont"/>
    <w:rsid w:val="0020399D"/>
    <w:rPr>
      <w:rFonts w:ascii="Calibri" w:hAnsi="Calibri"/>
      <w:position w:val="6"/>
      <w:sz w:val="16"/>
    </w:rPr>
  </w:style>
  <w:style w:type="paragraph" w:styleId="FootnoteText">
    <w:name w:val="footnote text"/>
    <w:basedOn w:val="Normal"/>
    <w:rsid w:val="0020399D"/>
    <w:pPr>
      <w:keepLines/>
      <w:tabs>
        <w:tab w:val="left" w:pos="256"/>
      </w:tabs>
      <w:ind w:left="256" w:hanging="256"/>
    </w:pPr>
  </w:style>
  <w:style w:type="paragraph" w:styleId="NormalIndent">
    <w:name w:val="Normal Indent"/>
    <w:basedOn w:val="Normal"/>
    <w:rsid w:val="0020399D"/>
    <w:pPr>
      <w:ind w:left="567"/>
    </w:pPr>
  </w:style>
  <w:style w:type="paragraph" w:customStyle="1" w:styleId="enumlev1">
    <w:name w:val="enumlev1"/>
    <w:basedOn w:val="Normal"/>
    <w:rsid w:val="0020399D"/>
    <w:pPr>
      <w:spacing w:before="86"/>
      <w:ind w:left="567" w:hanging="567"/>
    </w:pPr>
  </w:style>
  <w:style w:type="paragraph" w:customStyle="1" w:styleId="enumlev2">
    <w:name w:val="enumlev2"/>
    <w:basedOn w:val="enumlev1"/>
    <w:rsid w:val="0020399D"/>
    <w:pPr>
      <w:ind w:left="1134"/>
    </w:pPr>
  </w:style>
  <w:style w:type="paragraph" w:customStyle="1" w:styleId="enumlev3">
    <w:name w:val="enumlev3"/>
    <w:basedOn w:val="enumlev2"/>
    <w:rsid w:val="0020399D"/>
    <w:pPr>
      <w:ind w:left="1701"/>
    </w:pPr>
  </w:style>
  <w:style w:type="paragraph" w:customStyle="1" w:styleId="Normalaftertitle">
    <w:name w:val="Normal after title"/>
    <w:basedOn w:val="Normal"/>
    <w:next w:val="Normal"/>
    <w:rsid w:val="0020399D"/>
    <w:pPr>
      <w:spacing w:before="240"/>
    </w:pPr>
  </w:style>
  <w:style w:type="paragraph" w:customStyle="1" w:styleId="Equation">
    <w:name w:val="Equation"/>
    <w:basedOn w:val="Normal"/>
    <w:rsid w:val="0020399D"/>
    <w:pPr>
      <w:tabs>
        <w:tab w:val="center" w:pos="4820"/>
        <w:tab w:val="right" w:pos="9639"/>
      </w:tabs>
    </w:pPr>
  </w:style>
  <w:style w:type="paragraph" w:customStyle="1" w:styleId="Head">
    <w:name w:val="Head"/>
    <w:basedOn w:val="Normal"/>
    <w:rsid w:val="0020399D"/>
    <w:pPr>
      <w:tabs>
        <w:tab w:val="left" w:pos="6663"/>
      </w:tabs>
    </w:pPr>
  </w:style>
  <w:style w:type="paragraph" w:customStyle="1" w:styleId="toc0">
    <w:name w:val="toc 0"/>
    <w:basedOn w:val="Normal"/>
    <w:next w:val="TOC1"/>
    <w:rsid w:val="0020399D"/>
    <w:pPr>
      <w:tabs>
        <w:tab w:val="right" w:pos="9781"/>
      </w:tabs>
    </w:pPr>
    <w:rPr>
      <w:b/>
    </w:rPr>
  </w:style>
  <w:style w:type="paragraph" w:styleId="List">
    <w:name w:val="List"/>
    <w:basedOn w:val="Normal"/>
    <w:rsid w:val="0020399D"/>
    <w:pPr>
      <w:tabs>
        <w:tab w:val="left" w:pos="2127"/>
      </w:tabs>
      <w:ind w:left="2127" w:hanging="2127"/>
    </w:pPr>
  </w:style>
  <w:style w:type="paragraph" w:customStyle="1" w:styleId="Part">
    <w:name w:val="Part"/>
    <w:basedOn w:val="Normal"/>
    <w:next w:val="Normal"/>
    <w:rsid w:val="0020399D"/>
    <w:pPr>
      <w:spacing w:before="600"/>
      <w:jc w:val="center"/>
    </w:pPr>
    <w:rPr>
      <w:caps/>
      <w:sz w:val="28"/>
    </w:rPr>
  </w:style>
  <w:style w:type="paragraph" w:customStyle="1" w:styleId="docnoted">
    <w:name w:val="docnoted"/>
    <w:basedOn w:val="Normal"/>
    <w:next w:val="Head"/>
    <w:rsid w:val="0020399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5B42F4"/>
    <w:pPr>
      <w:framePr w:hSpace="180" w:wrap="around" w:hAnchor="margin" w:y="-675"/>
      <w:spacing w:before="720"/>
      <w:jc w:val="center"/>
    </w:pPr>
    <w:rPr>
      <w:b/>
      <w:sz w:val="28"/>
    </w:rPr>
  </w:style>
  <w:style w:type="paragraph" w:customStyle="1" w:styleId="meeting">
    <w:name w:val="meeting"/>
    <w:basedOn w:val="Head"/>
    <w:next w:val="Head"/>
    <w:rsid w:val="0020399D"/>
    <w:pPr>
      <w:tabs>
        <w:tab w:val="left" w:pos="7371"/>
      </w:tabs>
      <w:spacing w:after="567"/>
    </w:pPr>
  </w:style>
  <w:style w:type="paragraph" w:customStyle="1" w:styleId="Subject">
    <w:name w:val="Subject"/>
    <w:basedOn w:val="Normal"/>
    <w:next w:val="Source"/>
    <w:rsid w:val="0020399D"/>
    <w:pPr>
      <w:ind w:left="1134" w:hanging="1134"/>
    </w:pPr>
  </w:style>
  <w:style w:type="paragraph" w:customStyle="1" w:styleId="Object">
    <w:name w:val="Object"/>
    <w:basedOn w:val="Subject"/>
    <w:next w:val="Subject"/>
    <w:rsid w:val="0020399D"/>
  </w:style>
  <w:style w:type="paragraph" w:customStyle="1" w:styleId="Data">
    <w:name w:val="Data"/>
    <w:basedOn w:val="Subject"/>
    <w:next w:val="Subject"/>
    <w:rsid w:val="0020399D"/>
  </w:style>
  <w:style w:type="paragraph" w:customStyle="1" w:styleId="Reasons">
    <w:name w:val="Reasons"/>
    <w:basedOn w:val="Normal"/>
    <w:qFormat/>
    <w:rsid w:val="0020399D"/>
  </w:style>
  <w:style w:type="character" w:styleId="Hyperlink">
    <w:name w:val="Hyperlink"/>
    <w:basedOn w:val="DefaultParagraphFont"/>
    <w:rsid w:val="0020399D"/>
    <w:rPr>
      <w:color w:val="0000FF"/>
      <w:u w:val="single"/>
    </w:rPr>
  </w:style>
  <w:style w:type="paragraph" w:customStyle="1" w:styleId="FirstFooter">
    <w:name w:val="FirstFooter"/>
    <w:basedOn w:val="Footer"/>
    <w:rsid w:val="0020399D"/>
    <w:rPr>
      <w:caps w:val="0"/>
    </w:rPr>
  </w:style>
  <w:style w:type="paragraph" w:customStyle="1" w:styleId="Note">
    <w:name w:val="Note"/>
    <w:basedOn w:val="Normal"/>
    <w:rsid w:val="0020399D"/>
    <w:pPr>
      <w:tabs>
        <w:tab w:val="left" w:pos="851"/>
      </w:tabs>
    </w:pPr>
  </w:style>
  <w:style w:type="paragraph" w:styleId="TOC9">
    <w:name w:val="toc 9"/>
    <w:basedOn w:val="TOC4"/>
    <w:rsid w:val="0020399D"/>
  </w:style>
  <w:style w:type="paragraph" w:customStyle="1" w:styleId="Headingb">
    <w:name w:val="Heading_b"/>
    <w:basedOn w:val="Heading3"/>
    <w:next w:val="Normal"/>
    <w:rsid w:val="0020399D"/>
    <w:pPr>
      <w:spacing w:before="160"/>
      <w:outlineLvl w:val="0"/>
    </w:pPr>
  </w:style>
  <w:style w:type="character" w:styleId="FollowedHyperlink">
    <w:name w:val="FollowedHyperlink"/>
    <w:basedOn w:val="DefaultParagraphFont"/>
    <w:rsid w:val="0020399D"/>
    <w:rPr>
      <w:color w:val="800080"/>
      <w:u w:val="single"/>
    </w:rPr>
  </w:style>
  <w:style w:type="paragraph" w:customStyle="1" w:styleId="Title1">
    <w:name w:val="Title 1"/>
    <w:basedOn w:val="Source"/>
    <w:next w:val="Title2"/>
    <w:rsid w:val="0020399D"/>
    <w:pPr>
      <w:framePr w:wrap="around"/>
      <w:spacing w:before="240"/>
    </w:pPr>
    <w:rPr>
      <w:b w:val="0"/>
      <w:caps/>
    </w:rPr>
  </w:style>
  <w:style w:type="paragraph" w:customStyle="1" w:styleId="Title2">
    <w:name w:val="Title 2"/>
    <w:basedOn w:val="Source"/>
    <w:next w:val="Title3"/>
    <w:rsid w:val="0020399D"/>
    <w:pPr>
      <w:framePr w:wrap="around"/>
      <w:spacing w:before="240"/>
    </w:pPr>
    <w:rPr>
      <w:b w:val="0"/>
      <w:caps/>
    </w:rPr>
  </w:style>
  <w:style w:type="paragraph" w:customStyle="1" w:styleId="Title3">
    <w:name w:val="Title 3"/>
    <w:basedOn w:val="Title2"/>
    <w:next w:val="Normalaftertitle"/>
    <w:rsid w:val="0020399D"/>
    <w:pPr>
      <w:framePr w:wrap="around"/>
    </w:pPr>
    <w:rPr>
      <w:caps w:val="0"/>
    </w:rPr>
  </w:style>
  <w:style w:type="paragraph" w:customStyle="1" w:styleId="Title4">
    <w:name w:val="Title 4"/>
    <w:basedOn w:val="Title3"/>
    <w:next w:val="Heading1"/>
    <w:rsid w:val="0020399D"/>
    <w:pPr>
      <w:framePr w:wrap="around"/>
    </w:pPr>
    <w:rPr>
      <w:b/>
    </w:rPr>
  </w:style>
  <w:style w:type="paragraph" w:customStyle="1" w:styleId="dnum">
    <w:name w:val="dnum"/>
    <w:basedOn w:val="Normal"/>
    <w:rsid w:val="0020399D"/>
    <w:pPr>
      <w:framePr w:hSpace="181" w:wrap="around" w:vAnchor="page" w:hAnchor="margin" w:y="852"/>
      <w:shd w:val="solid" w:color="FFFFFF" w:fill="FFFFFF"/>
      <w:tabs>
        <w:tab w:val="left" w:pos="1871"/>
      </w:tabs>
    </w:pPr>
    <w:rPr>
      <w:b/>
      <w:bCs/>
    </w:rPr>
  </w:style>
  <w:style w:type="paragraph" w:customStyle="1" w:styleId="ddate">
    <w:name w:val="ddate"/>
    <w:basedOn w:val="Normal"/>
    <w:rsid w:val="0020399D"/>
    <w:pPr>
      <w:framePr w:hSpace="181" w:wrap="around" w:vAnchor="page" w:hAnchor="margin" w:y="852"/>
      <w:shd w:val="solid" w:color="FFFFFF" w:fill="FFFFFF"/>
      <w:tabs>
        <w:tab w:val="left" w:pos="1871"/>
      </w:tabs>
    </w:pPr>
    <w:rPr>
      <w:b/>
      <w:bCs/>
    </w:rPr>
  </w:style>
  <w:style w:type="paragraph" w:customStyle="1" w:styleId="dorlang">
    <w:name w:val="dorlang"/>
    <w:basedOn w:val="Normal"/>
    <w:rsid w:val="0020399D"/>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20399D"/>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20399D"/>
    <w:pPr>
      <w:spacing w:before="720"/>
      <w:jc w:val="center"/>
    </w:pPr>
    <w:rPr>
      <w:caps/>
      <w:sz w:val="28"/>
    </w:rPr>
  </w:style>
  <w:style w:type="paragraph" w:customStyle="1" w:styleId="Annextitle">
    <w:name w:val="Annex_title"/>
    <w:basedOn w:val="Normal"/>
    <w:next w:val="Normal"/>
    <w:rsid w:val="0020399D"/>
    <w:pPr>
      <w:spacing w:before="240" w:after="240"/>
      <w:jc w:val="center"/>
    </w:pPr>
    <w:rPr>
      <w:b/>
      <w:sz w:val="28"/>
    </w:rPr>
  </w:style>
  <w:style w:type="paragraph" w:customStyle="1" w:styleId="Annexref">
    <w:name w:val="Annex_ref"/>
    <w:basedOn w:val="Normal"/>
    <w:next w:val="Annextitle"/>
    <w:rsid w:val="0020399D"/>
    <w:pPr>
      <w:jc w:val="center"/>
    </w:pPr>
  </w:style>
  <w:style w:type="paragraph" w:customStyle="1" w:styleId="AppendixNo">
    <w:name w:val="Appendix_No"/>
    <w:basedOn w:val="AnnexNo"/>
    <w:next w:val="Appendixref"/>
    <w:rsid w:val="0020399D"/>
  </w:style>
  <w:style w:type="paragraph" w:customStyle="1" w:styleId="Appendixtitle">
    <w:name w:val="Appendix_title"/>
    <w:basedOn w:val="Annextitle"/>
    <w:next w:val="Normal"/>
    <w:rsid w:val="0020399D"/>
  </w:style>
  <w:style w:type="paragraph" w:customStyle="1" w:styleId="Appendixref">
    <w:name w:val="Appendix_ref"/>
    <w:basedOn w:val="Annexref"/>
    <w:next w:val="Appendixtitle"/>
    <w:rsid w:val="0020399D"/>
  </w:style>
  <w:style w:type="paragraph" w:customStyle="1" w:styleId="Call">
    <w:name w:val="Call"/>
    <w:basedOn w:val="Normal"/>
    <w:next w:val="Normal"/>
    <w:rsid w:val="0020399D"/>
    <w:pPr>
      <w:keepNext/>
      <w:keepLines/>
      <w:spacing w:before="160"/>
      <w:ind w:left="567"/>
    </w:pPr>
    <w:rPr>
      <w:i/>
    </w:rPr>
  </w:style>
  <w:style w:type="character" w:styleId="EndnoteReference">
    <w:name w:val="endnote reference"/>
    <w:basedOn w:val="DefaultParagraphFont"/>
    <w:rsid w:val="0020399D"/>
    <w:rPr>
      <w:vertAlign w:val="superscript"/>
    </w:rPr>
  </w:style>
  <w:style w:type="paragraph" w:customStyle="1" w:styleId="Equationlegend">
    <w:name w:val="Equation_legend"/>
    <w:basedOn w:val="Normal"/>
    <w:rsid w:val="0020399D"/>
    <w:pPr>
      <w:tabs>
        <w:tab w:val="right" w:pos="1531"/>
      </w:tabs>
      <w:spacing w:before="80"/>
      <w:ind w:left="1701" w:hanging="1701"/>
    </w:pPr>
  </w:style>
  <w:style w:type="paragraph" w:customStyle="1" w:styleId="Figure">
    <w:name w:val="Figure"/>
    <w:basedOn w:val="Normal"/>
    <w:next w:val="Figuretitle"/>
    <w:rsid w:val="0020399D"/>
    <w:pPr>
      <w:keepNext/>
      <w:keepLines/>
      <w:spacing w:after="120"/>
      <w:jc w:val="center"/>
    </w:pPr>
  </w:style>
  <w:style w:type="paragraph" w:customStyle="1" w:styleId="Figuretitle">
    <w:name w:val="Figure_title"/>
    <w:basedOn w:val="Tabletitle"/>
    <w:next w:val="Normalaftertitle"/>
    <w:rsid w:val="0020399D"/>
    <w:pPr>
      <w:spacing w:before="240" w:after="480"/>
    </w:pPr>
  </w:style>
  <w:style w:type="paragraph" w:customStyle="1" w:styleId="Tabletitle">
    <w:name w:val="Table_title"/>
    <w:basedOn w:val="TableNo"/>
    <w:next w:val="Tabletext"/>
    <w:rsid w:val="0020399D"/>
    <w:pPr>
      <w:tabs>
        <w:tab w:val="left" w:pos="2948"/>
        <w:tab w:val="left" w:pos="4082"/>
      </w:tabs>
      <w:spacing w:before="0"/>
    </w:pPr>
    <w:rPr>
      <w:b/>
      <w:caps w:val="0"/>
    </w:rPr>
  </w:style>
  <w:style w:type="paragraph" w:customStyle="1" w:styleId="TableNo">
    <w:name w:val="Table_No"/>
    <w:basedOn w:val="Normal"/>
    <w:next w:val="Tabletitle"/>
    <w:rsid w:val="0020399D"/>
    <w:pPr>
      <w:keepNext/>
      <w:spacing w:before="560" w:after="120"/>
      <w:jc w:val="center"/>
    </w:pPr>
    <w:rPr>
      <w:caps/>
    </w:rPr>
  </w:style>
  <w:style w:type="paragraph" w:customStyle="1" w:styleId="Tabletext">
    <w:name w:val="Table_text"/>
    <w:basedOn w:val="Normal"/>
    <w:rsid w:val="0020399D"/>
    <w:pPr>
      <w:spacing w:before="60" w:after="60"/>
    </w:pPr>
  </w:style>
  <w:style w:type="paragraph" w:customStyle="1" w:styleId="Figurelegend">
    <w:name w:val="Figure_legend"/>
    <w:basedOn w:val="Normal"/>
    <w:rsid w:val="0020399D"/>
    <w:pPr>
      <w:keepNext/>
      <w:keepLines/>
      <w:spacing w:before="20" w:after="20"/>
    </w:pPr>
    <w:rPr>
      <w:sz w:val="18"/>
    </w:rPr>
  </w:style>
  <w:style w:type="paragraph" w:customStyle="1" w:styleId="FigureNo">
    <w:name w:val="Figure_No"/>
    <w:basedOn w:val="Normal"/>
    <w:next w:val="Figuretitle"/>
    <w:rsid w:val="0020399D"/>
    <w:pPr>
      <w:keepNext/>
      <w:keepLines/>
      <w:spacing w:before="240" w:after="120"/>
      <w:jc w:val="center"/>
    </w:pPr>
    <w:rPr>
      <w:caps/>
    </w:rPr>
  </w:style>
  <w:style w:type="paragraph" w:customStyle="1" w:styleId="Figurewithouttitle">
    <w:name w:val="Figure_without_title"/>
    <w:basedOn w:val="Figure"/>
    <w:next w:val="Normalaftertitle"/>
    <w:rsid w:val="0020399D"/>
    <w:pPr>
      <w:keepNext w:val="0"/>
      <w:spacing w:after="240"/>
    </w:pPr>
  </w:style>
  <w:style w:type="paragraph" w:customStyle="1" w:styleId="Headingi">
    <w:name w:val="Heading_i"/>
    <w:basedOn w:val="Heading3"/>
    <w:next w:val="Normal"/>
    <w:rsid w:val="0020399D"/>
    <w:pPr>
      <w:spacing w:before="160"/>
      <w:outlineLvl w:val="0"/>
    </w:pPr>
    <w:rPr>
      <w:b w:val="0"/>
      <w:i/>
    </w:rPr>
  </w:style>
  <w:style w:type="character" w:styleId="PageNumber">
    <w:name w:val="page number"/>
    <w:basedOn w:val="DefaultParagraphFont"/>
    <w:rsid w:val="0020399D"/>
    <w:rPr>
      <w:rFonts w:ascii="Calibri" w:hAnsi="Calibri"/>
    </w:rPr>
  </w:style>
  <w:style w:type="paragraph" w:customStyle="1" w:styleId="PartNo">
    <w:name w:val="Part_No"/>
    <w:basedOn w:val="AnnexNo"/>
    <w:next w:val="Parttitle"/>
    <w:rsid w:val="0020399D"/>
  </w:style>
  <w:style w:type="paragraph" w:customStyle="1" w:styleId="Parttitle">
    <w:name w:val="Part_title"/>
    <w:basedOn w:val="Annextitle"/>
    <w:next w:val="Partref"/>
    <w:rsid w:val="0020399D"/>
  </w:style>
  <w:style w:type="paragraph" w:customStyle="1" w:styleId="Partref">
    <w:name w:val="Part_ref"/>
    <w:basedOn w:val="Annexref"/>
    <w:next w:val="Normalaftertitle"/>
    <w:rsid w:val="0020399D"/>
  </w:style>
  <w:style w:type="paragraph" w:customStyle="1" w:styleId="RecNo">
    <w:name w:val="Rec_No"/>
    <w:basedOn w:val="Normal"/>
    <w:next w:val="Rectitle"/>
    <w:rsid w:val="0020399D"/>
    <w:pPr>
      <w:spacing w:before="720"/>
      <w:jc w:val="center"/>
    </w:pPr>
    <w:rPr>
      <w:caps/>
      <w:sz w:val="28"/>
    </w:rPr>
  </w:style>
  <w:style w:type="paragraph" w:customStyle="1" w:styleId="Rectitle">
    <w:name w:val="Rec_title"/>
    <w:basedOn w:val="Normal"/>
    <w:next w:val="Heading1"/>
    <w:rsid w:val="0020399D"/>
    <w:pPr>
      <w:spacing w:before="240"/>
      <w:jc w:val="center"/>
    </w:pPr>
    <w:rPr>
      <w:b/>
      <w:sz w:val="28"/>
    </w:rPr>
  </w:style>
  <w:style w:type="paragraph" w:customStyle="1" w:styleId="Recref">
    <w:name w:val="Rec_ref"/>
    <w:basedOn w:val="Rectitle"/>
    <w:next w:val="Recdate"/>
    <w:rsid w:val="0020399D"/>
    <w:pPr>
      <w:spacing w:before="120"/>
    </w:pPr>
    <w:rPr>
      <w:rFonts w:ascii="Times New Roman" w:hAnsi="Times New Roman"/>
      <w:b w:val="0"/>
      <w:sz w:val="24"/>
    </w:rPr>
  </w:style>
  <w:style w:type="paragraph" w:customStyle="1" w:styleId="Recdate">
    <w:name w:val="Rec_date"/>
    <w:basedOn w:val="Recref"/>
    <w:next w:val="Normalaftertitle"/>
    <w:rsid w:val="0020399D"/>
    <w:pPr>
      <w:jc w:val="right"/>
    </w:pPr>
    <w:rPr>
      <w:sz w:val="22"/>
    </w:rPr>
  </w:style>
  <w:style w:type="paragraph" w:customStyle="1" w:styleId="Questiondate">
    <w:name w:val="Question_date"/>
    <w:basedOn w:val="Recdate"/>
    <w:next w:val="Normalaftertitle"/>
    <w:rsid w:val="0020399D"/>
  </w:style>
  <w:style w:type="paragraph" w:customStyle="1" w:styleId="QuestionNo">
    <w:name w:val="Question_No"/>
    <w:basedOn w:val="RecNo"/>
    <w:next w:val="Questiontitle"/>
    <w:rsid w:val="0020399D"/>
  </w:style>
  <w:style w:type="paragraph" w:customStyle="1" w:styleId="Questionref">
    <w:name w:val="Question_ref"/>
    <w:basedOn w:val="Recref"/>
    <w:next w:val="Questiondate"/>
    <w:rsid w:val="0020399D"/>
  </w:style>
  <w:style w:type="paragraph" w:customStyle="1" w:styleId="Questiontitle">
    <w:name w:val="Question_title"/>
    <w:basedOn w:val="Rectitle"/>
    <w:next w:val="Questionref"/>
    <w:rsid w:val="0020399D"/>
  </w:style>
  <w:style w:type="paragraph" w:customStyle="1" w:styleId="Reftext">
    <w:name w:val="Ref_text"/>
    <w:basedOn w:val="Normal"/>
    <w:rsid w:val="0020399D"/>
    <w:pPr>
      <w:ind w:left="567" w:hanging="567"/>
    </w:pPr>
  </w:style>
  <w:style w:type="paragraph" w:customStyle="1" w:styleId="Reftitle">
    <w:name w:val="Ref_title"/>
    <w:basedOn w:val="Normal"/>
    <w:next w:val="Reftext"/>
    <w:rsid w:val="0020399D"/>
    <w:pPr>
      <w:spacing w:before="480"/>
      <w:jc w:val="center"/>
    </w:pPr>
    <w:rPr>
      <w:caps/>
      <w:sz w:val="28"/>
    </w:rPr>
  </w:style>
  <w:style w:type="paragraph" w:customStyle="1" w:styleId="Repdate">
    <w:name w:val="Rep_date"/>
    <w:basedOn w:val="Recdate"/>
    <w:next w:val="Normalaftertitle"/>
    <w:rsid w:val="0020399D"/>
  </w:style>
  <w:style w:type="paragraph" w:customStyle="1" w:styleId="RepNo">
    <w:name w:val="Rep_No"/>
    <w:basedOn w:val="RecNo"/>
    <w:next w:val="Reptitle"/>
    <w:rsid w:val="0020399D"/>
  </w:style>
  <w:style w:type="paragraph" w:customStyle="1" w:styleId="Reptitle">
    <w:name w:val="Rep_title"/>
    <w:basedOn w:val="Rectitle"/>
    <w:next w:val="Repref"/>
    <w:rsid w:val="0020399D"/>
  </w:style>
  <w:style w:type="paragraph" w:customStyle="1" w:styleId="Repref">
    <w:name w:val="Rep_ref"/>
    <w:basedOn w:val="Recref"/>
    <w:next w:val="Repdate"/>
    <w:rsid w:val="0020399D"/>
  </w:style>
  <w:style w:type="paragraph" w:customStyle="1" w:styleId="Resdate">
    <w:name w:val="Res_date"/>
    <w:basedOn w:val="Recdate"/>
    <w:next w:val="Normalaftertitle"/>
    <w:rsid w:val="0020399D"/>
  </w:style>
  <w:style w:type="paragraph" w:customStyle="1" w:styleId="ResNo">
    <w:name w:val="Res_No"/>
    <w:basedOn w:val="AnnexNo"/>
    <w:next w:val="Restitle"/>
    <w:rsid w:val="0020399D"/>
  </w:style>
  <w:style w:type="paragraph" w:customStyle="1" w:styleId="Restitle">
    <w:name w:val="Res_title"/>
    <w:basedOn w:val="Annextitle"/>
    <w:next w:val="Normal"/>
    <w:rsid w:val="0020399D"/>
  </w:style>
  <w:style w:type="paragraph" w:customStyle="1" w:styleId="Resref">
    <w:name w:val="Res_ref"/>
    <w:basedOn w:val="Recref"/>
    <w:next w:val="Resdate"/>
    <w:rsid w:val="0020399D"/>
  </w:style>
  <w:style w:type="paragraph" w:customStyle="1" w:styleId="SectionNo">
    <w:name w:val="Section_No"/>
    <w:basedOn w:val="AnnexNo"/>
    <w:next w:val="Sectiontitle"/>
    <w:rsid w:val="0020399D"/>
  </w:style>
  <w:style w:type="paragraph" w:customStyle="1" w:styleId="Sectiontitle">
    <w:name w:val="Section_title"/>
    <w:basedOn w:val="Normal"/>
    <w:next w:val="Normalaftertitle"/>
    <w:rsid w:val="0020399D"/>
    <w:rPr>
      <w:sz w:val="28"/>
    </w:rPr>
  </w:style>
  <w:style w:type="paragraph" w:customStyle="1" w:styleId="SpecialFooter">
    <w:name w:val="Special Footer"/>
    <w:basedOn w:val="Footer"/>
    <w:rsid w:val="002039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0399D"/>
    <w:pPr>
      <w:spacing w:before="120" w:after="120"/>
      <w:jc w:val="center"/>
    </w:pPr>
    <w:rPr>
      <w:b/>
    </w:rPr>
  </w:style>
  <w:style w:type="paragraph" w:customStyle="1" w:styleId="Tablelegend">
    <w:name w:val="Table_legend"/>
    <w:basedOn w:val="Tabletext"/>
    <w:rsid w:val="0020399D"/>
    <w:pPr>
      <w:spacing w:before="120"/>
    </w:pPr>
  </w:style>
  <w:style w:type="paragraph" w:customStyle="1" w:styleId="Tableref">
    <w:name w:val="Table_ref"/>
    <w:basedOn w:val="Normal"/>
    <w:next w:val="Tabletitle"/>
    <w:rsid w:val="0020399D"/>
    <w:pPr>
      <w:keepNext/>
      <w:spacing w:before="567"/>
      <w:jc w:val="center"/>
    </w:pPr>
  </w:style>
  <w:style w:type="paragraph" w:customStyle="1" w:styleId="Artheading">
    <w:name w:val="Art_heading"/>
    <w:basedOn w:val="Normal"/>
    <w:next w:val="Normalaftertitle"/>
    <w:rsid w:val="0020399D"/>
    <w:pPr>
      <w:spacing w:before="480"/>
      <w:jc w:val="center"/>
    </w:pPr>
    <w:rPr>
      <w:b/>
    </w:rPr>
  </w:style>
  <w:style w:type="paragraph" w:customStyle="1" w:styleId="ArtNo">
    <w:name w:val="Art_No"/>
    <w:basedOn w:val="Normal"/>
    <w:next w:val="Arttitle"/>
    <w:rsid w:val="0020399D"/>
    <w:pPr>
      <w:spacing w:before="600"/>
      <w:jc w:val="center"/>
    </w:pPr>
    <w:rPr>
      <w:caps/>
      <w:sz w:val="28"/>
    </w:rPr>
  </w:style>
  <w:style w:type="paragraph" w:customStyle="1" w:styleId="Arttitle">
    <w:name w:val="Art_title"/>
    <w:basedOn w:val="Normal"/>
    <w:next w:val="Normal"/>
    <w:rsid w:val="0020399D"/>
    <w:pPr>
      <w:spacing w:before="240" w:after="240"/>
      <w:jc w:val="center"/>
    </w:pPr>
    <w:rPr>
      <w:b/>
      <w:sz w:val="28"/>
    </w:rPr>
  </w:style>
  <w:style w:type="paragraph" w:customStyle="1" w:styleId="ChapNo">
    <w:name w:val="Chap_No"/>
    <w:basedOn w:val="ArtNo"/>
    <w:next w:val="Chaptitle"/>
    <w:rsid w:val="0020399D"/>
  </w:style>
  <w:style w:type="paragraph" w:customStyle="1" w:styleId="Chaptitle">
    <w:name w:val="Chap_title"/>
    <w:basedOn w:val="Arttitle"/>
    <w:next w:val="Normal"/>
    <w:rsid w:val="0020399D"/>
  </w:style>
  <w:style w:type="paragraph" w:styleId="BodyText">
    <w:name w:val="Body Text"/>
    <w:basedOn w:val="Normal"/>
    <w:link w:val="BodyTextChar"/>
    <w:rsid w:val="000234CB"/>
    <w:rPr>
      <w:rFonts w:ascii="Arial" w:hAnsi="Arial" w:cs="Arial"/>
      <w:color w:val="333399"/>
    </w:rPr>
  </w:style>
  <w:style w:type="table" w:styleId="TableGrid">
    <w:name w:val="Table Grid"/>
    <w:basedOn w:val="TableNormal"/>
    <w:rsid w:val="00813E4F"/>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4F88"/>
    <w:rPr>
      <w:rFonts w:ascii="Tahoma" w:hAnsi="Tahoma" w:cs="Tahoma"/>
      <w:sz w:val="16"/>
      <w:szCs w:val="16"/>
    </w:rPr>
  </w:style>
  <w:style w:type="paragraph" w:customStyle="1" w:styleId="firstfooter0">
    <w:name w:val="firstfooter"/>
    <w:basedOn w:val="Normal"/>
    <w:rsid w:val="0020399D"/>
    <w:pPr>
      <w:spacing w:before="100" w:beforeAutospacing="1" w:after="100" w:afterAutospacing="1"/>
    </w:pPr>
    <w:rPr>
      <w:rFonts w:eastAsia="SimSun"/>
    </w:rPr>
  </w:style>
  <w:style w:type="paragraph" w:styleId="ListParagraph">
    <w:name w:val="List Paragraph"/>
    <w:basedOn w:val="Normal"/>
    <w:qFormat/>
    <w:rsid w:val="00475EDF"/>
    <w:pPr>
      <w:ind w:left="720"/>
      <w:contextualSpacing/>
    </w:pPr>
  </w:style>
  <w:style w:type="paragraph" w:styleId="Revision">
    <w:name w:val="Revision"/>
    <w:hidden/>
    <w:uiPriority w:val="99"/>
    <w:semiHidden/>
    <w:rsid w:val="004F7883"/>
    <w:rPr>
      <w:rFonts w:ascii="Calibri" w:eastAsia="Times New Roman" w:hAnsi="Calibri"/>
      <w:sz w:val="24"/>
      <w:lang w:val="en-GB" w:eastAsia="en-US"/>
    </w:rPr>
  </w:style>
  <w:style w:type="table" w:styleId="Table3Deffects3">
    <w:name w:val="Table 3D effects 3"/>
    <w:basedOn w:val="TableNormal"/>
    <w:rsid w:val="00AF137D"/>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rCar2Char">
    <w:name w:val="Car Car2 Char"/>
    <w:basedOn w:val="Normal"/>
    <w:rsid w:val="00E11091"/>
    <w:pPr>
      <w:widowControl w:val="0"/>
      <w:adjustRightInd w:val="0"/>
      <w:spacing w:line="240" w:lineRule="exact"/>
      <w:jc w:val="both"/>
      <w:textAlignment w:val="baseline"/>
    </w:pPr>
    <w:rPr>
      <w:rFonts w:ascii="Verdana" w:eastAsia="Times New Roman" w:hAnsi="Verdana" w:cs="Times New Roman"/>
      <w:sz w:val="20"/>
      <w:szCs w:val="20"/>
    </w:rPr>
  </w:style>
  <w:style w:type="character" w:customStyle="1" w:styleId="HeaderChar">
    <w:name w:val="Header Char"/>
    <w:basedOn w:val="DefaultParagraphFont"/>
    <w:link w:val="Header"/>
    <w:rsid w:val="00E11091"/>
    <w:rPr>
      <w:rFonts w:asciiTheme="minorHAnsi" w:eastAsiaTheme="minorEastAsia" w:hAnsiTheme="minorHAnsi" w:cstheme="minorBidi"/>
      <w:sz w:val="18"/>
      <w:szCs w:val="22"/>
    </w:rPr>
  </w:style>
  <w:style w:type="paragraph" w:customStyle="1" w:styleId="SPUNormal">
    <w:name w:val="SPU_Normal"/>
    <w:basedOn w:val="Normal"/>
    <w:rsid w:val="00E11091"/>
    <w:pPr>
      <w:tabs>
        <w:tab w:val="left" w:pos="794"/>
        <w:tab w:val="left" w:pos="1191"/>
        <w:tab w:val="left" w:pos="1588"/>
        <w:tab w:val="left" w:pos="1985"/>
      </w:tabs>
      <w:spacing w:before="120"/>
      <w:jc w:val="both"/>
    </w:pPr>
    <w:rPr>
      <w:rFonts w:ascii="Times New Roman" w:eastAsia="Times New Roman" w:hAnsi="Times New Roman" w:cs="Times New Roman"/>
      <w:lang w:val="fr-FR"/>
    </w:rPr>
  </w:style>
  <w:style w:type="character" w:styleId="CommentReference">
    <w:name w:val="annotation reference"/>
    <w:basedOn w:val="DefaultParagraphFont"/>
    <w:semiHidden/>
    <w:unhideWhenUsed/>
    <w:rsid w:val="00497DDE"/>
    <w:rPr>
      <w:sz w:val="16"/>
      <w:szCs w:val="16"/>
    </w:rPr>
  </w:style>
  <w:style w:type="paragraph" w:styleId="CommentText">
    <w:name w:val="annotation text"/>
    <w:basedOn w:val="Normal"/>
    <w:link w:val="CommentTextChar"/>
    <w:semiHidden/>
    <w:unhideWhenUsed/>
    <w:rsid w:val="00497DDE"/>
    <w:rPr>
      <w:sz w:val="20"/>
      <w:szCs w:val="20"/>
    </w:rPr>
  </w:style>
  <w:style w:type="character" w:customStyle="1" w:styleId="CommentTextChar">
    <w:name w:val="Comment Text Char"/>
    <w:basedOn w:val="DefaultParagraphFont"/>
    <w:link w:val="CommentText"/>
    <w:semiHidden/>
    <w:rsid w:val="00497DDE"/>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497DDE"/>
    <w:rPr>
      <w:b/>
      <w:bCs/>
    </w:rPr>
  </w:style>
  <w:style w:type="character" w:customStyle="1" w:styleId="CommentSubjectChar">
    <w:name w:val="Comment Subject Char"/>
    <w:basedOn w:val="CommentTextChar"/>
    <w:link w:val="CommentSubject"/>
    <w:semiHidden/>
    <w:rsid w:val="00497DDE"/>
    <w:rPr>
      <w:rFonts w:asciiTheme="minorHAnsi" w:eastAsiaTheme="minorEastAsia" w:hAnsiTheme="minorHAnsi" w:cstheme="minorBidi"/>
      <w:b/>
      <w:bCs/>
    </w:rPr>
  </w:style>
  <w:style w:type="character" w:customStyle="1" w:styleId="BodyTextChar">
    <w:name w:val="Body Text Char"/>
    <w:basedOn w:val="DefaultParagraphFont"/>
    <w:link w:val="BodyText"/>
    <w:rsid w:val="005B42F4"/>
    <w:rPr>
      <w:rFonts w:ascii="Arial" w:eastAsiaTheme="minorEastAsia" w:hAnsi="Arial" w:cs="Arial"/>
      <w:color w:val="333399"/>
      <w:sz w:val="22"/>
      <w:szCs w:val="22"/>
    </w:rPr>
  </w:style>
  <w:style w:type="paragraph" w:styleId="BodyTextIndent3">
    <w:name w:val="Body Text Indent 3"/>
    <w:basedOn w:val="Normal"/>
    <w:link w:val="BodyTextIndent3Char"/>
    <w:semiHidden/>
    <w:unhideWhenUsed/>
    <w:rsid w:val="00B020B5"/>
    <w:pPr>
      <w:spacing w:after="120"/>
      <w:ind w:left="283"/>
    </w:pPr>
    <w:rPr>
      <w:sz w:val="16"/>
      <w:szCs w:val="16"/>
    </w:rPr>
  </w:style>
  <w:style w:type="character" w:customStyle="1" w:styleId="BodyTextIndent3Char">
    <w:name w:val="Body Text Indent 3 Char"/>
    <w:basedOn w:val="DefaultParagraphFont"/>
    <w:link w:val="BodyTextIndent3"/>
    <w:semiHidden/>
    <w:rsid w:val="00B020B5"/>
    <w:rPr>
      <w:rFonts w:asciiTheme="minorHAnsi" w:eastAsiaTheme="minorEastAsia"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4904">
      <w:bodyDiv w:val="1"/>
      <w:marLeft w:val="0"/>
      <w:marRight w:val="0"/>
      <w:marTop w:val="0"/>
      <w:marBottom w:val="0"/>
      <w:divBdr>
        <w:top w:val="none" w:sz="0" w:space="0" w:color="auto"/>
        <w:left w:val="none" w:sz="0" w:space="0" w:color="auto"/>
        <w:bottom w:val="none" w:sz="0" w:space="0" w:color="auto"/>
        <w:right w:val="none" w:sz="0" w:space="0" w:color="auto"/>
      </w:divBdr>
    </w:div>
    <w:div w:id="81873584">
      <w:bodyDiv w:val="1"/>
      <w:marLeft w:val="0"/>
      <w:marRight w:val="0"/>
      <w:marTop w:val="0"/>
      <w:marBottom w:val="0"/>
      <w:divBdr>
        <w:top w:val="none" w:sz="0" w:space="0" w:color="auto"/>
        <w:left w:val="none" w:sz="0" w:space="0" w:color="auto"/>
        <w:bottom w:val="none" w:sz="0" w:space="0" w:color="auto"/>
        <w:right w:val="none" w:sz="0" w:space="0" w:color="auto"/>
      </w:divBdr>
    </w:div>
    <w:div w:id="181406480">
      <w:bodyDiv w:val="1"/>
      <w:marLeft w:val="0"/>
      <w:marRight w:val="0"/>
      <w:marTop w:val="0"/>
      <w:marBottom w:val="0"/>
      <w:divBdr>
        <w:top w:val="none" w:sz="0" w:space="0" w:color="auto"/>
        <w:left w:val="none" w:sz="0" w:space="0" w:color="auto"/>
        <w:bottom w:val="none" w:sz="0" w:space="0" w:color="auto"/>
        <w:right w:val="none" w:sz="0" w:space="0" w:color="auto"/>
      </w:divBdr>
    </w:div>
    <w:div w:id="348874318">
      <w:bodyDiv w:val="1"/>
      <w:marLeft w:val="0"/>
      <w:marRight w:val="0"/>
      <w:marTop w:val="0"/>
      <w:marBottom w:val="0"/>
      <w:divBdr>
        <w:top w:val="none" w:sz="0" w:space="0" w:color="auto"/>
        <w:left w:val="none" w:sz="0" w:space="0" w:color="auto"/>
        <w:bottom w:val="none" w:sz="0" w:space="0" w:color="auto"/>
        <w:right w:val="none" w:sz="0" w:space="0" w:color="auto"/>
      </w:divBdr>
    </w:div>
    <w:div w:id="528301620">
      <w:bodyDiv w:val="1"/>
      <w:marLeft w:val="0"/>
      <w:marRight w:val="0"/>
      <w:marTop w:val="0"/>
      <w:marBottom w:val="0"/>
      <w:divBdr>
        <w:top w:val="none" w:sz="0" w:space="0" w:color="auto"/>
        <w:left w:val="none" w:sz="0" w:space="0" w:color="auto"/>
        <w:bottom w:val="none" w:sz="0" w:space="0" w:color="auto"/>
        <w:right w:val="none" w:sz="0" w:space="0" w:color="auto"/>
      </w:divBdr>
    </w:div>
    <w:div w:id="583926420">
      <w:bodyDiv w:val="1"/>
      <w:marLeft w:val="0"/>
      <w:marRight w:val="0"/>
      <w:marTop w:val="0"/>
      <w:marBottom w:val="0"/>
      <w:divBdr>
        <w:top w:val="none" w:sz="0" w:space="0" w:color="auto"/>
        <w:left w:val="none" w:sz="0" w:space="0" w:color="auto"/>
        <w:bottom w:val="none" w:sz="0" w:space="0" w:color="auto"/>
        <w:right w:val="none" w:sz="0" w:space="0" w:color="auto"/>
      </w:divBdr>
    </w:div>
    <w:div w:id="680819953">
      <w:bodyDiv w:val="1"/>
      <w:marLeft w:val="0"/>
      <w:marRight w:val="0"/>
      <w:marTop w:val="0"/>
      <w:marBottom w:val="0"/>
      <w:divBdr>
        <w:top w:val="none" w:sz="0" w:space="0" w:color="auto"/>
        <w:left w:val="none" w:sz="0" w:space="0" w:color="auto"/>
        <w:bottom w:val="none" w:sz="0" w:space="0" w:color="auto"/>
        <w:right w:val="none" w:sz="0" w:space="0" w:color="auto"/>
      </w:divBdr>
    </w:div>
    <w:div w:id="791437499">
      <w:bodyDiv w:val="1"/>
      <w:marLeft w:val="0"/>
      <w:marRight w:val="0"/>
      <w:marTop w:val="0"/>
      <w:marBottom w:val="0"/>
      <w:divBdr>
        <w:top w:val="none" w:sz="0" w:space="0" w:color="auto"/>
        <w:left w:val="none" w:sz="0" w:space="0" w:color="auto"/>
        <w:bottom w:val="none" w:sz="0" w:space="0" w:color="auto"/>
        <w:right w:val="none" w:sz="0" w:space="0" w:color="auto"/>
      </w:divBdr>
    </w:div>
    <w:div w:id="832336928">
      <w:bodyDiv w:val="1"/>
      <w:marLeft w:val="0"/>
      <w:marRight w:val="0"/>
      <w:marTop w:val="0"/>
      <w:marBottom w:val="0"/>
      <w:divBdr>
        <w:top w:val="none" w:sz="0" w:space="0" w:color="auto"/>
        <w:left w:val="none" w:sz="0" w:space="0" w:color="auto"/>
        <w:bottom w:val="none" w:sz="0" w:space="0" w:color="auto"/>
        <w:right w:val="none" w:sz="0" w:space="0" w:color="auto"/>
      </w:divBdr>
    </w:div>
    <w:div w:id="855507364">
      <w:bodyDiv w:val="1"/>
      <w:marLeft w:val="0"/>
      <w:marRight w:val="0"/>
      <w:marTop w:val="0"/>
      <w:marBottom w:val="0"/>
      <w:divBdr>
        <w:top w:val="none" w:sz="0" w:space="0" w:color="auto"/>
        <w:left w:val="none" w:sz="0" w:space="0" w:color="auto"/>
        <w:bottom w:val="none" w:sz="0" w:space="0" w:color="auto"/>
        <w:right w:val="none" w:sz="0" w:space="0" w:color="auto"/>
      </w:divBdr>
    </w:div>
    <w:div w:id="1123495582">
      <w:bodyDiv w:val="1"/>
      <w:marLeft w:val="0"/>
      <w:marRight w:val="0"/>
      <w:marTop w:val="0"/>
      <w:marBottom w:val="0"/>
      <w:divBdr>
        <w:top w:val="none" w:sz="0" w:space="0" w:color="auto"/>
        <w:left w:val="none" w:sz="0" w:space="0" w:color="auto"/>
        <w:bottom w:val="none" w:sz="0" w:space="0" w:color="auto"/>
        <w:right w:val="none" w:sz="0" w:space="0" w:color="auto"/>
      </w:divBdr>
    </w:div>
    <w:div w:id="1472744403">
      <w:bodyDiv w:val="1"/>
      <w:marLeft w:val="0"/>
      <w:marRight w:val="0"/>
      <w:marTop w:val="0"/>
      <w:marBottom w:val="0"/>
      <w:divBdr>
        <w:top w:val="none" w:sz="0" w:space="0" w:color="auto"/>
        <w:left w:val="none" w:sz="0" w:space="0" w:color="auto"/>
        <w:bottom w:val="none" w:sz="0" w:space="0" w:color="auto"/>
        <w:right w:val="none" w:sz="0" w:space="0" w:color="auto"/>
      </w:divBdr>
    </w:div>
    <w:div w:id="1494375919">
      <w:bodyDiv w:val="1"/>
      <w:marLeft w:val="0"/>
      <w:marRight w:val="0"/>
      <w:marTop w:val="0"/>
      <w:marBottom w:val="0"/>
      <w:divBdr>
        <w:top w:val="none" w:sz="0" w:space="0" w:color="auto"/>
        <w:left w:val="none" w:sz="0" w:space="0" w:color="auto"/>
        <w:bottom w:val="none" w:sz="0" w:space="0" w:color="auto"/>
        <w:right w:val="none" w:sz="0" w:space="0" w:color="auto"/>
      </w:divBdr>
    </w:div>
    <w:div w:id="1640723088">
      <w:bodyDiv w:val="1"/>
      <w:marLeft w:val="0"/>
      <w:marRight w:val="0"/>
      <w:marTop w:val="0"/>
      <w:marBottom w:val="0"/>
      <w:divBdr>
        <w:top w:val="none" w:sz="0" w:space="0" w:color="auto"/>
        <w:left w:val="none" w:sz="0" w:space="0" w:color="auto"/>
        <w:bottom w:val="none" w:sz="0" w:space="0" w:color="auto"/>
        <w:right w:val="none" w:sz="0" w:space="0" w:color="auto"/>
      </w:divBdr>
    </w:div>
    <w:div w:id="1679649996">
      <w:bodyDiv w:val="1"/>
      <w:marLeft w:val="0"/>
      <w:marRight w:val="0"/>
      <w:marTop w:val="0"/>
      <w:marBottom w:val="0"/>
      <w:divBdr>
        <w:top w:val="none" w:sz="0" w:space="0" w:color="auto"/>
        <w:left w:val="none" w:sz="0" w:space="0" w:color="auto"/>
        <w:bottom w:val="none" w:sz="0" w:space="0" w:color="auto"/>
        <w:right w:val="none" w:sz="0" w:space="0" w:color="auto"/>
      </w:divBdr>
    </w:div>
    <w:div w:id="1732146244">
      <w:bodyDiv w:val="1"/>
      <w:marLeft w:val="0"/>
      <w:marRight w:val="0"/>
      <w:marTop w:val="0"/>
      <w:marBottom w:val="0"/>
      <w:divBdr>
        <w:top w:val="none" w:sz="0" w:space="0" w:color="auto"/>
        <w:left w:val="none" w:sz="0" w:space="0" w:color="auto"/>
        <w:bottom w:val="none" w:sz="0" w:space="0" w:color="auto"/>
        <w:right w:val="none" w:sz="0" w:space="0" w:color="auto"/>
      </w:divBdr>
    </w:div>
    <w:div w:id="1736204130">
      <w:bodyDiv w:val="1"/>
      <w:marLeft w:val="0"/>
      <w:marRight w:val="0"/>
      <w:marTop w:val="0"/>
      <w:marBottom w:val="0"/>
      <w:divBdr>
        <w:top w:val="none" w:sz="0" w:space="0" w:color="auto"/>
        <w:left w:val="none" w:sz="0" w:space="0" w:color="auto"/>
        <w:bottom w:val="none" w:sz="0" w:space="0" w:color="auto"/>
        <w:right w:val="none" w:sz="0" w:space="0" w:color="auto"/>
      </w:divBdr>
    </w:div>
    <w:div w:id="1836415189">
      <w:bodyDiv w:val="1"/>
      <w:marLeft w:val="0"/>
      <w:marRight w:val="0"/>
      <w:marTop w:val="0"/>
      <w:marBottom w:val="0"/>
      <w:divBdr>
        <w:top w:val="none" w:sz="0" w:space="0" w:color="auto"/>
        <w:left w:val="none" w:sz="0" w:space="0" w:color="auto"/>
        <w:bottom w:val="none" w:sz="0" w:space="0" w:color="auto"/>
        <w:right w:val="none" w:sz="0" w:space="0" w:color="auto"/>
      </w:divBdr>
    </w:div>
    <w:div w:id="19254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CWG-SFP/Documents/resolution72.docx" TargetMode="External"/><Relationship Id="rId18" Type="http://schemas.openxmlformats.org/officeDocument/2006/relationships/hyperlink" Target="http://www.itu.int/md/S17-CL-C-0035/en" TargetMode="External"/><Relationship Id="rId26" Type="http://schemas.openxmlformats.org/officeDocument/2006/relationships/hyperlink" Target="https://www.itu.int/md/S17-CLCWGSPF1-INF-0002" TargetMode="External"/><Relationship Id="rId3" Type="http://schemas.openxmlformats.org/officeDocument/2006/relationships/customXml" Target="../customXml/item3.xml"/><Relationship Id="rId21" Type="http://schemas.openxmlformats.org/officeDocument/2006/relationships/hyperlink" Target="https://www.itu.int/md/D14-TDAG22-C-0007/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CWG-SFP/Documents/resolution71.docx" TargetMode="External"/><Relationship Id="rId17" Type="http://schemas.openxmlformats.org/officeDocument/2006/relationships/hyperlink" Target="https://www.itu.int/md/S17-CL-C-0075/en" TargetMode="External"/><Relationship Id="rId25" Type="http://schemas.openxmlformats.org/officeDocument/2006/relationships/hyperlink" Target="https://www.itu.int/md/S17-CLCWGSPF1-C-0002/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16-CL-C-0134/en" TargetMode="External"/><Relationship Id="rId20" Type="http://schemas.openxmlformats.org/officeDocument/2006/relationships/hyperlink" Target="https://www.itu.int/md/S17-CL-C-0111/en" TargetMode="External"/><Relationship Id="rId29" Type="http://schemas.openxmlformats.org/officeDocument/2006/relationships/hyperlink" Target="https://www.itu.int/md/S17-CL-C-011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17-CLCWGSPF1-INF-0001"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17-CL-C-0117/en" TargetMode="External"/><Relationship Id="rId23" Type="http://schemas.openxmlformats.org/officeDocument/2006/relationships/hyperlink" Target="https://www.itu.int/md/S17-CLCWGSPF1-C-0001/en" TargetMode="External"/><Relationship Id="rId28" Type="http://schemas.openxmlformats.org/officeDocument/2006/relationships/hyperlink" Target="https://www.itu.int/md/S17-CLCWGSPF1-INF-000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S17-CL-C-0039" TargetMode="External"/><Relationship Id="rId31" Type="http://schemas.openxmlformats.org/officeDocument/2006/relationships/hyperlink" Target="https://www.itu.int/md/S17-CLCWGSPF1-C-0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CWG-SFP/Documents/resolution151.docx" TargetMode="External"/><Relationship Id="rId22" Type="http://schemas.openxmlformats.org/officeDocument/2006/relationships/hyperlink" Target="https://www.itu.int/md/S17-CL-C-0117/en" TargetMode="External"/><Relationship Id="rId27" Type="http://schemas.openxmlformats.org/officeDocument/2006/relationships/hyperlink" Target="https://www.itu.int/md/S17-CLCWGSPF1-C-0003" TargetMode="External"/><Relationship Id="rId30" Type="http://schemas.openxmlformats.org/officeDocument/2006/relationships/hyperlink" Target="https://www.itu.int/md/S17-CLCWGSPF1-INF-0004"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19E216E318F479DF9401F7DCDB28B" ma:contentTypeVersion="0" ma:contentTypeDescription="Create a new document." ma:contentTypeScope="" ma:versionID="12f63b43034c60951a23f6fcfd77f7c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AB18-23B4-44A4-A516-BB4D7443A6BB}">
  <ds:schemaRefs>
    <ds:schemaRef ds:uri="http://schemas.microsoft.com/sharepoint/v3/contenttype/forms"/>
  </ds:schemaRefs>
</ds:datastoreItem>
</file>

<file path=customXml/itemProps2.xml><?xml version="1.0" encoding="utf-8"?>
<ds:datastoreItem xmlns:ds="http://schemas.openxmlformats.org/officeDocument/2006/customXml" ds:itemID="{EE32310C-0810-4BB1-8D34-1EE470AB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631FAB-DE98-4439-8936-C0C8A57D1E67}">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79AF940-AA49-495A-9382-7D11E12B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2371</Words>
  <Characters>2128</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Preparation of the ITU Strategic and Financial Plans for 2020-2023</vt:lpstr>
    </vt:vector>
  </TitlesOfParts>
  <Company>International Telecommunication Union (ITU)</Company>
  <LinksUpToDate>false</LinksUpToDate>
  <CharactersWithSpaces>4491</CharactersWithSpaces>
  <SharedDoc>false</SharedDoc>
  <HLinks>
    <vt:vector size="6" baseType="variant">
      <vt:variant>
        <vt:i4>3342371</vt:i4>
      </vt:variant>
      <vt:variant>
        <vt:i4>9</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ITU Strategic and Financial Plans for 2020-2023</dc:title>
  <dc:creator>Report by the Secretary-General</dc:creator>
  <cp:keywords>C17, C2017</cp:keywords>
  <cp:lastModifiedBy>Zheng, Bingyue</cp:lastModifiedBy>
  <cp:revision>3</cp:revision>
  <cp:lastPrinted>2017-05-24T13:22:00Z</cp:lastPrinted>
  <dcterms:created xsi:type="dcterms:W3CDTF">2017-08-14T12:59:00Z</dcterms:created>
  <dcterms:modified xsi:type="dcterms:W3CDTF">2017-08-14T13:04:00Z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C07/32-E</vt:lpwstr>
  </property>
  <property fmtid="{D5CDD505-2E9C-101B-9397-08002B2CF9AE}" pid="3" name="Docdate">
    <vt:lpwstr>18 June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 1.6</vt:lpwstr>
  </property>
  <property fmtid="{D5CDD505-2E9C-101B-9397-08002B2CF9AE}" pid="7" name="Docauthor">
    <vt:lpwstr>Report by the Secretary-General</vt:lpwstr>
  </property>
  <property fmtid="{D5CDD505-2E9C-101B-9397-08002B2CF9AE}" pid="8" name="_NewReviewCycle">
    <vt:lpwstr/>
  </property>
  <property fmtid="{D5CDD505-2E9C-101B-9397-08002B2CF9AE}" pid="9" name="ContentTypeId">
    <vt:lpwstr>0x010100E4E19E216E318F479DF9401F7DCDB28B</vt:lpwstr>
  </property>
</Properties>
</file>