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663"/>
        <w:gridCol w:w="3510"/>
      </w:tblGrid>
      <w:tr w:rsidR="006F3D57" w:rsidRPr="0005571D" w:rsidTr="00C823D7">
        <w:trPr>
          <w:cantSplit/>
        </w:trPr>
        <w:tc>
          <w:tcPr>
            <w:tcW w:w="6663" w:type="dxa"/>
          </w:tcPr>
          <w:p w:rsidR="006F3D57" w:rsidRPr="0005571D" w:rsidRDefault="006F3D57" w:rsidP="00724E8E">
            <w:pPr>
              <w:spacing w:before="360"/>
              <w:rPr>
                <w:sz w:val="30"/>
                <w:szCs w:val="30"/>
              </w:rPr>
            </w:pPr>
            <w:r w:rsidRPr="0005571D">
              <w:rPr>
                <w:b/>
                <w:bCs/>
                <w:sz w:val="30"/>
                <w:szCs w:val="30"/>
              </w:rPr>
              <w:t>G</w:t>
            </w:r>
            <w:r w:rsidR="00A16166" w:rsidRPr="0005571D">
              <w:rPr>
                <w:b/>
                <w:bCs/>
                <w:sz w:val="30"/>
                <w:szCs w:val="30"/>
              </w:rPr>
              <w:t xml:space="preserve">roupe d'experts sur le </w:t>
            </w:r>
            <w:r w:rsidR="00067113" w:rsidRPr="0005571D">
              <w:rPr>
                <w:b/>
                <w:bCs/>
                <w:sz w:val="30"/>
                <w:szCs w:val="30"/>
              </w:rPr>
              <w:t>R</w:t>
            </w:r>
            <w:r w:rsidR="00724E8E">
              <w:rPr>
                <w:b/>
                <w:bCs/>
                <w:sz w:val="30"/>
                <w:szCs w:val="30"/>
              </w:rPr>
              <w:t xml:space="preserve">èglement des </w:t>
            </w:r>
            <w:r w:rsidR="00A16166" w:rsidRPr="0005571D">
              <w:rPr>
                <w:b/>
                <w:bCs/>
                <w:sz w:val="30"/>
                <w:szCs w:val="30"/>
              </w:rPr>
              <w:t>télécommunications internationales</w:t>
            </w:r>
            <w:r w:rsidR="00BB4653">
              <w:rPr>
                <w:b/>
                <w:bCs/>
                <w:sz w:val="30"/>
                <w:szCs w:val="30"/>
              </w:rPr>
              <w:t xml:space="preserve"> (EG-RTI</w:t>
            </w:r>
            <w:r w:rsidR="00724E8E">
              <w:rPr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510" w:type="dxa"/>
          </w:tcPr>
          <w:p w:rsidR="006F3D57" w:rsidRPr="0005571D" w:rsidRDefault="006F3D57" w:rsidP="006F3D57">
            <w:pPr>
              <w:spacing w:before="0"/>
              <w:jc w:val="right"/>
            </w:pPr>
            <w:bookmarkStart w:id="0" w:name="ditulogo"/>
            <w:bookmarkEnd w:id="0"/>
            <w:r w:rsidRPr="0005571D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D57" w:rsidRPr="0005571D" w:rsidTr="00C823D7">
        <w:trPr>
          <w:cantSplit/>
          <w:trHeight w:val="20"/>
        </w:trPr>
        <w:tc>
          <w:tcPr>
            <w:tcW w:w="6663" w:type="dxa"/>
            <w:tcBorders>
              <w:bottom w:val="single" w:sz="12" w:space="0" w:color="auto"/>
            </w:tcBorders>
            <w:vAlign w:val="center"/>
          </w:tcPr>
          <w:p w:rsidR="006F3D57" w:rsidRPr="00B773C3" w:rsidRDefault="009F2E26" w:rsidP="00724E8E">
            <w:pPr>
              <w:spacing w:before="160"/>
              <w:rPr>
                <w:b/>
                <w:bCs/>
                <w:szCs w:val="24"/>
              </w:rPr>
            </w:pPr>
            <w:r w:rsidRPr="00B773C3">
              <w:rPr>
                <w:b/>
                <w:bCs/>
                <w:szCs w:val="24"/>
              </w:rPr>
              <w:t>Deuxième</w:t>
            </w:r>
            <w:r w:rsidR="006F3D57" w:rsidRPr="00B773C3">
              <w:rPr>
                <w:b/>
                <w:bCs/>
                <w:szCs w:val="24"/>
              </w:rPr>
              <w:t xml:space="preserve"> réunion –</w:t>
            </w:r>
            <w:r w:rsidR="00A16166" w:rsidRPr="00B773C3">
              <w:rPr>
                <w:b/>
                <w:bCs/>
                <w:szCs w:val="24"/>
              </w:rPr>
              <w:t xml:space="preserve"> </w:t>
            </w:r>
            <w:r w:rsidR="006F3D57" w:rsidRPr="00B773C3">
              <w:rPr>
                <w:b/>
                <w:bCs/>
                <w:szCs w:val="24"/>
              </w:rPr>
              <w:t xml:space="preserve">Genève, </w:t>
            </w:r>
            <w:r w:rsidRPr="00B773C3">
              <w:rPr>
                <w:b/>
                <w:bCs/>
                <w:szCs w:val="24"/>
              </w:rPr>
              <w:t>13-15 septembre</w:t>
            </w:r>
            <w:r w:rsidR="006F3D57" w:rsidRPr="00B773C3">
              <w:rPr>
                <w:b/>
                <w:bCs/>
                <w:szCs w:val="24"/>
              </w:rPr>
              <w:t xml:space="preserve"> 2017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6F3D57" w:rsidRPr="0005571D" w:rsidRDefault="006F3D57" w:rsidP="00DF74DD">
            <w:pPr>
              <w:spacing w:before="0"/>
              <w:rPr>
                <w:b/>
                <w:bCs/>
              </w:rPr>
            </w:pPr>
          </w:p>
        </w:tc>
      </w:tr>
      <w:tr w:rsidR="006F3D57" w:rsidRPr="0005571D" w:rsidTr="00C823D7">
        <w:trPr>
          <w:cantSplit/>
          <w:trHeight w:val="20"/>
        </w:trPr>
        <w:tc>
          <w:tcPr>
            <w:tcW w:w="6663" w:type="dxa"/>
            <w:tcBorders>
              <w:top w:val="single" w:sz="12" w:space="0" w:color="auto"/>
            </w:tcBorders>
          </w:tcPr>
          <w:p w:rsidR="006F3D57" w:rsidRPr="0005571D" w:rsidRDefault="006F3D57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6F3D57" w:rsidRPr="0005571D" w:rsidRDefault="006F3D57" w:rsidP="00DF74DD">
            <w:pPr>
              <w:spacing w:before="0"/>
              <w:rPr>
                <w:b/>
                <w:bCs/>
              </w:rPr>
            </w:pPr>
          </w:p>
        </w:tc>
      </w:tr>
      <w:tr w:rsidR="006F3D57" w:rsidRPr="0005571D" w:rsidTr="00C823D7">
        <w:trPr>
          <w:cantSplit/>
          <w:trHeight w:val="20"/>
        </w:trPr>
        <w:tc>
          <w:tcPr>
            <w:tcW w:w="6663" w:type="dxa"/>
            <w:vMerge w:val="restart"/>
          </w:tcPr>
          <w:p w:rsidR="006F3D57" w:rsidRPr="0005571D" w:rsidRDefault="006F3D57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510" w:type="dxa"/>
          </w:tcPr>
          <w:p w:rsidR="006F3D57" w:rsidRPr="0005571D" w:rsidRDefault="006F3D57" w:rsidP="00724E8E">
            <w:pPr>
              <w:spacing w:before="0"/>
              <w:rPr>
                <w:b/>
                <w:bCs/>
              </w:rPr>
            </w:pPr>
            <w:r w:rsidRPr="0005571D">
              <w:rPr>
                <w:b/>
                <w:bCs/>
              </w:rPr>
              <w:t>Document</w:t>
            </w:r>
            <w:r w:rsidR="00504119">
              <w:rPr>
                <w:rFonts w:eastAsia="Calibri" w:cs="Calibri"/>
                <w:b/>
                <w:color w:val="000000"/>
                <w:szCs w:val="24"/>
              </w:rPr>
              <w:t xml:space="preserve"> EG-ITR</w:t>
            </w:r>
            <w:r w:rsidR="00724E8E">
              <w:rPr>
                <w:rFonts w:eastAsia="Calibri" w:cs="Calibri"/>
                <w:b/>
                <w:color w:val="000000"/>
                <w:szCs w:val="24"/>
              </w:rPr>
              <w:t>s</w:t>
            </w:r>
            <w:r w:rsidR="00504119">
              <w:rPr>
                <w:rFonts w:eastAsia="Calibri" w:cs="Calibri"/>
                <w:b/>
                <w:color w:val="000000"/>
                <w:szCs w:val="24"/>
              </w:rPr>
              <w:t>-</w:t>
            </w:r>
            <w:r w:rsidR="009F2E26">
              <w:rPr>
                <w:rFonts w:eastAsia="Calibri" w:cs="Calibri"/>
                <w:b/>
                <w:color w:val="000000"/>
                <w:szCs w:val="24"/>
              </w:rPr>
              <w:t>2</w:t>
            </w:r>
            <w:r w:rsidR="00CE0E7F" w:rsidRPr="0005571D">
              <w:rPr>
                <w:rFonts w:eastAsia="Calibri" w:cs="Calibri"/>
                <w:b/>
                <w:color w:val="000000"/>
                <w:szCs w:val="24"/>
              </w:rPr>
              <w:t>/</w:t>
            </w:r>
            <w:r w:rsidR="00236D08">
              <w:rPr>
                <w:rFonts w:eastAsia="Calibri" w:cs="Calibri"/>
                <w:b/>
                <w:color w:val="000000"/>
                <w:szCs w:val="24"/>
              </w:rPr>
              <w:t>9</w:t>
            </w:r>
            <w:r w:rsidRPr="0005571D">
              <w:rPr>
                <w:b/>
                <w:bCs/>
              </w:rPr>
              <w:t>-F</w:t>
            </w:r>
          </w:p>
        </w:tc>
      </w:tr>
      <w:tr w:rsidR="006F3D57" w:rsidRPr="0005571D" w:rsidTr="00C823D7">
        <w:trPr>
          <w:cantSplit/>
          <w:trHeight w:val="20"/>
        </w:trPr>
        <w:tc>
          <w:tcPr>
            <w:tcW w:w="6663" w:type="dxa"/>
            <w:vMerge/>
          </w:tcPr>
          <w:p w:rsidR="006F3D57" w:rsidRPr="0005571D" w:rsidRDefault="006F3D57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510" w:type="dxa"/>
          </w:tcPr>
          <w:p w:rsidR="006F3D57" w:rsidRPr="0005571D" w:rsidRDefault="00236D08" w:rsidP="00C823D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9F2E26">
              <w:rPr>
                <w:b/>
                <w:bCs/>
              </w:rPr>
              <w:t xml:space="preserve"> août</w:t>
            </w:r>
            <w:r w:rsidR="006F3D57" w:rsidRPr="0005571D">
              <w:rPr>
                <w:b/>
                <w:bCs/>
              </w:rPr>
              <w:t xml:space="preserve"> 2017</w:t>
            </w:r>
          </w:p>
        </w:tc>
      </w:tr>
      <w:tr w:rsidR="006F3D57" w:rsidRPr="0005571D" w:rsidTr="00C823D7">
        <w:trPr>
          <w:cantSplit/>
          <w:trHeight w:val="20"/>
        </w:trPr>
        <w:tc>
          <w:tcPr>
            <w:tcW w:w="6663" w:type="dxa"/>
            <w:vMerge/>
          </w:tcPr>
          <w:p w:rsidR="006F3D57" w:rsidRPr="0005571D" w:rsidRDefault="006F3D57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510" w:type="dxa"/>
          </w:tcPr>
          <w:p w:rsidR="006F3D57" w:rsidRPr="0005571D" w:rsidRDefault="006F3D57" w:rsidP="00C823D7">
            <w:pPr>
              <w:spacing w:before="0"/>
              <w:rPr>
                <w:b/>
                <w:bCs/>
              </w:rPr>
            </w:pPr>
            <w:r w:rsidRPr="0005571D">
              <w:rPr>
                <w:b/>
                <w:bCs/>
              </w:rPr>
              <w:t xml:space="preserve">Original: </w:t>
            </w:r>
            <w:r w:rsidR="00C823D7">
              <w:rPr>
                <w:b/>
                <w:bCs/>
              </w:rPr>
              <w:t>anglais</w:t>
            </w:r>
          </w:p>
        </w:tc>
      </w:tr>
      <w:tr w:rsidR="006F3D57" w:rsidRPr="0005571D">
        <w:trPr>
          <w:cantSplit/>
        </w:trPr>
        <w:tc>
          <w:tcPr>
            <w:tcW w:w="10173" w:type="dxa"/>
            <w:gridSpan w:val="2"/>
          </w:tcPr>
          <w:p w:rsidR="00236D08" w:rsidRDefault="00236D08" w:rsidP="00AA20E4">
            <w:pPr>
              <w:pStyle w:val="Normal1"/>
              <w:spacing w:before="600"/>
              <w:jc w:val="center"/>
              <w:rPr>
                <w:rFonts w:asciiTheme="minorHAnsi" w:hAnsiTheme="minorHAnsi" w:cs="Times New Roman"/>
                <w:b/>
                <w:sz w:val="28"/>
                <w:szCs w:val="28"/>
                <w:lang w:val="fr-CH"/>
              </w:rPr>
            </w:pPr>
            <w:bookmarkStart w:id="5" w:name="lt_pId007"/>
            <w:bookmarkStart w:id="6" w:name="dsource" w:colFirst="0" w:colLast="0"/>
            <w:bookmarkEnd w:id="4"/>
            <w:r w:rsidRPr="003A2699">
              <w:rPr>
                <w:rFonts w:asciiTheme="minorHAnsi" w:hAnsiTheme="minorHAnsi" w:cs="Times New Roman"/>
                <w:b/>
                <w:sz w:val="28"/>
                <w:szCs w:val="28"/>
                <w:lang w:val="fr-CH"/>
              </w:rPr>
              <w:t>Contribution des Membres de Secteur:</w:t>
            </w:r>
            <w:bookmarkEnd w:id="5"/>
            <w:r w:rsidRPr="003A2699">
              <w:rPr>
                <w:rFonts w:asciiTheme="minorHAnsi" w:hAnsiTheme="minorHAnsi" w:cs="Times New Roman"/>
                <w:b/>
                <w:sz w:val="28"/>
                <w:szCs w:val="28"/>
                <w:lang w:val="fr-CH"/>
              </w:rPr>
              <w:t xml:space="preserve"> </w:t>
            </w:r>
            <w:bookmarkStart w:id="7" w:name="lt_pId008"/>
          </w:p>
          <w:p w:rsidR="006F3D57" w:rsidRPr="00236D08" w:rsidRDefault="00236D08" w:rsidP="00AA20E4">
            <w:pPr>
              <w:pStyle w:val="Normal1"/>
              <w:jc w:val="center"/>
              <w:rPr>
                <w:lang w:val="fr-FR"/>
              </w:rPr>
            </w:pPr>
            <w:r w:rsidRPr="00BB71DF">
              <w:rPr>
                <w:rFonts w:asciiTheme="minorHAnsi" w:hAnsiTheme="minorHAnsi"/>
                <w:b/>
                <w:sz w:val="28"/>
                <w:szCs w:val="28"/>
                <w:lang w:val="fr-CH"/>
              </w:rPr>
              <w:t>Bell Mobility (Canada);</w:t>
            </w:r>
            <w:bookmarkEnd w:id="7"/>
            <w:r w:rsidRPr="00BB71DF">
              <w:rPr>
                <w:rFonts w:asciiTheme="minorHAnsi" w:hAnsiTheme="minorHAnsi"/>
                <w:b/>
                <w:sz w:val="28"/>
                <w:szCs w:val="28"/>
                <w:lang w:val="fr-CH"/>
              </w:rPr>
              <w:t xml:space="preserve"> </w:t>
            </w:r>
            <w:bookmarkStart w:id="8" w:name="lt_pId009"/>
            <w:r w:rsidRPr="00BB71DF">
              <w:rPr>
                <w:rFonts w:asciiTheme="minorHAnsi" w:hAnsiTheme="minorHAnsi"/>
                <w:b/>
                <w:sz w:val="28"/>
                <w:szCs w:val="28"/>
                <w:lang w:val="fr-CH"/>
              </w:rPr>
              <w:t>KDDI (Japon);</w:t>
            </w:r>
            <w:bookmarkEnd w:id="8"/>
            <w:r w:rsidRPr="00BB71DF">
              <w:rPr>
                <w:rFonts w:asciiTheme="minorHAnsi" w:hAnsiTheme="minorHAnsi"/>
                <w:b/>
                <w:sz w:val="28"/>
                <w:szCs w:val="28"/>
                <w:lang w:val="fr-CH"/>
              </w:rPr>
              <w:t xml:space="preserve"> </w:t>
            </w:r>
            <w:bookmarkStart w:id="9" w:name="lt_pId010"/>
            <w:r w:rsidRPr="00BB71DF">
              <w:rPr>
                <w:rFonts w:asciiTheme="minorHAnsi" w:hAnsiTheme="minorHAnsi"/>
                <w:b/>
                <w:sz w:val="28"/>
                <w:szCs w:val="28"/>
                <w:lang w:val="fr-CH"/>
              </w:rPr>
              <w:t>América Móvil (Mexique);</w:t>
            </w:r>
            <w:bookmarkEnd w:id="9"/>
            <w:r w:rsidRPr="00BB71DF">
              <w:rPr>
                <w:rFonts w:asciiTheme="minorHAnsi" w:hAnsiTheme="minorHAnsi"/>
                <w:b/>
                <w:sz w:val="28"/>
                <w:szCs w:val="28"/>
                <w:lang w:val="fr-CH"/>
              </w:rPr>
              <w:t xml:space="preserve"> </w:t>
            </w:r>
            <w:bookmarkStart w:id="10" w:name="lt_pId011"/>
            <w:r>
              <w:rPr>
                <w:rFonts w:asciiTheme="minorHAnsi" w:hAnsiTheme="minorHAnsi"/>
                <w:b/>
                <w:sz w:val="28"/>
                <w:szCs w:val="28"/>
                <w:lang w:val="fr-CH"/>
              </w:rPr>
              <w:br/>
            </w:r>
            <w:r w:rsidRPr="00BB71DF">
              <w:rPr>
                <w:rFonts w:asciiTheme="minorHAnsi" w:hAnsiTheme="minorHAnsi"/>
                <w:b/>
                <w:sz w:val="28"/>
                <w:szCs w:val="28"/>
                <w:lang w:val="fr-CH"/>
              </w:rPr>
              <w:t>BT (</w:t>
            </w:r>
            <w:r>
              <w:rPr>
                <w:rFonts w:asciiTheme="minorHAnsi" w:hAnsiTheme="minorHAnsi"/>
                <w:b/>
                <w:sz w:val="28"/>
                <w:szCs w:val="28"/>
                <w:lang w:val="fr-CH"/>
              </w:rPr>
              <w:t>Royaume-</w:t>
            </w:r>
            <w:r w:rsidRPr="00BB71DF">
              <w:rPr>
                <w:rFonts w:asciiTheme="minorHAnsi" w:hAnsiTheme="minorHAnsi"/>
                <w:b/>
                <w:sz w:val="28"/>
                <w:szCs w:val="28"/>
                <w:lang w:val="fr-CH"/>
              </w:rPr>
              <w:t>Uni);</w:t>
            </w:r>
            <w:bookmarkEnd w:id="10"/>
            <w:r w:rsidRPr="00BB71DF">
              <w:rPr>
                <w:rFonts w:asciiTheme="minorHAnsi" w:hAnsiTheme="minorHAnsi"/>
                <w:b/>
                <w:sz w:val="28"/>
                <w:szCs w:val="28"/>
                <w:lang w:val="fr-CH"/>
              </w:rPr>
              <w:t xml:space="preserve"> </w:t>
            </w:r>
            <w:bookmarkStart w:id="11" w:name="lt_pId012"/>
            <w:r w:rsidRPr="00BB71DF">
              <w:rPr>
                <w:rFonts w:asciiTheme="minorHAnsi" w:hAnsiTheme="minorHAnsi"/>
                <w:b/>
                <w:sz w:val="28"/>
                <w:szCs w:val="28"/>
                <w:lang w:val="fr-CH"/>
              </w:rPr>
              <w:t>AT&amp;T, Verizon (Etats-Unis d</w:t>
            </w:r>
            <w:r w:rsidR="007264CD">
              <w:rPr>
                <w:rFonts w:asciiTheme="minorHAnsi" w:hAnsiTheme="minorHAnsi"/>
                <w:b/>
                <w:sz w:val="28"/>
                <w:szCs w:val="28"/>
                <w:lang w:val="fr-CH"/>
              </w:rPr>
              <w:t>'</w:t>
            </w:r>
            <w:r w:rsidRPr="00BB71DF">
              <w:rPr>
                <w:rFonts w:asciiTheme="minorHAnsi" w:hAnsiTheme="minorHAnsi"/>
                <w:b/>
                <w:sz w:val="28"/>
                <w:szCs w:val="28"/>
                <w:lang w:val="fr-CH"/>
              </w:rPr>
              <w:t>Amérique)</w:t>
            </w:r>
            <w:bookmarkEnd w:id="11"/>
          </w:p>
        </w:tc>
      </w:tr>
      <w:tr w:rsidR="006F3D57" w:rsidRPr="0005571D">
        <w:trPr>
          <w:cantSplit/>
        </w:trPr>
        <w:tc>
          <w:tcPr>
            <w:tcW w:w="10173" w:type="dxa"/>
            <w:gridSpan w:val="2"/>
          </w:tcPr>
          <w:p w:rsidR="006F3D57" w:rsidRPr="00731997" w:rsidRDefault="00BB4653" w:rsidP="009F2E26">
            <w:pPr>
              <w:pStyle w:val="Title1"/>
            </w:pPr>
            <w:bookmarkStart w:id="12" w:name="dtitle1" w:colFirst="0" w:colLast="0"/>
            <w:bookmarkEnd w:id="6"/>
            <w:r>
              <w:rPr>
                <w:rFonts w:cs="Calibri"/>
                <w:bCs/>
                <w:szCs w:val="36"/>
                <w:lang w:val="fr-CH"/>
              </w:rPr>
              <w:t>Examen du règlement des télé</w:t>
            </w:r>
            <w:r w:rsidR="00236D08" w:rsidRPr="00C60CE0">
              <w:rPr>
                <w:rFonts w:cs="Calibri"/>
                <w:bCs/>
                <w:szCs w:val="36"/>
                <w:lang w:val="fr-CH"/>
              </w:rPr>
              <w:t>communications internationales de 2012</w:t>
            </w:r>
          </w:p>
        </w:tc>
      </w:tr>
      <w:tr w:rsidR="009F2E26" w:rsidRPr="0005571D">
        <w:trPr>
          <w:cantSplit/>
        </w:trPr>
        <w:tc>
          <w:tcPr>
            <w:tcW w:w="10173" w:type="dxa"/>
            <w:gridSpan w:val="2"/>
          </w:tcPr>
          <w:p w:rsidR="009F2E26" w:rsidRDefault="009F2E26" w:rsidP="009F2E26">
            <w:pPr>
              <w:pStyle w:val="Title1"/>
            </w:pPr>
          </w:p>
        </w:tc>
      </w:tr>
    </w:tbl>
    <w:p w:rsidR="002404BC" w:rsidRDefault="00236D08" w:rsidP="00B773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bookmarkStart w:id="13" w:name="lt_pId014"/>
      <w:bookmarkEnd w:id="12"/>
      <w:r w:rsidRPr="009576A7">
        <w:rPr>
          <w:lang w:val="fr-CH"/>
        </w:rPr>
        <w:t>Les Membres de Secteur de l</w:t>
      </w:r>
      <w:r w:rsidR="007264CD">
        <w:rPr>
          <w:lang w:val="fr-CH"/>
        </w:rPr>
        <w:t>'</w:t>
      </w:r>
      <w:r w:rsidRPr="009576A7">
        <w:rPr>
          <w:lang w:val="fr-CH"/>
        </w:rPr>
        <w:t>UIT susmentionnés se félicitent de l</w:t>
      </w:r>
      <w:r w:rsidR="007264CD">
        <w:rPr>
          <w:lang w:val="fr-CH"/>
        </w:rPr>
        <w:t>'</w:t>
      </w:r>
      <w:r w:rsidRPr="009576A7">
        <w:rPr>
          <w:lang w:val="fr-CH"/>
        </w:rPr>
        <w:t xml:space="preserve">occasion qui leur est </w:t>
      </w:r>
      <w:r>
        <w:rPr>
          <w:lang w:val="fr-CH"/>
        </w:rPr>
        <w:t>offerte</w:t>
      </w:r>
      <w:r w:rsidRPr="009576A7">
        <w:rPr>
          <w:lang w:val="fr-CH"/>
        </w:rPr>
        <w:t xml:space="preserve"> de contribuer au débat sur l</w:t>
      </w:r>
      <w:r w:rsidR="007264CD">
        <w:rPr>
          <w:lang w:val="fr-CH"/>
        </w:rPr>
        <w:t>'</w:t>
      </w:r>
      <w:r w:rsidRPr="009576A7">
        <w:rPr>
          <w:lang w:val="fr-CH"/>
        </w:rPr>
        <w:t xml:space="preserve">examen du Règlement des télécommunications internationales (RTI) </w:t>
      </w:r>
      <w:r>
        <w:rPr>
          <w:lang w:val="fr-CH"/>
        </w:rPr>
        <w:t>entrepris</w:t>
      </w:r>
      <w:r w:rsidRPr="009576A7">
        <w:rPr>
          <w:lang w:val="fr-CH"/>
        </w:rPr>
        <w:t xml:space="preserve"> par le Groupe d</w:t>
      </w:r>
      <w:r w:rsidR="007264CD">
        <w:rPr>
          <w:lang w:val="fr-CH"/>
        </w:rPr>
        <w:t>'</w:t>
      </w:r>
      <w:r w:rsidRPr="009576A7">
        <w:rPr>
          <w:lang w:val="fr-CH"/>
        </w:rPr>
        <w:t>experts (EG-RTI) créé par le Conseil en vertu de sa Résolution 1379.</w:t>
      </w:r>
      <w:bookmarkStart w:id="14" w:name="lt_pId015"/>
      <w:bookmarkEnd w:id="13"/>
    </w:p>
    <w:p w:rsidR="00236D08" w:rsidRPr="00A00D23" w:rsidRDefault="00236D08" w:rsidP="00B773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r w:rsidRPr="00D06376">
        <w:rPr>
          <w:lang w:val="fr-CH"/>
        </w:rPr>
        <w:t>Au vu de notre expérience collective en matière d</w:t>
      </w:r>
      <w:r w:rsidR="007264CD">
        <w:rPr>
          <w:lang w:val="fr-CH"/>
        </w:rPr>
        <w:t>'</w:t>
      </w:r>
      <w:r w:rsidRPr="00D06376">
        <w:rPr>
          <w:lang w:val="fr-CH"/>
        </w:rPr>
        <w:t xml:space="preserve">exploitation, les dispositions du RTI ne sont plus applicables </w:t>
      </w:r>
      <w:r>
        <w:rPr>
          <w:lang w:val="fr-CH"/>
        </w:rPr>
        <w:t>ni adapté</w:t>
      </w:r>
      <w:r w:rsidR="007264CD">
        <w:rPr>
          <w:lang w:val="fr-CH"/>
        </w:rPr>
        <w:t>es</w:t>
      </w:r>
      <w:r>
        <w:rPr>
          <w:lang w:val="fr-CH"/>
        </w:rPr>
        <w:t xml:space="preserve"> </w:t>
      </w:r>
      <w:r w:rsidRPr="00D06376">
        <w:rPr>
          <w:lang w:val="fr-CH"/>
        </w:rPr>
        <w:t xml:space="preserve">au marché actuel des télécommunications </w:t>
      </w:r>
      <w:r>
        <w:rPr>
          <w:lang w:val="fr-CH"/>
        </w:rPr>
        <w:t xml:space="preserve">internationales, </w:t>
      </w:r>
      <w:r w:rsidR="0094451E">
        <w:rPr>
          <w:lang w:val="fr-CH"/>
        </w:rPr>
        <w:t>sur lequel s'exerce une vive concurrence</w:t>
      </w:r>
      <w:r w:rsidRPr="00D06376">
        <w:rPr>
          <w:lang w:val="fr-CH"/>
        </w:rPr>
        <w:t>.</w:t>
      </w:r>
      <w:bookmarkEnd w:id="14"/>
      <w:r w:rsidRPr="00D06376">
        <w:rPr>
          <w:lang w:val="fr-CH"/>
        </w:rPr>
        <w:t xml:space="preserve"> </w:t>
      </w:r>
      <w:bookmarkStart w:id="15" w:name="lt_pId016"/>
      <w:r w:rsidRPr="00162377">
        <w:rPr>
          <w:lang w:val="fr-CH"/>
        </w:rPr>
        <w:t xml:space="preserve">De fait, la majorité, </w:t>
      </w:r>
      <w:r>
        <w:rPr>
          <w:lang w:val="fr-CH"/>
        </w:rPr>
        <w:t>si ce n</w:t>
      </w:r>
      <w:r w:rsidR="007264CD">
        <w:rPr>
          <w:lang w:val="fr-CH"/>
        </w:rPr>
        <w:t>'</w:t>
      </w:r>
      <w:r>
        <w:rPr>
          <w:lang w:val="fr-CH"/>
        </w:rPr>
        <w:t>est</w:t>
      </w:r>
      <w:r w:rsidRPr="00162377">
        <w:rPr>
          <w:lang w:val="fr-CH"/>
        </w:rPr>
        <w:t xml:space="preserve"> la totalité du trafic international échangé </w:t>
      </w:r>
      <w:r>
        <w:rPr>
          <w:lang w:val="fr-CH"/>
        </w:rPr>
        <w:t>par nos entreprises se fait généralement dans le cadre d</w:t>
      </w:r>
      <w:r w:rsidR="007264CD">
        <w:rPr>
          <w:lang w:val="fr-CH"/>
        </w:rPr>
        <w:t>'</w:t>
      </w:r>
      <w:r>
        <w:rPr>
          <w:lang w:val="fr-CH"/>
        </w:rPr>
        <w:t>accords négociés commercialement.</w:t>
      </w:r>
      <w:bookmarkStart w:id="16" w:name="lt_pId017"/>
      <w:bookmarkEnd w:id="15"/>
      <w:r>
        <w:rPr>
          <w:lang w:val="fr-CH"/>
        </w:rPr>
        <w:t xml:space="preserve"> </w:t>
      </w:r>
      <w:r w:rsidRPr="00C972AF">
        <w:rPr>
          <w:lang w:val="fr-CH"/>
        </w:rPr>
        <w:t>A notre connaissance, très peu de pays</w:t>
      </w:r>
      <w:r>
        <w:rPr>
          <w:lang w:val="fr-CH"/>
        </w:rPr>
        <w:t xml:space="preserve"> s</w:t>
      </w:r>
      <w:r w:rsidR="007264CD">
        <w:rPr>
          <w:lang w:val="fr-CH"/>
        </w:rPr>
        <w:t>'</w:t>
      </w:r>
      <w:r>
        <w:rPr>
          <w:lang w:val="fr-CH"/>
        </w:rPr>
        <w:t>appuient encore</w:t>
      </w:r>
      <w:r w:rsidR="0094451E">
        <w:rPr>
          <w:lang w:val="fr-CH"/>
        </w:rPr>
        <w:t xml:space="preserve"> sur le régime des</w:t>
      </w:r>
      <w:r w:rsidRPr="00C972AF">
        <w:rPr>
          <w:lang w:val="fr-CH"/>
        </w:rPr>
        <w:t xml:space="preserve"> taxe</w:t>
      </w:r>
      <w:r w:rsidR="0094451E">
        <w:rPr>
          <w:lang w:val="fr-CH"/>
        </w:rPr>
        <w:t>s</w:t>
      </w:r>
      <w:r w:rsidRPr="00C972AF">
        <w:rPr>
          <w:lang w:val="fr-CH"/>
        </w:rPr>
        <w:t xml:space="preserve"> de </w:t>
      </w:r>
      <w:r>
        <w:rPr>
          <w:lang w:val="fr-CH"/>
        </w:rPr>
        <w:t>répartition</w:t>
      </w:r>
      <w:r w:rsidRPr="00C972AF">
        <w:rPr>
          <w:lang w:val="fr-CH"/>
        </w:rPr>
        <w:t xml:space="preserve"> fondé sur le RTI, </w:t>
      </w:r>
      <w:r>
        <w:rPr>
          <w:lang w:val="fr-CH"/>
        </w:rPr>
        <w:t>et un tel trafic représente moins d</w:t>
      </w:r>
      <w:r w:rsidR="007264CD">
        <w:rPr>
          <w:lang w:val="fr-CH"/>
        </w:rPr>
        <w:t>'</w:t>
      </w:r>
      <w:r>
        <w:rPr>
          <w:lang w:val="fr-CH"/>
        </w:rPr>
        <w:t>un pour cent des flux de trafic à l</w:t>
      </w:r>
      <w:r w:rsidR="007264CD">
        <w:rPr>
          <w:lang w:val="fr-CH"/>
        </w:rPr>
        <w:t>'</w:t>
      </w:r>
      <w:r>
        <w:rPr>
          <w:lang w:val="fr-CH"/>
        </w:rPr>
        <w:t>échelle mondiale</w:t>
      </w:r>
      <w:r w:rsidRPr="00A00D23">
        <w:rPr>
          <w:lang w:val="fr-CH"/>
        </w:rPr>
        <w:t>.</w:t>
      </w:r>
      <w:bookmarkEnd w:id="16"/>
    </w:p>
    <w:p w:rsidR="00236D08" w:rsidRPr="00D107AA" w:rsidRDefault="00236D08" w:rsidP="00B773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lang w:val="fr-CH"/>
        </w:rPr>
      </w:pPr>
      <w:bookmarkStart w:id="17" w:name="lt_pId018"/>
      <w:r w:rsidRPr="00A00D23">
        <w:rPr>
          <w:lang w:val="fr-CH"/>
        </w:rPr>
        <w:t xml:space="preserve">Les dispositions du RTI, </w:t>
      </w:r>
      <w:r>
        <w:rPr>
          <w:lang w:val="fr-CH"/>
        </w:rPr>
        <w:t>aussi bien dans sa version de 1988 que dans sa version de 2012</w:t>
      </w:r>
      <w:r w:rsidRPr="00A00D23">
        <w:rPr>
          <w:lang w:val="fr-CH"/>
        </w:rPr>
        <w:t xml:space="preserve">, </w:t>
      </w:r>
      <w:r>
        <w:rPr>
          <w:lang w:val="fr-CH"/>
        </w:rPr>
        <w:t>répondent aux</w:t>
      </w:r>
      <w:r w:rsidR="0094451E">
        <w:rPr>
          <w:lang w:val="fr-CH"/>
        </w:rPr>
        <w:t xml:space="preserve"> besoins réglementaires d</w:t>
      </w:r>
      <w:r w:rsidR="007264CD">
        <w:rPr>
          <w:lang w:val="fr-CH"/>
        </w:rPr>
        <w:t>'</w:t>
      </w:r>
      <w:r w:rsidR="0094451E">
        <w:rPr>
          <w:lang w:val="fr-CH"/>
        </w:rPr>
        <w:t>un monde</w:t>
      </w:r>
      <w:r>
        <w:rPr>
          <w:lang w:val="fr-CH"/>
        </w:rPr>
        <w:t xml:space="preserve"> révolu.</w:t>
      </w:r>
      <w:bookmarkStart w:id="18" w:name="lt_pId019"/>
      <w:bookmarkEnd w:id="17"/>
      <w:r>
        <w:rPr>
          <w:lang w:val="fr-CH"/>
        </w:rPr>
        <w:t xml:space="preserve"> </w:t>
      </w:r>
      <w:r w:rsidRPr="00E57E80">
        <w:rPr>
          <w:lang w:val="fr-CH"/>
        </w:rPr>
        <w:t>La version de 1988 du RTI a été é</w:t>
      </w:r>
      <w:bookmarkStart w:id="19" w:name="_GoBack"/>
      <w:bookmarkEnd w:id="19"/>
      <w:r w:rsidRPr="00E57E80">
        <w:rPr>
          <w:lang w:val="fr-CH"/>
        </w:rPr>
        <w:t xml:space="preserve">laborée </w:t>
      </w:r>
      <w:r w:rsidR="0094451E">
        <w:rPr>
          <w:lang w:val="fr-CH"/>
        </w:rPr>
        <w:t>alors que les</w:t>
      </w:r>
      <w:r w:rsidRPr="00E57E80">
        <w:rPr>
          <w:lang w:val="fr-CH"/>
        </w:rPr>
        <w:t xml:space="preserve"> exploitants, souvent </w:t>
      </w:r>
      <w:r>
        <w:rPr>
          <w:lang w:val="fr-CH"/>
        </w:rPr>
        <w:t xml:space="preserve">publics, </w:t>
      </w:r>
      <w:r w:rsidR="0094451E">
        <w:rPr>
          <w:lang w:val="fr-CH"/>
        </w:rPr>
        <w:t>exerçaient un monopole, ce qui a motivé l'élaboration</w:t>
      </w:r>
      <w:r>
        <w:rPr>
          <w:lang w:val="fr-CH"/>
        </w:rPr>
        <w:t xml:space="preserve"> d</w:t>
      </w:r>
      <w:r w:rsidR="007264CD">
        <w:rPr>
          <w:lang w:val="fr-CH"/>
        </w:rPr>
        <w:t>'</w:t>
      </w:r>
      <w:r>
        <w:rPr>
          <w:lang w:val="fr-CH"/>
        </w:rPr>
        <w:t>un traité intergouvernemental</w:t>
      </w:r>
      <w:r w:rsidRPr="00E57E80">
        <w:rPr>
          <w:lang w:val="fr-CH"/>
        </w:rPr>
        <w:t>.</w:t>
      </w:r>
      <w:bookmarkEnd w:id="18"/>
      <w:r w:rsidRPr="00E57E80">
        <w:rPr>
          <w:lang w:val="fr-CH"/>
        </w:rPr>
        <w:t xml:space="preserve"> </w:t>
      </w:r>
      <w:bookmarkStart w:id="20" w:name="lt_pId020"/>
      <w:r>
        <w:rPr>
          <w:color w:val="000000"/>
        </w:rPr>
        <w:t>Ces deux dernières décennies, les marchés de</w:t>
      </w:r>
      <w:r w:rsidR="0094451E">
        <w:rPr>
          <w:color w:val="000000"/>
        </w:rPr>
        <w:t>s</w:t>
      </w:r>
      <w:r>
        <w:rPr>
          <w:color w:val="000000"/>
        </w:rPr>
        <w:t xml:space="preserve"> télécommunication</w:t>
      </w:r>
      <w:r w:rsidR="0094451E">
        <w:rPr>
          <w:color w:val="000000"/>
        </w:rPr>
        <w:t>s</w:t>
      </w:r>
      <w:r>
        <w:rPr>
          <w:color w:val="000000"/>
        </w:rPr>
        <w:t xml:space="preserve"> internationaux et nationaux ont connu de profondes mutations structurelles et technologiques</w:t>
      </w:r>
      <w:bookmarkStart w:id="21" w:name="lt_pId021"/>
      <w:bookmarkEnd w:id="20"/>
      <w:r>
        <w:rPr>
          <w:lang w:val="fr-CH"/>
        </w:rPr>
        <w:t xml:space="preserve">. </w:t>
      </w:r>
      <w:r w:rsidR="0094451E">
        <w:rPr>
          <w:lang w:val="fr-CH"/>
        </w:rPr>
        <w:t>Aujourd</w:t>
      </w:r>
      <w:r w:rsidR="007264CD">
        <w:rPr>
          <w:lang w:val="fr-CH"/>
        </w:rPr>
        <w:t>'</w:t>
      </w:r>
      <w:r w:rsidR="0094451E">
        <w:rPr>
          <w:lang w:val="fr-CH"/>
        </w:rPr>
        <w:t>hui, du fait de l'arrivée</w:t>
      </w:r>
      <w:r>
        <w:rPr>
          <w:lang w:val="fr-CH"/>
        </w:rPr>
        <w:t xml:space="preserve"> de plusieurs</w:t>
      </w:r>
      <w:r w:rsidRPr="00577B79">
        <w:rPr>
          <w:lang w:val="fr-CH"/>
        </w:rPr>
        <w:t xml:space="preserve"> opérateurs privés</w:t>
      </w:r>
      <w:r>
        <w:rPr>
          <w:lang w:val="fr-CH"/>
        </w:rPr>
        <w:t xml:space="preserve"> </w:t>
      </w:r>
      <w:r w:rsidR="0094451E">
        <w:rPr>
          <w:lang w:val="fr-CH"/>
        </w:rPr>
        <w:t>qui se livrent concu</w:t>
      </w:r>
      <w:r w:rsidR="000544D4">
        <w:rPr>
          <w:lang w:val="fr-CH"/>
        </w:rPr>
        <w:t>r</w:t>
      </w:r>
      <w:r w:rsidR="0094451E">
        <w:rPr>
          <w:lang w:val="fr-CH"/>
        </w:rPr>
        <w:t>rence</w:t>
      </w:r>
      <w:r>
        <w:rPr>
          <w:lang w:val="fr-CH"/>
        </w:rPr>
        <w:t xml:space="preserve"> dans chaque pays</w:t>
      </w:r>
      <w:r w:rsidR="00A314B5">
        <w:rPr>
          <w:lang w:val="fr-CH"/>
        </w:rPr>
        <w:t>,</w:t>
      </w:r>
      <w:r w:rsidRPr="00577B79">
        <w:rPr>
          <w:lang w:val="fr-CH"/>
        </w:rPr>
        <w:t xml:space="preserve"> </w:t>
      </w:r>
      <w:r w:rsidR="0094451E">
        <w:rPr>
          <w:lang w:val="fr-CH"/>
        </w:rPr>
        <w:t>l'</w:t>
      </w:r>
      <w:r w:rsidRPr="00577B79">
        <w:rPr>
          <w:lang w:val="fr-CH"/>
        </w:rPr>
        <w:t xml:space="preserve">environnement </w:t>
      </w:r>
      <w:r w:rsidR="00A314B5">
        <w:rPr>
          <w:lang w:val="fr-CH"/>
        </w:rPr>
        <w:t xml:space="preserve">est aujourd'hui </w:t>
      </w:r>
      <w:r w:rsidRPr="00577B79">
        <w:rPr>
          <w:lang w:val="fr-CH"/>
        </w:rPr>
        <w:t>concur</w:t>
      </w:r>
      <w:r w:rsidR="000544D4">
        <w:rPr>
          <w:lang w:val="fr-CH"/>
        </w:rPr>
        <w:t xml:space="preserve">rentiel </w:t>
      </w:r>
      <w:r w:rsidR="00A314B5">
        <w:rPr>
          <w:lang w:val="fr-CH"/>
        </w:rPr>
        <w:t>et</w:t>
      </w:r>
      <w:r w:rsidR="000544D4">
        <w:rPr>
          <w:lang w:val="fr-CH"/>
        </w:rPr>
        <w:t xml:space="preserve"> un </w:t>
      </w:r>
      <w:r>
        <w:rPr>
          <w:lang w:val="fr-CH"/>
        </w:rPr>
        <w:t xml:space="preserve">instrument ayant valeur de traité, </w:t>
      </w:r>
      <w:r w:rsidR="000544D4">
        <w:rPr>
          <w:lang w:val="fr-CH"/>
        </w:rPr>
        <w:t>comme le</w:t>
      </w:r>
      <w:r>
        <w:rPr>
          <w:lang w:val="fr-CH"/>
        </w:rPr>
        <w:t xml:space="preserve"> RTI</w:t>
      </w:r>
      <w:r w:rsidR="00C5218F">
        <w:rPr>
          <w:lang w:val="fr-CH"/>
        </w:rPr>
        <w:t>,</w:t>
      </w:r>
      <w:r w:rsidR="000544D4">
        <w:rPr>
          <w:lang w:val="fr-CH"/>
        </w:rPr>
        <w:t xml:space="preserve"> n'a pas de raison d'être</w:t>
      </w:r>
      <w:r>
        <w:rPr>
          <w:lang w:val="fr-CH"/>
        </w:rPr>
        <w:t xml:space="preserve">. </w:t>
      </w:r>
      <w:bookmarkStart w:id="22" w:name="lt_pId022"/>
      <w:bookmarkEnd w:id="21"/>
      <w:r>
        <w:rPr>
          <w:lang w:val="fr-CH"/>
        </w:rPr>
        <w:t xml:space="preserve">Le </w:t>
      </w:r>
      <w:r w:rsidRPr="00EA275D">
        <w:rPr>
          <w:lang w:val="fr-CH"/>
        </w:rPr>
        <w:t>succès</w:t>
      </w:r>
      <w:r w:rsidR="000544D4">
        <w:rPr>
          <w:lang w:val="fr-CH"/>
        </w:rPr>
        <w:t>, année après année,</w:t>
      </w:r>
      <w:r>
        <w:rPr>
          <w:lang w:val="fr-CH"/>
        </w:rPr>
        <w:t xml:space="preserve"> de la</w:t>
      </w:r>
      <w:r w:rsidRPr="00577B79">
        <w:rPr>
          <w:lang w:val="fr-CH"/>
        </w:rPr>
        <w:t xml:space="preserve"> mise en œuvre et </w:t>
      </w:r>
      <w:r>
        <w:rPr>
          <w:lang w:val="fr-CH"/>
        </w:rPr>
        <w:t xml:space="preserve">de </w:t>
      </w:r>
      <w:r w:rsidRPr="00577B79">
        <w:rPr>
          <w:lang w:val="fr-CH"/>
        </w:rPr>
        <w:t>l</w:t>
      </w:r>
      <w:r w:rsidR="007264CD">
        <w:rPr>
          <w:lang w:val="fr-CH"/>
        </w:rPr>
        <w:t>'</w:t>
      </w:r>
      <w:r w:rsidRPr="00577B79">
        <w:rPr>
          <w:lang w:val="fr-CH"/>
        </w:rPr>
        <w:t>utilisation des infrastructures et des services de télécommunication à l</w:t>
      </w:r>
      <w:r w:rsidR="007264CD">
        <w:rPr>
          <w:lang w:val="fr-CH"/>
        </w:rPr>
        <w:t>'</w:t>
      </w:r>
      <w:r w:rsidRPr="00577B79">
        <w:rPr>
          <w:lang w:val="fr-CH"/>
        </w:rPr>
        <w:t xml:space="preserve">échelle mondiale </w:t>
      </w:r>
      <w:r>
        <w:rPr>
          <w:lang w:val="fr-CH"/>
        </w:rPr>
        <w:t>n</w:t>
      </w:r>
      <w:r w:rsidR="007264CD">
        <w:rPr>
          <w:lang w:val="fr-CH"/>
        </w:rPr>
        <w:t>'</w:t>
      </w:r>
      <w:r>
        <w:rPr>
          <w:lang w:val="fr-CH"/>
        </w:rPr>
        <w:t>est</w:t>
      </w:r>
      <w:r w:rsidRPr="00577B79">
        <w:rPr>
          <w:lang w:val="fr-CH"/>
        </w:rPr>
        <w:t xml:space="preserve"> pas </w:t>
      </w:r>
      <w:r w:rsidR="000544D4">
        <w:rPr>
          <w:lang w:val="fr-CH"/>
        </w:rPr>
        <w:t>lié directement au</w:t>
      </w:r>
      <w:r>
        <w:rPr>
          <w:lang w:val="fr-CH"/>
        </w:rPr>
        <w:t xml:space="preserve"> RTI</w:t>
      </w:r>
      <w:r w:rsidR="000544D4">
        <w:rPr>
          <w:lang w:val="fr-CH"/>
        </w:rPr>
        <w:t>.</w:t>
      </w:r>
      <w:r>
        <w:rPr>
          <w:lang w:val="fr-CH"/>
        </w:rPr>
        <w:t xml:space="preserve"> </w:t>
      </w:r>
      <w:r w:rsidR="000544D4">
        <w:rPr>
          <w:lang w:val="fr-CH"/>
        </w:rPr>
        <w:t>Il est</w:t>
      </w:r>
      <w:r>
        <w:rPr>
          <w:lang w:val="fr-CH"/>
        </w:rPr>
        <w:t xml:space="preserve"> le résultat de</w:t>
      </w:r>
      <w:r w:rsidR="000544D4">
        <w:rPr>
          <w:lang w:val="fr-CH"/>
        </w:rPr>
        <w:t>s</w:t>
      </w:r>
      <w:r>
        <w:rPr>
          <w:lang w:val="fr-CH"/>
        </w:rPr>
        <w:t xml:space="preserve"> cadres politiques</w:t>
      </w:r>
      <w:r w:rsidR="000544D4">
        <w:rPr>
          <w:lang w:val="fr-CH"/>
        </w:rPr>
        <w:t xml:space="preserve"> mis en place</w:t>
      </w:r>
      <w:r>
        <w:rPr>
          <w:lang w:val="fr-CH"/>
        </w:rPr>
        <w:t xml:space="preserve"> qui favorisent </w:t>
      </w:r>
      <w:r w:rsidR="00BB4653">
        <w:rPr>
          <w:lang w:val="fr-CH"/>
        </w:rPr>
        <w:t>l'innovation</w:t>
      </w:r>
      <w:r>
        <w:rPr>
          <w:lang w:val="fr-CH"/>
        </w:rPr>
        <w:t>, la concurrence sur les marchés et les investissements du secteur privé</w:t>
      </w:r>
      <w:bookmarkEnd w:id="22"/>
      <w:r>
        <w:rPr>
          <w:lang w:val="fr-CH"/>
        </w:rPr>
        <w:t>.</w:t>
      </w:r>
    </w:p>
    <w:p w:rsidR="00236D08" w:rsidRPr="00236D08" w:rsidRDefault="000544D4" w:rsidP="00B773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bookmarkStart w:id="23" w:name="lt_pId023"/>
      <w:r w:rsidRPr="00BA6250">
        <w:rPr>
          <w:lang w:val="fr-CH"/>
        </w:rPr>
        <w:t xml:space="preserve">De </w:t>
      </w:r>
      <w:r>
        <w:rPr>
          <w:lang w:val="fr-CH"/>
        </w:rPr>
        <w:t>plus</w:t>
      </w:r>
      <w:r w:rsidRPr="00BA6250">
        <w:rPr>
          <w:lang w:val="fr-CH"/>
        </w:rPr>
        <w:t xml:space="preserve">, nos entreprises </w:t>
      </w:r>
      <w:r>
        <w:rPr>
          <w:lang w:val="fr-CH"/>
        </w:rPr>
        <w:t>n</w:t>
      </w:r>
      <w:r w:rsidR="007264CD">
        <w:rPr>
          <w:lang w:val="fr-CH"/>
        </w:rPr>
        <w:t>'</w:t>
      </w:r>
      <w:r>
        <w:rPr>
          <w:lang w:val="fr-CH"/>
        </w:rPr>
        <w:t>ont pas eu concrètement de problèmes à répondre</w:t>
      </w:r>
      <w:r w:rsidRPr="00BA6250">
        <w:rPr>
          <w:lang w:val="fr-CH"/>
        </w:rPr>
        <w:t xml:space="preserve"> </w:t>
      </w:r>
      <w:r>
        <w:rPr>
          <w:lang w:val="fr-CH"/>
        </w:rPr>
        <w:t>aux</w:t>
      </w:r>
      <w:r w:rsidR="00236D08">
        <w:rPr>
          <w:lang w:val="fr-CH"/>
        </w:rPr>
        <w:t xml:space="preserve"> </w:t>
      </w:r>
      <w:r w:rsidR="00236D08" w:rsidRPr="00BA6250">
        <w:rPr>
          <w:lang w:val="fr-CH"/>
        </w:rPr>
        <w:t>questions</w:t>
      </w:r>
      <w:r>
        <w:rPr>
          <w:lang w:val="fr-CH"/>
        </w:rPr>
        <w:t xml:space="preserve"> que se posaient</w:t>
      </w:r>
      <w:r w:rsidR="00236D08" w:rsidRPr="00BA6250">
        <w:rPr>
          <w:lang w:val="fr-CH"/>
        </w:rPr>
        <w:t xml:space="preserve"> </w:t>
      </w:r>
      <w:r>
        <w:rPr>
          <w:lang w:val="fr-CH"/>
        </w:rPr>
        <w:t>l</w:t>
      </w:r>
      <w:r w:rsidR="00236D08" w:rsidRPr="00BA6250">
        <w:rPr>
          <w:lang w:val="fr-CH"/>
        </w:rPr>
        <w:t xml:space="preserve">es Etats Membres </w:t>
      </w:r>
      <w:r w:rsidR="00BB4653">
        <w:rPr>
          <w:lang w:val="fr-CH"/>
        </w:rPr>
        <w:t xml:space="preserve">concernant les difficultés que pourraient susciter </w:t>
      </w:r>
      <w:r w:rsidR="00236D08" w:rsidRPr="00BA6250">
        <w:rPr>
          <w:lang w:val="fr-CH"/>
        </w:rPr>
        <w:t>la mise en oeuvre du RTI de 2012.</w:t>
      </w:r>
      <w:bookmarkEnd w:id="23"/>
      <w:r w:rsidR="00236D08" w:rsidRPr="00BA6250">
        <w:rPr>
          <w:lang w:val="fr-CH"/>
        </w:rPr>
        <w:t xml:space="preserve"> </w:t>
      </w:r>
      <w:bookmarkStart w:id="24" w:name="lt_pId024"/>
      <w:r w:rsidR="00236D08" w:rsidRPr="00BA6250">
        <w:rPr>
          <w:lang w:val="fr-CH"/>
        </w:rPr>
        <w:t xml:space="preserve">Nous supposons que cela est dû au fait que </w:t>
      </w:r>
      <w:r w:rsidR="00BB4653">
        <w:rPr>
          <w:lang w:val="fr-CH"/>
        </w:rPr>
        <w:t xml:space="preserve">l'échange de </w:t>
      </w:r>
      <w:r w:rsidR="00236D08">
        <w:rPr>
          <w:lang w:val="fr-CH"/>
        </w:rPr>
        <w:t>la</w:t>
      </w:r>
      <w:r w:rsidR="00236D08" w:rsidRPr="00BA6250">
        <w:rPr>
          <w:lang w:val="fr-CH"/>
        </w:rPr>
        <w:t xml:space="preserve"> quasi-totalité du </w:t>
      </w:r>
      <w:r w:rsidR="00BB4653">
        <w:rPr>
          <w:lang w:val="fr-CH"/>
        </w:rPr>
        <w:t xml:space="preserve">trafic international se fait </w:t>
      </w:r>
      <w:r w:rsidR="00236D08">
        <w:rPr>
          <w:lang w:val="fr-CH"/>
        </w:rPr>
        <w:t>dans le cadre d</w:t>
      </w:r>
      <w:r w:rsidR="007264CD">
        <w:rPr>
          <w:lang w:val="fr-CH"/>
        </w:rPr>
        <w:t>'</w:t>
      </w:r>
      <w:r w:rsidR="00236D08">
        <w:rPr>
          <w:lang w:val="fr-CH"/>
        </w:rPr>
        <w:t>accords commerciaux.</w:t>
      </w:r>
      <w:bookmarkEnd w:id="24"/>
    </w:p>
    <w:p w:rsidR="0094451E" w:rsidRDefault="00236D08" w:rsidP="00B773C3">
      <w:pPr>
        <w:pStyle w:val="Reasons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</w:pPr>
      <w:bookmarkStart w:id="25" w:name="lt_pId025"/>
      <w:r w:rsidRPr="00757A94">
        <w:rPr>
          <w:lang w:val="fr-CH"/>
        </w:rPr>
        <w:t xml:space="preserve">Nous nous félicitons de </w:t>
      </w:r>
      <w:r>
        <w:rPr>
          <w:lang w:val="fr-CH"/>
        </w:rPr>
        <w:t>l</w:t>
      </w:r>
      <w:r w:rsidR="007264CD">
        <w:rPr>
          <w:lang w:val="fr-CH"/>
        </w:rPr>
        <w:t>'</w:t>
      </w:r>
      <w:r>
        <w:rPr>
          <w:lang w:val="fr-CH"/>
        </w:rPr>
        <w:t>occasion</w:t>
      </w:r>
      <w:r w:rsidRPr="00757A94">
        <w:rPr>
          <w:lang w:val="fr-CH"/>
        </w:rPr>
        <w:t xml:space="preserve"> qui nous est </w:t>
      </w:r>
      <w:r>
        <w:rPr>
          <w:lang w:val="fr-CH"/>
        </w:rPr>
        <w:t>offerte</w:t>
      </w:r>
      <w:r w:rsidRPr="00757A94">
        <w:rPr>
          <w:lang w:val="fr-CH"/>
        </w:rPr>
        <w:t xml:space="preserve"> de </w:t>
      </w:r>
      <w:r>
        <w:rPr>
          <w:lang w:val="fr-CH"/>
        </w:rPr>
        <w:t>contribuer à ce</w:t>
      </w:r>
      <w:r w:rsidRPr="00757A94">
        <w:rPr>
          <w:lang w:val="fr-CH"/>
        </w:rPr>
        <w:t xml:space="preserve"> débat et </w:t>
      </w:r>
      <w:r>
        <w:rPr>
          <w:lang w:val="fr-CH"/>
        </w:rPr>
        <w:t>nous espérons</w:t>
      </w:r>
      <w:r w:rsidRPr="00757A94">
        <w:rPr>
          <w:lang w:val="fr-CH"/>
        </w:rPr>
        <w:t xml:space="preserve"> qu</w:t>
      </w:r>
      <w:r w:rsidR="007264CD">
        <w:rPr>
          <w:lang w:val="fr-CH"/>
        </w:rPr>
        <w:t>'</w:t>
      </w:r>
      <w:r w:rsidRPr="00757A94">
        <w:rPr>
          <w:lang w:val="fr-CH"/>
        </w:rPr>
        <w:t xml:space="preserve">un échange de vues fructueux </w:t>
      </w:r>
      <w:r>
        <w:rPr>
          <w:lang w:val="fr-CH"/>
        </w:rPr>
        <w:t xml:space="preserve">aura </w:t>
      </w:r>
      <w:r w:rsidRPr="00757A94">
        <w:rPr>
          <w:lang w:val="fr-CH"/>
        </w:rPr>
        <w:t>lieu à la réunion.</w:t>
      </w:r>
      <w:bookmarkEnd w:id="25"/>
    </w:p>
    <w:p w:rsidR="0094451E" w:rsidRDefault="0094451E" w:rsidP="00B773C3">
      <w:pPr>
        <w:spacing w:before="600"/>
        <w:jc w:val="center"/>
      </w:pPr>
      <w:r>
        <w:t>______________</w:t>
      </w:r>
    </w:p>
    <w:sectPr w:rsidR="0094451E" w:rsidSect="00B773C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1134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C0F" w:rsidRDefault="00E17C0F">
      <w:r>
        <w:separator/>
      </w:r>
    </w:p>
  </w:endnote>
  <w:endnote w:type="continuationSeparator" w:id="0">
    <w:p w:rsidR="00E17C0F" w:rsidRDefault="00E1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C0F" w:rsidRDefault="00C5218F">
    <w:pPr>
      <w:pStyle w:val="Footer"/>
    </w:pPr>
    <w:fldSimple w:instr=" FILENAME \p \* MERGEFORMAT ">
      <w:r w:rsidR="00AA20E4">
        <w:t>P:\FRA\SG\CONSEIL\EG-ITR\EG-ITR-2\000\009F.docx</w:t>
      </w:r>
    </w:fldSimple>
    <w:r w:rsidR="00E17C0F">
      <w:tab/>
    </w:r>
    <w:r w:rsidR="00E17C0F">
      <w:fldChar w:fldCharType="begin"/>
    </w:r>
    <w:r w:rsidR="00E17C0F">
      <w:instrText xml:space="preserve"> savedate \@ dd.MM.yy </w:instrText>
    </w:r>
    <w:r w:rsidR="00E17C0F">
      <w:fldChar w:fldCharType="separate"/>
    </w:r>
    <w:r w:rsidR="00B773C3">
      <w:t>04.09.17</w:t>
    </w:r>
    <w:r w:rsidR="00E17C0F">
      <w:fldChar w:fldCharType="end"/>
    </w:r>
    <w:r w:rsidR="00E17C0F">
      <w:tab/>
    </w:r>
    <w:r w:rsidR="00E17C0F">
      <w:fldChar w:fldCharType="begin"/>
    </w:r>
    <w:r w:rsidR="00E17C0F">
      <w:instrText xml:space="preserve"> printdate \@ dd.MM.yy </w:instrText>
    </w:r>
    <w:r w:rsidR="00E17C0F">
      <w:fldChar w:fldCharType="separate"/>
    </w:r>
    <w:r w:rsidR="00AA20E4">
      <w:t>04.09.17</w:t>
    </w:r>
    <w:r w:rsidR="00E17C0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C0F" w:rsidRPr="00D26B19" w:rsidRDefault="00C5218F" w:rsidP="00504119">
    <w:pPr>
      <w:pStyle w:val="Footer"/>
    </w:pPr>
    <w:fldSimple w:instr=" FILENAME \p \* MERGEFORMAT ">
      <w:r w:rsidR="00AA20E4">
        <w:t>P:\FRA\SG\CONSEIL\EG-ITR\EG-ITR-2\000\009F.docx</w:t>
      </w:r>
    </w:fldSimple>
    <w:r w:rsidR="00D26B19">
      <w:t xml:space="preserve"> (4</w:t>
    </w:r>
    <w:r w:rsidR="00504119">
      <w:t>22284</w:t>
    </w:r>
    <w:r w:rsidR="00D26B19">
      <w:t>)</w:t>
    </w:r>
    <w:r w:rsidR="00D26B19">
      <w:tab/>
    </w:r>
    <w:r w:rsidR="00D26B19">
      <w:fldChar w:fldCharType="begin"/>
    </w:r>
    <w:r w:rsidR="00D26B19">
      <w:instrText xml:space="preserve"> savedate \@ dd.MM.yy </w:instrText>
    </w:r>
    <w:r w:rsidR="00D26B19">
      <w:fldChar w:fldCharType="separate"/>
    </w:r>
    <w:r w:rsidR="00B773C3">
      <w:t>04.09.17</w:t>
    </w:r>
    <w:r w:rsidR="00D26B19">
      <w:fldChar w:fldCharType="end"/>
    </w:r>
    <w:r w:rsidR="00D26B19">
      <w:tab/>
    </w:r>
    <w:r w:rsidR="00D26B19">
      <w:fldChar w:fldCharType="begin"/>
    </w:r>
    <w:r w:rsidR="00D26B19">
      <w:instrText xml:space="preserve"> printdate \@ dd.MM.yy </w:instrText>
    </w:r>
    <w:r w:rsidR="00D26B19">
      <w:fldChar w:fldCharType="separate"/>
    </w:r>
    <w:r w:rsidR="00AA20E4">
      <w:t>04.09.17</w:t>
    </w:r>
    <w:r w:rsidR="00D26B1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C0F" w:rsidRPr="00504119" w:rsidRDefault="00E17C0F" w:rsidP="00BB4653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C0F" w:rsidRDefault="00E17C0F">
      <w:r>
        <w:t>____________________</w:t>
      </w:r>
    </w:p>
  </w:footnote>
  <w:footnote w:type="continuationSeparator" w:id="0">
    <w:p w:rsidR="00E17C0F" w:rsidRDefault="00E17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C0F" w:rsidRDefault="00E17C0F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E17C0F" w:rsidRDefault="00E17C0F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C0F" w:rsidRDefault="00E17C0F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773C3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7"/>
    <w:rsid w:val="000544D4"/>
    <w:rsid w:val="0005571D"/>
    <w:rsid w:val="00067113"/>
    <w:rsid w:val="000A5A2F"/>
    <w:rsid w:val="000D0D0A"/>
    <w:rsid w:val="00103163"/>
    <w:rsid w:val="00115D93"/>
    <w:rsid w:val="001247A8"/>
    <w:rsid w:val="001378C0"/>
    <w:rsid w:val="00144281"/>
    <w:rsid w:val="0018693B"/>
    <w:rsid w:val="0018694A"/>
    <w:rsid w:val="001A3287"/>
    <w:rsid w:val="001B2897"/>
    <w:rsid w:val="001D4C30"/>
    <w:rsid w:val="001D4C31"/>
    <w:rsid w:val="001E4D21"/>
    <w:rsid w:val="00207CD1"/>
    <w:rsid w:val="00211EEE"/>
    <w:rsid w:val="00236D08"/>
    <w:rsid w:val="002404BC"/>
    <w:rsid w:val="002477A2"/>
    <w:rsid w:val="00263A51"/>
    <w:rsid w:val="00267E02"/>
    <w:rsid w:val="002A29A6"/>
    <w:rsid w:val="002A5D44"/>
    <w:rsid w:val="002E0BC4"/>
    <w:rsid w:val="002F1B76"/>
    <w:rsid w:val="0030486F"/>
    <w:rsid w:val="0034201C"/>
    <w:rsid w:val="00355FF5"/>
    <w:rsid w:val="00361350"/>
    <w:rsid w:val="003C438E"/>
    <w:rsid w:val="004038CB"/>
    <w:rsid w:val="0040546F"/>
    <w:rsid w:val="00407467"/>
    <w:rsid w:val="0042404A"/>
    <w:rsid w:val="0044618F"/>
    <w:rsid w:val="00457B99"/>
    <w:rsid w:val="0046769A"/>
    <w:rsid w:val="00475FB3"/>
    <w:rsid w:val="004C37A9"/>
    <w:rsid w:val="004D3905"/>
    <w:rsid w:val="004F259E"/>
    <w:rsid w:val="00504119"/>
    <w:rsid w:val="00511F1D"/>
    <w:rsid w:val="00540615"/>
    <w:rsid w:val="00540A6D"/>
    <w:rsid w:val="00571EEA"/>
    <w:rsid w:val="005741E9"/>
    <w:rsid w:val="00575417"/>
    <w:rsid w:val="005768E1"/>
    <w:rsid w:val="005C3890"/>
    <w:rsid w:val="005F7BFE"/>
    <w:rsid w:val="00600017"/>
    <w:rsid w:val="006235CA"/>
    <w:rsid w:val="006643AB"/>
    <w:rsid w:val="006A423E"/>
    <w:rsid w:val="006F3D57"/>
    <w:rsid w:val="006F4FEA"/>
    <w:rsid w:val="006F71E4"/>
    <w:rsid w:val="007210CD"/>
    <w:rsid w:val="00724E8E"/>
    <w:rsid w:val="007264CD"/>
    <w:rsid w:val="007305DB"/>
    <w:rsid w:val="00731997"/>
    <w:rsid w:val="00732045"/>
    <w:rsid w:val="00733458"/>
    <w:rsid w:val="007369DB"/>
    <w:rsid w:val="00742183"/>
    <w:rsid w:val="007956C2"/>
    <w:rsid w:val="007A187E"/>
    <w:rsid w:val="007C72C2"/>
    <w:rsid w:val="007D4436"/>
    <w:rsid w:val="007F257A"/>
    <w:rsid w:val="007F3665"/>
    <w:rsid w:val="00800037"/>
    <w:rsid w:val="00861D73"/>
    <w:rsid w:val="008740D5"/>
    <w:rsid w:val="0088780C"/>
    <w:rsid w:val="008A4E87"/>
    <w:rsid w:val="008D596C"/>
    <w:rsid w:val="008D76E6"/>
    <w:rsid w:val="0092392D"/>
    <w:rsid w:val="0093234A"/>
    <w:rsid w:val="0094451E"/>
    <w:rsid w:val="00961315"/>
    <w:rsid w:val="00996DED"/>
    <w:rsid w:val="009A1F22"/>
    <w:rsid w:val="009A2476"/>
    <w:rsid w:val="009C307F"/>
    <w:rsid w:val="009E5CAD"/>
    <w:rsid w:val="009F2E26"/>
    <w:rsid w:val="00A00D7A"/>
    <w:rsid w:val="00A16166"/>
    <w:rsid w:val="00A2113E"/>
    <w:rsid w:val="00A23A51"/>
    <w:rsid w:val="00A24607"/>
    <w:rsid w:val="00A25CD3"/>
    <w:rsid w:val="00A314B5"/>
    <w:rsid w:val="00A82767"/>
    <w:rsid w:val="00AA20E4"/>
    <w:rsid w:val="00AA332F"/>
    <w:rsid w:val="00AA7BBB"/>
    <w:rsid w:val="00AB64A8"/>
    <w:rsid w:val="00AC0266"/>
    <w:rsid w:val="00AD24EC"/>
    <w:rsid w:val="00B309F9"/>
    <w:rsid w:val="00B32B60"/>
    <w:rsid w:val="00B42C0A"/>
    <w:rsid w:val="00B61619"/>
    <w:rsid w:val="00B70965"/>
    <w:rsid w:val="00B773C3"/>
    <w:rsid w:val="00B846DF"/>
    <w:rsid w:val="00BB4545"/>
    <w:rsid w:val="00BB4653"/>
    <w:rsid w:val="00BD23FD"/>
    <w:rsid w:val="00BD5873"/>
    <w:rsid w:val="00C04BE3"/>
    <w:rsid w:val="00C10823"/>
    <w:rsid w:val="00C25D29"/>
    <w:rsid w:val="00C27A7C"/>
    <w:rsid w:val="00C5218F"/>
    <w:rsid w:val="00C810F9"/>
    <w:rsid w:val="00C823D7"/>
    <w:rsid w:val="00CA08ED"/>
    <w:rsid w:val="00CD7E99"/>
    <w:rsid w:val="00CE0E7F"/>
    <w:rsid w:val="00CF183B"/>
    <w:rsid w:val="00D26B19"/>
    <w:rsid w:val="00D375CD"/>
    <w:rsid w:val="00D553A2"/>
    <w:rsid w:val="00D774D3"/>
    <w:rsid w:val="00D8293D"/>
    <w:rsid w:val="00D904E8"/>
    <w:rsid w:val="00DA08C3"/>
    <w:rsid w:val="00DB5A3E"/>
    <w:rsid w:val="00DC22AA"/>
    <w:rsid w:val="00DF74DD"/>
    <w:rsid w:val="00E17C0F"/>
    <w:rsid w:val="00E25AD0"/>
    <w:rsid w:val="00EB6350"/>
    <w:rsid w:val="00F04D8D"/>
    <w:rsid w:val="00F15B57"/>
    <w:rsid w:val="00F427DB"/>
    <w:rsid w:val="00F50CE4"/>
    <w:rsid w:val="00F739A6"/>
    <w:rsid w:val="00FA5EB1"/>
    <w:rsid w:val="00FA7439"/>
    <w:rsid w:val="00FC4EC0"/>
    <w:rsid w:val="00FE51DD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9D5342A8-F7D3-449F-B655-33EEC57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F3D57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10F9"/>
    <w:rPr>
      <w:rFonts w:ascii="Calibri" w:hAnsi="Calibri"/>
      <w:sz w:val="24"/>
      <w:lang w:val="fr-FR" w:eastAsia="en-US"/>
    </w:rPr>
  </w:style>
  <w:style w:type="paragraph" w:customStyle="1" w:styleId="j">
    <w:name w:val="j"/>
    <w:basedOn w:val="Heading2"/>
    <w:rsid w:val="00F739A6"/>
  </w:style>
  <w:style w:type="paragraph" w:customStyle="1" w:styleId="Normal1">
    <w:name w:val="Normal1"/>
    <w:rsid w:val="00236D08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F3CE-4ABB-4842-87C9-A13D2004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2</TotalTime>
  <Pages>1</Pages>
  <Words>426</Words>
  <Characters>2452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DU GROUPE D'EXPERTS SUR LE RÈGLEMENT DES TÉLÉCOMMUNICATIONS INTERNATIONALES (EG-RTI)</vt:lpstr>
    </vt:vector>
  </TitlesOfParts>
  <Manager>Secrétariat général - Pool</Manager>
  <Company>Membres de Secteurs de l'UIT</Company>
  <LinksUpToDate>false</LinksUpToDate>
  <CharactersWithSpaces>2873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Membres de Secteurs</dc:title>
  <dc:subject>EG-ITRs</dc:subject>
  <dc:creator>Brouard, Ricarda</dc:creator>
  <cp:keywords>EG-ITRs</cp:keywords>
  <dc:description>Document EG-ITRs 1/4-F  Pour: _x000d_Date du document: 25 janvier 2017_x000d_Enregistré par ITU51009313 à 09:41:06 le 27/01/2017</dc:description>
  <cp:lastModifiedBy>Brouard, Ricarda</cp:lastModifiedBy>
  <cp:revision>2</cp:revision>
  <cp:lastPrinted>2017-09-04T09:50:00Z</cp:lastPrinted>
  <dcterms:created xsi:type="dcterms:W3CDTF">2017-09-04T12:32:00Z</dcterms:created>
  <dcterms:modified xsi:type="dcterms:W3CDTF">2017-09-04T12:32:00Z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EG-ITRs 1/4-F</vt:lpwstr>
  </property>
  <property fmtid="{D5CDD505-2E9C-101B-9397-08002B2CF9AE}" pid="3" name="Docdate">
    <vt:lpwstr>25 janvier 2017</vt:lpwstr>
  </property>
  <property fmtid="{D5CDD505-2E9C-101B-9397-08002B2CF9AE}" pid="4" name="Docorlang">
    <vt:lpwstr>Original: arabe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Contribution de la Jordanie, de l'Arabie saoudite et des Emirats arabes unis</vt:lpwstr>
  </property>
</Properties>
</file>