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C26F65" w:rsidRPr="000E1753">
        <w:trPr>
          <w:cantSplit/>
        </w:trPr>
        <w:tc>
          <w:tcPr>
            <w:tcW w:w="6912" w:type="dxa"/>
          </w:tcPr>
          <w:p w:rsidR="00C26F65" w:rsidRPr="000E1753" w:rsidRDefault="00C26F65" w:rsidP="00C26F65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0E1753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Grupo de Expertos sobre el Reglamento de las </w:t>
            </w:r>
            <w:r w:rsidRPr="000E1753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C26F65" w:rsidRPr="000E1753" w:rsidRDefault="00C26F65" w:rsidP="00C26F65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0E1753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79A9AA6" wp14:editId="712B9729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F65" w:rsidRPr="000E1753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C26F65" w:rsidRPr="000E1753" w:rsidRDefault="00F869A6" w:rsidP="00F869A6">
            <w:pPr>
              <w:spacing w:before="0"/>
              <w:rPr>
                <w:b/>
                <w:bCs/>
                <w:szCs w:val="24"/>
              </w:rPr>
            </w:pPr>
            <w:r w:rsidRPr="000E1753">
              <w:rPr>
                <w:rFonts w:eastAsia="Calibri" w:cs="Calibri"/>
                <w:b/>
                <w:color w:val="000000"/>
                <w:szCs w:val="24"/>
              </w:rPr>
              <w:t>Segunda</w:t>
            </w:r>
            <w:r w:rsidR="00C26F65" w:rsidRPr="000E1753">
              <w:rPr>
                <w:rFonts w:eastAsia="Calibri" w:cs="Calibri"/>
                <w:b/>
                <w:color w:val="000000"/>
                <w:szCs w:val="24"/>
              </w:rPr>
              <w:t xml:space="preserve"> reunión – Ginebra, </w:t>
            </w:r>
            <w:r w:rsidRPr="000E1753">
              <w:rPr>
                <w:rFonts w:eastAsia="Calibri" w:cs="Calibri"/>
                <w:b/>
                <w:color w:val="000000"/>
                <w:szCs w:val="24"/>
              </w:rPr>
              <w:t>13-15 de septiembre</w:t>
            </w:r>
            <w:r w:rsidR="00C26F65" w:rsidRPr="000E1753">
              <w:rPr>
                <w:rFonts w:eastAsia="Calibri" w:cs="Calibri"/>
                <w:b/>
                <w:color w:val="000000"/>
                <w:szCs w:val="24"/>
              </w:rPr>
              <w:t xml:space="preserve"> de 2017</w:t>
            </w:r>
          </w:p>
        </w:tc>
      </w:tr>
      <w:tr w:rsidR="00C26F65" w:rsidRPr="000E175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C26F65" w:rsidRPr="000E1753" w:rsidRDefault="00C26F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26F65" w:rsidRPr="000E1753" w:rsidRDefault="00C26F6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26F65" w:rsidRPr="000E175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26F65" w:rsidRPr="000E1753" w:rsidRDefault="00C26F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C26F65" w:rsidRPr="000E1753" w:rsidRDefault="00C26F65" w:rsidP="003F54DC">
            <w:pPr>
              <w:spacing w:before="0"/>
              <w:rPr>
                <w:b/>
                <w:bCs/>
                <w:szCs w:val="24"/>
              </w:rPr>
            </w:pPr>
            <w:r w:rsidRPr="000E1753">
              <w:rPr>
                <w:b/>
              </w:rPr>
              <w:t>Documento EG-ITRs</w:t>
            </w:r>
            <w:r w:rsidR="00B174F9" w:rsidRPr="000E1753">
              <w:rPr>
                <w:b/>
              </w:rPr>
              <w:t>-</w:t>
            </w:r>
            <w:r w:rsidR="00F869A6" w:rsidRPr="000E1753">
              <w:rPr>
                <w:b/>
              </w:rPr>
              <w:t>2</w:t>
            </w:r>
            <w:r w:rsidRPr="000E1753">
              <w:rPr>
                <w:b/>
              </w:rPr>
              <w:t>/</w:t>
            </w:r>
            <w:r w:rsidR="00924784" w:rsidRPr="000E1753">
              <w:rPr>
                <w:b/>
              </w:rPr>
              <w:t>1</w:t>
            </w:r>
            <w:r w:rsidR="003F54DC" w:rsidRPr="000E1753">
              <w:rPr>
                <w:b/>
              </w:rPr>
              <w:t>5</w:t>
            </w:r>
            <w:r w:rsidRPr="000E1753">
              <w:rPr>
                <w:b/>
              </w:rPr>
              <w:t>-S</w:t>
            </w:r>
          </w:p>
        </w:tc>
      </w:tr>
      <w:tr w:rsidR="00C26F65" w:rsidRPr="000E175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26F65" w:rsidRPr="000E1753" w:rsidRDefault="00C26F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C26F65" w:rsidRPr="000E1753" w:rsidRDefault="00924784" w:rsidP="003F54DC">
            <w:pPr>
              <w:spacing w:before="0"/>
              <w:rPr>
                <w:b/>
                <w:bCs/>
                <w:szCs w:val="24"/>
              </w:rPr>
            </w:pPr>
            <w:r w:rsidRPr="000E1753">
              <w:rPr>
                <w:b/>
                <w:bCs/>
                <w:szCs w:val="24"/>
              </w:rPr>
              <w:t>3</w:t>
            </w:r>
            <w:r w:rsidR="003F54DC" w:rsidRPr="000E1753">
              <w:rPr>
                <w:b/>
                <w:bCs/>
                <w:szCs w:val="24"/>
              </w:rPr>
              <w:t>1</w:t>
            </w:r>
            <w:r w:rsidR="00C26F65" w:rsidRPr="000E1753">
              <w:rPr>
                <w:b/>
                <w:bCs/>
                <w:szCs w:val="24"/>
              </w:rPr>
              <w:t xml:space="preserve"> de </w:t>
            </w:r>
            <w:r w:rsidR="00F869A6" w:rsidRPr="000E1753">
              <w:rPr>
                <w:b/>
                <w:bCs/>
                <w:szCs w:val="24"/>
              </w:rPr>
              <w:t>agosto</w:t>
            </w:r>
            <w:r w:rsidR="00C26F65" w:rsidRPr="000E1753">
              <w:rPr>
                <w:b/>
                <w:bCs/>
                <w:szCs w:val="24"/>
              </w:rPr>
              <w:t xml:space="preserve"> de 2017</w:t>
            </w:r>
          </w:p>
        </w:tc>
      </w:tr>
      <w:tr w:rsidR="00C26F65" w:rsidRPr="000E175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26F65" w:rsidRPr="000E1753" w:rsidRDefault="00C26F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C26F65" w:rsidRPr="000E1753" w:rsidRDefault="00C26F65" w:rsidP="00881C9C">
            <w:pPr>
              <w:spacing w:before="0"/>
              <w:rPr>
                <w:b/>
                <w:bCs/>
                <w:szCs w:val="24"/>
              </w:rPr>
            </w:pPr>
            <w:r w:rsidRPr="000E1753">
              <w:rPr>
                <w:b/>
                <w:bCs/>
                <w:szCs w:val="24"/>
              </w:rPr>
              <w:t xml:space="preserve">Original: </w:t>
            </w:r>
            <w:r w:rsidR="00B454DB" w:rsidRPr="000E1753">
              <w:rPr>
                <w:b/>
              </w:rPr>
              <w:t>inglés</w:t>
            </w:r>
          </w:p>
        </w:tc>
      </w:tr>
      <w:tr w:rsidR="00C26F65" w:rsidRPr="000E1753">
        <w:trPr>
          <w:cantSplit/>
        </w:trPr>
        <w:tc>
          <w:tcPr>
            <w:tcW w:w="10173" w:type="dxa"/>
            <w:gridSpan w:val="2"/>
          </w:tcPr>
          <w:p w:rsidR="00C26F65" w:rsidRPr="000E1753" w:rsidRDefault="003F54DC" w:rsidP="00924784">
            <w:pPr>
              <w:pStyle w:val="Normal1"/>
              <w:spacing w:before="600"/>
              <w:jc w:val="center"/>
              <w:rPr>
                <w:rFonts w:asciiTheme="minorHAnsi" w:hAnsiTheme="minorHAnsi" w:cs="Times New Roman"/>
                <w:b/>
                <w:sz w:val="28"/>
                <w:szCs w:val="28"/>
                <w:lang w:val="es-ES_tradnl"/>
              </w:rPr>
            </w:pPr>
            <w:bookmarkStart w:id="6" w:name="dsource" w:colFirst="0" w:colLast="0"/>
            <w:bookmarkEnd w:id="0"/>
            <w:bookmarkEnd w:id="5"/>
            <w:r w:rsidRPr="000E1753">
              <w:rPr>
                <w:b/>
                <w:sz w:val="28"/>
                <w:szCs w:val="28"/>
                <w:lang w:val="es-ES_tradnl"/>
              </w:rPr>
              <w:t>Contribución de la Asociación para el Progreso de las Comunicaciones</w:t>
            </w:r>
          </w:p>
        </w:tc>
      </w:tr>
      <w:tr w:rsidR="00C26F65" w:rsidRPr="000E1753">
        <w:trPr>
          <w:cantSplit/>
        </w:trPr>
        <w:tc>
          <w:tcPr>
            <w:tcW w:w="10173" w:type="dxa"/>
            <w:gridSpan w:val="2"/>
          </w:tcPr>
          <w:p w:rsidR="00C26F65" w:rsidRPr="000E1753" w:rsidRDefault="003F54DC" w:rsidP="0076194C">
            <w:pPr>
              <w:pStyle w:val="Title1"/>
            </w:pPr>
            <w:bookmarkStart w:id="7" w:name="dtitle1" w:colFirst="0" w:colLast="0"/>
            <w:bookmarkEnd w:id="6"/>
            <w:r w:rsidRPr="000E1753">
              <w:rPr>
                <w:rFonts w:cs="Times New Roman Bold"/>
                <w:bCs/>
                <w:szCs w:val="22"/>
                <w:lang w:eastAsia="ja-JP"/>
              </w:rPr>
              <w:t xml:space="preserve">EXAMEN DEL REGLAMENTO DE LAS TELECOMUNICACIONES </w:t>
            </w:r>
            <w:r w:rsidRPr="000E1753">
              <w:rPr>
                <w:rFonts w:cs="Times New Roman Bold"/>
                <w:bCs/>
                <w:szCs w:val="22"/>
                <w:lang w:eastAsia="ja-JP"/>
              </w:rPr>
              <w:br/>
              <w:t>INTERNACIONALES DE 2012</w:t>
            </w:r>
          </w:p>
        </w:tc>
      </w:tr>
    </w:tbl>
    <w:bookmarkEnd w:id="7"/>
    <w:p w:rsidR="00040BC9" w:rsidRPr="000E1753" w:rsidRDefault="00885906" w:rsidP="00AE5534">
      <w:pPr>
        <w:pStyle w:val="enumlev1"/>
        <w:rPr>
          <w:szCs w:val="24"/>
        </w:rPr>
      </w:pPr>
      <w:r w:rsidRPr="000E1753">
        <w:t>1)</w:t>
      </w:r>
      <w:r w:rsidR="00040BC9" w:rsidRPr="000E1753">
        <w:tab/>
        <w:t xml:space="preserve">La Asociación para el Progreso de las Comunicaciones (APC) se congratula de tener la oportunidad de aportar la presente contribución a la segunda reunión del Grupo de Expertos sobre el Reglamento de las Telecomunicaciones Internacionales (RTI). La APC es Miembro de Sector del UIT-D y del UIT-R e integra una red internacional de organizaciones de la sociedad civil interesadas en las TIC, Internet, el desarrollo y los derechos. La APC siguió muy de cerca </w:t>
      </w:r>
      <w:proofErr w:type="gramStart"/>
      <w:r w:rsidR="00040BC9" w:rsidRPr="000E1753">
        <w:t>el</w:t>
      </w:r>
      <w:proofErr w:type="gramEnd"/>
      <w:r w:rsidR="00040BC9" w:rsidRPr="000E1753">
        <w:t xml:space="preserve"> proceso de la Conferencia Mundial de Telecomunicacione</w:t>
      </w:r>
      <w:r w:rsidR="00EE4110" w:rsidRPr="000E1753">
        <w:t>s Internacionales de 2012 (CMTI</w:t>
      </w:r>
      <w:r w:rsidR="00EE4110" w:rsidRPr="000E1753">
        <w:noBreakHyphen/>
      </w:r>
      <w:r w:rsidR="00040BC9" w:rsidRPr="000E1753">
        <w:t>12) y contribuyó en la</w:t>
      </w:r>
      <w:r w:rsidR="00040BC9" w:rsidRPr="000E1753">
        <w:rPr>
          <w:szCs w:val="24"/>
        </w:rPr>
        <w:t xml:space="preserve"> medida de lo posible en su calidad de organización de la sociedad civil.</w:t>
      </w:r>
      <w:r w:rsidR="00AE5534" w:rsidRPr="000E1753">
        <w:rPr>
          <w:rStyle w:val="FootnoteReference"/>
        </w:rPr>
        <w:footnoteReference w:id="1"/>
      </w:r>
    </w:p>
    <w:p w:rsidR="00040BC9" w:rsidRPr="000E1753" w:rsidRDefault="00040BC9" w:rsidP="00885906">
      <w:pPr>
        <w:pStyle w:val="enumlev1"/>
        <w:rPr>
          <w:szCs w:val="24"/>
        </w:rPr>
      </w:pPr>
      <w:r w:rsidRPr="000E1753">
        <w:rPr>
          <w:szCs w:val="24"/>
        </w:rPr>
        <w:t>2</w:t>
      </w:r>
      <w:r w:rsidR="00885906" w:rsidRPr="000E1753">
        <w:rPr>
          <w:szCs w:val="24"/>
        </w:rPr>
        <w:t>)</w:t>
      </w:r>
      <w:r w:rsidRPr="000E1753">
        <w:rPr>
          <w:szCs w:val="24"/>
        </w:rPr>
        <w:tab/>
        <w:t xml:space="preserve">El RTI es un </w:t>
      </w:r>
      <w:r w:rsidRPr="000E1753">
        <w:t>instrumento</w:t>
      </w:r>
      <w:r w:rsidRPr="000E1753">
        <w:rPr>
          <w:szCs w:val="24"/>
        </w:rPr>
        <w:t xml:space="preserve"> importante en el ámbito de las comunicaciones internacionales y resulta crucia</w:t>
      </w:r>
      <w:r w:rsidRPr="000E1753">
        <w:t>l</w:t>
      </w:r>
      <w:r w:rsidRPr="000E1753">
        <w:rPr>
          <w:szCs w:val="24"/>
        </w:rPr>
        <w:t xml:space="preserve"> que todas las partes interesadas puedan contribuir a los debates relativos a su revisión. Los participantes en el proceso de revisión del RTI de 2012 deberían centrarse en dilucidar si la existencia de dos versiones del reglamento genera problemas o conflictos, concretamente, en relación con los siguientes objetivos del RTI:</w:t>
      </w:r>
    </w:p>
    <w:p w:rsidR="00040BC9" w:rsidRPr="000E1753" w:rsidRDefault="00885906" w:rsidP="00885906">
      <w:pPr>
        <w:pStyle w:val="enumlev2"/>
      </w:pPr>
      <w:r w:rsidRPr="000E1753">
        <w:t>•</w:t>
      </w:r>
      <w:r w:rsidRPr="000E1753">
        <w:tab/>
      </w:r>
      <w:r w:rsidR="00040BC9" w:rsidRPr="000E1753">
        <w:t>facilitar la interconexión y la interoperabilidad a escala mundial de los medios de telecomunicación;</w:t>
      </w:r>
    </w:p>
    <w:p w:rsidR="00040BC9" w:rsidRPr="000E1753" w:rsidRDefault="00885906" w:rsidP="00885906">
      <w:pPr>
        <w:pStyle w:val="enumlev2"/>
      </w:pPr>
      <w:r w:rsidRPr="000E1753">
        <w:t>•</w:t>
      </w:r>
      <w:r w:rsidRPr="000E1753">
        <w:tab/>
      </w:r>
      <w:r w:rsidR="00040BC9" w:rsidRPr="000E1753">
        <w:t>favorecer el desarrollo armonioso y el funcionamiento eficaz de estos medios</w:t>
      </w:r>
      <w:r w:rsidRPr="000E1753">
        <w:t>;</w:t>
      </w:r>
      <w:r w:rsidR="00040BC9" w:rsidRPr="000E1753">
        <w:t xml:space="preserve"> y</w:t>
      </w:r>
    </w:p>
    <w:p w:rsidR="00040BC9" w:rsidRPr="000E1753" w:rsidRDefault="00885906" w:rsidP="00885906">
      <w:pPr>
        <w:pStyle w:val="enumlev2"/>
      </w:pPr>
      <w:r w:rsidRPr="000E1753">
        <w:t>•</w:t>
      </w:r>
      <w:r w:rsidRPr="000E1753">
        <w:tab/>
      </w:r>
      <w:r w:rsidR="00040BC9" w:rsidRPr="000E1753">
        <w:t xml:space="preserve">promover la eficacia, la utilidad y la disponibilidad para el público de los servicios </w:t>
      </w:r>
      <w:proofErr w:type="gramStart"/>
      <w:r w:rsidR="00040BC9" w:rsidRPr="000E1753">
        <w:t>internacionales</w:t>
      </w:r>
      <w:proofErr w:type="gramEnd"/>
      <w:r w:rsidR="00040BC9" w:rsidRPr="000E1753">
        <w:t xml:space="preserve"> de telecomunicación.</w:t>
      </w:r>
    </w:p>
    <w:p w:rsidR="00040BC9" w:rsidRPr="000E1753" w:rsidRDefault="00074A5B" w:rsidP="005A4945">
      <w:pPr>
        <w:pStyle w:val="enumlev1"/>
        <w:rPr>
          <w:szCs w:val="24"/>
        </w:rPr>
      </w:pPr>
      <w:r w:rsidRPr="000E1753">
        <w:rPr>
          <w:szCs w:val="24"/>
        </w:rPr>
        <w:t>3)</w:t>
      </w:r>
      <w:r w:rsidR="00040BC9" w:rsidRPr="000E1753">
        <w:rPr>
          <w:szCs w:val="24"/>
        </w:rPr>
        <w:tab/>
        <w:t xml:space="preserve">A la APC no le constan problemas ni conflictos fruto de la existencia de dos versiones del RTI. Además, consideramos que la polarización que afloró en la </w:t>
      </w:r>
      <w:r w:rsidR="005A4945">
        <w:rPr>
          <w:szCs w:val="24"/>
        </w:rPr>
        <w:t>CMTI</w:t>
      </w:r>
      <w:r w:rsidR="00040BC9" w:rsidRPr="000E1753">
        <w:rPr>
          <w:szCs w:val="24"/>
        </w:rPr>
        <w:t xml:space="preserve">-12, pues solo 89 de los </w:t>
      </w:r>
      <w:r w:rsidR="005A4945">
        <w:rPr>
          <w:szCs w:val="24"/>
        </w:rPr>
        <w:t>193 </w:t>
      </w:r>
      <w:r w:rsidR="00040BC9" w:rsidRPr="000E1753">
        <w:rPr>
          <w:szCs w:val="24"/>
        </w:rPr>
        <w:t>Estados Miembros de la Unión firmaron las Actas Finales, no se ha resuelto en los últimos cinco años. Nos preocupa que una posible revisión o actualización del RTI reabra debates interminables y no propicie avances en la materia.</w:t>
      </w:r>
    </w:p>
    <w:p w:rsidR="00040BC9" w:rsidRPr="000E1753" w:rsidRDefault="00856A17" w:rsidP="0095160D">
      <w:pPr>
        <w:pStyle w:val="enumlev1"/>
        <w:rPr>
          <w:szCs w:val="24"/>
        </w:rPr>
      </w:pPr>
      <w:r w:rsidRPr="000E1753">
        <w:rPr>
          <w:szCs w:val="24"/>
        </w:rPr>
        <w:t>4)</w:t>
      </w:r>
      <w:r w:rsidR="00040BC9" w:rsidRPr="000E1753">
        <w:rPr>
          <w:szCs w:val="24"/>
        </w:rPr>
        <w:tab/>
        <w:t>También nos preocupa que la renegociación del RTI entrañe riesgos notables en tres esferas: a) restricción del uso de las telecomunicaciones; b) costes financieros</w:t>
      </w:r>
      <w:r w:rsidR="0095160D">
        <w:rPr>
          <w:szCs w:val="24"/>
        </w:rPr>
        <w:t>;</w:t>
      </w:r>
      <w:r w:rsidR="00040BC9" w:rsidRPr="000E1753">
        <w:rPr>
          <w:szCs w:val="24"/>
        </w:rPr>
        <w:t xml:space="preserve"> y c) repercusiones </w:t>
      </w:r>
      <w:proofErr w:type="gramStart"/>
      <w:r w:rsidR="00040BC9" w:rsidRPr="000E1753">
        <w:rPr>
          <w:szCs w:val="24"/>
        </w:rPr>
        <w:t>para</w:t>
      </w:r>
      <w:proofErr w:type="gramEnd"/>
      <w:r w:rsidR="00040BC9" w:rsidRPr="000E1753">
        <w:rPr>
          <w:szCs w:val="24"/>
        </w:rPr>
        <w:t xml:space="preserve"> la reputación.</w:t>
      </w:r>
    </w:p>
    <w:p w:rsidR="00040BC9" w:rsidRPr="000E1753" w:rsidRDefault="00040BC9" w:rsidP="00403688">
      <w:pPr>
        <w:pStyle w:val="enumlev2"/>
        <w:rPr>
          <w:szCs w:val="24"/>
        </w:rPr>
      </w:pPr>
      <w:r w:rsidRPr="000E1753">
        <w:rPr>
          <w:szCs w:val="24"/>
        </w:rPr>
        <w:lastRenderedPageBreak/>
        <w:t>a)</w:t>
      </w:r>
      <w:r w:rsidRPr="000E1753">
        <w:rPr>
          <w:szCs w:val="24"/>
        </w:rPr>
        <w:tab/>
        <w:t xml:space="preserve">Restricción del uso de las telecomunicaciones: Las propuestas presentadas en el marco de la </w:t>
      </w:r>
      <w:r w:rsidR="00403688">
        <w:rPr>
          <w:szCs w:val="24"/>
        </w:rPr>
        <w:t>CMTI</w:t>
      </w:r>
      <w:r w:rsidRPr="000E1753">
        <w:rPr>
          <w:szCs w:val="24"/>
        </w:rPr>
        <w:t xml:space="preserve">-12 y de otros eventos celebrados por la UIT en los últimos años, como la PP-14 y la AMNT-16, </w:t>
      </w:r>
      <w:r w:rsidRPr="000E1753">
        <w:t>implicaron</w:t>
      </w:r>
      <w:r w:rsidRPr="000E1753">
        <w:rPr>
          <w:szCs w:val="24"/>
        </w:rPr>
        <w:t xml:space="preserve"> riesgos en materia de acceso a la información y libertad de expresión a través de las telecomunicaciones, así como para otros derechos humanos de la índole del derecho a la privacidad</w:t>
      </w:r>
      <w:r w:rsidR="005B56AE" w:rsidRPr="000E1753">
        <w:rPr>
          <w:szCs w:val="24"/>
        </w:rPr>
        <w:t>.</w:t>
      </w:r>
      <w:r w:rsidRPr="000E1753">
        <w:rPr>
          <w:rStyle w:val="FootnoteReference"/>
        </w:rPr>
        <w:footnoteReference w:id="2"/>
      </w:r>
    </w:p>
    <w:p w:rsidR="00040BC9" w:rsidRPr="000E1753" w:rsidRDefault="00040BC9" w:rsidP="005201FB">
      <w:pPr>
        <w:pStyle w:val="enumlev2"/>
        <w:rPr>
          <w:szCs w:val="24"/>
        </w:rPr>
      </w:pPr>
      <w:r w:rsidRPr="000E1753">
        <w:rPr>
          <w:szCs w:val="24"/>
        </w:rPr>
        <w:t>b)</w:t>
      </w:r>
      <w:r w:rsidRPr="000E1753">
        <w:rPr>
          <w:szCs w:val="24"/>
        </w:rPr>
        <w:tab/>
        <w:t>Costes financieros: Según se ha indicado en otras contribuciones, la celebración de una CMTI conllevaría un coste financiero importante</w:t>
      </w:r>
      <w:r w:rsidRPr="000E1753">
        <w:rPr>
          <w:rStyle w:val="FootnoteReference"/>
        </w:rPr>
        <w:footnoteReference w:id="3"/>
      </w:r>
      <w:r w:rsidRPr="000E1753">
        <w:rPr>
          <w:szCs w:val="24"/>
        </w:rPr>
        <w:t xml:space="preserve">. En la CMTI-12, los 13 días de reunión costaron 1,9 millones </w:t>
      </w:r>
      <w:r w:rsidR="005201FB">
        <w:rPr>
          <w:szCs w:val="24"/>
        </w:rPr>
        <w:t>CHF</w:t>
      </w:r>
      <w:r w:rsidR="005201FB" w:rsidRPr="000E1753">
        <w:rPr>
          <w:szCs w:val="24"/>
        </w:rPr>
        <w:t xml:space="preserve"> </w:t>
      </w:r>
      <w:r w:rsidRPr="000E1753">
        <w:rPr>
          <w:szCs w:val="24"/>
        </w:rPr>
        <w:t>(147</w:t>
      </w:r>
      <w:r w:rsidR="00403688">
        <w:rPr>
          <w:szCs w:val="24"/>
        </w:rPr>
        <w:t> </w:t>
      </w:r>
      <w:r w:rsidRPr="000E1753">
        <w:rPr>
          <w:szCs w:val="24"/>
        </w:rPr>
        <w:t xml:space="preserve">000 </w:t>
      </w:r>
      <w:r w:rsidR="00403688">
        <w:rPr>
          <w:szCs w:val="24"/>
        </w:rPr>
        <w:t>CHF</w:t>
      </w:r>
      <w:r w:rsidRPr="000E1753">
        <w:rPr>
          <w:szCs w:val="24"/>
        </w:rPr>
        <w:t xml:space="preserve"> al día). Dicha suma no incluye el coste de las reuniones preparatorias regionales, ni de los preparativos y consultas que los Estados Miembros llevaron a cabo a escala nacional. En consecuencia, la cifra total sería mucho mayor.</w:t>
      </w:r>
    </w:p>
    <w:p w:rsidR="00040BC9" w:rsidRPr="000E1753" w:rsidRDefault="00040BC9" w:rsidP="00130042">
      <w:pPr>
        <w:pStyle w:val="enumlev2"/>
        <w:rPr>
          <w:szCs w:val="24"/>
        </w:rPr>
      </w:pPr>
      <w:r w:rsidRPr="000E1753">
        <w:rPr>
          <w:szCs w:val="24"/>
        </w:rPr>
        <w:t>c)</w:t>
      </w:r>
      <w:r w:rsidRPr="000E1753">
        <w:rPr>
          <w:szCs w:val="24"/>
        </w:rPr>
        <w:tab/>
        <w:t xml:space="preserve">Repercusiones para la reputación: La </w:t>
      </w:r>
      <w:r w:rsidR="00130042" w:rsidRPr="000E1753">
        <w:rPr>
          <w:szCs w:val="24"/>
        </w:rPr>
        <w:t>CMTI-12</w:t>
      </w:r>
      <w:r w:rsidR="00130042">
        <w:rPr>
          <w:szCs w:val="24"/>
        </w:rPr>
        <w:t xml:space="preserve"> </w:t>
      </w:r>
      <w:r w:rsidRPr="000E1753">
        <w:rPr>
          <w:szCs w:val="24"/>
        </w:rPr>
        <w:t xml:space="preserve">suscitó una controversia importante, por cuanto se concluyó en ausencia de consenso y se celebró sin la transparencia oportuna y sin la adecuada participación de las partes interesadas. Si bien podría argumentarse que algunos medios de comunicación exageraron en sus publicaciones, resulta indiscutible que la </w:t>
      </w:r>
      <w:r w:rsidR="00130042" w:rsidRPr="000E1753">
        <w:rPr>
          <w:szCs w:val="24"/>
        </w:rPr>
        <w:t>CMTI-12</w:t>
      </w:r>
      <w:r w:rsidR="00130042">
        <w:rPr>
          <w:szCs w:val="24"/>
        </w:rPr>
        <w:t xml:space="preserve"> </w:t>
      </w:r>
      <w:r w:rsidRPr="000E1753">
        <w:rPr>
          <w:szCs w:val="24"/>
        </w:rPr>
        <w:t xml:space="preserve">no estuvo a la altura de las expectativas de apertura, </w:t>
      </w:r>
      <w:proofErr w:type="spellStart"/>
      <w:r w:rsidRPr="000E1753">
        <w:rPr>
          <w:szCs w:val="24"/>
        </w:rPr>
        <w:t>inclusividad</w:t>
      </w:r>
      <w:proofErr w:type="spellEnd"/>
      <w:r w:rsidRPr="000E1753">
        <w:rPr>
          <w:szCs w:val="24"/>
        </w:rPr>
        <w:t xml:space="preserve"> y transparencia de los interesados. En ese sentido, felicitamos a la UIT por haber adoptado medidas para abrirse a las partes interesadas no gubernamentales y de la sociedad civil en los últimos años, por ejemplo, permitiendo que los miembros exentos de pago se inscriban como Miembros de Sector, adoptando de manera preliminar una nueva política de acceso a los documentos y celebrando consultas en línea y presenciales para el Grupo de Trabajo del Consejo sobre cuestiones de política pública internacional relacionadas con Internet (GTC-Internet). No obstante, consideramos que cabe redoblar esfuerzos con miras a garantizar una participación significativa por parte de los interesados y evitar posibles daños a la reputación de la UIT.</w:t>
      </w:r>
    </w:p>
    <w:p w:rsidR="00040BC9" w:rsidRPr="000E1753" w:rsidRDefault="002B5602" w:rsidP="002B5602">
      <w:pPr>
        <w:pStyle w:val="enumlev1"/>
        <w:rPr>
          <w:szCs w:val="24"/>
        </w:rPr>
      </w:pPr>
      <w:r w:rsidRPr="000E1753">
        <w:rPr>
          <w:szCs w:val="24"/>
        </w:rPr>
        <w:t>5)</w:t>
      </w:r>
      <w:r w:rsidR="00040BC9" w:rsidRPr="000E1753">
        <w:rPr>
          <w:szCs w:val="24"/>
        </w:rPr>
        <w:tab/>
        <w:t xml:space="preserve">La </w:t>
      </w:r>
      <w:r w:rsidR="00040BC9" w:rsidRPr="000E1753">
        <w:t>APC</w:t>
      </w:r>
      <w:r w:rsidR="00040BC9" w:rsidRPr="000E1753">
        <w:rPr>
          <w:szCs w:val="24"/>
        </w:rPr>
        <w:t xml:space="preserve"> reitera que el </w:t>
      </w:r>
      <w:r w:rsidR="00040BC9" w:rsidRPr="000E1753">
        <w:rPr>
          <w:b/>
          <w:bCs/>
          <w:szCs w:val="24"/>
        </w:rPr>
        <w:t xml:space="preserve">RTI debe seguir ocupándose de las telecomunicaciones básicas </w:t>
      </w:r>
      <w:r w:rsidR="00040BC9" w:rsidRPr="000E1753">
        <w:rPr>
          <w:szCs w:val="24"/>
        </w:rPr>
        <w:t xml:space="preserve">y </w:t>
      </w:r>
      <w:r w:rsidR="00040BC9" w:rsidRPr="000E1753">
        <w:rPr>
          <w:b/>
          <w:bCs/>
          <w:szCs w:val="24"/>
        </w:rPr>
        <w:t xml:space="preserve">no extenderse a los servicios que hacen uso de redes de telecomunicaciones, tales como las TIC en general o Internet </w:t>
      </w:r>
      <w:r w:rsidR="00040BC9" w:rsidRPr="000E1753">
        <w:rPr>
          <w:szCs w:val="24"/>
        </w:rPr>
        <w:t>en particular, ni</w:t>
      </w:r>
      <w:r w:rsidR="00040BC9" w:rsidRPr="000E1753">
        <w:rPr>
          <w:b/>
          <w:bCs/>
          <w:szCs w:val="24"/>
        </w:rPr>
        <w:t xml:space="preserve"> incluir objetivos de política pública y ámbitos de gobernanza que exceden sus competencias actuales en el sector de las telecomunicaciones</w:t>
      </w:r>
      <w:r w:rsidR="00040BC9" w:rsidRPr="000E1753">
        <w:rPr>
          <w:szCs w:val="24"/>
        </w:rPr>
        <w:t xml:space="preserve">. Además, </w:t>
      </w:r>
      <w:r w:rsidR="00040BC9" w:rsidRPr="000E1753">
        <w:rPr>
          <w:b/>
          <w:bCs/>
          <w:szCs w:val="24"/>
        </w:rPr>
        <w:t>el RTI siempre debe tratar de facilitar</w:t>
      </w:r>
      <w:r w:rsidR="00040BC9" w:rsidRPr="000E1753">
        <w:rPr>
          <w:szCs w:val="24"/>
        </w:rPr>
        <w:t xml:space="preserve"> el desarrollo de las telecomunicaciones y la disponibilidad de los servicios conexos, </w:t>
      </w:r>
      <w:r w:rsidR="00040BC9" w:rsidRPr="000E1753">
        <w:rPr>
          <w:b/>
          <w:bCs/>
          <w:szCs w:val="24"/>
        </w:rPr>
        <w:t>sin plantear obstáculo algo</w:t>
      </w:r>
      <w:r w:rsidR="00040BC9" w:rsidRPr="000E1753">
        <w:rPr>
          <w:szCs w:val="24"/>
        </w:rPr>
        <w:t>.</w:t>
      </w:r>
    </w:p>
    <w:p w:rsidR="00040BC9" w:rsidRPr="000E1753" w:rsidRDefault="009E0E7F" w:rsidP="009E0E7F">
      <w:pPr>
        <w:pStyle w:val="enumlev1"/>
        <w:rPr>
          <w:szCs w:val="24"/>
        </w:rPr>
      </w:pPr>
      <w:r w:rsidRPr="000E1753">
        <w:rPr>
          <w:szCs w:val="24"/>
        </w:rPr>
        <w:t>6)</w:t>
      </w:r>
      <w:r w:rsidR="00040BC9" w:rsidRPr="000E1753">
        <w:rPr>
          <w:szCs w:val="24"/>
        </w:rPr>
        <w:tab/>
        <w:t>Además, alentamos a la UIT a que adopte nuevas medidas encaminadas a permitir que otros actores independientes de la sociedad civil participen de manera significativa en sus trabajos, mediante la creación de</w:t>
      </w:r>
      <w:r w:rsidR="00040BC9" w:rsidRPr="000E1753">
        <w:rPr>
          <w:b/>
          <w:bCs/>
          <w:szCs w:val="24"/>
        </w:rPr>
        <w:t xml:space="preserve"> procesos abiertos, participativos, transparentes, responsables, inclusivos y equitativos</w:t>
      </w:r>
      <w:r w:rsidR="00040BC9" w:rsidRPr="000E1753">
        <w:rPr>
          <w:szCs w:val="24"/>
        </w:rPr>
        <w:t>.</w:t>
      </w:r>
    </w:p>
    <w:p w:rsidR="0037150E" w:rsidRPr="000E1753" w:rsidRDefault="0037150E">
      <w:pPr>
        <w:jc w:val="center"/>
      </w:pPr>
      <w:r w:rsidRPr="000E1753">
        <w:t>______________</w:t>
      </w:r>
    </w:p>
    <w:sectPr w:rsidR="0037150E" w:rsidRPr="000E1753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65" w:rsidRDefault="00C26F65">
      <w:r>
        <w:separator/>
      </w:r>
    </w:p>
  </w:endnote>
  <w:endnote w:type="continuationSeparator" w:id="0">
    <w:p w:rsidR="00C26F65" w:rsidRDefault="00C2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1A06A1" w:rsidP="00040BC9">
    <w:pPr>
      <w:pStyle w:val="Footer"/>
      <w:rPr>
        <w:lang w:val="en-US"/>
      </w:rPr>
    </w:pPr>
    <w:r>
      <w:fldChar w:fldCharType="begin"/>
    </w:r>
    <w:r w:rsidRPr="00B174F9">
      <w:rPr>
        <w:lang w:val="en-US"/>
      </w:rPr>
      <w:instrText xml:space="preserve"> FILENAME \p  \* MERGEFORMAT </w:instrText>
    </w:r>
    <w:r>
      <w:fldChar w:fldCharType="separate"/>
    </w:r>
    <w:r w:rsidR="00040BC9">
      <w:rPr>
        <w:lang w:val="en-US"/>
      </w:rPr>
      <w:t>P:\ESP\SG\CONSEIL\EG-ITR\EG-ITR-2\000\015S.docx</w:t>
    </w:r>
    <w:r>
      <w:fldChar w:fldCharType="end"/>
    </w:r>
    <w:r w:rsidR="00B174F9">
      <w:t xml:space="preserve"> (</w:t>
    </w:r>
    <w:r w:rsidR="00040BC9">
      <w:t>423267</w:t>
    </w:r>
    <w:r w:rsidR="00B174F9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F9" w:rsidRDefault="00B174F9" w:rsidP="00B174F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65" w:rsidRDefault="00C26F65">
      <w:r>
        <w:t>____________________</w:t>
      </w:r>
    </w:p>
  </w:footnote>
  <w:footnote w:type="continuationSeparator" w:id="0">
    <w:p w:rsidR="00C26F65" w:rsidRDefault="00C26F65">
      <w:r>
        <w:continuationSeparator/>
      </w:r>
    </w:p>
  </w:footnote>
  <w:footnote w:id="1">
    <w:p w:rsidR="00AE5534" w:rsidRPr="00AC7A12" w:rsidRDefault="00AE5534" w:rsidP="007B201F">
      <w:pPr>
        <w:pStyle w:val="FootnoteText"/>
      </w:pPr>
      <w:r w:rsidRPr="00725D08">
        <w:rPr>
          <w:rStyle w:val="FootnoteReference"/>
        </w:rPr>
        <w:footnoteRef/>
      </w:r>
      <w:r w:rsidRPr="00040BC9">
        <w:rPr>
          <w:sz w:val="20"/>
          <w:lang w:val="fr-CH"/>
        </w:rPr>
        <w:tab/>
      </w:r>
      <w:proofErr w:type="spellStart"/>
      <w:r w:rsidRPr="00040BC9">
        <w:rPr>
          <w:sz w:val="20"/>
          <w:lang w:val="fr-CH"/>
        </w:rPr>
        <w:t>Véase</w:t>
      </w:r>
      <w:proofErr w:type="spellEnd"/>
      <w:r w:rsidRPr="00040BC9">
        <w:rPr>
          <w:sz w:val="20"/>
          <w:lang w:val="fr-CH"/>
        </w:rPr>
        <w:t xml:space="preserve">: </w:t>
      </w:r>
      <w:hyperlink r:id="rId1" w:history="1">
        <w:r w:rsidR="007B201F">
          <w:rPr>
            <w:rStyle w:val="Hyperlink"/>
            <w:lang w:val="fr-CH"/>
          </w:rPr>
          <w:t>https://www.</w:t>
        </w:r>
        <w:bookmarkStart w:id="8" w:name="_GoBack"/>
        <w:bookmarkEnd w:id="8"/>
        <w:r w:rsidR="007B201F">
          <w:rPr>
            <w:rStyle w:val="Hyperlink"/>
            <w:lang w:val="fr-CH"/>
          </w:rPr>
          <w:t>a</w:t>
        </w:r>
        <w:r w:rsidR="007B201F">
          <w:rPr>
            <w:rStyle w:val="Hyperlink"/>
            <w:lang w:val="fr-CH"/>
          </w:rPr>
          <w:t>pc.org/sites/default/files/APC%20Perspectives%20on%20the%20revision%20of%20the%20ITRs_0.pdf</w:t>
        </w:r>
      </w:hyperlink>
      <w:r w:rsidRPr="00040BC9">
        <w:rPr>
          <w:sz w:val="20"/>
          <w:lang w:val="fr-CH"/>
        </w:rPr>
        <w:t xml:space="preserve">. </w:t>
      </w:r>
      <w:r w:rsidRPr="00AC7A12">
        <w:rPr>
          <w:sz w:val="20"/>
        </w:rPr>
        <w:t>Nota: A la sazón, la APC no era Miembro de Sector de la UIT y sólo podía contribuir formalmente a las limitadas oportunidades que brindaban las consultas públicas.</w:t>
      </w:r>
    </w:p>
  </w:footnote>
  <w:footnote w:id="2">
    <w:p w:rsidR="00040BC9" w:rsidRPr="00AC7A12" w:rsidRDefault="00040BC9" w:rsidP="00885DDD">
      <w:pPr>
        <w:pStyle w:val="FootnoteText"/>
      </w:pPr>
      <w:r w:rsidRPr="00AC7A12">
        <w:rPr>
          <w:rStyle w:val="FootnoteReference"/>
        </w:rPr>
        <w:footnoteRef/>
      </w:r>
      <w:r w:rsidRPr="00AC7A12">
        <w:tab/>
      </w:r>
      <w:r w:rsidRPr="00AC7A12">
        <w:rPr>
          <w:sz w:val="20"/>
        </w:rPr>
        <w:t xml:space="preserve">Por ejemplo, las propuestas que limitarían la capacidad de los usuarios para evitar la censura o comunicarse de forma anónima, proporcionando a los Estados </w:t>
      </w:r>
      <w:r>
        <w:rPr>
          <w:sz w:val="20"/>
        </w:rPr>
        <w:t>M</w:t>
      </w:r>
      <w:r w:rsidRPr="00AC7A12">
        <w:rPr>
          <w:sz w:val="20"/>
        </w:rPr>
        <w:t xml:space="preserve">iembros la potestad de definir trayectos de encaminamiento y prevenir la </w:t>
      </w:r>
      <w:r w:rsidR="00885DDD">
        <w:rPr>
          <w:sz w:val="20"/>
        </w:rPr>
        <w:t>"</w:t>
      </w:r>
      <w:r w:rsidRPr="00AC7A12">
        <w:rPr>
          <w:sz w:val="20"/>
        </w:rPr>
        <w:t>utilización y apropiación indebidas de recursos de numeración</w:t>
      </w:r>
      <w:r w:rsidR="00885DDD">
        <w:rPr>
          <w:sz w:val="20"/>
        </w:rPr>
        <w:t>"</w:t>
      </w:r>
      <w:r w:rsidRPr="00AC7A12">
        <w:rPr>
          <w:sz w:val="20"/>
        </w:rPr>
        <w:t>,</w:t>
      </w:r>
      <w:r>
        <w:rPr>
          <w:sz w:val="20"/>
        </w:rPr>
        <w:t xml:space="preserve"> que</w:t>
      </w:r>
      <w:r w:rsidRPr="00AC7A12">
        <w:rPr>
          <w:sz w:val="20"/>
        </w:rPr>
        <w:t xml:space="preserve"> legitimarían </w:t>
      </w:r>
      <w:r w:rsidRPr="00AC7A12">
        <w:rPr>
          <w:i/>
          <w:iCs/>
          <w:sz w:val="20"/>
        </w:rPr>
        <w:t>de facto</w:t>
      </w:r>
      <w:r w:rsidRPr="00AC7A12">
        <w:rPr>
          <w:sz w:val="20"/>
        </w:rPr>
        <w:t xml:space="preserve"> los apagones estatales de equipos sin licencia o</w:t>
      </w:r>
      <w:r>
        <w:rPr>
          <w:sz w:val="20"/>
        </w:rPr>
        <w:t xml:space="preserve"> que</w:t>
      </w:r>
      <w:r w:rsidRPr="00AC7A12">
        <w:rPr>
          <w:sz w:val="20"/>
        </w:rPr>
        <w:t xml:space="preserve"> impondrían un sistema de identificación digital mundial, capaz de identificar unívocamente los dispositivos conectados a Internet de tal manera que habría minado la privacidad y la confianza de los usuarios.</w:t>
      </w:r>
    </w:p>
  </w:footnote>
  <w:footnote w:id="3">
    <w:p w:rsidR="00040BC9" w:rsidRPr="00AC7A12" w:rsidRDefault="00040BC9" w:rsidP="00040BC9">
      <w:pPr>
        <w:pStyle w:val="FootnoteText"/>
      </w:pPr>
      <w:r w:rsidRPr="00AC7A12">
        <w:rPr>
          <w:rStyle w:val="FootnoteReference"/>
        </w:rPr>
        <w:footnoteRef/>
      </w:r>
      <w:r w:rsidRPr="00AC7A12">
        <w:tab/>
      </w:r>
      <w:r w:rsidRPr="00AC7A12">
        <w:rPr>
          <w:sz w:val="20"/>
        </w:rPr>
        <w:t xml:space="preserve">Véase la contribución de la República Federativa del Brasil que figura en el Documento </w:t>
      </w:r>
      <w:r w:rsidRPr="00AC7A12">
        <w:rPr>
          <w:rFonts w:cs="Times New Roman Bold"/>
          <w:spacing w:val="-4"/>
          <w:sz w:val="20"/>
        </w:rPr>
        <w:t>EG-ITRs-2/4-S.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7F" w:rsidRDefault="009E0E7F" w:rsidP="009E0E7F">
    <w:pPr>
      <w:pStyle w:val="Header"/>
    </w:pPr>
    <w:r>
      <w:fldChar w:fldCharType="begin"/>
    </w:r>
    <w:r>
      <w:instrText>PAGE</w:instrText>
    </w:r>
    <w:r>
      <w:fldChar w:fldCharType="separate"/>
    </w:r>
    <w:r w:rsidR="007B201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3920C4C"/>
    <w:multiLevelType w:val="hybridMultilevel"/>
    <w:tmpl w:val="5AFCFC3E"/>
    <w:lvl w:ilvl="0" w:tplc="8E886EDC">
      <w:start w:val="4"/>
      <w:numFmt w:val="bullet"/>
      <w:lvlText w:val="-"/>
      <w:lvlJc w:val="left"/>
      <w:pPr>
        <w:ind w:left="470" w:hanging="360"/>
      </w:pPr>
      <w:rPr>
        <w:rFonts w:ascii="Calibri" w:eastAsia="MS Mincho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9DD"/>
    <w:multiLevelType w:val="multilevel"/>
    <w:tmpl w:val="1B0E578E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65"/>
    <w:rsid w:val="00040BC9"/>
    <w:rsid w:val="00074A5B"/>
    <w:rsid w:val="000849A7"/>
    <w:rsid w:val="00084FF1"/>
    <w:rsid w:val="00092C7D"/>
    <w:rsid w:val="000B0D00"/>
    <w:rsid w:val="000B7C15"/>
    <w:rsid w:val="000D08E8"/>
    <w:rsid w:val="000D1D0F"/>
    <w:rsid w:val="000E1753"/>
    <w:rsid w:val="000F5290"/>
    <w:rsid w:val="0010165C"/>
    <w:rsid w:val="00130042"/>
    <w:rsid w:val="0014456E"/>
    <w:rsid w:val="00146BFB"/>
    <w:rsid w:val="001756C8"/>
    <w:rsid w:val="001809A9"/>
    <w:rsid w:val="001A06A1"/>
    <w:rsid w:val="001A14D7"/>
    <w:rsid w:val="001C6E3A"/>
    <w:rsid w:val="001F14A2"/>
    <w:rsid w:val="001F3FA9"/>
    <w:rsid w:val="0025220D"/>
    <w:rsid w:val="002801AA"/>
    <w:rsid w:val="002823AF"/>
    <w:rsid w:val="002B1514"/>
    <w:rsid w:val="002B5602"/>
    <w:rsid w:val="002C4676"/>
    <w:rsid w:val="002C70B0"/>
    <w:rsid w:val="002F3CC4"/>
    <w:rsid w:val="003251AC"/>
    <w:rsid w:val="00330465"/>
    <w:rsid w:val="003402FF"/>
    <w:rsid w:val="00345986"/>
    <w:rsid w:val="0037150E"/>
    <w:rsid w:val="00372E3D"/>
    <w:rsid w:val="00382AC0"/>
    <w:rsid w:val="003C313A"/>
    <w:rsid w:val="003F10E3"/>
    <w:rsid w:val="003F4875"/>
    <w:rsid w:val="003F5098"/>
    <w:rsid w:val="003F54DC"/>
    <w:rsid w:val="00403688"/>
    <w:rsid w:val="00437200"/>
    <w:rsid w:val="004405FF"/>
    <w:rsid w:val="00445623"/>
    <w:rsid w:val="00474B07"/>
    <w:rsid w:val="004D77EE"/>
    <w:rsid w:val="004F67E3"/>
    <w:rsid w:val="00513630"/>
    <w:rsid w:val="00513C96"/>
    <w:rsid w:val="005201FB"/>
    <w:rsid w:val="00525083"/>
    <w:rsid w:val="00550CF3"/>
    <w:rsid w:val="00560125"/>
    <w:rsid w:val="00585553"/>
    <w:rsid w:val="005A4945"/>
    <w:rsid w:val="005A74F1"/>
    <w:rsid w:val="005B34D9"/>
    <w:rsid w:val="005B56AE"/>
    <w:rsid w:val="005D0CCF"/>
    <w:rsid w:val="005D6611"/>
    <w:rsid w:val="005F410F"/>
    <w:rsid w:val="0060149A"/>
    <w:rsid w:val="00601924"/>
    <w:rsid w:val="00621C36"/>
    <w:rsid w:val="0063045B"/>
    <w:rsid w:val="006447EA"/>
    <w:rsid w:val="0064731F"/>
    <w:rsid w:val="006626A2"/>
    <w:rsid w:val="006710F6"/>
    <w:rsid w:val="00696233"/>
    <w:rsid w:val="006A01BE"/>
    <w:rsid w:val="006B4804"/>
    <w:rsid w:val="006C1B56"/>
    <w:rsid w:val="006D4761"/>
    <w:rsid w:val="00703DED"/>
    <w:rsid w:val="00707139"/>
    <w:rsid w:val="007216C1"/>
    <w:rsid w:val="00725D08"/>
    <w:rsid w:val="00726872"/>
    <w:rsid w:val="0073462F"/>
    <w:rsid w:val="0074762A"/>
    <w:rsid w:val="00753101"/>
    <w:rsid w:val="00760F1C"/>
    <w:rsid w:val="0076194C"/>
    <w:rsid w:val="007657F0"/>
    <w:rsid w:val="007A7053"/>
    <w:rsid w:val="007B201F"/>
    <w:rsid w:val="007C3423"/>
    <w:rsid w:val="007E5DD3"/>
    <w:rsid w:val="007F293D"/>
    <w:rsid w:val="007F350B"/>
    <w:rsid w:val="00820BE4"/>
    <w:rsid w:val="00842D30"/>
    <w:rsid w:val="008451E8"/>
    <w:rsid w:val="00856A17"/>
    <w:rsid w:val="00881C9C"/>
    <w:rsid w:val="00885906"/>
    <w:rsid w:val="00885DDD"/>
    <w:rsid w:val="008F6151"/>
    <w:rsid w:val="00913B9C"/>
    <w:rsid w:val="00924784"/>
    <w:rsid w:val="0093171B"/>
    <w:rsid w:val="0095160D"/>
    <w:rsid w:val="00956E77"/>
    <w:rsid w:val="00963408"/>
    <w:rsid w:val="009715DE"/>
    <w:rsid w:val="00975168"/>
    <w:rsid w:val="009758AB"/>
    <w:rsid w:val="009C3500"/>
    <w:rsid w:val="009C6224"/>
    <w:rsid w:val="009D1F34"/>
    <w:rsid w:val="009D350A"/>
    <w:rsid w:val="009E0E7F"/>
    <w:rsid w:val="00A63114"/>
    <w:rsid w:val="00AA390C"/>
    <w:rsid w:val="00AE3296"/>
    <w:rsid w:val="00AE5534"/>
    <w:rsid w:val="00B0200A"/>
    <w:rsid w:val="00B174F9"/>
    <w:rsid w:val="00B454DB"/>
    <w:rsid w:val="00B574DB"/>
    <w:rsid w:val="00B826C2"/>
    <w:rsid w:val="00B8298E"/>
    <w:rsid w:val="00B907F5"/>
    <w:rsid w:val="00BD0723"/>
    <w:rsid w:val="00BD2518"/>
    <w:rsid w:val="00BE5FBC"/>
    <w:rsid w:val="00BF1D1C"/>
    <w:rsid w:val="00C20C59"/>
    <w:rsid w:val="00C25181"/>
    <w:rsid w:val="00C26F65"/>
    <w:rsid w:val="00C55B1F"/>
    <w:rsid w:val="00C70A64"/>
    <w:rsid w:val="00C758B9"/>
    <w:rsid w:val="00C85206"/>
    <w:rsid w:val="00C96B93"/>
    <w:rsid w:val="00CB35E0"/>
    <w:rsid w:val="00CB37BE"/>
    <w:rsid w:val="00CD32DC"/>
    <w:rsid w:val="00CF1A67"/>
    <w:rsid w:val="00CF5C16"/>
    <w:rsid w:val="00D00B2F"/>
    <w:rsid w:val="00D212A4"/>
    <w:rsid w:val="00D2750E"/>
    <w:rsid w:val="00D62446"/>
    <w:rsid w:val="00DA4EA2"/>
    <w:rsid w:val="00DA722A"/>
    <w:rsid w:val="00DB1B4C"/>
    <w:rsid w:val="00DC3D3E"/>
    <w:rsid w:val="00DE2C90"/>
    <w:rsid w:val="00DE3B24"/>
    <w:rsid w:val="00E02673"/>
    <w:rsid w:val="00E041DD"/>
    <w:rsid w:val="00E06947"/>
    <w:rsid w:val="00E178F5"/>
    <w:rsid w:val="00E3592D"/>
    <w:rsid w:val="00E47B3A"/>
    <w:rsid w:val="00E638EA"/>
    <w:rsid w:val="00E745BE"/>
    <w:rsid w:val="00E752AB"/>
    <w:rsid w:val="00E92DE8"/>
    <w:rsid w:val="00EA31E7"/>
    <w:rsid w:val="00EA4A79"/>
    <w:rsid w:val="00EB1212"/>
    <w:rsid w:val="00ED65AB"/>
    <w:rsid w:val="00ED722B"/>
    <w:rsid w:val="00EE4110"/>
    <w:rsid w:val="00F12850"/>
    <w:rsid w:val="00F14068"/>
    <w:rsid w:val="00F33BF4"/>
    <w:rsid w:val="00F52831"/>
    <w:rsid w:val="00F65DFF"/>
    <w:rsid w:val="00F7105E"/>
    <w:rsid w:val="00F75C25"/>
    <w:rsid w:val="00F75F57"/>
    <w:rsid w:val="00F82FEE"/>
    <w:rsid w:val="00F869A6"/>
    <w:rsid w:val="00F95601"/>
    <w:rsid w:val="00FA68EF"/>
    <w:rsid w:val="00FD76C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EBBCDED-C2DB-42E9-AC1B-6367E26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C26F6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Normal1">
    <w:name w:val="Normal1"/>
    <w:rsid w:val="00BE5FB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qFormat/>
    <w:rsid w:val="0092478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924784"/>
    <w:rPr>
      <w:rFonts w:ascii="Times New Roman" w:eastAsia="MS Mincho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noteTextChar">
    <w:name w:val="Footnote Text Char"/>
    <w:basedOn w:val="DefaultParagraphFont"/>
    <w:link w:val="FootnoteText"/>
    <w:rsid w:val="00040BC9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c.org/sites/default/files/APC%20Perspectives%20on%20the%20revision%20of%20the%20ITRs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0</TotalTime>
  <Pages>2</Pages>
  <Words>805</Words>
  <Characters>4433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EXAMEN DEL REGLAMENTO DE LAS TELECOMUNICACIONES INTERNACIONALES DE 2012</vt:lpstr>
    </vt:vector>
  </TitlesOfParts>
  <Manager>Secretaría General - Pool</Manager>
  <Company>Unión Internacional de Telecomunicaciones (UIT)</Company>
  <LinksUpToDate>false</LinksUpToDate>
  <CharactersWithSpaces>5228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DEL REGLAMENTO DE LAS TELECOMUNICACIONES INTERNACIONALES DE 2012</dc:title>
  <dc:subject>Consejo 2010</dc:subject>
  <dc:creator>República Checa, Dinamarca, Países Bajos, Suecia y Reino Unido</dc:creator>
  <cp:keywords>C2010, C10</cp:keywords>
  <dc:description>Documento EG-ITRs 1/9-S  Para: _x000d_Fecha del documento: 24 de enero de 2017_x000d_Registrado por ITU51007781 a 10:26:15 el 01/02/2017</dc:description>
  <cp:lastModifiedBy>Janin</cp:lastModifiedBy>
  <cp:revision>2</cp:revision>
  <cp:lastPrinted>2017-02-01T09:13:00Z</cp:lastPrinted>
  <dcterms:created xsi:type="dcterms:W3CDTF">2017-09-11T09:51:00Z</dcterms:created>
  <dcterms:modified xsi:type="dcterms:W3CDTF">2017-09-11T09:51:00Z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EG-ITRs 1/9-S</vt:lpwstr>
  </property>
  <property fmtid="{D5CDD505-2E9C-101B-9397-08002B2CF9AE}" pid="3" name="Docdate">
    <vt:lpwstr>24 de 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Grupo de Expertos sobre el Reglamento de las Telecomunicaciones Internacionales (GE-RTI)</vt:lpwstr>
  </property>
  <property fmtid="{D5CDD505-2E9C-101B-9397-08002B2CF9AE}" pid="6" name="Docdest">
    <vt:lpwstr/>
  </property>
  <property fmtid="{D5CDD505-2E9C-101B-9397-08002B2CF9AE}" pid="7" name="Docauthor">
    <vt:lpwstr>República Checa, Dinamarca, Países Bajos, Suecia y Reino Unido</vt:lpwstr>
  </property>
</Properties>
</file>