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1D4760">
        <w:trPr>
          <w:cantSplit/>
        </w:trPr>
        <w:tc>
          <w:tcPr>
            <w:tcW w:w="6912" w:type="dxa"/>
          </w:tcPr>
          <w:p w:rsidR="00C26F65" w:rsidRPr="001D4760" w:rsidRDefault="00C26F65" w:rsidP="00C26F65">
            <w:pPr>
              <w:spacing w:before="360"/>
              <w:rPr>
                <w:szCs w:val="24"/>
              </w:rPr>
            </w:pPr>
            <w:bookmarkStart w:id="0" w:name="dbluepink" w:colFirst="0" w:colLast="0"/>
            <w:r w:rsidRPr="001D4760">
              <w:rPr>
                <w:rFonts w:eastAsia="Calibri" w:cs="Calibri"/>
                <w:b/>
                <w:bCs/>
                <w:color w:val="000000"/>
                <w:position w:val="6"/>
                <w:sz w:val="30"/>
                <w:szCs w:val="30"/>
              </w:rPr>
              <w:t xml:space="preserve">Grupo de Expertos sobre el Reglamento de las </w:t>
            </w:r>
            <w:r w:rsidRPr="001D4760">
              <w:rPr>
                <w:rFonts w:eastAsia="Calibri" w:cs="Calibri"/>
                <w:b/>
                <w:bCs/>
                <w:color w:val="000000"/>
                <w:position w:val="6"/>
                <w:sz w:val="30"/>
                <w:szCs w:val="30"/>
              </w:rPr>
              <w:br/>
              <w:t>Telecomunicaciones Internacionales (GE-RTI)</w:t>
            </w:r>
          </w:p>
        </w:tc>
        <w:tc>
          <w:tcPr>
            <w:tcW w:w="3261" w:type="dxa"/>
          </w:tcPr>
          <w:p w:rsidR="00C26F65" w:rsidRPr="001D4760" w:rsidRDefault="00C26F65" w:rsidP="00C26F65">
            <w:pPr>
              <w:spacing w:before="0"/>
              <w:jc w:val="right"/>
              <w:rPr>
                <w:szCs w:val="24"/>
              </w:rPr>
            </w:pPr>
            <w:bookmarkStart w:id="1" w:name="ditulogo"/>
            <w:bookmarkEnd w:id="1"/>
            <w:r w:rsidRPr="001D4760">
              <w:rPr>
                <w:rFonts w:cstheme="minorHAnsi"/>
                <w:b/>
                <w:bCs/>
                <w:noProof/>
                <w:szCs w:val="24"/>
                <w:lang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1D4760">
        <w:trPr>
          <w:cantSplit/>
          <w:trHeight w:val="20"/>
        </w:trPr>
        <w:tc>
          <w:tcPr>
            <w:tcW w:w="10173" w:type="dxa"/>
            <w:gridSpan w:val="2"/>
            <w:tcBorders>
              <w:bottom w:val="single" w:sz="12" w:space="0" w:color="auto"/>
            </w:tcBorders>
          </w:tcPr>
          <w:p w:rsidR="00C26F65" w:rsidRPr="001D4760" w:rsidRDefault="00F869A6" w:rsidP="00F869A6">
            <w:pPr>
              <w:spacing w:before="0"/>
              <w:rPr>
                <w:b/>
                <w:bCs/>
                <w:szCs w:val="24"/>
              </w:rPr>
            </w:pPr>
            <w:r w:rsidRPr="001D4760">
              <w:rPr>
                <w:rFonts w:eastAsia="Calibri" w:cs="Calibri"/>
                <w:b/>
                <w:color w:val="000000"/>
                <w:szCs w:val="24"/>
              </w:rPr>
              <w:t>Segunda</w:t>
            </w:r>
            <w:r w:rsidR="00C26F65" w:rsidRPr="001D4760">
              <w:rPr>
                <w:rFonts w:eastAsia="Calibri" w:cs="Calibri"/>
                <w:b/>
                <w:color w:val="000000"/>
                <w:szCs w:val="24"/>
              </w:rPr>
              <w:t xml:space="preserve"> reunión – Ginebra, </w:t>
            </w:r>
            <w:r w:rsidRPr="001D4760">
              <w:rPr>
                <w:rFonts w:eastAsia="Calibri" w:cs="Calibri"/>
                <w:b/>
                <w:color w:val="000000"/>
                <w:szCs w:val="24"/>
              </w:rPr>
              <w:t>13-15 de septiembre</w:t>
            </w:r>
            <w:r w:rsidR="00C26F65" w:rsidRPr="001D4760">
              <w:rPr>
                <w:rFonts w:eastAsia="Calibri" w:cs="Calibri"/>
                <w:b/>
                <w:color w:val="000000"/>
                <w:szCs w:val="24"/>
              </w:rPr>
              <w:t xml:space="preserve"> de 2017</w:t>
            </w:r>
          </w:p>
        </w:tc>
      </w:tr>
      <w:tr w:rsidR="00C26F65" w:rsidRPr="001D4760">
        <w:trPr>
          <w:cantSplit/>
          <w:trHeight w:val="20"/>
        </w:trPr>
        <w:tc>
          <w:tcPr>
            <w:tcW w:w="6912" w:type="dxa"/>
            <w:tcBorders>
              <w:top w:val="single" w:sz="12" w:space="0" w:color="auto"/>
            </w:tcBorders>
          </w:tcPr>
          <w:p w:rsidR="00C26F65" w:rsidRPr="001D4760"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1D4760" w:rsidRDefault="00C26F65">
            <w:pPr>
              <w:spacing w:before="0"/>
              <w:rPr>
                <w:b/>
                <w:bCs/>
                <w:szCs w:val="24"/>
              </w:rPr>
            </w:pPr>
          </w:p>
        </w:tc>
      </w:tr>
      <w:tr w:rsidR="00C26F65" w:rsidRPr="001D4760">
        <w:trPr>
          <w:cantSplit/>
          <w:trHeight w:val="20"/>
        </w:trPr>
        <w:tc>
          <w:tcPr>
            <w:tcW w:w="6912" w:type="dxa"/>
            <w:shd w:val="clear" w:color="auto" w:fill="auto"/>
          </w:tcPr>
          <w:p w:rsidR="00C26F65" w:rsidRPr="001D4760"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1D4760" w:rsidRDefault="00C26F65" w:rsidP="00D91703">
            <w:pPr>
              <w:spacing w:before="0"/>
              <w:rPr>
                <w:b/>
                <w:bCs/>
                <w:szCs w:val="24"/>
              </w:rPr>
            </w:pPr>
            <w:r w:rsidRPr="001D4760">
              <w:rPr>
                <w:b/>
              </w:rPr>
              <w:t>Documento EG-ITRs</w:t>
            </w:r>
            <w:r w:rsidR="00B174F9" w:rsidRPr="001D4760">
              <w:rPr>
                <w:b/>
              </w:rPr>
              <w:t>-</w:t>
            </w:r>
            <w:r w:rsidR="00F869A6" w:rsidRPr="001D4760">
              <w:rPr>
                <w:b/>
              </w:rPr>
              <w:t>2</w:t>
            </w:r>
            <w:r w:rsidRPr="001D4760">
              <w:rPr>
                <w:b/>
              </w:rPr>
              <w:t>/</w:t>
            </w:r>
            <w:r w:rsidR="00924784" w:rsidRPr="001D4760">
              <w:rPr>
                <w:b/>
              </w:rPr>
              <w:t>1</w:t>
            </w:r>
            <w:r w:rsidR="00D91703" w:rsidRPr="001D4760">
              <w:rPr>
                <w:b/>
              </w:rPr>
              <w:t>7</w:t>
            </w:r>
            <w:r w:rsidRPr="001D4760">
              <w:rPr>
                <w:b/>
              </w:rPr>
              <w:t>-S</w:t>
            </w:r>
          </w:p>
        </w:tc>
      </w:tr>
      <w:tr w:rsidR="00C26F65" w:rsidRPr="001D4760">
        <w:trPr>
          <w:cantSplit/>
          <w:trHeight w:val="20"/>
        </w:trPr>
        <w:tc>
          <w:tcPr>
            <w:tcW w:w="6912" w:type="dxa"/>
            <w:shd w:val="clear" w:color="auto" w:fill="auto"/>
          </w:tcPr>
          <w:p w:rsidR="00C26F65" w:rsidRPr="001D4760"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1D4760" w:rsidRDefault="00D91703" w:rsidP="00881C9C">
            <w:pPr>
              <w:spacing w:before="0"/>
              <w:rPr>
                <w:b/>
                <w:bCs/>
                <w:szCs w:val="24"/>
              </w:rPr>
            </w:pPr>
            <w:r w:rsidRPr="001D4760">
              <w:rPr>
                <w:rFonts w:eastAsia="Calibri" w:cs="Calibri"/>
                <w:b/>
                <w:color w:val="000000"/>
                <w:szCs w:val="24"/>
              </w:rPr>
              <w:t>4</w:t>
            </w:r>
            <w:r w:rsidR="00573C91" w:rsidRPr="001D4760">
              <w:rPr>
                <w:rFonts w:eastAsia="Calibri" w:cs="Calibri"/>
                <w:b/>
                <w:color w:val="000000"/>
                <w:szCs w:val="24"/>
              </w:rPr>
              <w:t xml:space="preserve"> de septiembre de 2017</w:t>
            </w:r>
          </w:p>
        </w:tc>
      </w:tr>
      <w:tr w:rsidR="00C26F65" w:rsidRPr="001D4760">
        <w:trPr>
          <w:cantSplit/>
          <w:trHeight w:val="20"/>
        </w:trPr>
        <w:tc>
          <w:tcPr>
            <w:tcW w:w="6912" w:type="dxa"/>
            <w:shd w:val="clear" w:color="auto" w:fill="auto"/>
          </w:tcPr>
          <w:p w:rsidR="00C26F65" w:rsidRPr="001D4760" w:rsidRDefault="00C26F65">
            <w:pPr>
              <w:shd w:val="solid" w:color="FFFFFF" w:fill="FFFFFF"/>
              <w:spacing w:before="0"/>
              <w:rPr>
                <w:smallCaps/>
                <w:szCs w:val="24"/>
              </w:rPr>
            </w:pPr>
            <w:bookmarkStart w:id="5" w:name="dorlang" w:colFirst="1" w:colLast="1"/>
            <w:bookmarkEnd w:id="4"/>
          </w:p>
        </w:tc>
        <w:tc>
          <w:tcPr>
            <w:tcW w:w="3261" w:type="dxa"/>
          </w:tcPr>
          <w:p w:rsidR="00C26F65" w:rsidRPr="001D4760" w:rsidRDefault="00C26F65" w:rsidP="00881C9C">
            <w:pPr>
              <w:spacing w:before="0"/>
              <w:rPr>
                <w:b/>
                <w:bCs/>
                <w:szCs w:val="24"/>
              </w:rPr>
            </w:pPr>
            <w:r w:rsidRPr="001D4760">
              <w:rPr>
                <w:b/>
                <w:bCs/>
                <w:szCs w:val="24"/>
              </w:rPr>
              <w:t xml:space="preserve">Original: </w:t>
            </w:r>
            <w:r w:rsidR="00B454DB" w:rsidRPr="001D4760">
              <w:rPr>
                <w:b/>
              </w:rPr>
              <w:t>inglés</w:t>
            </w:r>
          </w:p>
        </w:tc>
      </w:tr>
      <w:tr w:rsidR="00C26F65" w:rsidRPr="001D4760">
        <w:trPr>
          <w:cantSplit/>
        </w:trPr>
        <w:tc>
          <w:tcPr>
            <w:tcW w:w="10173" w:type="dxa"/>
            <w:gridSpan w:val="2"/>
          </w:tcPr>
          <w:p w:rsidR="00C26F65" w:rsidRPr="001D4760" w:rsidRDefault="00D91703" w:rsidP="00924784">
            <w:pPr>
              <w:pStyle w:val="Normal1"/>
              <w:spacing w:before="600"/>
              <w:jc w:val="center"/>
              <w:rPr>
                <w:rFonts w:asciiTheme="minorHAnsi" w:hAnsiTheme="minorHAnsi" w:cs="Times New Roman"/>
                <w:b/>
                <w:sz w:val="28"/>
                <w:szCs w:val="28"/>
                <w:lang w:val="es-ES_tradnl"/>
              </w:rPr>
            </w:pPr>
            <w:bookmarkStart w:id="6" w:name="dsource" w:colFirst="0" w:colLast="0"/>
            <w:bookmarkEnd w:id="0"/>
            <w:bookmarkEnd w:id="5"/>
            <w:r w:rsidRPr="001D4760">
              <w:rPr>
                <w:rFonts w:asciiTheme="minorHAnsi" w:hAnsiTheme="minorHAnsi"/>
                <w:b/>
                <w:sz w:val="28"/>
                <w:szCs w:val="32"/>
                <w:lang w:val="es-ES_tradnl"/>
              </w:rPr>
              <w:t>Contribución de NTT Communications Corporation</w:t>
            </w:r>
          </w:p>
        </w:tc>
      </w:tr>
      <w:tr w:rsidR="00C26F65" w:rsidRPr="001D4760">
        <w:trPr>
          <w:cantSplit/>
        </w:trPr>
        <w:tc>
          <w:tcPr>
            <w:tcW w:w="10173" w:type="dxa"/>
            <w:gridSpan w:val="2"/>
          </w:tcPr>
          <w:p w:rsidR="00C26F65" w:rsidRPr="001D4760" w:rsidRDefault="00D91703" w:rsidP="00870FDA">
            <w:pPr>
              <w:pStyle w:val="Title1"/>
            </w:pPr>
            <w:bookmarkStart w:id="7" w:name="dtitle1" w:colFirst="0" w:colLast="0"/>
            <w:bookmarkEnd w:id="6"/>
            <w:r w:rsidRPr="001D4760">
              <w:t>Revisión del Reglamento de las Telecomunicaciones Internacionales (RTI)</w:t>
            </w:r>
          </w:p>
        </w:tc>
      </w:tr>
      <w:tr w:rsidR="00870FDA" w:rsidRPr="001D4760">
        <w:trPr>
          <w:cantSplit/>
        </w:trPr>
        <w:tc>
          <w:tcPr>
            <w:tcW w:w="10173" w:type="dxa"/>
            <w:gridSpan w:val="2"/>
          </w:tcPr>
          <w:p w:rsidR="00870FDA" w:rsidRPr="001D4760" w:rsidRDefault="00870FDA" w:rsidP="00870FDA">
            <w:pPr>
              <w:pStyle w:val="Title1"/>
            </w:pPr>
            <w:bookmarkStart w:id="8" w:name="_GoBack"/>
            <w:bookmarkEnd w:id="8"/>
          </w:p>
        </w:tc>
      </w:tr>
    </w:tbl>
    <w:bookmarkEnd w:id="7"/>
    <w:p w:rsidR="00D91703" w:rsidRPr="001D4760" w:rsidRDefault="00D91703" w:rsidP="00BF149D">
      <w:r w:rsidRPr="001D4760">
        <w:t>Como Miembro de Sector del UIT-T y del UIT-R, NTT Communications proporciona desde 1999 servicios comerciales de marcación directa internacional a más de 230 países/regione</w:t>
      </w:r>
      <w:r w:rsidR="00094F9A">
        <w:t>s y ha terminado 1 </w:t>
      </w:r>
      <w:r w:rsidRPr="001D4760">
        <w:t>500 millones de minutos/</w:t>
      </w:r>
      <w:r w:rsidR="00BF149D" w:rsidRPr="001D4760">
        <w:t>año con más de 1</w:t>
      </w:r>
      <w:r w:rsidR="00094F9A">
        <w:t> </w:t>
      </w:r>
      <w:r w:rsidR="00BF149D" w:rsidRPr="001D4760">
        <w:t>000 operadores.</w:t>
      </w:r>
    </w:p>
    <w:p w:rsidR="00D91703" w:rsidRPr="001D4760" w:rsidRDefault="00BF149D" w:rsidP="00BF149D">
      <w:pPr>
        <w:pStyle w:val="Headingb"/>
      </w:pPr>
      <w:r w:rsidRPr="001D4760">
        <w:t>Importancia del RTI</w:t>
      </w:r>
    </w:p>
    <w:p w:rsidR="00451E06" w:rsidRDefault="00D91703" w:rsidP="00BF149D">
      <w:r w:rsidRPr="001D4760">
        <w:t>Antes, cuando los operadores de telecomunicaciones eran monopolios propiedad del Estado, el RTI era fundamental para regular la actuación de los países en el se</w:t>
      </w:r>
      <w:r w:rsidR="00451E06">
        <w:t>ctor de las telecomunicaciones.</w:t>
      </w:r>
    </w:p>
    <w:p w:rsidR="00D91703" w:rsidRPr="001D4760" w:rsidRDefault="00451E06" w:rsidP="00BF149D">
      <w:r>
        <w:t>P</w:t>
      </w:r>
      <w:r w:rsidR="00D91703" w:rsidRPr="001D4760">
        <w:t>ero en el entorno actual de privatización y competitividad donde puede elegirse entre numerosos operadores para conectar con cualquier parte del mundo, NTT Communications considera que el RTI está obsoleto y no tiene importancia desde un punto de vista práctico, aparte de para establecer un código general de conducta entre los países y los operadores que lo ratifican.</w:t>
      </w:r>
    </w:p>
    <w:p w:rsidR="00D91703" w:rsidRPr="001D4760" w:rsidRDefault="00D91703" w:rsidP="00BF149D">
      <w:pPr>
        <w:pStyle w:val="Headingb"/>
      </w:pPr>
      <w:r w:rsidRPr="001D4760">
        <w:t>Práctica empresarial actual de NTT Communications</w:t>
      </w:r>
    </w:p>
    <w:p w:rsidR="00D91703" w:rsidRPr="001D4760" w:rsidRDefault="00D91703" w:rsidP="00BF149D">
      <w:r w:rsidRPr="001D4760">
        <w:t>Aparte de algunas excepciones en servicios de llamada gratuita internacional y tráfico por satélite basados en un "acuerdo de tránsito" tradicional, NTT Communications utiliza desde hace tiempo "acuerdos de tránsito virtual" que, a diferencia de los acuerdos de tránsito tradicionales en los que figura un operador de origen, un operador de tránsito y un operador de terminación, solo los firman el operador de origen y el operador de tránsito, sin implicación alguna del operador de destino.</w:t>
      </w:r>
    </w:p>
    <w:p w:rsidR="00D91703" w:rsidRPr="001D4760" w:rsidRDefault="00D91703" w:rsidP="00BF149D">
      <w:r w:rsidRPr="001D4760">
        <w:t>Gracias a estos acuerdos, NTT Communications puede reducir al mínimo el número necesario de conexiones y contratos entre los operadores en cuestión.</w:t>
      </w:r>
    </w:p>
    <w:p w:rsidR="00D91703" w:rsidRPr="001D4760" w:rsidRDefault="00D91703" w:rsidP="00BF149D">
      <w:r w:rsidRPr="001D4760">
        <w:t>Así, debido al reducido número de operadores que se seleccionan para la conexión, los acuerdos comerciales se estipulan de forma individualizada en cada contrato para ganar en flexibilidad y adaptarse a las necesidades de los operadores.</w:t>
      </w:r>
    </w:p>
    <w:p w:rsidR="00D91703" w:rsidRPr="001D4760" w:rsidRDefault="00D91703" w:rsidP="00BF149D">
      <w:r w:rsidRPr="001D4760">
        <w:t>NTT Communications lleva trabajando más de diez años con este tipo de acuerdos y ha demostrado que el RTI no tiene ninguna importancia en la práctica actual. Además, NTT Communications no ha tenido ningún problema por no utilizar el RTI o por utilizar dos RTI.</w:t>
      </w:r>
    </w:p>
    <w:p w:rsidR="00D91703" w:rsidRPr="001D4760" w:rsidRDefault="00D91703" w:rsidP="00BF149D">
      <w:pPr>
        <w:pStyle w:val="Headingb"/>
      </w:pPr>
      <w:r w:rsidRPr="001D4760">
        <w:lastRenderedPageBreak/>
        <w:t>Consecuencias de añadir un reglamento detallado al RTI</w:t>
      </w:r>
    </w:p>
    <w:p w:rsidR="00D91703" w:rsidRPr="001D4760" w:rsidRDefault="00D91703" w:rsidP="00BF149D">
      <w:r w:rsidRPr="001D4760">
        <w:t>NTT Communications teme que si se reduce la flexibilidad del RTI se limitará seriamente la libertad empresarial de los operadores de conexió</w:t>
      </w:r>
      <w:r w:rsidR="00BF149D" w:rsidRPr="001D4760">
        <w:t>n.</w:t>
      </w:r>
    </w:p>
    <w:p w:rsidR="00D91703" w:rsidRPr="001D4760" w:rsidRDefault="00D91703" w:rsidP="00BF149D">
      <w:r w:rsidRPr="001D4760">
        <w:t>Por ejemplo, los operadores deberán poner fin al contrato en vigor y volver a redact</w:t>
      </w:r>
      <w:r w:rsidR="00BF149D" w:rsidRPr="001D4760">
        <w:t>ar otro basado en el nuevo RTI.</w:t>
      </w:r>
    </w:p>
    <w:p w:rsidR="00D91703" w:rsidRPr="001D4760" w:rsidRDefault="00D91703" w:rsidP="00BF149D">
      <w:r w:rsidRPr="001D4760">
        <w:t>La libertad a la hora de redactar los detalles del contrato entre los operadores es la base que permite ofrecer un servicio de alta calidad asequible, por lo que la redacción de un nuevo contrato, especialmente si se basa en un RTI más restrictivo, empeorará la calidad y el precio de los servicios proporcionados.</w:t>
      </w:r>
    </w:p>
    <w:p w:rsidR="00D91703" w:rsidRPr="001D4760" w:rsidRDefault="00D91703" w:rsidP="00BF149D">
      <w:r w:rsidRPr="001D4760">
        <w:t>En ese caso se deteriorará y desincentivará la actividad empresarial entre los operadores, y el resultado será un entorno de tele</w:t>
      </w:r>
      <w:r w:rsidR="00BF149D" w:rsidRPr="001D4760">
        <w:t>comunicaciones menos favorable.</w:t>
      </w:r>
    </w:p>
    <w:p w:rsidR="00D91703" w:rsidRPr="001D4760" w:rsidRDefault="00D91703" w:rsidP="00BF149D">
      <w:r w:rsidRPr="001D4760">
        <w:t>Además, esos operadores deberán modificar sus sistemas ante los cambios producidos por el nuevo RTI, lo que aumentará sus gastos de capital y sus gastos operativos, lo que también afectará negativamente al sector.</w:t>
      </w:r>
    </w:p>
    <w:p w:rsidR="00D91703" w:rsidRPr="001D4760" w:rsidRDefault="00D91703" w:rsidP="00BF149D">
      <w:r w:rsidRPr="001D4760">
        <w:t>Es previsible que estos gastos se reflejen en las tarifas que pagan los usuarios finales (consumidores o empresas) de cada país, lo que irá en contra de la tendencia actual de reducción de tarifas. La subida de tarifas hará que los usuarios finales utilicen má</w:t>
      </w:r>
      <w:r w:rsidR="00BF149D" w:rsidRPr="001D4760">
        <w:t>s otros medios de comunicación.</w:t>
      </w:r>
    </w:p>
    <w:p w:rsidR="00D91703" w:rsidRPr="001D4760" w:rsidRDefault="00D91703" w:rsidP="00BF149D">
      <w:r w:rsidRPr="001D4760">
        <w:t>Una vez que la base de usuarios descienda por debajo de un cierto nivel, la infraestructura de terminación vocal ya no será sostenible, lo que con toda probabilidad desencadenará la caída del sector de las telecomunicaciones en el país.</w:t>
      </w:r>
    </w:p>
    <w:p w:rsidR="00D91703" w:rsidRPr="001D4760" w:rsidRDefault="00D91703" w:rsidP="00BF149D">
      <w:r w:rsidRPr="001D4760">
        <w:t>Como es habitual utilizar rutas de tránsito virtuales para conectar con diversos destinos en el mundo, como hace NTT Communications, una caída de uno de los proveedores de esas rutas provocaría una reacción en cadena entre los países que dependen de estos operadores y podría producirse el colapso de la red de telecomunicaciones mundial.</w:t>
      </w:r>
    </w:p>
    <w:p w:rsidR="00D91703" w:rsidRPr="001D4760" w:rsidRDefault="00D91703" w:rsidP="00BF149D">
      <w:pPr>
        <w:pStyle w:val="Headingb"/>
      </w:pPr>
      <w:r w:rsidRPr="001D4760">
        <w:t>Los principios del RTI</w:t>
      </w:r>
    </w:p>
    <w:p w:rsidR="00D91703" w:rsidRPr="001D4760" w:rsidRDefault="00D91703" w:rsidP="00BF149D">
      <w:r w:rsidRPr="001D4760">
        <w:t>En el RTI deberían obviarse detalles sobre la operativa para que cada operador pudiera decidir al respecto. Todos los operadores tienen que atenerse a reglamentos y normas locales, algo que los dos operadores del contrato deberán tener debidamente en cuenta en la redacción de este.</w:t>
      </w:r>
    </w:p>
    <w:p w:rsidR="00D91703" w:rsidRPr="001D4760" w:rsidRDefault="00D91703" w:rsidP="00BF149D">
      <w:r w:rsidRPr="001D4760">
        <w:t>Si con el RTI se reglamentan detalles empresariales, se obs</w:t>
      </w:r>
      <w:r w:rsidR="00BF149D" w:rsidRPr="001D4760">
        <w:t>truirá la libertad empresarial.</w:t>
      </w:r>
    </w:p>
    <w:p w:rsidR="00D91703" w:rsidRPr="001D4760" w:rsidRDefault="00D91703" w:rsidP="00BF149D">
      <w:r w:rsidRPr="001D4760">
        <w:t>En opinión de NTT Communications, las relaciones entre los operadores y su flexibilidad de actuación es un factor esencial en el sector en transformación de las telecomunicaciones de hoy en día y el RTI debería constituir la base desde la que alentar esta idea y no un obstáculo.</w:t>
      </w:r>
    </w:p>
    <w:p w:rsidR="00D91703" w:rsidRPr="001D4760" w:rsidRDefault="00D91703" w:rsidP="00BF149D">
      <w:pPr>
        <w:pStyle w:val="Headingb"/>
      </w:pPr>
      <w:r w:rsidRPr="001D4760">
        <w:t>Conclusión</w:t>
      </w:r>
    </w:p>
    <w:p w:rsidR="00D91703" w:rsidRPr="001D4760" w:rsidRDefault="00D91703" w:rsidP="00BF149D">
      <w:r w:rsidRPr="001D4760">
        <w:t>La incorporación de normas detalladas en el RTI limitará la libertad comercial entre los operadores internacionales y afectará negativamente al sector de las telecomunicaciones y a sus usuarios, por lo que NTT Communications se opone firmemente a la revisión de este reglamento.</w:t>
      </w:r>
    </w:p>
    <w:p w:rsidR="00D91703" w:rsidRPr="001D4760" w:rsidRDefault="00D91703" w:rsidP="0032202E">
      <w:pPr>
        <w:pStyle w:val="Reasons"/>
      </w:pPr>
    </w:p>
    <w:p w:rsidR="00D91703" w:rsidRPr="001D4760" w:rsidRDefault="00D91703">
      <w:pPr>
        <w:jc w:val="center"/>
      </w:pPr>
      <w:r w:rsidRPr="001D4760">
        <w:t>______________</w:t>
      </w:r>
    </w:p>
    <w:sectPr w:rsidR="00D91703" w:rsidRPr="001D4760"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5" w:rsidRDefault="00C26F65">
      <w:r>
        <w:separator/>
      </w:r>
    </w:p>
  </w:endnote>
  <w:endnote w:type="continuationSeparator" w:id="0">
    <w:p w:rsidR="00C26F65" w:rsidRDefault="00C2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1A06A1" w:rsidP="00D91703">
    <w:pPr>
      <w:pStyle w:val="Footer"/>
      <w:rPr>
        <w:lang w:val="en-US"/>
      </w:rPr>
    </w:pPr>
    <w:r>
      <w:fldChar w:fldCharType="begin"/>
    </w:r>
    <w:r w:rsidRPr="00B174F9">
      <w:rPr>
        <w:lang w:val="en-US"/>
      </w:rPr>
      <w:instrText xml:space="preserve"> FILENAME \p  \* MERGEFORMAT </w:instrText>
    </w:r>
    <w:r>
      <w:fldChar w:fldCharType="separate"/>
    </w:r>
    <w:r w:rsidR="00D91703">
      <w:rPr>
        <w:lang w:val="en-US"/>
      </w:rPr>
      <w:t>P:\ESP\SG\CONSEIL\EG-ITR\EG-ITR-2\000\017S.docx</w:t>
    </w:r>
    <w:r>
      <w:fldChar w:fldCharType="end"/>
    </w:r>
    <w:r w:rsidR="00B174F9">
      <w:t xml:space="preserve"> (</w:t>
    </w:r>
    <w:r w:rsidR="00D91703">
      <w:t>423406</w:t>
    </w:r>
    <w:r w:rsidR="00B174F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F9" w:rsidRDefault="00B174F9" w:rsidP="00B174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5" w:rsidRDefault="00C26F65">
      <w:r>
        <w:t>____________________</w:t>
      </w:r>
    </w:p>
  </w:footnote>
  <w:footnote w:type="continuationSeparator" w:id="0">
    <w:p w:rsidR="00C26F65" w:rsidRDefault="00C2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5775BA">
      <w:rPr>
        <w:noProof/>
        <w:sz w:val="16"/>
        <w:szCs w:val="16"/>
      </w:rPr>
      <w:t>2</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28B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946F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C6E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60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82D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C056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C63B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0C5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BCB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C4B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20C4C"/>
    <w:multiLevelType w:val="hybridMultilevel"/>
    <w:tmpl w:val="5AFCFC3E"/>
    <w:lvl w:ilvl="0" w:tplc="8E886EDC">
      <w:start w:val="4"/>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1"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669DD"/>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849A7"/>
    <w:rsid w:val="00084FF1"/>
    <w:rsid w:val="00092C7D"/>
    <w:rsid w:val="00094F9A"/>
    <w:rsid w:val="000B0D00"/>
    <w:rsid w:val="000B7C15"/>
    <w:rsid w:val="000D08E8"/>
    <w:rsid w:val="000D1D0F"/>
    <w:rsid w:val="000F5290"/>
    <w:rsid w:val="0010165C"/>
    <w:rsid w:val="0014456E"/>
    <w:rsid w:val="00146BFB"/>
    <w:rsid w:val="001756C8"/>
    <w:rsid w:val="00175F68"/>
    <w:rsid w:val="001809A9"/>
    <w:rsid w:val="001A06A1"/>
    <w:rsid w:val="001A14D7"/>
    <w:rsid w:val="001C6E3A"/>
    <w:rsid w:val="001D4760"/>
    <w:rsid w:val="001F14A2"/>
    <w:rsid w:val="0025220D"/>
    <w:rsid w:val="002801AA"/>
    <w:rsid w:val="002823AF"/>
    <w:rsid w:val="002B1514"/>
    <w:rsid w:val="002C4676"/>
    <w:rsid w:val="002C70B0"/>
    <w:rsid w:val="002F3CC4"/>
    <w:rsid w:val="003251AC"/>
    <w:rsid w:val="00330465"/>
    <w:rsid w:val="003402FF"/>
    <w:rsid w:val="0037150E"/>
    <w:rsid w:val="00372E3D"/>
    <w:rsid w:val="00382AC0"/>
    <w:rsid w:val="003C313A"/>
    <w:rsid w:val="003F10E3"/>
    <w:rsid w:val="003F5098"/>
    <w:rsid w:val="004405FF"/>
    <w:rsid w:val="00445623"/>
    <w:rsid w:val="00451E06"/>
    <w:rsid w:val="004D77EE"/>
    <w:rsid w:val="004F67E3"/>
    <w:rsid w:val="00513630"/>
    <w:rsid w:val="00513C96"/>
    <w:rsid w:val="00525083"/>
    <w:rsid w:val="00550CF3"/>
    <w:rsid w:val="00560125"/>
    <w:rsid w:val="00566632"/>
    <w:rsid w:val="00573C91"/>
    <w:rsid w:val="005775BA"/>
    <w:rsid w:val="00585553"/>
    <w:rsid w:val="005A74F1"/>
    <w:rsid w:val="005B34D9"/>
    <w:rsid w:val="005D0CCF"/>
    <w:rsid w:val="005D6611"/>
    <w:rsid w:val="005F410F"/>
    <w:rsid w:val="0060149A"/>
    <w:rsid w:val="00601924"/>
    <w:rsid w:val="00621C36"/>
    <w:rsid w:val="0063045B"/>
    <w:rsid w:val="006447EA"/>
    <w:rsid w:val="0064731F"/>
    <w:rsid w:val="006626A2"/>
    <w:rsid w:val="006710F6"/>
    <w:rsid w:val="00696233"/>
    <w:rsid w:val="006A01BE"/>
    <w:rsid w:val="006B4804"/>
    <w:rsid w:val="006C1B56"/>
    <w:rsid w:val="006D4761"/>
    <w:rsid w:val="00703DED"/>
    <w:rsid w:val="007216C1"/>
    <w:rsid w:val="00726872"/>
    <w:rsid w:val="0073462F"/>
    <w:rsid w:val="00753101"/>
    <w:rsid w:val="00760F1C"/>
    <w:rsid w:val="0076194C"/>
    <w:rsid w:val="007657F0"/>
    <w:rsid w:val="007A7053"/>
    <w:rsid w:val="007C3423"/>
    <w:rsid w:val="007D2B18"/>
    <w:rsid w:val="007E5DD3"/>
    <w:rsid w:val="007F350B"/>
    <w:rsid w:val="00820BE4"/>
    <w:rsid w:val="00842D30"/>
    <w:rsid w:val="008451E8"/>
    <w:rsid w:val="00870FDA"/>
    <w:rsid w:val="0087410A"/>
    <w:rsid w:val="00881C9C"/>
    <w:rsid w:val="008F6151"/>
    <w:rsid w:val="00913B9C"/>
    <w:rsid w:val="00924784"/>
    <w:rsid w:val="0093171B"/>
    <w:rsid w:val="00956E77"/>
    <w:rsid w:val="00963408"/>
    <w:rsid w:val="009715DE"/>
    <w:rsid w:val="00975168"/>
    <w:rsid w:val="009B2945"/>
    <w:rsid w:val="009C3500"/>
    <w:rsid w:val="009C6224"/>
    <w:rsid w:val="009D1F34"/>
    <w:rsid w:val="009D350A"/>
    <w:rsid w:val="009D41CF"/>
    <w:rsid w:val="00A413EF"/>
    <w:rsid w:val="00A63114"/>
    <w:rsid w:val="00AA390C"/>
    <w:rsid w:val="00AE3296"/>
    <w:rsid w:val="00B0200A"/>
    <w:rsid w:val="00B174F9"/>
    <w:rsid w:val="00B454DB"/>
    <w:rsid w:val="00B574DB"/>
    <w:rsid w:val="00B826C2"/>
    <w:rsid w:val="00B8298E"/>
    <w:rsid w:val="00B907F5"/>
    <w:rsid w:val="00BD0723"/>
    <w:rsid w:val="00BD2518"/>
    <w:rsid w:val="00BE5FBC"/>
    <w:rsid w:val="00BF149D"/>
    <w:rsid w:val="00BF1D1C"/>
    <w:rsid w:val="00C10BB5"/>
    <w:rsid w:val="00C20C59"/>
    <w:rsid w:val="00C25181"/>
    <w:rsid w:val="00C26F65"/>
    <w:rsid w:val="00C55B1F"/>
    <w:rsid w:val="00C70A64"/>
    <w:rsid w:val="00C758B9"/>
    <w:rsid w:val="00C85206"/>
    <w:rsid w:val="00C96B93"/>
    <w:rsid w:val="00CD32DC"/>
    <w:rsid w:val="00CF1A67"/>
    <w:rsid w:val="00CF5C16"/>
    <w:rsid w:val="00D00B2F"/>
    <w:rsid w:val="00D212A4"/>
    <w:rsid w:val="00D2750E"/>
    <w:rsid w:val="00D62446"/>
    <w:rsid w:val="00D91703"/>
    <w:rsid w:val="00DA4EA2"/>
    <w:rsid w:val="00DA722A"/>
    <w:rsid w:val="00DB1B4C"/>
    <w:rsid w:val="00DC3D3E"/>
    <w:rsid w:val="00DE2C90"/>
    <w:rsid w:val="00DE3B24"/>
    <w:rsid w:val="00E02673"/>
    <w:rsid w:val="00E041DD"/>
    <w:rsid w:val="00E06947"/>
    <w:rsid w:val="00E178F5"/>
    <w:rsid w:val="00E3592D"/>
    <w:rsid w:val="00E47B3A"/>
    <w:rsid w:val="00E638EA"/>
    <w:rsid w:val="00E745BE"/>
    <w:rsid w:val="00E752AB"/>
    <w:rsid w:val="00E857AB"/>
    <w:rsid w:val="00E92DE8"/>
    <w:rsid w:val="00EA31E7"/>
    <w:rsid w:val="00EA4A79"/>
    <w:rsid w:val="00EB1212"/>
    <w:rsid w:val="00ED65AB"/>
    <w:rsid w:val="00ED722B"/>
    <w:rsid w:val="00F12850"/>
    <w:rsid w:val="00F14068"/>
    <w:rsid w:val="00F33BF4"/>
    <w:rsid w:val="00F52831"/>
    <w:rsid w:val="00F65DFF"/>
    <w:rsid w:val="00F7105E"/>
    <w:rsid w:val="00F75C25"/>
    <w:rsid w:val="00F75F57"/>
    <w:rsid w:val="00F82FEE"/>
    <w:rsid w:val="00F869A6"/>
    <w:rsid w:val="00F95601"/>
    <w:rsid w:val="00FA68EF"/>
    <w:rsid w:val="00FD76C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ListParagraph">
    <w:name w:val="List Paragraph"/>
    <w:basedOn w:val="Normal"/>
    <w:uiPriority w:val="99"/>
    <w:qFormat/>
    <w:rsid w:val="009247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924784"/>
    <w:rPr>
      <w:rFonts w:ascii="Times New Roman" w:eastAsia="MS Mincho"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13</TotalTime>
  <Pages>2</Pages>
  <Words>811</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EXAMEN DEL REGLAMENTO DE LAS TELECOMUNICACIONES INTERNACIONALES DE 2012</vt:lpstr>
    </vt:vector>
  </TitlesOfParts>
  <Manager>Secretaría General - Pool</Manager>
  <Company>Unión Internacional de Telecomunicaciones (UIT)</Company>
  <LinksUpToDate>false</LinksUpToDate>
  <CharactersWithSpaces>5215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DEL REGLAMENTO DE LAS TELECOMUNICACIONES INTERNACIONALES DE 2012</dc:title>
  <dc:subject>Consejo 2010</dc:subject>
  <dc:creator>República Checa, Dinamarca, Países Bajos, Suecia y Reino Unido</dc:creator>
  <cp:keywords>C2010, C10</cp:keywords>
  <dc:description>Documento EG-ITRs 1/9-S  Para: _x000d_Fecha del documento: 24 de enero de 2017_x000d_Registrado por ITU51007781 a 10:26:15 el 01/02/2017</dc:description>
  <cp:lastModifiedBy>Spanish</cp:lastModifiedBy>
  <cp:revision>10</cp:revision>
  <cp:lastPrinted>2017-02-01T09:13:00Z</cp:lastPrinted>
  <dcterms:created xsi:type="dcterms:W3CDTF">2017-09-12T09:13:00Z</dcterms:created>
  <dcterms:modified xsi:type="dcterms:W3CDTF">2017-09-12T09:28:00Z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