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DF27B2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3AE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2A2188" w:rsidRPr="00813E5E" w:rsidRDefault="002A2188" w:rsidP="00DF27B2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DF27B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DF27B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DF27B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DF27B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DF27B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DF27B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DF27B2">
        <w:trPr>
          <w:cantSplit/>
          <w:trHeight w:val="23"/>
        </w:trPr>
        <w:tc>
          <w:tcPr>
            <w:tcW w:w="6911" w:type="dxa"/>
            <w:vMerge w:val="restart"/>
          </w:tcPr>
          <w:p w:rsidR="006076A9" w:rsidRPr="006076A9" w:rsidRDefault="006076A9" w:rsidP="005F029E">
            <w:pPr>
              <w:tabs>
                <w:tab w:val="left" w:pos="851"/>
              </w:tabs>
              <w:spacing w:before="0" w:line="240" w:lineRule="atLeast"/>
              <w:rPr>
                <w:bCs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:rsidR="002A2188" w:rsidRPr="00E85629" w:rsidRDefault="00E93AB3" w:rsidP="001938F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2A2188"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 w:rsidR="001938F8">
              <w:rPr>
                <w:b/>
              </w:rPr>
              <w:t>/1</w:t>
            </w:r>
            <w:r w:rsidR="002A2188">
              <w:rPr>
                <w:b/>
              </w:rPr>
              <w:t>-E</w:t>
            </w:r>
          </w:p>
        </w:tc>
      </w:tr>
      <w:tr w:rsidR="002A2188" w:rsidRPr="00813E5E" w:rsidTr="00DF27B2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DF27B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E85629" w:rsidRDefault="00A90BD0" w:rsidP="00E93AB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E93AB3">
              <w:rPr>
                <w:b/>
              </w:rPr>
              <w:t>7</w:t>
            </w:r>
            <w:r w:rsidR="001938F8">
              <w:rPr>
                <w:b/>
              </w:rPr>
              <w:t xml:space="preserve"> </w:t>
            </w:r>
            <w:r w:rsidR="008141A3">
              <w:rPr>
                <w:b/>
              </w:rPr>
              <w:t>April</w:t>
            </w:r>
            <w:r w:rsidR="002A2188">
              <w:rPr>
                <w:b/>
              </w:rPr>
              <w:t xml:space="preserve"> 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DF27B2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DF27B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85629" w:rsidRDefault="002A2188" w:rsidP="00DF27B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DF27B2">
        <w:trPr>
          <w:cantSplit/>
        </w:trPr>
        <w:tc>
          <w:tcPr>
            <w:tcW w:w="10031" w:type="dxa"/>
            <w:gridSpan w:val="2"/>
          </w:tcPr>
          <w:p w:rsidR="002A2188" w:rsidRPr="00813E5E" w:rsidRDefault="001938F8" w:rsidP="00DF27B2">
            <w:pPr>
              <w:pStyle w:val="Source"/>
            </w:pPr>
            <w:bookmarkStart w:id="7" w:name="dsource" w:colFirst="0" w:colLast="0"/>
            <w:bookmarkEnd w:id="6"/>
            <w:r>
              <w:t>Report</w:t>
            </w:r>
            <w:r w:rsidR="00D04E39" w:rsidRPr="00D04E39">
              <w:t xml:space="preserve"> by the Secretary-General</w:t>
            </w:r>
          </w:p>
        </w:tc>
      </w:tr>
      <w:tr w:rsidR="002A2188" w:rsidRPr="00813E5E" w:rsidTr="00DF27B2">
        <w:trPr>
          <w:cantSplit/>
        </w:trPr>
        <w:tc>
          <w:tcPr>
            <w:tcW w:w="10031" w:type="dxa"/>
            <w:gridSpan w:val="2"/>
          </w:tcPr>
          <w:p w:rsidR="002A2188" w:rsidRPr="00813E5E" w:rsidRDefault="001938F8" w:rsidP="00DF27B2">
            <w:pPr>
              <w:pStyle w:val="Title1"/>
            </w:pPr>
            <w:bookmarkStart w:id="8" w:name="dtitle1" w:colFirst="0" w:colLast="0"/>
            <w:bookmarkEnd w:id="7"/>
            <w:r w:rsidRPr="00E62550">
              <w:t>agenda of the 2018 Session of the Council</w:t>
            </w:r>
          </w:p>
        </w:tc>
      </w:tr>
      <w:bookmarkEnd w:id="8"/>
    </w:tbl>
    <w:p w:rsidR="00277D29" w:rsidRPr="005659F4" w:rsidRDefault="00277D29" w:rsidP="00277D29">
      <w:pPr>
        <w:pStyle w:val="Annextitle"/>
      </w:pPr>
    </w:p>
    <w:tbl>
      <w:tblPr>
        <w:tblW w:w="10915" w:type="dxa"/>
        <w:tblInd w:w="-5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8205"/>
        <w:gridCol w:w="1559"/>
      </w:tblGrid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038F9" w:rsidRDefault="00277D29" w:rsidP="00DF27B2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038F9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038F9" w:rsidRDefault="00277D29" w:rsidP="00DF27B2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038F9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038F9" w:rsidRDefault="00277D29" w:rsidP="00DF27B2">
            <w:pPr>
              <w:tabs>
                <w:tab w:val="left" w:pos="454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Documents</w:t>
            </w:r>
          </w:p>
        </w:tc>
      </w:tr>
      <w:tr w:rsidR="00277D29" w:rsidRPr="009F01F2" w:rsidTr="00464E90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911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>Report on the outcomes of the CWG-WSIS activities since Council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2017</w:t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140,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1281, R 1332(MOD), R 1334(MOD)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  <w:p w:rsidR="00277D29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4F4EC9">
              <w:rPr>
                <w:rFonts w:asciiTheme="minorHAnsi" w:hAnsiTheme="minorHAnsi" w:cstheme="minorHAnsi"/>
                <w:bCs/>
                <w:szCs w:val="24"/>
              </w:rPr>
              <w:t>Report on the outcomes of the CWG-WSIS meetings held since PP-14</w:t>
            </w:r>
          </w:p>
          <w:p w:rsidR="001F3574" w:rsidRPr="00003BB2" w:rsidRDefault="001F3574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ITU Council contribution to the High Level Political Forum on Sustainable Development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</w:t>
              </w:r>
            </w:hyperlink>
            <w:r w:rsidR="00277D29">
              <w:rPr>
                <w:rStyle w:val="Hyperlink"/>
                <w:rFonts w:asciiTheme="minorHAnsi" w:hAnsiTheme="minorHAnsi" w:cstheme="minorHAnsi"/>
                <w:bCs/>
                <w:szCs w:val="24"/>
              </w:rPr>
              <w:br/>
            </w:r>
          </w:p>
          <w:p w:rsidR="00277D29" w:rsidRDefault="00AC40A7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1F3574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70</w:t>
              </w:r>
            </w:hyperlink>
          </w:p>
          <w:p w:rsidR="001F3574" w:rsidRPr="00EA36C0" w:rsidRDefault="00AC40A7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1" w:history="1">
              <w:r w:rsidR="001F3574" w:rsidRPr="001F3574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C18/71</w:t>
              </w:r>
            </w:hyperlink>
          </w:p>
        </w:tc>
      </w:tr>
      <w:tr w:rsidR="00E92204" w:rsidRPr="009F01F2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2204" w:rsidRPr="00A50AC9" w:rsidRDefault="00E92204" w:rsidP="00DF27B2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2204" w:rsidRPr="00E92204" w:rsidRDefault="00E92204" w:rsidP="00E92204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E92204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People’s Republic of China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92204" w:rsidRDefault="00AC40A7" w:rsidP="00464E90">
            <w:pPr>
              <w:tabs>
                <w:tab w:val="left" w:pos="454"/>
              </w:tabs>
              <w:spacing w:before="0"/>
              <w:jc w:val="center"/>
            </w:pPr>
            <w:hyperlink r:id="rId12" w:history="1">
              <w:r w:rsidR="00E92204" w:rsidRPr="00464E90">
                <w:rPr>
                  <w:rStyle w:val="Hyperlink"/>
                </w:rPr>
                <w:t>C18/78</w:t>
              </w:r>
            </w:hyperlink>
          </w:p>
        </w:tc>
      </w:tr>
      <w:tr w:rsidR="00464E90" w:rsidRPr="009F01F2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464E90" w:rsidRPr="00A50AC9" w:rsidRDefault="00464E90" w:rsidP="00DF27B2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464E90" w:rsidRPr="0021096A" w:rsidRDefault="00464E90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E92204">
              <w:rPr>
                <w:rFonts w:asciiTheme="minorHAnsi" w:hAnsiTheme="minorHAnsi" w:cstheme="minorHAnsi"/>
                <w:bCs/>
                <w:szCs w:val="24"/>
              </w:rPr>
              <w:t>Contribution from the Russian Federation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64E90" w:rsidRDefault="00AC40A7">
            <w:pPr>
              <w:tabs>
                <w:tab w:val="left" w:pos="454"/>
              </w:tabs>
              <w:spacing w:before="0"/>
              <w:jc w:val="center"/>
            </w:pPr>
            <w:hyperlink r:id="rId13" w:history="1">
              <w:r w:rsidR="00464E90" w:rsidRPr="00464E90">
                <w:rPr>
                  <w:rStyle w:val="Hyperlink"/>
                </w:rPr>
                <w:t>C18/</w:t>
              </w:r>
              <w:r w:rsidR="00464E90">
                <w:rPr>
                  <w:rStyle w:val="Hyperlink"/>
                </w:rPr>
                <w:t>82</w:t>
              </w:r>
            </w:hyperlink>
          </w:p>
        </w:tc>
      </w:tr>
      <w:tr w:rsidR="00464E90" w:rsidRPr="009F01F2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464E90" w:rsidRPr="00A50AC9" w:rsidRDefault="00464E90" w:rsidP="00DF27B2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464E90" w:rsidRPr="0021096A" w:rsidRDefault="00464E90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E92204"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64E90" w:rsidRDefault="00AC40A7">
            <w:pPr>
              <w:tabs>
                <w:tab w:val="left" w:pos="454"/>
              </w:tabs>
              <w:spacing w:before="0"/>
              <w:jc w:val="center"/>
            </w:pPr>
            <w:hyperlink r:id="rId14" w:history="1">
              <w:r w:rsidR="00464E90" w:rsidRPr="00464E90">
                <w:rPr>
                  <w:rStyle w:val="Hyperlink"/>
                </w:rPr>
                <w:t>C18/</w:t>
              </w:r>
              <w:r w:rsidR="00464E90">
                <w:rPr>
                  <w:rStyle w:val="Hyperlink"/>
                </w:rPr>
                <w:t>89</w:t>
              </w:r>
            </w:hyperlink>
          </w:p>
        </w:tc>
      </w:tr>
      <w:tr w:rsidR="00464E90" w:rsidRPr="009F01F2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464E90" w:rsidRPr="00A50AC9" w:rsidRDefault="00464E90" w:rsidP="00DF27B2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464E90" w:rsidRPr="0021096A" w:rsidRDefault="00464E90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E92204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64E90" w:rsidRDefault="00AC40A7">
            <w:pPr>
              <w:tabs>
                <w:tab w:val="left" w:pos="454"/>
              </w:tabs>
              <w:spacing w:before="0"/>
              <w:jc w:val="center"/>
            </w:pPr>
            <w:hyperlink r:id="rId15" w:history="1">
              <w:r w:rsidR="00464E90" w:rsidRPr="00464E90">
                <w:rPr>
                  <w:rStyle w:val="Hyperlink"/>
                </w:rPr>
                <w:t>C18/</w:t>
              </w:r>
              <w:r w:rsidR="00464E90">
                <w:rPr>
                  <w:rStyle w:val="Hyperlink"/>
                </w:rPr>
                <w:t>87</w:t>
              </w:r>
            </w:hyperlink>
          </w:p>
        </w:tc>
      </w:tr>
      <w:tr w:rsidR="00277D29" w:rsidRPr="009F01F2" w:rsidTr="0021096A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Comprehensive report detailing the activities, actions, and engagements that the Union is undertaking in context to the WSIS Implementation and 2030 Agenda for Sustainable Development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 1332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(MOD)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53</w:t>
              </w:r>
            </w:hyperlink>
          </w:p>
        </w:tc>
      </w:tr>
      <w:tr w:rsidR="001268F3" w:rsidRPr="009F01F2" w:rsidTr="0021096A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268F3" w:rsidRPr="00A50AC9" w:rsidRDefault="001268F3" w:rsidP="00E93AB3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268F3" w:rsidRPr="00E92204" w:rsidRDefault="001268F3" w:rsidP="00E93AB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E92204">
              <w:rPr>
                <w:rFonts w:asciiTheme="minorHAnsi" w:hAnsiTheme="minorHAnsi" w:cstheme="minorHAnsi"/>
                <w:bCs/>
                <w:szCs w:val="24"/>
              </w:rPr>
              <w:t>Contribution from the Federative Republic of Brazil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268F3" w:rsidRDefault="00AC40A7" w:rsidP="00E93AB3">
            <w:pPr>
              <w:tabs>
                <w:tab w:val="left" w:pos="454"/>
              </w:tabs>
              <w:spacing w:before="0"/>
              <w:jc w:val="center"/>
            </w:pPr>
            <w:hyperlink r:id="rId17" w:history="1">
              <w:r w:rsidR="001268F3" w:rsidRPr="00464E90">
                <w:rPr>
                  <w:rStyle w:val="Hyperlink"/>
                </w:rPr>
                <w:t>C18/</w:t>
              </w:r>
              <w:r w:rsidR="001268F3">
                <w:rPr>
                  <w:rStyle w:val="Hyperlink"/>
                </w:rPr>
                <w:t>96</w:t>
              </w:r>
            </w:hyperlink>
          </w:p>
        </w:tc>
      </w:tr>
      <w:tr w:rsidR="00112E19" w:rsidRPr="009F01F2" w:rsidTr="00E93AB3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12E19" w:rsidRPr="00A50AC9" w:rsidRDefault="00112E19" w:rsidP="00E93AB3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12E19" w:rsidRPr="0021096A" w:rsidRDefault="00112E19" w:rsidP="00E93AB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E92204">
              <w:rPr>
                <w:rFonts w:asciiTheme="minorHAnsi" w:hAnsiTheme="minorHAnsi" w:cstheme="minorHAnsi"/>
                <w:bCs/>
                <w:szCs w:val="24"/>
              </w:rPr>
              <w:t>Contribution from the United Arab Emirates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12E19" w:rsidRDefault="00AC40A7" w:rsidP="00E93AB3">
            <w:pPr>
              <w:tabs>
                <w:tab w:val="left" w:pos="454"/>
              </w:tabs>
              <w:spacing w:before="0"/>
              <w:jc w:val="center"/>
            </w:pPr>
            <w:hyperlink r:id="rId18" w:history="1">
              <w:r w:rsidR="00112E19" w:rsidRPr="00464E90">
                <w:rPr>
                  <w:rStyle w:val="Hyperlink"/>
                </w:rPr>
                <w:t>C18/</w:t>
              </w:r>
              <w:r w:rsidR="00112E19">
                <w:rPr>
                  <w:rStyle w:val="Hyperlink"/>
                </w:rPr>
                <w:t>97</w:t>
              </w:r>
            </w:hyperlink>
          </w:p>
        </w:tc>
      </w:tr>
      <w:tr w:rsidR="00277D29" w:rsidRPr="009F01F2" w:rsidTr="00DF27B2"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(CWG-Internet) </w:t>
            </w:r>
            <w:r w:rsidRPr="008038F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 1305, R 1336(MOD), R 1344(MOD))</w:t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 including: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51</w:t>
              </w:r>
            </w:hyperlink>
          </w:p>
        </w:tc>
      </w:tr>
      <w:tr w:rsidR="00277D29" w:rsidRPr="009F01F2" w:rsidTr="00E92204">
        <w:tc>
          <w:tcPr>
            <w:tcW w:w="11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277D29">
            <w:pPr>
              <w:pStyle w:val="ListParagraph"/>
              <w:numPr>
                <w:ilvl w:val="0"/>
                <w:numId w:val="3"/>
              </w:numPr>
              <w:tabs>
                <w:tab w:val="clear" w:pos="567"/>
              </w:tabs>
              <w:spacing w:before="40" w:after="8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>Adopting International Public Policy on Access to the Internet for Persons with Disabilities and specific need</w:t>
            </w: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77D29" w:rsidRPr="00EA36C0" w:rsidRDefault="00AC40A7" w:rsidP="00DF27B2">
            <w:pPr>
              <w:spacing w:before="4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0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54</w:t>
              </w:r>
            </w:hyperlink>
          </w:p>
        </w:tc>
      </w:tr>
      <w:tr w:rsidR="00E92204" w:rsidRPr="009F01F2" w:rsidTr="00E92204"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2204" w:rsidRPr="00A50AC9" w:rsidRDefault="00E92204" w:rsidP="00E92204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2204" w:rsidRPr="00E92204" w:rsidRDefault="0076276C" w:rsidP="00E92204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Contribution from the Federative Republic of Brazil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92204" w:rsidRDefault="00AC40A7">
            <w:pPr>
              <w:tabs>
                <w:tab w:val="left" w:pos="454"/>
              </w:tabs>
              <w:spacing w:before="0"/>
              <w:jc w:val="center"/>
            </w:pPr>
            <w:hyperlink r:id="rId21" w:history="1">
              <w:r w:rsidR="0076276C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76276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93</w:t>
              </w:r>
            </w:hyperlink>
          </w:p>
        </w:tc>
      </w:tr>
      <w:tr w:rsidR="00E92204" w:rsidRPr="009F01F2" w:rsidTr="00E92204"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2204" w:rsidRPr="00A50AC9" w:rsidRDefault="00E92204" w:rsidP="00E92204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2204" w:rsidRPr="00A50AC9" w:rsidRDefault="0076276C" w:rsidP="00E92204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Contribution from the Federative Republic of Brazil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92204" w:rsidRDefault="00AC40A7">
            <w:pPr>
              <w:tabs>
                <w:tab w:val="left" w:pos="454"/>
              </w:tabs>
              <w:spacing w:before="0"/>
              <w:jc w:val="center"/>
            </w:pPr>
            <w:hyperlink r:id="rId22" w:history="1">
              <w:r w:rsidR="0076276C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76276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94</w:t>
              </w:r>
            </w:hyperlink>
          </w:p>
        </w:tc>
      </w:tr>
      <w:tr w:rsidR="00277D29" w:rsidRPr="009F01F2" w:rsidTr="00E92204">
        <w:tc>
          <w:tcPr>
            <w:tcW w:w="11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Internet activities </w:t>
            </w:r>
            <w:r w:rsidRPr="00A50AC9"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  <w:t>(Res. 101, 102, 133 and 180)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2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33</w:t>
              </w:r>
            </w:hyperlink>
          </w:p>
        </w:tc>
      </w:tr>
      <w:tr w:rsidR="00277D29" w:rsidRPr="009F01F2" w:rsidTr="0076276C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21096A">
            <w:pPr>
              <w:keepNext/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lastRenderedPageBreak/>
              <w:t>1.5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21096A">
            <w:pPr>
              <w:keepNext/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ITU activities on strengthening the role of ITU in building confidence and security in the use of ICTs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130, 174)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21096A">
            <w:pPr>
              <w:keepNext/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18</w:t>
              </w:r>
            </w:hyperlink>
          </w:p>
        </w:tc>
      </w:tr>
      <w:tr w:rsidR="0076276C" w:rsidRPr="009F01F2" w:rsidTr="0076276C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76276C" w:rsidP="0021096A">
            <w:pPr>
              <w:keepNext/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21096A" w:rsidRDefault="0076276C" w:rsidP="0021096A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54"/>
              </w:tabs>
              <w:spacing w:before="0"/>
              <w:ind w:left="454" w:hanging="97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Status report on misuse of International Mobile Equipment Identity (</w:t>
            </w:r>
            <w:r w:rsidRPr="0021096A">
              <w:rPr>
                <w:rFonts w:asciiTheme="minorHAnsi" w:hAnsiTheme="minorHAnsi" w:cstheme="minorHAnsi"/>
                <w:bCs/>
                <w:szCs w:val="24"/>
              </w:rPr>
              <w:t>IMEI</w:t>
            </w:r>
            <w:r>
              <w:rPr>
                <w:rFonts w:asciiTheme="minorHAnsi" w:hAnsiTheme="minorHAnsi" w:cstheme="minorHAnsi"/>
                <w:bCs/>
                <w:szCs w:val="24"/>
              </w:rPr>
              <w:t>) numbers in mobile handsets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6276C" w:rsidRDefault="00AC40A7" w:rsidP="0021096A">
            <w:pPr>
              <w:keepNext/>
              <w:tabs>
                <w:tab w:val="left" w:pos="454"/>
              </w:tabs>
              <w:spacing w:before="0"/>
              <w:jc w:val="center"/>
            </w:pPr>
            <w:hyperlink r:id="rId25" w:history="1">
              <w:r w:rsidR="0076276C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76276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76</w:t>
              </w:r>
            </w:hyperlink>
          </w:p>
        </w:tc>
      </w:tr>
      <w:tr w:rsidR="00277D29" w:rsidRPr="009F01F2" w:rsidTr="0076276C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Child Online Protection 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179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,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1306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15</w:t>
              </w:r>
            </w:hyperlink>
          </w:p>
        </w:tc>
      </w:tr>
      <w:tr w:rsidR="00277D29" w:rsidRPr="009F01F2" w:rsidTr="00DF27B2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Draft report by the Chairman of the Council Working Group on Child Online Protection on activities undertaken and achievement on these subjects for submission to PP-18 </w:t>
            </w:r>
            <w:r w:rsidRPr="000B463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1306)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62</w:t>
              </w:r>
            </w:hyperlink>
          </w:p>
        </w:tc>
      </w:tr>
      <w:tr w:rsidR="00277D29" w:rsidRPr="009F01F2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by the Chairman </w:t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of the Council Working Group on Languages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154, R 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1372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MOD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12</w:t>
              </w:r>
            </w:hyperlink>
          </w:p>
        </w:tc>
      </w:tr>
      <w:tr w:rsidR="00277D29" w:rsidRPr="009F01F2" w:rsidTr="00DF27B2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by the Chairman of the </w:t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>of the Council Working Group on Languages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on implementation of Resolution 154 (Rev. Busan, 2014) on use of the six official languages of the Union on an equal footing for submission to PP-18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14</w:t>
              </w:r>
            </w:hyperlink>
          </w:p>
        </w:tc>
      </w:tr>
      <w:tr w:rsidR="00277D29" w:rsidRPr="009F01F2" w:rsidTr="00A95D43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of the Expert Group on the International Telecommunication Regulations 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(EG-ITRs)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146, R 1379)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0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26</w:t>
              </w:r>
            </w:hyperlink>
          </w:p>
        </w:tc>
      </w:tr>
      <w:tr w:rsidR="0076276C" w:rsidRPr="00101AC1" w:rsidTr="00A95D43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76276C" w:rsidP="00A95D43">
            <w:pPr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A95D43" w:rsidP="00A95D4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Contribution from the Arab Republic of Egypt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76276C" w:rsidRDefault="00AC40A7" w:rsidP="0021096A">
            <w:pPr>
              <w:tabs>
                <w:tab w:val="left" w:pos="454"/>
              </w:tabs>
              <w:spacing w:before="0"/>
              <w:jc w:val="center"/>
            </w:pPr>
            <w:hyperlink r:id="rId31" w:history="1">
              <w:r w:rsidR="00A95D43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A95D4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79</w:t>
              </w:r>
            </w:hyperlink>
          </w:p>
        </w:tc>
      </w:tr>
      <w:tr w:rsidR="0076276C" w:rsidRPr="00101AC1" w:rsidTr="00A95D43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76276C" w:rsidP="00A95D43">
            <w:pPr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A95D43" w:rsidP="00A95D4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Contribution from the United States of America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76276C" w:rsidRDefault="00AC40A7" w:rsidP="0021096A">
            <w:pPr>
              <w:tabs>
                <w:tab w:val="left" w:pos="454"/>
              </w:tabs>
              <w:spacing w:before="0"/>
              <w:jc w:val="center"/>
            </w:pPr>
            <w:hyperlink r:id="rId32" w:history="1">
              <w:r w:rsidR="00A95D43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A95D4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91</w:t>
              </w:r>
            </w:hyperlink>
          </w:p>
        </w:tc>
      </w:tr>
      <w:tr w:rsidR="0076276C" w:rsidRPr="00101AC1" w:rsidTr="00A95D43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76276C" w:rsidP="00A95D43">
            <w:pPr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76276C" w:rsidRPr="00A50AC9" w:rsidRDefault="00A95D43" w:rsidP="00A95D4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Contribution from the Federative Republic of Brazil, Canada, Mexico, Republic of Paraguay and the United States of America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6276C" w:rsidRDefault="00A95D43" w:rsidP="0021096A">
            <w:pPr>
              <w:tabs>
                <w:tab w:val="left" w:pos="454"/>
              </w:tabs>
              <w:spacing w:before="0"/>
              <w:jc w:val="center"/>
            </w:pPr>
            <w:r>
              <w:br/>
            </w:r>
            <w:hyperlink r:id="rId33" w:history="1">
              <w:r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92</w:t>
              </w:r>
            </w:hyperlink>
          </w:p>
        </w:tc>
      </w:tr>
      <w:tr w:rsidR="00277D29" w:rsidRPr="00101AC1" w:rsidTr="00A95D43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szCs w:val="24"/>
              </w:rPr>
              <w:t>List of candidature for  Chairmen and Vice-Chairmen of CWGs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3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56</w:t>
              </w:r>
            </w:hyperlink>
          </w:p>
        </w:tc>
      </w:tr>
      <w:tr w:rsidR="00A95D43" w:rsidRPr="00101AC1" w:rsidTr="00A95D43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A50AC9" w:rsidRDefault="00A95D43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A50AC9" w:rsidRDefault="00A95D43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Contribution from the Russian Federation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95D43" w:rsidRDefault="00AC40A7">
            <w:pPr>
              <w:tabs>
                <w:tab w:val="left" w:pos="454"/>
              </w:tabs>
              <w:spacing w:before="80" w:after="80"/>
              <w:jc w:val="center"/>
            </w:pPr>
            <w:hyperlink r:id="rId35" w:history="1">
              <w:r w:rsidR="00A95D43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A95D4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81</w:t>
              </w:r>
            </w:hyperlink>
          </w:p>
        </w:tc>
      </w:tr>
      <w:tr w:rsidR="00277D29" w:rsidRPr="009F01F2" w:rsidTr="00DF27B2"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>ITU’s activities related to Resolution 70 (Rev. Busan,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A50AC9" w:rsidRDefault="00AC40A7" w:rsidP="00DF27B2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277D29" w:rsidRPr="009F01F2" w:rsidTr="00DF27B2">
        <w:tc>
          <w:tcPr>
            <w:tcW w:w="115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E62550" w:rsidRDefault="00277D29" w:rsidP="00DF27B2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62550">
              <w:rPr>
                <w:szCs w:val="24"/>
              </w:rPr>
              <w:t>Revised GEM action plan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13</w:t>
              </w:r>
            </w:hyperlink>
          </w:p>
        </w:tc>
      </w:tr>
      <w:tr w:rsidR="00277D29" w:rsidRPr="009F01F2" w:rsidTr="00DF27B2">
        <w:tc>
          <w:tcPr>
            <w:tcW w:w="11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A50AC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277D29" w:rsidRPr="00E62550" w:rsidRDefault="00277D29" w:rsidP="00DF27B2">
            <w:pPr>
              <w:spacing w:before="0"/>
              <w:rPr>
                <w:szCs w:val="24"/>
              </w:rPr>
            </w:pPr>
            <w:r w:rsidRPr="00E62550">
              <w:rPr>
                <w:szCs w:val="24"/>
              </w:rPr>
              <w:t>ITU</w:t>
            </w:r>
            <w:r w:rsidRPr="000B463A">
              <w:rPr>
                <w:szCs w:val="24"/>
              </w:rPr>
              <w:t xml:space="preserve"> strategy on gender parity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7D29" w:rsidRDefault="00AC40A7" w:rsidP="00DF27B2">
            <w:pPr>
              <w:pStyle w:val="ListParagraph"/>
              <w:tabs>
                <w:tab w:val="left" w:pos="454"/>
              </w:tabs>
              <w:spacing w:before="0" w:after="80"/>
              <w:ind w:left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8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63</w:t>
              </w:r>
            </w:hyperlink>
          </w:p>
        </w:tc>
      </w:tr>
      <w:tr w:rsidR="00277D29" w:rsidRPr="009F01F2" w:rsidTr="00DF27B2"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ITU Operational Plans for 201</w:t>
            </w:r>
            <w:r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>-202</w:t>
            </w: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AF6D8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 87A, 181A, 205A, 223A, R 1385):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D3353B" w:rsidRDefault="00277D29" w:rsidP="00DF27B2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7D29" w:rsidRPr="009F01F2" w:rsidTr="00DF27B2">
        <w:tc>
          <w:tcPr>
            <w:tcW w:w="11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277D29" w:rsidRPr="00D3353B" w:rsidRDefault="00277D29" w:rsidP="00277D29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D3353B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 Sector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277D29" w:rsidRPr="00D3353B" w:rsidRDefault="00AC40A7" w:rsidP="00E4507B">
            <w:pPr>
              <w:pStyle w:val="ListParagraph"/>
              <w:keepNext/>
              <w:keepLines/>
              <w:tabs>
                <w:tab w:val="clear" w:pos="567"/>
              </w:tabs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  <w:r w:rsidR="00E4507B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</w:t>
              </w:r>
              <w:r w:rsidR="00E4507B" w:rsidRPr="00E4507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(Rev.1)</w:t>
              </w:r>
            </w:hyperlink>
          </w:p>
        </w:tc>
      </w:tr>
      <w:tr w:rsidR="00277D29" w:rsidRPr="009F01F2" w:rsidTr="00DF27B2">
        <w:tc>
          <w:tcPr>
            <w:tcW w:w="11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277D29" w:rsidRPr="00D3353B" w:rsidRDefault="00277D29" w:rsidP="00277D2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Telecommunication Standardization Sector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277D29" w:rsidRPr="00D3353B" w:rsidRDefault="00AC40A7" w:rsidP="00DF27B2">
            <w:pPr>
              <w:pStyle w:val="ListParagraph"/>
              <w:tabs>
                <w:tab w:val="clear" w:pos="567"/>
              </w:tabs>
              <w:spacing w:before="40" w:after="4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  <w:hyperlink r:id="rId40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29</w:t>
              </w:r>
            </w:hyperlink>
          </w:p>
        </w:tc>
      </w:tr>
      <w:tr w:rsidR="00277D29" w:rsidRPr="009F01F2" w:rsidTr="00DF27B2">
        <w:tc>
          <w:tcPr>
            <w:tcW w:w="11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277D29" w:rsidRPr="00D3353B" w:rsidRDefault="00277D29" w:rsidP="00277D2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Telecommunication Development Sector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277D29" w:rsidRPr="00D3353B" w:rsidRDefault="00AC40A7" w:rsidP="00DF27B2">
            <w:pPr>
              <w:pStyle w:val="ListParagraph"/>
              <w:tabs>
                <w:tab w:val="clear" w:pos="567"/>
              </w:tabs>
              <w:spacing w:before="40" w:after="4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  <w:hyperlink r:id="rId41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30</w:t>
              </w:r>
            </w:hyperlink>
          </w:p>
        </w:tc>
      </w:tr>
      <w:tr w:rsidR="00277D29" w:rsidRPr="009F01F2" w:rsidTr="00DF27B2">
        <w:tc>
          <w:tcPr>
            <w:tcW w:w="11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277D29" w:rsidRPr="00D3353B" w:rsidRDefault="00277D29" w:rsidP="00277D2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8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General Secretariat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277D29" w:rsidRPr="00D3353B" w:rsidRDefault="00AC40A7" w:rsidP="00DF27B2">
            <w:pPr>
              <w:pStyle w:val="ListParagraph"/>
              <w:tabs>
                <w:tab w:val="clear" w:pos="567"/>
              </w:tabs>
              <w:spacing w:before="40" w:after="8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  <w:hyperlink r:id="rId42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31</w:t>
              </w:r>
            </w:hyperlink>
          </w:p>
        </w:tc>
      </w:tr>
      <w:tr w:rsidR="00277D29" w:rsidRPr="009F01F2" w:rsidTr="00DF27B2">
        <w:tc>
          <w:tcPr>
            <w:tcW w:w="11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277D29" w:rsidRPr="00D3353B" w:rsidRDefault="00277D29" w:rsidP="00277D2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8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Draft Resolution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D29" w:rsidRPr="00D3353B" w:rsidRDefault="00AC40A7" w:rsidP="00DF27B2">
            <w:pPr>
              <w:pStyle w:val="ListParagraph"/>
              <w:tabs>
                <w:tab w:val="clear" w:pos="567"/>
              </w:tabs>
              <w:spacing w:before="40" w:after="8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32</w:t>
              </w:r>
            </w:hyperlink>
          </w:p>
        </w:tc>
      </w:tr>
      <w:tr w:rsidR="00277D29" w:rsidRPr="009F01F2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D3353B" w:rsidRDefault="00277D29" w:rsidP="00DF27B2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D3353B" w:rsidRDefault="00277D29" w:rsidP="00DF27B2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D3353B" w:rsidRDefault="00277D29" w:rsidP="00DF27B2">
            <w:pPr>
              <w:keepNext/>
              <w:keepLines/>
              <w:tabs>
                <w:tab w:val="left" w:pos="454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bCs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ITU </w:t>
            </w:r>
            <w:r>
              <w:rPr>
                <w:rFonts w:asciiTheme="minorHAnsi" w:hAnsiTheme="minorHAnsi" w:cstheme="minorHAnsi"/>
                <w:bCs/>
                <w:szCs w:val="24"/>
              </w:rPr>
              <w:t>Telecom World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 events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(Res. 11, 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R 1292)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D3353B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19</w:t>
              </w:r>
            </w:hyperlink>
            <w:r w:rsidR="001F3574" w:rsidRPr="0021096A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>(Rev.1)</w:t>
            </w:r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>Report on the World Telecommunication De</w:t>
            </w:r>
            <w:r>
              <w:rPr>
                <w:rFonts w:asciiTheme="minorHAnsi" w:hAnsiTheme="minorHAnsi" w:cstheme="minorHAnsi"/>
                <w:bCs/>
                <w:szCs w:val="24"/>
              </w:rPr>
              <w:t>velopment Conference 2017 (WTDC</w:t>
            </w:r>
            <w:r>
              <w:rPr>
                <w:rFonts w:asciiTheme="minorHAnsi" w:hAnsiTheme="minorHAnsi" w:cstheme="minorHAnsi"/>
                <w:bCs/>
                <w:szCs w:val="24"/>
              </w:rPr>
              <w:noBreakHyphen/>
            </w:r>
            <w:r w:rsidRPr="008E2AB3">
              <w:rPr>
                <w:rFonts w:asciiTheme="minorHAnsi" w:hAnsiTheme="minorHAnsi" w:cstheme="minorHAnsi"/>
                <w:bCs/>
                <w:szCs w:val="24"/>
              </w:rPr>
              <w:t>17)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5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D3353B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17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Preparations for the 2018 Plenipotentiary Conference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D3353B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7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</w:tc>
      </w:tr>
      <w:tr w:rsidR="00B94157" w:rsidRPr="009F01F2" w:rsidTr="00E93AB3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94157" w:rsidRPr="006E36F5" w:rsidRDefault="00B94157" w:rsidP="00E93AB3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B94157" w:rsidRPr="008E2AB3" w:rsidRDefault="00B94157" w:rsidP="00E93AB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the Russian Federation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94157" w:rsidRDefault="00AC40A7" w:rsidP="0021096A">
            <w:pPr>
              <w:tabs>
                <w:tab w:val="left" w:pos="454"/>
              </w:tabs>
              <w:spacing w:before="0"/>
              <w:jc w:val="center"/>
            </w:pPr>
            <w:hyperlink r:id="rId48" w:history="1">
              <w:r w:rsidR="00B94157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B94157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84</w:t>
              </w:r>
            </w:hyperlink>
          </w:p>
        </w:tc>
      </w:tr>
      <w:tr w:rsidR="00277D29" w:rsidRPr="009F01F2" w:rsidTr="00A95D43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Follow-up report of PP improvements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</w:t>
              </w:r>
            </w:hyperlink>
          </w:p>
        </w:tc>
      </w:tr>
      <w:tr w:rsidR="00A95D43" w:rsidRPr="009F01F2" w:rsidTr="00A95D43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6E36F5" w:rsidRDefault="00A95D43" w:rsidP="00A95D43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8E2AB3" w:rsidRDefault="00A95D43" w:rsidP="0021096A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Contribution from the Federative Republic of Brazil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95D43" w:rsidRDefault="00AC40A7" w:rsidP="0021096A">
            <w:pPr>
              <w:tabs>
                <w:tab w:val="left" w:pos="454"/>
              </w:tabs>
              <w:spacing w:before="0"/>
              <w:jc w:val="center"/>
            </w:pPr>
            <w:hyperlink r:id="rId50" w:history="1">
              <w:r w:rsidR="00A95D43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A95D4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95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6E36F5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6E36F5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Report on preparations for the World </w:t>
            </w:r>
            <w:proofErr w:type="spellStart"/>
            <w:r w:rsidRPr="008E2AB3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 Conference (WRC-19)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1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27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Proposed dates and duration of the 2019, 2020 and 2021 sessions of the ITU Council 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77, 111, D 599)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D3353B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2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bCs/>
                <w:szCs w:val="24"/>
              </w:rPr>
              <w:t>2.8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Cs/>
                <w:szCs w:val="24"/>
              </w:rPr>
              <w:t xml:space="preserve">Scheduling of future conferences, assemblies and meetings of the Union (2018-2021)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6E36F5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37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/>
                <w:bCs/>
                <w:szCs w:val="24"/>
              </w:rPr>
              <w:t>2.9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42A16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D42A16">
              <w:rPr>
                <w:rFonts w:asciiTheme="minorHAnsi" w:hAnsiTheme="minorHAnsi" w:cstheme="minorHAnsi"/>
                <w:bCs/>
                <w:szCs w:val="24"/>
              </w:rPr>
              <w:t>Consolidation of ITU's High-Level Events of a global nature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55</w:t>
              </w:r>
            </w:hyperlink>
          </w:p>
        </w:tc>
      </w:tr>
      <w:tr w:rsidR="00277D29" w:rsidRPr="009F01F2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keepNext/>
              <w:keepLines/>
              <w:tabs>
                <w:tab w:val="left" w:pos="454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77D29" w:rsidRPr="002535EC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8E2AB3">
              <w:rPr>
                <w:rFonts w:asciiTheme="minorHAnsi" w:hAnsiTheme="minorHAnsi" w:cstheme="minorHAnsi"/>
                <w:szCs w:val="24"/>
              </w:rPr>
              <w:t xml:space="preserve">Report on the Implementation of the Strategic Plan and the activities of the Union for 2014-2017 </w:t>
            </w:r>
            <w:r w:rsidRPr="008E2AB3">
              <w:rPr>
                <w:rFonts w:asciiTheme="minorHAnsi" w:hAnsiTheme="minorHAnsi" w:cstheme="minorHAnsi"/>
                <w:i/>
                <w:iCs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CV61, </w:t>
            </w:r>
            <w:r w:rsidRPr="008E2AB3">
              <w:rPr>
                <w:rFonts w:asciiTheme="minorHAnsi" w:hAnsiTheme="minorHAnsi" w:cstheme="minorHAnsi"/>
                <w:i/>
                <w:iCs/>
                <w:szCs w:val="24"/>
              </w:rPr>
              <w:t>CV 82, CV 102)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keepNext/>
              <w:keepLines/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55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35</w:t>
              </w:r>
            </w:hyperlink>
          </w:p>
        </w:tc>
      </w:tr>
      <w:tr w:rsidR="00277D29" w:rsidRPr="009F01F2" w:rsidTr="00A95D43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>Report of the CWG Strategic and Financial Plans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64</w:t>
              </w:r>
            </w:hyperlink>
          </w:p>
        </w:tc>
      </w:tr>
      <w:tr w:rsidR="00A95D43" w:rsidRPr="009F01F2" w:rsidTr="00A95D43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8E2AB3" w:rsidRDefault="00A95D43" w:rsidP="00A95D43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8E2AB3" w:rsidRDefault="00A95D43" w:rsidP="00A95D4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the People’s Republic of China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95D43" w:rsidRDefault="00AC40A7">
            <w:pPr>
              <w:tabs>
                <w:tab w:val="left" w:pos="454"/>
              </w:tabs>
              <w:spacing w:before="0"/>
              <w:jc w:val="center"/>
            </w:pPr>
            <w:hyperlink r:id="rId57" w:history="1">
              <w:r w:rsidR="00A95D43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A95D4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77</w:t>
              </w:r>
            </w:hyperlink>
          </w:p>
        </w:tc>
      </w:tr>
      <w:tr w:rsidR="00A95D43" w:rsidRPr="009F01F2" w:rsidTr="00A95D43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8E2AB3" w:rsidRDefault="00A95D43" w:rsidP="00A95D43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5D43" w:rsidRPr="008E2AB3" w:rsidRDefault="00A95D43" w:rsidP="00A95D43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95D43" w:rsidRDefault="00AC40A7">
            <w:pPr>
              <w:tabs>
                <w:tab w:val="left" w:pos="454"/>
              </w:tabs>
              <w:spacing w:before="0"/>
              <w:jc w:val="center"/>
            </w:pPr>
            <w:hyperlink r:id="rId58" w:history="1">
              <w:r w:rsidR="00A95D43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A95D4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88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/>
                <w:bCs/>
                <w:szCs w:val="24"/>
              </w:rPr>
              <w:t>3.3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Strengthening the regional presence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25)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25</w:t>
              </w:r>
            </w:hyperlink>
          </w:p>
        </w:tc>
      </w:tr>
      <w:tr w:rsidR="00DF27B2" w:rsidRPr="009F01F2" w:rsidTr="00DF27B2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Default="00DF27B2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Pr="008E2AB3" w:rsidRDefault="00DF27B2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the Republic of India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F27B2" w:rsidRDefault="00AC40A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DF27B2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DF27B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85</w:t>
              </w:r>
            </w:hyperlink>
          </w:p>
        </w:tc>
      </w:tr>
      <w:tr w:rsidR="00DF27B2" w:rsidRPr="009F01F2" w:rsidTr="00DF27B2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Default="00DF27B2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Pr="008E2AB3" w:rsidRDefault="00DF27B2" w:rsidP="00DF27B2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F27B2" w:rsidRDefault="00AC40A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DF27B2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DF27B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86</w:t>
              </w:r>
            </w:hyperlink>
          </w:p>
        </w:tc>
      </w:tr>
      <w:tr w:rsidR="00DF27B2" w:rsidRPr="009F01F2" w:rsidTr="00DF27B2">
        <w:trPr>
          <w:trHeight w:val="362"/>
        </w:trPr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Default="00DF27B2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Pr="008E2AB3" w:rsidRDefault="00DF27B2" w:rsidP="00DF27B2">
            <w:p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Mexico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27B2" w:rsidRDefault="00AC40A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2" w:history="1">
              <w:r w:rsidR="00DF27B2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DF27B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99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3.4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277D29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tabs>
                <w:tab w:val="left" w:pos="454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i/>
                <w:iCs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szCs w:val="24"/>
              </w:rPr>
              <w:t xml:space="preserve">Sales of, and free online access to, ITU publications </w:t>
            </w:r>
            <w:r w:rsidRPr="00932A80">
              <w:rPr>
                <w:rFonts w:asciiTheme="minorHAnsi" w:hAnsiTheme="minorHAnsi" w:cstheme="minorHAnsi"/>
                <w:i/>
                <w:iCs/>
                <w:szCs w:val="24"/>
              </w:rPr>
              <w:t>(Res. 66, Dec. 1, D 571, D 574)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6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21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4.2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8E2AB3">
              <w:rPr>
                <w:rFonts w:asciiTheme="minorHAnsi" w:hAnsiTheme="minorHAnsi" w:cstheme="minorHAnsi"/>
                <w:szCs w:val="24"/>
              </w:rPr>
              <w:t>Obsolete Council Resolutions &amp; Decisions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6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100" w:after="10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77D29" w:rsidRPr="008E2AB3" w:rsidRDefault="00277D29" w:rsidP="00DF27B2">
            <w:pPr>
              <w:keepNext/>
              <w:keepLines/>
              <w:tabs>
                <w:tab w:val="left" w:pos="853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77D29" w:rsidRPr="00101AC1" w:rsidTr="00DF27B2">
        <w:trPr>
          <w:trHeight w:val="75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853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Revenue and expenses </w:t>
            </w:r>
            <w:r w:rsidRPr="008E2AB3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277D29" w:rsidP="00DF27B2">
            <w:pPr>
              <w:keepNext/>
              <w:keepLines/>
              <w:tabs>
                <w:tab w:val="left" w:pos="853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7D29" w:rsidRPr="00101AC1" w:rsidTr="00DF27B2">
        <w:trPr>
          <w:trHeight w:val="75"/>
        </w:trPr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277D29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348" w:hanging="284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Annual review of revenue &amp; expenses </w:t>
            </w:r>
            <w:r w:rsidRPr="008E2AB3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</w:t>
            </w: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7257C4" w:rsidRDefault="00AC40A7" w:rsidP="00DF27B2">
            <w:pPr>
              <w:keepNext/>
              <w:keepLines/>
              <w:spacing w:before="40" w:after="40"/>
              <w:ind w:left="64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5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1F3574" w:rsidP="001F3574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40"/>
              <w:ind w:left="348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A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rrears and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S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pecial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A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rrears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A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ccounts </w:t>
            </w:r>
            <w:r w:rsidRPr="008E2AB3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R</w:t>
            </w:r>
            <w:r w:rsidRPr="008E2AB3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es. 41)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pStyle w:val="Footer"/>
              <w:keepNext/>
              <w:keepLines/>
              <w:spacing w:before="40" w:after="40"/>
              <w:ind w:left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11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1F3574" w:rsidP="001F3574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40"/>
              <w:ind w:left="34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Cost Recovery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f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or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the Processing of 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>Satellite Network Filings</w:t>
            </w:r>
            <w:r w:rsidRPr="008E2AB3">
              <w:rPr>
                <w:rFonts w:asciiTheme="minorHAnsi" w:hAnsiTheme="minorHAnsi" w:cstheme="minorHAnsi"/>
                <w:caps w:val="0"/>
              </w:rPr>
              <w:t xml:space="preserve"> </w:t>
            </w:r>
            <w:r w:rsidR="00277D29" w:rsidRPr="008E2AB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(D 482(MOD))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pStyle w:val="Footer"/>
              <w:keepNext/>
              <w:keepLines/>
              <w:spacing w:before="40" w:after="40"/>
              <w:ind w:left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7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16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F3574" w:rsidRPr="00DF27B2" w:rsidRDefault="001F3574" w:rsidP="00DF27B2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40"/>
              <w:ind w:left="34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Study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o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n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t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he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t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echnical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i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ssues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a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rising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i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n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onnection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w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ith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rocessing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o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f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omplex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n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>on-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g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eostationary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s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>atellite (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n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>on-G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SO) Network Filling Systems t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larify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t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echnical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i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ssues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s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uch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a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s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b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ut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n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ot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l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imited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t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>rocedures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F3574" w:rsidRPr="0021096A" w:rsidRDefault="00AC40A7" w:rsidP="00642FD9">
            <w:pPr>
              <w:pStyle w:val="Footer"/>
              <w:keepNext/>
              <w:keepLines/>
              <w:spacing w:before="40" w:after="40"/>
              <w:ind w:left="64"/>
              <w:jc w:val="center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hyperlink r:id="rId68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36</w:t>
              </w:r>
            </w:hyperlink>
            <w:r w:rsidR="00642FD9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+</w:t>
            </w:r>
            <w:r w:rsidR="001F3574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1F3574" w:rsidRPr="00642FD9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F3574" w:rsidRPr="00642FD9">
              <w:rPr>
                <w:rStyle w:val="Hyperlink"/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dd.</w:t>
            </w:r>
            <w:r w:rsidR="00642FD9" w:rsidRPr="00642FD9">
              <w:rPr>
                <w:rStyle w:val="Hyperlink"/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1(Rev.1)</w:t>
            </w:r>
            <w:r w:rsidR="001F3574" w:rsidRPr="0021096A"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  <w:br/>
            </w:r>
          </w:p>
        </w:tc>
      </w:tr>
      <w:tr w:rsidR="00DF27B2" w:rsidRPr="004E7B32" w:rsidTr="00DF27B2">
        <w:tc>
          <w:tcPr>
            <w:tcW w:w="1151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Pr="008E2AB3" w:rsidRDefault="00DF27B2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Default="00DF27B2" w:rsidP="00DF27B2">
            <w:pPr>
              <w:pStyle w:val="Footer"/>
              <w:keepNext/>
              <w:keepLines/>
              <w:tabs>
                <w:tab w:val="clear" w:pos="5954"/>
                <w:tab w:val="clear" w:pos="9639"/>
                <w:tab w:val="center" w:pos="4320"/>
                <w:tab w:val="right" w:pos="8640"/>
              </w:tabs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Contribution from Canada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F27B2" w:rsidRDefault="00AC40A7" w:rsidP="00DF27B2">
            <w:pPr>
              <w:pStyle w:val="Footer"/>
              <w:keepNext/>
              <w:keepLines/>
              <w:ind w:left="64"/>
              <w:jc w:val="center"/>
            </w:pPr>
            <w:hyperlink r:id="rId69" w:history="1">
              <w:r w:rsidR="00DF27B2" w:rsidRPr="0021096A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C18/75</w:t>
              </w:r>
            </w:hyperlink>
          </w:p>
        </w:tc>
      </w:tr>
      <w:tr w:rsidR="00DF27B2" w:rsidRPr="004E7B32" w:rsidTr="00DF27B2">
        <w:tc>
          <w:tcPr>
            <w:tcW w:w="1151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Pr="008E2AB3" w:rsidRDefault="00DF27B2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Default="00DF27B2" w:rsidP="00DF27B2">
            <w:pPr>
              <w:pStyle w:val="Footer"/>
              <w:keepNext/>
              <w:keepLines/>
              <w:tabs>
                <w:tab w:val="clear" w:pos="5954"/>
                <w:tab w:val="clear" w:pos="9639"/>
                <w:tab w:val="center" w:pos="4320"/>
                <w:tab w:val="right" w:pos="8640"/>
              </w:tabs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Contribution from the Russian Federation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F27B2" w:rsidRPr="0021096A" w:rsidRDefault="00AC40A7">
            <w:pPr>
              <w:pStyle w:val="Footer"/>
              <w:keepNext/>
              <w:keepLines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hyperlink r:id="rId70" w:history="1">
              <w:r w:rsidR="00DF27B2" w:rsidRPr="0021096A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C18/</w:t>
              </w:r>
              <w:r w:rsidR="00543779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83</w:t>
              </w:r>
            </w:hyperlink>
          </w:p>
        </w:tc>
      </w:tr>
      <w:tr w:rsidR="00DF27B2" w:rsidRPr="004E7B32" w:rsidTr="00DF27B2">
        <w:tc>
          <w:tcPr>
            <w:tcW w:w="1151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Pr="008E2AB3" w:rsidRDefault="00DF27B2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F27B2" w:rsidRDefault="00543779" w:rsidP="00DF27B2">
            <w:pPr>
              <w:pStyle w:val="Footer"/>
              <w:keepNext/>
              <w:keepLines/>
              <w:tabs>
                <w:tab w:val="clear" w:pos="5954"/>
                <w:tab w:val="clear" w:pos="9639"/>
                <w:tab w:val="center" w:pos="4320"/>
                <w:tab w:val="right" w:pos="8640"/>
              </w:tabs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Contribution from the United States of America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F27B2" w:rsidRPr="0021096A" w:rsidRDefault="00AC40A7">
            <w:pPr>
              <w:pStyle w:val="Footer"/>
              <w:keepNext/>
              <w:keepLines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hyperlink r:id="rId71" w:history="1">
              <w:r w:rsidR="00543779" w:rsidRPr="0021096A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C18/</w:t>
              </w:r>
              <w:r w:rsidR="00543779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90</w:t>
              </w:r>
            </w:hyperlink>
          </w:p>
        </w:tc>
      </w:tr>
      <w:tr w:rsidR="00277D29" w:rsidRPr="004E7B32" w:rsidTr="00DF27B2">
        <w:tc>
          <w:tcPr>
            <w:tcW w:w="1151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932A80" w:rsidRDefault="001F3574" w:rsidP="001F3574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80"/>
              <w:ind w:left="348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E</w:t>
            </w:r>
            <w:r w:rsidRPr="00932A80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fficiency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m</w:t>
            </w:r>
            <w:r w:rsidRPr="00932A80">
              <w:rPr>
                <w:rFonts w:asciiTheme="minorHAnsi" w:hAnsiTheme="minorHAnsi" w:cstheme="minorHAnsi"/>
                <w:caps w:val="0"/>
                <w:sz w:val="24"/>
                <w:szCs w:val="24"/>
              </w:rPr>
              <w:t>easures</w:t>
            </w:r>
            <w:r w:rsidRPr="00932A80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D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ec</w:t>
            </w:r>
            <w:r w:rsidR="00277D29" w:rsidRPr="00932A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 5)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932A80" w:rsidRDefault="00AC40A7" w:rsidP="00DF27B2">
            <w:pPr>
              <w:pStyle w:val="Footer"/>
              <w:keepNext/>
              <w:keepLines/>
              <w:spacing w:before="40" w:after="80"/>
              <w:ind w:left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2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45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8E2AB3" w:rsidRDefault="001F3574" w:rsidP="001F3574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P</w:t>
            </w:r>
            <w:r w:rsidRPr="008E2AB3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rovisional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participation of entities dealing with telecommunication matters in the activities of the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U</w:t>
            </w:r>
            <w:r w:rsidRPr="008E2AB3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nion </w:t>
            </w:r>
            <w:r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(D</w:t>
            </w:r>
            <w:r w:rsidRPr="008E2AB3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 519 </w:t>
            </w:r>
            <w:r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(MOD</w:t>
            </w:r>
            <w:r w:rsidRPr="008E2AB3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))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57</w:t>
              </w:r>
            </w:hyperlink>
          </w:p>
        </w:tc>
      </w:tr>
      <w:tr w:rsidR="00277D29" w:rsidRPr="00FA1E84" w:rsidTr="0080249F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606617" w:rsidP="00606617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eport by the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C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hairman of the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C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ouncil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W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orking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G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roup on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F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inancial and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H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uman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esources</w:t>
            </w:r>
            <w:r w:rsidR="00277D29" w:rsidRPr="003415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(CWG-FHR)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(R</w:t>
            </w:r>
            <w:r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es</w:t>
            </w:r>
            <w:r w:rsidR="00277D29" w:rsidRPr="00932A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 151, 152, 158, 169, 170, D 558, D 563(MOD),</w:t>
            </w:r>
            <w:r w:rsidR="00277D2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277D29" w:rsidRPr="00932A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 1360)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7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50</w:t>
              </w:r>
            </w:hyperlink>
          </w:p>
        </w:tc>
      </w:tr>
      <w:tr w:rsidR="0080249F" w:rsidRPr="00FA1E84" w:rsidTr="0080249F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0249F" w:rsidRPr="003415F4" w:rsidRDefault="0080249F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0249F" w:rsidRDefault="0080249F" w:rsidP="0021096A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ind w:left="567" w:hanging="567"/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ab/>
              <w:t>Status report on implementation of Council Decision 600 and 601 (UIFN, IIN)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0249F" w:rsidRDefault="00AC40A7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</w:pPr>
            <w:hyperlink r:id="rId75" w:history="1">
              <w:r w:rsidR="0080249F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80249F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100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Implementation of the ITU information/document Access Policy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58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 xml:space="preserve">ITU participation in memoranda of understanding with financial and/or strategic implications </w:t>
            </w:r>
            <w:r w:rsidRPr="003415F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7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59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Members, Associates and Academia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8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60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 xml:space="preserve">Information and Communication Technologies Development Fund (ICT-DF) </w:t>
            </w:r>
            <w:r w:rsidR="0060661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 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34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606617" w:rsidP="00606617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eport of the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I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ndependent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M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anagement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A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dvisory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C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ommittee (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IMAC</w:t>
            </w:r>
            <w:r w:rsidRPr="003415F4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(Res. 162, D 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565)</w:t>
            </w:r>
          </w:p>
          <w:p w:rsidR="006076A9" w:rsidRPr="0021096A" w:rsidRDefault="006076A9" w:rsidP="00606617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  <w:highlight w:val="yellow"/>
              </w:rPr>
            </w:pPr>
            <w:r w:rsidRPr="0021096A">
              <w:rPr>
                <w:rFonts w:asciiTheme="minorHAnsi" w:hAnsiTheme="minorHAnsi" w:cstheme="minorHAnsi"/>
                <w:caps w:val="0"/>
                <w:sz w:val="24"/>
                <w:szCs w:val="24"/>
              </w:rPr>
              <w:t>Appointment of replacement for the resigned member of the IMAC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0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22</w:t>
              </w:r>
            </w:hyperlink>
            <w:r w:rsidR="006076A9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  <w:p w:rsidR="006076A9" w:rsidRPr="003415F4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1" w:history="1">
              <w:r w:rsidR="006076A9" w:rsidRPr="006076A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C18/73</w:t>
              </w:r>
            </w:hyperlink>
          </w:p>
        </w:tc>
      </w:tr>
      <w:tr w:rsidR="00277D29" w:rsidRPr="00FA1E84" w:rsidTr="00DF27B2"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Addressing the JIU Recommendations: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277D29" w:rsidP="00DF27B2">
            <w:pPr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7D29" w:rsidRPr="00FA1E84" w:rsidTr="00DF27B2">
        <w:tc>
          <w:tcPr>
            <w:tcW w:w="11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6E36F5" w:rsidRDefault="00277D29" w:rsidP="00277D2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631" w:hanging="271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Implementation status and plan of the JIU Recommendations from the "Review of management and administration in the ITU"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F0055A" w:rsidRDefault="00AC40A7" w:rsidP="00DF27B2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82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39</w:t>
              </w:r>
            </w:hyperlink>
          </w:p>
        </w:tc>
      </w:tr>
      <w:tr w:rsidR="00277D29" w:rsidRPr="00FA1E84" w:rsidTr="00DF27B2">
        <w:tc>
          <w:tcPr>
            <w:tcW w:w="1151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277D29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80"/>
              <w:ind w:left="631" w:hanging="271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Accountability and transparency framework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D29" w:rsidRPr="00F0055A" w:rsidRDefault="00AC40A7" w:rsidP="00DF27B2">
            <w:pPr>
              <w:spacing w:before="4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8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20</w:t>
              </w:r>
            </w:hyperlink>
          </w:p>
        </w:tc>
      </w:tr>
      <w:tr w:rsidR="00277D29" w:rsidRPr="00FA1E84" w:rsidTr="00606617">
        <w:trPr>
          <w:cantSplit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1C1439" w:rsidRDefault="00277D29" w:rsidP="00B8533F">
            <w:pPr>
              <w:keepNext/>
              <w:keepLines/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External Auditor reports: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277D29" w:rsidP="00B8533F">
            <w:pPr>
              <w:keepNext/>
              <w:keepLines/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7D29" w:rsidRPr="00FA1E84" w:rsidTr="00606617">
        <w:trPr>
          <w:cantSplit/>
        </w:trPr>
        <w:tc>
          <w:tcPr>
            <w:tcW w:w="11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1C1439" w:rsidRDefault="00277D29" w:rsidP="00B8533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The Union’s accounts 2017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9143CC" w:rsidRDefault="00277D29" w:rsidP="00B8533F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9143C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(final meeting)</w:t>
            </w:r>
          </w:p>
        </w:tc>
      </w:tr>
      <w:tr w:rsidR="00277D29" w:rsidRPr="00FA1E84" w:rsidTr="00606617">
        <w:trPr>
          <w:cantSplit/>
        </w:trPr>
        <w:tc>
          <w:tcPr>
            <w:tcW w:w="11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1C1439" w:rsidRDefault="00277D29" w:rsidP="00B8533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40" w:after="80"/>
              <w:rPr>
                <w:rFonts w:asciiTheme="minorHAnsi" w:hAnsiTheme="minorHAnsi" w:cstheme="minorHAnsi"/>
                <w:bCs/>
                <w:szCs w:val="24"/>
              </w:rPr>
            </w:pPr>
            <w:r w:rsidRPr="001C1439">
              <w:rPr>
                <w:rFonts w:asciiTheme="minorHAnsi" w:hAnsiTheme="minorHAnsi" w:cstheme="minorHAnsi"/>
                <w:bCs/>
                <w:szCs w:val="24"/>
              </w:rPr>
              <w:t>The Union’s account on the ITU TELECOM World 2017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F0055A" w:rsidRDefault="00277D29" w:rsidP="00B8533F">
            <w:pPr>
              <w:keepNext/>
              <w:keepLines/>
              <w:spacing w:before="4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143C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(final meeting)</w:t>
            </w:r>
          </w:p>
        </w:tc>
      </w:tr>
      <w:tr w:rsidR="00277D29" w:rsidRPr="00FA1E84" w:rsidTr="00DF27B2"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Financial operating report</w:t>
            </w:r>
            <w:r w:rsidRPr="003415F4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277D29" w:rsidP="00DF27B2">
            <w:pPr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7D29" w:rsidRPr="00FA1E84" w:rsidTr="00DF27B2">
        <w:tc>
          <w:tcPr>
            <w:tcW w:w="11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277D29" w:rsidP="00277D29">
            <w:pPr>
              <w:pStyle w:val="ListParagraph"/>
              <w:numPr>
                <w:ilvl w:val="0"/>
                <w:numId w:val="2"/>
              </w:numPr>
              <w:spacing w:before="4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Una</w:t>
            </w:r>
            <w:r w:rsidRPr="003415F4">
              <w:rPr>
                <w:rFonts w:asciiTheme="minorHAnsi" w:hAnsiTheme="minorHAnsi" w:cstheme="minorHAnsi"/>
                <w:bCs/>
                <w:szCs w:val="24"/>
              </w:rPr>
              <w:t>udited financial operating report for 2017</w:t>
            </w:r>
          </w:p>
          <w:p w:rsidR="00277D29" w:rsidRPr="001C1439" w:rsidRDefault="00277D29" w:rsidP="00277D29">
            <w:pPr>
              <w:pStyle w:val="ListParagraph"/>
              <w:numPr>
                <w:ilvl w:val="0"/>
                <w:numId w:val="2"/>
              </w:numPr>
              <w:spacing w:before="4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Audited financial operating report for 2017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spacing w:before="4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4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42</w:t>
              </w:r>
            </w:hyperlink>
          </w:p>
          <w:p w:rsidR="00277D29" w:rsidRPr="00F0055A" w:rsidRDefault="00277D29" w:rsidP="00DF27B2">
            <w:pPr>
              <w:spacing w:before="4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143C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(final meeting)</w:t>
            </w:r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6076A9" w:rsidP="006076A9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eport of the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I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nternal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A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>uditor on internal audit activities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5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44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6076A9" w:rsidP="006076A9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D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ecisions of the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UNGA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on the conditions of service under the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UN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C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ommon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S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>ystem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23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6076A9" w:rsidP="006076A9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rogress report on the implementation of the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H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uman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esources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S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trategic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lan and of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>esolution 48 (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ev.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B</w:t>
            </w:r>
            <w:r w:rsidRPr="003415F4">
              <w:rPr>
                <w:rFonts w:asciiTheme="minorHAnsi" w:hAnsiTheme="minorHAnsi" w:cstheme="minorHAnsi"/>
                <w:caps w:val="0"/>
                <w:sz w:val="24"/>
                <w:szCs w:val="24"/>
              </w:rPr>
              <w:t>usan,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7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24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The After-Service Health Insurance (ASHI) liability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88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46</w:t>
              </w:r>
            </w:hyperlink>
          </w:p>
        </w:tc>
      </w:tr>
      <w:tr w:rsidR="00277D29" w:rsidRPr="00FA1E84" w:rsidTr="00543779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szCs w:val="24"/>
              </w:rPr>
              <w:t xml:space="preserve">Strategy for the coordination of efforts among the three Sectors of the Union </w:t>
            </w:r>
            <w:r w:rsidRPr="00932A80">
              <w:rPr>
                <w:rFonts w:asciiTheme="minorHAnsi" w:hAnsiTheme="minorHAnsi" w:cstheme="minorHAnsi"/>
                <w:i/>
                <w:iCs/>
                <w:szCs w:val="24"/>
              </w:rPr>
              <w:t>(Res. 191)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8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38</w:t>
              </w:r>
            </w:hyperlink>
          </w:p>
        </w:tc>
      </w:tr>
      <w:tr w:rsidR="00543779" w:rsidRPr="00FA1E84" w:rsidTr="00543779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43779" w:rsidRPr="003415F4" w:rsidRDefault="00543779" w:rsidP="00543779">
            <w:pPr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43779" w:rsidRPr="003415F4" w:rsidRDefault="00543779" w:rsidP="00543779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Contribution from the United Arab Emirates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43779" w:rsidRDefault="00AC40A7">
            <w:pPr>
              <w:spacing w:before="0"/>
              <w:jc w:val="center"/>
            </w:pPr>
            <w:hyperlink r:id="rId90" w:history="1">
              <w:r w:rsidR="0054377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54377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98</w:t>
              </w:r>
            </w:hyperlink>
          </w:p>
        </w:tc>
      </w:tr>
      <w:tr w:rsidR="00277D29" w:rsidRPr="00FA1E84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 xml:space="preserve">Membership of the ITU Staff Pension Committee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 1326 (MOD))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277D29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</w:p>
        </w:tc>
      </w:tr>
      <w:tr w:rsidR="00277D29" w:rsidRPr="00FA1E84" w:rsidTr="00DF27B2">
        <w:tc>
          <w:tcPr>
            <w:tcW w:w="11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003BB2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Report on progress on the Union's headquarters premises project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1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</w:hyperlink>
          </w:p>
        </w:tc>
      </w:tr>
      <w:tr w:rsidR="00277D29" w:rsidRPr="00FA1E84" w:rsidTr="00DF27B2">
        <w:tc>
          <w:tcPr>
            <w:tcW w:w="11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CC4D52">
              <w:rPr>
                <w:rFonts w:asciiTheme="minorHAnsi" w:hAnsiTheme="minorHAnsi" w:cstheme="minorHAnsi"/>
                <w:bCs/>
                <w:szCs w:val="24"/>
              </w:rPr>
              <w:t xml:space="preserve">ponsorship </w:t>
            </w:r>
            <w:r>
              <w:rPr>
                <w:rFonts w:asciiTheme="minorHAnsi" w:hAnsiTheme="minorHAnsi" w:cstheme="minorHAnsi"/>
                <w:bCs/>
                <w:szCs w:val="24"/>
              </w:rPr>
              <w:t>possibilities for the HQ premises</w:t>
            </w:r>
            <w:r w:rsidRPr="00CC4D52">
              <w:rPr>
                <w:rFonts w:asciiTheme="minorHAnsi" w:hAnsiTheme="minorHAnsi" w:cstheme="minorHAnsi"/>
                <w:bCs/>
                <w:szCs w:val="24"/>
              </w:rPr>
              <w:t xml:space="preserve"> project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2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47</w:t>
              </w:r>
            </w:hyperlink>
          </w:p>
        </w:tc>
      </w:tr>
      <w:tr w:rsidR="00277D29" w:rsidRPr="00FA1E84" w:rsidTr="00DF27B2">
        <w:tc>
          <w:tcPr>
            <w:tcW w:w="11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3415F4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Summary report on the work of the Member States Advisory Group on the Union’s Headquarters premises project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3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48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E62550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2550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E62550" w:rsidRDefault="00277D29" w:rsidP="00DF27B2">
            <w:pPr>
              <w:tabs>
                <w:tab w:val="left" w:pos="601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E62550">
              <w:rPr>
                <w:rFonts w:asciiTheme="minorHAnsi" w:hAnsiTheme="minorHAnsi" w:cstheme="minorHAnsi"/>
                <w:bCs/>
                <w:szCs w:val="24"/>
              </w:rPr>
              <w:t>Status update report on Security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tabs>
                <w:tab w:val="left" w:pos="601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4" w:history="1">
              <w:r w:rsidR="00277D29" w:rsidRPr="00E6255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C18/49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CC4D52">
              <w:rPr>
                <w:rFonts w:asciiTheme="minorHAnsi" w:hAnsiTheme="minorHAnsi" w:cstheme="minorHAnsi"/>
                <w:bCs/>
                <w:szCs w:val="24"/>
              </w:rPr>
              <w:t>Report from the Ethics Office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5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52</w:t>
              </w:r>
            </w:hyperlink>
          </w:p>
        </w:tc>
      </w:tr>
      <w:tr w:rsidR="00277D29" w:rsidRPr="00101AC1" w:rsidTr="00543779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CC4D52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Provisional choice of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class of 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>contributory unit</w:t>
            </w: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77D29" w:rsidRPr="00D3353B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6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61</w:t>
              </w:r>
            </w:hyperlink>
          </w:p>
        </w:tc>
      </w:tr>
      <w:tr w:rsidR="00543779" w:rsidRPr="00101AC1" w:rsidTr="00543779">
        <w:tc>
          <w:tcPr>
            <w:tcW w:w="11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43779" w:rsidRDefault="00543779" w:rsidP="00543779">
            <w:pPr>
              <w:tabs>
                <w:tab w:val="left" w:pos="460"/>
                <w:tab w:val="left" w:pos="859"/>
              </w:tabs>
              <w:spacing w:before="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43779" w:rsidRPr="00D3353B" w:rsidRDefault="00543779" w:rsidP="00543779">
            <w:pPr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Contribution from the Russian Federation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43779" w:rsidRDefault="00AC40A7">
            <w:pPr>
              <w:spacing w:before="0"/>
              <w:jc w:val="center"/>
            </w:pPr>
            <w:hyperlink r:id="rId97" w:history="1">
              <w:r w:rsidR="0054377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54377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Upgrading the Area Office in Moscow to ITU CIS Regional Office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8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65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D3353B" w:rsidRDefault="00277D29" w:rsidP="00DF27B2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Financial implications of the regional initiatives approved by WTDC-17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9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66</w:t>
              </w:r>
            </w:hyperlink>
          </w:p>
        </w:tc>
      </w:tr>
      <w:tr w:rsidR="00277D29" w:rsidRPr="009F01F2" w:rsidTr="00DF27B2">
        <w:trPr>
          <w:trHeight w:val="362"/>
        </w:trPr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003BB2" w:rsidRDefault="00277D29" w:rsidP="00DF27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9143CC">
              <w:rPr>
                <w:rFonts w:asciiTheme="minorHAnsi" w:hAnsiTheme="minorHAnsi" w:cstheme="minorHAnsi"/>
                <w:b/>
                <w:bCs/>
                <w:szCs w:val="24"/>
              </w:rPr>
              <w:t>24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Pr="00E62550" w:rsidRDefault="00277D29" w:rsidP="00DF27B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E62550">
              <w:rPr>
                <w:rFonts w:asciiTheme="minorHAnsi" w:hAnsiTheme="minorHAnsi" w:cstheme="minorHAnsi"/>
                <w:bCs/>
                <w:szCs w:val="24"/>
              </w:rPr>
              <w:t>Report of the CWG Strategic and Financial Plans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Pr="008E2AB3" w:rsidRDefault="00AC40A7" w:rsidP="00DF27B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0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64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277D29" w:rsidRPr="00E62550" w:rsidRDefault="00277D29" w:rsidP="00DF27B2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E62550">
              <w:rPr>
                <w:rFonts w:asciiTheme="minorHAnsi" w:hAnsiTheme="minorHAnsi" w:cstheme="minorHAnsi"/>
                <w:bCs/>
              </w:rPr>
              <w:t>Tendering to select the External Auditor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spacing w:before="80" w:after="80"/>
              <w:jc w:val="center"/>
            </w:pPr>
            <w:hyperlink r:id="rId101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67</w:t>
              </w:r>
            </w:hyperlink>
          </w:p>
        </w:tc>
      </w:tr>
      <w:tr w:rsidR="00277D2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77D29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277D29" w:rsidRPr="00E62550" w:rsidRDefault="00277D29" w:rsidP="00DF27B2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B463A">
              <w:rPr>
                <w:rFonts w:asciiTheme="minorHAnsi" w:hAnsiTheme="minorHAnsi" w:cstheme="minorHAnsi"/>
                <w:bCs/>
              </w:rPr>
              <w:t>Amendments to ITU Staff Regulations and Staff Rules for Elected Officials relating to compensation package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D29" w:rsidRDefault="00AC40A7" w:rsidP="00DF27B2">
            <w:pPr>
              <w:spacing w:before="80" w:after="80"/>
              <w:jc w:val="center"/>
            </w:pPr>
            <w:hyperlink r:id="rId102" w:history="1">
              <w:r w:rsidR="00277D29" w:rsidRPr="00EA36C0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68</w:t>
              </w:r>
            </w:hyperlink>
          </w:p>
        </w:tc>
      </w:tr>
      <w:tr w:rsidR="006076A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076A9" w:rsidRDefault="006076A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6076A9" w:rsidRPr="000B463A" w:rsidRDefault="006076A9" w:rsidP="00DF27B2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Status report: implementation of an SME pilot project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076A9" w:rsidRPr="0021096A" w:rsidRDefault="00AC40A7" w:rsidP="00DF27B2">
            <w:pPr>
              <w:spacing w:before="80" w:after="80"/>
              <w:jc w:val="center"/>
              <w:rPr>
                <w:lang w:val="en-US"/>
              </w:rPr>
            </w:pPr>
            <w:hyperlink r:id="rId103" w:history="1">
              <w:r w:rsidR="006076A9" w:rsidRPr="006076A9">
                <w:rPr>
                  <w:rStyle w:val="Hyperlink"/>
                  <w:lang w:val="en-US"/>
                </w:rPr>
                <w:t>C18/69</w:t>
              </w:r>
            </w:hyperlink>
          </w:p>
        </w:tc>
      </w:tr>
      <w:tr w:rsidR="006076A9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076A9" w:rsidRDefault="006076A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6076A9" w:rsidRDefault="00543779" w:rsidP="0021096A">
            <w:pPr>
              <w:pStyle w:val="Default"/>
              <w:spacing w:before="60"/>
              <w:rPr>
                <w:rFonts w:asciiTheme="minorHAnsi" w:hAnsiTheme="minorHAnsi" w:cstheme="minorHAnsi"/>
                <w:bCs/>
              </w:rPr>
            </w:pPr>
            <w:r w:rsidRPr="00543779">
              <w:rPr>
                <w:rFonts w:asciiTheme="minorHAnsi" w:hAnsiTheme="minorHAnsi" w:cstheme="minorHAnsi"/>
                <w:bCs/>
              </w:rPr>
              <w:t>Requests for exemption from any financial contribution to defraying expenses relating to participation in the work of the ITU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076A9" w:rsidRDefault="00AC40A7" w:rsidP="00DF27B2">
            <w:pPr>
              <w:spacing w:before="80" w:after="80"/>
              <w:jc w:val="center"/>
              <w:rPr>
                <w:lang w:val="en-US"/>
              </w:rPr>
            </w:pPr>
            <w:hyperlink r:id="rId104" w:history="1">
              <w:r w:rsidR="006076A9" w:rsidRPr="006076A9">
                <w:rPr>
                  <w:rStyle w:val="Hyperlink"/>
                  <w:lang w:val="en-US"/>
                </w:rPr>
                <w:t>C18/72</w:t>
              </w:r>
            </w:hyperlink>
          </w:p>
        </w:tc>
      </w:tr>
      <w:tr w:rsidR="00E93AB3" w:rsidRPr="00101AC1" w:rsidTr="00DF27B2"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93AB3" w:rsidRDefault="00E93AB3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E93AB3" w:rsidRPr="00543779" w:rsidRDefault="00E93AB3" w:rsidP="0021096A">
            <w:pPr>
              <w:pStyle w:val="Default"/>
              <w:spacing w:before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Regional Groups – Proposal by Brazil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93AB3" w:rsidRPr="00AC40A7" w:rsidRDefault="00E93AB3" w:rsidP="00DF27B2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77D29" w:rsidRPr="00101AC1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3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bCs/>
                <w:szCs w:val="24"/>
              </w:rPr>
              <w:t>INFORMATION REPORTS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277D29" w:rsidRPr="00A51A99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2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spacing w:before="80" w:after="80"/>
              <w:rPr>
                <w:rFonts w:asciiTheme="minorHAnsi" w:hAnsiTheme="minorHAnsi" w:cstheme="minorHAnsi"/>
                <w:szCs w:val="24"/>
              </w:rPr>
            </w:pPr>
            <w:r w:rsidRPr="00CC4D52">
              <w:rPr>
                <w:rFonts w:asciiTheme="minorHAnsi" w:hAnsiTheme="minorHAnsi" w:cstheme="minorHAnsi"/>
                <w:szCs w:val="24"/>
              </w:rPr>
              <w:t>Situation of arrears of the Union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05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Cs/>
                <w:szCs w:val="24"/>
              </w:rPr>
              <w:t>Report of the Budget Control Committee of the World Telecommunication Development Conference (WTDC-17)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6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7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Cs/>
                <w:szCs w:val="24"/>
              </w:rPr>
              <w:t>Agreement between the Government of the U</w:t>
            </w:r>
            <w:r>
              <w:rPr>
                <w:rFonts w:asciiTheme="minorHAnsi" w:hAnsiTheme="minorHAnsi" w:cstheme="minorHAnsi"/>
                <w:bCs/>
                <w:szCs w:val="24"/>
              </w:rPr>
              <w:t>nited Arab Emirates</w:t>
            </w:r>
            <w:r w:rsidRPr="00CC4D52">
              <w:rPr>
                <w:rFonts w:asciiTheme="minorHAnsi" w:hAnsiTheme="minorHAnsi" w:cstheme="minorHAnsi"/>
                <w:bCs/>
                <w:szCs w:val="24"/>
              </w:rPr>
              <w:t xml:space="preserve"> and ITU relating to the holding, organization and financing of the PP-18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8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Sales and free online access to ITU publications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9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UN-SWAP letter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0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</w:t>
            </w:r>
            <w:r w:rsidRPr="003415F4">
              <w:rPr>
                <w:rFonts w:asciiTheme="minorHAnsi" w:hAnsiTheme="minorHAnsi" w:cstheme="minorHAnsi"/>
                <w:szCs w:val="24"/>
              </w:rPr>
              <w:t>mplementation of the Human Resources strategic plan and of Resolution 48 (Rev. Busan,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1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</w:t>
              </w:r>
            </w:hyperlink>
          </w:p>
        </w:tc>
      </w:tr>
      <w:tr w:rsidR="00277D2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277D2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Strengthening the regional presence (Resolution 25 (Rev. Busan, 2014))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77D29" w:rsidRPr="00CC4D52" w:rsidRDefault="00AC40A7" w:rsidP="00DF27B2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2" w:history="1">
              <w:r w:rsidR="00277D29" w:rsidRPr="00BF346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</w:t>
              </w:r>
              <w:r w:rsidR="00277D2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C406C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DF27B2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DF27B2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406C9">
              <w:rPr>
                <w:rFonts w:asciiTheme="minorHAnsi" w:hAnsiTheme="minorHAnsi" w:cstheme="minorHAnsi"/>
                <w:bCs/>
                <w:szCs w:val="24"/>
              </w:rPr>
              <w:t>GSMA briefing note: IMEI Security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AC40A7" w:rsidP="0021096A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3" w:history="1">
              <w:r w:rsidR="00C406C9" w:rsidRPr="006076A9">
                <w:rPr>
                  <w:rStyle w:val="Hyperlink"/>
                </w:rPr>
                <w:t>INF/</w:t>
              </w:r>
              <w:r w:rsidR="00C406C9">
                <w:rPr>
                  <w:rStyle w:val="Hyperlink"/>
                </w:rPr>
                <w:t>9</w:t>
              </w:r>
            </w:hyperlink>
          </w:p>
        </w:tc>
      </w:tr>
      <w:tr w:rsidR="00C406C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C406C9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C406C9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406C9">
              <w:rPr>
                <w:rFonts w:asciiTheme="minorHAnsi" w:hAnsiTheme="minorHAnsi" w:cstheme="minorHAnsi"/>
                <w:bCs/>
                <w:szCs w:val="24"/>
              </w:rPr>
              <w:t>Mapping of linkages between resolutions of ITU Conferences and Assemblies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AC40A7" w:rsidP="0021096A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4" w:history="1">
              <w:r w:rsidR="00C406C9" w:rsidRPr="006076A9">
                <w:rPr>
                  <w:rStyle w:val="Hyperlink"/>
                </w:rPr>
                <w:t>INF/1</w:t>
              </w:r>
              <w:r w:rsidR="00C406C9">
                <w:rPr>
                  <w:rStyle w:val="Hyperlink"/>
                </w:rPr>
                <w:t>0</w:t>
              </w:r>
            </w:hyperlink>
          </w:p>
        </w:tc>
      </w:tr>
      <w:tr w:rsidR="00C406C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C406C9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C406C9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Staff rules application to Elected Officials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AC40A7" w:rsidP="00C406C9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5" w:history="1">
              <w:r w:rsidR="00C406C9" w:rsidRPr="006076A9">
                <w:rPr>
                  <w:rStyle w:val="Hyperlink"/>
                </w:rPr>
                <w:t>INF/11</w:t>
              </w:r>
            </w:hyperlink>
          </w:p>
        </w:tc>
      </w:tr>
      <w:tr w:rsidR="00C406C9" w:rsidRPr="00B63C0E" w:rsidTr="00DF27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C406C9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C406C9" w:rsidP="00C406C9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543779">
              <w:rPr>
                <w:rFonts w:asciiTheme="minorHAnsi" w:hAnsiTheme="minorHAnsi" w:cstheme="minorHAnsi"/>
                <w:bCs/>
                <w:szCs w:val="24"/>
              </w:rPr>
              <w:t>Information document from Greece - The Hellenic rural broadband project: fostering the information society in territorial cohesion to support the implementation of Agenda 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C406C9" w:rsidRDefault="00AC40A7" w:rsidP="00C406C9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6" w:history="1">
              <w:r w:rsidR="00C406C9" w:rsidRPr="006076A9">
                <w:rPr>
                  <w:rStyle w:val="Hyperlink"/>
                </w:rPr>
                <w:t>INF/1</w:t>
              </w:r>
              <w:r w:rsidR="00C406C9">
                <w:rPr>
                  <w:rStyle w:val="Hyperlink"/>
                </w:rPr>
                <w:t>3</w:t>
              </w:r>
            </w:hyperlink>
          </w:p>
        </w:tc>
      </w:tr>
    </w:tbl>
    <w:p w:rsidR="00277D29" w:rsidRDefault="00277D29" w:rsidP="00277D29">
      <w:pPr>
        <w:jc w:val="right"/>
        <w:rPr>
          <w:b/>
          <w:sz w:val="10"/>
          <w:szCs w:val="10"/>
        </w:rPr>
      </w:pPr>
    </w:p>
    <w:p w:rsidR="002A2188" w:rsidRDefault="002A2188" w:rsidP="002A2188"/>
    <w:p w:rsidR="00B8533F" w:rsidRPr="00B8533F" w:rsidRDefault="00B8533F" w:rsidP="00B8533F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</w:t>
      </w:r>
    </w:p>
    <w:sectPr w:rsidR="00B8533F" w:rsidRPr="00B8533F" w:rsidSect="004D1851">
      <w:headerReference w:type="default" r:id="rId117"/>
      <w:footerReference w:type="first" r:id="rId1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B3" w:rsidRDefault="00E93AB3">
      <w:r>
        <w:separator/>
      </w:r>
    </w:p>
  </w:endnote>
  <w:endnote w:type="continuationSeparator" w:id="0">
    <w:p w:rsidR="00E93AB3" w:rsidRDefault="00E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B3" w:rsidRDefault="00E93AB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B3" w:rsidRDefault="00E93AB3">
      <w:r>
        <w:t>____________________</w:t>
      </w:r>
    </w:p>
  </w:footnote>
  <w:footnote w:type="continuationSeparator" w:id="0">
    <w:p w:rsidR="00E93AB3" w:rsidRDefault="00E9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B3" w:rsidRDefault="00E93AB3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C40A7">
      <w:rPr>
        <w:noProof/>
      </w:rPr>
      <w:t>6</w:t>
    </w:r>
    <w:r>
      <w:rPr>
        <w:noProof/>
      </w:rPr>
      <w:fldChar w:fldCharType="end"/>
    </w:r>
  </w:p>
  <w:p w:rsidR="00E93AB3" w:rsidRPr="00623AE3" w:rsidRDefault="00E93AB3" w:rsidP="006B476C">
    <w:pPr>
      <w:pStyle w:val="Header"/>
      <w:rPr>
        <w:bCs/>
      </w:rPr>
    </w:pPr>
    <w:r>
      <w:rPr>
        <w:bCs/>
      </w:rPr>
      <w:t>C18/1</w:t>
    </w:r>
    <w:r>
      <w:rPr>
        <w:bCs/>
      </w:rPr>
      <w:t>(Rev.1)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447"/>
    <w:multiLevelType w:val="hybridMultilevel"/>
    <w:tmpl w:val="051A1394"/>
    <w:lvl w:ilvl="0" w:tplc="82A0AB8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121F5"/>
    <w:rsid w:val="00112E19"/>
    <w:rsid w:val="001268F3"/>
    <w:rsid w:val="001400DC"/>
    <w:rsid w:val="00140CE1"/>
    <w:rsid w:val="0017539C"/>
    <w:rsid w:val="00175AC2"/>
    <w:rsid w:val="0017609F"/>
    <w:rsid w:val="001859E0"/>
    <w:rsid w:val="001938F8"/>
    <w:rsid w:val="001C628E"/>
    <w:rsid w:val="001E0F7B"/>
    <w:rsid w:val="001F3574"/>
    <w:rsid w:val="0021096A"/>
    <w:rsid w:val="002119FD"/>
    <w:rsid w:val="002130E0"/>
    <w:rsid w:val="00264425"/>
    <w:rsid w:val="00265875"/>
    <w:rsid w:val="0027303B"/>
    <w:rsid w:val="00277D29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64E90"/>
    <w:rsid w:val="0049064B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43779"/>
    <w:rsid w:val="00564FBC"/>
    <w:rsid w:val="00582442"/>
    <w:rsid w:val="005F029E"/>
    <w:rsid w:val="005F3269"/>
    <w:rsid w:val="00606617"/>
    <w:rsid w:val="006076A9"/>
    <w:rsid w:val="00623AE3"/>
    <w:rsid w:val="00642FD9"/>
    <w:rsid w:val="0064737F"/>
    <w:rsid w:val="006535F1"/>
    <w:rsid w:val="0065557D"/>
    <w:rsid w:val="00662984"/>
    <w:rsid w:val="006716BB"/>
    <w:rsid w:val="006A421D"/>
    <w:rsid w:val="006B476C"/>
    <w:rsid w:val="006B6680"/>
    <w:rsid w:val="006B6DCC"/>
    <w:rsid w:val="00702DEF"/>
    <w:rsid w:val="00706861"/>
    <w:rsid w:val="0075051B"/>
    <w:rsid w:val="0076276C"/>
    <w:rsid w:val="00793188"/>
    <w:rsid w:val="00794D34"/>
    <w:rsid w:val="0080249F"/>
    <w:rsid w:val="00813E5E"/>
    <w:rsid w:val="008141A3"/>
    <w:rsid w:val="0083581B"/>
    <w:rsid w:val="00836CD9"/>
    <w:rsid w:val="00864AFF"/>
    <w:rsid w:val="008B4A6A"/>
    <w:rsid w:val="008C7E27"/>
    <w:rsid w:val="009173EF"/>
    <w:rsid w:val="00932906"/>
    <w:rsid w:val="00961B0B"/>
    <w:rsid w:val="00982E15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90BD0"/>
    <w:rsid w:val="00A95D43"/>
    <w:rsid w:val="00AC40A7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533F"/>
    <w:rsid w:val="00B94157"/>
    <w:rsid w:val="00BC251A"/>
    <w:rsid w:val="00BC7A21"/>
    <w:rsid w:val="00BD032B"/>
    <w:rsid w:val="00BE2640"/>
    <w:rsid w:val="00C01189"/>
    <w:rsid w:val="00C02CBE"/>
    <w:rsid w:val="00C374DE"/>
    <w:rsid w:val="00C406C9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434BC"/>
    <w:rsid w:val="00D65041"/>
    <w:rsid w:val="00DB384B"/>
    <w:rsid w:val="00DF27B2"/>
    <w:rsid w:val="00E10E80"/>
    <w:rsid w:val="00E124F0"/>
    <w:rsid w:val="00E4507B"/>
    <w:rsid w:val="00E60F04"/>
    <w:rsid w:val="00E854E4"/>
    <w:rsid w:val="00E92204"/>
    <w:rsid w:val="00E93AB3"/>
    <w:rsid w:val="00EB0D6F"/>
    <w:rsid w:val="00EB2232"/>
    <w:rsid w:val="00EC5337"/>
    <w:rsid w:val="00F2150A"/>
    <w:rsid w:val="00F231D8"/>
    <w:rsid w:val="00F40A10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99"/>
    <w:qFormat/>
    <w:rsid w:val="00277D29"/>
    <w:pPr>
      <w:ind w:left="720"/>
    </w:pPr>
  </w:style>
  <w:style w:type="character" w:customStyle="1" w:styleId="FooterChar">
    <w:name w:val="Footer Char"/>
    <w:basedOn w:val="DefaultParagraphFont"/>
    <w:link w:val="Footer"/>
    <w:rsid w:val="00277D29"/>
    <w:rPr>
      <w:rFonts w:ascii="Calibri" w:hAnsi="Calibri"/>
      <w:caps/>
      <w:noProof/>
      <w:sz w:val="16"/>
      <w:lang w:val="en-GB" w:eastAsia="en-US"/>
    </w:rPr>
  </w:style>
  <w:style w:type="paragraph" w:customStyle="1" w:styleId="Default">
    <w:name w:val="Default"/>
    <w:rsid w:val="00277D29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268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68F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15/en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itu.int/md/S18-CL-C-0093/en" TargetMode="External"/><Relationship Id="rId42" Type="http://schemas.openxmlformats.org/officeDocument/2006/relationships/hyperlink" Target="https://www.itu.int/md/S18-CL-C-0031/en" TargetMode="External"/><Relationship Id="rId47" Type="http://schemas.openxmlformats.org/officeDocument/2006/relationships/hyperlink" Target="https://www.itu.int/md/S18-CL-C-0004/en" TargetMode="External"/><Relationship Id="rId63" Type="http://schemas.openxmlformats.org/officeDocument/2006/relationships/hyperlink" Target="https://www.itu.int/md/S18-CL-C-0021" TargetMode="External"/><Relationship Id="rId68" Type="http://schemas.openxmlformats.org/officeDocument/2006/relationships/hyperlink" Target="https://www.itu.int/md/S18-CL-C-0036" TargetMode="External"/><Relationship Id="rId84" Type="http://schemas.openxmlformats.org/officeDocument/2006/relationships/hyperlink" Target="https://www.itu.int/md/S18-CL-C-0042" TargetMode="External"/><Relationship Id="rId89" Type="http://schemas.openxmlformats.org/officeDocument/2006/relationships/hyperlink" Target="https://www.itu.int/md/S18-CL-C-0038" TargetMode="External"/><Relationship Id="rId112" Type="http://schemas.openxmlformats.org/officeDocument/2006/relationships/hyperlink" Target="https://www.itu.int/md/S18-CL-INF-0006" TargetMode="External"/><Relationship Id="rId16" Type="http://schemas.openxmlformats.org/officeDocument/2006/relationships/hyperlink" Target="https://www.itu.int/md/S18-CL-C-0053/en" TargetMode="External"/><Relationship Id="rId107" Type="http://schemas.openxmlformats.org/officeDocument/2006/relationships/hyperlink" Target="https://www.itu.int/md/S18-CL-INF-0004" TargetMode="External"/><Relationship Id="rId11" Type="http://schemas.openxmlformats.org/officeDocument/2006/relationships/hyperlink" Target="https://www.itu.int/md/S18-CL-C-0071/en" TargetMode="External"/><Relationship Id="rId24" Type="http://schemas.openxmlformats.org/officeDocument/2006/relationships/hyperlink" Target="https://www.itu.int/md/S18-CL-C-0018/en" TargetMode="External"/><Relationship Id="rId32" Type="http://schemas.openxmlformats.org/officeDocument/2006/relationships/hyperlink" Target="https://www.itu.int/md/S18-CL-C-0091/en" TargetMode="External"/><Relationship Id="rId37" Type="http://schemas.openxmlformats.org/officeDocument/2006/relationships/hyperlink" Target="https://www.itu.int/md/S18-CL-C-0013/en" TargetMode="External"/><Relationship Id="rId40" Type="http://schemas.openxmlformats.org/officeDocument/2006/relationships/hyperlink" Target="https://www.itu.int/md/S18-CL-C-0029/en" TargetMode="External"/><Relationship Id="rId45" Type="http://schemas.openxmlformats.org/officeDocument/2006/relationships/hyperlink" Target="https://www.itu.int/md/S18-CL-C-0010/en" TargetMode="External"/><Relationship Id="rId53" Type="http://schemas.openxmlformats.org/officeDocument/2006/relationships/hyperlink" Target="https://www.itu.int/md/S18-CL-C-0037" TargetMode="External"/><Relationship Id="rId58" Type="http://schemas.openxmlformats.org/officeDocument/2006/relationships/hyperlink" Target="https://www.itu.int/md/S18-CL-C-0088" TargetMode="External"/><Relationship Id="rId66" Type="http://schemas.openxmlformats.org/officeDocument/2006/relationships/hyperlink" Target="https://www.itu.int/md/S18-CL-C-0011" TargetMode="External"/><Relationship Id="rId74" Type="http://schemas.openxmlformats.org/officeDocument/2006/relationships/hyperlink" Target="https://www.itu.int/md/S18-CL-C-0050" TargetMode="External"/><Relationship Id="rId79" Type="http://schemas.openxmlformats.org/officeDocument/2006/relationships/hyperlink" Target="https://www.itu.int/md/S18-CL-C-0034" TargetMode="External"/><Relationship Id="rId87" Type="http://schemas.openxmlformats.org/officeDocument/2006/relationships/hyperlink" Target="https://www.itu.int/md/S18-CL-C-0024" TargetMode="External"/><Relationship Id="rId102" Type="http://schemas.openxmlformats.org/officeDocument/2006/relationships/hyperlink" Target="https://www.itu.int/md/S18-CL-C-0068" TargetMode="External"/><Relationship Id="rId110" Type="http://schemas.openxmlformats.org/officeDocument/2006/relationships/hyperlink" Target="https://www.itu.int/md/S18-CL-INF-0003" TargetMode="External"/><Relationship Id="rId115" Type="http://schemas.openxmlformats.org/officeDocument/2006/relationships/hyperlink" Target="https://www.itu.int/md/S18-CL-INF-0011/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18-CL-C-0086" TargetMode="External"/><Relationship Id="rId82" Type="http://schemas.openxmlformats.org/officeDocument/2006/relationships/hyperlink" Target="https://www.itu.int/md/S18-CL-C-0039" TargetMode="External"/><Relationship Id="rId90" Type="http://schemas.openxmlformats.org/officeDocument/2006/relationships/hyperlink" Target="https://www.itu.int/md/S18-CL-C-0098" TargetMode="External"/><Relationship Id="rId95" Type="http://schemas.openxmlformats.org/officeDocument/2006/relationships/hyperlink" Target="https://www.itu.int/md/S18-CL-C-0052" TargetMode="External"/><Relationship Id="rId19" Type="http://schemas.openxmlformats.org/officeDocument/2006/relationships/hyperlink" Target="https://www.itu.int/md/S18-CL-C-0051/en" TargetMode="External"/><Relationship Id="rId14" Type="http://schemas.openxmlformats.org/officeDocument/2006/relationships/hyperlink" Target="https://www.itu.int/md/S18-CL-C-0089/en" TargetMode="External"/><Relationship Id="rId22" Type="http://schemas.openxmlformats.org/officeDocument/2006/relationships/hyperlink" Target="https://www.itu.int/md/S18-CL-C-0094/en" TargetMode="External"/><Relationship Id="rId27" Type="http://schemas.openxmlformats.org/officeDocument/2006/relationships/hyperlink" Target="https://www.itu.int/md/S18-CL-C-0062/en" TargetMode="External"/><Relationship Id="rId30" Type="http://schemas.openxmlformats.org/officeDocument/2006/relationships/hyperlink" Target="https://www.itu.int/md/S18-CL-C-0026/en" TargetMode="External"/><Relationship Id="rId35" Type="http://schemas.openxmlformats.org/officeDocument/2006/relationships/hyperlink" Target="https://www.itu.int/md/S18-CL-C-0081/en" TargetMode="External"/><Relationship Id="rId43" Type="http://schemas.openxmlformats.org/officeDocument/2006/relationships/hyperlink" Target="https://www.itu.int/md/S18-CL-C-0032/en" TargetMode="External"/><Relationship Id="rId48" Type="http://schemas.openxmlformats.org/officeDocument/2006/relationships/hyperlink" Target="https://www.itu.int/md/S18-CL-C-0084/en" TargetMode="External"/><Relationship Id="rId56" Type="http://schemas.openxmlformats.org/officeDocument/2006/relationships/hyperlink" Target="https://www.itu.int/md/S18-CL-C-0064" TargetMode="External"/><Relationship Id="rId64" Type="http://schemas.openxmlformats.org/officeDocument/2006/relationships/hyperlink" Target="https://www.itu.int/md/S18-CL-C-0003" TargetMode="External"/><Relationship Id="rId69" Type="http://schemas.openxmlformats.org/officeDocument/2006/relationships/hyperlink" Target="https://www.itu.int/md/S18-CL-C-0075/en" TargetMode="External"/><Relationship Id="rId77" Type="http://schemas.openxmlformats.org/officeDocument/2006/relationships/hyperlink" Target="https://www.itu.int/md/S18-CL-C-0059" TargetMode="External"/><Relationship Id="rId100" Type="http://schemas.openxmlformats.org/officeDocument/2006/relationships/hyperlink" Target="https://www.itu.int/md/S18-CL-C-0064" TargetMode="External"/><Relationship Id="rId105" Type="http://schemas.openxmlformats.org/officeDocument/2006/relationships/hyperlink" Target="https://www.itu.int/md/S18-CL-INF-0008" TargetMode="External"/><Relationship Id="rId113" Type="http://schemas.openxmlformats.org/officeDocument/2006/relationships/hyperlink" Target="https://www.itu.int/md/S18-CL-INF-0009/en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S18-CL-C-0027/en" TargetMode="External"/><Relationship Id="rId72" Type="http://schemas.openxmlformats.org/officeDocument/2006/relationships/hyperlink" Target="https://www.itu.int/md/S18-CL-C-0045" TargetMode="External"/><Relationship Id="rId80" Type="http://schemas.openxmlformats.org/officeDocument/2006/relationships/hyperlink" Target="https://www.itu.int/md/S18-CL-C-0022" TargetMode="External"/><Relationship Id="rId85" Type="http://schemas.openxmlformats.org/officeDocument/2006/relationships/hyperlink" Target="https://www.itu.int/md/S18-CL-C-0044" TargetMode="External"/><Relationship Id="rId93" Type="http://schemas.openxmlformats.org/officeDocument/2006/relationships/hyperlink" Target="https://www.itu.int/md/S18-CL-C-0048" TargetMode="External"/><Relationship Id="rId98" Type="http://schemas.openxmlformats.org/officeDocument/2006/relationships/hyperlink" Target="https://www.itu.int/md/S18-CL-C-006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8-CL-C-0078/en" TargetMode="External"/><Relationship Id="rId17" Type="http://schemas.openxmlformats.org/officeDocument/2006/relationships/hyperlink" Target="https://www.itu.int/md/S18-CL-C-0096/en" TargetMode="External"/><Relationship Id="rId25" Type="http://schemas.openxmlformats.org/officeDocument/2006/relationships/hyperlink" Target="https://www.itu.int/md/S18-CL-C-0076/en" TargetMode="External"/><Relationship Id="rId33" Type="http://schemas.openxmlformats.org/officeDocument/2006/relationships/hyperlink" Target="https://www.itu.int/md/S18-CL-C-0092/en" TargetMode="External"/><Relationship Id="rId38" Type="http://schemas.openxmlformats.org/officeDocument/2006/relationships/hyperlink" Target="https://www.itu.int/md/S18-CL-C-0063/en" TargetMode="External"/><Relationship Id="rId46" Type="http://schemas.openxmlformats.org/officeDocument/2006/relationships/hyperlink" Target="https://www.itu.int/md/S18-CL-C-0017/en" TargetMode="External"/><Relationship Id="rId59" Type="http://schemas.openxmlformats.org/officeDocument/2006/relationships/hyperlink" Target="https://www.itu.int/md/S18-CL-C-0025" TargetMode="External"/><Relationship Id="rId67" Type="http://schemas.openxmlformats.org/officeDocument/2006/relationships/hyperlink" Target="https://www.itu.int/md/S18-CL-C-0016" TargetMode="External"/><Relationship Id="rId103" Type="http://schemas.openxmlformats.org/officeDocument/2006/relationships/hyperlink" Target="https://www.itu.int/md/S18-CL-C-0069/en" TargetMode="External"/><Relationship Id="rId108" Type="http://schemas.openxmlformats.org/officeDocument/2006/relationships/hyperlink" Target="https://www.itu.int/md/S18-CL-INF-0007" TargetMode="External"/><Relationship Id="rId116" Type="http://schemas.openxmlformats.org/officeDocument/2006/relationships/hyperlink" Target="https://www.itu.int/md/S18-CL-INF-0013/en" TargetMode="External"/><Relationship Id="rId20" Type="http://schemas.openxmlformats.org/officeDocument/2006/relationships/hyperlink" Target="https://www.itu.int/md/S18-CL-C-0054/en" TargetMode="External"/><Relationship Id="rId41" Type="http://schemas.openxmlformats.org/officeDocument/2006/relationships/hyperlink" Target="https://www.itu.int/md/S18-CL-C-0030/en" TargetMode="External"/><Relationship Id="rId54" Type="http://schemas.openxmlformats.org/officeDocument/2006/relationships/hyperlink" Target="https://www.itu.int/md/S18-CL-C-0055" TargetMode="External"/><Relationship Id="rId62" Type="http://schemas.openxmlformats.org/officeDocument/2006/relationships/hyperlink" Target="https://www.itu.int/md/S18-CL-C-0099" TargetMode="External"/><Relationship Id="rId70" Type="http://schemas.openxmlformats.org/officeDocument/2006/relationships/hyperlink" Target="https://www.itu.int/md/S18-CL-C-0083" TargetMode="External"/><Relationship Id="rId75" Type="http://schemas.openxmlformats.org/officeDocument/2006/relationships/hyperlink" Target="https://www.itu.int/md/S18-CL-C-0100" TargetMode="External"/><Relationship Id="rId83" Type="http://schemas.openxmlformats.org/officeDocument/2006/relationships/hyperlink" Target="https://www.itu.int/md/S18-CL-C-0020" TargetMode="External"/><Relationship Id="rId88" Type="http://schemas.openxmlformats.org/officeDocument/2006/relationships/hyperlink" Target="https://www.itu.int/md/S18-CL-C-0046" TargetMode="External"/><Relationship Id="rId91" Type="http://schemas.openxmlformats.org/officeDocument/2006/relationships/hyperlink" Target="https://www.itu.int/md/S18-CL-C-0007" TargetMode="External"/><Relationship Id="rId96" Type="http://schemas.openxmlformats.org/officeDocument/2006/relationships/hyperlink" Target="https://www.itu.int/md/S18-CL-C-0061" TargetMode="External"/><Relationship Id="rId111" Type="http://schemas.openxmlformats.org/officeDocument/2006/relationships/hyperlink" Target="https://www.itu.int/md/S18-CL-INF-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8-CL-C-0087/en" TargetMode="External"/><Relationship Id="rId23" Type="http://schemas.openxmlformats.org/officeDocument/2006/relationships/hyperlink" Target="https://www.itu.int/md/S18-CL-C-0033/en" TargetMode="External"/><Relationship Id="rId28" Type="http://schemas.openxmlformats.org/officeDocument/2006/relationships/hyperlink" Target="https://www.itu.int/md/S18-CL-C-0012/en" TargetMode="External"/><Relationship Id="rId36" Type="http://schemas.openxmlformats.org/officeDocument/2006/relationships/hyperlink" Target="https://www.itu.int/md/S18-CL-C-0006/en" TargetMode="External"/><Relationship Id="rId49" Type="http://schemas.openxmlformats.org/officeDocument/2006/relationships/hyperlink" Target="https://www.itu.int/md/S18-CL-C-0005/en" TargetMode="External"/><Relationship Id="rId57" Type="http://schemas.openxmlformats.org/officeDocument/2006/relationships/hyperlink" Target="https://www.itu.int/md/S18-CL-C-0077" TargetMode="External"/><Relationship Id="rId106" Type="http://schemas.openxmlformats.org/officeDocument/2006/relationships/hyperlink" Target="https://www.itu.int/md/S18-CL-INF-0001" TargetMode="External"/><Relationship Id="rId114" Type="http://schemas.openxmlformats.org/officeDocument/2006/relationships/hyperlink" Target="https://www.itu.int/md/S18-CL-INF-0010/en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itu.int/md/S18-CL-C-0070/en" TargetMode="External"/><Relationship Id="rId31" Type="http://schemas.openxmlformats.org/officeDocument/2006/relationships/hyperlink" Target="https://www.itu.int/md/S18-CL-C-0079/en" TargetMode="External"/><Relationship Id="rId44" Type="http://schemas.openxmlformats.org/officeDocument/2006/relationships/hyperlink" Target="https://www.itu.int/md/S18-CL-C-0019/en" TargetMode="External"/><Relationship Id="rId52" Type="http://schemas.openxmlformats.org/officeDocument/2006/relationships/hyperlink" Target="https://www.itu.int/md/S18-CL-C-0002/en" TargetMode="External"/><Relationship Id="rId60" Type="http://schemas.openxmlformats.org/officeDocument/2006/relationships/hyperlink" Target="https://www.itu.int/md/S18-CL-C-0085" TargetMode="External"/><Relationship Id="rId65" Type="http://schemas.openxmlformats.org/officeDocument/2006/relationships/hyperlink" Target="https://www.itu.int/md/S18-CL-C-0009" TargetMode="External"/><Relationship Id="rId73" Type="http://schemas.openxmlformats.org/officeDocument/2006/relationships/hyperlink" Target="https://www.itu.int/md/S18-CL-C-0057" TargetMode="External"/><Relationship Id="rId78" Type="http://schemas.openxmlformats.org/officeDocument/2006/relationships/hyperlink" Target="https://www.itu.int/md/S18-CL-C-0060" TargetMode="External"/><Relationship Id="rId81" Type="http://schemas.openxmlformats.org/officeDocument/2006/relationships/hyperlink" Target="https://www.itu.int/md/S18-CL-C-0073/en" TargetMode="External"/><Relationship Id="rId86" Type="http://schemas.openxmlformats.org/officeDocument/2006/relationships/hyperlink" Target="https://www.itu.int/md/S18-CL-C-0023" TargetMode="External"/><Relationship Id="rId94" Type="http://schemas.openxmlformats.org/officeDocument/2006/relationships/hyperlink" Target="https://www.itu.int/md/S18-CL-C-0049" TargetMode="External"/><Relationship Id="rId99" Type="http://schemas.openxmlformats.org/officeDocument/2006/relationships/hyperlink" Target="https://www.itu.int/md/S18-CL-C-0066" TargetMode="External"/><Relationship Id="rId101" Type="http://schemas.openxmlformats.org/officeDocument/2006/relationships/hyperlink" Target="https://www.itu.int/md/S18-CL-C-0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08/en" TargetMode="External"/><Relationship Id="rId13" Type="http://schemas.openxmlformats.org/officeDocument/2006/relationships/hyperlink" Target="https://www.itu.int/md/S18-CL-C-0082/en" TargetMode="External"/><Relationship Id="rId18" Type="http://schemas.openxmlformats.org/officeDocument/2006/relationships/hyperlink" Target="https://www.itu.int/md/S18-CL-C-0097/en" TargetMode="External"/><Relationship Id="rId39" Type="http://schemas.openxmlformats.org/officeDocument/2006/relationships/hyperlink" Target="https://www.itu.int/md/S18-CL-C-0028/en" TargetMode="External"/><Relationship Id="rId109" Type="http://schemas.openxmlformats.org/officeDocument/2006/relationships/hyperlink" Target="https://www.itu.int/md/S18-CL-INF-0002" TargetMode="External"/><Relationship Id="rId34" Type="http://schemas.openxmlformats.org/officeDocument/2006/relationships/hyperlink" Target="https://www.itu.int/md/S18-CL-C-0056/en" TargetMode="External"/><Relationship Id="rId50" Type="http://schemas.openxmlformats.org/officeDocument/2006/relationships/hyperlink" Target="https://www.itu.int/md/S18-CL-C-0095/en" TargetMode="External"/><Relationship Id="rId55" Type="http://schemas.openxmlformats.org/officeDocument/2006/relationships/hyperlink" Target="https://www.itu.int/md/S18-CL-C-0035" TargetMode="External"/><Relationship Id="rId76" Type="http://schemas.openxmlformats.org/officeDocument/2006/relationships/hyperlink" Target="https://www.itu.int/md/S18-CL-C-0058" TargetMode="External"/><Relationship Id="rId97" Type="http://schemas.openxmlformats.org/officeDocument/2006/relationships/hyperlink" Target="https://www.itu.int/md/S18-CL-C-0080" TargetMode="External"/><Relationship Id="rId104" Type="http://schemas.openxmlformats.org/officeDocument/2006/relationships/hyperlink" Target="https://www.itu.int/md/S18-CL-C-0072/en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CL-C-0090" TargetMode="External"/><Relationship Id="rId92" Type="http://schemas.openxmlformats.org/officeDocument/2006/relationships/hyperlink" Target="https://www.itu.int/md/S18-CL-C-00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CL-C-001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AAC2-4CB7-4494-B0AB-7F91A20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0</TotalTime>
  <Pages>6</Pages>
  <Words>1459</Words>
  <Characters>14230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2018 Session</vt:lpstr>
    </vt:vector>
  </TitlesOfParts>
  <Manager>General Secretariat - Pool</Manager>
  <Company>International Telecommunication Union (ITU)</Company>
  <LinksUpToDate>false</LinksUpToDate>
  <CharactersWithSpaces>15658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2018 Session</dc:title>
  <dc:subject>Council 2018</dc:subject>
  <dc:creator>Brouard, Ricarda</dc:creator>
  <cp:keywords>C2018, C18</cp:keywords>
  <dc:description/>
  <cp:lastModifiedBy>Janin</cp:lastModifiedBy>
  <cp:revision>3</cp:revision>
  <cp:lastPrinted>2018-04-11T11:37:00Z</cp:lastPrinted>
  <dcterms:created xsi:type="dcterms:W3CDTF">2018-04-17T16:13:00Z</dcterms:created>
  <dcterms:modified xsi:type="dcterms:W3CDTF">2018-04-17T16:13:00Z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