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8047BE">
            <w:pPr>
              <w:tabs>
                <w:tab w:val="left" w:pos="851"/>
              </w:tabs>
              <w:spacing w:before="0" w:line="240" w:lineRule="atLeast"/>
              <w:rPr>
                <w:b/>
              </w:rPr>
            </w:pPr>
            <w:bookmarkStart w:id="2" w:name="dmeeting" w:colFirst="0" w:colLast="0"/>
            <w:bookmarkStart w:id="3" w:name="dnum" w:colFirst="1" w:colLast="1"/>
            <w:r>
              <w:rPr>
                <w:b/>
              </w:rPr>
              <w:t xml:space="preserve">Agenda item: PL </w:t>
            </w:r>
            <w:r w:rsidR="008047BE">
              <w:rPr>
                <w:b/>
              </w:rPr>
              <w:t>1.10</w:t>
            </w:r>
            <w:bookmarkStart w:id="4" w:name="_GoBack"/>
            <w:bookmarkEnd w:id="4"/>
          </w:p>
        </w:tc>
        <w:tc>
          <w:tcPr>
            <w:tcW w:w="3120" w:type="dxa"/>
          </w:tcPr>
          <w:p w:rsidR="002A2188" w:rsidRPr="00E85629" w:rsidRDefault="002A2188" w:rsidP="008047BE">
            <w:pPr>
              <w:tabs>
                <w:tab w:val="left" w:pos="851"/>
              </w:tabs>
              <w:spacing w:before="0" w:line="240" w:lineRule="atLeast"/>
              <w:rPr>
                <w:b/>
              </w:rPr>
            </w:pPr>
            <w:r>
              <w:rPr>
                <w:b/>
              </w:rPr>
              <w:t>Document C1</w:t>
            </w:r>
            <w:r w:rsidR="00623AE3">
              <w:rPr>
                <w:b/>
              </w:rPr>
              <w:t>8</w:t>
            </w:r>
            <w:r>
              <w:rPr>
                <w:b/>
              </w:rPr>
              <w:t>/</w:t>
            </w:r>
            <w:r w:rsidR="008047BE">
              <w:rPr>
                <w:b/>
              </w:rPr>
              <w:t>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2"/>
            <w:bookmarkEnd w:id="3"/>
          </w:p>
        </w:tc>
        <w:tc>
          <w:tcPr>
            <w:tcW w:w="3120" w:type="dxa"/>
          </w:tcPr>
          <w:p w:rsidR="002A2188" w:rsidRPr="00E85629" w:rsidRDefault="000C55F1" w:rsidP="000C55F1">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7" w:name="dsource" w:colFirst="0" w:colLast="0"/>
            <w:bookmarkEnd w:id="6"/>
            <w:r w:rsidRPr="00D04E39">
              <w:t>Report by the Secretary-General</w:t>
            </w:r>
          </w:p>
        </w:tc>
      </w:tr>
      <w:tr w:rsidR="002A2188" w:rsidRPr="00813E5E" w:rsidTr="00464B6C">
        <w:trPr>
          <w:cantSplit/>
        </w:trPr>
        <w:tc>
          <w:tcPr>
            <w:tcW w:w="10031" w:type="dxa"/>
            <w:gridSpan w:val="2"/>
          </w:tcPr>
          <w:p w:rsidR="002A2188" w:rsidRPr="00813E5E" w:rsidRDefault="00F52905" w:rsidP="00464B6C">
            <w:pPr>
              <w:pStyle w:val="Title1"/>
            </w:pPr>
            <w:bookmarkStart w:id="8" w:name="dtitle1" w:colFirst="0" w:colLast="0"/>
            <w:bookmarkEnd w:id="7"/>
            <w:r w:rsidRPr="00F52905">
              <w:t>ITU’S ACTIVITIES RELATED TO RESOLUTION 70 (REV. BUSAN, 2014)</w:t>
            </w:r>
          </w:p>
        </w:tc>
      </w:tr>
      <w:bookmarkEnd w:id="8"/>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F52905" w:rsidP="008047BE">
            <w:r w:rsidRPr="00F52905">
              <w:t>This document summarizes ITU’s activities in the implementation of Resolution</w:t>
            </w:r>
            <w:r w:rsidR="008047BE">
              <w:t> </w:t>
            </w:r>
            <w:r w:rsidRPr="00F52905">
              <w:t>70 (Rev. Busan, 2014) during 2017.</w:t>
            </w:r>
          </w:p>
          <w:p w:rsidR="002A2188" w:rsidRPr="00813E5E" w:rsidRDefault="002A2188" w:rsidP="00464B6C">
            <w:pPr>
              <w:pStyle w:val="Headingb"/>
            </w:pPr>
            <w:r w:rsidRPr="00813E5E">
              <w:t>Action required</w:t>
            </w:r>
          </w:p>
          <w:p w:rsidR="002A2188" w:rsidRPr="00813E5E" w:rsidRDefault="00F52905" w:rsidP="00D04E39">
            <w:pPr>
              <w:spacing w:after="120"/>
            </w:pPr>
            <w:r w:rsidRPr="00F52905">
              <w:t xml:space="preserve">The Council is invited </w:t>
            </w:r>
            <w:r w:rsidRPr="008047BE">
              <w:rPr>
                <w:b/>
                <w:bCs/>
              </w:rPr>
              <w:t>to note</w:t>
            </w:r>
            <w:r w:rsidRPr="00F52905">
              <w:t xml:space="preserve"> the report.</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F52905" w:rsidP="004B57DE">
            <w:pPr>
              <w:spacing w:after="120"/>
              <w:rPr>
                <w:i/>
                <w:iCs/>
              </w:rPr>
            </w:pPr>
            <w:r w:rsidRPr="004317A9">
              <w:rPr>
                <w:i/>
                <w:iCs/>
              </w:rPr>
              <w:t xml:space="preserve">PP </w:t>
            </w:r>
            <w:hyperlink r:id="rId9" w:history="1">
              <w:r w:rsidRPr="004317A9">
                <w:rPr>
                  <w:rStyle w:val="Hyperlink"/>
                  <w:i/>
                  <w:iCs/>
                </w:rPr>
                <w:t>Resolution 70 (Rev.</w:t>
              </w:r>
              <w:r>
                <w:rPr>
                  <w:rStyle w:val="Hyperlink"/>
                  <w:i/>
                  <w:iCs/>
                </w:rPr>
                <w:t> </w:t>
              </w:r>
              <w:r w:rsidRPr="004317A9">
                <w:rPr>
                  <w:rStyle w:val="Hyperlink"/>
                  <w:i/>
                  <w:iCs/>
                </w:rPr>
                <w:t>Busan, 2014)</w:t>
              </w:r>
            </w:hyperlink>
            <w:r w:rsidRPr="004317A9">
              <w:rPr>
                <w:i/>
                <w:iCs/>
              </w:rPr>
              <w:t xml:space="preserve">; Council documents </w:t>
            </w:r>
            <w:hyperlink r:id="rId10" w:history="1">
              <w:r w:rsidRPr="004317A9">
                <w:rPr>
                  <w:rStyle w:val="Hyperlink"/>
                  <w:i/>
                  <w:iCs/>
                </w:rPr>
                <w:t>C13/INF/11</w:t>
              </w:r>
            </w:hyperlink>
            <w:r w:rsidRPr="004317A9">
              <w:rPr>
                <w:i/>
                <w:iCs/>
              </w:rPr>
              <w:t xml:space="preserve">, </w:t>
            </w:r>
            <w:hyperlink r:id="rId11" w:history="1">
              <w:r w:rsidRPr="004317A9">
                <w:rPr>
                  <w:rStyle w:val="Hyperlink"/>
                  <w:i/>
                  <w:iCs/>
                </w:rPr>
                <w:t>C13/39</w:t>
              </w:r>
            </w:hyperlink>
            <w:r w:rsidRPr="004317A9">
              <w:rPr>
                <w:i/>
                <w:iCs/>
              </w:rPr>
              <w:t xml:space="preserve">, </w:t>
            </w:r>
            <w:hyperlink r:id="rId12" w:history="1">
              <w:r w:rsidRPr="004317A9">
                <w:rPr>
                  <w:rStyle w:val="Hyperlink"/>
                  <w:i/>
                  <w:iCs/>
                </w:rPr>
                <w:t>C14/6</w:t>
              </w:r>
            </w:hyperlink>
            <w:r w:rsidRPr="00EE1126">
              <w:rPr>
                <w:rStyle w:val="Hyperlink"/>
                <w:i/>
                <w:iCs/>
              </w:rPr>
              <w:t xml:space="preserve">, </w:t>
            </w:r>
            <w:hyperlink r:id="rId13" w:history="1">
              <w:r w:rsidRPr="004317A9">
                <w:rPr>
                  <w:rStyle w:val="Hyperlink"/>
                  <w:i/>
                  <w:iCs/>
                </w:rPr>
                <w:t>C15/6</w:t>
              </w:r>
            </w:hyperlink>
            <w:r>
              <w:t xml:space="preserve">, </w:t>
            </w:r>
            <w:hyperlink r:id="rId14" w:history="1">
              <w:r w:rsidRPr="00EE1126">
                <w:rPr>
                  <w:rStyle w:val="Hyperlink"/>
                  <w:i/>
                  <w:iCs/>
                </w:rPr>
                <w:t>C16/6</w:t>
              </w:r>
            </w:hyperlink>
            <w:r w:rsidRPr="00EE1126">
              <w:t>,</w:t>
            </w:r>
            <w:r w:rsidRPr="003206FF">
              <w:rPr>
                <w:rStyle w:val="Hyperlink"/>
                <w:i/>
                <w:iCs/>
              </w:rPr>
              <w:t xml:space="preserve"> </w:t>
            </w:r>
            <w:hyperlink r:id="rId15" w:history="1">
              <w:r w:rsidRPr="008047BE">
                <w:rPr>
                  <w:rStyle w:val="Hyperlink"/>
                  <w:i/>
                  <w:iCs/>
                </w:rPr>
                <w:t>C17/6</w:t>
              </w:r>
            </w:hyperlink>
            <w:r w:rsidRPr="008047BE">
              <w:rPr>
                <w:rStyle w:val="Hyperlink"/>
                <w:i/>
                <w:iCs/>
                <w:u w:val="none"/>
              </w:rPr>
              <w:t xml:space="preserve">, </w:t>
            </w:r>
            <w:hyperlink r:id="rId16" w:history="1">
              <w:r w:rsidR="008047BE" w:rsidRPr="004B57DE">
                <w:rPr>
                  <w:rStyle w:val="Hyperlink"/>
                  <w:i/>
                  <w:iCs/>
                </w:rPr>
                <w:t>C18/</w:t>
              </w:r>
              <w:r w:rsidR="004B57DE" w:rsidRPr="004B57DE">
                <w:rPr>
                  <w:rStyle w:val="Hyperlink"/>
                  <w:i/>
                  <w:iCs/>
                </w:rPr>
                <w:t>13</w:t>
              </w:r>
            </w:hyperlink>
            <w:r w:rsidRPr="008047BE">
              <w:rPr>
                <w:rStyle w:val="Hyperlink"/>
                <w:i/>
                <w:iCs/>
                <w:u w:val="none"/>
              </w:rPr>
              <w:t>,</w:t>
            </w:r>
            <w:r w:rsidRPr="008047BE">
              <w:rPr>
                <w:rStyle w:val="Hyperlink"/>
                <w:i/>
                <w:iCs/>
              </w:rPr>
              <w:t xml:space="preserve"> </w:t>
            </w:r>
            <w:hyperlink r:id="rId17" w:history="1">
              <w:r w:rsidRPr="008047BE">
                <w:rPr>
                  <w:rStyle w:val="Hyperlink"/>
                  <w:i/>
                  <w:iCs/>
                </w:rPr>
                <w:t>C18/INF/3</w:t>
              </w:r>
            </w:hyperlink>
            <w:r w:rsidRPr="008047BE">
              <w:rPr>
                <w:rStyle w:val="Hyperlink"/>
                <w:i/>
                <w:iCs/>
                <w:u w:val="none"/>
              </w:rPr>
              <w:t>.</w:t>
            </w:r>
          </w:p>
        </w:tc>
      </w:tr>
    </w:tbl>
    <w:p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rPr>
          <w:caps/>
          <w:sz w:val="24"/>
          <w:szCs w:val="24"/>
        </w:rPr>
      </w:pPr>
      <w:bookmarkStart w:id="9" w:name="dstart"/>
      <w:bookmarkStart w:id="10" w:name="dbreak"/>
      <w:bookmarkEnd w:id="9"/>
      <w:bookmarkEnd w:id="10"/>
      <w:r w:rsidRPr="00EE1126">
        <w:rPr>
          <w:sz w:val="24"/>
          <w:szCs w:val="24"/>
        </w:rPr>
        <w:t>1</w:t>
      </w:r>
      <w:r w:rsidRPr="00EE1126">
        <w:rPr>
          <w:sz w:val="24"/>
          <w:szCs w:val="24"/>
        </w:rPr>
        <w:tab/>
        <w:t>Introduction</w:t>
      </w:r>
    </w:p>
    <w:p w:rsidR="008047BE" w:rsidRPr="00EE1126" w:rsidRDefault="008047BE" w:rsidP="00C77A5F">
      <w:pPr>
        <w:tabs>
          <w:tab w:val="clear" w:pos="567"/>
          <w:tab w:val="clear" w:pos="1134"/>
          <w:tab w:val="clear" w:pos="1701"/>
          <w:tab w:val="clear" w:pos="2268"/>
          <w:tab w:val="clear" w:pos="2835"/>
        </w:tabs>
        <w:snapToGrid w:val="0"/>
        <w:spacing w:after="120"/>
        <w:jc w:val="both"/>
        <w:rPr>
          <w:rFonts w:cstheme="minorHAnsi"/>
          <w:szCs w:val="24"/>
        </w:rPr>
      </w:pPr>
      <w:r w:rsidRPr="00EE1126">
        <w:rPr>
          <w:rFonts w:cstheme="minorHAnsi"/>
          <w:szCs w:val="24"/>
        </w:rPr>
        <w:t>Resolution 70 (Rev. Busan, 2014) highlights the role of ICTs to advance gender equality and women</w:t>
      </w:r>
      <w:r>
        <w:rPr>
          <w:rFonts w:cstheme="minorHAnsi"/>
          <w:szCs w:val="24"/>
        </w:rPr>
        <w:t>’</w:t>
      </w:r>
      <w:r w:rsidRPr="00EE1126">
        <w:rPr>
          <w:rFonts w:cstheme="minorHAnsi"/>
          <w:szCs w:val="24"/>
        </w:rPr>
        <w:t xml:space="preserve">s empowerment in many ways, notably by encouraging girls to choose a career in the field of information and communication technologies (ICTs), and by fostering the use of ICTs for the social and economic empowerment of women and girls. The resolution also instructs the Council to continue initiatives to accelerate the gender mainstreaming process in ITU. This document provides a review of relevant activities and developments over that past year. </w:t>
      </w:r>
      <w:r w:rsidRPr="00EE1126">
        <w:rPr>
          <w:rFonts w:eastAsia="SimSun"/>
          <w:szCs w:val="24"/>
        </w:rPr>
        <w:t xml:space="preserve">Further information related to gender and ICTs can be found on </w:t>
      </w:r>
      <w:hyperlink r:id="rId18" w:history="1">
        <w:r>
          <w:rPr>
            <w:rStyle w:val="Hyperlink"/>
            <w:rFonts w:eastAsia="SimSun"/>
            <w:szCs w:val="24"/>
          </w:rPr>
          <w:t>ITU’s gender webpage</w:t>
        </w:r>
      </w:hyperlink>
      <w:r w:rsidRPr="00EE1126">
        <w:rPr>
          <w:rFonts w:eastAsia="SimSun"/>
          <w:szCs w:val="24"/>
        </w:rPr>
        <w:t>.</w:t>
      </w:r>
    </w:p>
    <w:p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rPr>
          <w:rFonts w:eastAsia="SimSun"/>
          <w:sz w:val="24"/>
          <w:szCs w:val="24"/>
        </w:rPr>
      </w:pPr>
      <w:r w:rsidRPr="00EE1126">
        <w:rPr>
          <w:sz w:val="24"/>
          <w:szCs w:val="24"/>
        </w:rPr>
        <w:t>2</w:t>
      </w:r>
      <w:r w:rsidRPr="00EE1126">
        <w:rPr>
          <w:sz w:val="24"/>
          <w:szCs w:val="24"/>
        </w:rPr>
        <w:tab/>
        <w:t>Data Gathering and Tracking</w:t>
      </w:r>
    </w:p>
    <w:p w:rsidR="008047BE" w:rsidRPr="00EE1126" w:rsidRDefault="008047BE" w:rsidP="0002412B">
      <w:pPr>
        <w:tabs>
          <w:tab w:val="clear" w:pos="567"/>
          <w:tab w:val="clear" w:pos="1134"/>
          <w:tab w:val="clear" w:pos="1701"/>
          <w:tab w:val="clear" w:pos="2268"/>
          <w:tab w:val="clear" w:pos="2835"/>
        </w:tabs>
        <w:snapToGrid w:val="0"/>
        <w:spacing w:after="120"/>
        <w:jc w:val="both"/>
        <w:rPr>
          <w:bCs/>
          <w:szCs w:val="24"/>
        </w:rPr>
      </w:pPr>
      <w:r w:rsidRPr="00EE1126">
        <w:rPr>
          <w:bCs/>
          <w:szCs w:val="24"/>
        </w:rPr>
        <w:t xml:space="preserve">ITU regularly collects and disseminates ICT indicators </w:t>
      </w:r>
      <w:r w:rsidRPr="00EE1126">
        <w:rPr>
          <w:rFonts w:eastAsia="SimSun"/>
          <w:szCs w:val="24"/>
        </w:rPr>
        <w:t xml:space="preserve">related to individuals accessing and using ICTs. These indicators can </w:t>
      </w:r>
      <w:r w:rsidR="00FE61D1">
        <w:rPr>
          <w:bCs/>
          <w:szCs w:val="24"/>
        </w:rPr>
        <w:t xml:space="preserve">be </w:t>
      </w:r>
      <w:r w:rsidRPr="00EE1126">
        <w:rPr>
          <w:rFonts w:eastAsia="SimSun"/>
          <w:szCs w:val="24"/>
        </w:rPr>
        <w:t xml:space="preserve">disaggregated by </w:t>
      </w:r>
      <w:r w:rsidR="00FE61D1">
        <w:rPr>
          <w:rFonts w:eastAsia="SimSun"/>
          <w:szCs w:val="24"/>
        </w:rPr>
        <w:t xml:space="preserve">gender, </w:t>
      </w:r>
      <w:r w:rsidRPr="00EE1126">
        <w:rPr>
          <w:rFonts w:eastAsia="SimSun"/>
          <w:szCs w:val="24"/>
        </w:rPr>
        <w:t>age, education, labour force status</w:t>
      </w:r>
      <w:r>
        <w:rPr>
          <w:rFonts w:eastAsia="SimSun"/>
          <w:szCs w:val="24"/>
        </w:rPr>
        <w:t>,</w:t>
      </w:r>
      <w:r w:rsidRPr="00EE1126">
        <w:rPr>
          <w:rFonts w:eastAsia="SimSun"/>
          <w:szCs w:val="24"/>
        </w:rPr>
        <w:t xml:space="preserve"> and occupation. This information feeds analysis and provides solid evidence of women</w:t>
      </w:r>
      <w:r>
        <w:rPr>
          <w:rFonts w:eastAsia="SimSun"/>
          <w:szCs w:val="24"/>
        </w:rPr>
        <w:t>’</w:t>
      </w:r>
      <w:r w:rsidRPr="00EE1126">
        <w:rPr>
          <w:rFonts w:eastAsia="SimSun"/>
          <w:szCs w:val="24"/>
        </w:rPr>
        <w:t xml:space="preserve">s participation in the information society. </w:t>
      </w:r>
      <w:r w:rsidRPr="00EE1126">
        <w:rPr>
          <w:bCs/>
          <w:szCs w:val="24"/>
        </w:rPr>
        <w:t xml:space="preserve">ITU monitors and tracks </w:t>
      </w:r>
      <w:r>
        <w:rPr>
          <w:bCs/>
          <w:szCs w:val="24"/>
        </w:rPr>
        <w:t>three</w:t>
      </w:r>
      <w:r w:rsidRPr="00EE1126">
        <w:rPr>
          <w:bCs/>
          <w:szCs w:val="24"/>
        </w:rPr>
        <w:t xml:space="preserve"> gender-related indicators that </w:t>
      </w:r>
      <w:r>
        <w:rPr>
          <w:bCs/>
          <w:szCs w:val="24"/>
        </w:rPr>
        <w:t>are</w:t>
      </w:r>
      <w:r w:rsidRPr="00EE1126">
        <w:rPr>
          <w:bCs/>
          <w:szCs w:val="24"/>
        </w:rPr>
        <w:t xml:space="preserve"> included in the SDG Indicators Monitoring Framework</w:t>
      </w:r>
      <w:r>
        <w:rPr>
          <w:bCs/>
          <w:szCs w:val="24"/>
        </w:rPr>
        <w:t xml:space="preserve">: (1) </w:t>
      </w:r>
      <w:r w:rsidR="00394DFF">
        <w:rPr>
          <w:bCs/>
          <w:szCs w:val="24"/>
        </w:rPr>
        <w:t>“</w:t>
      </w:r>
      <w:r w:rsidRPr="00EE1126">
        <w:rPr>
          <w:bCs/>
          <w:i/>
          <w:iCs/>
          <w:szCs w:val="24"/>
        </w:rPr>
        <w:t>proportion of individuals who own a mobile telephone, by sex</w:t>
      </w:r>
      <w:r w:rsidR="00394DFF">
        <w:rPr>
          <w:bCs/>
          <w:szCs w:val="24"/>
        </w:rPr>
        <w:t>”</w:t>
      </w:r>
      <w:r w:rsidRPr="00EE1126">
        <w:rPr>
          <w:bCs/>
          <w:szCs w:val="24"/>
        </w:rPr>
        <w:t xml:space="preserve"> </w:t>
      </w:r>
      <w:r>
        <w:rPr>
          <w:bCs/>
          <w:szCs w:val="24"/>
        </w:rPr>
        <w:t xml:space="preserve">(which is </w:t>
      </w:r>
      <w:r w:rsidRPr="00EE1126">
        <w:rPr>
          <w:bCs/>
          <w:szCs w:val="24"/>
        </w:rPr>
        <w:t>one of the gender-related</w:t>
      </w:r>
      <w:r>
        <w:rPr>
          <w:bCs/>
          <w:szCs w:val="24"/>
        </w:rPr>
        <w:t xml:space="preserve"> indicators), (2) </w:t>
      </w:r>
      <w:r w:rsidR="00394DFF">
        <w:rPr>
          <w:bCs/>
          <w:szCs w:val="24"/>
        </w:rPr>
        <w:t>“</w:t>
      </w:r>
      <w:r w:rsidRPr="006758B9">
        <w:rPr>
          <w:bCs/>
          <w:i/>
          <w:iCs/>
          <w:szCs w:val="24"/>
        </w:rPr>
        <w:t>proportion of individuals using the Internet, by sex</w:t>
      </w:r>
      <w:r w:rsidR="00394DFF">
        <w:rPr>
          <w:bCs/>
          <w:szCs w:val="24"/>
        </w:rPr>
        <w:t>”</w:t>
      </w:r>
      <w:r>
        <w:rPr>
          <w:bCs/>
          <w:szCs w:val="24"/>
        </w:rPr>
        <w:t xml:space="preserve">, and (3) </w:t>
      </w:r>
      <w:r w:rsidR="00394DFF">
        <w:rPr>
          <w:bCs/>
          <w:szCs w:val="24"/>
        </w:rPr>
        <w:t>“</w:t>
      </w:r>
      <w:r w:rsidRPr="006758B9">
        <w:rPr>
          <w:bCs/>
          <w:i/>
          <w:iCs/>
          <w:szCs w:val="24"/>
        </w:rPr>
        <w:t>proportion of individuals with ICT skills, by sex</w:t>
      </w:r>
      <w:r w:rsidR="00394DFF">
        <w:rPr>
          <w:bCs/>
          <w:szCs w:val="24"/>
        </w:rPr>
        <w:t>”</w:t>
      </w:r>
      <w:r w:rsidRPr="00EE1126">
        <w:rPr>
          <w:bCs/>
          <w:szCs w:val="24"/>
        </w:rPr>
        <w:t xml:space="preserve">. </w:t>
      </w:r>
    </w:p>
    <w:p w:rsidR="008047BE" w:rsidRPr="00EE1126" w:rsidRDefault="008047BE" w:rsidP="00700045">
      <w:pPr>
        <w:tabs>
          <w:tab w:val="clear" w:pos="567"/>
          <w:tab w:val="clear" w:pos="1134"/>
          <w:tab w:val="clear" w:pos="1701"/>
          <w:tab w:val="clear" w:pos="2268"/>
          <w:tab w:val="clear" w:pos="2835"/>
        </w:tabs>
        <w:snapToGrid w:val="0"/>
        <w:spacing w:after="120"/>
        <w:jc w:val="both"/>
        <w:rPr>
          <w:rFonts w:eastAsia="SimSun"/>
          <w:szCs w:val="24"/>
        </w:rPr>
      </w:pPr>
      <w:r>
        <w:rPr>
          <w:szCs w:val="24"/>
        </w:rPr>
        <w:lastRenderedPageBreak/>
        <w:t xml:space="preserve">ITU’s </w:t>
      </w:r>
      <w:hyperlink r:id="rId19" w:history="1">
        <w:r w:rsidRPr="00EE1126">
          <w:rPr>
            <w:rStyle w:val="Hyperlink"/>
            <w:szCs w:val="24"/>
          </w:rPr>
          <w:t xml:space="preserve">Gender </w:t>
        </w:r>
        <w:r>
          <w:rPr>
            <w:rStyle w:val="Hyperlink"/>
            <w:szCs w:val="24"/>
          </w:rPr>
          <w:t>D</w:t>
        </w:r>
        <w:r w:rsidRPr="00EE1126">
          <w:rPr>
            <w:rStyle w:val="Hyperlink"/>
            <w:szCs w:val="24"/>
          </w:rPr>
          <w:t>ashboard</w:t>
        </w:r>
      </w:hyperlink>
      <w:r w:rsidRPr="00EE1126">
        <w:rPr>
          <w:szCs w:val="24"/>
        </w:rPr>
        <w:t xml:space="preserve"> provides a visual overview of gender</w:t>
      </w:r>
      <w:r>
        <w:rPr>
          <w:szCs w:val="24"/>
        </w:rPr>
        <w:t xml:space="preserve"> within ITU, </w:t>
      </w:r>
      <w:r w:rsidR="0020315E">
        <w:rPr>
          <w:szCs w:val="24"/>
        </w:rPr>
        <w:t xml:space="preserve">including statutory committees, as well as </w:t>
      </w:r>
      <w:r w:rsidRPr="00EE1126">
        <w:rPr>
          <w:szCs w:val="24"/>
        </w:rPr>
        <w:t>in ITU meetings and events</w:t>
      </w:r>
      <w:r w:rsidR="00D714F1">
        <w:rPr>
          <w:rFonts w:eastAsia="SimSun"/>
          <w:szCs w:val="24"/>
        </w:rPr>
        <w:t>.</w:t>
      </w:r>
      <w:r w:rsidRPr="00EE1126">
        <w:rPr>
          <w:rFonts w:eastAsia="SimSun"/>
          <w:szCs w:val="24"/>
        </w:rPr>
        <w:t xml:space="preserve"> </w:t>
      </w:r>
      <w:r w:rsidR="0020315E">
        <w:rPr>
          <w:rFonts w:eastAsia="SimSun"/>
          <w:szCs w:val="24"/>
        </w:rPr>
        <w:t>G</w:t>
      </w:r>
      <w:r w:rsidRPr="005E7B9D">
        <w:rPr>
          <w:rFonts w:eastAsia="SimSun"/>
          <w:szCs w:val="24"/>
        </w:rPr>
        <w:t>ender balance within the recruitment and selection process, the overall staff composition and promotions</w:t>
      </w:r>
      <w:r w:rsidR="0020315E">
        <w:rPr>
          <w:rFonts w:eastAsia="SimSun"/>
          <w:szCs w:val="24"/>
        </w:rPr>
        <w:t xml:space="preserve"> are monitored and </w:t>
      </w:r>
      <w:r w:rsidRPr="005E7B9D">
        <w:rPr>
          <w:rFonts w:eastAsia="SimSun"/>
          <w:szCs w:val="24"/>
        </w:rPr>
        <w:t xml:space="preserve">viewable on the last tab of the </w:t>
      </w:r>
      <w:hyperlink r:id="rId20" w:history="1">
        <w:r>
          <w:rPr>
            <w:rStyle w:val="Hyperlink"/>
            <w:rFonts w:eastAsia="SimSun"/>
            <w:szCs w:val="24"/>
          </w:rPr>
          <w:t>g</w:t>
        </w:r>
        <w:r w:rsidRPr="00AA2228">
          <w:rPr>
            <w:rStyle w:val="Hyperlink"/>
            <w:rFonts w:eastAsia="SimSun"/>
            <w:szCs w:val="24"/>
          </w:rPr>
          <w:t>ender dashboard</w:t>
        </w:r>
      </w:hyperlink>
      <w:r>
        <w:rPr>
          <w:rFonts w:eastAsia="SimSun"/>
          <w:szCs w:val="24"/>
        </w:rPr>
        <w:t xml:space="preserve">, with further </w:t>
      </w:r>
      <w:r w:rsidRPr="00302FC3">
        <w:rPr>
          <w:rFonts w:eastAsia="SimSun"/>
          <w:szCs w:val="24"/>
        </w:rPr>
        <w:t>detail in the Report to Council on Resolution 48</w:t>
      </w:r>
      <w:r w:rsidRPr="00D35101">
        <w:rPr>
          <w:rFonts w:eastAsia="SimSun"/>
          <w:szCs w:val="24"/>
        </w:rPr>
        <w:t xml:space="preserve">. </w:t>
      </w:r>
      <w:r w:rsidR="0020315E">
        <w:rPr>
          <w:rFonts w:eastAsia="SimSun"/>
          <w:szCs w:val="24"/>
        </w:rPr>
        <w:t>W</w:t>
      </w:r>
      <w:r w:rsidRPr="00D35101">
        <w:rPr>
          <w:rFonts w:eastAsia="SimSun"/>
          <w:szCs w:val="24"/>
        </w:rPr>
        <w:t>omen in the Professional and higher categories remained stable</w:t>
      </w:r>
      <w:r w:rsidR="0020315E">
        <w:rPr>
          <w:rFonts w:eastAsia="SimSun"/>
          <w:szCs w:val="24"/>
        </w:rPr>
        <w:t>, and</w:t>
      </w:r>
      <w:r w:rsidRPr="00D35101">
        <w:rPr>
          <w:rFonts w:eastAsia="SimSun"/>
          <w:szCs w:val="24"/>
        </w:rPr>
        <w:t xml:space="preserve"> the percentage of women at the P-5 to D-2 also remained stable. </w:t>
      </w:r>
      <w:r w:rsidR="00B46D06">
        <w:rPr>
          <w:rFonts w:eastAsia="SimSun"/>
          <w:szCs w:val="24"/>
        </w:rPr>
        <w:t>HR</w:t>
      </w:r>
      <w:r w:rsidR="00700045" w:rsidRPr="00700045">
        <w:rPr>
          <w:rFonts w:eastAsia="SimSun"/>
          <w:szCs w:val="24"/>
        </w:rPr>
        <w:t xml:space="preserve"> continues investing </w:t>
      </w:r>
      <w:r w:rsidR="007B5040">
        <w:rPr>
          <w:rFonts w:eastAsia="SimSun"/>
          <w:szCs w:val="24"/>
        </w:rPr>
        <w:t>i</w:t>
      </w:r>
      <w:r w:rsidR="00700045" w:rsidRPr="00700045">
        <w:rPr>
          <w:rFonts w:eastAsia="SimSun"/>
          <w:szCs w:val="24"/>
        </w:rPr>
        <w:t xml:space="preserve">n learning programmes </w:t>
      </w:r>
      <w:r w:rsidR="00700045">
        <w:rPr>
          <w:rFonts w:eastAsia="SimSun"/>
          <w:szCs w:val="24"/>
        </w:rPr>
        <w:t xml:space="preserve">such as I Know Gender, </w:t>
      </w:r>
      <w:r w:rsidR="00700045" w:rsidRPr="00700045">
        <w:rPr>
          <w:rFonts w:eastAsia="SimSun"/>
          <w:szCs w:val="24"/>
        </w:rPr>
        <w:t xml:space="preserve">to foster gender </w:t>
      </w:r>
      <w:r w:rsidR="00700045">
        <w:rPr>
          <w:rFonts w:eastAsia="SimSun"/>
          <w:szCs w:val="24"/>
        </w:rPr>
        <w:t xml:space="preserve">equality in the </w:t>
      </w:r>
      <w:r w:rsidR="00700045" w:rsidRPr="00700045">
        <w:rPr>
          <w:rFonts w:eastAsia="SimSun"/>
          <w:szCs w:val="24"/>
        </w:rPr>
        <w:t>organizational culture</w:t>
      </w:r>
      <w:r w:rsidR="00531E39" w:rsidRPr="00D35101">
        <w:rPr>
          <w:rFonts w:eastAsia="SimSun"/>
          <w:szCs w:val="24"/>
        </w:rPr>
        <w:t xml:space="preserve">. </w:t>
      </w:r>
    </w:p>
    <w:p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709" w:hanging="709"/>
        <w:jc w:val="both"/>
        <w:rPr>
          <w:rFonts w:eastAsia="SimSun"/>
          <w:sz w:val="24"/>
          <w:szCs w:val="24"/>
        </w:rPr>
      </w:pPr>
      <w:r w:rsidRPr="00EE1126">
        <w:rPr>
          <w:rFonts w:eastAsia="SimSun"/>
          <w:sz w:val="24"/>
          <w:szCs w:val="24"/>
        </w:rPr>
        <w:t>3</w:t>
      </w:r>
      <w:r w:rsidRPr="00EE1126">
        <w:rPr>
          <w:rFonts w:eastAsia="SimSun"/>
          <w:sz w:val="24"/>
          <w:szCs w:val="24"/>
        </w:rPr>
        <w:tab/>
        <w:t xml:space="preserve">Bridging the Digital Gender Divide </w:t>
      </w:r>
    </w:p>
    <w:p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Pr>
          <w:szCs w:val="24"/>
        </w:rPr>
        <w:t>3.1</w:t>
      </w:r>
      <w:r>
        <w:rPr>
          <w:szCs w:val="24"/>
        </w:rPr>
        <w:tab/>
      </w:r>
      <w:r w:rsidRPr="00EE1126">
        <w:rPr>
          <w:szCs w:val="24"/>
        </w:rPr>
        <w:t xml:space="preserve">Advancing </w:t>
      </w:r>
      <w:r>
        <w:rPr>
          <w:szCs w:val="24"/>
        </w:rPr>
        <w:t>Agenda 2030</w:t>
      </w:r>
    </w:p>
    <w:p w:rsidR="0020315E" w:rsidRDefault="008047BE" w:rsidP="001F3BAF">
      <w:pPr>
        <w:tabs>
          <w:tab w:val="clear" w:pos="567"/>
          <w:tab w:val="clear" w:pos="1134"/>
          <w:tab w:val="clear" w:pos="1701"/>
          <w:tab w:val="clear" w:pos="2268"/>
          <w:tab w:val="clear" w:pos="2835"/>
        </w:tabs>
        <w:snapToGrid w:val="0"/>
        <w:spacing w:after="120"/>
        <w:jc w:val="both"/>
        <w:rPr>
          <w:rFonts w:eastAsia="SimSun"/>
          <w:szCs w:val="24"/>
        </w:rPr>
      </w:pPr>
      <w:r w:rsidRPr="00EE1126">
        <w:rPr>
          <w:bCs/>
          <w:szCs w:val="24"/>
        </w:rPr>
        <w:t xml:space="preserve">The 2030 Agenda for Sustainable Development adopted by the UNGA in September 2015 </w:t>
      </w:r>
      <w:r w:rsidRPr="008B7833">
        <w:rPr>
          <w:bCs/>
          <w:szCs w:val="24"/>
        </w:rPr>
        <w:t xml:space="preserve">underscores in its goal 5 and target 5b the need to </w:t>
      </w:r>
      <w:r w:rsidR="00394DFF">
        <w:rPr>
          <w:bCs/>
          <w:szCs w:val="24"/>
        </w:rPr>
        <w:t>“</w:t>
      </w:r>
      <w:r w:rsidRPr="008B7833">
        <w:rPr>
          <w:bCs/>
          <w:szCs w:val="24"/>
        </w:rPr>
        <w:t>Enhance the use of enabling technology, in particular information and communications technology, to promote the em</w:t>
      </w:r>
      <w:r>
        <w:rPr>
          <w:bCs/>
          <w:szCs w:val="24"/>
        </w:rPr>
        <w:t>powerment of women</w:t>
      </w:r>
      <w:r w:rsidR="00394DFF">
        <w:rPr>
          <w:bCs/>
          <w:szCs w:val="24"/>
        </w:rPr>
        <w:t>”</w:t>
      </w:r>
      <w:r>
        <w:rPr>
          <w:bCs/>
          <w:szCs w:val="24"/>
        </w:rPr>
        <w:t>. Also the W</w:t>
      </w:r>
      <w:r w:rsidRPr="008B7833">
        <w:rPr>
          <w:bCs/>
          <w:szCs w:val="24"/>
        </w:rPr>
        <w:t>SIS Outcome recognizes that ending the gender digital divide and Achievement of the SDG 5 on gender are mutually reinforcing efforts, and commit to mainstream gender in the World Summit on the Information Society process.</w:t>
      </w:r>
      <w:r w:rsidR="004C6C96">
        <w:rPr>
          <w:rFonts w:eastAsia="SimSun"/>
          <w:szCs w:val="24"/>
        </w:rPr>
        <w:t xml:space="preserve"> </w:t>
      </w:r>
      <w:r w:rsidR="0020315E" w:rsidRPr="00E70410">
        <w:rPr>
          <w:rFonts w:eastAsia="SimSun"/>
          <w:szCs w:val="24"/>
        </w:rPr>
        <w:t>ITU participate</w:t>
      </w:r>
      <w:r w:rsidR="0020315E">
        <w:rPr>
          <w:rFonts w:eastAsia="SimSun"/>
          <w:szCs w:val="24"/>
        </w:rPr>
        <w:t>s</w:t>
      </w:r>
      <w:r w:rsidR="0020315E" w:rsidRPr="00E70410">
        <w:rPr>
          <w:rFonts w:eastAsia="SimSun"/>
          <w:szCs w:val="24"/>
        </w:rPr>
        <w:t xml:space="preserve"> in </w:t>
      </w:r>
      <w:r w:rsidR="0020315E">
        <w:rPr>
          <w:rFonts w:eastAsia="SimSun"/>
          <w:szCs w:val="24"/>
        </w:rPr>
        <w:t xml:space="preserve">various </w:t>
      </w:r>
      <w:r w:rsidR="0020315E" w:rsidRPr="00E70410">
        <w:rPr>
          <w:rFonts w:eastAsia="SimSun"/>
          <w:szCs w:val="24"/>
        </w:rPr>
        <w:t xml:space="preserve">inter-agency coordination meetings and mechanisms. </w:t>
      </w:r>
      <w:r w:rsidRPr="00AE5707">
        <w:rPr>
          <w:rFonts w:eastAsia="SimSun"/>
          <w:szCs w:val="24"/>
        </w:rPr>
        <w:t>In 2017, ITU, the Permanent Mission of</w:t>
      </w:r>
      <w:r>
        <w:rPr>
          <w:rFonts w:eastAsia="SimSun"/>
          <w:szCs w:val="24"/>
        </w:rPr>
        <w:t xml:space="preserve"> Rwanda and </w:t>
      </w:r>
      <w:proofErr w:type="spellStart"/>
      <w:r>
        <w:rPr>
          <w:rFonts w:eastAsia="SimSun"/>
          <w:szCs w:val="24"/>
        </w:rPr>
        <w:t>UNWomen</w:t>
      </w:r>
      <w:proofErr w:type="spellEnd"/>
      <w:r>
        <w:rPr>
          <w:rFonts w:eastAsia="SimSun"/>
          <w:szCs w:val="24"/>
        </w:rPr>
        <w:t xml:space="preserve"> organized a</w:t>
      </w:r>
      <w:r w:rsidRPr="00AE5707">
        <w:rPr>
          <w:rFonts w:eastAsia="SimSun"/>
          <w:szCs w:val="24"/>
        </w:rPr>
        <w:t xml:space="preserve"> joint side event entitled </w:t>
      </w:r>
      <w:r w:rsidR="00394DFF">
        <w:rPr>
          <w:rFonts w:eastAsia="SimSun"/>
          <w:szCs w:val="24"/>
        </w:rPr>
        <w:t>“</w:t>
      </w:r>
      <w:r w:rsidRPr="00AE5707">
        <w:rPr>
          <w:rFonts w:eastAsia="SimSun"/>
          <w:szCs w:val="24"/>
        </w:rPr>
        <w:t>Digital Inclusion: Towards Equal access, skills and leadership for women and girls</w:t>
      </w:r>
      <w:r w:rsidR="00394DFF">
        <w:rPr>
          <w:rFonts w:eastAsia="SimSun"/>
          <w:szCs w:val="24"/>
        </w:rPr>
        <w:t>”</w:t>
      </w:r>
      <w:r w:rsidRPr="00AE5707">
        <w:rPr>
          <w:rFonts w:eastAsia="SimSun"/>
          <w:szCs w:val="24"/>
        </w:rPr>
        <w:t xml:space="preserve"> held on 21 March 2017 in the margins of the sixty-first session of the Commission on the Status of Women (CSW61)</w:t>
      </w:r>
      <w:r>
        <w:rPr>
          <w:rFonts w:eastAsia="SimSun"/>
          <w:szCs w:val="24"/>
        </w:rPr>
        <w:t xml:space="preserve"> </w:t>
      </w:r>
      <w:r w:rsidRPr="00AE5707">
        <w:rPr>
          <w:rFonts w:eastAsia="SimSun"/>
          <w:szCs w:val="24"/>
        </w:rPr>
        <w:t>in New York.</w:t>
      </w:r>
      <w:r w:rsidR="00FE61D1">
        <w:rPr>
          <w:rFonts w:eastAsia="SimSun"/>
          <w:szCs w:val="24"/>
        </w:rPr>
        <w:t xml:space="preserve"> </w:t>
      </w:r>
    </w:p>
    <w:p w:rsidR="00D714F1" w:rsidRPr="00D714F1" w:rsidRDefault="008047BE" w:rsidP="001F3BAF">
      <w:pPr>
        <w:tabs>
          <w:tab w:val="clear" w:pos="567"/>
          <w:tab w:val="clear" w:pos="1134"/>
          <w:tab w:val="clear" w:pos="1701"/>
          <w:tab w:val="clear" w:pos="2268"/>
          <w:tab w:val="clear" w:pos="2835"/>
        </w:tabs>
        <w:snapToGrid w:val="0"/>
        <w:spacing w:after="120"/>
        <w:jc w:val="both"/>
        <w:rPr>
          <w:szCs w:val="24"/>
        </w:rPr>
      </w:pPr>
      <w:r w:rsidRPr="00D714F1">
        <w:rPr>
          <w:b/>
          <w:bCs/>
          <w:szCs w:val="24"/>
        </w:rPr>
        <w:t>3.2</w:t>
      </w:r>
      <w:r w:rsidRPr="00D714F1">
        <w:rPr>
          <w:b/>
          <w:bCs/>
          <w:szCs w:val="24"/>
        </w:rPr>
        <w:tab/>
        <w:t>Girls in ICT Day</w:t>
      </w:r>
    </w:p>
    <w:p w:rsidR="008047BE" w:rsidRPr="00EE1126" w:rsidRDefault="008047BE" w:rsidP="00AD180F">
      <w:pPr>
        <w:tabs>
          <w:tab w:val="clear" w:pos="567"/>
          <w:tab w:val="clear" w:pos="1134"/>
          <w:tab w:val="clear" w:pos="1701"/>
          <w:tab w:val="clear" w:pos="2268"/>
          <w:tab w:val="clear" w:pos="2835"/>
        </w:tabs>
        <w:snapToGrid w:val="0"/>
        <w:spacing w:after="120"/>
        <w:jc w:val="both"/>
        <w:rPr>
          <w:szCs w:val="24"/>
          <w:lang w:val="en"/>
        </w:rPr>
      </w:pPr>
      <w:r w:rsidRPr="00EE1126">
        <w:rPr>
          <w:szCs w:val="24"/>
          <w:lang w:val="en"/>
        </w:rPr>
        <w:t>The International Girls in ICT Day takes place every fourth Thursday of April to encourage more girls and young women to take up ICT careers and studies. From its launch in 2011 through 201</w:t>
      </w:r>
      <w:r>
        <w:rPr>
          <w:szCs w:val="24"/>
          <w:lang w:val="en"/>
        </w:rPr>
        <w:t>7</w:t>
      </w:r>
      <w:r w:rsidRPr="00EE1126">
        <w:rPr>
          <w:szCs w:val="24"/>
          <w:lang w:val="en"/>
        </w:rPr>
        <w:t xml:space="preserve">, the </w:t>
      </w:r>
      <w:r w:rsidRPr="00AD180F">
        <w:rPr>
          <w:spacing w:val="-2"/>
          <w:szCs w:val="24"/>
          <w:lang w:val="en"/>
        </w:rPr>
        <w:t>campaign had reached 300,000 girls in 166 countries. The #</w:t>
      </w:r>
      <w:proofErr w:type="spellStart"/>
      <w:r w:rsidRPr="00AD180F">
        <w:rPr>
          <w:spacing w:val="-2"/>
          <w:szCs w:val="24"/>
          <w:lang w:val="en"/>
        </w:rPr>
        <w:t>GirlsinICT</w:t>
      </w:r>
      <w:proofErr w:type="spellEnd"/>
      <w:r w:rsidRPr="00AD180F">
        <w:rPr>
          <w:spacing w:val="-2"/>
          <w:szCs w:val="24"/>
          <w:lang w:val="en"/>
        </w:rPr>
        <w:t xml:space="preserve"> hashtag reached over 63</w:t>
      </w:r>
      <w:r w:rsidR="00AD180F" w:rsidRPr="00AD180F">
        <w:rPr>
          <w:spacing w:val="-2"/>
          <w:szCs w:val="24"/>
          <w:lang w:val="en"/>
        </w:rPr>
        <w:t> </w:t>
      </w:r>
      <w:r w:rsidRPr="00AD180F">
        <w:rPr>
          <w:spacing w:val="-2"/>
          <w:szCs w:val="24"/>
          <w:lang w:val="en"/>
        </w:rPr>
        <w:t>million</w:t>
      </w:r>
      <w:r w:rsidRPr="006758B9">
        <w:rPr>
          <w:szCs w:val="24"/>
          <w:lang w:val="en"/>
        </w:rPr>
        <w:t xml:space="preserve"> Twitter accounts while the ITU Girls in ICT Portal received over 1 million page views, helping to raise visibility for the importance of attracting more women and girls to ICT studies and careers.</w:t>
      </w:r>
      <w:r>
        <w:rPr>
          <w:rFonts w:ascii="Arial" w:hAnsi="Arial" w:cs="Arial"/>
          <w:color w:val="004B96"/>
          <w:sz w:val="17"/>
          <w:szCs w:val="17"/>
          <w:shd w:val="clear" w:color="auto" w:fill="FFFFFF"/>
        </w:rPr>
        <w:t xml:space="preserve"> </w:t>
      </w:r>
      <w:r w:rsidRPr="00EE1126">
        <w:rPr>
          <w:szCs w:val="24"/>
          <w:lang w:val="en"/>
        </w:rPr>
        <w:t xml:space="preserve">In </w:t>
      </w:r>
      <w:proofErr w:type="gramStart"/>
      <w:r w:rsidRPr="00EE1126">
        <w:rPr>
          <w:szCs w:val="24"/>
          <w:lang w:val="en"/>
        </w:rPr>
        <w:t>201</w:t>
      </w:r>
      <w:r>
        <w:rPr>
          <w:szCs w:val="24"/>
          <w:lang w:val="en"/>
        </w:rPr>
        <w:t>7</w:t>
      </w:r>
      <w:proofErr w:type="gramEnd"/>
      <w:r w:rsidRPr="00EE1126">
        <w:rPr>
          <w:szCs w:val="24"/>
          <w:lang w:val="en"/>
        </w:rPr>
        <w:t xml:space="preserve"> the day saw more than </w:t>
      </w:r>
      <w:r>
        <w:rPr>
          <w:szCs w:val="24"/>
          <w:lang w:val="en"/>
        </w:rPr>
        <w:t>2</w:t>
      </w:r>
      <w:r w:rsidRPr="00EE1126">
        <w:rPr>
          <w:szCs w:val="24"/>
          <w:lang w:val="en"/>
        </w:rPr>
        <w:t>,</w:t>
      </w:r>
      <w:r>
        <w:rPr>
          <w:szCs w:val="24"/>
          <w:lang w:val="en"/>
        </w:rPr>
        <w:t>1</w:t>
      </w:r>
      <w:r w:rsidRPr="00EE1126">
        <w:rPr>
          <w:szCs w:val="24"/>
          <w:lang w:val="en"/>
        </w:rPr>
        <w:t>00 events in 13</w:t>
      </w:r>
      <w:r>
        <w:rPr>
          <w:szCs w:val="24"/>
          <w:lang w:val="en"/>
        </w:rPr>
        <w:t>4</w:t>
      </w:r>
      <w:r w:rsidRPr="00EE1126">
        <w:rPr>
          <w:szCs w:val="24"/>
          <w:lang w:val="en"/>
        </w:rPr>
        <w:t xml:space="preserve"> countries in which more than </w:t>
      </w:r>
      <w:r>
        <w:rPr>
          <w:szCs w:val="24"/>
          <w:lang w:val="en"/>
        </w:rPr>
        <w:t>70</w:t>
      </w:r>
      <w:r w:rsidRPr="00EE1126">
        <w:rPr>
          <w:szCs w:val="24"/>
          <w:lang w:val="en"/>
        </w:rPr>
        <w:t xml:space="preserve">,000 girls and young women took part. </w:t>
      </w:r>
      <w:r w:rsidRPr="006758B9">
        <w:rPr>
          <w:rFonts w:asciiTheme="minorHAnsi" w:hAnsiTheme="minorHAnsi" w:cstheme="minorHAnsi"/>
        </w:rPr>
        <w:t>T</w:t>
      </w:r>
      <w:r w:rsidRPr="001074B3">
        <w:rPr>
          <w:rFonts w:asciiTheme="minorHAnsi" w:hAnsiTheme="minorHAnsi" w:cstheme="minorHAnsi"/>
        </w:rPr>
        <w:t>he flagship Girls in ICT Day event organized in Geneva was connected with the Girls in ICT Day event organized in Vilnius, Lithuania during RPM-EUR and an event organized by Alfa Telecom in Beirut, Lebanon.</w:t>
      </w:r>
      <w:r>
        <w:rPr>
          <w:rFonts w:ascii="Arial" w:hAnsi="Arial" w:cs="Arial"/>
          <w:color w:val="004B96"/>
          <w:sz w:val="17"/>
          <w:szCs w:val="17"/>
          <w:shd w:val="clear" w:color="auto" w:fill="FFFFFF"/>
        </w:rPr>
        <w:t xml:space="preserve">  </w:t>
      </w:r>
      <w:r w:rsidR="004C6C96">
        <w:rPr>
          <w:szCs w:val="24"/>
          <w:lang w:val="en"/>
        </w:rPr>
        <w:t>T</w:t>
      </w:r>
      <w:r>
        <w:rPr>
          <w:szCs w:val="24"/>
          <w:lang w:val="en"/>
        </w:rPr>
        <w:t xml:space="preserve">he next International Girls in ICT Day </w:t>
      </w:r>
      <w:r w:rsidR="00BB389A">
        <w:rPr>
          <w:szCs w:val="24"/>
          <w:lang w:val="en"/>
        </w:rPr>
        <w:t xml:space="preserve">will be held </w:t>
      </w:r>
      <w:r>
        <w:rPr>
          <w:szCs w:val="24"/>
          <w:lang w:val="en"/>
        </w:rPr>
        <w:t>on 26 April 2018</w:t>
      </w:r>
      <w:r w:rsidRPr="00CF1214">
        <w:rPr>
          <w:szCs w:val="24"/>
          <w:lang w:val="en"/>
        </w:rPr>
        <w:t xml:space="preserve">. </w:t>
      </w:r>
    </w:p>
    <w:p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3.3</w:t>
      </w:r>
      <w:r>
        <w:rPr>
          <w:szCs w:val="24"/>
        </w:rPr>
        <w:tab/>
      </w:r>
      <w:r w:rsidRPr="00EE1126">
        <w:rPr>
          <w:szCs w:val="24"/>
        </w:rPr>
        <w:t>EQUALS: The Global Partnership to Bridge the Gender Digital Divide</w:t>
      </w:r>
    </w:p>
    <w:p w:rsidR="008047BE" w:rsidRPr="00EE1126" w:rsidRDefault="00AD180F" w:rsidP="00AD180F">
      <w:pPr>
        <w:tabs>
          <w:tab w:val="clear" w:pos="567"/>
          <w:tab w:val="clear" w:pos="1134"/>
          <w:tab w:val="clear" w:pos="1701"/>
          <w:tab w:val="clear" w:pos="2268"/>
          <w:tab w:val="clear" w:pos="2835"/>
        </w:tabs>
        <w:snapToGrid w:val="0"/>
        <w:spacing w:after="120"/>
        <w:jc w:val="both"/>
        <w:rPr>
          <w:rFonts w:asciiTheme="minorHAnsi" w:eastAsia="SimSun" w:hAnsiTheme="minorHAnsi"/>
          <w:szCs w:val="24"/>
          <w:lang w:val="en-US"/>
        </w:rPr>
      </w:pPr>
      <w:hyperlink r:id="rId21" w:history="1">
        <w:r w:rsidR="008047BE" w:rsidRPr="00742F76">
          <w:rPr>
            <w:rStyle w:val="Hyperlink"/>
            <w:rFonts w:eastAsia="SimSun"/>
            <w:szCs w:val="24"/>
          </w:rPr>
          <w:t>EQUALS</w:t>
        </w:r>
      </w:hyperlink>
      <w:r w:rsidR="008047BE" w:rsidRPr="00742F76">
        <w:rPr>
          <w:rFonts w:eastAsia="SimSun"/>
          <w:szCs w:val="24"/>
        </w:rPr>
        <w:t>, the Global Partnership for Gender Equality in the Digital Age, has the objective to establish a network of organizations working together to ensure that women are given access, are equipped with skills, and develop the leadership potential of girls and women to work in the ICT industry. The partnership has five co-founders: GSMA, ITC, ITU, UNU and UN Women; 27 partners and 26</w:t>
      </w:r>
      <w:r>
        <w:rPr>
          <w:rFonts w:eastAsia="SimSun"/>
          <w:szCs w:val="24"/>
        </w:rPr>
        <w:t> </w:t>
      </w:r>
      <w:r w:rsidR="008047BE" w:rsidRPr="00742F76">
        <w:rPr>
          <w:rFonts w:eastAsia="SimSun"/>
          <w:szCs w:val="24"/>
        </w:rPr>
        <w:t xml:space="preserve">Research group members, all working together to address the digital gender divide. </w:t>
      </w:r>
      <w:r w:rsidR="008047BE" w:rsidRPr="00EE1126">
        <w:rPr>
          <w:rFonts w:eastAsia="SimSun"/>
          <w:szCs w:val="24"/>
        </w:rPr>
        <w:t xml:space="preserve">The global framework of action focuses on </w:t>
      </w:r>
      <w:r w:rsidR="008047BE">
        <w:rPr>
          <w:rFonts w:eastAsia="SimSun"/>
          <w:szCs w:val="24"/>
        </w:rPr>
        <w:t>three</w:t>
      </w:r>
      <w:r w:rsidR="008047BE" w:rsidRPr="00EE1126">
        <w:rPr>
          <w:rFonts w:eastAsia="SimSun"/>
          <w:szCs w:val="24"/>
        </w:rPr>
        <w:t xml:space="preserve"> compl</w:t>
      </w:r>
      <w:r w:rsidR="008047BE">
        <w:rPr>
          <w:rFonts w:eastAsia="SimSun"/>
          <w:szCs w:val="24"/>
        </w:rPr>
        <w:t>e</w:t>
      </w:r>
      <w:r w:rsidR="008047BE" w:rsidRPr="00EE1126">
        <w:rPr>
          <w:rFonts w:eastAsia="SimSun"/>
          <w:szCs w:val="24"/>
        </w:rPr>
        <w:t>mentary and cross-cutting areas of action:</w:t>
      </w:r>
      <w:r w:rsidR="00AD756F">
        <w:rPr>
          <w:rFonts w:asciiTheme="minorHAnsi" w:eastAsia="SimSun" w:hAnsiTheme="minorHAnsi"/>
          <w:szCs w:val="24"/>
          <w:u w:val="single"/>
        </w:rPr>
        <w:t xml:space="preserve"> (1) </w:t>
      </w:r>
      <w:r w:rsidR="008047BE" w:rsidRPr="001F3BAF">
        <w:rPr>
          <w:rFonts w:asciiTheme="minorHAnsi" w:eastAsia="SimSun" w:hAnsiTheme="minorHAnsi"/>
          <w:szCs w:val="24"/>
          <w:u w:val="single"/>
          <w:lang w:val="en-US"/>
        </w:rPr>
        <w:t>Access</w:t>
      </w:r>
      <w:r w:rsidR="00AD756F">
        <w:rPr>
          <w:rFonts w:asciiTheme="minorHAnsi" w:eastAsia="SimSun" w:hAnsiTheme="minorHAnsi"/>
          <w:szCs w:val="24"/>
          <w:u w:val="single"/>
          <w:lang w:val="en-US"/>
        </w:rPr>
        <w:t xml:space="preserve">, </w:t>
      </w:r>
      <w:r w:rsidR="00AD756F">
        <w:rPr>
          <w:rFonts w:asciiTheme="minorHAnsi" w:eastAsia="SimSun" w:hAnsiTheme="minorHAnsi"/>
          <w:szCs w:val="24"/>
          <w:lang w:val="en-US"/>
        </w:rPr>
        <w:t xml:space="preserve">(2) </w:t>
      </w:r>
      <w:r w:rsidR="008047BE" w:rsidRPr="00EE1126">
        <w:rPr>
          <w:rFonts w:asciiTheme="minorHAnsi" w:eastAsia="SimSun" w:hAnsiTheme="minorHAnsi"/>
          <w:szCs w:val="24"/>
          <w:u w:val="single"/>
          <w:lang w:val="en-US"/>
        </w:rPr>
        <w:t>Skills</w:t>
      </w:r>
      <w:r w:rsidR="00AD756F">
        <w:rPr>
          <w:rFonts w:asciiTheme="minorHAnsi" w:eastAsia="SimSun" w:hAnsiTheme="minorHAnsi"/>
          <w:szCs w:val="24"/>
          <w:u w:val="single"/>
          <w:lang w:val="en-US"/>
        </w:rPr>
        <w:t xml:space="preserve">, </w:t>
      </w:r>
      <w:r w:rsidR="00AD756F">
        <w:rPr>
          <w:rFonts w:asciiTheme="minorHAnsi" w:eastAsia="SimSun" w:hAnsiTheme="minorHAnsi"/>
          <w:szCs w:val="24"/>
          <w:lang w:val="en-US"/>
        </w:rPr>
        <w:t xml:space="preserve">and (3) </w:t>
      </w:r>
      <w:r w:rsidR="008047BE" w:rsidRPr="00EE1126">
        <w:rPr>
          <w:rFonts w:asciiTheme="minorHAnsi" w:eastAsia="SimSun" w:hAnsiTheme="minorHAnsi"/>
          <w:szCs w:val="24"/>
          <w:u w:val="single"/>
          <w:lang w:val="en-US"/>
        </w:rPr>
        <w:t>Leadership</w:t>
      </w:r>
      <w:r w:rsidR="00544804">
        <w:rPr>
          <w:rFonts w:asciiTheme="minorHAnsi" w:eastAsia="SimSun" w:hAnsiTheme="minorHAnsi"/>
          <w:szCs w:val="24"/>
          <w:lang w:val="en-US"/>
        </w:rPr>
        <w:t>.</w:t>
      </w:r>
      <w:r w:rsidR="008047BE" w:rsidRPr="00EE1126">
        <w:rPr>
          <w:rFonts w:asciiTheme="minorHAnsi" w:eastAsia="SimSun" w:hAnsiTheme="minorHAnsi"/>
          <w:szCs w:val="24"/>
          <w:lang w:val="en-US"/>
        </w:rPr>
        <w:t xml:space="preserve"> </w:t>
      </w:r>
    </w:p>
    <w:p w:rsidR="008047BE" w:rsidRPr="00555FEC"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Pr>
          <w:szCs w:val="24"/>
        </w:rPr>
        <w:t>3.4</w:t>
      </w:r>
      <w:r w:rsidRPr="00EE1126">
        <w:rPr>
          <w:szCs w:val="24"/>
        </w:rPr>
        <w:tab/>
      </w:r>
      <w:r w:rsidRPr="00555FEC">
        <w:rPr>
          <w:szCs w:val="24"/>
        </w:rPr>
        <w:t>EQUALS in Tech Awards</w:t>
      </w:r>
    </w:p>
    <w:p w:rsidR="008047BE" w:rsidRPr="00EE1126" w:rsidRDefault="008047BE" w:rsidP="00FE61D1">
      <w:pPr>
        <w:tabs>
          <w:tab w:val="clear" w:pos="567"/>
          <w:tab w:val="clear" w:pos="1134"/>
          <w:tab w:val="clear" w:pos="1701"/>
          <w:tab w:val="clear" w:pos="2268"/>
          <w:tab w:val="clear" w:pos="2835"/>
        </w:tabs>
        <w:snapToGrid w:val="0"/>
        <w:spacing w:after="120"/>
        <w:jc w:val="both"/>
        <w:rPr>
          <w:rFonts w:eastAsia="SimSun"/>
          <w:szCs w:val="24"/>
        </w:rPr>
      </w:pPr>
      <w:r w:rsidRPr="00555FEC">
        <w:t xml:space="preserve">The fourth annual </w:t>
      </w:r>
      <w:hyperlink r:id="rId22" w:history="1">
        <w:r w:rsidRPr="00555FEC">
          <w:rPr>
            <w:rStyle w:val="Hyperlink"/>
          </w:rPr>
          <w:t>EQUALS in Tech Awards</w:t>
        </w:r>
      </w:hyperlink>
      <w:r w:rsidRPr="00555FEC">
        <w:t xml:space="preserve"> (formerly </w:t>
      </w:r>
      <w:hyperlink r:id="rId23" w:history="1">
        <w:r w:rsidRPr="00555FEC">
          <w:rPr>
            <w:rStyle w:val="Hyperlink"/>
            <w:rFonts w:eastAsia="SimSun"/>
            <w:spacing w:val="-4"/>
            <w:szCs w:val="24"/>
          </w:rPr>
          <w:t>GEM-TECH Awards</w:t>
        </w:r>
      </w:hyperlink>
      <w:r w:rsidRPr="00555FEC">
        <w:t xml:space="preserve">) </w:t>
      </w:r>
      <w:r w:rsidR="00FE61D1">
        <w:t>was</w:t>
      </w:r>
      <w:r w:rsidRPr="00555FEC">
        <w:t xml:space="preserve"> held on December 19-20 at the 2017 Internet Governance Forum in Geneva, Switzerland. Almost 300 nominations were put forward this year from stakeholders across the globe. The Awards will celebrate three winners in the categories of Access, Skills and Leadership. The EQUALS in Tech Awards was made possible </w:t>
      </w:r>
      <w:r w:rsidRPr="00555FEC">
        <w:lastRenderedPageBreak/>
        <w:t>through partnership with the Swiss Federal Office of Communication (OFCOM), the Internet Society and support from Facebook.</w:t>
      </w:r>
    </w:p>
    <w:p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3.</w:t>
      </w:r>
      <w:r>
        <w:rPr>
          <w:szCs w:val="24"/>
        </w:rPr>
        <w:t>5</w:t>
      </w:r>
      <w:r w:rsidRPr="00EE1126">
        <w:rPr>
          <w:szCs w:val="24"/>
        </w:rPr>
        <w:tab/>
        <w:t>Recommendations to Reduce the Digital Gender Divide</w:t>
      </w:r>
    </w:p>
    <w:p w:rsidR="008047BE" w:rsidRPr="00EE1126" w:rsidRDefault="008047BE">
      <w:pPr>
        <w:tabs>
          <w:tab w:val="clear" w:pos="567"/>
          <w:tab w:val="clear" w:pos="1134"/>
          <w:tab w:val="clear" w:pos="1701"/>
          <w:tab w:val="clear" w:pos="2268"/>
          <w:tab w:val="clear" w:pos="2835"/>
        </w:tabs>
        <w:snapToGrid w:val="0"/>
        <w:spacing w:after="120"/>
        <w:jc w:val="both"/>
        <w:rPr>
          <w:szCs w:val="24"/>
        </w:rPr>
      </w:pPr>
      <w:r w:rsidRPr="00EE1126">
        <w:rPr>
          <w:szCs w:val="24"/>
        </w:rPr>
        <w:t xml:space="preserve">The Broadband Commission Working Group on the Digital Gender Divide, </w:t>
      </w:r>
      <w:r>
        <w:rPr>
          <w:szCs w:val="24"/>
        </w:rPr>
        <w:t>chaired</w:t>
      </w:r>
      <w:r w:rsidRPr="00EE1126">
        <w:rPr>
          <w:szCs w:val="24"/>
        </w:rPr>
        <w:t xml:space="preserve"> by GSMA and UNESCO delivered a set of </w:t>
      </w:r>
      <w:hyperlink r:id="rId24" w:history="1">
        <w:r w:rsidRPr="00EE1126">
          <w:rPr>
            <w:rStyle w:val="Hyperlink"/>
            <w:szCs w:val="24"/>
          </w:rPr>
          <w:t>recommendations</w:t>
        </w:r>
      </w:hyperlink>
      <w:r w:rsidRPr="00EE1126">
        <w:rPr>
          <w:szCs w:val="24"/>
        </w:rPr>
        <w:t xml:space="preserve"> in March 2017, to help reduce the digital gender gap in </w:t>
      </w:r>
      <w:r>
        <w:rPr>
          <w:szCs w:val="24"/>
        </w:rPr>
        <w:t>I</w:t>
      </w:r>
      <w:r w:rsidRPr="00EE1126">
        <w:rPr>
          <w:szCs w:val="24"/>
        </w:rPr>
        <w:t xml:space="preserve">nternet and broadband access and </w:t>
      </w:r>
      <w:r>
        <w:rPr>
          <w:szCs w:val="24"/>
        </w:rPr>
        <w:t>to</w:t>
      </w:r>
      <w:r w:rsidRPr="00EE1126">
        <w:rPr>
          <w:szCs w:val="24"/>
        </w:rPr>
        <w:t xml:space="preserve"> clarify the complementary roles of different actors. </w:t>
      </w:r>
      <w:r>
        <w:rPr>
          <w:szCs w:val="24"/>
        </w:rPr>
        <w:t xml:space="preserve">During the </w:t>
      </w:r>
      <w:r w:rsidRPr="000F4E60">
        <w:rPr>
          <w:szCs w:val="24"/>
        </w:rPr>
        <w:t>Annual Meeting of the Broadband Commission for Sustainable Development</w:t>
      </w:r>
      <w:r>
        <w:rPr>
          <w:szCs w:val="24"/>
        </w:rPr>
        <w:t xml:space="preserve"> in New York in September 2017, the group </w:t>
      </w:r>
      <w:r w:rsidRPr="000F4E60">
        <w:rPr>
          <w:szCs w:val="24"/>
        </w:rPr>
        <w:t xml:space="preserve">launched its progress report </w:t>
      </w:r>
      <w:r w:rsidR="00394DFF">
        <w:rPr>
          <w:szCs w:val="24"/>
        </w:rPr>
        <w:t>“</w:t>
      </w:r>
      <w:hyperlink r:id="rId25" w:history="1">
        <w:r w:rsidRPr="000F4E60">
          <w:rPr>
            <w:rStyle w:val="Hyperlink"/>
            <w:szCs w:val="24"/>
          </w:rPr>
          <w:t>Bridging the gender gap in internet and broadband access and use</w:t>
        </w:r>
      </w:hyperlink>
      <w:r w:rsidR="00400EEE">
        <w:rPr>
          <w:szCs w:val="24"/>
        </w:rPr>
        <w:t>”</w:t>
      </w:r>
      <w:r>
        <w:rPr>
          <w:szCs w:val="24"/>
        </w:rPr>
        <w:t>. It</w:t>
      </w:r>
      <w:r w:rsidRPr="000F4E60">
        <w:rPr>
          <w:szCs w:val="24"/>
        </w:rPr>
        <w:t xml:space="preserve"> provides an update on progress against the commitments of the Working Group members to take forward the four groups of recommended actions outlined in</w:t>
      </w:r>
      <w:r>
        <w:rPr>
          <w:szCs w:val="24"/>
        </w:rPr>
        <w:t xml:space="preserve"> the outcome of</w:t>
      </w:r>
      <w:r w:rsidRPr="000F4E60">
        <w:rPr>
          <w:szCs w:val="24"/>
        </w:rPr>
        <w:t xml:space="preserve"> March</w:t>
      </w:r>
      <w:r>
        <w:rPr>
          <w:szCs w:val="24"/>
        </w:rPr>
        <w:t xml:space="preserve"> 2017.</w:t>
      </w:r>
    </w:p>
    <w:p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sz w:val="24"/>
          <w:szCs w:val="24"/>
        </w:rPr>
      </w:pPr>
      <w:r w:rsidRPr="00EE1126">
        <w:rPr>
          <w:sz w:val="24"/>
          <w:szCs w:val="24"/>
        </w:rPr>
        <w:t>4</w:t>
      </w:r>
      <w:r w:rsidRPr="00EE1126">
        <w:rPr>
          <w:sz w:val="24"/>
          <w:szCs w:val="24"/>
        </w:rPr>
        <w:tab/>
        <w:t>Reinforcing Women</w:t>
      </w:r>
      <w:r>
        <w:rPr>
          <w:sz w:val="24"/>
          <w:szCs w:val="24"/>
        </w:rPr>
        <w:t>’</w:t>
      </w:r>
      <w:r w:rsidRPr="00EE1126">
        <w:rPr>
          <w:sz w:val="24"/>
          <w:szCs w:val="24"/>
        </w:rPr>
        <w:t>s Participation in ITU</w:t>
      </w:r>
      <w:r>
        <w:rPr>
          <w:sz w:val="24"/>
          <w:szCs w:val="24"/>
        </w:rPr>
        <w:t>’</w:t>
      </w:r>
      <w:r w:rsidRPr="00EE1126">
        <w:rPr>
          <w:sz w:val="24"/>
          <w:szCs w:val="24"/>
        </w:rPr>
        <w:t xml:space="preserve">s </w:t>
      </w:r>
      <w:r>
        <w:rPr>
          <w:sz w:val="24"/>
          <w:szCs w:val="24"/>
        </w:rPr>
        <w:t xml:space="preserve">Meetings and </w:t>
      </w:r>
      <w:r w:rsidRPr="00EE1126">
        <w:rPr>
          <w:sz w:val="24"/>
          <w:szCs w:val="24"/>
        </w:rPr>
        <w:t>Conferences</w:t>
      </w:r>
    </w:p>
    <w:p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lang w:val="en-CA"/>
        </w:rPr>
      </w:pPr>
      <w:r>
        <w:rPr>
          <w:szCs w:val="24"/>
          <w:lang w:val="en-CA"/>
        </w:rPr>
        <w:t>4.1</w:t>
      </w:r>
      <w:r w:rsidRPr="00EE1126">
        <w:rPr>
          <w:szCs w:val="24"/>
          <w:lang w:val="en-CA"/>
        </w:rPr>
        <w:tab/>
        <w:t>Gender Equality in Delegations</w:t>
      </w:r>
    </w:p>
    <w:p w:rsidR="008047BE" w:rsidRDefault="008047BE" w:rsidP="008047BE">
      <w:pPr>
        <w:tabs>
          <w:tab w:val="clear" w:pos="567"/>
          <w:tab w:val="clear" w:pos="1134"/>
          <w:tab w:val="clear" w:pos="1701"/>
          <w:tab w:val="clear" w:pos="2268"/>
          <w:tab w:val="clear" w:pos="2835"/>
        </w:tabs>
        <w:snapToGrid w:val="0"/>
        <w:spacing w:after="120"/>
        <w:jc w:val="both"/>
        <w:rPr>
          <w:szCs w:val="24"/>
          <w:lang w:val="en-CA"/>
        </w:rPr>
      </w:pPr>
      <w:r>
        <w:rPr>
          <w:szCs w:val="24"/>
          <w:lang w:val="en-CA"/>
        </w:rPr>
        <w:t xml:space="preserve">Following </w:t>
      </w:r>
      <w:r w:rsidRPr="00EE1126">
        <w:rPr>
          <w:szCs w:val="24"/>
          <w:lang w:val="en-CA"/>
        </w:rPr>
        <w:t>ITU</w:t>
      </w:r>
      <w:r>
        <w:rPr>
          <w:szCs w:val="24"/>
          <w:lang w:val="en-CA"/>
        </w:rPr>
        <w:t>’s collaboration</w:t>
      </w:r>
      <w:r w:rsidRPr="00EE1126">
        <w:rPr>
          <w:szCs w:val="24"/>
          <w:lang w:val="en-CA"/>
        </w:rPr>
        <w:t xml:space="preserve"> on the publication </w:t>
      </w:r>
      <w:r w:rsidR="00394DFF">
        <w:rPr>
          <w:szCs w:val="24"/>
          <w:lang w:val="en-CA"/>
        </w:rPr>
        <w:t>“</w:t>
      </w:r>
      <w:hyperlink r:id="rId26" w:history="1">
        <w:r w:rsidRPr="009B6FAE">
          <w:rPr>
            <w:rStyle w:val="Hyperlink"/>
            <w:szCs w:val="24"/>
            <w:lang w:val="en-CA"/>
          </w:rPr>
          <w:t>Shaping the international agenda: Raising women’s voices in intergovernmental forums</w:t>
        </w:r>
      </w:hyperlink>
      <w:r w:rsidR="00394DFF">
        <w:rPr>
          <w:szCs w:val="24"/>
          <w:lang w:val="en-CA"/>
        </w:rPr>
        <w:t>”,</w:t>
      </w:r>
      <w:r>
        <w:rPr>
          <w:szCs w:val="24"/>
          <w:lang w:val="en-CA"/>
        </w:rPr>
        <w:t xml:space="preserve"> ITU has increased efforts towards gender balanced representation and participation</w:t>
      </w:r>
      <w:r w:rsidRPr="00EE1126">
        <w:rPr>
          <w:szCs w:val="24"/>
          <w:lang w:val="en-CA"/>
        </w:rPr>
        <w:t xml:space="preserve">. </w:t>
      </w:r>
      <w:r>
        <w:rPr>
          <w:szCs w:val="24"/>
          <w:lang w:val="en-CA"/>
        </w:rPr>
        <w:t xml:space="preserve">Circular letters sent to membership encourage gender-balanced representation and invites nominations of women for key roles. The Secretary-General has indicated that all invitation letters signed by himself shall </w:t>
      </w:r>
      <w:r w:rsidRPr="007174FA">
        <w:rPr>
          <w:szCs w:val="24"/>
          <w:lang w:val="en-CA"/>
        </w:rPr>
        <w:t>contain a sentence encouraging the participation o</w:t>
      </w:r>
      <w:r w:rsidR="00AD180F">
        <w:rPr>
          <w:szCs w:val="24"/>
          <w:lang w:val="en-CA"/>
        </w:rPr>
        <w:t>f women delegates/participants.</w:t>
      </w:r>
    </w:p>
    <w:p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lang w:val="en-CA"/>
        </w:rPr>
      </w:pPr>
      <w:r>
        <w:rPr>
          <w:szCs w:val="24"/>
          <w:lang w:val="en-CA"/>
        </w:rPr>
        <w:t>4.2</w:t>
      </w:r>
      <w:r w:rsidRPr="00EE1126">
        <w:rPr>
          <w:szCs w:val="24"/>
          <w:lang w:val="en-CA"/>
        </w:rPr>
        <w:tab/>
      </w:r>
      <w:r>
        <w:rPr>
          <w:szCs w:val="24"/>
          <w:lang w:val="en-CA"/>
        </w:rPr>
        <w:t>WTDC-17, Buenos Aires</w:t>
      </w:r>
    </w:p>
    <w:p w:rsidR="008047BE" w:rsidRPr="00D35101" w:rsidRDefault="008047BE" w:rsidP="004C6C96">
      <w:pPr>
        <w:jc w:val="both"/>
        <w:rPr>
          <w:rFonts w:asciiTheme="minorHAnsi" w:hAnsiTheme="minorHAnsi"/>
          <w:szCs w:val="24"/>
        </w:rPr>
      </w:pPr>
      <w:r w:rsidRPr="00D35101">
        <w:rPr>
          <w:rFonts w:asciiTheme="minorHAnsi" w:hAnsiTheme="minorHAnsi"/>
        </w:rPr>
        <w:t>WTDC-17 appointed ITU-D’s first woman chairman of the Telecommunication Development Advisory Group (TDAG), and achieved gender balance in the appointment of chairman o</w:t>
      </w:r>
      <w:r w:rsidR="00AD180F">
        <w:rPr>
          <w:rFonts w:asciiTheme="minorHAnsi" w:hAnsiTheme="minorHAnsi"/>
        </w:rPr>
        <w:t xml:space="preserve">f ITU-D Study Group Questions. </w:t>
      </w:r>
      <w:r w:rsidRPr="00D35101">
        <w:rPr>
          <w:rFonts w:asciiTheme="minorHAnsi" w:hAnsiTheme="minorHAnsi"/>
        </w:rPr>
        <w:t xml:space="preserve">The conference strengthened the mandate of BDT to provide policy and strategy advice on measures to bridge the gender digital divide, including education and skills development for empowering women and girls and creating conditions for employment prospects for women and girls in entrepreneurship, leadership and decision-making positions. BDT and Argentina hosted the dynamic </w:t>
      </w:r>
      <w:hyperlink r:id="rId27" w:history="1">
        <w:r w:rsidRPr="00D35101">
          <w:rPr>
            <w:rStyle w:val="Hyperlink"/>
            <w:rFonts w:asciiTheme="minorHAnsi" w:hAnsiTheme="minorHAnsi"/>
          </w:rPr>
          <w:t>WTDC-17 Wom</w:t>
        </w:r>
        <w:r w:rsidR="004B57DE">
          <w:rPr>
            <w:rStyle w:val="Hyperlink"/>
            <w:rFonts w:asciiTheme="minorHAnsi" w:hAnsiTheme="minorHAnsi"/>
          </w:rPr>
          <w:t>e</w:t>
        </w:r>
        <w:r w:rsidRPr="00D35101">
          <w:rPr>
            <w:rStyle w:val="Hyperlink"/>
            <w:rFonts w:asciiTheme="minorHAnsi" w:hAnsiTheme="minorHAnsi"/>
          </w:rPr>
          <w:t>n’s Breakfast</w:t>
        </w:r>
      </w:hyperlink>
      <w:r w:rsidRPr="00D35101">
        <w:rPr>
          <w:rFonts w:asciiTheme="minorHAnsi" w:hAnsiTheme="minorHAnsi"/>
        </w:rPr>
        <w:t xml:space="preserve"> on 10 October to s</w:t>
      </w:r>
      <w:r w:rsidRPr="00D35101">
        <w:rPr>
          <w:rFonts w:asciiTheme="minorHAnsi" w:hAnsiTheme="minorHAnsi"/>
          <w:szCs w:val="24"/>
        </w:rPr>
        <w:t xml:space="preserve">howcase initiatives </w:t>
      </w:r>
      <w:r w:rsidRPr="00D35101">
        <w:rPr>
          <w:rFonts w:asciiTheme="minorHAnsi" w:hAnsiTheme="minorHAnsi"/>
        </w:rPr>
        <w:t xml:space="preserve">and experiences </w:t>
      </w:r>
      <w:r w:rsidRPr="00D35101">
        <w:rPr>
          <w:rFonts w:asciiTheme="minorHAnsi" w:hAnsiTheme="minorHAnsi"/>
          <w:szCs w:val="24"/>
        </w:rPr>
        <w:t xml:space="preserve">on </w:t>
      </w:r>
      <w:r w:rsidRPr="00D35101">
        <w:rPr>
          <w:rFonts w:asciiTheme="minorHAnsi" w:hAnsiTheme="minorHAnsi"/>
        </w:rPr>
        <w:t>promoting d</w:t>
      </w:r>
      <w:r w:rsidRPr="00D35101">
        <w:rPr>
          <w:rFonts w:asciiTheme="minorHAnsi" w:hAnsiTheme="minorHAnsi"/>
          <w:szCs w:val="24"/>
        </w:rPr>
        <w:t>igital skills and job creation opportunities for women and girls</w:t>
      </w:r>
      <w:r w:rsidRPr="00D35101">
        <w:rPr>
          <w:rFonts w:asciiTheme="minorHAnsi" w:hAnsiTheme="minorHAnsi"/>
        </w:rPr>
        <w:t xml:space="preserve">.  The panel included the Ministers of Bangladesh and Lesotho, the Secretary of the Tanzania Universal Communications Service Access Fund, the Inter-American Development Bank and the Ministry of Modernization, Argentina. </w:t>
      </w:r>
    </w:p>
    <w:p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4.</w:t>
      </w:r>
      <w:r>
        <w:rPr>
          <w:szCs w:val="24"/>
        </w:rPr>
        <w:t>3</w:t>
      </w:r>
      <w:r w:rsidRPr="00EE1126">
        <w:rPr>
          <w:szCs w:val="24"/>
        </w:rPr>
        <w:tab/>
        <w:t>ITU Network of Women for WRC (NOW)</w:t>
      </w:r>
    </w:p>
    <w:p w:rsidR="008047BE" w:rsidRPr="00EE1126" w:rsidRDefault="008047BE" w:rsidP="004C6C96">
      <w:pPr>
        <w:jc w:val="both"/>
        <w:rPr>
          <w:szCs w:val="24"/>
        </w:rPr>
      </w:pPr>
      <w:r w:rsidRPr="00C95B9E">
        <w:t>During the 2016 World Radiocommunication Seminar (</w:t>
      </w:r>
      <w:hyperlink r:id="rId28" w:history="1">
        <w:r w:rsidRPr="006C3F5C">
          <w:rPr>
            <w:rStyle w:val="Hyperlink"/>
          </w:rPr>
          <w:t>WRS-16</w:t>
        </w:r>
      </w:hyperlink>
      <w:r w:rsidRPr="00C95B9E">
        <w:t>), the ITU ‘Network of Women for WRC’ (</w:t>
      </w:r>
      <w:hyperlink r:id="rId29" w:history="1">
        <w:r w:rsidRPr="006C3F5C">
          <w:rPr>
            <w:rStyle w:val="Hyperlink"/>
          </w:rPr>
          <w:t>NOW</w:t>
        </w:r>
      </w:hyperlink>
      <w:r w:rsidRPr="00C95B9E">
        <w:t>) initiative was launched. NOW encourages gender balance in decision-making bodies, panels, statutory committees and study groups at ITU-R events. The aim of</w:t>
      </w:r>
      <w:r>
        <w:t xml:space="preserve"> </w:t>
      </w:r>
      <w:r w:rsidRPr="00C95B9E">
        <w:t xml:space="preserve">NOW4WRC19 is to build capacity early in the </w:t>
      </w:r>
      <w:hyperlink r:id="rId30" w:history="1">
        <w:r w:rsidRPr="006C3F5C">
          <w:rPr>
            <w:rStyle w:val="Hyperlink"/>
          </w:rPr>
          <w:t>WRC-19</w:t>
        </w:r>
      </w:hyperlink>
      <w:r w:rsidRPr="00C95B9E">
        <w:t xml:space="preserve"> process and encourage greater participation of women delegates, including in roles such as chairs and vice-chairs. In May 2017, the first mentorship programme cycle was launched with a focus on the technical topics for the </w:t>
      </w:r>
      <w:hyperlink r:id="rId31" w:history="1">
        <w:r w:rsidRPr="004C6C96">
          <w:rPr>
            <w:rStyle w:val="Hyperlink"/>
          </w:rPr>
          <w:t>Working Party 4A</w:t>
        </w:r>
      </w:hyperlink>
      <w:r w:rsidRPr="00C95B9E">
        <w:t>. Further sessions and mentorsh</w:t>
      </w:r>
      <w:r>
        <w:t>ip programme cycles were organiz</w:t>
      </w:r>
      <w:r w:rsidRPr="00C95B9E">
        <w:t xml:space="preserve">ed in the context of </w:t>
      </w:r>
      <w:hyperlink r:id="rId32" w:history="1">
        <w:r w:rsidRPr="006C3F5C">
          <w:rPr>
            <w:rStyle w:val="Hyperlink"/>
          </w:rPr>
          <w:t>Working Party 4A</w:t>
        </w:r>
      </w:hyperlink>
      <w:r w:rsidRPr="00C95B9E">
        <w:t xml:space="preserve"> and </w:t>
      </w:r>
      <w:hyperlink r:id="rId33" w:history="1">
        <w:r w:rsidRPr="006C3F5C">
          <w:rPr>
            <w:rStyle w:val="Hyperlink"/>
          </w:rPr>
          <w:t>Task Group 5/1</w:t>
        </w:r>
      </w:hyperlink>
      <w:r w:rsidRPr="00C95B9E">
        <w:t xml:space="preserve"> meetings</w:t>
      </w:r>
      <w:r w:rsidR="00FE61D1">
        <w:t xml:space="preserve">. </w:t>
      </w:r>
      <w:r w:rsidRPr="00C95B9E">
        <w:t>Introductory sessions wer</w:t>
      </w:r>
      <w:r>
        <w:t>e organiz</w:t>
      </w:r>
      <w:r w:rsidRPr="00C95B9E">
        <w:t>ed during the ITU Regional Radiocommunication Seminars 2017 for Arab countries in Oman (</w:t>
      </w:r>
      <w:hyperlink r:id="rId34" w:history="1">
        <w:r w:rsidRPr="006C3F5C">
          <w:rPr>
            <w:rStyle w:val="Hyperlink"/>
          </w:rPr>
          <w:t>RRS-17-Arab</w:t>
        </w:r>
      </w:hyperlink>
      <w:r w:rsidRPr="00C95B9E">
        <w:t>) and for Asia &amp; Pacific in Cambodia (</w:t>
      </w:r>
      <w:hyperlink r:id="rId35" w:history="1">
        <w:r w:rsidRPr="006C3F5C">
          <w:rPr>
            <w:rStyle w:val="Hyperlink"/>
          </w:rPr>
          <w:t>RRS-17-Asia-Pacific</w:t>
        </w:r>
      </w:hyperlink>
      <w:r>
        <w:t>).</w:t>
      </w:r>
      <w:r w:rsidRPr="00EE1126">
        <w:rPr>
          <w:szCs w:val="24"/>
        </w:rPr>
        <w:t xml:space="preserve"> </w:t>
      </w:r>
    </w:p>
    <w:p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szCs w:val="24"/>
        </w:rPr>
      </w:pPr>
      <w:r w:rsidRPr="00EE1126">
        <w:rPr>
          <w:szCs w:val="24"/>
        </w:rPr>
        <w:lastRenderedPageBreak/>
        <w:t>4</w:t>
      </w:r>
      <w:r>
        <w:rPr>
          <w:szCs w:val="24"/>
        </w:rPr>
        <w:t>.4</w:t>
      </w:r>
      <w:r w:rsidRPr="00EE1126">
        <w:rPr>
          <w:szCs w:val="24"/>
        </w:rPr>
        <w:tab/>
      </w:r>
      <w:r w:rsidRPr="0010383C">
        <w:rPr>
          <w:szCs w:val="24"/>
        </w:rPr>
        <w:t>Women in Standardization Expert Group (WISE)</w:t>
      </w:r>
    </w:p>
    <w:p w:rsidR="008047BE" w:rsidRPr="00EE1126" w:rsidRDefault="008047BE" w:rsidP="008047BE">
      <w:pPr>
        <w:tabs>
          <w:tab w:val="clear" w:pos="567"/>
          <w:tab w:val="clear" w:pos="1134"/>
          <w:tab w:val="clear" w:pos="1701"/>
          <w:tab w:val="clear" w:pos="2268"/>
          <w:tab w:val="clear" w:pos="2835"/>
        </w:tabs>
        <w:snapToGrid w:val="0"/>
        <w:spacing w:after="120"/>
        <w:jc w:val="both"/>
        <w:rPr>
          <w:rFonts w:eastAsia="SimSun"/>
          <w:szCs w:val="24"/>
        </w:rPr>
      </w:pPr>
      <w:r>
        <w:rPr>
          <w:rFonts w:eastAsia="SimSun"/>
          <w:szCs w:val="24"/>
        </w:rPr>
        <w:t xml:space="preserve">In alignment with ITU-T Resolution 55 (Rev. </w:t>
      </w:r>
      <w:proofErr w:type="spellStart"/>
      <w:r>
        <w:rPr>
          <w:rFonts w:eastAsia="SimSun"/>
          <w:szCs w:val="24"/>
        </w:rPr>
        <w:t>Hammamet</w:t>
      </w:r>
      <w:proofErr w:type="spellEnd"/>
      <w:r>
        <w:rPr>
          <w:rFonts w:eastAsia="SimSun"/>
          <w:szCs w:val="24"/>
        </w:rPr>
        <w:t xml:space="preserve">), TSB continues to encourage active participation of women in all its meetings and events under the umbrella of </w:t>
      </w:r>
      <w:r w:rsidRPr="00EE1126">
        <w:rPr>
          <w:rFonts w:eastAsia="SimSun"/>
          <w:szCs w:val="24"/>
        </w:rPr>
        <w:t xml:space="preserve">the </w:t>
      </w:r>
      <w:hyperlink r:id="rId36" w:history="1">
        <w:r w:rsidRPr="00EE1126">
          <w:rPr>
            <w:rStyle w:val="Hyperlink"/>
            <w:rFonts w:eastAsia="SimSun"/>
            <w:szCs w:val="24"/>
          </w:rPr>
          <w:t>Women in Standardization Expert Group (WISE)</w:t>
        </w:r>
      </w:hyperlink>
      <w:r>
        <w:rPr>
          <w:rStyle w:val="Hyperlink"/>
          <w:rFonts w:eastAsia="SimSun"/>
          <w:szCs w:val="24"/>
        </w:rPr>
        <w:t>.</w:t>
      </w:r>
      <w:r>
        <w:rPr>
          <w:rFonts w:eastAsia="SimSun"/>
          <w:szCs w:val="24"/>
        </w:rPr>
        <w:t xml:space="preserve"> </w:t>
      </w:r>
      <w:r w:rsidRPr="00EE1126">
        <w:rPr>
          <w:rFonts w:eastAsia="SimSun"/>
          <w:szCs w:val="24"/>
        </w:rPr>
        <w:t>WISE is dedicated to promoting women in standardization, telecommunication/ICTs</w:t>
      </w:r>
      <w:r>
        <w:rPr>
          <w:rFonts w:eastAsia="SimSun"/>
          <w:szCs w:val="24"/>
        </w:rPr>
        <w:t>,</w:t>
      </w:r>
      <w:r w:rsidRPr="00EE1126">
        <w:rPr>
          <w:rFonts w:eastAsia="SimSun"/>
          <w:szCs w:val="24"/>
        </w:rPr>
        <w:t xml:space="preserve"> and related fields and to recognizing men and women who have made and continue to make remarkable contribution in promoting women and the work </w:t>
      </w:r>
      <w:r>
        <w:rPr>
          <w:rFonts w:eastAsia="SimSun"/>
          <w:szCs w:val="24"/>
        </w:rPr>
        <w:t xml:space="preserve">of women in these fields. </w:t>
      </w:r>
    </w:p>
    <w:p w:rsidR="008047BE" w:rsidRPr="00EE1126" w:rsidRDefault="008047BE" w:rsidP="008047BE">
      <w:pPr>
        <w:pStyle w:val="Heading1"/>
        <w:keepNext w:val="0"/>
        <w:keepLines w:val="0"/>
        <w:tabs>
          <w:tab w:val="clear" w:pos="567"/>
          <w:tab w:val="clear" w:pos="1134"/>
          <w:tab w:val="clear" w:pos="1701"/>
          <w:tab w:val="clear" w:pos="2268"/>
          <w:tab w:val="clear" w:pos="2835"/>
        </w:tabs>
        <w:snapToGrid w:val="0"/>
        <w:spacing w:after="120"/>
        <w:ind w:left="0" w:firstLine="0"/>
        <w:jc w:val="both"/>
        <w:rPr>
          <w:sz w:val="24"/>
          <w:szCs w:val="24"/>
        </w:rPr>
      </w:pPr>
      <w:r w:rsidRPr="00EE1126">
        <w:rPr>
          <w:sz w:val="24"/>
          <w:szCs w:val="24"/>
        </w:rPr>
        <w:t>5</w:t>
      </w:r>
      <w:r w:rsidRPr="00EE1126">
        <w:rPr>
          <w:sz w:val="24"/>
          <w:szCs w:val="24"/>
        </w:rPr>
        <w:tab/>
        <w:t>Institutional Awareness of Gender Equality and Mainstreaming</w:t>
      </w:r>
    </w:p>
    <w:p w:rsidR="008047BE" w:rsidRPr="00EE1126" w:rsidRDefault="008047BE" w:rsidP="008047B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5.</w:t>
      </w:r>
      <w:r>
        <w:rPr>
          <w:szCs w:val="24"/>
        </w:rPr>
        <w:t>1</w:t>
      </w:r>
      <w:r w:rsidRPr="00EE1126">
        <w:rPr>
          <w:szCs w:val="24"/>
        </w:rPr>
        <w:tab/>
        <w:t>UN-SWAP Reporting</w:t>
      </w:r>
    </w:p>
    <w:p w:rsidR="008047BE" w:rsidRPr="00EE1126" w:rsidRDefault="008047BE">
      <w:pPr>
        <w:tabs>
          <w:tab w:val="clear" w:pos="567"/>
          <w:tab w:val="clear" w:pos="1134"/>
          <w:tab w:val="clear" w:pos="1701"/>
          <w:tab w:val="clear" w:pos="2268"/>
          <w:tab w:val="clear" w:pos="2835"/>
        </w:tabs>
        <w:snapToGrid w:val="0"/>
        <w:spacing w:after="120"/>
        <w:jc w:val="both"/>
        <w:rPr>
          <w:szCs w:val="24"/>
          <w:lang w:val="en-CA"/>
        </w:rPr>
      </w:pPr>
      <w:r>
        <w:rPr>
          <w:szCs w:val="24"/>
          <w:lang w:val="en-CA"/>
        </w:rPr>
        <w:t xml:space="preserve">UN-SWAP is the </w:t>
      </w:r>
      <w:r w:rsidRPr="0094246C">
        <w:rPr>
          <w:szCs w:val="24"/>
          <w:lang w:val="en-CA"/>
        </w:rPr>
        <w:t xml:space="preserve">United Nations </w:t>
      </w:r>
      <w:r>
        <w:rPr>
          <w:szCs w:val="24"/>
          <w:lang w:val="en-CA"/>
        </w:rPr>
        <w:t>s</w:t>
      </w:r>
      <w:r w:rsidRPr="0094246C">
        <w:rPr>
          <w:szCs w:val="24"/>
          <w:lang w:val="en-CA"/>
        </w:rPr>
        <w:t xml:space="preserve">ystem-wide </w:t>
      </w:r>
      <w:r>
        <w:rPr>
          <w:szCs w:val="24"/>
          <w:lang w:val="en-CA"/>
        </w:rPr>
        <w:t>a</w:t>
      </w:r>
      <w:r w:rsidRPr="0094246C">
        <w:rPr>
          <w:szCs w:val="24"/>
          <w:lang w:val="en-CA"/>
        </w:rPr>
        <w:t xml:space="preserve">ction </w:t>
      </w:r>
      <w:r>
        <w:rPr>
          <w:szCs w:val="24"/>
          <w:lang w:val="en-CA"/>
        </w:rPr>
        <w:t>p</w:t>
      </w:r>
      <w:r w:rsidRPr="0094246C">
        <w:rPr>
          <w:szCs w:val="24"/>
          <w:lang w:val="en-CA"/>
        </w:rPr>
        <w:t xml:space="preserve">lan for </w:t>
      </w:r>
      <w:r>
        <w:rPr>
          <w:szCs w:val="24"/>
          <w:lang w:val="en-CA"/>
        </w:rPr>
        <w:t>g</w:t>
      </w:r>
      <w:r w:rsidRPr="0094246C">
        <w:rPr>
          <w:szCs w:val="24"/>
          <w:lang w:val="en-CA"/>
        </w:rPr>
        <w:t xml:space="preserve">ender </w:t>
      </w:r>
      <w:r>
        <w:rPr>
          <w:szCs w:val="24"/>
          <w:lang w:val="en-CA"/>
        </w:rPr>
        <w:t>e</w:t>
      </w:r>
      <w:r w:rsidRPr="0094246C">
        <w:rPr>
          <w:szCs w:val="24"/>
          <w:lang w:val="en-CA"/>
        </w:rPr>
        <w:t xml:space="preserve">quality and </w:t>
      </w:r>
      <w:r>
        <w:rPr>
          <w:szCs w:val="24"/>
          <w:lang w:val="en-CA"/>
        </w:rPr>
        <w:t>m</w:t>
      </w:r>
      <w:proofErr w:type="spellStart"/>
      <w:r w:rsidRPr="00184892">
        <w:t>ainstreaming</w:t>
      </w:r>
      <w:proofErr w:type="spellEnd"/>
      <w:r>
        <w:rPr>
          <w:szCs w:val="24"/>
          <w:lang w:val="en-CA"/>
        </w:rPr>
        <w:t xml:space="preserve">; </w:t>
      </w:r>
      <w:r w:rsidRPr="006C3F5C">
        <w:rPr>
          <w:rStyle w:val="Hyperlink"/>
          <w:color w:val="auto"/>
          <w:szCs w:val="24"/>
          <w:u w:val="none"/>
          <w:lang w:val="en-CA"/>
        </w:rPr>
        <w:t xml:space="preserve">an accountability framework applicable to all UN entities to measure, monitor and </w:t>
      </w:r>
      <w:r w:rsidR="004C6C96">
        <w:rPr>
          <w:rStyle w:val="Hyperlink"/>
          <w:color w:val="auto"/>
          <w:szCs w:val="24"/>
          <w:u w:val="none"/>
          <w:lang w:val="en-CA"/>
        </w:rPr>
        <w:t>advance</w:t>
      </w:r>
      <w:r w:rsidRPr="006C3F5C">
        <w:rPr>
          <w:rStyle w:val="Hyperlink"/>
          <w:color w:val="auto"/>
          <w:szCs w:val="24"/>
          <w:u w:val="none"/>
          <w:lang w:val="en-CA"/>
        </w:rPr>
        <w:t xml:space="preserve"> towards a common set of gender equality standards. ITU now uses the UN-SWAP framework for guiding gender equality and mainstreaming (GEM) within ITU; the implementation plan and progress is reported to Council </w:t>
      </w:r>
      <w:r w:rsidR="006C3F5C">
        <w:rPr>
          <w:rStyle w:val="Hyperlink"/>
          <w:color w:val="auto"/>
          <w:szCs w:val="24"/>
          <w:u w:val="none"/>
          <w:lang w:val="en-CA"/>
        </w:rPr>
        <w:t xml:space="preserve">and available as document </w:t>
      </w:r>
      <w:hyperlink r:id="rId37" w:history="1">
        <w:r w:rsidR="006C3F5C" w:rsidRPr="004B57DE">
          <w:rPr>
            <w:rStyle w:val="Hyperlink"/>
            <w:szCs w:val="24"/>
            <w:lang w:val="en-CA"/>
          </w:rPr>
          <w:t>C18/</w:t>
        </w:r>
        <w:r w:rsidR="004B57DE" w:rsidRPr="004B57DE">
          <w:rPr>
            <w:rStyle w:val="Hyperlink"/>
            <w:szCs w:val="24"/>
            <w:lang w:val="en-CA"/>
          </w:rPr>
          <w:t>13</w:t>
        </w:r>
      </w:hyperlink>
      <w:r w:rsidRPr="006C3F5C">
        <w:rPr>
          <w:rStyle w:val="Hyperlink"/>
          <w:color w:val="auto"/>
          <w:szCs w:val="24"/>
          <w:u w:val="none"/>
          <w:lang w:val="en-CA"/>
        </w:rPr>
        <w:t xml:space="preserve">. </w:t>
      </w:r>
      <w:r w:rsidRPr="00EE1126">
        <w:rPr>
          <w:szCs w:val="24"/>
          <w:lang w:val="en-CA"/>
        </w:rPr>
        <w:t xml:space="preserve">ITU </w:t>
      </w:r>
      <w:r>
        <w:rPr>
          <w:szCs w:val="24"/>
          <w:lang w:val="en-CA"/>
        </w:rPr>
        <w:t xml:space="preserve">also </w:t>
      </w:r>
      <w:r w:rsidRPr="00EE1126">
        <w:rPr>
          <w:szCs w:val="24"/>
          <w:lang w:val="en-CA"/>
        </w:rPr>
        <w:t>reports annually to</w:t>
      </w:r>
      <w:r>
        <w:rPr>
          <w:szCs w:val="24"/>
          <w:lang w:val="en-CA"/>
        </w:rPr>
        <w:t xml:space="preserve"> </w:t>
      </w:r>
      <w:hyperlink r:id="rId38" w:history="1">
        <w:r w:rsidRPr="00A826B6">
          <w:rPr>
            <w:rStyle w:val="Hyperlink"/>
            <w:szCs w:val="24"/>
            <w:lang w:val="en-CA"/>
          </w:rPr>
          <w:t>UN-SWAP</w:t>
        </w:r>
      </w:hyperlink>
      <w:r>
        <w:rPr>
          <w:szCs w:val="24"/>
          <w:lang w:val="en-CA"/>
        </w:rPr>
        <w:t xml:space="preserve"> which is</w:t>
      </w:r>
      <w:r w:rsidRPr="00EE1126">
        <w:rPr>
          <w:szCs w:val="24"/>
          <w:lang w:val="en-CA"/>
        </w:rPr>
        <w:t xml:space="preserve"> </w:t>
      </w:r>
      <w:r>
        <w:rPr>
          <w:szCs w:val="24"/>
          <w:lang w:val="en-CA"/>
        </w:rPr>
        <w:t>acknowledged by a formal letter to the SG</w:t>
      </w:r>
      <w:r w:rsidRPr="0094246C">
        <w:rPr>
          <w:szCs w:val="24"/>
          <w:lang w:val="en-CA"/>
        </w:rPr>
        <w:t xml:space="preserve">, including an analytical annex on </w:t>
      </w:r>
      <w:r>
        <w:rPr>
          <w:szCs w:val="24"/>
          <w:lang w:val="en-CA"/>
        </w:rPr>
        <w:t>ITU’s</w:t>
      </w:r>
      <w:r w:rsidRPr="0094246C">
        <w:rPr>
          <w:szCs w:val="24"/>
          <w:lang w:val="en-CA"/>
        </w:rPr>
        <w:t xml:space="preserve"> </w:t>
      </w:r>
      <w:r>
        <w:rPr>
          <w:szCs w:val="24"/>
          <w:lang w:val="en-CA"/>
        </w:rPr>
        <w:t xml:space="preserve">progress. The letter is available as information document </w:t>
      </w:r>
      <w:hyperlink r:id="rId39" w:history="1">
        <w:r w:rsidRPr="006C3F5C">
          <w:rPr>
            <w:rStyle w:val="Hyperlink"/>
            <w:szCs w:val="24"/>
            <w:lang w:val="en-CA"/>
          </w:rPr>
          <w:t>C18/INF/3</w:t>
        </w:r>
      </w:hyperlink>
      <w:r>
        <w:rPr>
          <w:szCs w:val="24"/>
          <w:lang w:val="en-CA"/>
        </w:rPr>
        <w:t>.</w:t>
      </w:r>
      <w:r w:rsidRPr="00EE1126">
        <w:rPr>
          <w:szCs w:val="24"/>
          <w:lang w:val="en-CA"/>
        </w:rPr>
        <w:t xml:space="preserve"> </w:t>
      </w:r>
      <w:r w:rsidRPr="006C3F5C">
        <w:rPr>
          <w:spacing w:val="2"/>
          <w:szCs w:val="24"/>
          <w:lang w:val="en-CA"/>
        </w:rPr>
        <w:t>Having completed its initial 5 years from 2012 to 2017, a revised second-generation framework,</w:t>
      </w:r>
      <w:r>
        <w:rPr>
          <w:szCs w:val="24"/>
          <w:lang w:val="en-CA"/>
        </w:rPr>
        <w:t xml:space="preserve"> UN-SWAP 2.0, will be in place from 2018</w:t>
      </w:r>
      <w:r w:rsidRPr="00EE1126">
        <w:rPr>
          <w:szCs w:val="24"/>
          <w:lang w:val="en-CA"/>
        </w:rPr>
        <w:t xml:space="preserve">. </w:t>
      </w:r>
    </w:p>
    <w:p w:rsidR="008047BE" w:rsidRPr="00EE1126" w:rsidRDefault="008047BE" w:rsidP="006C3F5C">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szCs w:val="24"/>
        </w:rPr>
      </w:pPr>
      <w:r w:rsidRPr="00EE1126">
        <w:rPr>
          <w:szCs w:val="24"/>
        </w:rPr>
        <w:t>5.</w:t>
      </w:r>
      <w:r>
        <w:rPr>
          <w:szCs w:val="24"/>
        </w:rPr>
        <w:t>2</w:t>
      </w:r>
      <w:r w:rsidRPr="00EE1126">
        <w:rPr>
          <w:szCs w:val="24"/>
        </w:rPr>
        <w:tab/>
        <w:t>International Gender Champion of Geneva</w:t>
      </w:r>
    </w:p>
    <w:p w:rsidR="008047BE" w:rsidRPr="00EE1126" w:rsidRDefault="008047BE" w:rsidP="003A5C98">
      <w:pPr>
        <w:tabs>
          <w:tab w:val="clear" w:pos="567"/>
          <w:tab w:val="clear" w:pos="1134"/>
          <w:tab w:val="clear" w:pos="1701"/>
          <w:tab w:val="clear" w:pos="2268"/>
          <w:tab w:val="clear" w:pos="2835"/>
        </w:tabs>
        <w:snapToGrid w:val="0"/>
        <w:spacing w:after="120"/>
        <w:jc w:val="both"/>
        <w:rPr>
          <w:rFonts w:cs="Calibri"/>
          <w:bCs/>
          <w:szCs w:val="24"/>
        </w:rPr>
      </w:pPr>
      <w:r w:rsidRPr="00EE1126">
        <w:rPr>
          <w:rFonts w:cs="Calibri"/>
          <w:bCs/>
          <w:szCs w:val="24"/>
        </w:rPr>
        <w:t xml:space="preserve">The ITU Secretary-General is a founding member of the </w:t>
      </w:r>
      <w:hyperlink r:id="rId40" w:history="1">
        <w:r w:rsidRPr="00EE1126">
          <w:rPr>
            <w:rStyle w:val="Hyperlink"/>
            <w:rFonts w:cs="Calibri"/>
            <w:bCs/>
            <w:szCs w:val="24"/>
          </w:rPr>
          <w:t>Gender Champions of Geneva</w:t>
        </w:r>
      </w:hyperlink>
      <w:r w:rsidRPr="00EE1126">
        <w:rPr>
          <w:rFonts w:cs="Calibri"/>
          <w:bCs/>
          <w:szCs w:val="24"/>
        </w:rPr>
        <w:t xml:space="preserve">. </w:t>
      </w:r>
      <w:r>
        <w:rPr>
          <w:rFonts w:cs="Calibri"/>
          <w:bCs/>
          <w:szCs w:val="24"/>
        </w:rPr>
        <w:t>In addition to the panel-parity pledge, the</w:t>
      </w:r>
      <w:r w:rsidRPr="00EE1126">
        <w:rPr>
          <w:rFonts w:cs="Calibri"/>
          <w:bCs/>
          <w:szCs w:val="24"/>
        </w:rPr>
        <w:t xml:space="preserve"> Secretary-General </w:t>
      </w:r>
      <w:r>
        <w:rPr>
          <w:rFonts w:cs="Calibri"/>
          <w:bCs/>
          <w:szCs w:val="24"/>
        </w:rPr>
        <w:t xml:space="preserve">has </w:t>
      </w:r>
      <w:hyperlink r:id="rId41" w:history="1">
        <w:r w:rsidRPr="003A5C98">
          <w:rPr>
            <w:rStyle w:val="Hyperlink"/>
            <w:rFonts w:cs="Calibri"/>
            <w:bCs/>
            <w:szCs w:val="24"/>
          </w:rPr>
          <w:t>committed</w:t>
        </w:r>
      </w:hyperlink>
      <w:r>
        <w:rPr>
          <w:rFonts w:cs="Calibri"/>
          <w:bCs/>
          <w:szCs w:val="24"/>
        </w:rPr>
        <w:t xml:space="preserve"> </w:t>
      </w:r>
      <w:r w:rsidRPr="00EE1126">
        <w:rPr>
          <w:rFonts w:cs="Calibri"/>
          <w:bCs/>
          <w:szCs w:val="24"/>
        </w:rPr>
        <w:t>to: (a) adopting positive measures to improve gender balance among ITU staff, (b) encouraging gender balance among delegates attending ITU conferences and meetings</w:t>
      </w:r>
      <w:r>
        <w:rPr>
          <w:rFonts w:cs="Calibri"/>
          <w:b/>
          <w:szCs w:val="24"/>
        </w:rPr>
        <w:t>,</w:t>
      </w:r>
      <w:r w:rsidRPr="00EE1126">
        <w:rPr>
          <w:rFonts w:cs="Calibri"/>
          <w:b/>
          <w:szCs w:val="24"/>
        </w:rPr>
        <w:t xml:space="preserve"> </w:t>
      </w:r>
      <w:r w:rsidRPr="00EE1126">
        <w:rPr>
          <w:rFonts w:cs="Calibri"/>
          <w:bCs/>
          <w:szCs w:val="24"/>
        </w:rPr>
        <w:t>(c)</w:t>
      </w:r>
      <w:r>
        <w:rPr>
          <w:rFonts w:cs="Calibri"/>
          <w:bCs/>
          <w:szCs w:val="24"/>
        </w:rPr>
        <w:t> </w:t>
      </w:r>
      <w:r w:rsidRPr="00EE1126">
        <w:rPr>
          <w:rFonts w:cs="Calibri"/>
          <w:bCs/>
          <w:szCs w:val="24"/>
        </w:rPr>
        <w:t>progress</w:t>
      </w:r>
      <w:r>
        <w:rPr>
          <w:rFonts w:cs="Calibri"/>
          <w:bCs/>
          <w:szCs w:val="24"/>
        </w:rPr>
        <w:t>ing</w:t>
      </w:r>
      <w:r w:rsidRPr="00EE1126">
        <w:rPr>
          <w:rFonts w:cs="Calibri"/>
          <w:bCs/>
          <w:szCs w:val="24"/>
        </w:rPr>
        <w:t xml:space="preserve"> towards gender balance in ITU statutory committees, and (d) encourag</w:t>
      </w:r>
      <w:r>
        <w:rPr>
          <w:rFonts w:cs="Calibri"/>
          <w:bCs/>
          <w:szCs w:val="24"/>
        </w:rPr>
        <w:t>ing</w:t>
      </w:r>
      <w:r w:rsidRPr="00EE1126">
        <w:rPr>
          <w:rFonts w:cs="Calibri"/>
          <w:bCs/>
          <w:szCs w:val="24"/>
        </w:rPr>
        <w:t xml:space="preserve"> Members States to nominate wome</w:t>
      </w:r>
      <w:r>
        <w:rPr>
          <w:rFonts w:cs="Calibri"/>
          <w:bCs/>
          <w:szCs w:val="24"/>
        </w:rPr>
        <w:t>n candidates for chair and vice-c</w:t>
      </w:r>
      <w:r w:rsidRPr="00EE1126">
        <w:rPr>
          <w:rFonts w:cs="Calibri"/>
          <w:bCs/>
          <w:szCs w:val="24"/>
        </w:rPr>
        <w:t>hair positions of Conferenc</w:t>
      </w:r>
      <w:r>
        <w:rPr>
          <w:rFonts w:cs="Calibri"/>
          <w:bCs/>
          <w:szCs w:val="24"/>
        </w:rPr>
        <w:t>es Committees, Council Working G</w:t>
      </w:r>
      <w:r w:rsidRPr="00EE1126">
        <w:rPr>
          <w:rFonts w:cs="Calibri"/>
          <w:bCs/>
          <w:szCs w:val="24"/>
        </w:rPr>
        <w:t>roups</w:t>
      </w:r>
      <w:r>
        <w:rPr>
          <w:rFonts w:cs="Calibri"/>
          <w:bCs/>
          <w:szCs w:val="24"/>
        </w:rPr>
        <w:t>,</w:t>
      </w:r>
      <w:r w:rsidRPr="00EE1126">
        <w:rPr>
          <w:rFonts w:cs="Calibri"/>
          <w:bCs/>
          <w:szCs w:val="24"/>
        </w:rPr>
        <w:t xml:space="preserve"> and Study Groups, as well as track, publish</w:t>
      </w:r>
      <w:r>
        <w:rPr>
          <w:rFonts w:cs="Calibri"/>
          <w:bCs/>
          <w:szCs w:val="24"/>
        </w:rPr>
        <w:t>,</w:t>
      </w:r>
      <w:r w:rsidRPr="00EE1126">
        <w:rPr>
          <w:rFonts w:cs="Calibri"/>
          <w:bCs/>
          <w:szCs w:val="24"/>
        </w:rPr>
        <w:t xml:space="preserve"> and mention the numbers in </w:t>
      </w:r>
      <w:r>
        <w:rPr>
          <w:rFonts w:cs="Calibri"/>
          <w:bCs/>
          <w:szCs w:val="24"/>
        </w:rPr>
        <w:t>particular during conferences</w:t>
      </w:r>
      <w:r w:rsidR="00400EEE">
        <w:rPr>
          <w:rFonts w:cs="Calibri"/>
          <w:bCs/>
          <w:szCs w:val="24"/>
        </w:rPr>
        <w:t xml:space="preserve">. </w:t>
      </w:r>
    </w:p>
    <w:p w:rsidR="008047BE" w:rsidRPr="00EE1126" w:rsidRDefault="008047BE" w:rsidP="00400EEE">
      <w:pPr>
        <w:pStyle w:val="Heading3"/>
        <w:keepNext w:val="0"/>
        <w:keepLines w:val="0"/>
        <w:tabs>
          <w:tab w:val="clear" w:pos="567"/>
          <w:tab w:val="clear" w:pos="1134"/>
          <w:tab w:val="clear" w:pos="1701"/>
          <w:tab w:val="clear" w:pos="2268"/>
          <w:tab w:val="clear" w:pos="2835"/>
        </w:tabs>
        <w:snapToGrid w:val="0"/>
        <w:spacing w:before="240" w:after="120"/>
        <w:ind w:left="0" w:firstLine="0"/>
        <w:rPr>
          <w:rFonts w:eastAsia="SimSun" w:cs="Arial"/>
          <w:szCs w:val="24"/>
        </w:rPr>
      </w:pPr>
      <w:r w:rsidRPr="00EE1126">
        <w:rPr>
          <w:rFonts w:eastAsia="SimSun"/>
          <w:szCs w:val="24"/>
        </w:rPr>
        <w:t>5.</w:t>
      </w:r>
      <w:r>
        <w:rPr>
          <w:rFonts w:eastAsia="SimSun"/>
          <w:szCs w:val="24"/>
        </w:rPr>
        <w:t>3</w:t>
      </w:r>
      <w:r w:rsidRPr="00EE1126">
        <w:rPr>
          <w:rFonts w:eastAsia="SimSun"/>
          <w:szCs w:val="24"/>
        </w:rPr>
        <w:tab/>
        <w:t xml:space="preserve">Network of BR Women Engineers in the Space Sector </w:t>
      </w:r>
    </w:p>
    <w:p w:rsidR="004C6C96" w:rsidRDefault="008047BE" w:rsidP="00400EEE">
      <w:pPr>
        <w:tabs>
          <w:tab w:val="clear" w:pos="567"/>
          <w:tab w:val="clear" w:pos="1134"/>
          <w:tab w:val="clear" w:pos="1701"/>
          <w:tab w:val="clear" w:pos="2268"/>
          <w:tab w:val="clear" w:pos="2835"/>
        </w:tabs>
        <w:snapToGrid w:val="0"/>
        <w:spacing w:after="120"/>
        <w:jc w:val="both"/>
        <w:rPr>
          <w:szCs w:val="24"/>
        </w:rPr>
      </w:pPr>
      <w:r w:rsidRPr="00EE1126">
        <w:rPr>
          <w:szCs w:val="24"/>
        </w:rPr>
        <w:t>In order to develop visibility in the Aerospace Sector</w:t>
      </w:r>
      <w:r w:rsidRPr="00EE1126">
        <w:rPr>
          <w:spacing w:val="-2"/>
          <w:szCs w:val="24"/>
        </w:rPr>
        <w:t xml:space="preserve">, BR female engineers, </w:t>
      </w:r>
      <w:r w:rsidRPr="00EE1126">
        <w:rPr>
          <w:spacing w:val="-4"/>
          <w:szCs w:val="24"/>
        </w:rPr>
        <w:t xml:space="preserve">members of </w:t>
      </w:r>
      <w:hyperlink r:id="rId42" w:history="1">
        <w:r w:rsidRPr="00EE1126">
          <w:rPr>
            <w:rStyle w:val="Hyperlink"/>
            <w:szCs w:val="24"/>
          </w:rPr>
          <w:t>Women in Aerospace Europe (WIA-E)</w:t>
        </w:r>
      </w:hyperlink>
      <w:r w:rsidRPr="00EE1126">
        <w:rPr>
          <w:szCs w:val="24"/>
        </w:rPr>
        <w:t>, continue to engage key stakeholders and delegates. In 201</w:t>
      </w:r>
      <w:r>
        <w:rPr>
          <w:szCs w:val="24"/>
        </w:rPr>
        <w:t>7</w:t>
      </w:r>
      <w:r w:rsidRPr="00EE1126">
        <w:rPr>
          <w:szCs w:val="24"/>
        </w:rPr>
        <w:t xml:space="preserve"> </w:t>
      </w:r>
      <w:r w:rsidRPr="00A73015">
        <w:rPr>
          <w:szCs w:val="24"/>
        </w:rPr>
        <w:t xml:space="preserve">the network is expending with participation to the Girls in ICT Day with a satellite workshop and meetings with key stakeholders in the sector </w:t>
      </w:r>
      <w:r w:rsidRPr="00EE1126">
        <w:rPr>
          <w:szCs w:val="24"/>
        </w:rPr>
        <w:t>with the objective of encouraging and preparing for an equal and active participation at every level in the Sector.</w:t>
      </w:r>
    </w:p>
    <w:p w:rsidR="004C6C96" w:rsidRPr="00EE1126" w:rsidRDefault="008047BE" w:rsidP="001F3BAF">
      <w:pPr>
        <w:pStyle w:val="Heading3"/>
        <w:rPr>
          <w:rFonts w:eastAsia="SimSun"/>
        </w:rPr>
      </w:pPr>
      <w:r w:rsidRPr="00EE1126">
        <w:t>5.</w:t>
      </w:r>
      <w:r>
        <w:t>4</w:t>
      </w:r>
      <w:r w:rsidRPr="00EE1126">
        <w:tab/>
      </w:r>
      <w:r w:rsidRPr="00D1782A">
        <w:t>Exploring technologies and hands-on STEM experience for Girls</w:t>
      </w:r>
    </w:p>
    <w:p w:rsidR="008047BE" w:rsidRPr="00A73015" w:rsidRDefault="008047BE" w:rsidP="001F3BAF">
      <w:pPr>
        <w:tabs>
          <w:tab w:val="clear" w:pos="567"/>
          <w:tab w:val="clear" w:pos="1134"/>
          <w:tab w:val="clear" w:pos="1701"/>
          <w:tab w:val="clear" w:pos="2268"/>
          <w:tab w:val="clear" w:pos="2835"/>
        </w:tabs>
        <w:snapToGrid w:val="0"/>
        <w:spacing w:after="120"/>
        <w:jc w:val="both"/>
        <w:rPr>
          <w:szCs w:val="24"/>
        </w:rPr>
      </w:pPr>
      <w:r w:rsidRPr="00A73015">
        <w:t>In order to strengthen links and interaction between ITU and the local community, ITU HQ staff (BR Engineers, SPM, BDT) provid</w:t>
      </w:r>
      <w:r w:rsidR="00400EEE">
        <w:t>ed volunteer support and organiz</w:t>
      </w:r>
      <w:r w:rsidRPr="00A73015">
        <w:t xml:space="preserve">ed a </w:t>
      </w:r>
      <w:hyperlink r:id="rId43" w:history="1">
        <w:r w:rsidRPr="006C3F5C">
          <w:rPr>
            <w:rStyle w:val="Hyperlink"/>
          </w:rPr>
          <w:t>workshop on robotics</w:t>
        </w:r>
      </w:hyperlink>
      <w:r w:rsidRPr="00A73015">
        <w:t xml:space="preserve"> at the event </w:t>
      </w:r>
      <w:r w:rsidR="00394DFF">
        <w:t>“</w:t>
      </w:r>
      <w:hyperlink r:id="rId44" w:history="1">
        <w:r w:rsidRPr="006C3F5C">
          <w:rPr>
            <w:rStyle w:val="Hyperlink"/>
          </w:rPr>
          <w:t>Expanding your Horizons - Geneva</w:t>
        </w:r>
      </w:hyperlink>
      <w:r w:rsidR="00400EEE">
        <w:t>”</w:t>
      </w:r>
      <w:r w:rsidRPr="00A73015">
        <w:t xml:space="preserve"> (EYH), hosted at the University of Geneva in November 2017. This event aims at encouraging girls aged 11 to 14 to study and consider a career in science, mathematics, engineering and technology (STEM) subjects. </w:t>
      </w:r>
    </w:p>
    <w:p w:rsidR="00264425" w:rsidRPr="002A2188" w:rsidRDefault="008047BE" w:rsidP="006C3F5C">
      <w:pPr>
        <w:spacing w:before="600"/>
        <w:jc w:val="center"/>
        <w:rPr>
          <w:lang w:val="en-US"/>
        </w:rPr>
      </w:pPr>
      <w:r w:rsidRPr="00EE1126">
        <w:t>_________</w:t>
      </w:r>
      <w:r>
        <w:t>______</w:t>
      </w:r>
    </w:p>
    <w:sectPr w:rsidR="00264425" w:rsidRPr="002A2188" w:rsidSect="004D1851">
      <w:headerReference w:type="even" r:id="rId45"/>
      <w:headerReference w:type="default" r:id="rId46"/>
      <w:footerReference w:type="even" r:id="rId47"/>
      <w:footerReference w:type="default" r:id="rId48"/>
      <w:headerReference w:type="first" r:id="rId49"/>
      <w:footerReference w:type="first" r:id="rId5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8A" w:rsidRDefault="00685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68598A" w:rsidRDefault="00CB18FF" w:rsidP="00685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Default="003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8A" w:rsidRDefault="006859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D180F">
      <w:rPr>
        <w:noProof/>
      </w:rPr>
      <w:t>2</w:t>
    </w:r>
    <w:r>
      <w:rPr>
        <w:noProof/>
      </w:rPr>
      <w:fldChar w:fldCharType="end"/>
    </w:r>
  </w:p>
  <w:p w:rsidR="00322D0D" w:rsidRPr="00623AE3" w:rsidRDefault="00623AE3" w:rsidP="006C3F5C">
    <w:pPr>
      <w:pStyle w:val="Header"/>
      <w:rPr>
        <w:bCs/>
      </w:rPr>
    </w:pPr>
    <w:r w:rsidRPr="00623AE3">
      <w:rPr>
        <w:bCs/>
      </w:rPr>
      <w:t>C18/</w:t>
    </w:r>
    <w:r w:rsidR="006C3F5C">
      <w:rPr>
        <w:bCs/>
      </w:rPr>
      <w:t>6</w:t>
    </w:r>
    <w:r w:rsidRPr="00623AE3">
      <w:rPr>
        <w:bC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8A" w:rsidRDefault="006859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984804"/>
    <w:multiLevelType w:val="hybridMultilevel"/>
    <w:tmpl w:val="FFB6748A"/>
    <w:lvl w:ilvl="0" w:tplc="0409000F">
      <w:start w:val="1"/>
      <w:numFmt w:val="decimal"/>
      <w:lvlText w:val="%1."/>
      <w:lvlJc w:val="left"/>
      <w:pPr>
        <w:ind w:left="-1058" w:hanging="360"/>
      </w:p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2412B"/>
    <w:rsid w:val="00063016"/>
    <w:rsid w:val="00066795"/>
    <w:rsid w:val="00076AF6"/>
    <w:rsid w:val="00085CF2"/>
    <w:rsid w:val="000B1705"/>
    <w:rsid w:val="000C55F1"/>
    <w:rsid w:val="000D1A83"/>
    <w:rsid w:val="000D75B2"/>
    <w:rsid w:val="001121F5"/>
    <w:rsid w:val="001400DC"/>
    <w:rsid w:val="00140CE1"/>
    <w:rsid w:val="0017539C"/>
    <w:rsid w:val="00175AC2"/>
    <w:rsid w:val="0017609F"/>
    <w:rsid w:val="001859E0"/>
    <w:rsid w:val="001C628E"/>
    <w:rsid w:val="001E0F7B"/>
    <w:rsid w:val="001F3BAF"/>
    <w:rsid w:val="0020315E"/>
    <w:rsid w:val="002119FD"/>
    <w:rsid w:val="002130E0"/>
    <w:rsid w:val="00264425"/>
    <w:rsid w:val="00265875"/>
    <w:rsid w:val="0027303B"/>
    <w:rsid w:val="0028109B"/>
    <w:rsid w:val="002A2188"/>
    <w:rsid w:val="002B1F58"/>
    <w:rsid w:val="002C1C7A"/>
    <w:rsid w:val="0030160F"/>
    <w:rsid w:val="00322D0D"/>
    <w:rsid w:val="003942D4"/>
    <w:rsid w:val="00394DFF"/>
    <w:rsid w:val="003958A8"/>
    <w:rsid w:val="003A5C98"/>
    <w:rsid w:val="003C2533"/>
    <w:rsid w:val="00400EEE"/>
    <w:rsid w:val="0040435A"/>
    <w:rsid w:val="00416A24"/>
    <w:rsid w:val="00431D9E"/>
    <w:rsid w:val="00433CE8"/>
    <w:rsid w:val="00434A5C"/>
    <w:rsid w:val="004544D9"/>
    <w:rsid w:val="00490E72"/>
    <w:rsid w:val="00491157"/>
    <w:rsid w:val="004921C8"/>
    <w:rsid w:val="004B57DE"/>
    <w:rsid w:val="004C6C96"/>
    <w:rsid w:val="004D1851"/>
    <w:rsid w:val="004D599D"/>
    <w:rsid w:val="004E2EA5"/>
    <w:rsid w:val="004E3AEB"/>
    <w:rsid w:val="0050223C"/>
    <w:rsid w:val="00507D0F"/>
    <w:rsid w:val="005243FF"/>
    <w:rsid w:val="00531E39"/>
    <w:rsid w:val="00544804"/>
    <w:rsid w:val="00564FBC"/>
    <w:rsid w:val="00582442"/>
    <w:rsid w:val="005F3269"/>
    <w:rsid w:val="00623AE3"/>
    <w:rsid w:val="0064737F"/>
    <w:rsid w:val="006535F1"/>
    <w:rsid w:val="0065557D"/>
    <w:rsid w:val="00662984"/>
    <w:rsid w:val="006716BB"/>
    <w:rsid w:val="0068598A"/>
    <w:rsid w:val="006B6680"/>
    <w:rsid w:val="006B6DCC"/>
    <w:rsid w:val="006C3F5C"/>
    <w:rsid w:val="006C620F"/>
    <w:rsid w:val="006E1272"/>
    <w:rsid w:val="00700045"/>
    <w:rsid w:val="00702DEF"/>
    <w:rsid w:val="0070606F"/>
    <w:rsid w:val="00706861"/>
    <w:rsid w:val="0075051B"/>
    <w:rsid w:val="007606E1"/>
    <w:rsid w:val="00793188"/>
    <w:rsid w:val="00794D34"/>
    <w:rsid w:val="007B5040"/>
    <w:rsid w:val="008047BE"/>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D180F"/>
    <w:rsid w:val="00AD756F"/>
    <w:rsid w:val="00AF6E49"/>
    <w:rsid w:val="00B04A67"/>
    <w:rsid w:val="00B0583C"/>
    <w:rsid w:val="00B40A81"/>
    <w:rsid w:val="00B44910"/>
    <w:rsid w:val="00B46D06"/>
    <w:rsid w:val="00B72267"/>
    <w:rsid w:val="00B76EB6"/>
    <w:rsid w:val="00B7737B"/>
    <w:rsid w:val="00B824C8"/>
    <w:rsid w:val="00BB389A"/>
    <w:rsid w:val="00BC251A"/>
    <w:rsid w:val="00BC6783"/>
    <w:rsid w:val="00BD032B"/>
    <w:rsid w:val="00BE2640"/>
    <w:rsid w:val="00C01189"/>
    <w:rsid w:val="00C374DE"/>
    <w:rsid w:val="00C47AD4"/>
    <w:rsid w:val="00C52D81"/>
    <w:rsid w:val="00C55198"/>
    <w:rsid w:val="00C77A5F"/>
    <w:rsid w:val="00CA6393"/>
    <w:rsid w:val="00CB18FF"/>
    <w:rsid w:val="00CD0C08"/>
    <w:rsid w:val="00CE03FB"/>
    <w:rsid w:val="00CE433C"/>
    <w:rsid w:val="00CF33F3"/>
    <w:rsid w:val="00D04E39"/>
    <w:rsid w:val="00D06183"/>
    <w:rsid w:val="00D22C42"/>
    <w:rsid w:val="00D65041"/>
    <w:rsid w:val="00D714F1"/>
    <w:rsid w:val="00DB384B"/>
    <w:rsid w:val="00E10E80"/>
    <w:rsid w:val="00E124F0"/>
    <w:rsid w:val="00E60F04"/>
    <w:rsid w:val="00E854E4"/>
    <w:rsid w:val="00EB0D6F"/>
    <w:rsid w:val="00EB2232"/>
    <w:rsid w:val="00EC5337"/>
    <w:rsid w:val="00F2150A"/>
    <w:rsid w:val="00F231D8"/>
    <w:rsid w:val="00F46C5F"/>
    <w:rsid w:val="00F52905"/>
    <w:rsid w:val="00F94A63"/>
    <w:rsid w:val="00FA1C28"/>
    <w:rsid w:val="00FB7596"/>
    <w:rsid w:val="00FC0D24"/>
    <w:rsid w:val="00FE4077"/>
    <w:rsid w:val="00FE61D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8047BE"/>
    <w:rPr>
      <w:rFonts w:ascii="Calibri" w:hAnsi="Calibri"/>
      <w:b/>
      <w:sz w:val="28"/>
      <w:lang w:val="en-GB" w:eastAsia="en-US"/>
    </w:rPr>
  </w:style>
  <w:style w:type="character" w:customStyle="1" w:styleId="Heading3Char">
    <w:name w:val="Heading 3 Char"/>
    <w:basedOn w:val="DefaultParagraphFont"/>
    <w:link w:val="Heading3"/>
    <w:rsid w:val="008047BE"/>
    <w:rPr>
      <w:rFonts w:ascii="Calibri" w:hAnsi="Calibri"/>
      <w:b/>
      <w:sz w:val="24"/>
      <w:lang w:val="en-GB" w:eastAsia="en-US"/>
    </w:rPr>
  </w:style>
  <w:style w:type="paragraph" w:styleId="ListParagraph">
    <w:name w:val="List Paragraph"/>
    <w:basedOn w:val="Normal"/>
    <w:link w:val="ListParagraphChar"/>
    <w:uiPriority w:val="34"/>
    <w:qFormat/>
    <w:rsid w:val="008047BE"/>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8047BE"/>
    <w:rPr>
      <w:rFonts w:ascii="Times New Roman" w:eastAsiaTheme="minorEastAsia" w:hAnsi="Times New Roman" w:cstheme="minorBidi"/>
      <w:sz w:val="22"/>
      <w:szCs w:val="22"/>
      <w:lang w:val="fr-CH"/>
    </w:rPr>
  </w:style>
  <w:style w:type="paragraph" w:styleId="BalloonText">
    <w:name w:val="Balloon Text"/>
    <w:basedOn w:val="Normal"/>
    <w:link w:val="BalloonTextChar"/>
    <w:semiHidden/>
    <w:unhideWhenUsed/>
    <w:rsid w:val="00FE61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61D1"/>
    <w:rPr>
      <w:rFonts w:ascii="Segoe UI" w:hAnsi="Segoe UI" w:cs="Segoe UI"/>
      <w:sz w:val="18"/>
      <w:szCs w:val="18"/>
      <w:lang w:val="en-GB" w:eastAsia="en-US"/>
    </w:rPr>
  </w:style>
  <w:style w:type="paragraph" w:styleId="Revision">
    <w:name w:val="Revision"/>
    <w:hidden/>
    <w:uiPriority w:val="99"/>
    <w:semiHidden/>
    <w:rsid w:val="00531E3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5-CL-C-0006/en" TargetMode="External"/><Relationship Id="rId18" Type="http://schemas.openxmlformats.org/officeDocument/2006/relationships/hyperlink" Target="http://www.itu.int/en/action/gender-equality/Pages/default.aspx" TargetMode="External"/><Relationship Id="rId26" Type="http://schemas.openxmlformats.org/officeDocument/2006/relationships/hyperlink" Target="http://www.itu.int/en/action/gender-equality/Documents/raising-womens-voices.pdf" TargetMode="External"/><Relationship Id="rId39" Type="http://schemas.openxmlformats.org/officeDocument/2006/relationships/hyperlink" Target="https://www.itu.int/md/S18-CL-INF-0003/en" TargetMode="External"/><Relationship Id="rId3" Type="http://schemas.openxmlformats.org/officeDocument/2006/relationships/styles" Target="styles.xml"/><Relationship Id="rId21" Type="http://schemas.openxmlformats.org/officeDocument/2006/relationships/hyperlink" Target="http://equals.org/" TargetMode="External"/><Relationship Id="rId34" Type="http://schemas.openxmlformats.org/officeDocument/2006/relationships/hyperlink" Target="http://www.itu.int/en/ITU-R/seminars/rrs/2017-Arab/Pages/default.aspx" TargetMode="External"/><Relationship Id="rId42" Type="http://schemas.openxmlformats.org/officeDocument/2006/relationships/hyperlink" Target="http://wia-europe.org/"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md/S14-CL-C-0006/en" TargetMode="External"/><Relationship Id="rId17" Type="http://schemas.openxmlformats.org/officeDocument/2006/relationships/hyperlink" Target="https://www.itu.int/md/S18-CL-INF-0003/en" TargetMode="External"/><Relationship Id="rId25" Type="http://schemas.openxmlformats.org/officeDocument/2006/relationships/hyperlink" Target="http://www.broadbandcommission.org/Documents/publications/WG-Gender-Digital-Divide-Report2017.pdf" TargetMode="External"/><Relationship Id="rId33" Type="http://schemas.openxmlformats.org/officeDocument/2006/relationships/hyperlink" Target="http://www.itu.int/en/ITU-R/study-groups/rsg5/tg5-1/NOW4WRC19/Pages/default.aspx" TargetMode="External"/><Relationship Id="rId38" Type="http://schemas.openxmlformats.org/officeDocument/2006/relationships/hyperlink" Target="http://www.unwomen.org/en/how-we-work/un-system-coordination/promoting-un-accountabili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S18-CL-C-0013/en" TargetMode="External"/><Relationship Id="rId20" Type="http://schemas.openxmlformats.org/officeDocument/2006/relationships/hyperlink" Target="https://www.itu.int/genderdashboard" TargetMode="External"/><Relationship Id="rId29" Type="http://schemas.openxmlformats.org/officeDocument/2006/relationships/hyperlink" Target="http://www.itu.int/en/ITU-R/seminars/wrs/2016/Pages/NOWforWRC19.aspx" TargetMode="External"/><Relationship Id="rId41" Type="http://schemas.openxmlformats.org/officeDocument/2006/relationships/hyperlink" Target="http://genderchampions.com/champions/houlin-zh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39/en" TargetMode="External"/><Relationship Id="rId24" Type="http://schemas.openxmlformats.org/officeDocument/2006/relationships/hyperlink" Target="http://broadbandcommission.org/workinggroups/Pages/digital-gender-divide.aspx" TargetMode="External"/><Relationship Id="rId32" Type="http://schemas.openxmlformats.org/officeDocument/2006/relationships/hyperlink" Target="http://www.itu.int/en/ITU-R/study-groups/rsg4/rwp4a/NOW4WRC19/Pages/default.aspx" TargetMode="External"/><Relationship Id="rId37" Type="http://schemas.openxmlformats.org/officeDocument/2006/relationships/hyperlink" Target="http://www.itu.int/md/S18-CL-C-0013/en" TargetMode="External"/><Relationship Id="rId40" Type="http://schemas.openxmlformats.org/officeDocument/2006/relationships/hyperlink" Target="http://genderchampions.com/geneva-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7-CL-C-0006/en" TargetMode="External"/><Relationship Id="rId23" Type="http://schemas.openxmlformats.org/officeDocument/2006/relationships/hyperlink" Target="http://www.itu.int/en/action/women/gem/Pages/award-2016.aspx" TargetMode="External"/><Relationship Id="rId28" Type="http://schemas.openxmlformats.org/officeDocument/2006/relationships/hyperlink" Target="https://www.itu.int/en/ITU-R/seminars/wrs/2016/Pages/default.aspx" TargetMode="External"/><Relationship Id="rId36" Type="http://schemas.openxmlformats.org/officeDocument/2006/relationships/hyperlink" Target="http://www.itu.int/en/ITU-T/wise/Pages/WTSA-16-WISE-Event.aspx" TargetMode="External"/><Relationship Id="rId49" Type="http://schemas.openxmlformats.org/officeDocument/2006/relationships/header" Target="header3.xml"/><Relationship Id="rId10" Type="http://schemas.openxmlformats.org/officeDocument/2006/relationships/hyperlink" Target="http://www.itu.int/md/S13-CL-INF-0011/en" TargetMode="External"/><Relationship Id="rId19" Type="http://schemas.openxmlformats.org/officeDocument/2006/relationships/hyperlink" Target="https://www.itu.int/genderdashboard" TargetMode="External"/><Relationship Id="rId31" Type="http://schemas.openxmlformats.org/officeDocument/2006/relationships/hyperlink" Target="https://www.itu.int/en/ITU-R/study-groups/rsg4/rwp4a/Pages/default.aspx" TargetMode="External"/><Relationship Id="rId44" Type="http://schemas.openxmlformats.org/officeDocument/2006/relationships/hyperlink" Target="http://www.elargisteshorizons.ch/"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yperlink" Target="http://www.itu.int/md/S16-CL-C-0006/en" TargetMode="External"/><Relationship Id="rId22" Type="http://schemas.openxmlformats.org/officeDocument/2006/relationships/hyperlink" Target="https://www.equals.org/2017-equals-in-tech-awards" TargetMode="External"/><Relationship Id="rId27" Type="http://schemas.openxmlformats.org/officeDocument/2006/relationships/hyperlink" Target="https://www.itu.int/en/ITU-D/Digital-Inclusion/Pages/WTDC-17-Women%27s-Breakfast.aspx" TargetMode="External"/><Relationship Id="rId30" Type="http://schemas.openxmlformats.org/officeDocument/2006/relationships/hyperlink" Target="http://www.itu.int/en/ITU-R/conferences/wrc/2019/Pages/default.aspx" TargetMode="External"/><Relationship Id="rId35" Type="http://schemas.openxmlformats.org/officeDocument/2006/relationships/hyperlink" Target="http://www.itu.int/en/ITU-R/seminars/rrs/2017-Asia-Pacific/Pages/default.aspx" TargetMode="External"/><Relationship Id="rId43" Type="http://schemas.openxmlformats.org/officeDocument/2006/relationships/hyperlink" Target="https://www.equals.org/single-post/2017/11/21/Hundreds-of-girls-expand-their-horizons-with-hands-on-STEM-experiences-in-Geneva"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C3661-B75F-48D5-B71F-0A513DE8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4</TotalTime>
  <Pages>4</Pages>
  <Words>1806</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ITU's activities related to Resolution 70</vt:lpstr>
    </vt:vector>
  </TitlesOfParts>
  <Manager>General Secretariat - Pool</Manager>
  <Company>International Telecommunication Union (ITU)</Company>
  <LinksUpToDate>false</LinksUpToDate>
  <CharactersWithSpaces>14537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dc:title>
  <dc:subject>Council 2018</dc:subject>
  <dc:creator>Brouard, Ricarda</dc:creator>
  <cp:keywords>C2018, C18</cp:keywords>
  <dc:description/>
  <cp:lastModifiedBy>Brouard, Ricarda</cp:lastModifiedBy>
  <cp:revision>6</cp:revision>
  <cp:lastPrinted>2000-07-18T13:30:00Z</cp:lastPrinted>
  <dcterms:created xsi:type="dcterms:W3CDTF">2018-01-31T09:31:00Z</dcterms:created>
  <dcterms:modified xsi:type="dcterms:W3CDTF">2018-02-14T09:52:00Z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