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543024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 xml:space="preserve">Agenda item: </w:t>
            </w:r>
            <w:r w:rsidR="00543024">
              <w:rPr>
                <w:b/>
              </w:rPr>
              <w:t>ADM 1</w:t>
            </w:r>
          </w:p>
        </w:tc>
        <w:tc>
          <w:tcPr>
            <w:tcW w:w="3120" w:type="dxa"/>
          </w:tcPr>
          <w:p w:rsidR="002A2188" w:rsidRPr="00E85629" w:rsidRDefault="002A2188" w:rsidP="00543024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543024">
              <w:rPr>
                <w:b/>
              </w:rPr>
              <w:t>9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85629" w:rsidRDefault="00543024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February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7" w:name="dsource" w:colFirst="0" w:colLast="0"/>
            <w:bookmarkEnd w:id="6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543024" w:rsidP="00464B6C">
            <w:pPr>
              <w:pStyle w:val="Title1"/>
            </w:pPr>
            <w:bookmarkStart w:id="8" w:name="dtitle1" w:colFirst="0" w:colLast="0"/>
            <w:bookmarkEnd w:id="7"/>
            <w:r w:rsidRPr="00543024">
              <w:t>ANNUAL REVIEW OF REVENUE AND EXPENSES</w:t>
            </w:r>
          </w:p>
        </w:tc>
      </w:tr>
      <w:bookmarkEnd w:id="8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024" w:rsidRPr="00543024" w:rsidRDefault="00543024" w:rsidP="00D42CFD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543024">
              <w:rPr>
                <w:szCs w:val="24"/>
              </w:rPr>
              <w:t>Summary</w:t>
            </w:r>
          </w:p>
          <w:p w:rsidR="00543024" w:rsidRPr="00543024" w:rsidRDefault="00543024" w:rsidP="00D42CFD">
            <w:pPr>
              <w:spacing w:after="120"/>
              <w:jc w:val="both"/>
              <w:rPr>
                <w:szCs w:val="24"/>
              </w:rPr>
            </w:pPr>
            <w:r w:rsidRPr="00543024">
              <w:rPr>
                <w:szCs w:val="24"/>
              </w:rPr>
              <w:t>This document presents the key elements of the 2018-2019 Budget implementation, pursuant to No. 73 of the ITU Convention, which provides that an annual review of revenue and expenses shall be carried out by the Council.</w:t>
            </w:r>
          </w:p>
          <w:p w:rsidR="00543024" w:rsidRPr="00543024" w:rsidRDefault="00543024" w:rsidP="00D42CFD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543024">
              <w:rPr>
                <w:szCs w:val="24"/>
              </w:rPr>
              <w:t>Action required</w:t>
            </w:r>
          </w:p>
          <w:p w:rsidR="00543024" w:rsidRPr="00543024" w:rsidRDefault="00543024" w:rsidP="00D42CFD">
            <w:pPr>
              <w:spacing w:after="120"/>
              <w:jc w:val="both"/>
              <w:rPr>
                <w:szCs w:val="24"/>
              </w:rPr>
            </w:pPr>
            <w:r w:rsidRPr="00543024">
              <w:rPr>
                <w:szCs w:val="24"/>
              </w:rPr>
              <w:t xml:space="preserve">The Council is invited to </w:t>
            </w:r>
            <w:r w:rsidRPr="00543024">
              <w:rPr>
                <w:b/>
                <w:bCs/>
                <w:szCs w:val="24"/>
              </w:rPr>
              <w:t>take note</w:t>
            </w:r>
            <w:r w:rsidRPr="00543024">
              <w:rPr>
                <w:szCs w:val="24"/>
              </w:rPr>
              <w:t xml:space="preserve"> of this document.</w:t>
            </w:r>
          </w:p>
          <w:p w:rsidR="00543024" w:rsidRPr="00543024" w:rsidRDefault="00543024" w:rsidP="00543024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543024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543024" w:rsidRPr="00543024" w:rsidRDefault="00543024" w:rsidP="00543024">
            <w:pPr>
              <w:pStyle w:val="Headingb"/>
              <w:spacing w:before="120" w:after="120"/>
              <w:rPr>
                <w:szCs w:val="24"/>
              </w:rPr>
            </w:pPr>
            <w:r w:rsidRPr="00543024">
              <w:rPr>
                <w:szCs w:val="24"/>
              </w:rPr>
              <w:t>References</w:t>
            </w:r>
          </w:p>
          <w:p w:rsidR="00543024" w:rsidRPr="00543024" w:rsidRDefault="00EF302B" w:rsidP="00543024">
            <w:pPr>
              <w:snapToGrid w:val="0"/>
              <w:rPr>
                <w:i/>
                <w:iCs/>
                <w:szCs w:val="24"/>
              </w:rPr>
            </w:pPr>
            <w:hyperlink r:id="rId9" w:history="1">
              <w:r w:rsidR="00543024" w:rsidRPr="00543024">
                <w:rPr>
                  <w:rStyle w:val="Hyperlink"/>
                  <w:i/>
                  <w:iCs/>
                  <w:szCs w:val="24"/>
                </w:rPr>
                <w:t>CV/Art. 4, No. 73</w:t>
              </w:r>
            </w:hyperlink>
          </w:p>
          <w:p w:rsidR="002A2188" w:rsidRPr="00813E5E" w:rsidRDefault="00EF302B" w:rsidP="00543024">
            <w:pPr>
              <w:spacing w:before="0" w:after="120"/>
              <w:rPr>
                <w:i/>
                <w:iCs/>
              </w:rPr>
            </w:pPr>
            <w:hyperlink r:id="rId10" w:history="1">
              <w:r w:rsidR="00543024" w:rsidRPr="00543024">
                <w:rPr>
                  <w:rStyle w:val="Hyperlink"/>
                  <w:i/>
                  <w:iCs/>
                  <w:szCs w:val="24"/>
                </w:rPr>
                <w:t>Council Resolution 1387</w:t>
              </w:r>
            </w:hyperlink>
            <w:r w:rsidR="00543024" w:rsidRPr="00543024">
              <w:rPr>
                <w:i/>
                <w:iCs/>
                <w:szCs w:val="24"/>
              </w:rPr>
              <w:t xml:space="preserve"> (Biennial Budget of the Union for 2018-2019)</w:t>
            </w:r>
          </w:p>
        </w:tc>
      </w:tr>
    </w:tbl>
    <w:p w:rsidR="00543024" w:rsidRPr="00AE1976" w:rsidRDefault="00543024" w:rsidP="00543024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720" w:after="120"/>
        <w:ind w:left="709" w:hanging="709"/>
        <w:textAlignment w:val="auto"/>
        <w:rPr>
          <w:b/>
          <w:bCs/>
          <w:szCs w:val="24"/>
          <w:lang w:val="en-AU"/>
        </w:rPr>
      </w:pPr>
      <w:bookmarkStart w:id="9" w:name="dstart"/>
      <w:bookmarkStart w:id="10" w:name="dbreak"/>
      <w:bookmarkEnd w:id="9"/>
      <w:bookmarkEnd w:id="10"/>
      <w:r w:rsidRPr="00AE1976">
        <w:rPr>
          <w:b/>
          <w:bCs/>
          <w:szCs w:val="24"/>
          <w:lang w:val="en-AU"/>
        </w:rPr>
        <w:t>Introduction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 w:rsidRPr="00AE1976">
        <w:rPr>
          <w:szCs w:val="24"/>
        </w:rPr>
        <w:t xml:space="preserve">The purpose of this document is to report on the </w:t>
      </w:r>
      <w:r>
        <w:rPr>
          <w:szCs w:val="24"/>
        </w:rPr>
        <w:t xml:space="preserve">status of the </w:t>
      </w:r>
      <w:r w:rsidRPr="00AE1976">
        <w:rPr>
          <w:szCs w:val="24"/>
        </w:rPr>
        <w:t>implementation</w:t>
      </w:r>
      <w:r>
        <w:rPr>
          <w:szCs w:val="24"/>
        </w:rPr>
        <w:t xml:space="preserve"> of the first year of the 2018-2019 </w:t>
      </w:r>
      <w:r w:rsidRPr="00AE1976">
        <w:rPr>
          <w:szCs w:val="24"/>
        </w:rPr>
        <w:t>Budget of the Union</w:t>
      </w:r>
      <w:r>
        <w:rPr>
          <w:szCs w:val="24"/>
        </w:rPr>
        <w:t xml:space="preserve"> </w:t>
      </w:r>
      <w:r w:rsidRPr="00AE1976">
        <w:rPr>
          <w:szCs w:val="24"/>
        </w:rPr>
        <w:t xml:space="preserve">in relation to </w:t>
      </w:r>
      <w:r>
        <w:rPr>
          <w:szCs w:val="24"/>
        </w:rPr>
        <w:t>revenue and expenses</w:t>
      </w:r>
      <w:r w:rsidRPr="00AE1976">
        <w:rPr>
          <w:szCs w:val="24"/>
        </w:rPr>
        <w:t>.</w:t>
      </w:r>
    </w:p>
    <w:p w:rsidR="00543024" w:rsidRPr="00AE1976" w:rsidRDefault="00543024" w:rsidP="00543024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709" w:hanging="709"/>
        <w:jc w:val="both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Budget of the Union for 2018-2019 (Resolution 1387</w:t>
      </w:r>
      <w:r w:rsidRPr="00AE1976">
        <w:rPr>
          <w:b/>
          <w:bCs/>
          <w:szCs w:val="24"/>
        </w:rPr>
        <w:t>)</w:t>
      </w:r>
    </w:p>
    <w:p w:rsidR="00543024" w:rsidRDefault="00543024" w:rsidP="00543024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szCs w:val="24"/>
        </w:rPr>
      </w:pPr>
      <w:r>
        <w:rPr>
          <w:szCs w:val="24"/>
        </w:rPr>
        <w:t>The 2018</w:t>
      </w:r>
      <w:r w:rsidRPr="00825683">
        <w:rPr>
          <w:szCs w:val="24"/>
        </w:rPr>
        <w:t>-201</w:t>
      </w:r>
      <w:r>
        <w:rPr>
          <w:szCs w:val="24"/>
        </w:rPr>
        <w:t>9</w:t>
      </w:r>
      <w:r w:rsidRPr="00825683">
        <w:rPr>
          <w:szCs w:val="24"/>
        </w:rPr>
        <w:t xml:space="preserve"> Budget of the Union was adopted by </w:t>
      </w:r>
      <w:r w:rsidR="00D42CFD">
        <w:rPr>
          <w:szCs w:val="24"/>
        </w:rPr>
        <w:t xml:space="preserve">the </w:t>
      </w:r>
      <w:r w:rsidRPr="00825683">
        <w:rPr>
          <w:szCs w:val="24"/>
        </w:rPr>
        <w:t>Council at its 201</w:t>
      </w:r>
      <w:r>
        <w:rPr>
          <w:szCs w:val="24"/>
        </w:rPr>
        <w:t>7 session by Resolution 1387</w:t>
      </w:r>
      <w:r w:rsidRPr="00825683">
        <w:rPr>
          <w:szCs w:val="24"/>
        </w:rPr>
        <w:t>.  The biennial bu</w:t>
      </w:r>
      <w:r>
        <w:rPr>
          <w:szCs w:val="24"/>
        </w:rPr>
        <w:t>dget amounts to CHF 324,617</w:t>
      </w:r>
      <w:r w:rsidRPr="00825683">
        <w:rPr>
          <w:szCs w:val="24"/>
        </w:rPr>
        <w:t xml:space="preserve">,000, </w:t>
      </w:r>
      <w:r>
        <w:rPr>
          <w:szCs w:val="24"/>
        </w:rPr>
        <w:t>and is divided as follows: CHF 159,877,000 for 2018 and CHF 164,740,000 for 2019</w:t>
      </w:r>
      <w:r w:rsidRPr="00825683">
        <w:rPr>
          <w:szCs w:val="24"/>
        </w:rPr>
        <w:t xml:space="preserve">.  It is based on an annual contributory unit </w:t>
      </w:r>
      <w:r>
        <w:rPr>
          <w:szCs w:val="24"/>
        </w:rPr>
        <w:t xml:space="preserve">amount </w:t>
      </w:r>
      <w:r w:rsidRPr="00825683">
        <w:rPr>
          <w:szCs w:val="24"/>
        </w:rPr>
        <w:t>of CHF 318,000</w:t>
      </w:r>
      <w:r>
        <w:rPr>
          <w:szCs w:val="24"/>
        </w:rPr>
        <w:t xml:space="preserve"> for</w:t>
      </w:r>
      <w:r w:rsidRPr="00825683">
        <w:rPr>
          <w:szCs w:val="24"/>
        </w:rPr>
        <w:t xml:space="preserve"> Member State</w:t>
      </w:r>
      <w:r>
        <w:rPr>
          <w:szCs w:val="24"/>
        </w:rPr>
        <w:t>s</w:t>
      </w:r>
      <w:r w:rsidRPr="00825683">
        <w:rPr>
          <w:szCs w:val="24"/>
        </w:rPr>
        <w:t xml:space="preserve">, </w:t>
      </w:r>
      <w:r>
        <w:rPr>
          <w:szCs w:val="24"/>
        </w:rPr>
        <w:t>i.e.</w:t>
      </w:r>
      <w:r w:rsidRPr="00825683">
        <w:rPr>
          <w:szCs w:val="24"/>
        </w:rPr>
        <w:t xml:space="preserve"> zero nominal growth </w:t>
      </w:r>
      <w:r>
        <w:rPr>
          <w:szCs w:val="24"/>
        </w:rPr>
        <w:t xml:space="preserve">when </w:t>
      </w:r>
      <w:r w:rsidRPr="00825683">
        <w:rPr>
          <w:szCs w:val="24"/>
        </w:rPr>
        <w:t xml:space="preserve">compared </w:t>
      </w:r>
      <w:r>
        <w:rPr>
          <w:szCs w:val="24"/>
        </w:rPr>
        <w:t>to</w:t>
      </w:r>
      <w:r w:rsidRPr="00825683">
        <w:rPr>
          <w:szCs w:val="24"/>
        </w:rPr>
        <w:t xml:space="preserve"> the previous biennia. The Budget of the Union is being implemented in conformity with Article 10 of the Financial Regulations.</w:t>
      </w:r>
    </w:p>
    <w:p w:rsidR="00543024" w:rsidRPr="00620643" w:rsidRDefault="00543024" w:rsidP="00543024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szCs w:val="24"/>
          <w:lang w:val="en-AU"/>
        </w:rPr>
      </w:pPr>
      <w:r w:rsidRPr="00620643">
        <w:rPr>
          <w:szCs w:val="24"/>
        </w:rPr>
        <w:t xml:space="preserve">Table 1 below </w:t>
      </w:r>
      <w:r w:rsidRPr="00620643">
        <w:rPr>
          <w:szCs w:val="24"/>
          <w:lang w:val="en-AU"/>
        </w:rPr>
        <w:t xml:space="preserve">provides the </w:t>
      </w:r>
      <w:r>
        <w:rPr>
          <w:szCs w:val="24"/>
          <w:lang w:val="en-AU"/>
        </w:rPr>
        <w:t>status of the 2018 Budget</w:t>
      </w:r>
      <w:r w:rsidRPr="00620643">
        <w:rPr>
          <w:szCs w:val="24"/>
          <w:lang w:val="en-AU"/>
        </w:rPr>
        <w:t xml:space="preserve"> </w:t>
      </w:r>
      <w:r>
        <w:rPr>
          <w:szCs w:val="24"/>
          <w:lang w:val="en-AU"/>
        </w:rPr>
        <w:t xml:space="preserve">showing </w:t>
      </w:r>
      <w:r w:rsidRPr="004C60C7">
        <w:rPr>
          <w:szCs w:val="24"/>
          <w:lang w:val="en-AU"/>
        </w:rPr>
        <w:t>expenses at 31 January</w:t>
      </w:r>
      <w:r>
        <w:rPr>
          <w:szCs w:val="24"/>
          <w:lang w:val="en-AU"/>
        </w:rPr>
        <w:t> </w:t>
      </w:r>
      <w:r w:rsidRPr="00620643">
        <w:rPr>
          <w:szCs w:val="24"/>
          <w:lang w:val="en-AU"/>
        </w:rPr>
        <w:t>201</w:t>
      </w:r>
      <w:r>
        <w:rPr>
          <w:szCs w:val="24"/>
          <w:lang w:val="en-AU"/>
        </w:rPr>
        <w:t>8</w:t>
      </w:r>
      <w:r w:rsidRPr="00620643">
        <w:rPr>
          <w:szCs w:val="24"/>
          <w:lang w:val="en-AU"/>
        </w:rPr>
        <w:t xml:space="preserve"> and </w:t>
      </w:r>
      <w:r>
        <w:rPr>
          <w:szCs w:val="24"/>
          <w:lang w:val="en-AU"/>
        </w:rPr>
        <w:t xml:space="preserve">provides </w:t>
      </w:r>
      <w:r w:rsidRPr="00620643">
        <w:rPr>
          <w:szCs w:val="24"/>
          <w:lang w:val="en-AU"/>
        </w:rPr>
        <w:t xml:space="preserve">a forecast </w:t>
      </w:r>
      <w:r>
        <w:rPr>
          <w:szCs w:val="24"/>
          <w:lang w:val="en-AU"/>
        </w:rPr>
        <w:t xml:space="preserve">of revenue and expenses up to 31 </w:t>
      </w:r>
      <w:r w:rsidRPr="00620643">
        <w:rPr>
          <w:szCs w:val="24"/>
          <w:lang w:val="en-AU"/>
        </w:rPr>
        <w:t>December</w:t>
      </w:r>
      <w:r>
        <w:rPr>
          <w:szCs w:val="24"/>
          <w:lang w:val="en-AU"/>
        </w:rPr>
        <w:t> </w:t>
      </w:r>
      <w:r w:rsidRPr="00620643">
        <w:rPr>
          <w:szCs w:val="24"/>
          <w:lang w:val="en-AU"/>
        </w:rPr>
        <w:t>201</w:t>
      </w:r>
      <w:r>
        <w:rPr>
          <w:szCs w:val="24"/>
          <w:lang w:val="en-AU"/>
        </w:rPr>
        <w:t>8</w:t>
      </w:r>
      <w:r w:rsidRPr="00620643">
        <w:rPr>
          <w:szCs w:val="24"/>
          <w:lang w:val="en-AU"/>
        </w:rPr>
        <w:t>.</w:t>
      </w:r>
      <w:r>
        <w:rPr>
          <w:szCs w:val="24"/>
          <w:lang w:val="en-AU"/>
        </w:rPr>
        <w:t xml:space="preserve"> The preliminary forecast for 2018 shows a CHF 3 million variance mainly due to the implementation of the ICSC decision on the Geneva post adjustment.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en-AU"/>
        </w:rPr>
      </w:pPr>
    </w:p>
    <w:p w:rsidR="00543024" w:rsidRPr="00603E8E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/>
        <w:jc w:val="center"/>
        <w:textAlignment w:val="auto"/>
        <w:rPr>
          <w:b/>
          <w:bCs/>
          <w:color w:val="0F243E" w:themeColor="text2" w:themeShade="80"/>
          <w:szCs w:val="24"/>
          <w:lang w:val="en-AU"/>
        </w:rPr>
      </w:pPr>
      <w:r w:rsidRPr="00603E8E">
        <w:rPr>
          <w:b/>
          <w:bCs/>
          <w:color w:val="0F243E" w:themeColor="text2" w:themeShade="80"/>
          <w:szCs w:val="24"/>
          <w:lang w:val="en-AU"/>
        </w:rPr>
        <w:t>Table 1</w:t>
      </w:r>
      <w:r>
        <w:rPr>
          <w:b/>
          <w:bCs/>
          <w:color w:val="0F243E" w:themeColor="text2" w:themeShade="80"/>
          <w:szCs w:val="24"/>
          <w:lang w:val="en-AU"/>
        </w:rPr>
        <w:t xml:space="preserve"> – Implementation of Budget Resolution 1387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jc w:val="center"/>
        <w:textAlignment w:val="auto"/>
        <w:rPr>
          <w:szCs w:val="24"/>
          <w:lang w:val="en-AU"/>
        </w:rPr>
      </w:pPr>
      <w:r w:rsidRPr="00F14EB8">
        <w:rPr>
          <w:noProof/>
          <w:lang w:val="en-US" w:eastAsia="zh-CN"/>
        </w:rPr>
        <w:drawing>
          <wp:inline distT="0" distB="0" distL="0" distR="0" wp14:anchorId="6CBA4700" wp14:editId="4142A9B6">
            <wp:extent cx="6067425" cy="3829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24" w:rsidRDefault="00543024" w:rsidP="00543024">
      <w:pPr>
        <w:pStyle w:val="Header"/>
        <w:snapToGrid w:val="0"/>
        <w:spacing w:before="480" w:after="12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275FED">
        <w:rPr>
          <w:b/>
          <w:bCs/>
          <w:sz w:val="24"/>
          <w:szCs w:val="24"/>
        </w:rPr>
        <w:t>Revenue</w:t>
      </w:r>
    </w:p>
    <w:p w:rsidR="00543024" w:rsidRDefault="00543024" w:rsidP="00543024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The revenue of the Union consists of assessed contributions, cost recovery, interest/other revenue and overall negative withdrawal from the Reserve Account (Document </w:t>
      </w:r>
      <w:hyperlink r:id="rId12" w:history="1">
        <w:r w:rsidRPr="00543024">
          <w:rPr>
            <w:rStyle w:val="Hyperlink"/>
            <w:sz w:val="24"/>
            <w:szCs w:val="24"/>
          </w:rPr>
          <w:t>C17/10</w:t>
        </w:r>
      </w:hyperlink>
      <w:r>
        <w:rPr>
          <w:sz w:val="24"/>
          <w:szCs w:val="24"/>
        </w:rPr>
        <w:t>, paragraph 13). Higher revenue from assessed contributions from Member States will help compensate for the shortfall foreseen from Sector Members and cost recovery revenue.</w:t>
      </w:r>
    </w:p>
    <w:p w:rsidR="00543024" w:rsidRDefault="00543024" w:rsidP="00543024">
      <w:pPr>
        <w:pStyle w:val="Header"/>
        <w:snapToGrid w:val="0"/>
        <w:spacing w:before="120" w:after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Revenue from assessed contributions represents </w:t>
      </w:r>
      <w:r w:rsidRPr="004C60C7">
        <w:rPr>
          <w:sz w:val="24"/>
          <w:szCs w:val="24"/>
        </w:rPr>
        <w:t>77.8%</w:t>
      </w:r>
      <w:r>
        <w:rPr>
          <w:sz w:val="24"/>
          <w:szCs w:val="24"/>
        </w:rPr>
        <w:t xml:space="preserve"> of the total budget for 2018. It includes contributions from Member States, Sector Members, Associates and Academia. Table 2 below shows the breakdown of assessed contributions.</w:t>
      </w:r>
    </w:p>
    <w:p w:rsidR="00543024" w:rsidRPr="00275FED" w:rsidRDefault="00543024" w:rsidP="00543024">
      <w:pPr>
        <w:pStyle w:val="Header"/>
        <w:tabs>
          <w:tab w:val="left" w:pos="709"/>
          <w:tab w:val="left" w:pos="1134"/>
        </w:tabs>
        <w:snapToGrid w:val="0"/>
        <w:rPr>
          <w:b/>
          <w:bCs/>
          <w:sz w:val="24"/>
          <w:szCs w:val="24"/>
        </w:rPr>
      </w:pPr>
      <w:r w:rsidRPr="00275FED">
        <w:rPr>
          <w:b/>
          <w:bCs/>
          <w:sz w:val="24"/>
          <w:szCs w:val="24"/>
        </w:rPr>
        <w:t xml:space="preserve">Table 2 – Revenue from Assessed </w:t>
      </w:r>
      <w:r>
        <w:rPr>
          <w:b/>
          <w:bCs/>
          <w:sz w:val="24"/>
          <w:szCs w:val="24"/>
        </w:rPr>
        <w:t>C</w:t>
      </w:r>
      <w:r w:rsidRPr="00275FED">
        <w:rPr>
          <w:b/>
          <w:bCs/>
          <w:sz w:val="24"/>
          <w:szCs w:val="24"/>
        </w:rPr>
        <w:t>ontributions</w:t>
      </w:r>
    </w:p>
    <w:p w:rsidR="00543024" w:rsidRPr="00CD2DAE" w:rsidRDefault="00543024" w:rsidP="00543024">
      <w:pPr>
        <w:pStyle w:val="Header"/>
        <w:tabs>
          <w:tab w:val="left" w:pos="709"/>
          <w:tab w:val="left" w:pos="1134"/>
        </w:tabs>
        <w:snapToGrid w:val="0"/>
        <w:rPr>
          <w:strike/>
          <w:sz w:val="24"/>
          <w:szCs w:val="24"/>
        </w:rPr>
      </w:pPr>
      <w:r w:rsidRPr="00F14EB8">
        <w:rPr>
          <w:noProof/>
          <w:lang w:val="en-US" w:eastAsia="zh-CN"/>
        </w:rPr>
        <w:drawing>
          <wp:inline distT="0" distB="0" distL="0" distR="0" wp14:anchorId="3575755F" wp14:editId="76249793">
            <wp:extent cx="5248275" cy="1638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24" w:rsidRDefault="00543024" w:rsidP="00543024">
      <w:pPr>
        <w:pStyle w:val="Header"/>
        <w:keepNext/>
        <w:keepLines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The amount of</w:t>
      </w:r>
      <w:r w:rsidRPr="00AF0B7E">
        <w:rPr>
          <w:sz w:val="24"/>
          <w:szCs w:val="24"/>
        </w:rPr>
        <w:t xml:space="preserve"> the a</w:t>
      </w:r>
      <w:r>
        <w:rPr>
          <w:sz w:val="24"/>
          <w:szCs w:val="24"/>
        </w:rPr>
        <w:t>nnual contributory unit</w:t>
      </w:r>
      <w:r w:rsidRPr="00FB61F8">
        <w:rPr>
          <w:sz w:val="24"/>
          <w:szCs w:val="24"/>
        </w:rPr>
        <w:t xml:space="preserve"> </w:t>
      </w:r>
      <w:r w:rsidRPr="00AF0B7E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set </w:t>
      </w:r>
      <w:r w:rsidRPr="00AF0B7E">
        <w:rPr>
          <w:sz w:val="24"/>
          <w:szCs w:val="24"/>
        </w:rPr>
        <w:t>at CHF 318</w:t>
      </w:r>
      <w:r>
        <w:rPr>
          <w:sz w:val="24"/>
          <w:szCs w:val="24"/>
        </w:rPr>
        <w:t>,000 for 2018-</w:t>
      </w:r>
      <w:r w:rsidRPr="00AF0B7E">
        <w:rPr>
          <w:sz w:val="24"/>
          <w:szCs w:val="24"/>
        </w:rPr>
        <w:t>201</w:t>
      </w:r>
      <w:r>
        <w:rPr>
          <w:sz w:val="24"/>
          <w:szCs w:val="24"/>
        </w:rPr>
        <w:t xml:space="preserve">9. The number of units from Member States invoiced </w:t>
      </w:r>
      <w:r w:rsidRPr="00170CAE">
        <w:rPr>
          <w:sz w:val="24"/>
          <w:szCs w:val="24"/>
        </w:rPr>
        <w:t>at 31 January</w:t>
      </w:r>
      <w:r>
        <w:rPr>
          <w:sz w:val="24"/>
          <w:szCs w:val="24"/>
        </w:rPr>
        <w:t xml:space="preserve"> 2018 </w:t>
      </w:r>
      <w:r w:rsidRPr="006D5FE0">
        <w:rPr>
          <w:sz w:val="24"/>
          <w:szCs w:val="24"/>
        </w:rPr>
        <w:t xml:space="preserve">is </w:t>
      </w:r>
      <w:r>
        <w:rPr>
          <w:sz w:val="24"/>
          <w:szCs w:val="24"/>
        </w:rPr>
        <w:t>341</w:t>
      </w:r>
      <w:r w:rsidRPr="006D5FE0">
        <w:rPr>
          <w:sz w:val="24"/>
          <w:szCs w:val="24"/>
        </w:rPr>
        <w:t xml:space="preserve"> </w:t>
      </w:r>
      <w:r>
        <w:rPr>
          <w:sz w:val="24"/>
          <w:szCs w:val="24"/>
        </w:rPr>
        <w:t>¼, which is 7 units more than the budgeted units of 334 ½ (China increased from 14 units to 20 units and Pakistan increased from 1 to 2 units).</w:t>
      </w:r>
    </w:p>
    <w:p w:rsidR="00543024" w:rsidRDefault="00543024" w:rsidP="00543024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7D5F22">
        <w:rPr>
          <w:sz w:val="24"/>
          <w:szCs w:val="24"/>
        </w:rPr>
        <w:tab/>
      </w:r>
      <w:r>
        <w:rPr>
          <w:sz w:val="24"/>
          <w:szCs w:val="24"/>
        </w:rPr>
        <w:t>For 2018, t</w:t>
      </w:r>
      <w:r w:rsidRPr="007D5F22">
        <w:rPr>
          <w:sz w:val="24"/>
          <w:szCs w:val="24"/>
        </w:rPr>
        <w:t xml:space="preserve">he amount of the annual contributory unit </w:t>
      </w:r>
      <w:r>
        <w:rPr>
          <w:sz w:val="24"/>
          <w:szCs w:val="24"/>
        </w:rPr>
        <w:t>for</w:t>
      </w:r>
      <w:r w:rsidRPr="007D5F22">
        <w:rPr>
          <w:sz w:val="24"/>
          <w:szCs w:val="24"/>
        </w:rPr>
        <w:t xml:space="preserve"> Sector Members is set at CHF 63,</w:t>
      </w:r>
      <w:r w:rsidRPr="009E7CBE">
        <w:rPr>
          <w:sz w:val="24"/>
          <w:szCs w:val="24"/>
        </w:rPr>
        <w:t>600</w:t>
      </w:r>
      <w:r>
        <w:rPr>
          <w:sz w:val="24"/>
          <w:szCs w:val="24"/>
        </w:rPr>
        <w:t xml:space="preserve"> and for Associates at CHF 10,600</w:t>
      </w:r>
      <w:r w:rsidRPr="00170CAE">
        <w:rPr>
          <w:sz w:val="24"/>
          <w:szCs w:val="24"/>
        </w:rPr>
        <w:t>. At 31 January 2018</w:t>
      </w:r>
      <w:r w:rsidRPr="009E7CBE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Pr="007D5F22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invoiced revenue </w:t>
      </w:r>
      <w:r w:rsidRPr="007D5F22">
        <w:rPr>
          <w:sz w:val="24"/>
          <w:szCs w:val="24"/>
        </w:rPr>
        <w:t xml:space="preserve">from Sector Members is below </w:t>
      </w:r>
      <w:r w:rsidRPr="0050145A">
        <w:rPr>
          <w:sz w:val="24"/>
          <w:szCs w:val="24"/>
        </w:rPr>
        <w:t>the budget</w:t>
      </w:r>
      <w:r>
        <w:rPr>
          <w:sz w:val="24"/>
          <w:szCs w:val="24"/>
        </w:rPr>
        <w:t>ed</w:t>
      </w:r>
      <w:r w:rsidRPr="00501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revenue </w:t>
      </w:r>
      <w:r w:rsidRPr="0050145A">
        <w:rPr>
          <w:sz w:val="24"/>
          <w:szCs w:val="24"/>
        </w:rPr>
        <w:t xml:space="preserve">by </w:t>
      </w:r>
      <w:r w:rsidRPr="00C32DA2">
        <w:rPr>
          <w:sz w:val="24"/>
          <w:szCs w:val="24"/>
        </w:rPr>
        <w:t>CHF 1.8 million (-11</w:t>
      </w:r>
      <w:r>
        <w:rPr>
          <w:sz w:val="24"/>
          <w:szCs w:val="24"/>
        </w:rPr>
        <w:t xml:space="preserve">%). The same applies to the invoiced revenue for </w:t>
      </w:r>
      <w:r w:rsidRPr="00C32DA2">
        <w:rPr>
          <w:sz w:val="24"/>
          <w:szCs w:val="24"/>
        </w:rPr>
        <w:t xml:space="preserve">Associates </w:t>
      </w:r>
      <w:r>
        <w:rPr>
          <w:sz w:val="24"/>
          <w:szCs w:val="24"/>
        </w:rPr>
        <w:t xml:space="preserve">that is </w:t>
      </w:r>
      <w:r w:rsidRPr="00C32DA2">
        <w:rPr>
          <w:sz w:val="24"/>
          <w:szCs w:val="24"/>
        </w:rPr>
        <w:t xml:space="preserve">CHF 0.29 million </w:t>
      </w:r>
      <w:r>
        <w:rPr>
          <w:sz w:val="24"/>
          <w:szCs w:val="24"/>
        </w:rPr>
        <w:t xml:space="preserve">below the budgeted revenue </w:t>
      </w:r>
      <w:r w:rsidRPr="00C32DA2">
        <w:rPr>
          <w:sz w:val="24"/>
          <w:szCs w:val="24"/>
        </w:rPr>
        <w:t>(- 15%).</w:t>
      </w:r>
    </w:p>
    <w:p w:rsidR="00543024" w:rsidRDefault="00543024" w:rsidP="00543024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7D5F22">
        <w:rPr>
          <w:sz w:val="24"/>
          <w:szCs w:val="24"/>
        </w:rPr>
        <w:tab/>
      </w:r>
      <w:r>
        <w:rPr>
          <w:sz w:val="24"/>
          <w:szCs w:val="24"/>
        </w:rPr>
        <w:t>Since 2011, t</w:t>
      </w:r>
      <w:r w:rsidRPr="007D5F22">
        <w:rPr>
          <w:sz w:val="24"/>
          <w:szCs w:val="24"/>
        </w:rPr>
        <w:t>he implementation of Resolution 169 (</w:t>
      </w:r>
      <w:r>
        <w:rPr>
          <w:sz w:val="24"/>
          <w:szCs w:val="24"/>
        </w:rPr>
        <w:t>Rev. Busan, 2014</w:t>
      </w:r>
      <w:r w:rsidRPr="007D5F2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D5F22">
        <w:rPr>
          <w:sz w:val="24"/>
          <w:szCs w:val="24"/>
        </w:rPr>
        <w:t xml:space="preserve">has generated new sources of revenue from admission of Academia, universities and their associated research </w:t>
      </w:r>
      <w:r w:rsidRPr="003507BF">
        <w:rPr>
          <w:sz w:val="24"/>
          <w:szCs w:val="24"/>
        </w:rPr>
        <w:t>establishments. At</w:t>
      </w:r>
      <w:r>
        <w:rPr>
          <w:sz w:val="24"/>
          <w:szCs w:val="24"/>
        </w:rPr>
        <w:t xml:space="preserve"> </w:t>
      </w:r>
      <w:r w:rsidRPr="003507BF">
        <w:rPr>
          <w:sz w:val="24"/>
          <w:szCs w:val="24"/>
        </w:rPr>
        <w:t>31 January 2018, there is a total of 120 registered Academia</w:t>
      </w:r>
      <w:r>
        <w:rPr>
          <w:sz w:val="24"/>
          <w:szCs w:val="24"/>
        </w:rPr>
        <w:t>.</w:t>
      </w:r>
    </w:p>
    <w:p w:rsidR="00543024" w:rsidRPr="00673D7A" w:rsidRDefault="00543024" w:rsidP="00543024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</w:r>
      <w:r w:rsidRPr="0050145A">
        <w:rPr>
          <w:sz w:val="24"/>
          <w:szCs w:val="24"/>
        </w:rPr>
        <w:t xml:space="preserve">Cost recovery revenue </w:t>
      </w:r>
      <w:r w:rsidRPr="00170CAE">
        <w:rPr>
          <w:sz w:val="24"/>
          <w:szCs w:val="24"/>
        </w:rPr>
        <w:t>represents 21.8% of the total budgeted revenue. The breakdown is provided in Table 3.  Revenue from cost recovery</w:t>
      </w:r>
      <w:r>
        <w:rPr>
          <w:sz w:val="24"/>
          <w:szCs w:val="24"/>
        </w:rPr>
        <w:t xml:space="preserve"> is likely to be lower than the budgeted amount for 2018, this is mainly due to Project support cost recovery</w:t>
      </w:r>
      <w:r w:rsidRPr="00C8624E">
        <w:rPr>
          <w:sz w:val="24"/>
          <w:szCs w:val="24"/>
        </w:rPr>
        <w:t xml:space="preserve"> </w:t>
      </w:r>
      <w:r>
        <w:rPr>
          <w:sz w:val="24"/>
          <w:szCs w:val="24"/>
        </w:rPr>
        <w:t>revenue, partially offset by higher revenue from UIFN and INN.</w:t>
      </w:r>
    </w:p>
    <w:p w:rsidR="00543024" w:rsidRPr="00543024" w:rsidRDefault="00543024" w:rsidP="00543024">
      <w:pPr>
        <w:pStyle w:val="Header"/>
        <w:tabs>
          <w:tab w:val="left" w:pos="709"/>
          <w:tab w:val="left" w:pos="1134"/>
        </w:tabs>
        <w:snapToGrid w:val="0"/>
        <w:spacing w:before="360"/>
        <w:rPr>
          <w:b/>
          <w:bCs/>
          <w:sz w:val="24"/>
          <w:szCs w:val="24"/>
        </w:rPr>
      </w:pPr>
      <w:r w:rsidRPr="00B05AFD">
        <w:rPr>
          <w:b/>
          <w:bCs/>
          <w:sz w:val="24"/>
          <w:szCs w:val="24"/>
        </w:rPr>
        <w:t>Table 3 – Revenue from Cost recovery</w:t>
      </w:r>
    </w:p>
    <w:p w:rsidR="00543024" w:rsidRDefault="00543024" w:rsidP="00543024">
      <w:pPr>
        <w:pStyle w:val="Header"/>
        <w:tabs>
          <w:tab w:val="left" w:pos="709"/>
          <w:tab w:val="left" w:pos="1134"/>
        </w:tabs>
        <w:snapToGrid w:val="0"/>
        <w:rPr>
          <w:sz w:val="24"/>
          <w:szCs w:val="24"/>
        </w:rPr>
      </w:pPr>
      <w:r w:rsidRPr="00F14EB8">
        <w:rPr>
          <w:noProof/>
          <w:lang w:val="en-US" w:eastAsia="zh-CN"/>
        </w:rPr>
        <w:drawing>
          <wp:inline distT="0" distB="0" distL="0" distR="0" wp14:anchorId="74D7C8FA" wp14:editId="1546124A">
            <wp:extent cx="5248275" cy="2105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600" w:after="120"/>
        <w:textAlignment w:val="auto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 w:rsidRPr="00275FED">
        <w:rPr>
          <w:b/>
          <w:bCs/>
          <w:szCs w:val="24"/>
        </w:rPr>
        <w:t>Expenses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4.1</w:t>
      </w:r>
      <w:r w:rsidRPr="00931696">
        <w:rPr>
          <w:szCs w:val="24"/>
        </w:rPr>
        <w:tab/>
      </w:r>
      <w:r>
        <w:rPr>
          <w:szCs w:val="24"/>
        </w:rPr>
        <w:t xml:space="preserve">With regard to </w:t>
      </w:r>
      <w:r w:rsidRPr="00931696">
        <w:rPr>
          <w:szCs w:val="24"/>
        </w:rPr>
        <w:t>expenses</w:t>
      </w:r>
      <w:r w:rsidRPr="00673D7A">
        <w:rPr>
          <w:szCs w:val="24"/>
        </w:rPr>
        <w:t xml:space="preserve">, continuous application of efficiency measures and efforts are </w:t>
      </w:r>
      <w:r>
        <w:rPr>
          <w:szCs w:val="24"/>
        </w:rPr>
        <w:t xml:space="preserve">being </w:t>
      </w:r>
      <w:r w:rsidRPr="00673D7A">
        <w:rPr>
          <w:szCs w:val="24"/>
        </w:rPr>
        <w:t>mad</w:t>
      </w:r>
      <w:r>
        <w:rPr>
          <w:szCs w:val="24"/>
        </w:rPr>
        <w:t>e to comply with Resolution 1387</w:t>
      </w:r>
      <w:r w:rsidRPr="00673D7A">
        <w:rPr>
          <w:szCs w:val="24"/>
        </w:rPr>
        <w:t xml:space="preserve">.  The objective </w:t>
      </w:r>
      <w:r>
        <w:rPr>
          <w:szCs w:val="24"/>
        </w:rPr>
        <w:t>is to keep expenditure within the budget at the year-end 2018. Implementation of the ICSC decision to lower the post adjustment for the professional and higher categories of staff in Geneva will generate savings estimated to some CHF 3 million for 2018.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240" w:after="120"/>
        <w:jc w:val="both"/>
        <w:textAlignment w:val="auto"/>
        <w:rPr>
          <w:szCs w:val="24"/>
          <w:lang w:val="en-US"/>
        </w:rPr>
      </w:pPr>
      <w:r>
        <w:rPr>
          <w:b/>
          <w:bCs/>
          <w:szCs w:val="24"/>
          <w:lang w:val="en-US"/>
        </w:rPr>
        <w:t>5</w:t>
      </w:r>
      <w:r w:rsidRPr="0015127E">
        <w:rPr>
          <w:b/>
          <w:bCs/>
          <w:szCs w:val="24"/>
          <w:lang w:val="en-US"/>
        </w:rPr>
        <w:tab/>
        <w:t>ITU Reserve Account</w:t>
      </w:r>
    </w:p>
    <w:p w:rsidR="00543024" w:rsidRDefault="00543024" w:rsidP="00131E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>5</w:t>
      </w:r>
      <w:r w:rsidRPr="000665BF">
        <w:rPr>
          <w:szCs w:val="24"/>
          <w:lang w:val="en-US"/>
        </w:rPr>
        <w:t>.1</w:t>
      </w:r>
      <w:r w:rsidRPr="000665BF">
        <w:rPr>
          <w:szCs w:val="24"/>
          <w:lang w:val="en-US"/>
        </w:rPr>
        <w:tab/>
      </w:r>
      <w:r>
        <w:rPr>
          <w:szCs w:val="24"/>
          <w:lang w:val="en-US"/>
        </w:rPr>
        <w:t>An amount of CHF 1.15 million was to be deposited to the Reserve Account during the period 2018-2019 as per Resolution 1387, as the same amount was withdrawn for the Biennium 2016-2017.  In addition, management is committed to make savings from the budget implementation for an amount of CHF 0</w:t>
      </w:r>
      <w:r w:rsidR="00131EAA">
        <w:rPr>
          <w:szCs w:val="24"/>
          <w:lang w:val="en-US"/>
        </w:rPr>
        <w:t>.</w:t>
      </w:r>
      <w:r>
        <w:rPr>
          <w:szCs w:val="24"/>
          <w:lang w:val="en-US"/>
        </w:rPr>
        <w:t>946 million in order to balance the 2018 Budget.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>5.2</w:t>
      </w:r>
      <w:r>
        <w:rPr>
          <w:szCs w:val="24"/>
          <w:lang w:val="en-US"/>
        </w:rPr>
        <w:tab/>
        <w:t>The actual amount to be deposited/withdrawn from the Reserve Account will be determined at the year-end closure of the 2018 accounts.</w:t>
      </w:r>
    </w:p>
    <w:p w:rsid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  <w:lang w:val="en-US"/>
        </w:rPr>
        <w:t>5.3</w:t>
      </w:r>
      <w:r>
        <w:rPr>
          <w:szCs w:val="24"/>
          <w:lang w:val="en-US"/>
        </w:rPr>
        <w:tab/>
        <w:t xml:space="preserve">In addition, </w:t>
      </w:r>
      <w:r w:rsidRPr="00825683">
        <w:rPr>
          <w:szCs w:val="24"/>
        </w:rPr>
        <w:t>Council instructed the Sec</w:t>
      </w:r>
      <w:r>
        <w:rPr>
          <w:szCs w:val="24"/>
        </w:rPr>
        <w:t>retary-General to withdraw CHF 1.0</w:t>
      </w:r>
      <w:r w:rsidRPr="00825683">
        <w:rPr>
          <w:szCs w:val="24"/>
        </w:rPr>
        <w:t xml:space="preserve"> million from the Reserve Account on </w:t>
      </w:r>
      <w:r>
        <w:rPr>
          <w:szCs w:val="24"/>
        </w:rPr>
        <w:t xml:space="preserve">1 </w:t>
      </w:r>
      <w:r w:rsidRPr="00825683">
        <w:rPr>
          <w:szCs w:val="24"/>
        </w:rPr>
        <w:t>January</w:t>
      </w:r>
      <w:r>
        <w:rPr>
          <w:szCs w:val="24"/>
        </w:rPr>
        <w:t> </w:t>
      </w:r>
      <w:r w:rsidRPr="00825683">
        <w:rPr>
          <w:szCs w:val="24"/>
        </w:rPr>
        <w:t>201</w:t>
      </w:r>
      <w:r>
        <w:rPr>
          <w:szCs w:val="24"/>
        </w:rPr>
        <w:t>8 to add to</w:t>
      </w:r>
      <w:r w:rsidRPr="00825683">
        <w:rPr>
          <w:szCs w:val="24"/>
        </w:rPr>
        <w:t xml:space="preserve"> the ASHI fund </w:t>
      </w:r>
      <w:r>
        <w:rPr>
          <w:szCs w:val="24"/>
        </w:rPr>
        <w:t xml:space="preserve">in order to address the </w:t>
      </w:r>
      <w:r w:rsidRPr="00825683">
        <w:rPr>
          <w:szCs w:val="24"/>
        </w:rPr>
        <w:t>unfunded long-term liabilities.</w:t>
      </w:r>
    </w:p>
    <w:p w:rsidR="00543024" w:rsidRPr="00B87C10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6</w:t>
      </w:r>
      <w:r>
        <w:rPr>
          <w:b/>
          <w:bCs/>
          <w:szCs w:val="24"/>
        </w:rPr>
        <w:tab/>
        <w:t>Results-based Budget</w:t>
      </w:r>
    </w:p>
    <w:p w:rsidR="00543024" w:rsidRPr="00543024" w:rsidRDefault="00543024" w:rsidP="005430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6</w:t>
      </w:r>
      <w:r w:rsidRPr="008A04A5">
        <w:rPr>
          <w:szCs w:val="24"/>
        </w:rPr>
        <w:t>.1</w:t>
      </w:r>
      <w:r w:rsidRPr="008A04A5">
        <w:rPr>
          <w:szCs w:val="24"/>
        </w:rPr>
        <w:tab/>
      </w:r>
      <w:r>
        <w:rPr>
          <w:szCs w:val="24"/>
        </w:rPr>
        <w:t xml:space="preserve">Table 4 below </w:t>
      </w:r>
      <w:r w:rsidRPr="008A04A5">
        <w:rPr>
          <w:szCs w:val="24"/>
        </w:rPr>
        <w:t xml:space="preserve">provides the </w:t>
      </w:r>
      <w:r w:rsidRPr="00F14EB8">
        <w:rPr>
          <w:szCs w:val="24"/>
        </w:rPr>
        <w:t>expenses at 31 January 2018 for</w:t>
      </w:r>
      <w:r>
        <w:rPr>
          <w:szCs w:val="24"/>
        </w:rPr>
        <w:t xml:space="preserve"> the four strategic goals of the Union contained in the Strategic Plan of the Union for 2016-2019 </w:t>
      </w:r>
      <w:r w:rsidRPr="008A04A5">
        <w:rPr>
          <w:szCs w:val="24"/>
        </w:rPr>
        <w:t>set forth in Resolution</w:t>
      </w:r>
      <w:r>
        <w:rPr>
          <w:szCs w:val="24"/>
        </w:rPr>
        <w:t> 71 </w:t>
      </w:r>
      <w:r w:rsidRPr="008A04A5">
        <w:rPr>
          <w:szCs w:val="24"/>
        </w:rPr>
        <w:t>(Rev.</w:t>
      </w:r>
      <w:r>
        <w:rPr>
          <w:szCs w:val="24"/>
        </w:rPr>
        <w:t> Busan</w:t>
      </w:r>
      <w:r w:rsidRPr="008A04A5">
        <w:rPr>
          <w:szCs w:val="24"/>
        </w:rPr>
        <w:t>, 201</w:t>
      </w:r>
      <w:r>
        <w:rPr>
          <w:szCs w:val="24"/>
        </w:rPr>
        <w:t>4</w:t>
      </w:r>
      <w:r w:rsidRPr="008A04A5">
        <w:rPr>
          <w:szCs w:val="24"/>
        </w:rPr>
        <w:t xml:space="preserve">).  </w:t>
      </w:r>
      <w:r w:rsidRPr="00314672">
        <w:rPr>
          <w:szCs w:val="24"/>
        </w:rPr>
        <w:t xml:space="preserve">No significant variances are noticeable at this </w:t>
      </w:r>
      <w:r>
        <w:rPr>
          <w:szCs w:val="24"/>
        </w:rPr>
        <w:t xml:space="preserve">early </w:t>
      </w:r>
      <w:r w:rsidRPr="00314672">
        <w:rPr>
          <w:szCs w:val="24"/>
        </w:rPr>
        <w:t>stage of the year.</w:t>
      </w:r>
    </w:p>
    <w:p w:rsidR="00543024" w:rsidRPr="00543024" w:rsidRDefault="00543024" w:rsidP="00543024">
      <w:pPr>
        <w:spacing w:before="480"/>
        <w:jc w:val="center"/>
        <w:rPr>
          <w:rFonts w:cs="Calibri"/>
          <w:b/>
          <w:bCs/>
          <w:szCs w:val="24"/>
          <w:lang w:val="en-CA"/>
        </w:rPr>
      </w:pPr>
      <w:r w:rsidRPr="00275FED">
        <w:rPr>
          <w:rFonts w:cs="Calibri"/>
          <w:b/>
          <w:bCs/>
          <w:szCs w:val="24"/>
          <w:lang w:val="en-CA"/>
        </w:rPr>
        <w:t>Table 4</w:t>
      </w:r>
      <w:r>
        <w:rPr>
          <w:rFonts w:cs="Calibri"/>
          <w:b/>
          <w:bCs/>
          <w:szCs w:val="24"/>
          <w:lang w:val="en-CA"/>
        </w:rPr>
        <w:t xml:space="preserve"> </w:t>
      </w:r>
      <w:r w:rsidRPr="00275FED">
        <w:rPr>
          <w:rFonts w:cs="Calibri"/>
          <w:b/>
          <w:bCs/>
          <w:szCs w:val="24"/>
          <w:lang w:val="en-CA"/>
        </w:rPr>
        <w:t xml:space="preserve">- </w:t>
      </w:r>
      <w:r w:rsidRPr="00BB3682">
        <w:rPr>
          <w:rFonts w:cs="Calibri"/>
          <w:b/>
          <w:bCs/>
          <w:szCs w:val="24"/>
          <w:lang w:val="en-CA"/>
        </w:rPr>
        <w:t xml:space="preserve">Cost of ITU </w:t>
      </w:r>
      <w:r>
        <w:rPr>
          <w:rFonts w:cs="Calibri"/>
          <w:b/>
          <w:bCs/>
          <w:szCs w:val="24"/>
          <w:lang w:val="en-CA"/>
        </w:rPr>
        <w:t xml:space="preserve">strategic </w:t>
      </w:r>
      <w:r w:rsidRPr="00F14EB8">
        <w:rPr>
          <w:rFonts w:cs="Calibri"/>
          <w:b/>
          <w:bCs/>
          <w:szCs w:val="24"/>
          <w:lang w:val="en-CA"/>
        </w:rPr>
        <w:t xml:space="preserve">Goals at </w:t>
      </w:r>
      <w:r w:rsidRPr="00F14EB8">
        <w:rPr>
          <w:b/>
          <w:bCs/>
          <w:szCs w:val="24"/>
        </w:rPr>
        <w:t>31 January</w:t>
      </w:r>
      <w:r w:rsidRPr="00F14EB8">
        <w:rPr>
          <w:rFonts w:cs="Calibri"/>
          <w:b/>
          <w:bCs/>
          <w:szCs w:val="24"/>
          <w:lang w:val="en-CA"/>
        </w:rPr>
        <w:t xml:space="preserve"> 2018</w:t>
      </w:r>
    </w:p>
    <w:p w:rsidR="00543024" w:rsidRDefault="00543024" w:rsidP="00543024">
      <w:pPr>
        <w:jc w:val="center"/>
        <w:rPr>
          <w:lang w:val="en-US"/>
        </w:rPr>
      </w:pPr>
      <w:r w:rsidRPr="00F14EB8">
        <w:rPr>
          <w:noProof/>
          <w:lang w:val="en-US" w:eastAsia="zh-CN"/>
        </w:rPr>
        <w:drawing>
          <wp:inline distT="0" distB="0" distL="0" distR="0" wp14:anchorId="3C3850EA" wp14:editId="5784E50B">
            <wp:extent cx="5638800" cy="1771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25" w:rsidRPr="002A2188" w:rsidRDefault="00543024" w:rsidP="00543024">
      <w:pPr>
        <w:spacing w:before="840"/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264425" w:rsidRPr="002A2188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0" w:rsidRDefault="001859E0">
      <w:r>
        <w:separator/>
      </w:r>
    </w:p>
  </w:endnote>
  <w:endnote w:type="continuationSeparator" w:id="0">
    <w:p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0" w:rsidRDefault="001859E0">
      <w:r>
        <w:t>____________________</w:t>
      </w:r>
    </w:p>
  </w:footnote>
  <w:footnote w:type="continuationSeparator" w:id="0">
    <w:p w:rsidR="001859E0" w:rsidRDefault="0018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F302B">
      <w:rPr>
        <w:noProof/>
      </w:rPr>
      <w:t>4</w:t>
    </w:r>
    <w:r>
      <w:rPr>
        <w:noProof/>
      </w:rPr>
      <w:fldChar w:fldCharType="end"/>
    </w:r>
  </w:p>
  <w:p w:rsidR="00322D0D" w:rsidRPr="00623AE3" w:rsidRDefault="00623AE3" w:rsidP="00543024">
    <w:pPr>
      <w:pStyle w:val="Header"/>
      <w:rPr>
        <w:bCs/>
      </w:rPr>
    </w:pPr>
    <w:r w:rsidRPr="00623AE3">
      <w:rPr>
        <w:bCs/>
      </w:rPr>
      <w:t>C18/</w:t>
    </w:r>
    <w:r w:rsidR="00543024">
      <w:rPr>
        <w:bCs/>
      </w:rPr>
      <w:t>9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121F5"/>
    <w:rsid w:val="00131EAA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43024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42CFD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EF302B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uiPriority w:val="99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uiPriority w:val="99"/>
    <w:rsid w:val="00543024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4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10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www.itu.int/md/S17-CL-C-013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06FB-77CE-4283-984A-CAB182B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10</TotalTime>
  <Pages>4</Pages>
  <Words>838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5294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2018</dc:subject>
  <dc:creator>Brouard, Ricarda</dc:creator>
  <cp:keywords>C2018, C18</cp:keywords>
  <dc:description/>
  <cp:lastModifiedBy>Janin</cp:lastModifiedBy>
  <cp:revision>5</cp:revision>
  <cp:lastPrinted>2000-07-18T13:30:00Z</cp:lastPrinted>
  <dcterms:created xsi:type="dcterms:W3CDTF">2018-02-01T10:55:00Z</dcterms:created>
  <dcterms:modified xsi:type="dcterms:W3CDTF">2018-02-08T13:09:00Z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