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300277">
        <w:trPr>
          <w:cantSplit/>
        </w:trPr>
        <w:tc>
          <w:tcPr>
            <w:tcW w:w="6912" w:type="dxa"/>
          </w:tcPr>
          <w:p w:rsidR="00520F36" w:rsidRPr="00300277" w:rsidRDefault="00520F36" w:rsidP="00627F5F">
            <w:pPr>
              <w:spacing w:before="360"/>
            </w:pPr>
            <w:bookmarkStart w:id="0" w:name="dc06"/>
            <w:bookmarkStart w:id="1" w:name="_GoBack"/>
            <w:bookmarkEnd w:id="0"/>
            <w:bookmarkEnd w:id="1"/>
            <w:r w:rsidRPr="00300277">
              <w:rPr>
                <w:b/>
                <w:bCs/>
                <w:sz w:val="30"/>
                <w:szCs w:val="30"/>
              </w:rPr>
              <w:t>Conseil 201</w:t>
            </w:r>
            <w:r w:rsidR="003C3FAE" w:rsidRPr="00300277">
              <w:rPr>
                <w:b/>
                <w:bCs/>
                <w:sz w:val="30"/>
                <w:szCs w:val="30"/>
              </w:rPr>
              <w:t>8</w:t>
            </w:r>
            <w:r w:rsidRPr="00300277">
              <w:rPr>
                <w:rFonts w:ascii="Verdana" w:hAnsi="Verdana"/>
                <w:b/>
                <w:bCs/>
                <w:sz w:val="26"/>
                <w:szCs w:val="26"/>
              </w:rPr>
              <w:br/>
            </w:r>
            <w:r w:rsidRPr="00300277">
              <w:rPr>
                <w:b/>
                <w:bCs/>
                <w:szCs w:val="24"/>
              </w:rPr>
              <w:t>Genève, 1</w:t>
            </w:r>
            <w:r w:rsidR="003C3FAE" w:rsidRPr="00300277">
              <w:rPr>
                <w:b/>
                <w:bCs/>
                <w:szCs w:val="24"/>
              </w:rPr>
              <w:t>7</w:t>
            </w:r>
            <w:r w:rsidRPr="00300277">
              <w:rPr>
                <w:b/>
                <w:bCs/>
                <w:szCs w:val="24"/>
              </w:rPr>
              <w:t>-2</w:t>
            </w:r>
            <w:r w:rsidR="003C3FAE" w:rsidRPr="00300277">
              <w:rPr>
                <w:b/>
                <w:bCs/>
                <w:szCs w:val="24"/>
              </w:rPr>
              <w:t>7</w:t>
            </w:r>
            <w:r w:rsidRPr="00300277">
              <w:rPr>
                <w:b/>
                <w:bCs/>
                <w:szCs w:val="24"/>
              </w:rPr>
              <w:t xml:space="preserve"> </w:t>
            </w:r>
            <w:r w:rsidR="003C3FAE" w:rsidRPr="00300277">
              <w:rPr>
                <w:b/>
                <w:bCs/>
                <w:szCs w:val="24"/>
              </w:rPr>
              <w:t>avril</w:t>
            </w:r>
            <w:r w:rsidRPr="00300277">
              <w:rPr>
                <w:b/>
                <w:bCs/>
                <w:szCs w:val="24"/>
              </w:rPr>
              <w:t xml:space="preserve"> 201</w:t>
            </w:r>
            <w:r w:rsidR="003C3FAE" w:rsidRPr="00300277">
              <w:rPr>
                <w:b/>
                <w:bCs/>
                <w:szCs w:val="24"/>
              </w:rPr>
              <w:t>8</w:t>
            </w:r>
          </w:p>
        </w:tc>
        <w:tc>
          <w:tcPr>
            <w:tcW w:w="3261" w:type="dxa"/>
          </w:tcPr>
          <w:p w:rsidR="00520F36" w:rsidRPr="00300277" w:rsidRDefault="00520F36" w:rsidP="00627F5F">
            <w:pPr>
              <w:spacing w:before="0"/>
              <w:jc w:val="right"/>
            </w:pPr>
            <w:bookmarkStart w:id="2" w:name="ditulogo"/>
            <w:bookmarkEnd w:id="2"/>
            <w:r w:rsidRPr="00300277">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300277" w:rsidTr="000F3C11">
        <w:trPr>
          <w:cantSplit/>
          <w:trHeight w:val="20"/>
        </w:trPr>
        <w:tc>
          <w:tcPr>
            <w:tcW w:w="6912" w:type="dxa"/>
            <w:tcBorders>
              <w:bottom w:val="single" w:sz="12" w:space="0" w:color="auto"/>
            </w:tcBorders>
            <w:vAlign w:val="center"/>
          </w:tcPr>
          <w:p w:rsidR="00520F36" w:rsidRPr="00300277" w:rsidRDefault="00520F36" w:rsidP="00627F5F">
            <w:pPr>
              <w:spacing w:before="0"/>
              <w:rPr>
                <w:b/>
                <w:bCs/>
                <w:sz w:val="26"/>
                <w:szCs w:val="26"/>
              </w:rPr>
            </w:pPr>
          </w:p>
        </w:tc>
        <w:tc>
          <w:tcPr>
            <w:tcW w:w="3261" w:type="dxa"/>
            <w:tcBorders>
              <w:bottom w:val="single" w:sz="12" w:space="0" w:color="auto"/>
            </w:tcBorders>
          </w:tcPr>
          <w:p w:rsidR="00520F36" w:rsidRPr="00300277" w:rsidRDefault="00520F36" w:rsidP="00627F5F">
            <w:pPr>
              <w:spacing w:before="0"/>
              <w:rPr>
                <w:b/>
                <w:bCs/>
              </w:rPr>
            </w:pPr>
          </w:p>
        </w:tc>
      </w:tr>
      <w:tr w:rsidR="00520F36" w:rsidRPr="00300277">
        <w:trPr>
          <w:cantSplit/>
          <w:trHeight w:val="20"/>
        </w:trPr>
        <w:tc>
          <w:tcPr>
            <w:tcW w:w="6912" w:type="dxa"/>
            <w:tcBorders>
              <w:top w:val="single" w:sz="12" w:space="0" w:color="auto"/>
            </w:tcBorders>
          </w:tcPr>
          <w:p w:rsidR="00520F36" w:rsidRPr="00300277" w:rsidRDefault="00520F36" w:rsidP="00627F5F">
            <w:pPr>
              <w:spacing w:before="0"/>
              <w:rPr>
                <w:smallCaps/>
                <w:sz w:val="22"/>
              </w:rPr>
            </w:pPr>
          </w:p>
        </w:tc>
        <w:tc>
          <w:tcPr>
            <w:tcW w:w="3261" w:type="dxa"/>
            <w:tcBorders>
              <w:top w:val="single" w:sz="12" w:space="0" w:color="auto"/>
            </w:tcBorders>
          </w:tcPr>
          <w:p w:rsidR="00520F36" w:rsidRPr="00300277" w:rsidRDefault="00520F36" w:rsidP="00627F5F">
            <w:pPr>
              <w:spacing w:before="0"/>
              <w:rPr>
                <w:b/>
                <w:bCs/>
              </w:rPr>
            </w:pPr>
          </w:p>
        </w:tc>
      </w:tr>
      <w:tr w:rsidR="00520F36" w:rsidRPr="00300277">
        <w:trPr>
          <w:cantSplit/>
          <w:trHeight w:val="20"/>
        </w:trPr>
        <w:tc>
          <w:tcPr>
            <w:tcW w:w="6912" w:type="dxa"/>
            <w:vMerge w:val="restart"/>
          </w:tcPr>
          <w:p w:rsidR="00520F36" w:rsidRPr="00300277" w:rsidRDefault="001D3A39" w:rsidP="00627F5F">
            <w:pPr>
              <w:spacing w:before="0"/>
              <w:rPr>
                <w:rFonts w:cs="Times"/>
                <w:b/>
                <w:bCs/>
                <w:szCs w:val="24"/>
              </w:rPr>
            </w:pPr>
            <w:bookmarkStart w:id="3" w:name="dnum" w:colFirst="1" w:colLast="1"/>
            <w:bookmarkStart w:id="4" w:name="dmeeting" w:colFirst="0" w:colLast="0"/>
            <w:r w:rsidRPr="00300277">
              <w:rPr>
                <w:rFonts w:cs="Times"/>
                <w:b/>
                <w:bCs/>
                <w:szCs w:val="24"/>
              </w:rPr>
              <w:t>Point de l'ordre du jour: ADM 1</w:t>
            </w:r>
          </w:p>
        </w:tc>
        <w:tc>
          <w:tcPr>
            <w:tcW w:w="3261" w:type="dxa"/>
          </w:tcPr>
          <w:p w:rsidR="00520F36" w:rsidRPr="00300277" w:rsidRDefault="00520F36" w:rsidP="00627F5F">
            <w:pPr>
              <w:spacing w:before="0"/>
              <w:rPr>
                <w:b/>
                <w:bCs/>
              </w:rPr>
            </w:pPr>
            <w:r w:rsidRPr="00300277">
              <w:rPr>
                <w:b/>
                <w:bCs/>
              </w:rPr>
              <w:t>Document C1</w:t>
            </w:r>
            <w:r w:rsidR="003C3FAE" w:rsidRPr="00300277">
              <w:rPr>
                <w:b/>
                <w:bCs/>
              </w:rPr>
              <w:t>8</w:t>
            </w:r>
            <w:r w:rsidRPr="00300277">
              <w:rPr>
                <w:b/>
                <w:bCs/>
              </w:rPr>
              <w:t>/</w:t>
            </w:r>
            <w:r w:rsidR="001D3A39" w:rsidRPr="00300277">
              <w:rPr>
                <w:b/>
                <w:bCs/>
              </w:rPr>
              <w:t>9</w:t>
            </w:r>
            <w:r w:rsidRPr="00300277">
              <w:rPr>
                <w:b/>
                <w:bCs/>
              </w:rPr>
              <w:t>-F</w:t>
            </w:r>
          </w:p>
        </w:tc>
      </w:tr>
      <w:tr w:rsidR="00520F36" w:rsidRPr="00300277">
        <w:trPr>
          <w:cantSplit/>
          <w:trHeight w:val="20"/>
        </w:trPr>
        <w:tc>
          <w:tcPr>
            <w:tcW w:w="6912" w:type="dxa"/>
            <w:vMerge/>
          </w:tcPr>
          <w:p w:rsidR="00520F36" w:rsidRPr="00300277" w:rsidRDefault="00520F36" w:rsidP="00627F5F">
            <w:pPr>
              <w:shd w:val="solid" w:color="FFFFFF" w:fill="FFFFFF"/>
              <w:spacing w:before="180"/>
              <w:rPr>
                <w:smallCaps/>
              </w:rPr>
            </w:pPr>
            <w:bookmarkStart w:id="5" w:name="ddate" w:colFirst="1" w:colLast="1"/>
            <w:bookmarkEnd w:id="3"/>
            <w:bookmarkEnd w:id="4"/>
          </w:p>
        </w:tc>
        <w:tc>
          <w:tcPr>
            <w:tcW w:w="3261" w:type="dxa"/>
          </w:tcPr>
          <w:p w:rsidR="00520F36" w:rsidRPr="00300277" w:rsidRDefault="001D3A39" w:rsidP="00627F5F">
            <w:pPr>
              <w:spacing w:before="0"/>
              <w:rPr>
                <w:b/>
                <w:bCs/>
              </w:rPr>
            </w:pPr>
            <w:r w:rsidRPr="00300277">
              <w:rPr>
                <w:b/>
                <w:bCs/>
              </w:rPr>
              <w:t>8 février</w:t>
            </w:r>
            <w:r w:rsidR="00520F36" w:rsidRPr="00300277">
              <w:rPr>
                <w:b/>
                <w:bCs/>
              </w:rPr>
              <w:t xml:space="preserve"> 201</w:t>
            </w:r>
            <w:r w:rsidR="003C3FAE" w:rsidRPr="00300277">
              <w:rPr>
                <w:b/>
                <w:bCs/>
              </w:rPr>
              <w:t>8</w:t>
            </w:r>
          </w:p>
        </w:tc>
      </w:tr>
      <w:tr w:rsidR="00520F36" w:rsidRPr="00300277">
        <w:trPr>
          <w:cantSplit/>
          <w:trHeight w:val="20"/>
        </w:trPr>
        <w:tc>
          <w:tcPr>
            <w:tcW w:w="6912" w:type="dxa"/>
            <w:vMerge/>
          </w:tcPr>
          <w:p w:rsidR="00520F36" w:rsidRPr="00300277" w:rsidRDefault="00520F36" w:rsidP="00627F5F">
            <w:pPr>
              <w:shd w:val="solid" w:color="FFFFFF" w:fill="FFFFFF"/>
              <w:spacing w:before="180"/>
              <w:rPr>
                <w:smallCaps/>
              </w:rPr>
            </w:pPr>
            <w:bookmarkStart w:id="6" w:name="dorlang" w:colFirst="1" w:colLast="1"/>
            <w:bookmarkEnd w:id="5"/>
          </w:p>
        </w:tc>
        <w:tc>
          <w:tcPr>
            <w:tcW w:w="3261" w:type="dxa"/>
          </w:tcPr>
          <w:p w:rsidR="00520F36" w:rsidRPr="00300277" w:rsidRDefault="00520F36" w:rsidP="00627F5F">
            <w:pPr>
              <w:spacing w:before="0"/>
              <w:rPr>
                <w:b/>
                <w:bCs/>
              </w:rPr>
            </w:pPr>
            <w:r w:rsidRPr="00300277">
              <w:rPr>
                <w:b/>
                <w:bCs/>
              </w:rPr>
              <w:t>Original: anglais</w:t>
            </w:r>
          </w:p>
        </w:tc>
      </w:tr>
      <w:tr w:rsidR="00520F36" w:rsidRPr="00300277">
        <w:trPr>
          <w:cantSplit/>
        </w:trPr>
        <w:tc>
          <w:tcPr>
            <w:tcW w:w="10173" w:type="dxa"/>
            <w:gridSpan w:val="2"/>
          </w:tcPr>
          <w:p w:rsidR="00520F36" w:rsidRPr="00300277" w:rsidRDefault="001D3A39" w:rsidP="00627F5F">
            <w:pPr>
              <w:pStyle w:val="Source"/>
            </w:pPr>
            <w:bookmarkStart w:id="7" w:name="dsource" w:colFirst="0" w:colLast="0"/>
            <w:bookmarkEnd w:id="6"/>
            <w:r w:rsidRPr="00300277">
              <w:t>Rapport du Secrétaire général</w:t>
            </w:r>
          </w:p>
        </w:tc>
      </w:tr>
      <w:tr w:rsidR="00520F36" w:rsidRPr="00300277">
        <w:trPr>
          <w:cantSplit/>
        </w:trPr>
        <w:tc>
          <w:tcPr>
            <w:tcW w:w="10173" w:type="dxa"/>
            <w:gridSpan w:val="2"/>
          </w:tcPr>
          <w:p w:rsidR="00520F36" w:rsidRPr="00300277" w:rsidRDefault="001D3A39" w:rsidP="00627F5F">
            <w:pPr>
              <w:pStyle w:val="Title1"/>
            </w:pPr>
            <w:bookmarkStart w:id="8" w:name="dtitle1" w:colFirst="0" w:colLast="0"/>
            <w:bookmarkEnd w:id="7"/>
            <w:r w:rsidRPr="00300277">
              <w:rPr>
                <w:color w:val="000000"/>
              </w:rPr>
              <w:t>Examen annuel des produits et des charges</w:t>
            </w:r>
          </w:p>
        </w:tc>
      </w:tr>
      <w:bookmarkEnd w:id="8"/>
    </w:tbl>
    <w:p w:rsidR="00520F36" w:rsidRPr="00300277" w:rsidRDefault="00520F36" w:rsidP="00627F5F"/>
    <w:tbl>
      <w:tblPr>
        <w:tblW w:w="824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0"/>
      </w:tblGrid>
      <w:tr w:rsidR="00520F36" w:rsidRPr="00300277" w:rsidTr="0090198C">
        <w:trPr>
          <w:trHeight w:val="3372"/>
        </w:trPr>
        <w:tc>
          <w:tcPr>
            <w:tcW w:w="8240" w:type="dxa"/>
            <w:tcBorders>
              <w:top w:val="single" w:sz="12" w:space="0" w:color="auto"/>
              <w:left w:val="single" w:sz="12" w:space="0" w:color="auto"/>
              <w:bottom w:val="single" w:sz="12" w:space="0" w:color="auto"/>
              <w:right w:val="single" w:sz="12" w:space="0" w:color="auto"/>
            </w:tcBorders>
          </w:tcPr>
          <w:p w:rsidR="00520F36" w:rsidRPr="00300277" w:rsidRDefault="00520F36" w:rsidP="00627F5F">
            <w:pPr>
              <w:pStyle w:val="Headingb"/>
            </w:pPr>
            <w:r w:rsidRPr="00300277">
              <w:t>Résumé</w:t>
            </w:r>
          </w:p>
          <w:p w:rsidR="00520F36" w:rsidRPr="00300277" w:rsidRDefault="001D3A39" w:rsidP="00627F5F">
            <w:r w:rsidRPr="00300277">
              <w:t xml:space="preserve">Le présent document expose les principaux éléments de la mise en </w:t>
            </w:r>
            <w:r w:rsidR="00627F5F" w:rsidRPr="00300277">
              <w:t>oe</w:t>
            </w:r>
            <w:r w:rsidRPr="00300277">
              <w:t>uvre du budget pour la période</w:t>
            </w:r>
            <w:r w:rsidR="0078302B" w:rsidRPr="00300277">
              <w:t xml:space="preserve"> </w:t>
            </w:r>
            <w:r w:rsidRPr="00300277">
              <w:t xml:space="preserve">2018-2019, conformément au numéro 73 de la Convention de l'UIT, qui dispose que le Conseil procède à un examen annuel des </w:t>
            </w:r>
            <w:r w:rsidR="0078302B" w:rsidRPr="00300277">
              <w:t>produits et des charges</w:t>
            </w:r>
            <w:r w:rsidRPr="00300277">
              <w:t>.</w:t>
            </w:r>
          </w:p>
          <w:p w:rsidR="00520F36" w:rsidRPr="00300277" w:rsidRDefault="00520F36" w:rsidP="00627F5F">
            <w:pPr>
              <w:pStyle w:val="Headingb"/>
            </w:pPr>
            <w:r w:rsidRPr="00300277">
              <w:t>Suite à donner</w:t>
            </w:r>
          </w:p>
          <w:p w:rsidR="00520F36" w:rsidRPr="00300277" w:rsidRDefault="001D3A39" w:rsidP="00627F5F">
            <w:r w:rsidRPr="00300277">
              <w:t xml:space="preserve">Le Conseil est invité à </w:t>
            </w:r>
            <w:r w:rsidRPr="00300277">
              <w:rPr>
                <w:b/>
                <w:bCs/>
              </w:rPr>
              <w:t xml:space="preserve">prendre note </w:t>
            </w:r>
            <w:r w:rsidRPr="00300277">
              <w:t>du présent document.</w:t>
            </w:r>
          </w:p>
          <w:p w:rsidR="00520F36" w:rsidRPr="00300277" w:rsidRDefault="00520F36" w:rsidP="00627F5F">
            <w:pPr>
              <w:pStyle w:val="Table"/>
              <w:keepNext w:val="0"/>
              <w:spacing w:before="0" w:after="0"/>
              <w:rPr>
                <w:rFonts w:ascii="Calibri" w:hAnsi="Calibri"/>
                <w:caps w:val="0"/>
                <w:sz w:val="22"/>
                <w:lang w:val="fr-FR"/>
              </w:rPr>
            </w:pPr>
            <w:r w:rsidRPr="00300277">
              <w:rPr>
                <w:rFonts w:ascii="Calibri" w:hAnsi="Calibri"/>
                <w:caps w:val="0"/>
                <w:sz w:val="22"/>
                <w:lang w:val="fr-FR"/>
              </w:rPr>
              <w:t>____________</w:t>
            </w:r>
          </w:p>
          <w:p w:rsidR="00520F36" w:rsidRPr="00300277" w:rsidRDefault="00520F36" w:rsidP="00627F5F">
            <w:pPr>
              <w:pStyle w:val="Headingb"/>
            </w:pPr>
            <w:r w:rsidRPr="00300277">
              <w:t>Références</w:t>
            </w:r>
          </w:p>
          <w:p w:rsidR="00520F36" w:rsidRPr="00300277" w:rsidRDefault="00525DD8" w:rsidP="00627F5F">
            <w:pPr>
              <w:spacing w:after="120"/>
              <w:rPr>
                <w:i/>
                <w:iCs/>
              </w:rPr>
            </w:pPr>
            <w:hyperlink r:id="rId8" w:history="1">
              <w:r w:rsidR="001D3A39" w:rsidRPr="00300277">
                <w:rPr>
                  <w:rStyle w:val="Hyperlink"/>
                  <w:i/>
                  <w:iCs/>
                  <w:szCs w:val="24"/>
                </w:rPr>
                <w:t>Article 4 de la Convention, numéro 73</w:t>
              </w:r>
            </w:hyperlink>
            <w:r w:rsidR="001D3A39" w:rsidRPr="00300277">
              <w:rPr>
                <w:i/>
                <w:iCs/>
                <w:szCs w:val="24"/>
              </w:rPr>
              <w:t>;</w:t>
            </w:r>
          </w:p>
          <w:p w:rsidR="00520F36" w:rsidRPr="00300277" w:rsidRDefault="00525DD8" w:rsidP="00627F5F">
            <w:pPr>
              <w:spacing w:after="120"/>
              <w:rPr>
                <w:i/>
                <w:iCs/>
              </w:rPr>
            </w:pPr>
            <w:hyperlink r:id="rId9" w:history="1">
              <w:r w:rsidR="001D3A39" w:rsidRPr="00300277">
                <w:rPr>
                  <w:rStyle w:val="Hyperlink"/>
                  <w:i/>
                  <w:iCs/>
                  <w:szCs w:val="24"/>
                </w:rPr>
                <w:t xml:space="preserve">Résolution </w:t>
              </w:r>
              <w:r w:rsidR="001D3A39" w:rsidRPr="00300277">
                <w:rPr>
                  <w:rStyle w:val="Hyperlink"/>
                  <w:i/>
                  <w:iCs/>
                </w:rPr>
                <w:t>1387</w:t>
              </w:r>
              <w:r w:rsidR="001D3A39" w:rsidRPr="00300277">
                <w:rPr>
                  <w:rStyle w:val="Hyperlink"/>
                  <w:i/>
                  <w:iCs/>
                  <w:szCs w:val="24"/>
                </w:rPr>
                <w:t xml:space="preserve"> du Conseil</w:t>
              </w:r>
            </w:hyperlink>
            <w:r w:rsidR="001D3A39" w:rsidRPr="00300277">
              <w:rPr>
                <w:i/>
                <w:iCs/>
                <w:szCs w:val="24"/>
              </w:rPr>
              <w:t xml:space="preserve"> (Budget biennal de l'Union</w:t>
            </w:r>
            <w:r w:rsidR="0078302B" w:rsidRPr="00300277">
              <w:rPr>
                <w:i/>
                <w:iCs/>
                <w:szCs w:val="24"/>
              </w:rPr>
              <w:t xml:space="preserve"> </w:t>
            </w:r>
            <w:r w:rsidR="001D3A39" w:rsidRPr="00300277">
              <w:rPr>
                <w:i/>
                <w:iCs/>
                <w:szCs w:val="24"/>
              </w:rPr>
              <w:t>pour la période</w:t>
            </w:r>
            <w:r w:rsidR="00627F5F" w:rsidRPr="00300277">
              <w:rPr>
                <w:i/>
                <w:iCs/>
                <w:szCs w:val="24"/>
              </w:rPr>
              <w:t> </w:t>
            </w:r>
            <w:r w:rsidR="001D3A39" w:rsidRPr="00300277">
              <w:rPr>
                <w:i/>
                <w:iCs/>
                <w:szCs w:val="24"/>
              </w:rPr>
              <w:t>2018</w:t>
            </w:r>
            <w:r w:rsidR="00627F5F" w:rsidRPr="00300277">
              <w:rPr>
                <w:i/>
                <w:iCs/>
                <w:szCs w:val="24"/>
              </w:rPr>
              <w:noBreakHyphen/>
            </w:r>
            <w:r w:rsidR="001D3A39" w:rsidRPr="00300277">
              <w:rPr>
                <w:i/>
                <w:iCs/>
                <w:szCs w:val="24"/>
              </w:rPr>
              <w:t>2019)</w:t>
            </w:r>
          </w:p>
        </w:tc>
      </w:tr>
    </w:tbl>
    <w:p w:rsidR="000F3C11" w:rsidRPr="00300277" w:rsidRDefault="000F3C11" w:rsidP="00627F5F">
      <w:pPr>
        <w:pStyle w:val="Heading1"/>
      </w:pPr>
      <w:r w:rsidRPr="00300277">
        <w:t>1</w:t>
      </w:r>
      <w:r w:rsidRPr="00300277">
        <w:tab/>
        <w:t>Introduction</w:t>
      </w:r>
    </w:p>
    <w:p w:rsidR="000F3C11" w:rsidRPr="00300277" w:rsidRDefault="000F3C11" w:rsidP="00627F5F">
      <w:pPr>
        <w:rPr>
          <w:szCs w:val="24"/>
        </w:rPr>
      </w:pPr>
      <w:r w:rsidRPr="00300277">
        <w:rPr>
          <w:szCs w:val="24"/>
        </w:rPr>
        <w:t>1.1</w:t>
      </w:r>
      <w:r w:rsidRPr="00300277">
        <w:rPr>
          <w:szCs w:val="24"/>
        </w:rPr>
        <w:tab/>
      </w:r>
      <w:r w:rsidRPr="00300277">
        <w:t xml:space="preserve">L'objet du présent document est de rendre compte de l'état d'avancement de la mise en </w:t>
      </w:r>
      <w:r w:rsidR="00627F5F" w:rsidRPr="00300277">
        <w:t>oe</w:t>
      </w:r>
      <w:r w:rsidRPr="00300277">
        <w:t xml:space="preserve">uvre </w:t>
      </w:r>
      <w:r w:rsidR="0078302B" w:rsidRPr="00300277">
        <w:rPr>
          <w:color w:val="000000"/>
        </w:rPr>
        <w:t>de la première année</w:t>
      </w:r>
      <w:r w:rsidR="00627F5F" w:rsidRPr="00300277">
        <w:rPr>
          <w:color w:val="000000"/>
        </w:rPr>
        <w:t xml:space="preserve"> </w:t>
      </w:r>
      <w:r w:rsidRPr="00300277">
        <w:t xml:space="preserve">du budget de l'Union pour la période </w:t>
      </w:r>
      <w:r w:rsidRPr="00300277">
        <w:rPr>
          <w:szCs w:val="24"/>
        </w:rPr>
        <w:t xml:space="preserve">2018-2019 </w:t>
      </w:r>
      <w:r w:rsidRPr="00300277">
        <w:t>en ce qui concerne les produits et les charges.</w:t>
      </w:r>
    </w:p>
    <w:p w:rsidR="000F3C11" w:rsidRPr="00300277" w:rsidRDefault="000F3C11" w:rsidP="00627F5F">
      <w:pPr>
        <w:pStyle w:val="Heading1"/>
        <w:rPr>
          <w:bCs/>
          <w:szCs w:val="24"/>
        </w:rPr>
      </w:pPr>
      <w:r w:rsidRPr="00300277">
        <w:t>2</w:t>
      </w:r>
      <w:r w:rsidRPr="00300277">
        <w:tab/>
        <w:t xml:space="preserve">Budget </w:t>
      </w:r>
      <w:r w:rsidR="0078302B" w:rsidRPr="00300277">
        <w:t>de l</w:t>
      </w:r>
      <w:r w:rsidR="00627F5F" w:rsidRPr="00300277">
        <w:t>'</w:t>
      </w:r>
      <w:r w:rsidR="0090198C">
        <w:t>U</w:t>
      </w:r>
      <w:r w:rsidR="0078302B" w:rsidRPr="00300277">
        <w:t xml:space="preserve">nion </w:t>
      </w:r>
      <w:r w:rsidRPr="00300277">
        <w:t>pour l</w:t>
      </w:r>
      <w:r w:rsidR="00627F5F" w:rsidRPr="00300277">
        <w:t>'</w:t>
      </w:r>
      <w:r w:rsidRPr="00300277">
        <w:t xml:space="preserve">exercice </w:t>
      </w:r>
      <w:r w:rsidR="0078302B" w:rsidRPr="00300277">
        <w:rPr>
          <w:color w:val="000000"/>
        </w:rPr>
        <w:t xml:space="preserve">biennal </w:t>
      </w:r>
      <w:r w:rsidRPr="00300277">
        <w:rPr>
          <w:bCs/>
          <w:szCs w:val="24"/>
        </w:rPr>
        <w:t>2018-2019 (Résolution 1387)</w:t>
      </w:r>
    </w:p>
    <w:p w:rsidR="000F3C11" w:rsidRPr="00300277" w:rsidRDefault="000F3C11" w:rsidP="004707B4">
      <w:pPr>
        <w:rPr>
          <w:snapToGrid w:val="0"/>
          <w:szCs w:val="24"/>
        </w:rPr>
      </w:pPr>
      <w:r w:rsidRPr="00300277">
        <w:t>2.1</w:t>
      </w:r>
      <w:r w:rsidRPr="00300277">
        <w:tab/>
      </w:r>
      <w:r w:rsidR="0078302B" w:rsidRPr="00300277">
        <w:t>L</w:t>
      </w:r>
      <w:r w:rsidR="007E21E2" w:rsidRPr="00300277">
        <w:t xml:space="preserve">e budget de l'Union pour la période </w:t>
      </w:r>
      <w:r w:rsidR="0078302B" w:rsidRPr="00300277">
        <w:rPr>
          <w:bCs/>
          <w:szCs w:val="24"/>
        </w:rPr>
        <w:t>2018-2019 a été adopté par le Conseil à sa session de</w:t>
      </w:r>
      <w:r w:rsidR="004707B4">
        <w:rPr>
          <w:bCs/>
          <w:szCs w:val="24"/>
        </w:rPr>
        <w:t> </w:t>
      </w:r>
      <w:r w:rsidR="0078302B" w:rsidRPr="00300277">
        <w:rPr>
          <w:bCs/>
          <w:szCs w:val="24"/>
        </w:rPr>
        <w:t>2017 en vertu de la</w:t>
      </w:r>
      <w:r w:rsidR="00627F5F" w:rsidRPr="00300277">
        <w:rPr>
          <w:bCs/>
          <w:szCs w:val="24"/>
        </w:rPr>
        <w:t xml:space="preserve"> </w:t>
      </w:r>
      <w:r w:rsidR="007E21E2" w:rsidRPr="00300277">
        <w:t>Résolution 13</w:t>
      </w:r>
      <w:r w:rsidR="0078302B" w:rsidRPr="00300277">
        <w:t>87</w:t>
      </w:r>
      <w:r w:rsidR="00627F5F" w:rsidRPr="00300277">
        <w:t>.</w:t>
      </w:r>
      <w:r w:rsidR="007E21E2" w:rsidRPr="00300277">
        <w:t xml:space="preserve"> </w:t>
      </w:r>
      <w:r w:rsidR="0078302B" w:rsidRPr="00300277">
        <w:t>Le budget biennal</w:t>
      </w:r>
      <w:r w:rsidR="00627F5F" w:rsidRPr="00300277">
        <w:t xml:space="preserve"> </w:t>
      </w:r>
      <w:r w:rsidR="0078302B" w:rsidRPr="00300277">
        <w:rPr>
          <w:color w:val="000000"/>
        </w:rPr>
        <w:t>se chiffre</w:t>
      </w:r>
      <w:r w:rsidR="00627F5F" w:rsidRPr="00300277">
        <w:rPr>
          <w:color w:val="000000"/>
        </w:rPr>
        <w:t xml:space="preserve"> </w:t>
      </w:r>
      <w:r w:rsidR="007E21E2" w:rsidRPr="00300277">
        <w:t xml:space="preserve">à </w:t>
      </w:r>
      <w:r w:rsidR="00627F5F" w:rsidRPr="00300277">
        <w:rPr>
          <w:szCs w:val="24"/>
        </w:rPr>
        <w:t>324 </w:t>
      </w:r>
      <w:r w:rsidR="0078302B" w:rsidRPr="00300277">
        <w:rPr>
          <w:szCs w:val="24"/>
        </w:rPr>
        <w:t>617</w:t>
      </w:r>
      <w:r w:rsidR="00627F5F" w:rsidRPr="00300277">
        <w:rPr>
          <w:szCs w:val="24"/>
        </w:rPr>
        <w:t> </w:t>
      </w:r>
      <w:r w:rsidR="0078302B" w:rsidRPr="00300277">
        <w:rPr>
          <w:szCs w:val="24"/>
        </w:rPr>
        <w:t>000</w:t>
      </w:r>
      <w:r w:rsidR="00627F5F" w:rsidRPr="00300277">
        <w:rPr>
          <w:szCs w:val="24"/>
        </w:rPr>
        <w:t> </w:t>
      </w:r>
      <w:r w:rsidR="007E21E2" w:rsidRPr="00300277">
        <w:t>CHF</w:t>
      </w:r>
      <w:r w:rsidR="0078302B" w:rsidRPr="00300277">
        <w:rPr>
          <w:color w:val="000000"/>
        </w:rPr>
        <w:t xml:space="preserve"> et se décompose comme suit:</w:t>
      </w:r>
      <w:r w:rsidR="0078302B" w:rsidRPr="00300277">
        <w:rPr>
          <w:szCs w:val="24"/>
        </w:rPr>
        <w:t xml:space="preserve"> </w:t>
      </w:r>
      <w:r w:rsidR="00627F5F" w:rsidRPr="00300277">
        <w:rPr>
          <w:szCs w:val="24"/>
        </w:rPr>
        <w:t>159 877 </w:t>
      </w:r>
      <w:r w:rsidR="0078302B" w:rsidRPr="00300277">
        <w:rPr>
          <w:szCs w:val="24"/>
        </w:rPr>
        <w:t>000 CHF</w:t>
      </w:r>
      <w:r w:rsidR="00627F5F" w:rsidRPr="00300277">
        <w:rPr>
          <w:szCs w:val="24"/>
        </w:rPr>
        <w:t xml:space="preserve"> </w:t>
      </w:r>
      <w:r w:rsidR="007E21E2" w:rsidRPr="00300277">
        <w:t>pour l'année 201</w:t>
      </w:r>
      <w:r w:rsidR="0078302B" w:rsidRPr="00300277">
        <w:t>8</w:t>
      </w:r>
      <w:r w:rsidR="007E21E2" w:rsidRPr="00300277">
        <w:t xml:space="preserve"> et</w:t>
      </w:r>
      <w:r w:rsidR="00627F5F" w:rsidRPr="00300277">
        <w:rPr>
          <w:szCs w:val="24"/>
        </w:rPr>
        <w:t xml:space="preserve"> </w:t>
      </w:r>
      <w:r w:rsidR="007E21E2" w:rsidRPr="00300277">
        <w:rPr>
          <w:rFonts w:cs="Calibri"/>
          <w:szCs w:val="24"/>
        </w:rPr>
        <w:t>1</w:t>
      </w:r>
      <w:r w:rsidR="00627F5F" w:rsidRPr="00300277">
        <w:rPr>
          <w:szCs w:val="24"/>
        </w:rPr>
        <w:t>64 740 </w:t>
      </w:r>
      <w:r w:rsidR="0078302B" w:rsidRPr="00300277">
        <w:rPr>
          <w:szCs w:val="24"/>
        </w:rPr>
        <w:t>000 CHF</w:t>
      </w:r>
      <w:r w:rsidR="00627F5F" w:rsidRPr="00300277">
        <w:rPr>
          <w:szCs w:val="24"/>
        </w:rPr>
        <w:t xml:space="preserve"> </w:t>
      </w:r>
      <w:r w:rsidR="007E21E2" w:rsidRPr="00300277">
        <w:t>pour l'année</w:t>
      </w:r>
      <w:r w:rsidR="00627F5F" w:rsidRPr="00300277">
        <w:t> </w:t>
      </w:r>
      <w:r w:rsidR="007E21E2" w:rsidRPr="00300277">
        <w:t>201</w:t>
      </w:r>
      <w:r w:rsidR="0078302B" w:rsidRPr="00300277">
        <w:t>9</w:t>
      </w:r>
      <w:r w:rsidR="007E21E2" w:rsidRPr="00300277">
        <w:t>.</w:t>
      </w:r>
      <w:r w:rsidR="007E21E2" w:rsidRPr="00300277">
        <w:rPr>
          <w:snapToGrid w:val="0"/>
          <w:szCs w:val="24"/>
        </w:rPr>
        <w:t xml:space="preserve"> </w:t>
      </w:r>
      <w:r w:rsidR="007E21E2" w:rsidRPr="00300277">
        <w:t>Il est fondé sur une unité contributive annuelle de 318 000 CHF pour les Etats</w:t>
      </w:r>
      <w:r w:rsidR="004707B4">
        <w:t> </w:t>
      </w:r>
      <w:r w:rsidR="007E21E2" w:rsidRPr="00300277">
        <w:t>Membres, ce qui correspond à une croissance nominale zéro par rapport</w:t>
      </w:r>
      <w:r w:rsidR="0078302B" w:rsidRPr="00300277">
        <w:rPr>
          <w:color w:val="000000"/>
        </w:rPr>
        <w:t xml:space="preserve"> aux exercices biennaux précédents.</w:t>
      </w:r>
      <w:r w:rsidR="007E21E2" w:rsidRPr="00300277">
        <w:t xml:space="preserve"> Le budget de l'Union est mis en </w:t>
      </w:r>
      <w:r w:rsidR="00627F5F" w:rsidRPr="00300277">
        <w:t>oe</w:t>
      </w:r>
      <w:r w:rsidR="007E21E2" w:rsidRPr="00300277">
        <w:t>uvre conformément à l'Article 10 du Règlement financier.</w:t>
      </w:r>
    </w:p>
    <w:p w:rsidR="0090198C" w:rsidRDefault="0090198C" w:rsidP="00627F5F">
      <w:r>
        <w:br w:type="page"/>
      </w:r>
    </w:p>
    <w:p w:rsidR="007E21E2" w:rsidRPr="00300277" w:rsidRDefault="000F3C11" w:rsidP="00627F5F">
      <w:r w:rsidRPr="00300277">
        <w:lastRenderedPageBreak/>
        <w:t>2.2</w:t>
      </w:r>
      <w:r w:rsidRPr="00300277">
        <w:tab/>
        <w:t xml:space="preserve">Le Tableau 1 ci-après présente </w:t>
      </w:r>
      <w:bookmarkStart w:id="9" w:name="OLE_LINK1"/>
      <w:bookmarkStart w:id="10" w:name="OLE_LINK2"/>
      <w:r w:rsidR="0078302B" w:rsidRPr="00300277">
        <w:rPr>
          <w:color w:val="000000"/>
        </w:rPr>
        <w:t>la situation du budget pour</w:t>
      </w:r>
      <w:r w:rsidR="0078302B" w:rsidRPr="00300277">
        <w:rPr>
          <w:szCs w:val="24"/>
        </w:rPr>
        <w:t xml:space="preserve"> </w:t>
      </w:r>
      <w:r w:rsidR="007E21E2" w:rsidRPr="00300277">
        <w:rPr>
          <w:szCs w:val="24"/>
        </w:rPr>
        <w:t>2018</w:t>
      </w:r>
      <w:r w:rsidR="0078302B" w:rsidRPr="00300277">
        <w:rPr>
          <w:szCs w:val="24"/>
        </w:rPr>
        <w:t>,</w:t>
      </w:r>
      <w:r w:rsidR="0078302B" w:rsidRPr="00300277">
        <w:rPr>
          <w:color w:val="000000"/>
        </w:rPr>
        <w:t xml:space="preserve"> qui indique les charges au</w:t>
      </w:r>
      <w:r w:rsidR="0090198C">
        <w:rPr>
          <w:color w:val="000000"/>
        </w:rPr>
        <w:t> </w:t>
      </w:r>
      <w:r w:rsidR="0078302B" w:rsidRPr="00300277">
        <w:rPr>
          <w:szCs w:val="24"/>
        </w:rPr>
        <w:t xml:space="preserve">31 janvier 2018 </w:t>
      </w:r>
      <w:r w:rsidR="0078302B" w:rsidRPr="00300277">
        <w:rPr>
          <w:color w:val="000000"/>
        </w:rPr>
        <w:t>et les prévisions des produits et des charges jusqu'au 31 décembre 201</w:t>
      </w:r>
      <w:r w:rsidR="0095311F" w:rsidRPr="00300277">
        <w:rPr>
          <w:color w:val="000000"/>
        </w:rPr>
        <w:t>8</w:t>
      </w:r>
      <w:r w:rsidR="0078302B" w:rsidRPr="00300277">
        <w:rPr>
          <w:color w:val="000000"/>
        </w:rPr>
        <w:t>.</w:t>
      </w:r>
      <w:r w:rsidR="00627F5F" w:rsidRPr="00300277">
        <w:rPr>
          <w:szCs w:val="24"/>
        </w:rPr>
        <w:t xml:space="preserve"> </w:t>
      </w:r>
      <w:r w:rsidR="0095311F" w:rsidRPr="00300277">
        <w:rPr>
          <w:szCs w:val="24"/>
        </w:rPr>
        <w:t>Les prévisions préliminaires pour 2018 font apparaître</w:t>
      </w:r>
      <w:r w:rsidR="00627F5F" w:rsidRPr="00300277">
        <w:rPr>
          <w:szCs w:val="24"/>
        </w:rPr>
        <w:t xml:space="preserve"> </w:t>
      </w:r>
      <w:r w:rsidR="0095311F" w:rsidRPr="00300277">
        <w:rPr>
          <w:szCs w:val="24"/>
        </w:rPr>
        <w:t>un écart de</w:t>
      </w:r>
      <w:r w:rsidR="00627F5F" w:rsidRPr="00300277">
        <w:rPr>
          <w:szCs w:val="24"/>
        </w:rPr>
        <w:t xml:space="preserve"> </w:t>
      </w:r>
      <w:r w:rsidR="007E21E2" w:rsidRPr="00300277">
        <w:rPr>
          <w:szCs w:val="24"/>
        </w:rPr>
        <w:t>3 million</w:t>
      </w:r>
      <w:r w:rsidR="0095311F" w:rsidRPr="00300277">
        <w:rPr>
          <w:szCs w:val="24"/>
        </w:rPr>
        <w:t>s</w:t>
      </w:r>
      <w:r w:rsidR="00627F5F" w:rsidRPr="00300277">
        <w:rPr>
          <w:szCs w:val="24"/>
        </w:rPr>
        <w:t xml:space="preserve"> CHF</w:t>
      </w:r>
      <w:r w:rsidR="0095311F" w:rsidRPr="00300277">
        <w:rPr>
          <w:szCs w:val="24"/>
        </w:rPr>
        <w:t>, qui s</w:t>
      </w:r>
      <w:r w:rsidR="00627F5F" w:rsidRPr="00300277">
        <w:rPr>
          <w:szCs w:val="24"/>
        </w:rPr>
        <w:t>'</w:t>
      </w:r>
      <w:r w:rsidR="0095311F" w:rsidRPr="00300277">
        <w:rPr>
          <w:szCs w:val="24"/>
        </w:rPr>
        <w:t xml:space="preserve">explique essentiellement par la mise en </w:t>
      </w:r>
      <w:r w:rsidR="00627F5F" w:rsidRPr="00300277">
        <w:rPr>
          <w:szCs w:val="24"/>
        </w:rPr>
        <w:t>oe</w:t>
      </w:r>
      <w:r w:rsidR="0095311F" w:rsidRPr="00300277">
        <w:rPr>
          <w:szCs w:val="24"/>
        </w:rPr>
        <w:t>uvre de la décision de la CFPI relative à l</w:t>
      </w:r>
      <w:r w:rsidR="00627F5F" w:rsidRPr="00300277">
        <w:rPr>
          <w:szCs w:val="24"/>
        </w:rPr>
        <w:t>'</w:t>
      </w:r>
      <w:r w:rsidR="0095311F" w:rsidRPr="00300277">
        <w:rPr>
          <w:szCs w:val="24"/>
        </w:rPr>
        <w:t>ajustement de poste à Genève</w:t>
      </w:r>
      <w:r w:rsidR="00627F5F" w:rsidRPr="00300277">
        <w:rPr>
          <w:szCs w:val="24"/>
        </w:rPr>
        <w:t>.</w:t>
      </w:r>
    </w:p>
    <w:bookmarkEnd w:id="9"/>
    <w:bookmarkEnd w:id="10"/>
    <w:p w:rsidR="000F3C11" w:rsidRPr="00300277" w:rsidRDefault="000F3C11" w:rsidP="0090198C">
      <w:pPr>
        <w:pStyle w:val="Tabletitle"/>
        <w:spacing w:before="360"/>
      </w:pPr>
      <w:r w:rsidRPr="00300277">
        <w:t xml:space="preserve">Tableau 1 ‒ Mise en </w:t>
      </w:r>
      <w:r w:rsidR="007E21E2" w:rsidRPr="00300277">
        <w:t>oe</w:t>
      </w:r>
      <w:r w:rsidRPr="00300277">
        <w:t>uvre de la Résolution 13</w:t>
      </w:r>
      <w:r w:rsidR="007E21E2" w:rsidRPr="00300277">
        <w:t>87</w:t>
      </w:r>
      <w:r w:rsidRPr="00300277">
        <w:t xml:space="preserve"> relative au budget</w:t>
      </w:r>
    </w:p>
    <w:p w:rsidR="007E21E2" w:rsidRPr="00300277" w:rsidRDefault="00C67BDF" w:rsidP="00627F5F">
      <w:pPr>
        <w:pStyle w:val="Tabletitle"/>
      </w:pPr>
      <w:r w:rsidRPr="00300277">
        <w:t xml:space="preserve">BUDGET 2018 – Prévisions des </w:t>
      </w:r>
      <w:r w:rsidR="0095311F" w:rsidRPr="00300277">
        <w:t>p</w:t>
      </w:r>
      <w:r w:rsidRPr="00300277">
        <w:t>roduits et</w:t>
      </w:r>
      <w:r w:rsidR="0095311F" w:rsidRPr="00300277">
        <w:t xml:space="preserve"> des</w:t>
      </w:r>
      <w:r w:rsidR="00627F5F" w:rsidRPr="00300277">
        <w:t xml:space="preserve"> </w:t>
      </w:r>
      <w:r w:rsidR="0095311F" w:rsidRPr="00300277">
        <w:t>c</w:t>
      </w:r>
      <w:r w:rsidRPr="00300277">
        <w:t>harges</w:t>
      </w:r>
    </w:p>
    <w:p w:rsidR="002D61AA" w:rsidRPr="00300277" w:rsidRDefault="002D61AA" w:rsidP="00627F5F">
      <w:pPr>
        <w:jc w:val="right"/>
        <w:rPr>
          <w:rFonts w:cs="Calibri"/>
          <w:b/>
          <w:bCs/>
          <w:i/>
          <w:iCs/>
          <w:sz w:val="22"/>
          <w:szCs w:val="22"/>
        </w:rPr>
      </w:pPr>
      <w:r w:rsidRPr="00300277">
        <w:rPr>
          <w:i/>
          <w:iCs/>
          <w:lang w:eastAsia="zh-CN"/>
        </w:rPr>
        <w:t>En milliers CHF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1418"/>
        <w:gridCol w:w="1701"/>
        <w:gridCol w:w="1147"/>
        <w:gridCol w:w="992"/>
        <w:gridCol w:w="845"/>
      </w:tblGrid>
      <w:tr w:rsidR="007E21E2" w:rsidRPr="00300277" w:rsidTr="0090198C">
        <w:tc>
          <w:tcPr>
            <w:tcW w:w="3539" w:type="dxa"/>
            <w:tcBorders>
              <w:top w:val="single" w:sz="4" w:space="0" w:color="auto"/>
              <w:bottom w:val="single" w:sz="4" w:space="0" w:color="auto"/>
            </w:tcBorders>
            <w:shd w:val="clear" w:color="auto" w:fill="DBE5F1" w:themeFill="accent1" w:themeFillTint="33"/>
            <w:vAlign w:val="center"/>
          </w:tcPr>
          <w:p w:rsidR="007E21E2" w:rsidRPr="00300277" w:rsidRDefault="007E21E2" w:rsidP="00627F5F">
            <w:pPr>
              <w:pStyle w:val="Tablehead"/>
            </w:pPr>
          </w:p>
        </w:tc>
        <w:tc>
          <w:tcPr>
            <w:tcW w:w="1418" w:type="dxa"/>
            <w:tcBorders>
              <w:top w:val="single" w:sz="4" w:space="0" w:color="auto"/>
              <w:bottom w:val="single" w:sz="4" w:space="0" w:color="auto"/>
            </w:tcBorders>
            <w:shd w:val="clear" w:color="auto" w:fill="DBE5F1" w:themeFill="accent1" w:themeFillTint="33"/>
          </w:tcPr>
          <w:p w:rsidR="007E21E2" w:rsidRPr="00300277" w:rsidRDefault="007E21E2" w:rsidP="00627F5F">
            <w:pPr>
              <w:pStyle w:val="Tablehead"/>
            </w:pPr>
            <w:r w:rsidRPr="00300277">
              <w:t>Budget 2018</w:t>
            </w:r>
          </w:p>
        </w:tc>
        <w:tc>
          <w:tcPr>
            <w:tcW w:w="1701" w:type="dxa"/>
            <w:tcBorders>
              <w:top w:val="single" w:sz="4" w:space="0" w:color="auto"/>
              <w:bottom w:val="single" w:sz="4" w:space="0" w:color="auto"/>
            </w:tcBorders>
            <w:shd w:val="clear" w:color="auto" w:fill="DBE5F1" w:themeFill="accent1" w:themeFillTint="33"/>
          </w:tcPr>
          <w:p w:rsidR="007E21E2" w:rsidRPr="00300277" w:rsidRDefault="007E21E2" w:rsidP="00627F5F">
            <w:pPr>
              <w:pStyle w:val="Tablehead"/>
            </w:pPr>
            <w:r w:rsidRPr="00300277">
              <w:t xml:space="preserve">Montants effectifs au </w:t>
            </w:r>
            <w:r w:rsidR="00CE072B" w:rsidRPr="00300277">
              <w:br/>
            </w:r>
            <w:r w:rsidRPr="00300277">
              <w:t>31 janvier 2018</w:t>
            </w:r>
          </w:p>
        </w:tc>
        <w:tc>
          <w:tcPr>
            <w:tcW w:w="1134" w:type="dxa"/>
            <w:tcBorders>
              <w:top w:val="single" w:sz="4" w:space="0" w:color="auto"/>
              <w:bottom w:val="single" w:sz="4" w:space="0" w:color="auto"/>
            </w:tcBorders>
            <w:shd w:val="clear" w:color="auto" w:fill="DBE5F1" w:themeFill="accent1" w:themeFillTint="33"/>
          </w:tcPr>
          <w:p w:rsidR="007E21E2" w:rsidRPr="00300277" w:rsidRDefault="007E21E2" w:rsidP="00627F5F">
            <w:pPr>
              <w:pStyle w:val="Tablehead"/>
            </w:pPr>
            <w:r w:rsidRPr="00300277">
              <w:t>Prévision</w:t>
            </w:r>
            <w:r w:rsidR="0095311F" w:rsidRPr="00300277">
              <w:t>s pour 2018</w:t>
            </w:r>
          </w:p>
        </w:tc>
        <w:tc>
          <w:tcPr>
            <w:tcW w:w="992" w:type="dxa"/>
            <w:tcBorders>
              <w:top w:val="single" w:sz="4" w:space="0" w:color="auto"/>
              <w:bottom w:val="single" w:sz="4" w:space="0" w:color="auto"/>
            </w:tcBorders>
            <w:shd w:val="clear" w:color="auto" w:fill="DBE5F1" w:themeFill="accent1" w:themeFillTint="33"/>
          </w:tcPr>
          <w:p w:rsidR="007E21E2" w:rsidRPr="00300277" w:rsidRDefault="007E21E2" w:rsidP="00627F5F">
            <w:pPr>
              <w:pStyle w:val="Tablehead"/>
            </w:pPr>
            <w:r w:rsidRPr="00300277">
              <w:t>Ecart</w:t>
            </w:r>
          </w:p>
        </w:tc>
        <w:tc>
          <w:tcPr>
            <w:tcW w:w="845" w:type="dxa"/>
            <w:tcBorders>
              <w:top w:val="single" w:sz="4" w:space="0" w:color="auto"/>
              <w:bottom w:val="single" w:sz="4" w:space="0" w:color="auto"/>
            </w:tcBorders>
            <w:shd w:val="clear" w:color="auto" w:fill="DBE5F1" w:themeFill="accent1" w:themeFillTint="33"/>
          </w:tcPr>
          <w:p w:rsidR="007E21E2" w:rsidRPr="00300277" w:rsidRDefault="007E21E2" w:rsidP="00627F5F">
            <w:pPr>
              <w:pStyle w:val="Tablehead"/>
            </w:pPr>
            <w:r w:rsidRPr="00300277">
              <w:t>%</w:t>
            </w:r>
          </w:p>
        </w:tc>
      </w:tr>
      <w:tr w:rsidR="007E21E2" w:rsidRPr="00300277" w:rsidTr="00CE072B">
        <w:tc>
          <w:tcPr>
            <w:tcW w:w="3539" w:type="dxa"/>
            <w:tcBorders>
              <w:top w:val="single" w:sz="4" w:space="0" w:color="auto"/>
            </w:tcBorders>
          </w:tcPr>
          <w:p w:rsidR="007E21E2" w:rsidRPr="00300277" w:rsidRDefault="007E21E2" w:rsidP="00627F5F">
            <w:pPr>
              <w:pStyle w:val="Tabletext"/>
              <w:rPr>
                <w:b/>
                <w:bCs/>
              </w:rPr>
            </w:pPr>
            <w:r w:rsidRPr="00300277">
              <w:rPr>
                <w:b/>
                <w:bCs/>
              </w:rPr>
              <w:t>PRODUITS</w:t>
            </w:r>
          </w:p>
        </w:tc>
        <w:tc>
          <w:tcPr>
            <w:tcW w:w="1418" w:type="dxa"/>
            <w:tcBorders>
              <w:top w:val="single" w:sz="4" w:space="0" w:color="auto"/>
            </w:tcBorders>
          </w:tcPr>
          <w:p w:rsidR="007E21E2" w:rsidRPr="00300277" w:rsidRDefault="007E21E2" w:rsidP="00627F5F">
            <w:pPr>
              <w:pStyle w:val="Tabletext"/>
            </w:pPr>
          </w:p>
        </w:tc>
        <w:tc>
          <w:tcPr>
            <w:tcW w:w="1701" w:type="dxa"/>
            <w:tcBorders>
              <w:top w:val="single" w:sz="4" w:space="0" w:color="auto"/>
            </w:tcBorders>
          </w:tcPr>
          <w:p w:rsidR="007E21E2" w:rsidRPr="00300277" w:rsidRDefault="007E21E2" w:rsidP="00627F5F">
            <w:pPr>
              <w:pStyle w:val="Tabletext"/>
            </w:pPr>
          </w:p>
        </w:tc>
        <w:tc>
          <w:tcPr>
            <w:tcW w:w="1134" w:type="dxa"/>
            <w:tcBorders>
              <w:top w:val="single" w:sz="4" w:space="0" w:color="auto"/>
            </w:tcBorders>
          </w:tcPr>
          <w:p w:rsidR="007E21E2" w:rsidRPr="00300277" w:rsidRDefault="007E21E2" w:rsidP="00627F5F">
            <w:pPr>
              <w:pStyle w:val="Tabletext"/>
            </w:pPr>
          </w:p>
        </w:tc>
        <w:tc>
          <w:tcPr>
            <w:tcW w:w="992" w:type="dxa"/>
            <w:tcBorders>
              <w:top w:val="single" w:sz="4" w:space="0" w:color="auto"/>
            </w:tcBorders>
          </w:tcPr>
          <w:p w:rsidR="007E21E2" w:rsidRPr="00300277" w:rsidRDefault="007E21E2" w:rsidP="00627F5F">
            <w:pPr>
              <w:pStyle w:val="Tabletext"/>
            </w:pPr>
          </w:p>
        </w:tc>
        <w:tc>
          <w:tcPr>
            <w:tcW w:w="845" w:type="dxa"/>
            <w:tcBorders>
              <w:top w:val="single" w:sz="4" w:space="0" w:color="auto"/>
            </w:tcBorders>
          </w:tcPr>
          <w:p w:rsidR="007E21E2" w:rsidRPr="00300277" w:rsidRDefault="007E21E2" w:rsidP="00627F5F">
            <w:pPr>
              <w:pStyle w:val="Tabletext"/>
            </w:pPr>
          </w:p>
        </w:tc>
      </w:tr>
      <w:tr w:rsidR="007E21E2" w:rsidRPr="00300277" w:rsidTr="003F53A3">
        <w:tc>
          <w:tcPr>
            <w:tcW w:w="3539" w:type="dxa"/>
          </w:tcPr>
          <w:p w:rsidR="007E21E2" w:rsidRPr="00300277" w:rsidRDefault="007E21E2" w:rsidP="00627F5F">
            <w:pPr>
              <w:pStyle w:val="Tabletext"/>
            </w:pPr>
            <w:r w:rsidRPr="00300277">
              <w:t>Total des contributions mises en recouvrement</w:t>
            </w:r>
          </w:p>
        </w:tc>
        <w:tc>
          <w:tcPr>
            <w:tcW w:w="1418" w:type="dxa"/>
            <w:vAlign w:val="center"/>
          </w:tcPr>
          <w:p w:rsidR="007E21E2" w:rsidRPr="00300277" w:rsidRDefault="00CE072B" w:rsidP="00627F5F">
            <w:pPr>
              <w:pStyle w:val="Tabletext"/>
              <w:jc w:val="right"/>
            </w:pPr>
            <w:r w:rsidRPr="00300277">
              <w:t>124 401</w:t>
            </w:r>
          </w:p>
        </w:tc>
        <w:tc>
          <w:tcPr>
            <w:tcW w:w="1701" w:type="dxa"/>
            <w:vAlign w:val="center"/>
          </w:tcPr>
          <w:p w:rsidR="007E21E2" w:rsidRPr="00300277" w:rsidRDefault="00CE072B" w:rsidP="00627F5F">
            <w:pPr>
              <w:pStyle w:val="Tabletext"/>
              <w:jc w:val="right"/>
            </w:pPr>
            <w:r w:rsidRPr="00300277">
              <w:t>124 591</w:t>
            </w:r>
          </w:p>
        </w:tc>
        <w:tc>
          <w:tcPr>
            <w:tcW w:w="1134" w:type="dxa"/>
            <w:vAlign w:val="center"/>
          </w:tcPr>
          <w:p w:rsidR="007E21E2" w:rsidRPr="00300277" w:rsidRDefault="00CE072B" w:rsidP="00627F5F">
            <w:pPr>
              <w:pStyle w:val="Tabletext"/>
              <w:jc w:val="right"/>
            </w:pPr>
            <w:r w:rsidRPr="00300277">
              <w:t>124 591</w:t>
            </w:r>
          </w:p>
        </w:tc>
        <w:tc>
          <w:tcPr>
            <w:tcW w:w="992" w:type="dxa"/>
            <w:vAlign w:val="center"/>
          </w:tcPr>
          <w:p w:rsidR="007E21E2" w:rsidRPr="00300277" w:rsidRDefault="00CE072B" w:rsidP="00627F5F">
            <w:pPr>
              <w:pStyle w:val="Tabletext"/>
              <w:jc w:val="right"/>
            </w:pPr>
            <w:r w:rsidRPr="00300277">
              <w:t>190</w:t>
            </w:r>
          </w:p>
        </w:tc>
        <w:tc>
          <w:tcPr>
            <w:tcW w:w="845" w:type="dxa"/>
            <w:vAlign w:val="center"/>
          </w:tcPr>
          <w:p w:rsidR="007E21E2" w:rsidRPr="00300277" w:rsidRDefault="00CE072B" w:rsidP="00627F5F">
            <w:pPr>
              <w:pStyle w:val="Tabletext"/>
              <w:jc w:val="right"/>
            </w:pPr>
            <w:r w:rsidRPr="00300277">
              <w:t>0,2%</w:t>
            </w:r>
          </w:p>
        </w:tc>
      </w:tr>
      <w:tr w:rsidR="007E21E2" w:rsidRPr="00300277" w:rsidTr="003F53A3">
        <w:tc>
          <w:tcPr>
            <w:tcW w:w="3539" w:type="dxa"/>
          </w:tcPr>
          <w:p w:rsidR="007E21E2" w:rsidRPr="00300277" w:rsidRDefault="007E21E2" w:rsidP="00627F5F">
            <w:pPr>
              <w:pStyle w:val="Tabletext"/>
            </w:pPr>
            <w:r w:rsidRPr="00300277">
              <w:t>Total d</w:t>
            </w:r>
            <w:r w:rsidR="0095311F" w:rsidRPr="00300277">
              <w:t>u</w:t>
            </w:r>
            <w:r w:rsidRPr="00300277">
              <w:t xml:space="preserve"> recouvrement</w:t>
            </w:r>
            <w:r w:rsidR="0095311F" w:rsidRPr="00300277">
              <w:t xml:space="preserve"> </w:t>
            </w:r>
            <w:r w:rsidRPr="00300277">
              <w:t>des coûts</w:t>
            </w:r>
          </w:p>
        </w:tc>
        <w:tc>
          <w:tcPr>
            <w:tcW w:w="1418" w:type="dxa"/>
            <w:vAlign w:val="center"/>
          </w:tcPr>
          <w:p w:rsidR="007E21E2" w:rsidRPr="00300277" w:rsidRDefault="00CE072B" w:rsidP="00627F5F">
            <w:pPr>
              <w:pStyle w:val="Tabletext"/>
              <w:jc w:val="right"/>
            </w:pPr>
            <w:r w:rsidRPr="00300277">
              <w:t xml:space="preserve">36 375 </w:t>
            </w:r>
          </w:p>
        </w:tc>
        <w:tc>
          <w:tcPr>
            <w:tcW w:w="1701" w:type="dxa"/>
            <w:vAlign w:val="center"/>
          </w:tcPr>
          <w:p w:rsidR="007E21E2" w:rsidRPr="00300277" w:rsidRDefault="00CE072B" w:rsidP="00627F5F">
            <w:pPr>
              <w:pStyle w:val="Tabletext"/>
              <w:jc w:val="right"/>
            </w:pPr>
            <w:r w:rsidRPr="00300277">
              <w:t>2 524</w:t>
            </w:r>
          </w:p>
        </w:tc>
        <w:tc>
          <w:tcPr>
            <w:tcW w:w="1134" w:type="dxa"/>
            <w:vAlign w:val="center"/>
          </w:tcPr>
          <w:p w:rsidR="007E21E2" w:rsidRPr="00300277" w:rsidRDefault="00CE072B" w:rsidP="00627F5F">
            <w:pPr>
              <w:pStyle w:val="Tabletext"/>
              <w:jc w:val="right"/>
            </w:pPr>
            <w:r w:rsidRPr="00300277">
              <w:t>36 050</w:t>
            </w:r>
          </w:p>
        </w:tc>
        <w:tc>
          <w:tcPr>
            <w:tcW w:w="992" w:type="dxa"/>
            <w:vAlign w:val="center"/>
          </w:tcPr>
          <w:p w:rsidR="007E21E2" w:rsidRPr="00300277" w:rsidRDefault="00CE072B" w:rsidP="00627F5F">
            <w:pPr>
              <w:pStyle w:val="Tabletext"/>
              <w:jc w:val="right"/>
            </w:pPr>
            <w:r w:rsidRPr="00300277">
              <w:t>–325</w:t>
            </w:r>
          </w:p>
        </w:tc>
        <w:tc>
          <w:tcPr>
            <w:tcW w:w="845" w:type="dxa"/>
            <w:vAlign w:val="center"/>
          </w:tcPr>
          <w:p w:rsidR="007E21E2" w:rsidRPr="00300277" w:rsidRDefault="00CE072B" w:rsidP="00627F5F">
            <w:pPr>
              <w:pStyle w:val="Tabletext"/>
              <w:jc w:val="right"/>
            </w:pPr>
            <w:r w:rsidRPr="00300277">
              <w:t>–0,9%</w:t>
            </w:r>
          </w:p>
        </w:tc>
      </w:tr>
      <w:tr w:rsidR="007E21E2" w:rsidRPr="00300277" w:rsidTr="003F53A3">
        <w:tc>
          <w:tcPr>
            <w:tcW w:w="3539" w:type="dxa"/>
          </w:tcPr>
          <w:p w:rsidR="007E21E2" w:rsidRPr="00300277" w:rsidRDefault="0095311F" w:rsidP="00627F5F">
            <w:pPr>
              <w:pStyle w:val="Tabletext"/>
            </w:pPr>
            <w:r w:rsidRPr="00300277">
              <w:rPr>
                <w:color w:val="000000"/>
              </w:rPr>
              <w:t>Produits provenant des intérêts</w:t>
            </w:r>
          </w:p>
        </w:tc>
        <w:tc>
          <w:tcPr>
            <w:tcW w:w="1418" w:type="dxa"/>
            <w:vAlign w:val="center"/>
          </w:tcPr>
          <w:p w:rsidR="007E21E2" w:rsidRPr="00300277" w:rsidRDefault="00CE072B" w:rsidP="00627F5F">
            <w:pPr>
              <w:pStyle w:val="Tabletext"/>
              <w:jc w:val="right"/>
            </w:pPr>
            <w:r w:rsidRPr="00300277">
              <w:t>300</w:t>
            </w:r>
          </w:p>
        </w:tc>
        <w:tc>
          <w:tcPr>
            <w:tcW w:w="1701" w:type="dxa"/>
            <w:vAlign w:val="center"/>
          </w:tcPr>
          <w:p w:rsidR="007E21E2" w:rsidRPr="00300277" w:rsidRDefault="00CE072B" w:rsidP="00627F5F">
            <w:pPr>
              <w:pStyle w:val="Tabletext"/>
              <w:jc w:val="right"/>
            </w:pPr>
            <w:r w:rsidRPr="00300277">
              <w:t>100</w:t>
            </w:r>
          </w:p>
        </w:tc>
        <w:tc>
          <w:tcPr>
            <w:tcW w:w="1134" w:type="dxa"/>
            <w:vAlign w:val="center"/>
          </w:tcPr>
          <w:p w:rsidR="007E21E2" w:rsidRPr="00300277" w:rsidRDefault="00CE072B" w:rsidP="00627F5F">
            <w:pPr>
              <w:pStyle w:val="Tabletext"/>
              <w:jc w:val="right"/>
            </w:pPr>
            <w:r w:rsidRPr="00300277">
              <w:t>150</w:t>
            </w:r>
          </w:p>
        </w:tc>
        <w:tc>
          <w:tcPr>
            <w:tcW w:w="992" w:type="dxa"/>
            <w:vAlign w:val="center"/>
          </w:tcPr>
          <w:p w:rsidR="007E21E2" w:rsidRPr="00300277" w:rsidRDefault="00CE072B" w:rsidP="00627F5F">
            <w:pPr>
              <w:pStyle w:val="Tabletext"/>
              <w:jc w:val="right"/>
            </w:pPr>
            <w:r w:rsidRPr="00300277">
              <w:t>–150</w:t>
            </w:r>
          </w:p>
        </w:tc>
        <w:tc>
          <w:tcPr>
            <w:tcW w:w="845" w:type="dxa"/>
            <w:vAlign w:val="center"/>
          </w:tcPr>
          <w:p w:rsidR="007E21E2" w:rsidRPr="00300277" w:rsidRDefault="00CE072B" w:rsidP="00627F5F">
            <w:pPr>
              <w:pStyle w:val="Tabletext"/>
              <w:jc w:val="right"/>
            </w:pPr>
            <w:r w:rsidRPr="00300277">
              <w:t>–50%</w:t>
            </w:r>
          </w:p>
        </w:tc>
      </w:tr>
      <w:tr w:rsidR="007E21E2" w:rsidRPr="00300277" w:rsidTr="003F53A3">
        <w:tc>
          <w:tcPr>
            <w:tcW w:w="3539" w:type="dxa"/>
          </w:tcPr>
          <w:p w:rsidR="007E21E2" w:rsidRPr="00300277" w:rsidRDefault="007E21E2" w:rsidP="00627F5F">
            <w:pPr>
              <w:pStyle w:val="Tabletext"/>
            </w:pPr>
            <w:r w:rsidRPr="00300277">
              <w:t>Autres produits</w:t>
            </w:r>
          </w:p>
        </w:tc>
        <w:tc>
          <w:tcPr>
            <w:tcW w:w="1418" w:type="dxa"/>
            <w:vAlign w:val="center"/>
          </w:tcPr>
          <w:p w:rsidR="007E21E2" w:rsidRPr="00300277" w:rsidRDefault="00CE072B" w:rsidP="00627F5F">
            <w:pPr>
              <w:pStyle w:val="Tabletext"/>
              <w:jc w:val="right"/>
            </w:pPr>
            <w:r w:rsidRPr="00300277">
              <w:t>100</w:t>
            </w:r>
          </w:p>
        </w:tc>
        <w:tc>
          <w:tcPr>
            <w:tcW w:w="1701" w:type="dxa"/>
            <w:vAlign w:val="center"/>
          </w:tcPr>
          <w:p w:rsidR="007E21E2" w:rsidRPr="00300277" w:rsidRDefault="00CE072B" w:rsidP="00627F5F">
            <w:pPr>
              <w:pStyle w:val="Tabletext"/>
              <w:jc w:val="right"/>
            </w:pPr>
            <w:r w:rsidRPr="00300277">
              <w:t>5</w:t>
            </w:r>
          </w:p>
        </w:tc>
        <w:tc>
          <w:tcPr>
            <w:tcW w:w="1134" w:type="dxa"/>
            <w:vAlign w:val="center"/>
          </w:tcPr>
          <w:p w:rsidR="007E21E2" w:rsidRPr="00300277" w:rsidRDefault="00CE072B" w:rsidP="00627F5F">
            <w:pPr>
              <w:pStyle w:val="Tabletext"/>
              <w:jc w:val="right"/>
            </w:pPr>
            <w:r w:rsidRPr="00300277">
              <w:t>100</w:t>
            </w:r>
          </w:p>
        </w:tc>
        <w:tc>
          <w:tcPr>
            <w:tcW w:w="992" w:type="dxa"/>
            <w:vAlign w:val="center"/>
          </w:tcPr>
          <w:p w:rsidR="007E21E2" w:rsidRPr="00300277" w:rsidRDefault="00CE072B" w:rsidP="00627F5F">
            <w:pPr>
              <w:pStyle w:val="Tabletext"/>
              <w:jc w:val="right"/>
            </w:pPr>
            <w:r w:rsidRPr="00300277">
              <w:t>0</w:t>
            </w:r>
          </w:p>
        </w:tc>
        <w:tc>
          <w:tcPr>
            <w:tcW w:w="845" w:type="dxa"/>
            <w:vAlign w:val="center"/>
          </w:tcPr>
          <w:p w:rsidR="007E21E2" w:rsidRPr="00300277" w:rsidRDefault="00CE072B" w:rsidP="00627F5F">
            <w:pPr>
              <w:pStyle w:val="Tabletext"/>
              <w:jc w:val="right"/>
            </w:pPr>
            <w:r w:rsidRPr="00300277">
              <w:t>0%</w:t>
            </w:r>
          </w:p>
        </w:tc>
      </w:tr>
      <w:tr w:rsidR="007E21E2" w:rsidRPr="00300277" w:rsidTr="003F53A3">
        <w:tc>
          <w:tcPr>
            <w:tcW w:w="3539" w:type="dxa"/>
          </w:tcPr>
          <w:p w:rsidR="007E21E2" w:rsidRPr="00300277" w:rsidRDefault="007E21E2" w:rsidP="00627F5F">
            <w:pPr>
              <w:pStyle w:val="Tabletext"/>
            </w:pPr>
            <w:r w:rsidRPr="00300277">
              <w:t>Prélèvement sur le Fonds de réserve</w:t>
            </w:r>
          </w:p>
        </w:tc>
        <w:tc>
          <w:tcPr>
            <w:tcW w:w="1418" w:type="dxa"/>
            <w:vAlign w:val="center"/>
          </w:tcPr>
          <w:p w:rsidR="007E21E2" w:rsidRPr="00300277" w:rsidRDefault="00CE072B" w:rsidP="00627F5F">
            <w:pPr>
              <w:pStyle w:val="Tabletext"/>
              <w:jc w:val="right"/>
            </w:pPr>
            <w:r w:rsidRPr="00300277">
              <w:t>–2 245</w:t>
            </w:r>
          </w:p>
        </w:tc>
        <w:tc>
          <w:tcPr>
            <w:tcW w:w="1701" w:type="dxa"/>
            <w:vAlign w:val="center"/>
          </w:tcPr>
          <w:p w:rsidR="007E21E2" w:rsidRPr="00300277" w:rsidRDefault="00CE072B" w:rsidP="00627F5F">
            <w:pPr>
              <w:pStyle w:val="Tabletext"/>
              <w:jc w:val="right"/>
            </w:pPr>
            <w:r w:rsidRPr="00300277">
              <w:t>0</w:t>
            </w:r>
          </w:p>
        </w:tc>
        <w:tc>
          <w:tcPr>
            <w:tcW w:w="1134" w:type="dxa"/>
            <w:vAlign w:val="center"/>
          </w:tcPr>
          <w:p w:rsidR="007E21E2" w:rsidRPr="00300277" w:rsidRDefault="00CE072B" w:rsidP="00627F5F">
            <w:pPr>
              <w:pStyle w:val="Tabletext"/>
              <w:jc w:val="right"/>
            </w:pPr>
            <w:r w:rsidRPr="00300277">
              <w:t>–2 245</w:t>
            </w:r>
          </w:p>
        </w:tc>
        <w:tc>
          <w:tcPr>
            <w:tcW w:w="992" w:type="dxa"/>
            <w:vAlign w:val="center"/>
          </w:tcPr>
          <w:p w:rsidR="007E21E2" w:rsidRPr="00300277" w:rsidRDefault="00CE072B" w:rsidP="00627F5F">
            <w:pPr>
              <w:pStyle w:val="Tabletext"/>
              <w:jc w:val="right"/>
            </w:pPr>
            <w:r w:rsidRPr="00300277">
              <w:t>0</w:t>
            </w:r>
          </w:p>
        </w:tc>
        <w:tc>
          <w:tcPr>
            <w:tcW w:w="845" w:type="dxa"/>
            <w:vAlign w:val="center"/>
          </w:tcPr>
          <w:p w:rsidR="007E21E2" w:rsidRPr="00300277" w:rsidRDefault="00CE072B" w:rsidP="00627F5F">
            <w:pPr>
              <w:pStyle w:val="Tabletext"/>
              <w:jc w:val="right"/>
            </w:pPr>
            <w:r w:rsidRPr="00300277">
              <w:t>0%</w:t>
            </w:r>
          </w:p>
        </w:tc>
      </w:tr>
      <w:tr w:rsidR="007E21E2" w:rsidRPr="00300277" w:rsidTr="003F53A3">
        <w:tc>
          <w:tcPr>
            <w:tcW w:w="3539" w:type="dxa"/>
          </w:tcPr>
          <w:p w:rsidR="007E21E2" w:rsidRPr="00300277" w:rsidRDefault="0095311F" w:rsidP="00627F5F">
            <w:pPr>
              <w:pStyle w:val="Tabletext"/>
            </w:pPr>
            <w:r w:rsidRPr="00300277">
              <w:rPr>
                <w:color w:val="000000"/>
              </w:rPr>
              <w:t>Economies découlant de la mise en oeuvre du budget</w:t>
            </w:r>
          </w:p>
        </w:tc>
        <w:tc>
          <w:tcPr>
            <w:tcW w:w="1418" w:type="dxa"/>
            <w:vAlign w:val="center"/>
          </w:tcPr>
          <w:p w:rsidR="007E21E2" w:rsidRPr="00300277" w:rsidRDefault="00CE072B" w:rsidP="00627F5F">
            <w:pPr>
              <w:pStyle w:val="Tabletext"/>
              <w:jc w:val="right"/>
            </w:pPr>
            <w:r w:rsidRPr="00300277">
              <w:t>946</w:t>
            </w:r>
          </w:p>
        </w:tc>
        <w:tc>
          <w:tcPr>
            <w:tcW w:w="1701" w:type="dxa"/>
            <w:vAlign w:val="center"/>
          </w:tcPr>
          <w:p w:rsidR="007E21E2" w:rsidRPr="00300277" w:rsidRDefault="00CE072B" w:rsidP="00627F5F">
            <w:pPr>
              <w:pStyle w:val="Tabletext"/>
              <w:jc w:val="right"/>
            </w:pPr>
            <w:r w:rsidRPr="00300277">
              <w:t>0</w:t>
            </w:r>
          </w:p>
        </w:tc>
        <w:tc>
          <w:tcPr>
            <w:tcW w:w="1134" w:type="dxa"/>
            <w:vAlign w:val="center"/>
          </w:tcPr>
          <w:p w:rsidR="007E21E2" w:rsidRPr="00300277" w:rsidRDefault="00CE072B" w:rsidP="00627F5F">
            <w:pPr>
              <w:pStyle w:val="Tabletext"/>
              <w:jc w:val="right"/>
            </w:pPr>
            <w:r w:rsidRPr="00300277">
              <w:t>946</w:t>
            </w:r>
          </w:p>
        </w:tc>
        <w:tc>
          <w:tcPr>
            <w:tcW w:w="992" w:type="dxa"/>
            <w:vAlign w:val="center"/>
          </w:tcPr>
          <w:p w:rsidR="007E21E2" w:rsidRPr="00300277" w:rsidRDefault="00CE072B" w:rsidP="00627F5F">
            <w:pPr>
              <w:pStyle w:val="Tabletext"/>
              <w:jc w:val="right"/>
            </w:pPr>
            <w:r w:rsidRPr="00300277">
              <w:t>0</w:t>
            </w:r>
          </w:p>
        </w:tc>
        <w:tc>
          <w:tcPr>
            <w:tcW w:w="845" w:type="dxa"/>
            <w:vAlign w:val="center"/>
          </w:tcPr>
          <w:p w:rsidR="007E21E2" w:rsidRPr="00300277" w:rsidRDefault="00CE072B" w:rsidP="00627F5F">
            <w:pPr>
              <w:pStyle w:val="Tabletext"/>
              <w:jc w:val="right"/>
            </w:pPr>
            <w:r w:rsidRPr="00300277">
              <w:t>0%</w:t>
            </w:r>
          </w:p>
        </w:tc>
      </w:tr>
      <w:tr w:rsidR="007E21E2" w:rsidRPr="00300277" w:rsidTr="003F53A3">
        <w:tc>
          <w:tcPr>
            <w:tcW w:w="3539" w:type="dxa"/>
            <w:tcBorders>
              <w:bottom w:val="single" w:sz="4" w:space="0" w:color="auto"/>
            </w:tcBorders>
            <w:shd w:val="clear" w:color="auto" w:fill="DBE5F1" w:themeFill="accent1" w:themeFillTint="33"/>
          </w:tcPr>
          <w:p w:rsidR="007E21E2" w:rsidRPr="00300277" w:rsidRDefault="007E21E2" w:rsidP="00627F5F">
            <w:pPr>
              <w:pStyle w:val="Tabletext"/>
              <w:rPr>
                <w:b/>
                <w:bCs/>
              </w:rPr>
            </w:pPr>
            <w:r w:rsidRPr="00300277">
              <w:rPr>
                <w:b/>
                <w:bCs/>
              </w:rPr>
              <w:t xml:space="preserve">TOTAL </w:t>
            </w:r>
            <w:r w:rsidR="0095311F" w:rsidRPr="00300277">
              <w:rPr>
                <w:b/>
                <w:bCs/>
                <w:color w:val="000000"/>
              </w:rPr>
              <w:t>DES</w:t>
            </w:r>
            <w:r w:rsidR="0095311F" w:rsidRPr="00300277">
              <w:rPr>
                <w:color w:val="000000"/>
              </w:rPr>
              <w:t xml:space="preserve"> </w:t>
            </w:r>
            <w:r w:rsidRPr="00300277">
              <w:rPr>
                <w:b/>
                <w:bCs/>
              </w:rPr>
              <w:t>PRODUITS</w:t>
            </w:r>
          </w:p>
        </w:tc>
        <w:tc>
          <w:tcPr>
            <w:tcW w:w="1418" w:type="dxa"/>
            <w:tcBorders>
              <w:bottom w:val="single" w:sz="4" w:space="0" w:color="auto"/>
            </w:tcBorders>
            <w:shd w:val="clear" w:color="auto" w:fill="DBE5F1" w:themeFill="accent1" w:themeFillTint="33"/>
            <w:vAlign w:val="center"/>
          </w:tcPr>
          <w:p w:rsidR="007E21E2" w:rsidRPr="00300277" w:rsidRDefault="00CE072B" w:rsidP="00627F5F">
            <w:pPr>
              <w:pStyle w:val="Tabletext"/>
              <w:jc w:val="right"/>
              <w:rPr>
                <w:b/>
                <w:bCs/>
              </w:rPr>
            </w:pPr>
            <w:r w:rsidRPr="00300277">
              <w:rPr>
                <w:b/>
                <w:bCs/>
              </w:rPr>
              <w:t>159 877</w:t>
            </w:r>
          </w:p>
        </w:tc>
        <w:tc>
          <w:tcPr>
            <w:tcW w:w="1701" w:type="dxa"/>
            <w:tcBorders>
              <w:bottom w:val="single" w:sz="4" w:space="0" w:color="auto"/>
            </w:tcBorders>
            <w:shd w:val="clear" w:color="auto" w:fill="DBE5F1" w:themeFill="accent1" w:themeFillTint="33"/>
            <w:vAlign w:val="center"/>
          </w:tcPr>
          <w:p w:rsidR="007E21E2" w:rsidRPr="00300277" w:rsidRDefault="00CE072B" w:rsidP="00627F5F">
            <w:pPr>
              <w:pStyle w:val="Tabletext"/>
              <w:jc w:val="right"/>
              <w:rPr>
                <w:b/>
                <w:bCs/>
              </w:rPr>
            </w:pPr>
            <w:r w:rsidRPr="00300277">
              <w:rPr>
                <w:b/>
                <w:bCs/>
              </w:rPr>
              <w:t>127 220</w:t>
            </w:r>
          </w:p>
        </w:tc>
        <w:tc>
          <w:tcPr>
            <w:tcW w:w="1134" w:type="dxa"/>
            <w:tcBorders>
              <w:bottom w:val="single" w:sz="4" w:space="0" w:color="auto"/>
            </w:tcBorders>
            <w:shd w:val="clear" w:color="auto" w:fill="DBE5F1" w:themeFill="accent1" w:themeFillTint="33"/>
            <w:vAlign w:val="center"/>
          </w:tcPr>
          <w:p w:rsidR="007E21E2" w:rsidRPr="00300277" w:rsidRDefault="00CE072B" w:rsidP="00627F5F">
            <w:pPr>
              <w:pStyle w:val="Tabletext"/>
              <w:jc w:val="right"/>
              <w:rPr>
                <w:b/>
                <w:bCs/>
              </w:rPr>
            </w:pPr>
            <w:r w:rsidRPr="00300277">
              <w:rPr>
                <w:b/>
                <w:bCs/>
              </w:rPr>
              <w:t>159 592</w:t>
            </w:r>
          </w:p>
        </w:tc>
        <w:tc>
          <w:tcPr>
            <w:tcW w:w="992" w:type="dxa"/>
            <w:tcBorders>
              <w:bottom w:val="single" w:sz="4" w:space="0" w:color="auto"/>
            </w:tcBorders>
            <w:shd w:val="clear" w:color="auto" w:fill="DBE5F1" w:themeFill="accent1" w:themeFillTint="33"/>
            <w:vAlign w:val="center"/>
          </w:tcPr>
          <w:p w:rsidR="007E21E2" w:rsidRPr="00300277" w:rsidRDefault="00CE072B" w:rsidP="00627F5F">
            <w:pPr>
              <w:pStyle w:val="Tabletext"/>
              <w:jc w:val="right"/>
              <w:rPr>
                <w:b/>
                <w:bCs/>
              </w:rPr>
            </w:pPr>
            <w:r w:rsidRPr="00300277">
              <w:rPr>
                <w:b/>
                <w:bCs/>
              </w:rPr>
              <w:t>–285</w:t>
            </w:r>
          </w:p>
        </w:tc>
        <w:tc>
          <w:tcPr>
            <w:tcW w:w="845" w:type="dxa"/>
            <w:tcBorders>
              <w:bottom w:val="single" w:sz="4" w:space="0" w:color="auto"/>
            </w:tcBorders>
            <w:shd w:val="clear" w:color="auto" w:fill="DBE5F1" w:themeFill="accent1" w:themeFillTint="33"/>
            <w:vAlign w:val="center"/>
          </w:tcPr>
          <w:p w:rsidR="007E21E2" w:rsidRPr="00300277" w:rsidRDefault="00CE072B" w:rsidP="00627F5F">
            <w:pPr>
              <w:pStyle w:val="Tabletext"/>
              <w:jc w:val="right"/>
              <w:rPr>
                <w:b/>
                <w:bCs/>
              </w:rPr>
            </w:pPr>
            <w:r w:rsidRPr="00300277">
              <w:rPr>
                <w:b/>
                <w:bCs/>
              </w:rPr>
              <w:t>–0,2%</w:t>
            </w:r>
          </w:p>
        </w:tc>
      </w:tr>
      <w:tr w:rsidR="007E21E2" w:rsidRPr="00300277" w:rsidTr="003F53A3">
        <w:tc>
          <w:tcPr>
            <w:tcW w:w="3539" w:type="dxa"/>
            <w:tcBorders>
              <w:top w:val="single" w:sz="4" w:space="0" w:color="auto"/>
            </w:tcBorders>
          </w:tcPr>
          <w:p w:rsidR="007E21E2" w:rsidRPr="00300277" w:rsidRDefault="007E21E2" w:rsidP="00627F5F">
            <w:pPr>
              <w:pStyle w:val="Tabletext"/>
            </w:pPr>
            <w:r w:rsidRPr="00300277">
              <w:t>CHARGES</w:t>
            </w:r>
          </w:p>
        </w:tc>
        <w:tc>
          <w:tcPr>
            <w:tcW w:w="1418" w:type="dxa"/>
            <w:tcBorders>
              <w:top w:val="single" w:sz="4" w:space="0" w:color="auto"/>
            </w:tcBorders>
            <w:vAlign w:val="center"/>
          </w:tcPr>
          <w:p w:rsidR="007E21E2" w:rsidRPr="00300277" w:rsidRDefault="007E21E2" w:rsidP="00627F5F">
            <w:pPr>
              <w:pStyle w:val="Tabletext"/>
              <w:jc w:val="right"/>
            </w:pPr>
          </w:p>
        </w:tc>
        <w:tc>
          <w:tcPr>
            <w:tcW w:w="1701" w:type="dxa"/>
            <w:tcBorders>
              <w:top w:val="single" w:sz="4" w:space="0" w:color="auto"/>
            </w:tcBorders>
            <w:vAlign w:val="center"/>
          </w:tcPr>
          <w:p w:rsidR="007E21E2" w:rsidRPr="00300277" w:rsidRDefault="007E21E2" w:rsidP="00627F5F">
            <w:pPr>
              <w:pStyle w:val="Tabletext"/>
              <w:jc w:val="right"/>
            </w:pPr>
          </w:p>
        </w:tc>
        <w:tc>
          <w:tcPr>
            <w:tcW w:w="1134" w:type="dxa"/>
            <w:tcBorders>
              <w:top w:val="single" w:sz="4" w:space="0" w:color="auto"/>
            </w:tcBorders>
            <w:vAlign w:val="center"/>
          </w:tcPr>
          <w:p w:rsidR="007E21E2" w:rsidRPr="00300277" w:rsidRDefault="007E21E2" w:rsidP="00627F5F">
            <w:pPr>
              <w:pStyle w:val="Tabletext"/>
              <w:jc w:val="right"/>
            </w:pPr>
          </w:p>
        </w:tc>
        <w:tc>
          <w:tcPr>
            <w:tcW w:w="992" w:type="dxa"/>
            <w:tcBorders>
              <w:top w:val="single" w:sz="4" w:space="0" w:color="auto"/>
            </w:tcBorders>
            <w:vAlign w:val="center"/>
          </w:tcPr>
          <w:p w:rsidR="007E21E2" w:rsidRPr="00300277" w:rsidRDefault="007E21E2" w:rsidP="00627F5F">
            <w:pPr>
              <w:pStyle w:val="Tabletext"/>
              <w:jc w:val="right"/>
            </w:pPr>
          </w:p>
        </w:tc>
        <w:tc>
          <w:tcPr>
            <w:tcW w:w="845" w:type="dxa"/>
            <w:tcBorders>
              <w:top w:val="single" w:sz="4" w:space="0" w:color="auto"/>
            </w:tcBorders>
            <w:vAlign w:val="center"/>
          </w:tcPr>
          <w:p w:rsidR="007E21E2" w:rsidRPr="00300277" w:rsidRDefault="007E21E2" w:rsidP="00627F5F">
            <w:pPr>
              <w:pStyle w:val="Tabletext"/>
              <w:jc w:val="right"/>
            </w:pPr>
          </w:p>
        </w:tc>
      </w:tr>
      <w:tr w:rsidR="007E21E2" w:rsidRPr="00300277" w:rsidTr="003F53A3">
        <w:tc>
          <w:tcPr>
            <w:tcW w:w="3539" w:type="dxa"/>
          </w:tcPr>
          <w:p w:rsidR="007E21E2" w:rsidRPr="00300277" w:rsidRDefault="007E21E2" w:rsidP="00627F5F">
            <w:pPr>
              <w:pStyle w:val="Tabletext"/>
            </w:pPr>
            <w:r w:rsidRPr="00300277">
              <w:t>Secrétariat général</w:t>
            </w:r>
          </w:p>
        </w:tc>
        <w:tc>
          <w:tcPr>
            <w:tcW w:w="1418" w:type="dxa"/>
            <w:vAlign w:val="center"/>
          </w:tcPr>
          <w:p w:rsidR="007E21E2" w:rsidRPr="00300277" w:rsidRDefault="00CE072B" w:rsidP="00627F5F">
            <w:pPr>
              <w:pStyle w:val="Tabletext"/>
              <w:jc w:val="right"/>
            </w:pPr>
            <w:r w:rsidRPr="00300277">
              <w:t>90 549</w:t>
            </w:r>
          </w:p>
        </w:tc>
        <w:tc>
          <w:tcPr>
            <w:tcW w:w="1701" w:type="dxa"/>
            <w:vAlign w:val="center"/>
          </w:tcPr>
          <w:p w:rsidR="007E21E2" w:rsidRPr="00300277" w:rsidRDefault="00CE072B" w:rsidP="00627F5F">
            <w:pPr>
              <w:pStyle w:val="Tabletext"/>
              <w:jc w:val="right"/>
            </w:pPr>
            <w:r w:rsidRPr="00300277">
              <w:t>5 051</w:t>
            </w:r>
          </w:p>
        </w:tc>
        <w:tc>
          <w:tcPr>
            <w:tcW w:w="1134" w:type="dxa"/>
            <w:vAlign w:val="center"/>
          </w:tcPr>
          <w:p w:rsidR="007E21E2" w:rsidRPr="00300277" w:rsidRDefault="00CE072B" w:rsidP="00627F5F">
            <w:pPr>
              <w:pStyle w:val="Tabletext"/>
              <w:jc w:val="right"/>
            </w:pPr>
            <w:r w:rsidRPr="00300277">
              <w:t>88 849</w:t>
            </w:r>
          </w:p>
        </w:tc>
        <w:tc>
          <w:tcPr>
            <w:tcW w:w="992" w:type="dxa"/>
            <w:vAlign w:val="center"/>
          </w:tcPr>
          <w:p w:rsidR="007E21E2" w:rsidRPr="00300277" w:rsidRDefault="00CE072B" w:rsidP="00627F5F">
            <w:pPr>
              <w:pStyle w:val="Tabletext"/>
              <w:jc w:val="right"/>
            </w:pPr>
            <w:r w:rsidRPr="00300277">
              <w:t>1 700</w:t>
            </w:r>
          </w:p>
        </w:tc>
        <w:tc>
          <w:tcPr>
            <w:tcW w:w="845" w:type="dxa"/>
            <w:vAlign w:val="center"/>
          </w:tcPr>
          <w:p w:rsidR="007E21E2" w:rsidRPr="00300277" w:rsidRDefault="00CE072B" w:rsidP="00627F5F">
            <w:pPr>
              <w:pStyle w:val="Tabletext"/>
              <w:jc w:val="right"/>
            </w:pPr>
            <w:r w:rsidRPr="00300277">
              <w:t>1,9%</w:t>
            </w:r>
          </w:p>
        </w:tc>
      </w:tr>
      <w:tr w:rsidR="007E21E2" w:rsidRPr="00300277" w:rsidTr="003F53A3">
        <w:tc>
          <w:tcPr>
            <w:tcW w:w="3539" w:type="dxa"/>
          </w:tcPr>
          <w:p w:rsidR="007E21E2" w:rsidRPr="00300277" w:rsidRDefault="007E21E2" w:rsidP="00627F5F">
            <w:pPr>
              <w:pStyle w:val="Tabletext"/>
            </w:pPr>
            <w:r w:rsidRPr="00300277">
              <w:t>UIT-R</w:t>
            </w:r>
          </w:p>
        </w:tc>
        <w:tc>
          <w:tcPr>
            <w:tcW w:w="1418" w:type="dxa"/>
            <w:vAlign w:val="center"/>
          </w:tcPr>
          <w:p w:rsidR="007E21E2" w:rsidRPr="00300277" w:rsidRDefault="00CE072B" w:rsidP="00627F5F">
            <w:pPr>
              <w:pStyle w:val="Tabletext"/>
              <w:jc w:val="right"/>
            </w:pPr>
            <w:r w:rsidRPr="00300277">
              <w:t>27 988</w:t>
            </w:r>
          </w:p>
        </w:tc>
        <w:tc>
          <w:tcPr>
            <w:tcW w:w="1701" w:type="dxa"/>
            <w:vAlign w:val="center"/>
          </w:tcPr>
          <w:p w:rsidR="007E21E2" w:rsidRPr="00300277" w:rsidRDefault="00CE072B" w:rsidP="00627F5F">
            <w:pPr>
              <w:pStyle w:val="Tabletext"/>
              <w:jc w:val="right"/>
            </w:pPr>
            <w:r w:rsidRPr="00300277">
              <w:t>2 059</w:t>
            </w:r>
          </w:p>
        </w:tc>
        <w:tc>
          <w:tcPr>
            <w:tcW w:w="1134" w:type="dxa"/>
            <w:vAlign w:val="center"/>
          </w:tcPr>
          <w:p w:rsidR="007E21E2" w:rsidRPr="00300277" w:rsidRDefault="00CE072B" w:rsidP="00627F5F">
            <w:pPr>
              <w:pStyle w:val="Tabletext"/>
              <w:jc w:val="right"/>
            </w:pPr>
            <w:r w:rsidRPr="00300277">
              <w:t>27 463</w:t>
            </w:r>
          </w:p>
        </w:tc>
        <w:tc>
          <w:tcPr>
            <w:tcW w:w="992" w:type="dxa"/>
            <w:vAlign w:val="center"/>
          </w:tcPr>
          <w:p w:rsidR="007E21E2" w:rsidRPr="00300277" w:rsidRDefault="00CE072B" w:rsidP="00627F5F">
            <w:pPr>
              <w:pStyle w:val="Tabletext"/>
              <w:jc w:val="right"/>
            </w:pPr>
            <w:r w:rsidRPr="00300277">
              <w:t>525</w:t>
            </w:r>
          </w:p>
        </w:tc>
        <w:tc>
          <w:tcPr>
            <w:tcW w:w="845" w:type="dxa"/>
            <w:vAlign w:val="center"/>
          </w:tcPr>
          <w:p w:rsidR="007E21E2" w:rsidRPr="00300277" w:rsidRDefault="00CE072B" w:rsidP="00627F5F">
            <w:pPr>
              <w:pStyle w:val="Tabletext"/>
              <w:jc w:val="right"/>
            </w:pPr>
            <w:r w:rsidRPr="00300277">
              <w:t>1,9%</w:t>
            </w:r>
          </w:p>
        </w:tc>
      </w:tr>
      <w:tr w:rsidR="00CE072B" w:rsidRPr="00300277" w:rsidTr="003F53A3">
        <w:tc>
          <w:tcPr>
            <w:tcW w:w="3539" w:type="dxa"/>
          </w:tcPr>
          <w:p w:rsidR="00CE072B" w:rsidRPr="00300277" w:rsidRDefault="00CE072B" w:rsidP="00627F5F">
            <w:pPr>
              <w:pStyle w:val="Tabletext"/>
            </w:pPr>
            <w:r w:rsidRPr="00300277">
              <w:t>UIT-T</w:t>
            </w:r>
          </w:p>
        </w:tc>
        <w:tc>
          <w:tcPr>
            <w:tcW w:w="1418" w:type="dxa"/>
            <w:vAlign w:val="center"/>
          </w:tcPr>
          <w:p w:rsidR="00CE072B" w:rsidRPr="00300277" w:rsidRDefault="00CE072B" w:rsidP="00627F5F">
            <w:pPr>
              <w:pStyle w:val="Tabletext"/>
              <w:jc w:val="right"/>
            </w:pPr>
            <w:r w:rsidRPr="00300277">
              <w:t>13 505</w:t>
            </w:r>
          </w:p>
        </w:tc>
        <w:tc>
          <w:tcPr>
            <w:tcW w:w="1701" w:type="dxa"/>
            <w:vAlign w:val="center"/>
          </w:tcPr>
          <w:p w:rsidR="00CE072B" w:rsidRPr="00300277" w:rsidRDefault="00CE072B" w:rsidP="00627F5F">
            <w:pPr>
              <w:pStyle w:val="Tabletext"/>
              <w:jc w:val="right"/>
            </w:pPr>
            <w:r w:rsidRPr="00300277">
              <w:t>898</w:t>
            </w:r>
          </w:p>
        </w:tc>
        <w:tc>
          <w:tcPr>
            <w:tcW w:w="1134" w:type="dxa"/>
            <w:vAlign w:val="center"/>
          </w:tcPr>
          <w:p w:rsidR="00CE072B" w:rsidRPr="00300277" w:rsidRDefault="00CE072B" w:rsidP="00627F5F">
            <w:pPr>
              <w:pStyle w:val="Tabletext"/>
              <w:jc w:val="right"/>
            </w:pPr>
            <w:r w:rsidRPr="00300277">
              <w:t>13 252</w:t>
            </w:r>
          </w:p>
        </w:tc>
        <w:tc>
          <w:tcPr>
            <w:tcW w:w="992" w:type="dxa"/>
            <w:vAlign w:val="center"/>
          </w:tcPr>
          <w:p w:rsidR="00CE072B" w:rsidRPr="00300277" w:rsidRDefault="00CE072B" w:rsidP="00627F5F">
            <w:pPr>
              <w:pStyle w:val="Tabletext"/>
              <w:jc w:val="right"/>
            </w:pPr>
            <w:r w:rsidRPr="00300277">
              <w:t>253</w:t>
            </w:r>
          </w:p>
        </w:tc>
        <w:tc>
          <w:tcPr>
            <w:tcW w:w="845" w:type="dxa"/>
            <w:vAlign w:val="center"/>
          </w:tcPr>
          <w:p w:rsidR="00CE072B" w:rsidRPr="00300277" w:rsidRDefault="00CE072B" w:rsidP="00627F5F">
            <w:pPr>
              <w:pStyle w:val="Tabletext"/>
              <w:jc w:val="right"/>
            </w:pPr>
            <w:r w:rsidRPr="00300277">
              <w:t>1,9%</w:t>
            </w:r>
          </w:p>
        </w:tc>
      </w:tr>
      <w:tr w:rsidR="00CE072B" w:rsidRPr="00300277" w:rsidTr="003F53A3">
        <w:tc>
          <w:tcPr>
            <w:tcW w:w="3539" w:type="dxa"/>
          </w:tcPr>
          <w:p w:rsidR="00CE072B" w:rsidRPr="00300277" w:rsidRDefault="00CE072B" w:rsidP="00627F5F">
            <w:pPr>
              <w:pStyle w:val="Tabletext"/>
            </w:pPr>
            <w:r w:rsidRPr="00300277">
              <w:t>UIT-D</w:t>
            </w:r>
          </w:p>
        </w:tc>
        <w:tc>
          <w:tcPr>
            <w:tcW w:w="1418" w:type="dxa"/>
            <w:vAlign w:val="center"/>
          </w:tcPr>
          <w:p w:rsidR="00CE072B" w:rsidRPr="00300277" w:rsidRDefault="00CE072B" w:rsidP="00627F5F">
            <w:pPr>
              <w:pStyle w:val="Tabletext"/>
              <w:jc w:val="right"/>
            </w:pPr>
            <w:r w:rsidRPr="00300277">
              <w:t>27 835</w:t>
            </w:r>
          </w:p>
        </w:tc>
        <w:tc>
          <w:tcPr>
            <w:tcW w:w="1701" w:type="dxa"/>
            <w:vAlign w:val="center"/>
          </w:tcPr>
          <w:p w:rsidR="00CE072B" w:rsidRPr="00300277" w:rsidRDefault="00CE072B" w:rsidP="00627F5F">
            <w:pPr>
              <w:pStyle w:val="Tabletext"/>
              <w:jc w:val="right"/>
            </w:pPr>
            <w:r w:rsidRPr="00300277">
              <w:t>1 698</w:t>
            </w:r>
          </w:p>
        </w:tc>
        <w:tc>
          <w:tcPr>
            <w:tcW w:w="1134" w:type="dxa"/>
            <w:vAlign w:val="center"/>
          </w:tcPr>
          <w:p w:rsidR="00CE072B" w:rsidRPr="00300277" w:rsidRDefault="00CE072B" w:rsidP="00627F5F">
            <w:pPr>
              <w:pStyle w:val="Tabletext"/>
              <w:jc w:val="right"/>
            </w:pPr>
            <w:r w:rsidRPr="00300277">
              <w:t>27 313</w:t>
            </w:r>
          </w:p>
        </w:tc>
        <w:tc>
          <w:tcPr>
            <w:tcW w:w="992" w:type="dxa"/>
            <w:vAlign w:val="center"/>
          </w:tcPr>
          <w:p w:rsidR="00CE072B" w:rsidRPr="00300277" w:rsidRDefault="00CE072B" w:rsidP="00627F5F">
            <w:pPr>
              <w:pStyle w:val="Tabletext"/>
              <w:jc w:val="right"/>
            </w:pPr>
            <w:r w:rsidRPr="00300277">
              <w:t>522</w:t>
            </w:r>
          </w:p>
        </w:tc>
        <w:tc>
          <w:tcPr>
            <w:tcW w:w="845" w:type="dxa"/>
            <w:vAlign w:val="center"/>
          </w:tcPr>
          <w:p w:rsidR="00CE072B" w:rsidRPr="00300277" w:rsidRDefault="00CE072B" w:rsidP="00627F5F">
            <w:pPr>
              <w:pStyle w:val="Tabletext"/>
              <w:jc w:val="right"/>
            </w:pPr>
            <w:r w:rsidRPr="00300277">
              <w:t>1,9%</w:t>
            </w:r>
          </w:p>
        </w:tc>
      </w:tr>
      <w:tr w:rsidR="00CE072B" w:rsidRPr="00300277" w:rsidTr="003F53A3">
        <w:tc>
          <w:tcPr>
            <w:tcW w:w="3539" w:type="dxa"/>
            <w:tcBorders>
              <w:bottom w:val="single" w:sz="4" w:space="0" w:color="auto"/>
            </w:tcBorders>
            <w:shd w:val="clear" w:color="auto" w:fill="DBE5F1" w:themeFill="accent1" w:themeFillTint="33"/>
          </w:tcPr>
          <w:p w:rsidR="00CE072B" w:rsidRPr="00300277" w:rsidRDefault="00CE072B" w:rsidP="00627F5F">
            <w:pPr>
              <w:pStyle w:val="Tabletext"/>
              <w:rPr>
                <w:b/>
                <w:bCs/>
              </w:rPr>
            </w:pPr>
            <w:r w:rsidRPr="00300277">
              <w:rPr>
                <w:b/>
                <w:bCs/>
              </w:rPr>
              <w:t xml:space="preserve">TOTAL </w:t>
            </w:r>
            <w:r w:rsidR="0095311F" w:rsidRPr="00300277">
              <w:rPr>
                <w:b/>
                <w:bCs/>
                <w:color w:val="000000"/>
              </w:rPr>
              <w:t>DES CHARGES</w:t>
            </w:r>
            <w:r w:rsidR="0095311F" w:rsidRPr="00300277">
              <w:rPr>
                <w:b/>
                <w:bCs/>
              </w:rPr>
              <w:t xml:space="preserve"> </w:t>
            </w:r>
          </w:p>
        </w:tc>
        <w:tc>
          <w:tcPr>
            <w:tcW w:w="1418" w:type="dxa"/>
            <w:tcBorders>
              <w:bottom w:val="single" w:sz="4" w:space="0" w:color="auto"/>
            </w:tcBorders>
            <w:shd w:val="clear" w:color="auto" w:fill="DBE5F1" w:themeFill="accent1" w:themeFillTint="33"/>
            <w:vAlign w:val="center"/>
          </w:tcPr>
          <w:p w:rsidR="00CE072B" w:rsidRPr="00300277" w:rsidRDefault="00CE072B" w:rsidP="00627F5F">
            <w:pPr>
              <w:pStyle w:val="Tabletext"/>
              <w:jc w:val="right"/>
              <w:rPr>
                <w:b/>
                <w:bCs/>
              </w:rPr>
            </w:pPr>
            <w:r w:rsidRPr="00300277">
              <w:rPr>
                <w:b/>
                <w:bCs/>
              </w:rPr>
              <w:t>159 877</w:t>
            </w:r>
          </w:p>
        </w:tc>
        <w:tc>
          <w:tcPr>
            <w:tcW w:w="1701" w:type="dxa"/>
            <w:tcBorders>
              <w:bottom w:val="single" w:sz="4" w:space="0" w:color="auto"/>
            </w:tcBorders>
            <w:shd w:val="clear" w:color="auto" w:fill="DBE5F1" w:themeFill="accent1" w:themeFillTint="33"/>
            <w:vAlign w:val="center"/>
          </w:tcPr>
          <w:p w:rsidR="00CE072B" w:rsidRPr="00300277" w:rsidRDefault="00CE072B" w:rsidP="00627F5F">
            <w:pPr>
              <w:pStyle w:val="Tabletext"/>
              <w:jc w:val="right"/>
              <w:rPr>
                <w:b/>
                <w:bCs/>
              </w:rPr>
            </w:pPr>
            <w:r w:rsidRPr="00300277">
              <w:rPr>
                <w:b/>
                <w:bCs/>
              </w:rPr>
              <w:t>9 705</w:t>
            </w:r>
          </w:p>
        </w:tc>
        <w:tc>
          <w:tcPr>
            <w:tcW w:w="1134" w:type="dxa"/>
            <w:tcBorders>
              <w:bottom w:val="single" w:sz="4" w:space="0" w:color="auto"/>
            </w:tcBorders>
            <w:shd w:val="clear" w:color="auto" w:fill="DBE5F1" w:themeFill="accent1" w:themeFillTint="33"/>
            <w:vAlign w:val="center"/>
          </w:tcPr>
          <w:p w:rsidR="00CE072B" w:rsidRPr="00300277" w:rsidRDefault="00CE072B" w:rsidP="00627F5F">
            <w:pPr>
              <w:pStyle w:val="Tabletext"/>
              <w:jc w:val="right"/>
              <w:rPr>
                <w:b/>
                <w:bCs/>
              </w:rPr>
            </w:pPr>
            <w:r w:rsidRPr="00300277">
              <w:rPr>
                <w:b/>
                <w:bCs/>
              </w:rPr>
              <w:t>156 877</w:t>
            </w:r>
          </w:p>
        </w:tc>
        <w:tc>
          <w:tcPr>
            <w:tcW w:w="992" w:type="dxa"/>
            <w:tcBorders>
              <w:bottom w:val="single" w:sz="4" w:space="0" w:color="auto"/>
            </w:tcBorders>
            <w:shd w:val="clear" w:color="auto" w:fill="DBE5F1" w:themeFill="accent1" w:themeFillTint="33"/>
            <w:vAlign w:val="center"/>
          </w:tcPr>
          <w:p w:rsidR="00CE072B" w:rsidRPr="00300277" w:rsidRDefault="00CE072B" w:rsidP="00627F5F">
            <w:pPr>
              <w:pStyle w:val="Tabletext"/>
              <w:jc w:val="right"/>
              <w:rPr>
                <w:b/>
                <w:bCs/>
              </w:rPr>
            </w:pPr>
            <w:r w:rsidRPr="00300277">
              <w:rPr>
                <w:b/>
                <w:bCs/>
              </w:rPr>
              <w:t>3 000</w:t>
            </w:r>
          </w:p>
        </w:tc>
        <w:tc>
          <w:tcPr>
            <w:tcW w:w="845" w:type="dxa"/>
            <w:tcBorders>
              <w:bottom w:val="single" w:sz="4" w:space="0" w:color="auto"/>
            </w:tcBorders>
            <w:shd w:val="clear" w:color="auto" w:fill="DBE5F1" w:themeFill="accent1" w:themeFillTint="33"/>
            <w:vAlign w:val="center"/>
          </w:tcPr>
          <w:p w:rsidR="00CE072B" w:rsidRPr="00300277" w:rsidRDefault="00CE072B" w:rsidP="00627F5F">
            <w:pPr>
              <w:pStyle w:val="Tabletext"/>
              <w:jc w:val="right"/>
              <w:rPr>
                <w:b/>
                <w:bCs/>
              </w:rPr>
            </w:pPr>
            <w:r w:rsidRPr="00300277">
              <w:rPr>
                <w:b/>
                <w:bCs/>
              </w:rPr>
              <w:t>1,9%</w:t>
            </w:r>
          </w:p>
        </w:tc>
      </w:tr>
      <w:tr w:rsidR="00CE072B" w:rsidRPr="00300277" w:rsidTr="003F53A3">
        <w:tc>
          <w:tcPr>
            <w:tcW w:w="3539" w:type="dxa"/>
            <w:tcBorders>
              <w:top w:val="single" w:sz="4" w:space="0" w:color="auto"/>
              <w:bottom w:val="single" w:sz="4" w:space="0" w:color="auto"/>
            </w:tcBorders>
            <w:shd w:val="clear" w:color="auto" w:fill="DBE5F1" w:themeFill="accent1" w:themeFillTint="33"/>
          </w:tcPr>
          <w:p w:rsidR="00CE072B" w:rsidRPr="00300277" w:rsidRDefault="0095311F" w:rsidP="00627F5F">
            <w:pPr>
              <w:pStyle w:val="Tabletext"/>
              <w:rPr>
                <w:b/>
                <w:bCs/>
              </w:rPr>
            </w:pPr>
            <w:r w:rsidRPr="00300277">
              <w:rPr>
                <w:b/>
                <w:bCs/>
                <w:color w:val="000000"/>
              </w:rPr>
              <w:t>PRODUITS MOINS CHARGES</w:t>
            </w:r>
            <w:r w:rsidR="00627F5F" w:rsidRPr="00300277">
              <w:rPr>
                <w:b/>
                <w:bCs/>
              </w:rPr>
              <w:t xml:space="preserve"> </w:t>
            </w:r>
          </w:p>
        </w:tc>
        <w:tc>
          <w:tcPr>
            <w:tcW w:w="1418" w:type="dxa"/>
            <w:tcBorders>
              <w:top w:val="single" w:sz="4" w:space="0" w:color="auto"/>
              <w:bottom w:val="single" w:sz="4" w:space="0" w:color="auto"/>
            </w:tcBorders>
            <w:shd w:val="clear" w:color="auto" w:fill="DBE5F1" w:themeFill="accent1" w:themeFillTint="33"/>
            <w:vAlign w:val="center"/>
          </w:tcPr>
          <w:p w:rsidR="00CE072B" w:rsidRPr="00300277" w:rsidRDefault="00CE072B" w:rsidP="00627F5F">
            <w:pPr>
              <w:pStyle w:val="Tabletext"/>
              <w:jc w:val="right"/>
              <w:rPr>
                <w:b/>
                <w:bCs/>
              </w:rPr>
            </w:pPr>
            <w:r w:rsidRPr="00300277">
              <w:rPr>
                <w:b/>
                <w:bCs/>
              </w:rPr>
              <w:t>0</w:t>
            </w:r>
          </w:p>
        </w:tc>
        <w:tc>
          <w:tcPr>
            <w:tcW w:w="1701" w:type="dxa"/>
            <w:tcBorders>
              <w:top w:val="single" w:sz="4" w:space="0" w:color="auto"/>
              <w:bottom w:val="single" w:sz="4" w:space="0" w:color="auto"/>
            </w:tcBorders>
            <w:shd w:val="clear" w:color="auto" w:fill="DBE5F1" w:themeFill="accent1" w:themeFillTint="33"/>
            <w:vAlign w:val="center"/>
          </w:tcPr>
          <w:p w:rsidR="00CE072B" w:rsidRPr="00300277" w:rsidRDefault="00CE072B" w:rsidP="00627F5F">
            <w:pPr>
              <w:pStyle w:val="Tabletext"/>
              <w:jc w:val="right"/>
              <w:rPr>
                <w:b/>
                <w:bCs/>
              </w:rPr>
            </w:pPr>
            <w:r w:rsidRPr="00300277">
              <w:rPr>
                <w:b/>
                <w:bCs/>
              </w:rPr>
              <w:t>117 515</w:t>
            </w:r>
          </w:p>
        </w:tc>
        <w:tc>
          <w:tcPr>
            <w:tcW w:w="1134" w:type="dxa"/>
            <w:tcBorders>
              <w:top w:val="single" w:sz="4" w:space="0" w:color="auto"/>
              <w:bottom w:val="single" w:sz="4" w:space="0" w:color="auto"/>
            </w:tcBorders>
            <w:shd w:val="clear" w:color="auto" w:fill="DBE5F1" w:themeFill="accent1" w:themeFillTint="33"/>
            <w:vAlign w:val="center"/>
          </w:tcPr>
          <w:p w:rsidR="00CE072B" w:rsidRPr="00300277" w:rsidRDefault="00CE072B" w:rsidP="00627F5F">
            <w:pPr>
              <w:pStyle w:val="Tabletext"/>
              <w:jc w:val="right"/>
              <w:rPr>
                <w:b/>
                <w:bCs/>
              </w:rPr>
            </w:pPr>
            <w:r w:rsidRPr="00300277">
              <w:rPr>
                <w:b/>
                <w:bCs/>
              </w:rPr>
              <w:t>2 715</w:t>
            </w:r>
          </w:p>
        </w:tc>
        <w:tc>
          <w:tcPr>
            <w:tcW w:w="992" w:type="dxa"/>
            <w:tcBorders>
              <w:top w:val="single" w:sz="4" w:space="0" w:color="auto"/>
              <w:bottom w:val="single" w:sz="4" w:space="0" w:color="auto"/>
            </w:tcBorders>
            <w:shd w:val="clear" w:color="auto" w:fill="DBE5F1" w:themeFill="accent1" w:themeFillTint="33"/>
            <w:vAlign w:val="center"/>
          </w:tcPr>
          <w:p w:rsidR="00CE072B" w:rsidRPr="00300277" w:rsidRDefault="00CE072B" w:rsidP="00627F5F">
            <w:pPr>
              <w:pStyle w:val="Tabletext"/>
              <w:jc w:val="right"/>
              <w:rPr>
                <w:b/>
                <w:bCs/>
              </w:rPr>
            </w:pPr>
          </w:p>
        </w:tc>
        <w:tc>
          <w:tcPr>
            <w:tcW w:w="845" w:type="dxa"/>
            <w:tcBorders>
              <w:top w:val="single" w:sz="4" w:space="0" w:color="auto"/>
              <w:bottom w:val="single" w:sz="4" w:space="0" w:color="auto"/>
            </w:tcBorders>
            <w:shd w:val="clear" w:color="auto" w:fill="DBE5F1" w:themeFill="accent1" w:themeFillTint="33"/>
            <w:vAlign w:val="center"/>
          </w:tcPr>
          <w:p w:rsidR="00CE072B" w:rsidRPr="00300277" w:rsidRDefault="00CE072B" w:rsidP="00627F5F">
            <w:pPr>
              <w:pStyle w:val="Tabletext"/>
              <w:jc w:val="right"/>
              <w:rPr>
                <w:b/>
                <w:bCs/>
              </w:rPr>
            </w:pPr>
          </w:p>
        </w:tc>
      </w:tr>
    </w:tbl>
    <w:p w:rsidR="000F3C11" w:rsidRPr="00300277" w:rsidRDefault="000F3C11" w:rsidP="00627F5F">
      <w:pPr>
        <w:pStyle w:val="Heading1"/>
        <w:spacing w:before="400"/>
      </w:pPr>
      <w:r w:rsidRPr="00300277">
        <w:t>3</w:t>
      </w:r>
      <w:r w:rsidRPr="00300277">
        <w:tab/>
        <w:t>Produits</w:t>
      </w:r>
    </w:p>
    <w:p w:rsidR="000F3C11" w:rsidRPr="00300277" w:rsidRDefault="000F3C11" w:rsidP="00627F5F">
      <w:r w:rsidRPr="00300277">
        <w:t>3.1</w:t>
      </w:r>
      <w:r w:rsidRPr="00300277">
        <w:tab/>
        <w:t xml:space="preserve">Les produits de l'Union se composent des contributions mises en recouvrement, du recouvrement des coûts, des intérêts/autres produits et des prélèvements </w:t>
      </w:r>
      <w:r w:rsidR="0095311F" w:rsidRPr="00300277">
        <w:t xml:space="preserve">globalement négatifs </w:t>
      </w:r>
      <w:r w:rsidRPr="00300277">
        <w:t>sur le Fonds de réserve</w:t>
      </w:r>
      <w:r w:rsidR="0095311F" w:rsidRPr="00300277">
        <w:rPr>
          <w:szCs w:val="24"/>
        </w:rPr>
        <w:t xml:space="preserve"> (Document </w:t>
      </w:r>
      <w:hyperlink r:id="rId10" w:history="1">
        <w:r w:rsidR="0095311F" w:rsidRPr="00300277">
          <w:rPr>
            <w:rStyle w:val="Hyperlink"/>
            <w:szCs w:val="24"/>
          </w:rPr>
          <w:t>C17/10</w:t>
        </w:r>
      </w:hyperlink>
      <w:r w:rsidR="0095311F" w:rsidRPr="00300277">
        <w:rPr>
          <w:szCs w:val="24"/>
        </w:rPr>
        <w:t>, paragraphe 13).</w:t>
      </w:r>
      <w:r w:rsidRPr="00300277">
        <w:t xml:space="preserve"> </w:t>
      </w:r>
      <w:r w:rsidR="009D525C" w:rsidRPr="00300277">
        <w:rPr>
          <w:color w:val="000000"/>
        </w:rPr>
        <w:t xml:space="preserve">Les produits provenant </w:t>
      </w:r>
      <w:r w:rsidR="009D525C" w:rsidRPr="00300277">
        <w:t>des contributions mises en recouvrement</w:t>
      </w:r>
      <w:r w:rsidR="009D525C" w:rsidRPr="00300277">
        <w:rPr>
          <w:color w:val="000000"/>
        </w:rPr>
        <w:t>, plus élevés que prévu, contribueront à compenser le manque à gagner escompté concernant les produits provenant des Membres de Secteur et</w:t>
      </w:r>
      <w:r w:rsidR="00627F5F" w:rsidRPr="00300277">
        <w:rPr>
          <w:color w:val="000000"/>
        </w:rPr>
        <w:t xml:space="preserve"> </w:t>
      </w:r>
      <w:r w:rsidR="009D525C" w:rsidRPr="00300277">
        <w:rPr>
          <w:color w:val="000000"/>
        </w:rPr>
        <w:t>les produits au titre du recouvrement des coûts</w:t>
      </w:r>
      <w:r w:rsidR="00627F5F" w:rsidRPr="00300277">
        <w:rPr>
          <w:color w:val="000000"/>
        </w:rPr>
        <w:t>.</w:t>
      </w:r>
    </w:p>
    <w:p w:rsidR="000F3C11" w:rsidRPr="00300277" w:rsidRDefault="000F3C11" w:rsidP="00627F5F">
      <w:pPr>
        <w:keepNext/>
        <w:keepLines/>
      </w:pPr>
      <w:r w:rsidRPr="00300277">
        <w:t>3.2</w:t>
      </w:r>
      <w:r w:rsidRPr="00300277">
        <w:tab/>
        <w:t>Les produits tirés des contributions mises en recouvrement représentent 77</w:t>
      </w:r>
      <w:r w:rsidR="002D61AA" w:rsidRPr="00300277">
        <w:t>,8</w:t>
      </w:r>
      <w:r w:rsidRPr="00300277">
        <w:t>% du budget total pour</w:t>
      </w:r>
      <w:r w:rsidR="00627F5F" w:rsidRPr="00300277">
        <w:t xml:space="preserve"> </w:t>
      </w:r>
      <w:r w:rsidRPr="00300277">
        <w:t>201</w:t>
      </w:r>
      <w:r w:rsidR="004C3926" w:rsidRPr="00300277">
        <w:t>8</w:t>
      </w:r>
      <w:r w:rsidRPr="00300277">
        <w:t>. Ils proviennent des contributions versées par les Etats Membres, les Membres de Secteur, les Associés et les établissements universitaires. Le Tableau 2 ci-après présente la ventilation des contributions mises en recouvrement.</w:t>
      </w:r>
    </w:p>
    <w:p w:rsidR="000F3C11" w:rsidRPr="00300277" w:rsidRDefault="000F3C11" w:rsidP="00627F5F">
      <w:pPr>
        <w:pStyle w:val="Tabletitle"/>
        <w:spacing w:before="240"/>
      </w:pPr>
      <w:r w:rsidRPr="00300277">
        <w:t>Tableau 2 ‒ Produits provenant des contributions mises en recouvrement</w:t>
      </w:r>
    </w:p>
    <w:p w:rsidR="004C3926" w:rsidRPr="00300277" w:rsidRDefault="004C3926" w:rsidP="00627F5F">
      <w:pPr>
        <w:jc w:val="right"/>
        <w:rPr>
          <w:rFonts w:cs="Calibri"/>
          <w:b/>
          <w:bCs/>
          <w:i/>
          <w:iCs/>
          <w:sz w:val="22"/>
          <w:szCs w:val="22"/>
        </w:rPr>
      </w:pPr>
      <w:r w:rsidRPr="00300277">
        <w:rPr>
          <w:i/>
          <w:iCs/>
          <w:lang w:eastAsia="zh-CN"/>
        </w:rPr>
        <w:t>En milliers CHF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34"/>
        <w:gridCol w:w="1688"/>
        <w:gridCol w:w="1147"/>
        <w:gridCol w:w="1134"/>
        <w:gridCol w:w="1129"/>
      </w:tblGrid>
      <w:tr w:rsidR="002D61AA" w:rsidRPr="00300277" w:rsidTr="003A540F">
        <w:tc>
          <w:tcPr>
            <w:tcW w:w="3397" w:type="dxa"/>
            <w:vMerge w:val="restart"/>
            <w:shd w:val="clear" w:color="auto" w:fill="DBE5F1" w:themeFill="accent1" w:themeFillTint="33"/>
            <w:vAlign w:val="center"/>
          </w:tcPr>
          <w:p w:rsidR="002D61AA" w:rsidRPr="00300277" w:rsidRDefault="002D61AA" w:rsidP="00627F5F">
            <w:pPr>
              <w:pStyle w:val="Tablehead"/>
            </w:pPr>
            <w:r w:rsidRPr="00300277">
              <w:t>Contributions mises en recouvrement</w:t>
            </w:r>
          </w:p>
        </w:tc>
        <w:tc>
          <w:tcPr>
            <w:tcW w:w="1134" w:type="dxa"/>
            <w:shd w:val="clear" w:color="auto" w:fill="DBE5F1" w:themeFill="accent1" w:themeFillTint="33"/>
            <w:vAlign w:val="center"/>
          </w:tcPr>
          <w:p w:rsidR="002D61AA" w:rsidRPr="00300277" w:rsidRDefault="002D61AA" w:rsidP="00627F5F">
            <w:pPr>
              <w:pStyle w:val="Tablehead"/>
            </w:pPr>
            <w:r w:rsidRPr="00300277">
              <w:t>Budget 2018</w:t>
            </w:r>
          </w:p>
        </w:tc>
        <w:tc>
          <w:tcPr>
            <w:tcW w:w="1688" w:type="dxa"/>
            <w:shd w:val="clear" w:color="auto" w:fill="DBE5F1" w:themeFill="accent1" w:themeFillTint="33"/>
            <w:vAlign w:val="center"/>
          </w:tcPr>
          <w:p w:rsidR="002D61AA" w:rsidRPr="00300277" w:rsidRDefault="002D61AA" w:rsidP="00627F5F">
            <w:pPr>
              <w:pStyle w:val="Tablehead"/>
            </w:pPr>
            <w:r w:rsidRPr="00300277">
              <w:t xml:space="preserve">Montants effectifs au </w:t>
            </w:r>
            <w:r w:rsidRPr="00300277">
              <w:br/>
              <w:t>31 janvier 2018</w:t>
            </w:r>
          </w:p>
        </w:tc>
        <w:tc>
          <w:tcPr>
            <w:tcW w:w="1147" w:type="dxa"/>
            <w:shd w:val="clear" w:color="auto" w:fill="DBE5F1" w:themeFill="accent1" w:themeFillTint="33"/>
            <w:vAlign w:val="center"/>
          </w:tcPr>
          <w:p w:rsidR="002D61AA" w:rsidRPr="00300277" w:rsidRDefault="002D61AA" w:rsidP="00627F5F">
            <w:pPr>
              <w:pStyle w:val="Tablehead"/>
            </w:pPr>
            <w:r w:rsidRPr="00300277">
              <w:t>Prévisions</w:t>
            </w:r>
            <w:r w:rsidR="004C3926" w:rsidRPr="00300277">
              <w:t xml:space="preserve"> pour 2018</w:t>
            </w:r>
          </w:p>
        </w:tc>
        <w:tc>
          <w:tcPr>
            <w:tcW w:w="1134" w:type="dxa"/>
            <w:shd w:val="clear" w:color="auto" w:fill="DBE5F1" w:themeFill="accent1" w:themeFillTint="33"/>
            <w:vAlign w:val="center"/>
          </w:tcPr>
          <w:p w:rsidR="002D61AA" w:rsidRPr="00300277" w:rsidRDefault="002D61AA" w:rsidP="00627F5F">
            <w:pPr>
              <w:pStyle w:val="Tablehead"/>
            </w:pPr>
            <w:r w:rsidRPr="00300277">
              <w:t>Ecart</w:t>
            </w:r>
          </w:p>
        </w:tc>
        <w:tc>
          <w:tcPr>
            <w:tcW w:w="1129" w:type="dxa"/>
            <w:shd w:val="clear" w:color="auto" w:fill="DBE5F1" w:themeFill="accent1" w:themeFillTint="33"/>
            <w:vAlign w:val="center"/>
          </w:tcPr>
          <w:p w:rsidR="002D61AA" w:rsidRPr="00300277" w:rsidRDefault="002D61AA" w:rsidP="00627F5F">
            <w:pPr>
              <w:pStyle w:val="Tablehead"/>
            </w:pPr>
            <w:r w:rsidRPr="00300277">
              <w:t>%</w:t>
            </w:r>
          </w:p>
        </w:tc>
      </w:tr>
      <w:tr w:rsidR="002D61AA" w:rsidRPr="00300277" w:rsidTr="003A540F">
        <w:tc>
          <w:tcPr>
            <w:tcW w:w="3397" w:type="dxa"/>
            <w:vMerge/>
            <w:shd w:val="clear" w:color="auto" w:fill="DBE5F1" w:themeFill="accent1" w:themeFillTint="33"/>
            <w:vAlign w:val="center"/>
          </w:tcPr>
          <w:p w:rsidR="002D61AA" w:rsidRPr="00300277" w:rsidRDefault="002D61AA" w:rsidP="00627F5F">
            <w:pPr>
              <w:pStyle w:val="Tablehead"/>
            </w:pPr>
          </w:p>
        </w:tc>
        <w:tc>
          <w:tcPr>
            <w:tcW w:w="1134" w:type="dxa"/>
            <w:shd w:val="clear" w:color="auto" w:fill="DBE5F1" w:themeFill="accent1" w:themeFillTint="33"/>
            <w:vAlign w:val="center"/>
          </w:tcPr>
          <w:p w:rsidR="002D61AA" w:rsidRPr="00300277" w:rsidRDefault="002D61AA" w:rsidP="00627F5F">
            <w:pPr>
              <w:pStyle w:val="Tablehead"/>
            </w:pPr>
            <w:r w:rsidRPr="00300277">
              <w:t>a</w:t>
            </w:r>
          </w:p>
        </w:tc>
        <w:tc>
          <w:tcPr>
            <w:tcW w:w="1688" w:type="dxa"/>
            <w:shd w:val="clear" w:color="auto" w:fill="DBE5F1" w:themeFill="accent1" w:themeFillTint="33"/>
            <w:vAlign w:val="center"/>
          </w:tcPr>
          <w:p w:rsidR="002D61AA" w:rsidRPr="00300277" w:rsidRDefault="002D61AA" w:rsidP="00627F5F">
            <w:pPr>
              <w:pStyle w:val="Tablehead"/>
            </w:pPr>
            <w:r w:rsidRPr="00300277">
              <w:t>b</w:t>
            </w:r>
          </w:p>
        </w:tc>
        <w:tc>
          <w:tcPr>
            <w:tcW w:w="1147" w:type="dxa"/>
            <w:shd w:val="clear" w:color="auto" w:fill="DBE5F1" w:themeFill="accent1" w:themeFillTint="33"/>
            <w:vAlign w:val="center"/>
          </w:tcPr>
          <w:p w:rsidR="002D61AA" w:rsidRPr="00300277" w:rsidRDefault="002D61AA" w:rsidP="00627F5F">
            <w:pPr>
              <w:pStyle w:val="Tablehead"/>
            </w:pPr>
            <w:r w:rsidRPr="00300277">
              <w:t>c</w:t>
            </w:r>
          </w:p>
        </w:tc>
        <w:tc>
          <w:tcPr>
            <w:tcW w:w="1134" w:type="dxa"/>
            <w:shd w:val="clear" w:color="auto" w:fill="DBE5F1" w:themeFill="accent1" w:themeFillTint="33"/>
            <w:vAlign w:val="center"/>
          </w:tcPr>
          <w:p w:rsidR="002D61AA" w:rsidRPr="00300277" w:rsidRDefault="002D61AA" w:rsidP="00627F5F">
            <w:pPr>
              <w:pStyle w:val="Tablehead"/>
            </w:pPr>
            <w:r w:rsidRPr="00300277">
              <w:t>d = c-a</w:t>
            </w:r>
          </w:p>
        </w:tc>
        <w:tc>
          <w:tcPr>
            <w:tcW w:w="1129" w:type="dxa"/>
            <w:shd w:val="clear" w:color="auto" w:fill="DBE5F1" w:themeFill="accent1" w:themeFillTint="33"/>
            <w:vAlign w:val="center"/>
          </w:tcPr>
          <w:p w:rsidR="002D61AA" w:rsidRPr="00300277" w:rsidRDefault="002D61AA" w:rsidP="00627F5F">
            <w:pPr>
              <w:pStyle w:val="Tablehead"/>
            </w:pPr>
            <w:r w:rsidRPr="00300277">
              <w:t>e = d/a</w:t>
            </w:r>
          </w:p>
        </w:tc>
      </w:tr>
      <w:tr w:rsidR="002D61AA" w:rsidRPr="00300277" w:rsidTr="005A3E67">
        <w:tc>
          <w:tcPr>
            <w:tcW w:w="3397" w:type="dxa"/>
            <w:shd w:val="clear" w:color="auto" w:fill="DBE5F1" w:themeFill="accent1" w:themeFillTint="33"/>
            <w:vAlign w:val="center"/>
          </w:tcPr>
          <w:p w:rsidR="002D61AA" w:rsidRPr="00300277" w:rsidRDefault="002D61AA" w:rsidP="00627F5F">
            <w:pPr>
              <w:pStyle w:val="Tabletext"/>
            </w:pPr>
            <w:r w:rsidRPr="00300277">
              <w:t>1</w:t>
            </w:r>
            <w:r w:rsidRPr="00300277">
              <w:tab/>
              <w:t>Etats Membres</w:t>
            </w:r>
          </w:p>
        </w:tc>
        <w:tc>
          <w:tcPr>
            <w:tcW w:w="1134" w:type="dxa"/>
            <w:vAlign w:val="center"/>
          </w:tcPr>
          <w:p w:rsidR="002D61AA" w:rsidRPr="00300277" w:rsidRDefault="002D61AA" w:rsidP="00627F5F">
            <w:pPr>
              <w:pStyle w:val="Tabletext"/>
              <w:jc w:val="right"/>
            </w:pPr>
            <w:r w:rsidRPr="00300277">
              <w:t>106 292</w:t>
            </w:r>
          </w:p>
        </w:tc>
        <w:tc>
          <w:tcPr>
            <w:tcW w:w="1688" w:type="dxa"/>
            <w:vAlign w:val="center"/>
          </w:tcPr>
          <w:p w:rsidR="002D61AA" w:rsidRPr="00300277" w:rsidRDefault="002D61AA" w:rsidP="00627F5F">
            <w:pPr>
              <w:pStyle w:val="Tabletext"/>
              <w:jc w:val="right"/>
            </w:pPr>
            <w:r w:rsidRPr="00300277">
              <w:t>108 518</w:t>
            </w:r>
          </w:p>
        </w:tc>
        <w:tc>
          <w:tcPr>
            <w:tcW w:w="1147" w:type="dxa"/>
            <w:vAlign w:val="center"/>
          </w:tcPr>
          <w:p w:rsidR="002D61AA" w:rsidRPr="00300277" w:rsidRDefault="002D61AA" w:rsidP="00627F5F">
            <w:pPr>
              <w:pStyle w:val="Tabletext"/>
              <w:jc w:val="right"/>
            </w:pPr>
            <w:r w:rsidRPr="00300277">
              <w:t>108 518</w:t>
            </w:r>
          </w:p>
        </w:tc>
        <w:tc>
          <w:tcPr>
            <w:tcW w:w="1134" w:type="dxa"/>
            <w:vAlign w:val="center"/>
          </w:tcPr>
          <w:p w:rsidR="002D61AA" w:rsidRPr="00300277" w:rsidRDefault="002D61AA" w:rsidP="00627F5F">
            <w:pPr>
              <w:pStyle w:val="Tabletext"/>
              <w:jc w:val="right"/>
            </w:pPr>
            <w:r w:rsidRPr="00300277">
              <w:t>2 226</w:t>
            </w:r>
          </w:p>
        </w:tc>
        <w:tc>
          <w:tcPr>
            <w:tcW w:w="1129" w:type="dxa"/>
            <w:vAlign w:val="center"/>
          </w:tcPr>
          <w:p w:rsidR="002D61AA" w:rsidRPr="00300277" w:rsidRDefault="002D61AA" w:rsidP="00627F5F">
            <w:pPr>
              <w:pStyle w:val="Tabletext"/>
              <w:jc w:val="right"/>
            </w:pPr>
            <w:r w:rsidRPr="00300277">
              <w:t>2,1%</w:t>
            </w:r>
          </w:p>
        </w:tc>
      </w:tr>
      <w:tr w:rsidR="002D61AA" w:rsidRPr="00300277" w:rsidTr="005A3E67">
        <w:tc>
          <w:tcPr>
            <w:tcW w:w="3397" w:type="dxa"/>
            <w:shd w:val="clear" w:color="auto" w:fill="DBE5F1" w:themeFill="accent1" w:themeFillTint="33"/>
            <w:vAlign w:val="center"/>
          </w:tcPr>
          <w:p w:rsidR="002D61AA" w:rsidRPr="00300277" w:rsidRDefault="002D61AA" w:rsidP="00627F5F">
            <w:pPr>
              <w:pStyle w:val="Tabletext"/>
            </w:pPr>
            <w:r w:rsidRPr="00300277">
              <w:t>2</w:t>
            </w:r>
            <w:r w:rsidRPr="00300277">
              <w:tab/>
              <w:t>Membres de Secteur</w:t>
            </w:r>
          </w:p>
        </w:tc>
        <w:tc>
          <w:tcPr>
            <w:tcW w:w="1134" w:type="dxa"/>
            <w:vAlign w:val="center"/>
          </w:tcPr>
          <w:p w:rsidR="002D61AA" w:rsidRPr="00300277" w:rsidRDefault="002D61AA" w:rsidP="00627F5F">
            <w:pPr>
              <w:pStyle w:val="Tabletext"/>
              <w:jc w:val="right"/>
            </w:pPr>
            <w:r w:rsidRPr="00300277">
              <w:t>15 875</w:t>
            </w:r>
          </w:p>
        </w:tc>
        <w:tc>
          <w:tcPr>
            <w:tcW w:w="1688" w:type="dxa"/>
            <w:vAlign w:val="center"/>
          </w:tcPr>
          <w:p w:rsidR="002D61AA" w:rsidRPr="00300277" w:rsidRDefault="002D61AA" w:rsidP="00627F5F">
            <w:pPr>
              <w:pStyle w:val="Tabletext"/>
              <w:jc w:val="right"/>
            </w:pPr>
            <w:r w:rsidRPr="00300277">
              <w:t>14 085</w:t>
            </w:r>
          </w:p>
        </w:tc>
        <w:tc>
          <w:tcPr>
            <w:tcW w:w="1147" w:type="dxa"/>
            <w:vAlign w:val="center"/>
          </w:tcPr>
          <w:p w:rsidR="002D61AA" w:rsidRPr="00300277" w:rsidRDefault="002D61AA" w:rsidP="00627F5F">
            <w:pPr>
              <w:pStyle w:val="Tabletext"/>
              <w:jc w:val="right"/>
            </w:pPr>
            <w:r w:rsidRPr="00300277">
              <w:t>14 085</w:t>
            </w:r>
          </w:p>
        </w:tc>
        <w:tc>
          <w:tcPr>
            <w:tcW w:w="1134" w:type="dxa"/>
            <w:vAlign w:val="center"/>
          </w:tcPr>
          <w:p w:rsidR="002D61AA" w:rsidRPr="00300277" w:rsidRDefault="002D61AA" w:rsidP="00627F5F">
            <w:pPr>
              <w:pStyle w:val="Tabletext"/>
              <w:jc w:val="right"/>
            </w:pPr>
            <w:r w:rsidRPr="00300277">
              <w:t>–1 790</w:t>
            </w:r>
          </w:p>
        </w:tc>
        <w:tc>
          <w:tcPr>
            <w:tcW w:w="1129" w:type="dxa"/>
            <w:vAlign w:val="center"/>
          </w:tcPr>
          <w:p w:rsidR="002D61AA" w:rsidRPr="00300277" w:rsidRDefault="002D61AA" w:rsidP="00627F5F">
            <w:pPr>
              <w:pStyle w:val="Tabletext"/>
              <w:jc w:val="right"/>
            </w:pPr>
            <w:r w:rsidRPr="00300277">
              <w:t>–11,3%</w:t>
            </w:r>
          </w:p>
        </w:tc>
      </w:tr>
      <w:tr w:rsidR="002D61AA" w:rsidRPr="00300277" w:rsidTr="005A3E67">
        <w:tc>
          <w:tcPr>
            <w:tcW w:w="3397" w:type="dxa"/>
            <w:shd w:val="clear" w:color="auto" w:fill="DBE5F1" w:themeFill="accent1" w:themeFillTint="33"/>
            <w:vAlign w:val="center"/>
          </w:tcPr>
          <w:p w:rsidR="002D61AA" w:rsidRPr="00300277" w:rsidRDefault="002D61AA" w:rsidP="00627F5F">
            <w:pPr>
              <w:pStyle w:val="Tabletext"/>
            </w:pPr>
            <w:r w:rsidRPr="00300277">
              <w:t>3</w:t>
            </w:r>
            <w:r w:rsidRPr="00300277">
              <w:tab/>
              <w:t>Associés</w:t>
            </w:r>
          </w:p>
        </w:tc>
        <w:tc>
          <w:tcPr>
            <w:tcW w:w="1134" w:type="dxa"/>
            <w:vAlign w:val="center"/>
          </w:tcPr>
          <w:p w:rsidR="002D61AA" w:rsidRPr="00300277" w:rsidRDefault="002D61AA" w:rsidP="00627F5F">
            <w:pPr>
              <w:pStyle w:val="Tabletext"/>
              <w:jc w:val="right"/>
            </w:pPr>
            <w:r w:rsidRPr="00300277">
              <w:t>1 955</w:t>
            </w:r>
          </w:p>
        </w:tc>
        <w:tc>
          <w:tcPr>
            <w:tcW w:w="1688" w:type="dxa"/>
            <w:vAlign w:val="center"/>
          </w:tcPr>
          <w:p w:rsidR="002D61AA" w:rsidRPr="00300277" w:rsidRDefault="002D61AA" w:rsidP="00627F5F">
            <w:pPr>
              <w:pStyle w:val="Tabletext"/>
              <w:jc w:val="right"/>
            </w:pPr>
            <w:r w:rsidRPr="00300277">
              <w:t>1 660</w:t>
            </w:r>
          </w:p>
        </w:tc>
        <w:tc>
          <w:tcPr>
            <w:tcW w:w="1147" w:type="dxa"/>
            <w:vAlign w:val="center"/>
          </w:tcPr>
          <w:p w:rsidR="002D61AA" w:rsidRPr="00300277" w:rsidRDefault="002D61AA" w:rsidP="00627F5F">
            <w:pPr>
              <w:pStyle w:val="Tabletext"/>
              <w:jc w:val="right"/>
            </w:pPr>
            <w:r w:rsidRPr="00300277">
              <w:t>1 660</w:t>
            </w:r>
          </w:p>
        </w:tc>
        <w:tc>
          <w:tcPr>
            <w:tcW w:w="1134" w:type="dxa"/>
            <w:vAlign w:val="center"/>
          </w:tcPr>
          <w:p w:rsidR="002D61AA" w:rsidRPr="00300277" w:rsidRDefault="002D61AA" w:rsidP="00627F5F">
            <w:pPr>
              <w:pStyle w:val="Tabletext"/>
              <w:jc w:val="right"/>
            </w:pPr>
            <w:r w:rsidRPr="00300277">
              <w:t>–295</w:t>
            </w:r>
          </w:p>
        </w:tc>
        <w:tc>
          <w:tcPr>
            <w:tcW w:w="1129" w:type="dxa"/>
            <w:vAlign w:val="center"/>
          </w:tcPr>
          <w:p w:rsidR="002D61AA" w:rsidRPr="00300277" w:rsidRDefault="002D61AA" w:rsidP="00627F5F">
            <w:pPr>
              <w:pStyle w:val="Tabletext"/>
              <w:jc w:val="right"/>
            </w:pPr>
            <w:r w:rsidRPr="00300277">
              <w:t>–15,1%</w:t>
            </w:r>
          </w:p>
        </w:tc>
      </w:tr>
      <w:tr w:rsidR="002D61AA" w:rsidRPr="00300277" w:rsidTr="005A3E67">
        <w:tc>
          <w:tcPr>
            <w:tcW w:w="3397" w:type="dxa"/>
            <w:shd w:val="clear" w:color="auto" w:fill="DBE5F1" w:themeFill="accent1" w:themeFillTint="33"/>
            <w:vAlign w:val="center"/>
          </w:tcPr>
          <w:p w:rsidR="002D61AA" w:rsidRPr="00300277" w:rsidRDefault="002D61AA" w:rsidP="00627F5F">
            <w:pPr>
              <w:pStyle w:val="Tabletext"/>
              <w:ind w:left="720" w:hanging="720"/>
            </w:pPr>
            <w:r w:rsidRPr="00300277">
              <w:t>4</w:t>
            </w:r>
            <w:r w:rsidRPr="00300277">
              <w:tab/>
              <w:t>Etablissements universitaires</w:t>
            </w:r>
          </w:p>
        </w:tc>
        <w:tc>
          <w:tcPr>
            <w:tcW w:w="1134" w:type="dxa"/>
            <w:vAlign w:val="center"/>
          </w:tcPr>
          <w:p w:rsidR="002D61AA" w:rsidRPr="00300277" w:rsidRDefault="002D61AA" w:rsidP="00627F5F">
            <w:pPr>
              <w:pStyle w:val="Tabletext"/>
              <w:jc w:val="right"/>
            </w:pPr>
            <w:r w:rsidRPr="00300277">
              <w:t>279</w:t>
            </w:r>
          </w:p>
        </w:tc>
        <w:tc>
          <w:tcPr>
            <w:tcW w:w="1688" w:type="dxa"/>
            <w:vAlign w:val="center"/>
          </w:tcPr>
          <w:p w:rsidR="002D61AA" w:rsidRPr="00300277" w:rsidRDefault="002D61AA" w:rsidP="00627F5F">
            <w:pPr>
              <w:pStyle w:val="Tabletext"/>
              <w:jc w:val="right"/>
            </w:pPr>
            <w:r w:rsidRPr="00300277">
              <w:t>328</w:t>
            </w:r>
          </w:p>
        </w:tc>
        <w:tc>
          <w:tcPr>
            <w:tcW w:w="1147" w:type="dxa"/>
            <w:vAlign w:val="center"/>
          </w:tcPr>
          <w:p w:rsidR="002D61AA" w:rsidRPr="00300277" w:rsidRDefault="002D61AA" w:rsidP="00627F5F">
            <w:pPr>
              <w:pStyle w:val="Tabletext"/>
              <w:jc w:val="right"/>
            </w:pPr>
            <w:r w:rsidRPr="00300277">
              <w:t>328</w:t>
            </w:r>
          </w:p>
        </w:tc>
        <w:tc>
          <w:tcPr>
            <w:tcW w:w="1134" w:type="dxa"/>
            <w:vAlign w:val="center"/>
          </w:tcPr>
          <w:p w:rsidR="002D61AA" w:rsidRPr="00300277" w:rsidRDefault="002D61AA" w:rsidP="00627F5F">
            <w:pPr>
              <w:pStyle w:val="Tabletext"/>
              <w:jc w:val="right"/>
            </w:pPr>
            <w:r w:rsidRPr="00300277">
              <w:t>49</w:t>
            </w:r>
          </w:p>
        </w:tc>
        <w:tc>
          <w:tcPr>
            <w:tcW w:w="1129" w:type="dxa"/>
            <w:vAlign w:val="center"/>
          </w:tcPr>
          <w:p w:rsidR="002D61AA" w:rsidRPr="00300277" w:rsidRDefault="002D61AA" w:rsidP="00627F5F">
            <w:pPr>
              <w:pStyle w:val="Tabletext"/>
              <w:jc w:val="right"/>
            </w:pPr>
            <w:r w:rsidRPr="00300277">
              <w:t>17,6%</w:t>
            </w:r>
          </w:p>
        </w:tc>
      </w:tr>
      <w:tr w:rsidR="002D61AA" w:rsidRPr="00300277" w:rsidTr="005A3E67">
        <w:tc>
          <w:tcPr>
            <w:tcW w:w="3397" w:type="dxa"/>
            <w:shd w:val="clear" w:color="auto" w:fill="DBE5F1" w:themeFill="accent1" w:themeFillTint="33"/>
            <w:vAlign w:val="center"/>
          </w:tcPr>
          <w:p w:rsidR="002D61AA" w:rsidRPr="00300277" w:rsidRDefault="002D61AA" w:rsidP="00627F5F">
            <w:pPr>
              <w:pStyle w:val="Tabletext"/>
              <w:rPr>
                <w:b/>
                <w:bCs/>
              </w:rPr>
            </w:pPr>
            <w:r w:rsidRPr="00300277">
              <w:rPr>
                <w:b/>
                <w:bCs/>
              </w:rPr>
              <w:t>Total</w:t>
            </w:r>
          </w:p>
        </w:tc>
        <w:tc>
          <w:tcPr>
            <w:tcW w:w="1134" w:type="dxa"/>
            <w:shd w:val="clear" w:color="auto" w:fill="DBE5F1" w:themeFill="accent1" w:themeFillTint="33"/>
            <w:vAlign w:val="center"/>
          </w:tcPr>
          <w:p w:rsidR="002D61AA" w:rsidRPr="00300277" w:rsidRDefault="002D61AA" w:rsidP="00627F5F">
            <w:pPr>
              <w:pStyle w:val="Tabletext"/>
              <w:jc w:val="right"/>
              <w:rPr>
                <w:b/>
                <w:bCs/>
              </w:rPr>
            </w:pPr>
            <w:r w:rsidRPr="00300277">
              <w:rPr>
                <w:b/>
                <w:bCs/>
              </w:rPr>
              <w:t>124 401</w:t>
            </w:r>
          </w:p>
        </w:tc>
        <w:tc>
          <w:tcPr>
            <w:tcW w:w="1688" w:type="dxa"/>
            <w:shd w:val="clear" w:color="auto" w:fill="DBE5F1" w:themeFill="accent1" w:themeFillTint="33"/>
            <w:vAlign w:val="center"/>
          </w:tcPr>
          <w:p w:rsidR="002D61AA" w:rsidRPr="00300277" w:rsidRDefault="002D61AA" w:rsidP="00627F5F">
            <w:pPr>
              <w:pStyle w:val="Tabletext"/>
              <w:jc w:val="right"/>
              <w:rPr>
                <w:b/>
                <w:bCs/>
              </w:rPr>
            </w:pPr>
            <w:r w:rsidRPr="00300277">
              <w:rPr>
                <w:b/>
                <w:bCs/>
              </w:rPr>
              <w:t>124 591</w:t>
            </w:r>
          </w:p>
        </w:tc>
        <w:tc>
          <w:tcPr>
            <w:tcW w:w="1147" w:type="dxa"/>
            <w:shd w:val="clear" w:color="auto" w:fill="DBE5F1" w:themeFill="accent1" w:themeFillTint="33"/>
            <w:vAlign w:val="center"/>
          </w:tcPr>
          <w:p w:rsidR="002D61AA" w:rsidRPr="00300277" w:rsidRDefault="002D61AA" w:rsidP="00627F5F">
            <w:pPr>
              <w:pStyle w:val="Tabletext"/>
              <w:jc w:val="right"/>
              <w:rPr>
                <w:b/>
                <w:bCs/>
              </w:rPr>
            </w:pPr>
            <w:r w:rsidRPr="00300277">
              <w:rPr>
                <w:b/>
                <w:bCs/>
              </w:rPr>
              <w:t>124 591</w:t>
            </w:r>
          </w:p>
        </w:tc>
        <w:tc>
          <w:tcPr>
            <w:tcW w:w="1134" w:type="dxa"/>
            <w:shd w:val="clear" w:color="auto" w:fill="DBE5F1" w:themeFill="accent1" w:themeFillTint="33"/>
            <w:vAlign w:val="center"/>
          </w:tcPr>
          <w:p w:rsidR="002D61AA" w:rsidRPr="00300277" w:rsidRDefault="002D61AA" w:rsidP="00627F5F">
            <w:pPr>
              <w:pStyle w:val="Tabletext"/>
              <w:jc w:val="right"/>
              <w:rPr>
                <w:b/>
                <w:bCs/>
              </w:rPr>
            </w:pPr>
            <w:r w:rsidRPr="00300277">
              <w:rPr>
                <w:b/>
                <w:bCs/>
              </w:rPr>
              <w:t xml:space="preserve">190 </w:t>
            </w:r>
          </w:p>
        </w:tc>
        <w:tc>
          <w:tcPr>
            <w:tcW w:w="1129" w:type="dxa"/>
            <w:shd w:val="clear" w:color="auto" w:fill="DBE5F1" w:themeFill="accent1" w:themeFillTint="33"/>
            <w:vAlign w:val="center"/>
          </w:tcPr>
          <w:p w:rsidR="002D61AA" w:rsidRPr="00300277" w:rsidRDefault="002D61AA" w:rsidP="00627F5F">
            <w:pPr>
              <w:pStyle w:val="Tabletext"/>
              <w:jc w:val="right"/>
              <w:rPr>
                <w:b/>
                <w:bCs/>
              </w:rPr>
            </w:pPr>
            <w:r w:rsidRPr="00300277">
              <w:rPr>
                <w:b/>
                <w:bCs/>
              </w:rPr>
              <w:t>0,2%</w:t>
            </w:r>
          </w:p>
        </w:tc>
      </w:tr>
    </w:tbl>
    <w:p w:rsidR="000F3C11" w:rsidRPr="00300277" w:rsidRDefault="000F3C11" w:rsidP="004707B4">
      <w:pPr>
        <w:pStyle w:val="Normalaftertitle"/>
      </w:pPr>
      <w:r w:rsidRPr="00300277">
        <w:t>3.3</w:t>
      </w:r>
      <w:r w:rsidRPr="00300277">
        <w:tab/>
        <w:t>Le montant de l'unité contributive annuelle est fixé à 318 000 CHF pour la période</w:t>
      </w:r>
      <w:r w:rsidR="004707B4">
        <w:t> </w:t>
      </w:r>
      <w:r w:rsidRPr="00300277">
        <w:t>201</w:t>
      </w:r>
      <w:r w:rsidR="004C3926" w:rsidRPr="00300277">
        <w:t>8</w:t>
      </w:r>
      <w:r w:rsidRPr="00300277">
        <w:noBreakHyphen/>
        <w:t>201</w:t>
      </w:r>
      <w:r w:rsidR="004C3926" w:rsidRPr="00300277">
        <w:t>9</w:t>
      </w:r>
      <w:r w:rsidRPr="00300277">
        <w:t xml:space="preserve">. Le nombre d'unités versées par les Etats Membres au 31 </w:t>
      </w:r>
      <w:r w:rsidR="004C3926" w:rsidRPr="00300277">
        <w:t>janvier 2018</w:t>
      </w:r>
      <w:r w:rsidR="00627F5F" w:rsidRPr="00300277">
        <w:t xml:space="preserve"> </w:t>
      </w:r>
      <w:r w:rsidR="0090198C">
        <w:t>est de </w:t>
      </w:r>
      <w:r w:rsidRPr="00300277">
        <w:t>3</w:t>
      </w:r>
      <w:r w:rsidR="004C3926" w:rsidRPr="00300277">
        <w:t>41</w:t>
      </w:r>
      <w:r w:rsidRPr="00300277">
        <w:t> 1/4 unités</w:t>
      </w:r>
      <w:r w:rsidR="004C3926" w:rsidRPr="00300277">
        <w:t xml:space="preserve">, soit </w:t>
      </w:r>
      <w:r w:rsidR="005B486D" w:rsidRPr="00300277">
        <w:t>sept</w:t>
      </w:r>
      <w:r w:rsidR="004C3926" w:rsidRPr="00300277">
        <w:t xml:space="preserve"> unité</w:t>
      </w:r>
      <w:r w:rsidR="005B486D" w:rsidRPr="00300277">
        <w:t>s</w:t>
      </w:r>
      <w:r w:rsidR="004C3926" w:rsidRPr="00300277">
        <w:t xml:space="preserve"> de plus que les</w:t>
      </w:r>
      <w:r w:rsidR="00627F5F" w:rsidRPr="00300277">
        <w:t xml:space="preserve"> </w:t>
      </w:r>
      <w:r w:rsidR="004C3926" w:rsidRPr="00300277">
        <w:rPr>
          <w:szCs w:val="24"/>
        </w:rPr>
        <w:t>334</w:t>
      </w:r>
      <w:r w:rsidR="005B486D" w:rsidRPr="00300277">
        <w:rPr>
          <w:szCs w:val="24"/>
        </w:rPr>
        <w:t> </w:t>
      </w:r>
      <w:r w:rsidR="005B486D" w:rsidRPr="00300277">
        <w:t>1/2</w:t>
      </w:r>
      <w:r w:rsidR="005B486D" w:rsidRPr="00300277">
        <w:rPr>
          <w:szCs w:val="24"/>
        </w:rPr>
        <w:t> </w:t>
      </w:r>
      <w:r w:rsidR="004C3926" w:rsidRPr="00300277">
        <w:t xml:space="preserve">unités prévues au budget </w:t>
      </w:r>
      <w:r w:rsidR="004C3926" w:rsidRPr="00300277">
        <w:rPr>
          <w:szCs w:val="24"/>
        </w:rPr>
        <w:t>(</w:t>
      </w:r>
      <w:r w:rsidR="0090198C">
        <w:rPr>
          <w:szCs w:val="24"/>
        </w:rPr>
        <w:t>la Chine et le </w:t>
      </w:r>
      <w:r w:rsidR="00413606" w:rsidRPr="00300277">
        <w:rPr>
          <w:szCs w:val="24"/>
        </w:rPr>
        <w:t>Pakistan ayant augmenté leur</w:t>
      </w:r>
      <w:r w:rsidR="00627F5F" w:rsidRPr="00300277">
        <w:rPr>
          <w:szCs w:val="24"/>
        </w:rPr>
        <w:t xml:space="preserve"> </w:t>
      </w:r>
      <w:r w:rsidR="00413606" w:rsidRPr="00300277">
        <w:rPr>
          <w:szCs w:val="24"/>
        </w:rPr>
        <w:t>classe</w:t>
      </w:r>
      <w:r w:rsidR="00627F5F" w:rsidRPr="00300277">
        <w:rPr>
          <w:szCs w:val="24"/>
        </w:rPr>
        <w:t xml:space="preserve"> </w:t>
      </w:r>
      <w:r w:rsidR="00413606" w:rsidRPr="00300277">
        <w:rPr>
          <w:szCs w:val="24"/>
        </w:rPr>
        <w:t>de contribution, qui est passée respectivemen</w:t>
      </w:r>
      <w:r w:rsidR="0090198C">
        <w:rPr>
          <w:szCs w:val="24"/>
        </w:rPr>
        <w:t>t de 14 à </w:t>
      </w:r>
      <w:r w:rsidR="00413606" w:rsidRPr="00300277">
        <w:rPr>
          <w:szCs w:val="24"/>
        </w:rPr>
        <w:t>20</w:t>
      </w:r>
      <w:r w:rsidR="005B486D" w:rsidRPr="00300277">
        <w:rPr>
          <w:szCs w:val="24"/>
        </w:rPr>
        <w:t> </w:t>
      </w:r>
      <w:r w:rsidR="00413606" w:rsidRPr="00300277">
        <w:rPr>
          <w:szCs w:val="24"/>
        </w:rPr>
        <w:t>unités et de 1 à 2 unités</w:t>
      </w:r>
      <w:r w:rsidR="004C3926" w:rsidRPr="00300277">
        <w:rPr>
          <w:szCs w:val="24"/>
        </w:rPr>
        <w:t>).</w:t>
      </w:r>
    </w:p>
    <w:p w:rsidR="000F3C11" w:rsidRPr="00300277" w:rsidRDefault="000F3C11" w:rsidP="005B486D">
      <w:pPr>
        <w:rPr>
          <w:snapToGrid w:val="0"/>
        </w:rPr>
      </w:pPr>
      <w:r w:rsidRPr="00300277">
        <w:rPr>
          <w:snapToGrid w:val="0"/>
        </w:rPr>
        <w:t>3.4</w:t>
      </w:r>
      <w:r w:rsidRPr="00300277">
        <w:rPr>
          <w:snapToGrid w:val="0"/>
        </w:rPr>
        <w:tab/>
      </w:r>
      <w:r w:rsidR="005B486D" w:rsidRPr="00300277">
        <w:rPr>
          <w:snapToGrid w:val="0"/>
        </w:rPr>
        <w:t>Pour 2018, l</w:t>
      </w:r>
      <w:r w:rsidRPr="00300277">
        <w:rPr>
          <w:snapToGrid w:val="0"/>
        </w:rPr>
        <w:t xml:space="preserve">e montant de l'unité contributive annuelle est fixé à 63 600 CHF pour les Membres de Secteur et à 10 600 CHF pour les Associés. </w:t>
      </w:r>
      <w:r w:rsidR="00413606" w:rsidRPr="00300277">
        <w:rPr>
          <w:snapToGrid w:val="0"/>
        </w:rPr>
        <w:t>Au 31 janvier 2018, le total des produits facturés</w:t>
      </w:r>
      <w:r w:rsidR="00413606" w:rsidRPr="00300277">
        <w:rPr>
          <w:color w:val="000000"/>
        </w:rPr>
        <w:t xml:space="preserve"> provenant des Membres de Secteur était inférieur de</w:t>
      </w:r>
      <w:r w:rsidR="00413606" w:rsidRPr="00300277">
        <w:rPr>
          <w:snapToGrid w:val="0"/>
        </w:rPr>
        <w:t xml:space="preserve"> </w:t>
      </w:r>
      <w:r w:rsidR="00413606" w:rsidRPr="00300277">
        <w:rPr>
          <w:szCs w:val="24"/>
        </w:rPr>
        <w:t>1</w:t>
      </w:r>
      <w:r w:rsidR="005B486D" w:rsidRPr="00300277">
        <w:rPr>
          <w:szCs w:val="24"/>
        </w:rPr>
        <w:t>,</w:t>
      </w:r>
      <w:r w:rsidR="00413606" w:rsidRPr="00300277">
        <w:rPr>
          <w:szCs w:val="24"/>
        </w:rPr>
        <w:t>8 million</w:t>
      </w:r>
      <w:r w:rsidR="005B486D" w:rsidRPr="00300277">
        <w:rPr>
          <w:szCs w:val="24"/>
        </w:rPr>
        <w:t xml:space="preserve"> CHF (–</w:t>
      </w:r>
      <w:r w:rsidR="00413606" w:rsidRPr="00300277">
        <w:rPr>
          <w:szCs w:val="24"/>
        </w:rPr>
        <w:t>11%)</w:t>
      </w:r>
      <w:r w:rsidR="00627F5F" w:rsidRPr="00300277">
        <w:rPr>
          <w:szCs w:val="24"/>
        </w:rPr>
        <w:t xml:space="preserve"> </w:t>
      </w:r>
      <w:r w:rsidR="00413606" w:rsidRPr="00300277">
        <w:rPr>
          <w:szCs w:val="24"/>
        </w:rPr>
        <w:t xml:space="preserve">aux </w:t>
      </w:r>
      <w:r w:rsidR="00413606" w:rsidRPr="00300277">
        <w:rPr>
          <w:color w:val="000000"/>
        </w:rPr>
        <w:t>produits inscrits au budget</w:t>
      </w:r>
      <w:r w:rsidR="00627F5F" w:rsidRPr="00300277">
        <w:rPr>
          <w:color w:val="000000"/>
        </w:rPr>
        <w:t xml:space="preserve"> </w:t>
      </w:r>
      <w:r w:rsidR="00413606" w:rsidRPr="00300277">
        <w:rPr>
          <w:color w:val="000000"/>
        </w:rPr>
        <w:t>Il en est de même pour</w:t>
      </w:r>
      <w:r w:rsidR="00413606" w:rsidRPr="00300277">
        <w:rPr>
          <w:szCs w:val="24"/>
        </w:rPr>
        <w:t xml:space="preserve"> les produits facturés aux A</w:t>
      </w:r>
      <w:r w:rsidR="0090198C">
        <w:rPr>
          <w:szCs w:val="24"/>
        </w:rPr>
        <w:t>ssociés, qui sont inférieurs de </w:t>
      </w:r>
      <w:r w:rsidR="005B486D" w:rsidRPr="00300277">
        <w:rPr>
          <w:szCs w:val="24"/>
        </w:rPr>
        <w:t>0,</w:t>
      </w:r>
      <w:r w:rsidR="00413606" w:rsidRPr="00300277">
        <w:rPr>
          <w:szCs w:val="24"/>
        </w:rPr>
        <w:t>29</w:t>
      </w:r>
      <w:r w:rsidR="005B486D" w:rsidRPr="00300277">
        <w:rPr>
          <w:szCs w:val="24"/>
        </w:rPr>
        <w:t> </w:t>
      </w:r>
      <w:r w:rsidR="00413606" w:rsidRPr="00300277">
        <w:rPr>
          <w:szCs w:val="24"/>
        </w:rPr>
        <w:t>million</w:t>
      </w:r>
      <w:r w:rsidR="005B486D" w:rsidRPr="00300277">
        <w:rPr>
          <w:szCs w:val="24"/>
        </w:rPr>
        <w:t xml:space="preserve"> CHF</w:t>
      </w:r>
      <w:r w:rsidR="00413606" w:rsidRPr="00300277">
        <w:rPr>
          <w:szCs w:val="24"/>
        </w:rPr>
        <w:t xml:space="preserve"> aux produits inscrits au budget </w:t>
      </w:r>
      <w:r w:rsidR="005B486D" w:rsidRPr="00300277">
        <w:rPr>
          <w:szCs w:val="24"/>
        </w:rPr>
        <w:t>(–</w:t>
      </w:r>
      <w:r w:rsidR="00413606" w:rsidRPr="00300277">
        <w:rPr>
          <w:szCs w:val="24"/>
        </w:rPr>
        <w:t>15%).</w:t>
      </w:r>
    </w:p>
    <w:p w:rsidR="000F3C11" w:rsidRPr="00300277" w:rsidRDefault="000F3C11" w:rsidP="00627F5F">
      <w:r w:rsidRPr="00300277">
        <w:t>3.5</w:t>
      </w:r>
      <w:r w:rsidRPr="00300277">
        <w:tab/>
        <w:t xml:space="preserve">Depuis 2011, la mise en </w:t>
      </w:r>
      <w:r w:rsidR="00627F5F" w:rsidRPr="00300277">
        <w:t>oe</w:t>
      </w:r>
      <w:r w:rsidRPr="00300277">
        <w:t>uvre de la Résolution 169 (Rév. Busan, 2014) a engendré de nouvelles sources de recettes</w:t>
      </w:r>
      <w:r w:rsidR="00627F5F" w:rsidRPr="00300277">
        <w:t xml:space="preserve"> </w:t>
      </w:r>
      <w:r w:rsidR="006D1718" w:rsidRPr="00300277">
        <w:t>provenant de l'admission</w:t>
      </w:r>
      <w:r w:rsidR="00627F5F" w:rsidRPr="00300277">
        <w:t xml:space="preserve"> </w:t>
      </w:r>
      <w:r w:rsidRPr="00300277">
        <w:t xml:space="preserve">d'établissements universitaires, d'universités et d'instituts de recherche associés. Au </w:t>
      </w:r>
      <w:r w:rsidR="005B486D" w:rsidRPr="00300277">
        <w:t xml:space="preserve">31 </w:t>
      </w:r>
      <w:r w:rsidR="00633B98" w:rsidRPr="00300277">
        <w:t>janvier 2018</w:t>
      </w:r>
      <w:r w:rsidRPr="00300277">
        <w:t xml:space="preserve">, on comptait </w:t>
      </w:r>
      <w:r w:rsidR="00C8335C">
        <w:t>un total de </w:t>
      </w:r>
      <w:r w:rsidRPr="00300277">
        <w:t>12</w:t>
      </w:r>
      <w:r w:rsidR="00633B98" w:rsidRPr="00300277">
        <w:t>0</w:t>
      </w:r>
      <w:r w:rsidRPr="00300277">
        <w:t xml:space="preserve"> établissements universitaires </w:t>
      </w:r>
      <w:r w:rsidR="00633B98" w:rsidRPr="00300277">
        <w:t>inscrits</w:t>
      </w:r>
      <w:r w:rsidR="0008092A">
        <w:t>.</w:t>
      </w:r>
    </w:p>
    <w:p w:rsidR="000F3C11" w:rsidRPr="00300277" w:rsidRDefault="000F3C11" w:rsidP="00627F5F">
      <w:r w:rsidRPr="00300277">
        <w:t>3.6</w:t>
      </w:r>
      <w:r w:rsidRPr="00300277">
        <w:tab/>
        <w:t>Les produits tirés du recouvrement des coûts représentent 21,</w:t>
      </w:r>
      <w:r w:rsidR="00633B98" w:rsidRPr="00300277">
        <w:t>8</w:t>
      </w:r>
      <w:r w:rsidRPr="00300277">
        <w:t>% du</w:t>
      </w:r>
      <w:r w:rsidR="00627F5F" w:rsidRPr="00300277">
        <w:t xml:space="preserve"> </w:t>
      </w:r>
      <w:r w:rsidRPr="00300277">
        <w:t>total</w:t>
      </w:r>
      <w:r w:rsidR="00633B98" w:rsidRPr="00300277">
        <w:t xml:space="preserve"> des produits inscrits au budget</w:t>
      </w:r>
      <w:r w:rsidR="00627F5F" w:rsidRPr="00300277">
        <w:t>.</w:t>
      </w:r>
      <w:r w:rsidRPr="00300277">
        <w:t xml:space="preserve"> </w:t>
      </w:r>
      <w:r w:rsidR="002B2A12" w:rsidRPr="00300277">
        <w:t xml:space="preserve">La ventilation de ces produits est présentée dans le Tableau 3. </w:t>
      </w:r>
      <w:r w:rsidR="00633B98" w:rsidRPr="00300277">
        <w:t>Les produits tirés du recouvrement des coûts devraient être inférieurs aux montant</w:t>
      </w:r>
      <w:r w:rsidR="002B2A12" w:rsidRPr="00300277">
        <w:t>s</w:t>
      </w:r>
      <w:r w:rsidR="00633B98" w:rsidRPr="00300277">
        <w:t xml:space="preserve"> inscrit</w:t>
      </w:r>
      <w:r w:rsidR="002B2A12" w:rsidRPr="00300277">
        <w:t>s</w:t>
      </w:r>
      <w:r w:rsidR="00633B98" w:rsidRPr="00300277">
        <w:t xml:space="preserve"> au budget pour 2018, en raison principalement des</w:t>
      </w:r>
      <w:r w:rsidR="00627F5F" w:rsidRPr="00300277">
        <w:t xml:space="preserve"> </w:t>
      </w:r>
      <w:r w:rsidR="00633B98" w:rsidRPr="00300277">
        <w:rPr>
          <w:color w:val="000000"/>
        </w:rPr>
        <w:t>produits au titre du recouvrement des coûts pour</w:t>
      </w:r>
      <w:r w:rsidR="00627F5F" w:rsidRPr="00300277">
        <w:rPr>
          <w:color w:val="000000"/>
        </w:rPr>
        <w:t xml:space="preserve"> </w:t>
      </w:r>
      <w:r w:rsidR="00633B98" w:rsidRPr="00300277">
        <w:rPr>
          <w:color w:val="000000"/>
        </w:rPr>
        <w:t>l'appui aux projets</w:t>
      </w:r>
      <w:r w:rsidR="002B6D4E" w:rsidRPr="00300277">
        <w:rPr>
          <w:color w:val="000000"/>
        </w:rPr>
        <w:t>. Cette baisse est en partie compensée par l</w:t>
      </w:r>
      <w:r w:rsidR="00627F5F" w:rsidRPr="00300277">
        <w:rPr>
          <w:color w:val="000000"/>
        </w:rPr>
        <w:t>'</w:t>
      </w:r>
      <w:r w:rsidR="002B6D4E" w:rsidRPr="00300277">
        <w:rPr>
          <w:color w:val="000000"/>
        </w:rPr>
        <w:t>augmentation des produits tirés des numéros UIFN</w:t>
      </w:r>
      <w:r w:rsidR="002B6D4E" w:rsidRPr="00300277">
        <w:t xml:space="preserve"> et </w:t>
      </w:r>
      <w:r w:rsidR="002B6D4E" w:rsidRPr="00300277">
        <w:rPr>
          <w:color w:val="000000"/>
        </w:rPr>
        <w:t>des ressources INR</w:t>
      </w:r>
      <w:r w:rsidR="005B486D" w:rsidRPr="00300277">
        <w:rPr>
          <w:color w:val="000000"/>
        </w:rPr>
        <w:t>.</w:t>
      </w:r>
    </w:p>
    <w:p w:rsidR="000F3C11" w:rsidRPr="00300277" w:rsidRDefault="000F3C11" w:rsidP="002B2A12">
      <w:pPr>
        <w:pStyle w:val="Tabletitle"/>
        <w:keepLines/>
        <w:spacing w:before="240"/>
      </w:pPr>
      <w:r w:rsidRPr="00300277">
        <w:t>Tableau 3 ‒ Produits provenant du recouvrement des coûts</w:t>
      </w:r>
    </w:p>
    <w:p w:rsidR="003A540F" w:rsidRPr="00300277" w:rsidRDefault="000F3C11" w:rsidP="002B2A12">
      <w:pPr>
        <w:keepNext/>
        <w:keepLines/>
        <w:jc w:val="right"/>
        <w:rPr>
          <w:i/>
          <w:iCs/>
          <w:lang w:eastAsia="zh-CN"/>
        </w:rPr>
      </w:pPr>
      <w:r w:rsidRPr="00300277">
        <w:rPr>
          <w:i/>
          <w:iCs/>
          <w:lang w:eastAsia="zh-CN"/>
        </w:rPr>
        <w:t>En milliers CHF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34"/>
        <w:gridCol w:w="1688"/>
        <w:gridCol w:w="1147"/>
        <w:gridCol w:w="1134"/>
        <w:gridCol w:w="1129"/>
      </w:tblGrid>
      <w:tr w:rsidR="003A540F" w:rsidRPr="00300277" w:rsidTr="00DF05B3">
        <w:tc>
          <w:tcPr>
            <w:tcW w:w="3397" w:type="dxa"/>
            <w:vMerge w:val="restart"/>
            <w:shd w:val="clear" w:color="auto" w:fill="DBE5F1" w:themeFill="accent1" w:themeFillTint="33"/>
            <w:vAlign w:val="center"/>
          </w:tcPr>
          <w:p w:rsidR="003A540F" w:rsidRPr="00300277" w:rsidRDefault="003A540F" w:rsidP="002B2A12">
            <w:pPr>
              <w:pStyle w:val="Tablehead"/>
              <w:keepNext/>
              <w:keepLines/>
            </w:pPr>
            <w:r w:rsidRPr="00300277">
              <w:t>Recouvrement des coûts</w:t>
            </w:r>
          </w:p>
        </w:tc>
        <w:tc>
          <w:tcPr>
            <w:tcW w:w="1134" w:type="dxa"/>
            <w:shd w:val="clear" w:color="auto" w:fill="DBE5F1" w:themeFill="accent1" w:themeFillTint="33"/>
            <w:vAlign w:val="center"/>
          </w:tcPr>
          <w:p w:rsidR="003A540F" w:rsidRPr="00300277" w:rsidRDefault="003A540F" w:rsidP="002B2A12">
            <w:pPr>
              <w:pStyle w:val="Tablehead"/>
              <w:keepNext/>
              <w:keepLines/>
            </w:pPr>
            <w:r w:rsidRPr="00300277">
              <w:t>Budget 2018</w:t>
            </w:r>
          </w:p>
        </w:tc>
        <w:tc>
          <w:tcPr>
            <w:tcW w:w="1688" w:type="dxa"/>
            <w:shd w:val="clear" w:color="auto" w:fill="DBE5F1" w:themeFill="accent1" w:themeFillTint="33"/>
            <w:vAlign w:val="center"/>
          </w:tcPr>
          <w:p w:rsidR="003A540F" w:rsidRPr="00300277" w:rsidRDefault="003A540F" w:rsidP="002B2A12">
            <w:pPr>
              <w:pStyle w:val="Tablehead"/>
              <w:keepNext/>
              <w:keepLines/>
            </w:pPr>
            <w:r w:rsidRPr="00300277">
              <w:t xml:space="preserve">Montants effectifs au </w:t>
            </w:r>
            <w:r w:rsidRPr="00300277">
              <w:br/>
              <w:t>31 janvier 2018</w:t>
            </w:r>
          </w:p>
        </w:tc>
        <w:tc>
          <w:tcPr>
            <w:tcW w:w="1147" w:type="dxa"/>
            <w:shd w:val="clear" w:color="auto" w:fill="DBE5F1" w:themeFill="accent1" w:themeFillTint="33"/>
            <w:vAlign w:val="center"/>
          </w:tcPr>
          <w:p w:rsidR="003A540F" w:rsidRPr="00300277" w:rsidRDefault="003A540F" w:rsidP="002B2A12">
            <w:pPr>
              <w:pStyle w:val="Tablehead"/>
              <w:keepNext/>
              <w:keepLines/>
            </w:pPr>
            <w:r w:rsidRPr="00300277">
              <w:t>Prévisions</w:t>
            </w:r>
            <w:r w:rsidR="002B6D4E" w:rsidRPr="00300277">
              <w:t xml:space="preserve"> pour 2018</w:t>
            </w:r>
          </w:p>
        </w:tc>
        <w:tc>
          <w:tcPr>
            <w:tcW w:w="1134" w:type="dxa"/>
            <w:shd w:val="clear" w:color="auto" w:fill="DBE5F1" w:themeFill="accent1" w:themeFillTint="33"/>
            <w:vAlign w:val="center"/>
          </w:tcPr>
          <w:p w:rsidR="003A540F" w:rsidRPr="00300277" w:rsidRDefault="003A540F" w:rsidP="002B2A12">
            <w:pPr>
              <w:pStyle w:val="Tablehead"/>
              <w:keepNext/>
              <w:keepLines/>
            </w:pPr>
            <w:r w:rsidRPr="00300277">
              <w:t>Ecart</w:t>
            </w:r>
          </w:p>
        </w:tc>
        <w:tc>
          <w:tcPr>
            <w:tcW w:w="1129" w:type="dxa"/>
            <w:shd w:val="clear" w:color="auto" w:fill="DBE5F1" w:themeFill="accent1" w:themeFillTint="33"/>
            <w:vAlign w:val="center"/>
          </w:tcPr>
          <w:p w:rsidR="003A540F" w:rsidRPr="00300277" w:rsidRDefault="003A540F" w:rsidP="002B2A12">
            <w:pPr>
              <w:pStyle w:val="Tablehead"/>
              <w:keepNext/>
              <w:keepLines/>
            </w:pPr>
            <w:r w:rsidRPr="00300277">
              <w:t>%</w:t>
            </w:r>
          </w:p>
        </w:tc>
      </w:tr>
      <w:tr w:rsidR="003A540F" w:rsidRPr="00300277" w:rsidTr="00DF05B3">
        <w:tc>
          <w:tcPr>
            <w:tcW w:w="3397" w:type="dxa"/>
            <w:vMerge/>
            <w:shd w:val="clear" w:color="auto" w:fill="DBE5F1" w:themeFill="accent1" w:themeFillTint="33"/>
            <w:vAlign w:val="center"/>
          </w:tcPr>
          <w:p w:rsidR="003A540F" w:rsidRPr="00300277" w:rsidRDefault="003A540F" w:rsidP="002B2A12">
            <w:pPr>
              <w:pStyle w:val="Tablehead"/>
              <w:keepNext/>
              <w:keepLines/>
            </w:pPr>
          </w:p>
        </w:tc>
        <w:tc>
          <w:tcPr>
            <w:tcW w:w="1134" w:type="dxa"/>
            <w:shd w:val="clear" w:color="auto" w:fill="DBE5F1" w:themeFill="accent1" w:themeFillTint="33"/>
            <w:vAlign w:val="center"/>
          </w:tcPr>
          <w:p w:rsidR="003A540F" w:rsidRPr="00300277" w:rsidRDefault="003A540F" w:rsidP="002B2A12">
            <w:pPr>
              <w:pStyle w:val="Tablehead"/>
              <w:keepNext/>
              <w:keepLines/>
            </w:pPr>
            <w:r w:rsidRPr="00300277">
              <w:t>a</w:t>
            </w:r>
          </w:p>
        </w:tc>
        <w:tc>
          <w:tcPr>
            <w:tcW w:w="1688" w:type="dxa"/>
            <w:shd w:val="clear" w:color="auto" w:fill="DBE5F1" w:themeFill="accent1" w:themeFillTint="33"/>
            <w:vAlign w:val="center"/>
          </w:tcPr>
          <w:p w:rsidR="003A540F" w:rsidRPr="00300277" w:rsidRDefault="003A540F" w:rsidP="002B2A12">
            <w:pPr>
              <w:pStyle w:val="Tablehead"/>
              <w:keepNext/>
              <w:keepLines/>
            </w:pPr>
            <w:r w:rsidRPr="00300277">
              <w:t>b</w:t>
            </w:r>
          </w:p>
        </w:tc>
        <w:tc>
          <w:tcPr>
            <w:tcW w:w="1147" w:type="dxa"/>
            <w:shd w:val="clear" w:color="auto" w:fill="DBE5F1" w:themeFill="accent1" w:themeFillTint="33"/>
            <w:vAlign w:val="center"/>
          </w:tcPr>
          <w:p w:rsidR="003A540F" w:rsidRPr="00300277" w:rsidRDefault="003A540F" w:rsidP="002B2A12">
            <w:pPr>
              <w:pStyle w:val="Tablehead"/>
              <w:keepNext/>
              <w:keepLines/>
            </w:pPr>
            <w:r w:rsidRPr="00300277">
              <w:t>c</w:t>
            </w:r>
          </w:p>
        </w:tc>
        <w:tc>
          <w:tcPr>
            <w:tcW w:w="1134" w:type="dxa"/>
            <w:shd w:val="clear" w:color="auto" w:fill="DBE5F1" w:themeFill="accent1" w:themeFillTint="33"/>
            <w:vAlign w:val="center"/>
          </w:tcPr>
          <w:p w:rsidR="003A540F" w:rsidRPr="00300277" w:rsidRDefault="003A540F" w:rsidP="002B2A12">
            <w:pPr>
              <w:pStyle w:val="Tablehead"/>
              <w:keepNext/>
              <w:keepLines/>
            </w:pPr>
            <w:r w:rsidRPr="00300277">
              <w:t>d = c-a</w:t>
            </w:r>
          </w:p>
        </w:tc>
        <w:tc>
          <w:tcPr>
            <w:tcW w:w="1129" w:type="dxa"/>
            <w:shd w:val="clear" w:color="auto" w:fill="DBE5F1" w:themeFill="accent1" w:themeFillTint="33"/>
            <w:vAlign w:val="center"/>
          </w:tcPr>
          <w:p w:rsidR="003A540F" w:rsidRPr="00300277" w:rsidRDefault="003A540F" w:rsidP="002B2A12">
            <w:pPr>
              <w:pStyle w:val="Tablehead"/>
              <w:keepNext/>
              <w:keepLines/>
            </w:pPr>
            <w:r w:rsidRPr="00300277">
              <w:t>e = d/a</w:t>
            </w:r>
          </w:p>
        </w:tc>
      </w:tr>
      <w:tr w:rsidR="003A540F" w:rsidRPr="00300277" w:rsidTr="00DF05B3">
        <w:tc>
          <w:tcPr>
            <w:tcW w:w="3397" w:type="dxa"/>
            <w:shd w:val="clear" w:color="auto" w:fill="DBE5F1" w:themeFill="accent1" w:themeFillTint="33"/>
            <w:vAlign w:val="center"/>
          </w:tcPr>
          <w:p w:rsidR="003A540F" w:rsidRPr="00300277" w:rsidRDefault="003A540F" w:rsidP="002B2A12">
            <w:pPr>
              <w:pStyle w:val="Tabletext"/>
              <w:keepNext/>
              <w:keepLines/>
            </w:pPr>
            <w:r w:rsidRPr="00300277">
              <w:t>1</w:t>
            </w:r>
            <w:r w:rsidRPr="00300277">
              <w:tab/>
              <w:t>Appui aux projets</w:t>
            </w:r>
          </w:p>
        </w:tc>
        <w:tc>
          <w:tcPr>
            <w:tcW w:w="1134" w:type="dxa"/>
            <w:vAlign w:val="center"/>
          </w:tcPr>
          <w:p w:rsidR="003A540F" w:rsidRPr="00300277" w:rsidRDefault="003A540F" w:rsidP="002B2A12">
            <w:pPr>
              <w:pStyle w:val="Tabletext"/>
              <w:keepNext/>
              <w:keepLines/>
              <w:jc w:val="right"/>
            </w:pPr>
            <w:r w:rsidRPr="00300277">
              <w:t>1 375</w:t>
            </w:r>
          </w:p>
        </w:tc>
        <w:tc>
          <w:tcPr>
            <w:tcW w:w="1688" w:type="dxa"/>
            <w:vAlign w:val="center"/>
          </w:tcPr>
          <w:p w:rsidR="003A540F" w:rsidRPr="00300277" w:rsidRDefault="003A540F" w:rsidP="002B2A12">
            <w:pPr>
              <w:pStyle w:val="Tabletext"/>
              <w:keepNext/>
              <w:keepLines/>
              <w:jc w:val="right"/>
            </w:pPr>
            <w:r w:rsidRPr="00300277">
              <w:t>0</w:t>
            </w:r>
          </w:p>
        </w:tc>
        <w:tc>
          <w:tcPr>
            <w:tcW w:w="1147" w:type="dxa"/>
            <w:vAlign w:val="center"/>
          </w:tcPr>
          <w:p w:rsidR="003A540F" w:rsidRPr="00300277" w:rsidRDefault="003A540F" w:rsidP="002B2A12">
            <w:pPr>
              <w:pStyle w:val="Tabletext"/>
              <w:keepNext/>
              <w:keepLines/>
              <w:jc w:val="right"/>
            </w:pPr>
            <w:r w:rsidRPr="00300277">
              <w:t>750</w:t>
            </w:r>
          </w:p>
        </w:tc>
        <w:tc>
          <w:tcPr>
            <w:tcW w:w="1134" w:type="dxa"/>
            <w:vAlign w:val="center"/>
          </w:tcPr>
          <w:p w:rsidR="003A540F" w:rsidRPr="00300277" w:rsidRDefault="003A540F" w:rsidP="002B2A12">
            <w:pPr>
              <w:pStyle w:val="Tabletext"/>
              <w:keepNext/>
              <w:keepLines/>
              <w:jc w:val="right"/>
            </w:pPr>
            <w:r w:rsidRPr="00300277">
              <w:t>–625</w:t>
            </w:r>
          </w:p>
        </w:tc>
        <w:tc>
          <w:tcPr>
            <w:tcW w:w="1129" w:type="dxa"/>
            <w:vAlign w:val="center"/>
          </w:tcPr>
          <w:p w:rsidR="003A540F" w:rsidRPr="00300277" w:rsidRDefault="003A540F" w:rsidP="002B2A12">
            <w:pPr>
              <w:pStyle w:val="Tabletext"/>
              <w:keepNext/>
              <w:keepLines/>
              <w:jc w:val="right"/>
            </w:pPr>
            <w:r w:rsidRPr="00300277">
              <w:t>–45,5%</w:t>
            </w:r>
          </w:p>
        </w:tc>
      </w:tr>
      <w:tr w:rsidR="003A540F" w:rsidRPr="00300277" w:rsidTr="00DF05B3">
        <w:tc>
          <w:tcPr>
            <w:tcW w:w="3397" w:type="dxa"/>
            <w:shd w:val="clear" w:color="auto" w:fill="DBE5F1" w:themeFill="accent1" w:themeFillTint="33"/>
            <w:vAlign w:val="center"/>
          </w:tcPr>
          <w:p w:rsidR="003A540F" w:rsidRPr="00300277" w:rsidRDefault="003A540F" w:rsidP="002B2A12">
            <w:pPr>
              <w:pStyle w:val="Tabletext"/>
              <w:keepNext/>
              <w:keepLines/>
            </w:pPr>
            <w:r w:rsidRPr="00300277">
              <w:t>2</w:t>
            </w:r>
            <w:r w:rsidRPr="00300277">
              <w:tab/>
              <w:t>Ventes des publications</w:t>
            </w:r>
          </w:p>
        </w:tc>
        <w:tc>
          <w:tcPr>
            <w:tcW w:w="1134" w:type="dxa"/>
            <w:vAlign w:val="center"/>
          </w:tcPr>
          <w:p w:rsidR="003A540F" w:rsidRPr="00300277" w:rsidRDefault="003A540F" w:rsidP="002B2A12">
            <w:pPr>
              <w:pStyle w:val="Tabletext"/>
              <w:keepNext/>
              <w:keepLines/>
              <w:jc w:val="right"/>
            </w:pPr>
            <w:r w:rsidRPr="00300277">
              <w:t>19 000</w:t>
            </w:r>
          </w:p>
        </w:tc>
        <w:tc>
          <w:tcPr>
            <w:tcW w:w="1688" w:type="dxa"/>
            <w:vAlign w:val="center"/>
          </w:tcPr>
          <w:p w:rsidR="003A540F" w:rsidRPr="00300277" w:rsidRDefault="003A540F" w:rsidP="002B2A12">
            <w:pPr>
              <w:pStyle w:val="Tabletext"/>
              <w:keepNext/>
              <w:keepLines/>
              <w:jc w:val="right"/>
            </w:pPr>
            <w:r w:rsidRPr="00300277">
              <w:t>770</w:t>
            </w:r>
          </w:p>
        </w:tc>
        <w:tc>
          <w:tcPr>
            <w:tcW w:w="1147" w:type="dxa"/>
            <w:vAlign w:val="center"/>
          </w:tcPr>
          <w:p w:rsidR="003A540F" w:rsidRPr="00300277" w:rsidRDefault="003A540F" w:rsidP="002B2A12">
            <w:pPr>
              <w:pStyle w:val="Tabletext"/>
              <w:keepNext/>
              <w:keepLines/>
              <w:jc w:val="right"/>
            </w:pPr>
            <w:r w:rsidRPr="00300277">
              <w:t>19 000</w:t>
            </w:r>
          </w:p>
        </w:tc>
        <w:tc>
          <w:tcPr>
            <w:tcW w:w="1134" w:type="dxa"/>
            <w:vAlign w:val="center"/>
          </w:tcPr>
          <w:p w:rsidR="003A540F" w:rsidRPr="00300277" w:rsidRDefault="003A540F" w:rsidP="002B2A12">
            <w:pPr>
              <w:pStyle w:val="Tabletext"/>
              <w:keepNext/>
              <w:keepLines/>
              <w:jc w:val="right"/>
            </w:pPr>
            <w:r w:rsidRPr="00300277">
              <w:t>0</w:t>
            </w:r>
          </w:p>
        </w:tc>
        <w:tc>
          <w:tcPr>
            <w:tcW w:w="1129" w:type="dxa"/>
            <w:vAlign w:val="center"/>
          </w:tcPr>
          <w:p w:rsidR="003A540F" w:rsidRPr="00300277" w:rsidRDefault="003A540F" w:rsidP="002B2A12">
            <w:pPr>
              <w:pStyle w:val="Tabletext"/>
              <w:keepNext/>
              <w:keepLines/>
              <w:jc w:val="right"/>
            </w:pPr>
            <w:r w:rsidRPr="00300277">
              <w:t>0%</w:t>
            </w:r>
          </w:p>
        </w:tc>
      </w:tr>
      <w:tr w:rsidR="003A540F" w:rsidRPr="00300277" w:rsidTr="00DF05B3">
        <w:tc>
          <w:tcPr>
            <w:tcW w:w="3397" w:type="dxa"/>
            <w:shd w:val="clear" w:color="auto" w:fill="DBE5F1" w:themeFill="accent1" w:themeFillTint="33"/>
            <w:vAlign w:val="center"/>
          </w:tcPr>
          <w:p w:rsidR="003A540F" w:rsidRPr="00300277" w:rsidRDefault="003A540F" w:rsidP="002B2A12">
            <w:pPr>
              <w:pStyle w:val="Tabletext"/>
              <w:keepNext/>
              <w:keepLines/>
            </w:pPr>
            <w:r w:rsidRPr="00300277">
              <w:t>3</w:t>
            </w:r>
            <w:r w:rsidRPr="00300277">
              <w:tab/>
              <w:t>Numéro</w:t>
            </w:r>
            <w:r w:rsidR="002B6D4E" w:rsidRPr="00300277">
              <w:t>s</w:t>
            </w:r>
            <w:r w:rsidRPr="00300277">
              <w:t xml:space="preserve"> UIFN</w:t>
            </w:r>
          </w:p>
        </w:tc>
        <w:tc>
          <w:tcPr>
            <w:tcW w:w="1134" w:type="dxa"/>
            <w:vAlign w:val="center"/>
          </w:tcPr>
          <w:p w:rsidR="003A540F" w:rsidRPr="00300277" w:rsidRDefault="003A540F" w:rsidP="002B2A12">
            <w:pPr>
              <w:pStyle w:val="Tabletext"/>
              <w:keepNext/>
              <w:keepLines/>
              <w:jc w:val="right"/>
            </w:pPr>
            <w:r w:rsidRPr="00300277">
              <w:t>500</w:t>
            </w:r>
          </w:p>
        </w:tc>
        <w:tc>
          <w:tcPr>
            <w:tcW w:w="1688" w:type="dxa"/>
            <w:vAlign w:val="center"/>
          </w:tcPr>
          <w:p w:rsidR="003A540F" w:rsidRPr="00300277" w:rsidRDefault="003A540F" w:rsidP="002B2A12">
            <w:pPr>
              <w:pStyle w:val="Tabletext"/>
              <w:keepNext/>
              <w:keepLines/>
              <w:jc w:val="right"/>
            </w:pPr>
            <w:r w:rsidRPr="00300277">
              <w:t>757</w:t>
            </w:r>
          </w:p>
        </w:tc>
        <w:tc>
          <w:tcPr>
            <w:tcW w:w="1147" w:type="dxa"/>
            <w:vAlign w:val="center"/>
          </w:tcPr>
          <w:p w:rsidR="003A540F" w:rsidRPr="00300277" w:rsidRDefault="003A540F" w:rsidP="002B2A12">
            <w:pPr>
              <w:pStyle w:val="Tabletext"/>
              <w:keepNext/>
              <w:keepLines/>
              <w:jc w:val="right"/>
            </w:pPr>
            <w:r w:rsidRPr="00300277">
              <w:t>800</w:t>
            </w:r>
          </w:p>
        </w:tc>
        <w:tc>
          <w:tcPr>
            <w:tcW w:w="1134" w:type="dxa"/>
            <w:vAlign w:val="center"/>
          </w:tcPr>
          <w:p w:rsidR="003A540F" w:rsidRPr="00300277" w:rsidRDefault="003A540F" w:rsidP="002B2A12">
            <w:pPr>
              <w:pStyle w:val="Tabletext"/>
              <w:keepNext/>
              <w:keepLines/>
              <w:jc w:val="right"/>
            </w:pPr>
            <w:r w:rsidRPr="00300277">
              <w:t>300</w:t>
            </w:r>
          </w:p>
        </w:tc>
        <w:tc>
          <w:tcPr>
            <w:tcW w:w="1129" w:type="dxa"/>
            <w:vAlign w:val="center"/>
          </w:tcPr>
          <w:p w:rsidR="003A540F" w:rsidRPr="00300277" w:rsidRDefault="003A540F" w:rsidP="002B2A12">
            <w:pPr>
              <w:pStyle w:val="Tabletext"/>
              <w:keepNext/>
              <w:keepLines/>
              <w:jc w:val="right"/>
            </w:pPr>
            <w:r w:rsidRPr="00300277">
              <w:t>60%</w:t>
            </w:r>
          </w:p>
        </w:tc>
      </w:tr>
      <w:tr w:rsidR="003A540F" w:rsidRPr="00300277" w:rsidTr="00DF05B3">
        <w:tc>
          <w:tcPr>
            <w:tcW w:w="3397" w:type="dxa"/>
            <w:shd w:val="clear" w:color="auto" w:fill="DBE5F1" w:themeFill="accent1" w:themeFillTint="33"/>
            <w:vAlign w:val="center"/>
          </w:tcPr>
          <w:p w:rsidR="003A540F" w:rsidRPr="00300277" w:rsidRDefault="003A540F" w:rsidP="002B2A12">
            <w:pPr>
              <w:pStyle w:val="Tabletext"/>
              <w:keepNext/>
              <w:keepLines/>
              <w:ind w:left="720" w:hanging="720"/>
            </w:pPr>
            <w:r w:rsidRPr="00300277">
              <w:t>4</w:t>
            </w:r>
            <w:r w:rsidRPr="00300277">
              <w:tab/>
              <w:t>TELECOM</w:t>
            </w:r>
          </w:p>
        </w:tc>
        <w:tc>
          <w:tcPr>
            <w:tcW w:w="1134" w:type="dxa"/>
            <w:vAlign w:val="center"/>
          </w:tcPr>
          <w:p w:rsidR="003A540F" w:rsidRPr="00300277" w:rsidRDefault="003A540F" w:rsidP="002B2A12">
            <w:pPr>
              <w:pStyle w:val="Tabletext"/>
              <w:keepNext/>
              <w:keepLines/>
              <w:jc w:val="right"/>
            </w:pPr>
            <w:r w:rsidRPr="00300277">
              <w:t>1 500</w:t>
            </w:r>
          </w:p>
        </w:tc>
        <w:tc>
          <w:tcPr>
            <w:tcW w:w="1688" w:type="dxa"/>
            <w:vAlign w:val="center"/>
          </w:tcPr>
          <w:p w:rsidR="003A540F" w:rsidRPr="00300277" w:rsidRDefault="003A540F" w:rsidP="002B2A12">
            <w:pPr>
              <w:pStyle w:val="Tabletext"/>
              <w:keepNext/>
              <w:keepLines/>
              <w:jc w:val="right"/>
            </w:pPr>
            <w:r w:rsidRPr="00300277">
              <w:t>0</w:t>
            </w:r>
          </w:p>
        </w:tc>
        <w:tc>
          <w:tcPr>
            <w:tcW w:w="1147" w:type="dxa"/>
            <w:vAlign w:val="center"/>
          </w:tcPr>
          <w:p w:rsidR="003A540F" w:rsidRPr="00300277" w:rsidRDefault="003A540F" w:rsidP="002B2A12">
            <w:pPr>
              <w:pStyle w:val="Tabletext"/>
              <w:keepNext/>
              <w:keepLines/>
              <w:jc w:val="right"/>
            </w:pPr>
            <w:r w:rsidRPr="00300277">
              <w:t>1 500</w:t>
            </w:r>
          </w:p>
        </w:tc>
        <w:tc>
          <w:tcPr>
            <w:tcW w:w="1134" w:type="dxa"/>
            <w:vAlign w:val="center"/>
          </w:tcPr>
          <w:p w:rsidR="003A540F" w:rsidRPr="00300277" w:rsidRDefault="003A540F" w:rsidP="002B2A12">
            <w:pPr>
              <w:pStyle w:val="Tabletext"/>
              <w:keepNext/>
              <w:keepLines/>
              <w:jc w:val="right"/>
            </w:pPr>
            <w:r w:rsidRPr="00300277">
              <w:t>0</w:t>
            </w:r>
          </w:p>
        </w:tc>
        <w:tc>
          <w:tcPr>
            <w:tcW w:w="1129" w:type="dxa"/>
            <w:vAlign w:val="center"/>
          </w:tcPr>
          <w:p w:rsidR="003A540F" w:rsidRPr="00300277" w:rsidRDefault="003A540F" w:rsidP="002B2A12">
            <w:pPr>
              <w:pStyle w:val="Tabletext"/>
              <w:keepNext/>
              <w:keepLines/>
              <w:jc w:val="right"/>
            </w:pPr>
            <w:r w:rsidRPr="00300277">
              <w:t>0%</w:t>
            </w:r>
          </w:p>
        </w:tc>
      </w:tr>
      <w:tr w:rsidR="003A540F" w:rsidRPr="00300277" w:rsidTr="003A540F">
        <w:tc>
          <w:tcPr>
            <w:tcW w:w="3397" w:type="dxa"/>
            <w:shd w:val="clear" w:color="auto" w:fill="DBE5F1" w:themeFill="accent1" w:themeFillTint="33"/>
            <w:vAlign w:val="center"/>
          </w:tcPr>
          <w:p w:rsidR="003A540F" w:rsidRPr="00300277" w:rsidRDefault="003A540F" w:rsidP="002B2A12">
            <w:pPr>
              <w:pStyle w:val="Tabletext"/>
              <w:keepNext/>
              <w:keepLines/>
              <w:ind w:left="720" w:hanging="720"/>
            </w:pPr>
            <w:r w:rsidRPr="00300277">
              <w:t>5</w:t>
            </w:r>
            <w:r w:rsidRPr="00300277">
              <w:tab/>
              <w:t>Fiches de notification des réseaux à satellite</w:t>
            </w:r>
          </w:p>
        </w:tc>
        <w:tc>
          <w:tcPr>
            <w:tcW w:w="1134" w:type="dxa"/>
            <w:shd w:val="clear" w:color="auto" w:fill="auto"/>
            <w:vAlign w:val="center"/>
          </w:tcPr>
          <w:p w:rsidR="003A540F" w:rsidRPr="00300277" w:rsidRDefault="003A540F" w:rsidP="002B2A12">
            <w:pPr>
              <w:pStyle w:val="Tabletext"/>
              <w:keepNext/>
              <w:keepLines/>
              <w:jc w:val="right"/>
            </w:pPr>
            <w:r w:rsidRPr="00300277">
              <w:t>14 000</w:t>
            </w:r>
          </w:p>
        </w:tc>
        <w:tc>
          <w:tcPr>
            <w:tcW w:w="1688" w:type="dxa"/>
            <w:shd w:val="clear" w:color="auto" w:fill="auto"/>
            <w:vAlign w:val="center"/>
          </w:tcPr>
          <w:p w:rsidR="003A540F" w:rsidRPr="00300277" w:rsidRDefault="003A540F" w:rsidP="002B2A12">
            <w:pPr>
              <w:pStyle w:val="Tabletext"/>
              <w:keepNext/>
              <w:keepLines/>
              <w:jc w:val="right"/>
            </w:pPr>
            <w:r w:rsidRPr="00300277">
              <w:t>997</w:t>
            </w:r>
          </w:p>
        </w:tc>
        <w:tc>
          <w:tcPr>
            <w:tcW w:w="1147" w:type="dxa"/>
            <w:shd w:val="clear" w:color="auto" w:fill="auto"/>
            <w:vAlign w:val="center"/>
          </w:tcPr>
          <w:p w:rsidR="003A540F" w:rsidRPr="00300277" w:rsidRDefault="003A540F" w:rsidP="002B2A12">
            <w:pPr>
              <w:pStyle w:val="Tabletext"/>
              <w:keepNext/>
              <w:keepLines/>
              <w:jc w:val="right"/>
            </w:pPr>
            <w:r w:rsidRPr="00300277">
              <w:t>14 000</w:t>
            </w:r>
          </w:p>
        </w:tc>
        <w:tc>
          <w:tcPr>
            <w:tcW w:w="1134" w:type="dxa"/>
            <w:shd w:val="clear" w:color="auto" w:fill="auto"/>
            <w:vAlign w:val="center"/>
          </w:tcPr>
          <w:p w:rsidR="003A540F" w:rsidRPr="00300277" w:rsidRDefault="003A540F" w:rsidP="002B2A12">
            <w:pPr>
              <w:pStyle w:val="Tabletext"/>
              <w:keepNext/>
              <w:keepLines/>
              <w:jc w:val="right"/>
            </w:pPr>
            <w:r w:rsidRPr="00300277">
              <w:t>0</w:t>
            </w:r>
          </w:p>
        </w:tc>
        <w:tc>
          <w:tcPr>
            <w:tcW w:w="1129" w:type="dxa"/>
            <w:shd w:val="clear" w:color="auto" w:fill="auto"/>
            <w:vAlign w:val="center"/>
          </w:tcPr>
          <w:p w:rsidR="003A540F" w:rsidRPr="00300277" w:rsidRDefault="003A540F" w:rsidP="002B2A12">
            <w:pPr>
              <w:pStyle w:val="Tabletext"/>
              <w:keepNext/>
              <w:keepLines/>
              <w:jc w:val="right"/>
            </w:pPr>
            <w:r w:rsidRPr="00300277">
              <w:t>0%</w:t>
            </w:r>
          </w:p>
        </w:tc>
      </w:tr>
      <w:tr w:rsidR="003A540F" w:rsidRPr="00300277" w:rsidTr="003A540F">
        <w:tc>
          <w:tcPr>
            <w:tcW w:w="3397" w:type="dxa"/>
            <w:shd w:val="clear" w:color="auto" w:fill="DBE5F1" w:themeFill="accent1" w:themeFillTint="33"/>
            <w:vAlign w:val="center"/>
          </w:tcPr>
          <w:p w:rsidR="003A540F" w:rsidRPr="00300277" w:rsidRDefault="003A540F" w:rsidP="002B2A12">
            <w:pPr>
              <w:pStyle w:val="Tabletext"/>
              <w:keepNext/>
              <w:keepLines/>
            </w:pPr>
            <w:r w:rsidRPr="00300277">
              <w:t>6</w:t>
            </w:r>
            <w:r w:rsidRPr="00300277">
              <w:tab/>
              <w:t>Autres</w:t>
            </w:r>
          </w:p>
        </w:tc>
        <w:tc>
          <w:tcPr>
            <w:tcW w:w="1134" w:type="dxa"/>
            <w:shd w:val="clear" w:color="auto" w:fill="auto"/>
            <w:vAlign w:val="center"/>
          </w:tcPr>
          <w:p w:rsidR="003A540F" w:rsidRPr="00300277" w:rsidRDefault="003A540F" w:rsidP="002B2A12">
            <w:pPr>
              <w:pStyle w:val="Tabletext"/>
              <w:keepNext/>
              <w:keepLines/>
              <w:jc w:val="right"/>
            </w:pPr>
            <w:r w:rsidRPr="00300277">
              <w:t>0</w:t>
            </w:r>
          </w:p>
        </w:tc>
        <w:tc>
          <w:tcPr>
            <w:tcW w:w="1688" w:type="dxa"/>
            <w:shd w:val="clear" w:color="auto" w:fill="auto"/>
            <w:vAlign w:val="center"/>
          </w:tcPr>
          <w:p w:rsidR="003A540F" w:rsidRPr="00300277" w:rsidRDefault="003A540F" w:rsidP="002B2A12">
            <w:pPr>
              <w:pStyle w:val="Tabletext"/>
              <w:keepNext/>
              <w:keepLines/>
              <w:jc w:val="right"/>
            </w:pPr>
            <w:r w:rsidRPr="00300277">
              <w:t>0</w:t>
            </w:r>
          </w:p>
        </w:tc>
        <w:tc>
          <w:tcPr>
            <w:tcW w:w="1147" w:type="dxa"/>
            <w:shd w:val="clear" w:color="auto" w:fill="auto"/>
            <w:vAlign w:val="center"/>
          </w:tcPr>
          <w:p w:rsidR="003A540F" w:rsidRPr="00300277" w:rsidRDefault="003A540F" w:rsidP="002B2A12">
            <w:pPr>
              <w:pStyle w:val="Tabletext"/>
              <w:keepNext/>
              <w:keepLines/>
              <w:jc w:val="right"/>
            </w:pPr>
            <w:r w:rsidRPr="00300277">
              <w:t>0</w:t>
            </w:r>
          </w:p>
        </w:tc>
        <w:tc>
          <w:tcPr>
            <w:tcW w:w="1134" w:type="dxa"/>
            <w:shd w:val="clear" w:color="auto" w:fill="auto"/>
            <w:vAlign w:val="center"/>
          </w:tcPr>
          <w:p w:rsidR="003A540F" w:rsidRPr="00300277" w:rsidRDefault="003A540F" w:rsidP="002B2A12">
            <w:pPr>
              <w:pStyle w:val="Tabletext"/>
              <w:keepNext/>
              <w:keepLines/>
              <w:jc w:val="right"/>
            </w:pPr>
            <w:r w:rsidRPr="00300277">
              <w:t>0</w:t>
            </w:r>
          </w:p>
        </w:tc>
        <w:tc>
          <w:tcPr>
            <w:tcW w:w="1129" w:type="dxa"/>
            <w:shd w:val="clear" w:color="auto" w:fill="auto"/>
            <w:vAlign w:val="center"/>
          </w:tcPr>
          <w:p w:rsidR="003A540F" w:rsidRPr="00300277" w:rsidRDefault="003A540F" w:rsidP="002B2A12">
            <w:pPr>
              <w:pStyle w:val="Tabletext"/>
              <w:keepNext/>
              <w:keepLines/>
              <w:jc w:val="right"/>
            </w:pPr>
            <w:r w:rsidRPr="00300277">
              <w:t>100%</w:t>
            </w:r>
          </w:p>
        </w:tc>
      </w:tr>
      <w:tr w:rsidR="003A540F" w:rsidRPr="00300277" w:rsidTr="00DF05B3">
        <w:tc>
          <w:tcPr>
            <w:tcW w:w="3397" w:type="dxa"/>
            <w:shd w:val="clear" w:color="auto" w:fill="DBE5F1" w:themeFill="accent1" w:themeFillTint="33"/>
            <w:vAlign w:val="center"/>
          </w:tcPr>
          <w:p w:rsidR="003A540F" w:rsidRPr="00300277" w:rsidRDefault="003A540F" w:rsidP="002B2A12">
            <w:pPr>
              <w:pStyle w:val="Tabletext"/>
              <w:keepNext/>
              <w:keepLines/>
              <w:rPr>
                <w:b/>
                <w:bCs/>
              </w:rPr>
            </w:pPr>
            <w:r w:rsidRPr="00300277">
              <w:rPr>
                <w:b/>
                <w:bCs/>
              </w:rPr>
              <w:t>Total</w:t>
            </w:r>
          </w:p>
        </w:tc>
        <w:tc>
          <w:tcPr>
            <w:tcW w:w="1134" w:type="dxa"/>
            <w:shd w:val="clear" w:color="auto" w:fill="DBE5F1" w:themeFill="accent1" w:themeFillTint="33"/>
            <w:vAlign w:val="center"/>
          </w:tcPr>
          <w:p w:rsidR="003A540F" w:rsidRPr="00300277" w:rsidRDefault="003A540F" w:rsidP="002B2A12">
            <w:pPr>
              <w:pStyle w:val="Tabletext"/>
              <w:keepNext/>
              <w:keepLines/>
              <w:jc w:val="right"/>
              <w:rPr>
                <w:b/>
                <w:bCs/>
              </w:rPr>
            </w:pPr>
            <w:r w:rsidRPr="00300277">
              <w:rPr>
                <w:b/>
                <w:bCs/>
              </w:rPr>
              <w:t>36 375</w:t>
            </w:r>
          </w:p>
        </w:tc>
        <w:tc>
          <w:tcPr>
            <w:tcW w:w="1688" w:type="dxa"/>
            <w:shd w:val="clear" w:color="auto" w:fill="DBE5F1" w:themeFill="accent1" w:themeFillTint="33"/>
            <w:vAlign w:val="center"/>
          </w:tcPr>
          <w:p w:rsidR="003A540F" w:rsidRPr="00300277" w:rsidRDefault="003A540F" w:rsidP="002B2A12">
            <w:pPr>
              <w:pStyle w:val="Tabletext"/>
              <w:keepNext/>
              <w:keepLines/>
              <w:jc w:val="right"/>
              <w:rPr>
                <w:b/>
                <w:bCs/>
              </w:rPr>
            </w:pPr>
            <w:r w:rsidRPr="00300277">
              <w:rPr>
                <w:b/>
                <w:bCs/>
              </w:rPr>
              <w:t>2 524</w:t>
            </w:r>
          </w:p>
        </w:tc>
        <w:tc>
          <w:tcPr>
            <w:tcW w:w="1147" w:type="dxa"/>
            <w:shd w:val="clear" w:color="auto" w:fill="DBE5F1" w:themeFill="accent1" w:themeFillTint="33"/>
            <w:vAlign w:val="center"/>
          </w:tcPr>
          <w:p w:rsidR="003A540F" w:rsidRPr="00300277" w:rsidRDefault="003A540F" w:rsidP="002B2A12">
            <w:pPr>
              <w:pStyle w:val="Tabletext"/>
              <w:keepNext/>
              <w:keepLines/>
              <w:jc w:val="right"/>
              <w:rPr>
                <w:b/>
                <w:bCs/>
              </w:rPr>
            </w:pPr>
            <w:r w:rsidRPr="00300277">
              <w:rPr>
                <w:b/>
                <w:bCs/>
              </w:rPr>
              <w:t>36 050</w:t>
            </w:r>
          </w:p>
        </w:tc>
        <w:tc>
          <w:tcPr>
            <w:tcW w:w="1134" w:type="dxa"/>
            <w:shd w:val="clear" w:color="auto" w:fill="DBE5F1" w:themeFill="accent1" w:themeFillTint="33"/>
            <w:vAlign w:val="center"/>
          </w:tcPr>
          <w:p w:rsidR="003A540F" w:rsidRPr="00300277" w:rsidRDefault="003A540F" w:rsidP="002B2A12">
            <w:pPr>
              <w:pStyle w:val="Tabletext"/>
              <w:keepNext/>
              <w:keepLines/>
              <w:jc w:val="right"/>
              <w:rPr>
                <w:b/>
                <w:bCs/>
              </w:rPr>
            </w:pPr>
            <w:r w:rsidRPr="00300277">
              <w:rPr>
                <w:b/>
                <w:bCs/>
              </w:rPr>
              <w:t>–325</w:t>
            </w:r>
          </w:p>
        </w:tc>
        <w:tc>
          <w:tcPr>
            <w:tcW w:w="1129" w:type="dxa"/>
            <w:shd w:val="clear" w:color="auto" w:fill="DBE5F1" w:themeFill="accent1" w:themeFillTint="33"/>
            <w:vAlign w:val="center"/>
          </w:tcPr>
          <w:p w:rsidR="003A540F" w:rsidRPr="00300277" w:rsidRDefault="003A540F" w:rsidP="002B2A12">
            <w:pPr>
              <w:pStyle w:val="Tabletext"/>
              <w:keepNext/>
              <w:keepLines/>
              <w:jc w:val="right"/>
              <w:rPr>
                <w:b/>
                <w:bCs/>
              </w:rPr>
            </w:pPr>
            <w:r w:rsidRPr="00300277">
              <w:rPr>
                <w:b/>
                <w:bCs/>
              </w:rPr>
              <w:t>–0,9%</w:t>
            </w:r>
          </w:p>
        </w:tc>
      </w:tr>
    </w:tbl>
    <w:p w:rsidR="000F3C11" w:rsidRPr="00300277" w:rsidRDefault="000F3C11" w:rsidP="00627F5F">
      <w:pPr>
        <w:pStyle w:val="Heading1"/>
      </w:pPr>
      <w:r w:rsidRPr="00300277">
        <w:t>4</w:t>
      </w:r>
      <w:r w:rsidRPr="00300277">
        <w:tab/>
        <w:t>Charges</w:t>
      </w:r>
    </w:p>
    <w:p w:rsidR="000F3C11" w:rsidRPr="00300277" w:rsidRDefault="000F3C11" w:rsidP="002B2A12">
      <w:r w:rsidRPr="00300277">
        <w:t>4.1</w:t>
      </w:r>
      <w:r w:rsidRPr="00300277">
        <w:tab/>
        <w:t>S'agissant des charges, l'UIT prend en permanence des mesures d'efficacité et déploie constamment des efforts pour se conformer aux dispositions de la Résolution 13</w:t>
      </w:r>
      <w:r w:rsidR="002B6D4E" w:rsidRPr="00300277">
        <w:t>87</w:t>
      </w:r>
      <w:r w:rsidRPr="00300277">
        <w:t>. L'objectif est de maintenir les charges dans les limites du budget</w:t>
      </w:r>
      <w:r w:rsidR="002B6D4E" w:rsidRPr="00300277">
        <w:rPr>
          <w:color w:val="000000"/>
        </w:rPr>
        <w:t xml:space="preserve"> à la fin de l'exercice</w:t>
      </w:r>
      <w:r w:rsidR="00627F5F" w:rsidRPr="00300277">
        <w:rPr>
          <w:color w:val="000000"/>
        </w:rPr>
        <w:t xml:space="preserve"> </w:t>
      </w:r>
      <w:r w:rsidR="002B6D4E" w:rsidRPr="00300277">
        <w:rPr>
          <w:szCs w:val="24"/>
        </w:rPr>
        <w:t xml:space="preserve">2018. La mise en </w:t>
      </w:r>
      <w:r w:rsidR="00627F5F" w:rsidRPr="00300277">
        <w:rPr>
          <w:szCs w:val="24"/>
        </w:rPr>
        <w:t>oe</w:t>
      </w:r>
      <w:r w:rsidR="002B6D4E" w:rsidRPr="00300277">
        <w:rPr>
          <w:szCs w:val="24"/>
        </w:rPr>
        <w:t>uvre de la décision de la CFPI visant à réduire</w:t>
      </w:r>
      <w:r w:rsidR="00627F5F" w:rsidRPr="00300277">
        <w:rPr>
          <w:szCs w:val="24"/>
        </w:rPr>
        <w:t xml:space="preserve"> </w:t>
      </w:r>
      <w:r w:rsidR="002B6D4E" w:rsidRPr="00300277">
        <w:rPr>
          <w:color w:val="000000"/>
        </w:rPr>
        <w:t>les indemnités de poste des catégories professionnelle et supérieure pour les fonctionnaires</w:t>
      </w:r>
      <w:r w:rsidR="002B6D4E" w:rsidRPr="00300277">
        <w:t xml:space="preserve"> </w:t>
      </w:r>
      <w:r w:rsidR="002B6D4E" w:rsidRPr="00300277">
        <w:rPr>
          <w:color w:val="000000"/>
        </w:rPr>
        <w:t>en poste à Genève</w:t>
      </w:r>
      <w:r w:rsidR="002B6D4E" w:rsidRPr="00300277">
        <w:rPr>
          <w:szCs w:val="24"/>
        </w:rPr>
        <w:t xml:space="preserve"> permettra de réaliser des économies estimées à environ</w:t>
      </w:r>
      <w:r w:rsidR="00627F5F" w:rsidRPr="00300277">
        <w:rPr>
          <w:szCs w:val="24"/>
        </w:rPr>
        <w:t xml:space="preserve"> </w:t>
      </w:r>
      <w:r w:rsidR="002B6D4E" w:rsidRPr="00300277">
        <w:rPr>
          <w:szCs w:val="24"/>
        </w:rPr>
        <w:t xml:space="preserve">3 millions </w:t>
      </w:r>
      <w:r w:rsidR="002B2A12" w:rsidRPr="00300277">
        <w:rPr>
          <w:szCs w:val="24"/>
        </w:rPr>
        <w:t xml:space="preserve">CHF </w:t>
      </w:r>
      <w:r w:rsidR="002B6D4E" w:rsidRPr="00300277">
        <w:rPr>
          <w:szCs w:val="24"/>
        </w:rPr>
        <w:t>pour</w:t>
      </w:r>
      <w:r w:rsidR="00627F5F" w:rsidRPr="00300277">
        <w:rPr>
          <w:szCs w:val="24"/>
        </w:rPr>
        <w:t xml:space="preserve"> </w:t>
      </w:r>
      <w:r w:rsidR="002B6D4E" w:rsidRPr="00300277">
        <w:rPr>
          <w:szCs w:val="24"/>
        </w:rPr>
        <w:t>2018.</w:t>
      </w:r>
    </w:p>
    <w:p w:rsidR="000F3C11" w:rsidRPr="00300277" w:rsidRDefault="000F3C11" w:rsidP="00627F5F">
      <w:pPr>
        <w:pStyle w:val="Heading1"/>
        <w:rPr>
          <w:szCs w:val="24"/>
        </w:rPr>
      </w:pPr>
      <w:r w:rsidRPr="00300277">
        <w:rPr>
          <w:bCs/>
          <w:szCs w:val="24"/>
        </w:rPr>
        <w:t>5</w:t>
      </w:r>
      <w:r w:rsidRPr="00300277">
        <w:rPr>
          <w:bCs/>
          <w:szCs w:val="24"/>
        </w:rPr>
        <w:tab/>
      </w:r>
      <w:r w:rsidRPr="00300277">
        <w:t xml:space="preserve">Fonds de réserve </w:t>
      </w:r>
      <w:r w:rsidR="00A233E6" w:rsidRPr="00300277">
        <w:t>de l'UIT</w:t>
      </w:r>
    </w:p>
    <w:p w:rsidR="000F3C11" w:rsidRPr="00300277" w:rsidRDefault="000F3C11" w:rsidP="002124EF">
      <w:r w:rsidRPr="00300277">
        <w:rPr>
          <w:szCs w:val="24"/>
        </w:rPr>
        <w:t>5.1</w:t>
      </w:r>
      <w:r w:rsidRPr="00300277">
        <w:rPr>
          <w:szCs w:val="24"/>
        </w:rPr>
        <w:tab/>
      </w:r>
      <w:r w:rsidR="002B6D4E" w:rsidRPr="00300277">
        <w:t>U</w:t>
      </w:r>
      <w:r w:rsidRPr="00300277">
        <w:t>n montant de 1,</w:t>
      </w:r>
      <w:r w:rsidR="00DF05B3" w:rsidRPr="00300277">
        <w:t xml:space="preserve">15 </w:t>
      </w:r>
      <w:r w:rsidRPr="00300277">
        <w:t>million CHF</w:t>
      </w:r>
      <w:r w:rsidR="00DF05B3" w:rsidRPr="00300277">
        <w:t xml:space="preserve"> devait être versé au</w:t>
      </w:r>
      <w:r w:rsidR="00627F5F" w:rsidRPr="00300277">
        <w:t xml:space="preserve"> </w:t>
      </w:r>
      <w:r w:rsidRPr="00300277">
        <w:t>Fonds de réserve</w:t>
      </w:r>
      <w:r w:rsidR="00DF05B3" w:rsidRPr="00300277">
        <w:t xml:space="preserve"> pendant</w:t>
      </w:r>
      <w:r w:rsidR="00627F5F" w:rsidRPr="00300277">
        <w:t xml:space="preserve"> </w:t>
      </w:r>
      <w:r w:rsidR="002124EF" w:rsidRPr="00300277">
        <w:t>la période </w:t>
      </w:r>
      <w:r w:rsidR="00DF05B3" w:rsidRPr="00300277">
        <w:t>2018-2019 conformément à la Résolution 1387, étant donné que le même montant a été prélevé pour l</w:t>
      </w:r>
      <w:r w:rsidR="00627F5F" w:rsidRPr="00300277">
        <w:t>'</w:t>
      </w:r>
      <w:r w:rsidR="00DF05B3" w:rsidRPr="00300277">
        <w:t>exercice biennal</w:t>
      </w:r>
      <w:r w:rsidR="00627F5F" w:rsidRPr="00300277">
        <w:t xml:space="preserve"> </w:t>
      </w:r>
      <w:r w:rsidR="00DF05B3" w:rsidRPr="00300277">
        <w:rPr>
          <w:szCs w:val="24"/>
        </w:rPr>
        <w:t>2016-2017.</w:t>
      </w:r>
      <w:r w:rsidR="00627F5F" w:rsidRPr="00300277">
        <w:rPr>
          <w:szCs w:val="24"/>
        </w:rPr>
        <w:t xml:space="preserve"> </w:t>
      </w:r>
      <w:r w:rsidR="00DF05B3" w:rsidRPr="00300277">
        <w:rPr>
          <w:szCs w:val="24"/>
        </w:rPr>
        <w:t>En outre, la direction s</w:t>
      </w:r>
      <w:r w:rsidR="00627F5F" w:rsidRPr="00300277">
        <w:rPr>
          <w:szCs w:val="24"/>
        </w:rPr>
        <w:t>'</w:t>
      </w:r>
      <w:r w:rsidR="00DF05B3" w:rsidRPr="00300277">
        <w:rPr>
          <w:szCs w:val="24"/>
        </w:rPr>
        <w:t>est engagée à réaliser des économies</w:t>
      </w:r>
      <w:r w:rsidR="00DF05B3" w:rsidRPr="00300277">
        <w:rPr>
          <w:color w:val="000000"/>
        </w:rPr>
        <w:t xml:space="preserve"> d</w:t>
      </w:r>
      <w:r w:rsidR="00627F5F" w:rsidRPr="00300277">
        <w:rPr>
          <w:color w:val="000000"/>
        </w:rPr>
        <w:t>'</w:t>
      </w:r>
      <w:r w:rsidR="00DF05B3" w:rsidRPr="00300277">
        <w:rPr>
          <w:color w:val="000000"/>
        </w:rPr>
        <w:t>un montant de</w:t>
      </w:r>
      <w:r w:rsidR="00DF05B3" w:rsidRPr="00300277">
        <w:rPr>
          <w:szCs w:val="24"/>
        </w:rPr>
        <w:t xml:space="preserve"> 0</w:t>
      </w:r>
      <w:r w:rsidR="002124EF" w:rsidRPr="00300277">
        <w:rPr>
          <w:szCs w:val="24"/>
        </w:rPr>
        <w:t>,</w:t>
      </w:r>
      <w:r w:rsidR="00DF05B3" w:rsidRPr="00300277">
        <w:rPr>
          <w:szCs w:val="24"/>
        </w:rPr>
        <w:t>946 million</w:t>
      </w:r>
      <w:r w:rsidR="00DF05B3" w:rsidRPr="00300277">
        <w:rPr>
          <w:color w:val="000000"/>
        </w:rPr>
        <w:t xml:space="preserve"> </w:t>
      </w:r>
      <w:r w:rsidR="002124EF" w:rsidRPr="00300277">
        <w:rPr>
          <w:szCs w:val="24"/>
        </w:rPr>
        <w:t>CHF</w:t>
      </w:r>
      <w:r w:rsidR="002124EF" w:rsidRPr="00300277">
        <w:rPr>
          <w:color w:val="000000"/>
        </w:rPr>
        <w:t xml:space="preserve"> </w:t>
      </w:r>
      <w:r w:rsidR="00DF05B3" w:rsidRPr="00300277">
        <w:rPr>
          <w:color w:val="000000"/>
        </w:rPr>
        <w:t xml:space="preserve">dans le cadre de la mise en oeuvre du budget, </w:t>
      </w:r>
      <w:r w:rsidR="00DF05B3" w:rsidRPr="00300277">
        <w:t xml:space="preserve">afin d'équilibrer le budget </w:t>
      </w:r>
      <w:r w:rsidR="002124EF" w:rsidRPr="00300277">
        <w:t xml:space="preserve">pour </w:t>
      </w:r>
      <w:r w:rsidR="00DF05B3" w:rsidRPr="00300277">
        <w:rPr>
          <w:szCs w:val="24"/>
        </w:rPr>
        <w:t>2018</w:t>
      </w:r>
      <w:r w:rsidR="002124EF" w:rsidRPr="00300277">
        <w:rPr>
          <w:szCs w:val="24"/>
        </w:rPr>
        <w:t>.</w:t>
      </w:r>
    </w:p>
    <w:p w:rsidR="00431A7A" w:rsidRPr="00300277" w:rsidRDefault="00431A7A" w:rsidP="00627F5F">
      <w:r w:rsidRPr="00300277">
        <w:t>5.2</w:t>
      </w:r>
      <w:r w:rsidRPr="00300277">
        <w:tab/>
      </w:r>
      <w:r w:rsidR="00DF05B3" w:rsidRPr="00300277">
        <w:t>Le montant effectif du versement/prélèvement sur le Fonds de réserve sera déterminé à la clôture des comptes à la fin de l'année</w:t>
      </w:r>
      <w:r w:rsidR="00627F5F" w:rsidRPr="00300277">
        <w:t xml:space="preserve"> </w:t>
      </w:r>
      <w:r w:rsidRPr="00300277">
        <w:t>2018</w:t>
      </w:r>
      <w:r w:rsidR="002124EF" w:rsidRPr="00300277">
        <w:t>.</w:t>
      </w:r>
    </w:p>
    <w:p w:rsidR="000F3C11" w:rsidRPr="00300277" w:rsidRDefault="00DF05B3" w:rsidP="002124EF">
      <w:r w:rsidRPr="00300277">
        <w:rPr>
          <w:szCs w:val="24"/>
        </w:rPr>
        <w:t>5.3</w:t>
      </w:r>
      <w:r w:rsidRPr="00300277">
        <w:rPr>
          <w:szCs w:val="24"/>
        </w:rPr>
        <w:tab/>
      </w:r>
      <w:r w:rsidRPr="00300277">
        <w:t>En outre, le Conseil a chargé le Secrétaire général de prélever un montant de 1,0 million CHF sur le Fonds de réserve au 1er janvier 2018 et de le transférer au Fonds ASHI pour régler les engagements à long terme non financés.</w:t>
      </w:r>
    </w:p>
    <w:p w:rsidR="000F3C11" w:rsidRPr="00300277" w:rsidRDefault="00431A7A" w:rsidP="00D61673">
      <w:pPr>
        <w:pStyle w:val="Heading1"/>
      </w:pPr>
      <w:r w:rsidRPr="00300277">
        <w:t>6</w:t>
      </w:r>
      <w:r w:rsidRPr="00300277">
        <w:tab/>
      </w:r>
      <w:r w:rsidR="00DF05B3" w:rsidRPr="00300277">
        <w:t>Budget axé sur les résultats</w:t>
      </w:r>
      <w:r w:rsidR="00627F5F" w:rsidRPr="00300277">
        <w:t xml:space="preserve"> </w:t>
      </w:r>
    </w:p>
    <w:p w:rsidR="00431A7A" w:rsidRPr="00300277" w:rsidRDefault="00431A7A" w:rsidP="00D61673">
      <w:pPr>
        <w:keepNext/>
        <w:keepLines/>
        <w:rPr>
          <w:szCs w:val="24"/>
        </w:rPr>
      </w:pPr>
      <w:r w:rsidRPr="00300277">
        <w:rPr>
          <w:szCs w:val="24"/>
        </w:rPr>
        <w:t>6.1</w:t>
      </w:r>
      <w:r w:rsidRPr="00300277">
        <w:rPr>
          <w:szCs w:val="24"/>
        </w:rPr>
        <w:tab/>
      </w:r>
      <w:r w:rsidR="00DF05B3" w:rsidRPr="00300277">
        <w:t>Le Tableau 4 ci-dessous présente les charges au 31 janvier 2018</w:t>
      </w:r>
      <w:r w:rsidR="00627F5F" w:rsidRPr="00300277">
        <w:t xml:space="preserve"> </w:t>
      </w:r>
      <w:r w:rsidR="00DF05B3" w:rsidRPr="00300277">
        <w:t xml:space="preserve">pour les quatre buts stratégiques figurant dans le Plan stratégique de l'Union pour la période </w:t>
      </w:r>
      <w:r w:rsidR="00DF05B3" w:rsidRPr="00300277">
        <w:rPr>
          <w:szCs w:val="24"/>
        </w:rPr>
        <w:t>2016-2019</w:t>
      </w:r>
      <w:r w:rsidR="00DF05B3" w:rsidRPr="00300277">
        <w:t xml:space="preserve">, comme indiqué dans la Résolution 71 (Rév. </w:t>
      </w:r>
      <w:r w:rsidR="00DF05B3" w:rsidRPr="00300277">
        <w:rPr>
          <w:szCs w:val="24"/>
        </w:rPr>
        <w:t>Busan, 2014) de la Conférence de plénipotentiaires</w:t>
      </w:r>
      <w:r w:rsidR="00627F5F" w:rsidRPr="00300277">
        <w:rPr>
          <w:szCs w:val="24"/>
        </w:rPr>
        <w:t>.</w:t>
      </w:r>
      <w:r w:rsidR="00DF05B3" w:rsidRPr="00300277">
        <w:t xml:space="preserve"> Aucun écart important n'est à noter</w:t>
      </w:r>
      <w:r w:rsidR="00DF05B3" w:rsidRPr="00300277">
        <w:rPr>
          <w:color w:val="000000"/>
        </w:rPr>
        <w:t xml:space="preserve"> aussi tôt</w:t>
      </w:r>
      <w:r w:rsidR="00DF05B3" w:rsidRPr="00300277">
        <w:t xml:space="preserve"> </w:t>
      </w:r>
      <w:r w:rsidR="005B0E8E" w:rsidRPr="00300277">
        <w:t>dans</w:t>
      </w:r>
      <w:r w:rsidR="00DF05B3" w:rsidRPr="00300277">
        <w:t xml:space="preserve"> l'année.</w:t>
      </w:r>
      <w:r w:rsidR="00627F5F" w:rsidRPr="00300277">
        <w:t xml:space="preserve"> </w:t>
      </w:r>
    </w:p>
    <w:p w:rsidR="00431A7A" w:rsidRPr="00300277" w:rsidRDefault="00431A7A" w:rsidP="00627F5F">
      <w:pPr>
        <w:pStyle w:val="Tabletitle"/>
        <w:spacing w:before="240"/>
      </w:pPr>
      <w:r w:rsidRPr="00300277">
        <w:t xml:space="preserve">Tableau 4 ‒ </w:t>
      </w:r>
      <w:r w:rsidR="005B0E8E" w:rsidRPr="00300277">
        <w:t>Coût des buts stratégiques de l'UIT</w:t>
      </w:r>
      <w:r w:rsidR="00627F5F" w:rsidRPr="00300277">
        <w:t xml:space="preserve"> </w:t>
      </w:r>
      <w:r w:rsidRPr="00300277">
        <w:t>au 31 janvier 2018</w:t>
      </w:r>
    </w:p>
    <w:p w:rsidR="00431A7A" w:rsidRPr="00300277" w:rsidRDefault="00431A7A" w:rsidP="00627F5F">
      <w:pPr>
        <w:jc w:val="right"/>
        <w:rPr>
          <w:i/>
          <w:iCs/>
          <w:lang w:eastAsia="zh-CN"/>
        </w:rPr>
      </w:pPr>
      <w:r w:rsidRPr="00300277">
        <w:rPr>
          <w:i/>
          <w:iCs/>
          <w:lang w:eastAsia="zh-CN"/>
        </w:rPr>
        <w:t>En milliers CHF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6"/>
        <w:gridCol w:w="1678"/>
        <w:gridCol w:w="2268"/>
        <w:gridCol w:w="1832"/>
      </w:tblGrid>
      <w:tr w:rsidR="00431A7A" w:rsidRPr="00300277" w:rsidTr="0090198C">
        <w:tc>
          <w:tcPr>
            <w:tcW w:w="3851" w:type="dxa"/>
            <w:gridSpan w:val="2"/>
            <w:tcBorders>
              <w:top w:val="single" w:sz="4" w:space="0" w:color="auto"/>
              <w:bottom w:val="single" w:sz="4" w:space="0" w:color="auto"/>
            </w:tcBorders>
            <w:shd w:val="clear" w:color="auto" w:fill="DBE5F1" w:themeFill="accent1" w:themeFillTint="33"/>
          </w:tcPr>
          <w:p w:rsidR="00431A7A" w:rsidRPr="00300277" w:rsidRDefault="00431A7A" w:rsidP="00627F5F">
            <w:pPr>
              <w:pStyle w:val="Tablehead"/>
            </w:pPr>
            <w:r w:rsidRPr="00300277">
              <w:t xml:space="preserve">Mise en </w:t>
            </w:r>
            <w:proofErr w:type="spellStart"/>
            <w:r w:rsidRPr="00300277">
              <w:t>oeuvre</w:t>
            </w:r>
            <w:proofErr w:type="spellEnd"/>
            <w:r w:rsidRPr="00300277">
              <w:t xml:space="preserve"> du </w:t>
            </w:r>
            <w:r w:rsidR="005B0E8E" w:rsidRPr="00300277">
              <w:t>b</w:t>
            </w:r>
            <w:r w:rsidRPr="00300277">
              <w:t>udget de l'UIT</w:t>
            </w:r>
          </w:p>
        </w:tc>
        <w:tc>
          <w:tcPr>
            <w:tcW w:w="1678" w:type="dxa"/>
            <w:tcBorders>
              <w:top w:val="single" w:sz="4" w:space="0" w:color="auto"/>
              <w:bottom w:val="single" w:sz="4" w:space="0" w:color="auto"/>
            </w:tcBorders>
            <w:shd w:val="clear" w:color="auto" w:fill="DBE5F1" w:themeFill="accent1" w:themeFillTint="33"/>
          </w:tcPr>
          <w:p w:rsidR="00431A7A" w:rsidRPr="00300277" w:rsidRDefault="00431A7A" w:rsidP="00627F5F">
            <w:pPr>
              <w:pStyle w:val="Tablehead"/>
            </w:pPr>
            <w:r w:rsidRPr="00300277">
              <w:t>Budget 2018</w:t>
            </w:r>
          </w:p>
        </w:tc>
        <w:tc>
          <w:tcPr>
            <w:tcW w:w="2268" w:type="dxa"/>
            <w:tcBorders>
              <w:top w:val="single" w:sz="4" w:space="0" w:color="auto"/>
              <w:bottom w:val="single" w:sz="4" w:space="0" w:color="auto"/>
            </w:tcBorders>
            <w:shd w:val="clear" w:color="auto" w:fill="DBE5F1" w:themeFill="accent1" w:themeFillTint="33"/>
          </w:tcPr>
          <w:p w:rsidR="00431A7A" w:rsidRPr="00300277" w:rsidRDefault="00431A7A" w:rsidP="0090198C">
            <w:pPr>
              <w:pStyle w:val="Tablehead"/>
            </w:pPr>
            <w:r w:rsidRPr="00300277">
              <w:t xml:space="preserve">Montants effectifs </w:t>
            </w:r>
            <w:r w:rsidR="0090198C">
              <w:br/>
            </w:r>
            <w:r w:rsidRPr="00300277">
              <w:t>au 31 janvier 2018</w:t>
            </w:r>
          </w:p>
        </w:tc>
        <w:tc>
          <w:tcPr>
            <w:tcW w:w="1832" w:type="dxa"/>
            <w:tcBorders>
              <w:top w:val="single" w:sz="4" w:space="0" w:color="auto"/>
              <w:bottom w:val="single" w:sz="4" w:space="0" w:color="auto"/>
            </w:tcBorders>
            <w:shd w:val="clear" w:color="auto" w:fill="DBE5F1" w:themeFill="accent1" w:themeFillTint="33"/>
          </w:tcPr>
          <w:p w:rsidR="00431A7A" w:rsidRPr="00300277" w:rsidRDefault="00431A7A" w:rsidP="00627F5F">
            <w:pPr>
              <w:pStyle w:val="Tablehead"/>
            </w:pPr>
            <w:r w:rsidRPr="00300277">
              <w:t>Ecart</w:t>
            </w:r>
          </w:p>
        </w:tc>
      </w:tr>
      <w:tr w:rsidR="00431A7A" w:rsidRPr="00300277" w:rsidTr="0090198C">
        <w:tc>
          <w:tcPr>
            <w:tcW w:w="1925" w:type="dxa"/>
            <w:tcBorders>
              <w:top w:val="single" w:sz="4" w:space="0" w:color="auto"/>
            </w:tcBorders>
            <w:vAlign w:val="center"/>
          </w:tcPr>
          <w:p w:rsidR="00431A7A" w:rsidRPr="00300277" w:rsidRDefault="00431A7A" w:rsidP="00627F5F">
            <w:pPr>
              <w:pStyle w:val="Tabletext"/>
            </w:pPr>
            <w:r w:rsidRPr="00300277">
              <w:t>But 1</w:t>
            </w:r>
          </w:p>
        </w:tc>
        <w:tc>
          <w:tcPr>
            <w:tcW w:w="1926" w:type="dxa"/>
            <w:tcBorders>
              <w:top w:val="single" w:sz="4" w:space="0" w:color="auto"/>
            </w:tcBorders>
            <w:vAlign w:val="center"/>
          </w:tcPr>
          <w:p w:rsidR="00431A7A" w:rsidRPr="00300277" w:rsidRDefault="00431A7A" w:rsidP="00627F5F">
            <w:pPr>
              <w:pStyle w:val="Tabletext"/>
            </w:pPr>
            <w:r w:rsidRPr="00300277">
              <w:t>Croissance</w:t>
            </w:r>
          </w:p>
        </w:tc>
        <w:tc>
          <w:tcPr>
            <w:tcW w:w="1678" w:type="dxa"/>
            <w:tcBorders>
              <w:top w:val="single" w:sz="4" w:space="0" w:color="auto"/>
            </w:tcBorders>
            <w:vAlign w:val="center"/>
          </w:tcPr>
          <w:p w:rsidR="00431A7A" w:rsidRPr="00300277" w:rsidRDefault="00431A7A" w:rsidP="00627F5F">
            <w:pPr>
              <w:pStyle w:val="Tabletext"/>
              <w:jc w:val="right"/>
            </w:pPr>
            <w:r w:rsidRPr="00300277">
              <w:t>54 942</w:t>
            </w:r>
          </w:p>
        </w:tc>
        <w:tc>
          <w:tcPr>
            <w:tcW w:w="2268" w:type="dxa"/>
            <w:tcBorders>
              <w:top w:val="single" w:sz="4" w:space="0" w:color="auto"/>
            </w:tcBorders>
            <w:vAlign w:val="center"/>
          </w:tcPr>
          <w:p w:rsidR="00431A7A" w:rsidRPr="00300277" w:rsidRDefault="00431A7A" w:rsidP="00627F5F">
            <w:pPr>
              <w:pStyle w:val="Tabletext"/>
              <w:jc w:val="right"/>
            </w:pPr>
            <w:r w:rsidRPr="00300277">
              <w:t>3 335</w:t>
            </w:r>
          </w:p>
        </w:tc>
        <w:tc>
          <w:tcPr>
            <w:tcW w:w="1832" w:type="dxa"/>
            <w:tcBorders>
              <w:top w:val="single" w:sz="4" w:space="0" w:color="auto"/>
            </w:tcBorders>
            <w:vAlign w:val="center"/>
          </w:tcPr>
          <w:p w:rsidR="00431A7A" w:rsidRPr="00300277" w:rsidRDefault="00431A7A" w:rsidP="00627F5F">
            <w:pPr>
              <w:pStyle w:val="Tabletext"/>
              <w:jc w:val="right"/>
            </w:pPr>
            <w:r w:rsidRPr="00300277">
              <w:t>50 776</w:t>
            </w:r>
          </w:p>
        </w:tc>
      </w:tr>
      <w:tr w:rsidR="00431A7A" w:rsidRPr="00300277" w:rsidTr="0090198C">
        <w:tc>
          <w:tcPr>
            <w:tcW w:w="1925" w:type="dxa"/>
            <w:vAlign w:val="center"/>
          </w:tcPr>
          <w:p w:rsidR="00431A7A" w:rsidRPr="00300277" w:rsidRDefault="00431A7A" w:rsidP="00627F5F">
            <w:pPr>
              <w:pStyle w:val="Tabletext"/>
            </w:pPr>
            <w:r w:rsidRPr="00300277">
              <w:t>But 2</w:t>
            </w:r>
          </w:p>
        </w:tc>
        <w:tc>
          <w:tcPr>
            <w:tcW w:w="1926" w:type="dxa"/>
            <w:vAlign w:val="center"/>
          </w:tcPr>
          <w:p w:rsidR="00431A7A" w:rsidRPr="00300277" w:rsidRDefault="00431A7A" w:rsidP="00627F5F">
            <w:pPr>
              <w:pStyle w:val="Tabletext"/>
            </w:pPr>
            <w:r w:rsidRPr="00300277">
              <w:t>Inclusion</w:t>
            </w:r>
          </w:p>
        </w:tc>
        <w:tc>
          <w:tcPr>
            <w:tcW w:w="1678" w:type="dxa"/>
            <w:vAlign w:val="center"/>
          </w:tcPr>
          <w:p w:rsidR="00431A7A" w:rsidRPr="00300277" w:rsidRDefault="00431A7A" w:rsidP="00627F5F">
            <w:pPr>
              <w:pStyle w:val="Tabletext"/>
              <w:jc w:val="right"/>
            </w:pPr>
            <w:r w:rsidRPr="00300277">
              <w:t>74 594</w:t>
            </w:r>
          </w:p>
        </w:tc>
        <w:tc>
          <w:tcPr>
            <w:tcW w:w="2268" w:type="dxa"/>
            <w:vAlign w:val="center"/>
          </w:tcPr>
          <w:p w:rsidR="00431A7A" w:rsidRPr="00300277" w:rsidRDefault="00431A7A" w:rsidP="00627F5F">
            <w:pPr>
              <w:pStyle w:val="Tabletext"/>
              <w:jc w:val="right"/>
            </w:pPr>
            <w:r w:rsidRPr="00300277">
              <w:t>4 528</w:t>
            </w:r>
          </w:p>
        </w:tc>
        <w:tc>
          <w:tcPr>
            <w:tcW w:w="1832" w:type="dxa"/>
            <w:vAlign w:val="center"/>
          </w:tcPr>
          <w:p w:rsidR="00431A7A" w:rsidRPr="00300277" w:rsidRDefault="00431A7A" w:rsidP="00627F5F">
            <w:pPr>
              <w:pStyle w:val="Tabletext"/>
              <w:jc w:val="right"/>
            </w:pPr>
            <w:r w:rsidRPr="00300277">
              <w:t>68 516</w:t>
            </w:r>
          </w:p>
        </w:tc>
      </w:tr>
      <w:tr w:rsidR="00431A7A" w:rsidRPr="00300277" w:rsidTr="0090198C">
        <w:tc>
          <w:tcPr>
            <w:tcW w:w="1925" w:type="dxa"/>
            <w:vAlign w:val="center"/>
          </w:tcPr>
          <w:p w:rsidR="00431A7A" w:rsidRPr="00300277" w:rsidRDefault="00431A7A" w:rsidP="00627F5F">
            <w:pPr>
              <w:pStyle w:val="Tabletext"/>
            </w:pPr>
            <w:r w:rsidRPr="00300277">
              <w:t>But 3</w:t>
            </w:r>
          </w:p>
        </w:tc>
        <w:tc>
          <w:tcPr>
            <w:tcW w:w="1926" w:type="dxa"/>
            <w:vAlign w:val="center"/>
          </w:tcPr>
          <w:p w:rsidR="00431A7A" w:rsidRPr="00300277" w:rsidRDefault="005B0E8E" w:rsidP="00627F5F">
            <w:pPr>
              <w:pStyle w:val="Tabletext"/>
            </w:pPr>
            <w:r w:rsidRPr="00300277">
              <w:rPr>
                <w:color w:val="000000"/>
              </w:rPr>
              <w:t>Durabilité</w:t>
            </w:r>
          </w:p>
        </w:tc>
        <w:tc>
          <w:tcPr>
            <w:tcW w:w="1678" w:type="dxa"/>
            <w:vAlign w:val="center"/>
          </w:tcPr>
          <w:p w:rsidR="00431A7A" w:rsidRPr="00300277" w:rsidRDefault="00431A7A" w:rsidP="00627F5F">
            <w:pPr>
              <w:pStyle w:val="Tabletext"/>
              <w:jc w:val="right"/>
            </w:pPr>
            <w:r w:rsidRPr="00300277">
              <w:t>17 328</w:t>
            </w:r>
          </w:p>
        </w:tc>
        <w:tc>
          <w:tcPr>
            <w:tcW w:w="2268" w:type="dxa"/>
            <w:vAlign w:val="center"/>
          </w:tcPr>
          <w:p w:rsidR="00431A7A" w:rsidRPr="00300277" w:rsidRDefault="00431A7A" w:rsidP="00627F5F">
            <w:pPr>
              <w:pStyle w:val="Tabletext"/>
              <w:jc w:val="right"/>
            </w:pPr>
            <w:r w:rsidRPr="00300277">
              <w:t>1 052</w:t>
            </w:r>
          </w:p>
        </w:tc>
        <w:tc>
          <w:tcPr>
            <w:tcW w:w="1832" w:type="dxa"/>
            <w:vAlign w:val="center"/>
          </w:tcPr>
          <w:p w:rsidR="00431A7A" w:rsidRPr="00300277" w:rsidRDefault="00431A7A" w:rsidP="00627F5F">
            <w:pPr>
              <w:pStyle w:val="Tabletext"/>
              <w:jc w:val="right"/>
            </w:pPr>
            <w:r w:rsidRPr="00300277">
              <w:t>15 931</w:t>
            </w:r>
          </w:p>
        </w:tc>
      </w:tr>
      <w:tr w:rsidR="00431A7A" w:rsidRPr="00300277" w:rsidTr="0090198C">
        <w:tc>
          <w:tcPr>
            <w:tcW w:w="1925" w:type="dxa"/>
            <w:vAlign w:val="center"/>
          </w:tcPr>
          <w:p w:rsidR="00431A7A" w:rsidRPr="00300277" w:rsidRDefault="00431A7A" w:rsidP="00627F5F">
            <w:pPr>
              <w:pStyle w:val="Tabletext"/>
            </w:pPr>
            <w:r w:rsidRPr="00300277">
              <w:t>But 4</w:t>
            </w:r>
          </w:p>
        </w:tc>
        <w:tc>
          <w:tcPr>
            <w:tcW w:w="1926" w:type="dxa"/>
            <w:vAlign w:val="center"/>
          </w:tcPr>
          <w:p w:rsidR="00431A7A" w:rsidRPr="00300277" w:rsidRDefault="00431A7A" w:rsidP="00627F5F">
            <w:pPr>
              <w:pStyle w:val="Tabletext"/>
            </w:pPr>
            <w:r w:rsidRPr="00300277">
              <w:t>Innovation et partenariats</w:t>
            </w:r>
          </w:p>
        </w:tc>
        <w:tc>
          <w:tcPr>
            <w:tcW w:w="1678" w:type="dxa"/>
            <w:vAlign w:val="center"/>
          </w:tcPr>
          <w:p w:rsidR="00431A7A" w:rsidRPr="00300277" w:rsidRDefault="00431A7A" w:rsidP="00627F5F">
            <w:pPr>
              <w:pStyle w:val="Tabletext"/>
              <w:jc w:val="right"/>
            </w:pPr>
            <w:r w:rsidRPr="00300277">
              <w:t>13 013</w:t>
            </w:r>
          </w:p>
        </w:tc>
        <w:tc>
          <w:tcPr>
            <w:tcW w:w="2268" w:type="dxa"/>
            <w:vAlign w:val="center"/>
          </w:tcPr>
          <w:p w:rsidR="00431A7A" w:rsidRPr="00300277" w:rsidRDefault="00431A7A" w:rsidP="00627F5F">
            <w:pPr>
              <w:pStyle w:val="Tabletext"/>
              <w:jc w:val="right"/>
            </w:pPr>
            <w:r w:rsidRPr="00300277">
              <w:t>790</w:t>
            </w:r>
          </w:p>
        </w:tc>
        <w:tc>
          <w:tcPr>
            <w:tcW w:w="1832" w:type="dxa"/>
            <w:vAlign w:val="center"/>
          </w:tcPr>
          <w:p w:rsidR="00431A7A" w:rsidRPr="00300277" w:rsidRDefault="00431A7A" w:rsidP="00627F5F">
            <w:pPr>
              <w:pStyle w:val="Tabletext"/>
              <w:jc w:val="right"/>
            </w:pPr>
            <w:r w:rsidRPr="00300277">
              <w:t>11 949</w:t>
            </w:r>
          </w:p>
        </w:tc>
      </w:tr>
      <w:tr w:rsidR="00431A7A" w:rsidRPr="00300277" w:rsidTr="0090198C">
        <w:tc>
          <w:tcPr>
            <w:tcW w:w="1925" w:type="dxa"/>
            <w:tcBorders>
              <w:bottom w:val="single" w:sz="4" w:space="0" w:color="auto"/>
            </w:tcBorders>
            <w:shd w:val="clear" w:color="auto" w:fill="DBE5F1" w:themeFill="accent1" w:themeFillTint="33"/>
          </w:tcPr>
          <w:p w:rsidR="00431A7A" w:rsidRPr="00300277" w:rsidRDefault="00431A7A" w:rsidP="00627F5F">
            <w:pPr>
              <w:pStyle w:val="Tabletext"/>
              <w:rPr>
                <w:b/>
                <w:bCs/>
              </w:rPr>
            </w:pPr>
            <w:r w:rsidRPr="00300277">
              <w:rPr>
                <w:b/>
                <w:bCs/>
              </w:rPr>
              <w:t>TOTAL</w:t>
            </w:r>
          </w:p>
        </w:tc>
        <w:tc>
          <w:tcPr>
            <w:tcW w:w="1926" w:type="dxa"/>
            <w:tcBorders>
              <w:bottom w:val="single" w:sz="4" w:space="0" w:color="auto"/>
            </w:tcBorders>
            <w:shd w:val="clear" w:color="auto" w:fill="DBE5F1" w:themeFill="accent1" w:themeFillTint="33"/>
          </w:tcPr>
          <w:p w:rsidR="00431A7A" w:rsidRPr="00300277" w:rsidRDefault="00431A7A" w:rsidP="00627F5F">
            <w:pPr>
              <w:pStyle w:val="Tabletext"/>
              <w:rPr>
                <w:b/>
                <w:bCs/>
              </w:rPr>
            </w:pPr>
          </w:p>
        </w:tc>
        <w:tc>
          <w:tcPr>
            <w:tcW w:w="1678" w:type="dxa"/>
            <w:tcBorders>
              <w:bottom w:val="single" w:sz="4" w:space="0" w:color="auto"/>
            </w:tcBorders>
            <w:shd w:val="clear" w:color="auto" w:fill="DBE5F1" w:themeFill="accent1" w:themeFillTint="33"/>
            <w:vAlign w:val="center"/>
          </w:tcPr>
          <w:p w:rsidR="00431A7A" w:rsidRPr="00300277" w:rsidRDefault="00431A7A" w:rsidP="00627F5F">
            <w:pPr>
              <w:pStyle w:val="Tabletext"/>
              <w:jc w:val="right"/>
              <w:rPr>
                <w:b/>
                <w:bCs/>
              </w:rPr>
            </w:pPr>
            <w:r w:rsidRPr="00300277">
              <w:rPr>
                <w:b/>
                <w:bCs/>
              </w:rPr>
              <w:t>159 877</w:t>
            </w:r>
          </w:p>
        </w:tc>
        <w:tc>
          <w:tcPr>
            <w:tcW w:w="2268" w:type="dxa"/>
            <w:tcBorders>
              <w:bottom w:val="single" w:sz="4" w:space="0" w:color="auto"/>
            </w:tcBorders>
            <w:shd w:val="clear" w:color="auto" w:fill="DBE5F1" w:themeFill="accent1" w:themeFillTint="33"/>
            <w:vAlign w:val="center"/>
          </w:tcPr>
          <w:p w:rsidR="00431A7A" w:rsidRPr="00300277" w:rsidRDefault="00431A7A" w:rsidP="00627F5F">
            <w:pPr>
              <w:pStyle w:val="Tabletext"/>
              <w:jc w:val="right"/>
              <w:rPr>
                <w:b/>
                <w:bCs/>
              </w:rPr>
            </w:pPr>
            <w:r w:rsidRPr="00300277">
              <w:rPr>
                <w:b/>
                <w:bCs/>
              </w:rPr>
              <w:t>9 705</w:t>
            </w:r>
          </w:p>
        </w:tc>
        <w:tc>
          <w:tcPr>
            <w:tcW w:w="1832" w:type="dxa"/>
            <w:tcBorders>
              <w:bottom w:val="single" w:sz="4" w:space="0" w:color="auto"/>
            </w:tcBorders>
            <w:shd w:val="clear" w:color="auto" w:fill="DBE5F1" w:themeFill="accent1" w:themeFillTint="33"/>
            <w:vAlign w:val="center"/>
          </w:tcPr>
          <w:p w:rsidR="00431A7A" w:rsidRPr="00300277" w:rsidRDefault="00431A7A" w:rsidP="00627F5F">
            <w:pPr>
              <w:pStyle w:val="Tabletext"/>
              <w:jc w:val="right"/>
              <w:rPr>
                <w:b/>
                <w:bCs/>
              </w:rPr>
            </w:pPr>
            <w:r w:rsidRPr="00300277">
              <w:rPr>
                <w:b/>
                <w:bCs/>
              </w:rPr>
              <w:t>147 172</w:t>
            </w:r>
          </w:p>
        </w:tc>
      </w:tr>
    </w:tbl>
    <w:p w:rsidR="00431A7A" w:rsidRPr="00300277" w:rsidRDefault="00431A7A" w:rsidP="00627F5F">
      <w:pPr>
        <w:rPr>
          <w:szCs w:val="24"/>
        </w:rPr>
      </w:pPr>
    </w:p>
    <w:p w:rsidR="000F3C11" w:rsidRPr="00300277" w:rsidRDefault="000F3C11" w:rsidP="00627F5F">
      <w:pPr>
        <w:jc w:val="center"/>
        <w:rPr>
          <w:szCs w:val="24"/>
        </w:rPr>
      </w:pPr>
      <w:r w:rsidRPr="00300277">
        <w:rPr>
          <w:szCs w:val="24"/>
        </w:rPr>
        <w:t>_____________</w:t>
      </w:r>
    </w:p>
    <w:p w:rsidR="00571EEA" w:rsidRPr="00300277" w:rsidRDefault="00571EEA" w:rsidP="00627F5F"/>
    <w:sectPr w:rsidR="00571EEA" w:rsidRPr="00300277" w:rsidSect="005C3890">
      <w:headerReference w:type="even" r:id="rId11"/>
      <w:headerReference w:type="default" r:id="rId12"/>
      <w:footerReference w:type="even" r:id="rId13"/>
      <w:footerReference w:type="default" r:id="rId14"/>
      <w:footerReference w:type="first" r:id="rId1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3" w:rsidRDefault="00DF05B3">
      <w:r>
        <w:separator/>
      </w:r>
    </w:p>
  </w:endnote>
  <w:endnote w:type="continuationSeparator" w:id="0">
    <w:p w:rsidR="00DF05B3" w:rsidRDefault="00DF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5B3" w:rsidRDefault="00525DD8">
    <w:pPr>
      <w:pStyle w:val="Footer"/>
    </w:pPr>
    <w:r>
      <w:fldChar w:fldCharType="begin"/>
    </w:r>
    <w:r>
      <w:instrText xml:space="preserve"> FILENAME \p \* MERGEFORMAT </w:instrText>
    </w:r>
    <w:r>
      <w:fldChar w:fldCharType="separate"/>
    </w:r>
    <w:r w:rsidR="004707B4">
      <w:t>P:\FRA\SG\CONSEIL\C18\000\009F.docx</w:t>
    </w:r>
    <w:r>
      <w:fldChar w:fldCharType="end"/>
    </w:r>
    <w:r w:rsidR="00DF05B3">
      <w:tab/>
    </w:r>
    <w:r w:rsidR="00DF05B3">
      <w:fldChar w:fldCharType="begin"/>
    </w:r>
    <w:r w:rsidR="00DF05B3">
      <w:instrText xml:space="preserve"> savedate \@ dd.MM.yy </w:instrText>
    </w:r>
    <w:r w:rsidR="00DF05B3">
      <w:fldChar w:fldCharType="separate"/>
    </w:r>
    <w:r>
      <w:t>23.02.18</w:t>
    </w:r>
    <w:r w:rsidR="00DF05B3">
      <w:fldChar w:fldCharType="end"/>
    </w:r>
    <w:r w:rsidR="00DF05B3">
      <w:tab/>
    </w:r>
    <w:r w:rsidR="00DF05B3">
      <w:fldChar w:fldCharType="begin"/>
    </w:r>
    <w:r w:rsidR="00DF05B3">
      <w:instrText xml:space="preserve"> printdate \@ dd.MM.yy </w:instrText>
    </w:r>
    <w:r w:rsidR="00DF05B3">
      <w:fldChar w:fldCharType="separate"/>
    </w:r>
    <w:r w:rsidR="004707B4">
      <w:t>22.02.18</w:t>
    </w:r>
    <w:r w:rsidR="00DF05B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5B3" w:rsidRPr="000F3C11" w:rsidRDefault="00525DD8" w:rsidP="000F3C11">
    <w:pPr>
      <w:pStyle w:val="Footer"/>
    </w:pPr>
    <w:r>
      <w:fldChar w:fldCharType="begin"/>
    </w:r>
    <w:r>
      <w:instrText xml:space="preserve"> FILENAME \p  \* MERGEFORMAT </w:instrText>
    </w:r>
    <w:r>
      <w:fldChar w:fldCharType="separate"/>
    </w:r>
    <w:r w:rsidR="004707B4">
      <w:t>P:\FRA\SG\CONSEIL\C18\000\009F.docx</w:t>
    </w:r>
    <w:r>
      <w:fldChar w:fldCharType="end"/>
    </w:r>
    <w:r w:rsidR="00DF05B3">
      <w:t xml:space="preserve"> (425073)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5B3" w:rsidRDefault="00DF05B3">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3" w:rsidRDefault="00DF05B3">
      <w:r>
        <w:t>____________________</w:t>
      </w:r>
    </w:p>
  </w:footnote>
  <w:footnote w:type="continuationSeparator" w:id="0">
    <w:p w:rsidR="00DF05B3" w:rsidRDefault="00DF0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5B3" w:rsidRDefault="00DF05B3">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DF05B3" w:rsidRDefault="00DF05B3">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5B3" w:rsidRDefault="00DF05B3" w:rsidP="00475FB3">
    <w:pPr>
      <w:pStyle w:val="Header"/>
    </w:pPr>
    <w:r>
      <w:fldChar w:fldCharType="begin"/>
    </w:r>
    <w:r>
      <w:instrText>PAGE</w:instrText>
    </w:r>
    <w:r>
      <w:fldChar w:fldCharType="separate"/>
    </w:r>
    <w:r w:rsidR="00525DD8">
      <w:rPr>
        <w:noProof/>
      </w:rPr>
      <w:t>5</w:t>
    </w:r>
    <w:r>
      <w:rPr>
        <w:noProof/>
      </w:rPr>
      <w:fldChar w:fldCharType="end"/>
    </w:r>
  </w:p>
  <w:p w:rsidR="00DF05B3" w:rsidRDefault="00DF05B3" w:rsidP="000F3C11">
    <w:pPr>
      <w:pStyle w:val="Header"/>
    </w:pPr>
    <w:r>
      <w:t>C18/9-F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AB0A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69613A"/>
    <w:multiLevelType w:val="hybridMultilevel"/>
    <w:tmpl w:val="E59C3EF8"/>
    <w:lvl w:ilvl="0" w:tplc="FABC8DC2">
      <w:start w:val="1"/>
      <w:numFmt w:val="decimal"/>
      <w:lvlText w:val="Table %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C79917-1247-49EA-8C26-69070000A951}"/>
    <w:docVar w:name="dgnword-eventsink" w:val="845705136"/>
  </w:docVars>
  <w:rsids>
    <w:rsidRoot w:val="004A0590"/>
    <w:rsid w:val="0008092A"/>
    <w:rsid w:val="000A2DD4"/>
    <w:rsid w:val="000D0D0A"/>
    <w:rsid w:val="000F3C11"/>
    <w:rsid w:val="00103163"/>
    <w:rsid w:val="00115D93"/>
    <w:rsid w:val="001247A8"/>
    <w:rsid w:val="001378C0"/>
    <w:rsid w:val="0018694A"/>
    <w:rsid w:val="001A3287"/>
    <w:rsid w:val="001A6508"/>
    <w:rsid w:val="001D3A39"/>
    <w:rsid w:val="001D4C31"/>
    <w:rsid w:val="001E4D21"/>
    <w:rsid w:val="00207CD1"/>
    <w:rsid w:val="002124EF"/>
    <w:rsid w:val="002477A2"/>
    <w:rsid w:val="00263A51"/>
    <w:rsid w:val="00267E02"/>
    <w:rsid w:val="002A5D44"/>
    <w:rsid w:val="002B2A12"/>
    <w:rsid w:val="002B6D4E"/>
    <w:rsid w:val="002C4437"/>
    <w:rsid w:val="002D61AA"/>
    <w:rsid w:val="002E0BC4"/>
    <w:rsid w:val="002F1B76"/>
    <w:rsid w:val="00300277"/>
    <w:rsid w:val="0033568E"/>
    <w:rsid w:val="00355FF5"/>
    <w:rsid w:val="00361350"/>
    <w:rsid w:val="003A540F"/>
    <w:rsid w:val="003C3FAE"/>
    <w:rsid w:val="003F53A3"/>
    <w:rsid w:val="004038CB"/>
    <w:rsid w:val="0040546F"/>
    <w:rsid w:val="00413606"/>
    <w:rsid w:val="0042404A"/>
    <w:rsid w:val="00431A7A"/>
    <w:rsid w:val="0044618F"/>
    <w:rsid w:val="00446881"/>
    <w:rsid w:val="0046769A"/>
    <w:rsid w:val="004707B4"/>
    <w:rsid w:val="00475FB3"/>
    <w:rsid w:val="004A0590"/>
    <w:rsid w:val="004C37A9"/>
    <w:rsid w:val="004C3926"/>
    <w:rsid w:val="004F259E"/>
    <w:rsid w:val="00511F1D"/>
    <w:rsid w:val="00520F36"/>
    <w:rsid w:val="00525DD8"/>
    <w:rsid w:val="00540615"/>
    <w:rsid w:val="00540A6D"/>
    <w:rsid w:val="00571EEA"/>
    <w:rsid w:val="00575417"/>
    <w:rsid w:val="005768E1"/>
    <w:rsid w:val="005A3E67"/>
    <w:rsid w:val="005B0E8E"/>
    <w:rsid w:val="005B1938"/>
    <w:rsid w:val="005B486D"/>
    <w:rsid w:val="005C3890"/>
    <w:rsid w:val="005F7BFE"/>
    <w:rsid w:val="00600017"/>
    <w:rsid w:val="006235CA"/>
    <w:rsid w:val="00627F5F"/>
    <w:rsid w:val="00633B98"/>
    <w:rsid w:val="006643AB"/>
    <w:rsid w:val="006D1718"/>
    <w:rsid w:val="007210CD"/>
    <w:rsid w:val="00732045"/>
    <w:rsid w:val="007369DB"/>
    <w:rsid w:val="0078302B"/>
    <w:rsid w:val="007956C2"/>
    <w:rsid w:val="007A187E"/>
    <w:rsid w:val="007C72C2"/>
    <w:rsid w:val="007D4436"/>
    <w:rsid w:val="007E21E2"/>
    <w:rsid w:val="007F257A"/>
    <w:rsid w:val="007F3665"/>
    <w:rsid w:val="00800037"/>
    <w:rsid w:val="0085792B"/>
    <w:rsid w:val="00861D73"/>
    <w:rsid w:val="008A4E87"/>
    <w:rsid w:val="008D76E6"/>
    <w:rsid w:val="0090198C"/>
    <w:rsid w:val="0092392D"/>
    <w:rsid w:val="0093234A"/>
    <w:rsid w:val="0095311F"/>
    <w:rsid w:val="009C307F"/>
    <w:rsid w:val="009D525C"/>
    <w:rsid w:val="00A2113E"/>
    <w:rsid w:val="00A233E6"/>
    <w:rsid w:val="00A23A51"/>
    <w:rsid w:val="00A24607"/>
    <w:rsid w:val="00A25CD3"/>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67BDF"/>
    <w:rsid w:val="00C81BD2"/>
    <w:rsid w:val="00C8335C"/>
    <w:rsid w:val="00CA08ED"/>
    <w:rsid w:val="00CE072B"/>
    <w:rsid w:val="00CF183B"/>
    <w:rsid w:val="00D375CD"/>
    <w:rsid w:val="00D553A2"/>
    <w:rsid w:val="00D61673"/>
    <w:rsid w:val="00D774D3"/>
    <w:rsid w:val="00D904E8"/>
    <w:rsid w:val="00DA08C3"/>
    <w:rsid w:val="00DB5A3E"/>
    <w:rsid w:val="00DC22AA"/>
    <w:rsid w:val="00DF05B3"/>
    <w:rsid w:val="00DF74DD"/>
    <w:rsid w:val="00E07484"/>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0F1D776-FB8D-48FD-8A15-50264186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C11"/>
    <w:rPr>
      <w:rFonts w:ascii="Calibri" w:hAnsi="Calibri"/>
      <w:b/>
      <w:sz w:val="28"/>
      <w:lang w:val="fr-FR" w:eastAsia="en-US"/>
    </w:rPr>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character" w:customStyle="1" w:styleId="NormalaftertitleChar">
    <w:name w:val="Normal after title Char"/>
    <w:basedOn w:val="DefaultParagraphFont"/>
    <w:link w:val="Normalaftertitle"/>
    <w:rsid w:val="000F3C11"/>
    <w:rPr>
      <w:rFonts w:ascii="Calibri" w:hAnsi="Calibri"/>
      <w:sz w:val="24"/>
      <w:lang w:val="fr-FR" w:eastAsia="en-US"/>
    </w:r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Title1">
    <w:name w:val="Title 1"/>
    <w:basedOn w:val="Source"/>
    <w:next w:val="Title2"/>
    <w:rsid w:val="00732045"/>
    <w:pPr>
      <w:spacing w:before="240"/>
    </w:pPr>
    <w:rPr>
      <w:b w:val="0"/>
      <w:caps/>
    </w:r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title">
    <w:name w:val="Figure_title"/>
    <w:basedOn w:val="Tabletitle"/>
    <w:next w:val="Normalaftertitle"/>
    <w:rsid w:val="005C3890"/>
    <w:pPr>
      <w:spacing w:before="240" w:after="480"/>
    </w:p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5C3890"/>
    <w:pPr>
      <w:keepNext/>
      <w:keepLines/>
      <w:spacing w:before="20" w:after="20"/>
    </w:pPr>
    <w:rPr>
      <w:sz w:val="18"/>
    </w:r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title">
    <w:name w:val="Part_title"/>
    <w:basedOn w:val="Annextitle"/>
    <w:next w:val="Partref"/>
    <w:rsid w:val="005C3890"/>
  </w:style>
  <w:style w:type="paragraph" w:customStyle="1" w:styleId="Partref">
    <w:name w:val="Part_ref"/>
    <w:basedOn w:val="Annexref"/>
    <w:next w:val="Normalaftertitle"/>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title">
    <w:name w:val="Question_title"/>
    <w:basedOn w:val="Rectitle"/>
    <w:next w:val="Questionref"/>
    <w:rsid w:val="005C3890"/>
  </w:style>
  <w:style w:type="paragraph" w:customStyle="1" w:styleId="Questionref">
    <w:name w:val="Question_ref"/>
    <w:basedOn w:val="Recref"/>
    <w:next w:val="Questiondate"/>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title">
    <w:name w:val="Rep_title"/>
    <w:basedOn w:val="Rectitle"/>
    <w:next w:val="Repref"/>
    <w:rsid w:val="005C3890"/>
  </w:style>
  <w:style w:type="paragraph" w:customStyle="1" w:styleId="Repref">
    <w:name w:val="Rep_ref"/>
    <w:basedOn w:val="Recref"/>
    <w:next w:val="Repdate"/>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title">
    <w:name w:val="Res_title"/>
    <w:basedOn w:val="Annextitle"/>
    <w:next w:val="Normal"/>
    <w:rsid w:val="00732045"/>
  </w:style>
  <w:style w:type="paragraph" w:customStyle="1" w:styleId="Resref">
    <w:name w:val="Res_ref"/>
    <w:basedOn w:val="Recref"/>
    <w:next w:val="Resdate"/>
    <w:rsid w:val="005C3890"/>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Body">
    <w:name w:val="Body"/>
    <w:rsid w:val="000F3C11"/>
    <w:rPr>
      <w:rFonts w:ascii="Helvetica" w:eastAsia="ヒラギノ角ゴ Pro W3" w:hAnsi="Helvetica"/>
      <w:color w:val="000000"/>
      <w:sz w:val="24"/>
      <w:lang w:eastAsia="en-US"/>
    </w:rPr>
  </w:style>
  <w:style w:type="character" w:customStyle="1" w:styleId="BalloonTextChar">
    <w:name w:val="Balloon Text Char"/>
    <w:basedOn w:val="DefaultParagraphFont"/>
    <w:link w:val="BalloonText"/>
    <w:semiHidden/>
    <w:rsid w:val="000F3C11"/>
    <w:rPr>
      <w:rFonts w:ascii="Segoe UI" w:hAnsi="Segoe UI" w:cs="Segoe UI"/>
      <w:sz w:val="18"/>
      <w:szCs w:val="18"/>
      <w:lang w:val="fr-FR" w:eastAsia="en-US"/>
    </w:rPr>
  </w:style>
  <w:style w:type="paragraph" w:styleId="BalloonText">
    <w:name w:val="Balloon Text"/>
    <w:basedOn w:val="Normal"/>
    <w:link w:val="BalloonTextChar"/>
    <w:semiHidden/>
    <w:unhideWhenUsed/>
    <w:rsid w:val="000F3C11"/>
    <w:pPr>
      <w:spacing w:before="0"/>
    </w:pPr>
    <w:rPr>
      <w:rFonts w:ascii="Segoe UI" w:hAnsi="Segoe UI" w:cs="Segoe UI"/>
      <w:sz w:val="18"/>
      <w:szCs w:val="18"/>
    </w:rPr>
  </w:style>
  <w:style w:type="paragraph" w:styleId="ListBullet">
    <w:name w:val="List Bullet"/>
    <w:basedOn w:val="Normal"/>
    <w:unhideWhenUsed/>
    <w:rsid w:val="000F3C11"/>
    <w:pPr>
      <w:numPr>
        <w:numId w:val="2"/>
      </w:numPr>
      <w:contextualSpacing/>
    </w:pPr>
  </w:style>
  <w:style w:type="table" w:styleId="TableGrid">
    <w:name w:val="Table Grid"/>
    <w:basedOn w:val="TableNormal"/>
    <w:rsid w:val="007E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S-CONF-PLEN-201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itu.int/md/S17-CL-C-0010/fr" TargetMode="External"/><Relationship Id="rId4" Type="http://schemas.openxmlformats.org/officeDocument/2006/relationships/webSettings" Target="webSettings.xml"/><Relationship Id="rId9" Type="http://schemas.openxmlformats.org/officeDocument/2006/relationships/hyperlink" Target="https://www.itu.int/md/S17-CL-C-0132/fr"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0</TotalTime>
  <Pages>5</Pages>
  <Words>1456</Words>
  <Characters>7084</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8523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annuel des produits et des charges</dc:title>
  <dc:subject>Conseil 2018</dc:subject>
  <dc:creator>Gozel, Elsa</dc:creator>
  <cp:keywords>C2018, C18</cp:keywords>
  <dc:description/>
  <cp:lastModifiedBy>Janin</cp:lastModifiedBy>
  <cp:revision>2</cp:revision>
  <cp:lastPrinted>2018-02-22T10:22:00Z</cp:lastPrinted>
  <dcterms:created xsi:type="dcterms:W3CDTF">2018-02-23T14:11:00Z</dcterms:created>
  <dcterms:modified xsi:type="dcterms:W3CDTF">2018-02-23T14:11:00Z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