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80EC7">
        <w:trPr>
          <w:cantSplit/>
        </w:trPr>
        <w:tc>
          <w:tcPr>
            <w:tcW w:w="6912" w:type="dxa"/>
          </w:tcPr>
          <w:p w:rsidR="00093EEB" w:rsidRPr="00A80EC7" w:rsidRDefault="00093EEB" w:rsidP="009F4811">
            <w:pPr>
              <w:spacing w:before="360"/>
              <w:rPr>
                <w:szCs w:val="24"/>
              </w:rPr>
            </w:pPr>
            <w:bookmarkStart w:id="0" w:name="dc06"/>
            <w:bookmarkStart w:id="1" w:name="dbluepink" w:colFirst="0" w:colLast="0"/>
            <w:bookmarkEnd w:id="0"/>
            <w:r w:rsidRPr="00A80EC7">
              <w:rPr>
                <w:b/>
                <w:bCs/>
                <w:sz w:val="30"/>
                <w:szCs w:val="30"/>
              </w:rPr>
              <w:t>Consejo 201</w:t>
            </w:r>
            <w:r w:rsidR="009F4811" w:rsidRPr="00A80EC7">
              <w:rPr>
                <w:b/>
                <w:bCs/>
                <w:sz w:val="30"/>
                <w:szCs w:val="30"/>
              </w:rPr>
              <w:t>8</w:t>
            </w:r>
            <w:r w:rsidRPr="00A80EC7">
              <w:rPr>
                <w:b/>
                <w:bCs/>
                <w:sz w:val="26"/>
                <w:szCs w:val="26"/>
              </w:rPr>
              <w:br/>
            </w:r>
            <w:r w:rsidRPr="00A80EC7">
              <w:rPr>
                <w:b/>
                <w:bCs/>
                <w:szCs w:val="24"/>
              </w:rPr>
              <w:t>Ginebra, 1</w:t>
            </w:r>
            <w:r w:rsidR="009F4811" w:rsidRPr="00A80EC7">
              <w:rPr>
                <w:b/>
                <w:bCs/>
                <w:szCs w:val="24"/>
              </w:rPr>
              <w:t>7</w:t>
            </w:r>
            <w:r w:rsidRPr="00A80EC7">
              <w:rPr>
                <w:b/>
                <w:bCs/>
                <w:szCs w:val="24"/>
              </w:rPr>
              <w:t>-2</w:t>
            </w:r>
            <w:r w:rsidR="009F4811" w:rsidRPr="00A80EC7">
              <w:rPr>
                <w:b/>
                <w:bCs/>
                <w:szCs w:val="24"/>
              </w:rPr>
              <w:t>7</w:t>
            </w:r>
            <w:r w:rsidRPr="00A80EC7">
              <w:rPr>
                <w:b/>
                <w:bCs/>
                <w:szCs w:val="24"/>
              </w:rPr>
              <w:t xml:space="preserve"> de </w:t>
            </w:r>
            <w:r w:rsidR="009F4811" w:rsidRPr="00A80EC7">
              <w:rPr>
                <w:b/>
                <w:bCs/>
                <w:szCs w:val="24"/>
              </w:rPr>
              <w:t>abril</w:t>
            </w:r>
            <w:r w:rsidRPr="00A80EC7">
              <w:rPr>
                <w:b/>
                <w:bCs/>
                <w:szCs w:val="24"/>
              </w:rPr>
              <w:t xml:space="preserve"> de 201</w:t>
            </w:r>
            <w:r w:rsidR="009F4811" w:rsidRPr="00A80EC7">
              <w:rPr>
                <w:b/>
                <w:bCs/>
                <w:szCs w:val="24"/>
              </w:rPr>
              <w:t>8</w:t>
            </w:r>
          </w:p>
        </w:tc>
        <w:tc>
          <w:tcPr>
            <w:tcW w:w="3261" w:type="dxa"/>
          </w:tcPr>
          <w:p w:rsidR="00093EEB" w:rsidRPr="00A80EC7" w:rsidRDefault="00093EEB" w:rsidP="00093EEB">
            <w:pPr>
              <w:spacing w:before="0"/>
              <w:jc w:val="right"/>
              <w:rPr>
                <w:szCs w:val="24"/>
              </w:rPr>
            </w:pPr>
            <w:bookmarkStart w:id="2" w:name="ditulogo"/>
            <w:bookmarkEnd w:id="2"/>
            <w:r w:rsidRPr="00A80EC7">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80EC7">
        <w:trPr>
          <w:cantSplit/>
          <w:trHeight w:val="20"/>
        </w:trPr>
        <w:tc>
          <w:tcPr>
            <w:tcW w:w="10173" w:type="dxa"/>
            <w:gridSpan w:val="2"/>
            <w:tcBorders>
              <w:bottom w:val="single" w:sz="12" w:space="0" w:color="auto"/>
            </w:tcBorders>
          </w:tcPr>
          <w:p w:rsidR="00093EEB" w:rsidRPr="00A80EC7" w:rsidRDefault="00093EEB">
            <w:pPr>
              <w:spacing w:before="0"/>
              <w:rPr>
                <w:b/>
                <w:bCs/>
                <w:szCs w:val="24"/>
              </w:rPr>
            </w:pPr>
          </w:p>
        </w:tc>
      </w:tr>
      <w:tr w:rsidR="00093EEB" w:rsidRPr="00A80EC7">
        <w:trPr>
          <w:cantSplit/>
          <w:trHeight w:val="20"/>
        </w:trPr>
        <w:tc>
          <w:tcPr>
            <w:tcW w:w="6912" w:type="dxa"/>
            <w:tcBorders>
              <w:top w:val="single" w:sz="12" w:space="0" w:color="auto"/>
            </w:tcBorders>
          </w:tcPr>
          <w:p w:rsidR="00093EEB" w:rsidRPr="00A80EC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A80EC7" w:rsidRDefault="00093EEB">
            <w:pPr>
              <w:spacing w:before="0"/>
              <w:rPr>
                <w:b/>
                <w:bCs/>
                <w:szCs w:val="24"/>
              </w:rPr>
            </w:pPr>
          </w:p>
        </w:tc>
      </w:tr>
      <w:tr w:rsidR="00093EEB" w:rsidRPr="00A80EC7">
        <w:trPr>
          <w:cantSplit/>
          <w:trHeight w:val="20"/>
        </w:trPr>
        <w:tc>
          <w:tcPr>
            <w:tcW w:w="6912" w:type="dxa"/>
            <w:shd w:val="clear" w:color="auto" w:fill="auto"/>
          </w:tcPr>
          <w:p w:rsidR="00093EEB" w:rsidRPr="00A80EC7" w:rsidRDefault="00F01C6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A80EC7">
              <w:rPr>
                <w:rFonts w:cs="Times"/>
                <w:b/>
                <w:szCs w:val="24"/>
              </w:rPr>
              <w:t>Punto del orden del día: ADM 1</w:t>
            </w:r>
          </w:p>
        </w:tc>
        <w:tc>
          <w:tcPr>
            <w:tcW w:w="3261" w:type="dxa"/>
          </w:tcPr>
          <w:p w:rsidR="00093EEB" w:rsidRPr="00A80EC7" w:rsidRDefault="00093EEB" w:rsidP="00F01C64">
            <w:pPr>
              <w:spacing w:before="0"/>
              <w:rPr>
                <w:b/>
                <w:bCs/>
                <w:szCs w:val="24"/>
              </w:rPr>
            </w:pPr>
            <w:r w:rsidRPr="00A80EC7">
              <w:rPr>
                <w:b/>
                <w:bCs/>
                <w:szCs w:val="24"/>
              </w:rPr>
              <w:t>Documento C1</w:t>
            </w:r>
            <w:r w:rsidR="009F4811" w:rsidRPr="00A80EC7">
              <w:rPr>
                <w:b/>
                <w:bCs/>
                <w:szCs w:val="24"/>
              </w:rPr>
              <w:t>8</w:t>
            </w:r>
            <w:r w:rsidRPr="00A80EC7">
              <w:rPr>
                <w:b/>
                <w:bCs/>
                <w:szCs w:val="24"/>
              </w:rPr>
              <w:t>/</w:t>
            </w:r>
            <w:r w:rsidR="00F01C64" w:rsidRPr="00A80EC7">
              <w:rPr>
                <w:b/>
                <w:bCs/>
                <w:szCs w:val="24"/>
              </w:rPr>
              <w:t>9</w:t>
            </w:r>
            <w:r w:rsidRPr="00A80EC7">
              <w:rPr>
                <w:b/>
                <w:bCs/>
                <w:szCs w:val="24"/>
              </w:rPr>
              <w:t>-S</w:t>
            </w:r>
          </w:p>
        </w:tc>
      </w:tr>
      <w:tr w:rsidR="00093EEB" w:rsidRPr="00A80EC7">
        <w:trPr>
          <w:cantSplit/>
          <w:trHeight w:val="20"/>
        </w:trPr>
        <w:tc>
          <w:tcPr>
            <w:tcW w:w="6912" w:type="dxa"/>
            <w:shd w:val="clear" w:color="auto" w:fill="auto"/>
          </w:tcPr>
          <w:p w:rsidR="00093EEB" w:rsidRPr="00A80EC7"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A80EC7" w:rsidRDefault="00F01C64" w:rsidP="009F4811">
            <w:pPr>
              <w:spacing w:before="0"/>
              <w:rPr>
                <w:b/>
                <w:bCs/>
                <w:szCs w:val="24"/>
              </w:rPr>
            </w:pPr>
            <w:r w:rsidRPr="00A80EC7">
              <w:rPr>
                <w:b/>
                <w:bCs/>
                <w:szCs w:val="24"/>
              </w:rPr>
              <w:t>8 de febrero</w:t>
            </w:r>
            <w:r w:rsidR="00093EEB" w:rsidRPr="00A80EC7">
              <w:rPr>
                <w:b/>
                <w:bCs/>
                <w:szCs w:val="24"/>
              </w:rPr>
              <w:t xml:space="preserve"> de 201</w:t>
            </w:r>
            <w:r w:rsidR="009F4811" w:rsidRPr="00A80EC7">
              <w:rPr>
                <w:b/>
                <w:bCs/>
                <w:szCs w:val="24"/>
              </w:rPr>
              <w:t>8</w:t>
            </w:r>
          </w:p>
        </w:tc>
      </w:tr>
      <w:tr w:rsidR="00093EEB" w:rsidRPr="00A80EC7">
        <w:trPr>
          <w:cantSplit/>
          <w:trHeight w:val="20"/>
        </w:trPr>
        <w:tc>
          <w:tcPr>
            <w:tcW w:w="6912" w:type="dxa"/>
            <w:shd w:val="clear" w:color="auto" w:fill="auto"/>
          </w:tcPr>
          <w:p w:rsidR="00093EEB" w:rsidRPr="00A80EC7" w:rsidRDefault="00093EEB">
            <w:pPr>
              <w:shd w:val="solid" w:color="FFFFFF" w:fill="FFFFFF"/>
              <w:spacing w:before="0"/>
              <w:rPr>
                <w:smallCaps/>
                <w:szCs w:val="24"/>
              </w:rPr>
            </w:pPr>
            <w:bookmarkStart w:id="6" w:name="dorlang" w:colFirst="1" w:colLast="1"/>
            <w:bookmarkEnd w:id="5"/>
          </w:p>
        </w:tc>
        <w:tc>
          <w:tcPr>
            <w:tcW w:w="3261" w:type="dxa"/>
          </w:tcPr>
          <w:p w:rsidR="00093EEB" w:rsidRPr="00A80EC7" w:rsidRDefault="00093EEB" w:rsidP="00093EEB">
            <w:pPr>
              <w:spacing w:before="0"/>
              <w:rPr>
                <w:b/>
                <w:bCs/>
                <w:szCs w:val="24"/>
              </w:rPr>
            </w:pPr>
            <w:r w:rsidRPr="00A80EC7">
              <w:rPr>
                <w:b/>
                <w:bCs/>
                <w:szCs w:val="24"/>
              </w:rPr>
              <w:t>Original: inglés</w:t>
            </w:r>
          </w:p>
        </w:tc>
      </w:tr>
      <w:tr w:rsidR="008F52EB" w:rsidRPr="00A80EC7">
        <w:trPr>
          <w:cantSplit/>
        </w:trPr>
        <w:tc>
          <w:tcPr>
            <w:tcW w:w="10173" w:type="dxa"/>
            <w:gridSpan w:val="2"/>
          </w:tcPr>
          <w:p w:rsidR="008F52EB" w:rsidRPr="00A80EC7" w:rsidRDefault="008F52EB" w:rsidP="008F52EB">
            <w:pPr>
              <w:pStyle w:val="Source"/>
            </w:pPr>
            <w:bookmarkStart w:id="7" w:name="dsource" w:colFirst="0" w:colLast="0"/>
            <w:bookmarkEnd w:id="1"/>
            <w:bookmarkEnd w:id="6"/>
            <w:r w:rsidRPr="00A80EC7">
              <w:t>Informe del Secretario General</w:t>
            </w:r>
          </w:p>
        </w:tc>
      </w:tr>
      <w:tr w:rsidR="008F52EB" w:rsidRPr="00A80EC7">
        <w:trPr>
          <w:cantSplit/>
        </w:trPr>
        <w:tc>
          <w:tcPr>
            <w:tcW w:w="10173" w:type="dxa"/>
            <w:gridSpan w:val="2"/>
          </w:tcPr>
          <w:p w:rsidR="008F52EB" w:rsidRPr="00A80EC7" w:rsidRDefault="008F52EB" w:rsidP="008F52EB">
            <w:pPr>
              <w:pStyle w:val="Title1"/>
            </w:pPr>
            <w:bookmarkStart w:id="8" w:name="dtitle1" w:colFirst="0" w:colLast="0"/>
            <w:bookmarkEnd w:id="7"/>
            <w:r w:rsidRPr="00A80EC7">
              <w:t>EXAMEN ANUAL DE INGRESOS Y GASTOS</w:t>
            </w:r>
          </w:p>
        </w:tc>
      </w:tr>
      <w:bookmarkEnd w:id="8"/>
    </w:tbl>
    <w:p w:rsidR="00093EEB" w:rsidRPr="00A80EC7"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80EC7">
        <w:trPr>
          <w:trHeight w:val="3372"/>
        </w:trPr>
        <w:tc>
          <w:tcPr>
            <w:tcW w:w="8080" w:type="dxa"/>
            <w:tcBorders>
              <w:top w:val="single" w:sz="12" w:space="0" w:color="auto"/>
              <w:left w:val="single" w:sz="12" w:space="0" w:color="auto"/>
              <w:bottom w:val="single" w:sz="12" w:space="0" w:color="auto"/>
              <w:right w:val="single" w:sz="12" w:space="0" w:color="auto"/>
            </w:tcBorders>
          </w:tcPr>
          <w:p w:rsidR="008F52EB" w:rsidRPr="00A80EC7" w:rsidRDefault="008F52EB" w:rsidP="008F52EB">
            <w:pPr>
              <w:pStyle w:val="Headingb"/>
            </w:pPr>
            <w:r w:rsidRPr="00A80EC7">
              <w:t>Resumen</w:t>
            </w:r>
          </w:p>
          <w:p w:rsidR="008F52EB" w:rsidRPr="00A80EC7" w:rsidRDefault="008F52EB" w:rsidP="008F52EB">
            <w:r w:rsidRPr="00A80EC7">
              <w:t>El presente documento contiene los elementos esenciales de la ejecución del presupuesto de 2018-2019, con arreglo a lo dispuesto en el número 73 del Convenio de la UIT, en el cual se estipula que el Consejo efectuará un examen anual de los ingresos y gastos.</w:t>
            </w:r>
          </w:p>
          <w:p w:rsidR="008F52EB" w:rsidRPr="00A80EC7" w:rsidRDefault="008F52EB" w:rsidP="008F52EB">
            <w:pPr>
              <w:pStyle w:val="Headingb"/>
            </w:pPr>
            <w:r w:rsidRPr="00A80EC7">
              <w:t>Acción solicitada</w:t>
            </w:r>
          </w:p>
          <w:p w:rsidR="008F52EB" w:rsidRPr="00A80EC7" w:rsidRDefault="008F52EB" w:rsidP="008F52EB">
            <w:r w:rsidRPr="00A80EC7">
              <w:t xml:space="preserve">Se invita al Consejo a </w:t>
            </w:r>
            <w:r w:rsidRPr="00A80EC7">
              <w:rPr>
                <w:b/>
                <w:bCs/>
              </w:rPr>
              <w:t>tomar nota</w:t>
            </w:r>
            <w:r w:rsidRPr="00A80EC7">
              <w:t xml:space="preserve"> del presente documento.</w:t>
            </w:r>
          </w:p>
          <w:p w:rsidR="008F52EB" w:rsidRPr="00A80EC7" w:rsidRDefault="008F52EB" w:rsidP="008F52EB">
            <w:pPr>
              <w:pStyle w:val="Table"/>
              <w:keepNext w:val="0"/>
              <w:spacing w:before="0" w:after="0"/>
              <w:rPr>
                <w:caps w:val="0"/>
                <w:sz w:val="22"/>
                <w:lang w:val="es-ES_tradnl"/>
              </w:rPr>
            </w:pPr>
            <w:r w:rsidRPr="00A80EC7">
              <w:rPr>
                <w:caps w:val="0"/>
                <w:sz w:val="22"/>
                <w:lang w:val="es-ES_tradnl"/>
              </w:rPr>
              <w:t>____________</w:t>
            </w:r>
          </w:p>
          <w:p w:rsidR="008F52EB" w:rsidRPr="00A80EC7" w:rsidRDefault="008F52EB" w:rsidP="008F52EB">
            <w:pPr>
              <w:pStyle w:val="Headingb"/>
            </w:pPr>
            <w:r w:rsidRPr="00A80EC7">
              <w:t>Referencia</w:t>
            </w:r>
          </w:p>
          <w:p w:rsidR="008F52EB" w:rsidRPr="00A80EC7" w:rsidRDefault="008F52EB" w:rsidP="008F52EB">
            <w:pPr>
              <w:spacing w:after="120"/>
              <w:rPr>
                <w:i/>
                <w:iCs/>
              </w:rPr>
            </w:pPr>
            <w:hyperlink r:id="rId7" w:anchor="cvart4" w:history="1">
              <w:r w:rsidRPr="00A80EC7">
                <w:rPr>
                  <w:rStyle w:val="Hyperlink"/>
                  <w:i/>
                  <w:iCs/>
                  <w:szCs w:val="24"/>
                </w:rPr>
                <w:t>CV/Art. 4</w:t>
              </w:r>
            </w:hyperlink>
            <w:r w:rsidRPr="00A80EC7">
              <w:rPr>
                <w:i/>
                <w:iCs/>
              </w:rPr>
              <w:t>, número</w:t>
            </w:r>
            <w:r w:rsidRPr="00386BD7">
              <w:rPr>
                <w:szCs w:val="24"/>
              </w:rPr>
              <w:t xml:space="preserve"> </w:t>
            </w:r>
            <w:hyperlink r:id="rId8" w:anchor="cv73" w:history="1">
              <w:r w:rsidRPr="00386BD7">
                <w:rPr>
                  <w:rStyle w:val="Hyperlink"/>
                  <w:i/>
                  <w:iCs/>
                  <w:szCs w:val="24"/>
                </w:rPr>
                <w:t>7</w:t>
              </w:r>
              <w:r w:rsidRPr="00386BD7">
                <w:rPr>
                  <w:rStyle w:val="Hyperlink"/>
                  <w:i/>
                  <w:iCs/>
                  <w:szCs w:val="24"/>
                </w:rPr>
                <w:t>3</w:t>
              </w:r>
            </w:hyperlink>
          </w:p>
          <w:p w:rsidR="00093EEB" w:rsidRPr="00A80EC7" w:rsidRDefault="008F52EB" w:rsidP="008F52EB">
            <w:pPr>
              <w:spacing w:after="120"/>
              <w:rPr>
                <w:i/>
                <w:iCs/>
              </w:rPr>
            </w:pPr>
            <w:r w:rsidRPr="00A80EC7">
              <w:rPr>
                <w:i/>
                <w:iCs/>
                <w:szCs w:val="24"/>
              </w:rPr>
              <w:t xml:space="preserve">Resolución </w:t>
            </w:r>
            <w:hyperlink r:id="rId9" w:history="1">
              <w:r w:rsidRPr="00A80EC7">
                <w:rPr>
                  <w:rStyle w:val="Hyperlink"/>
                  <w:i/>
                  <w:iCs/>
                  <w:szCs w:val="24"/>
                </w:rPr>
                <w:t>1387</w:t>
              </w:r>
            </w:hyperlink>
            <w:r w:rsidRPr="00A80EC7">
              <w:rPr>
                <w:i/>
                <w:iCs/>
                <w:szCs w:val="24"/>
              </w:rPr>
              <w:t xml:space="preserve"> del Consejo</w:t>
            </w:r>
            <w:r w:rsidRPr="00A80EC7">
              <w:rPr>
                <w:i/>
                <w:iCs/>
              </w:rPr>
              <w:t xml:space="preserve"> (Presupuesto bienal de la Unión Internacional de Telecomunicaciones para 2018-2019)</w:t>
            </w:r>
          </w:p>
        </w:tc>
      </w:tr>
    </w:tbl>
    <w:p w:rsidR="008F52EB" w:rsidRPr="00A80EC7" w:rsidRDefault="008F52EB" w:rsidP="008F52EB">
      <w:pPr>
        <w:pStyle w:val="Heading1"/>
      </w:pPr>
      <w:r w:rsidRPr="00A80EC7">
        <w:t>1</w:t>
      </w:r>
      <w:r w:rsidRPr="00A80EC7">
        <w:tab/>
        <w:t>Introducción</w:t>
      </w:r>
    </w:p>
    <w:p w:rsidR="008F52EB" w:rsidRPr="00A80EC7" w:rsidRDefault="008F52EB" w:rsidP="008F52EB">
      <w:r w:rsidRPr="00A80EC7">
        <w:rPr>
          <w:szCs w:val="24"/>
        </w:rPr>
        <w:t>1.1</w:t>
      </w:r>
      <w:r w:rsidRPr="00A80EC7">
        <w:rPr>
          <w:szCs w:val="24"/>
        </w:rPr>
        <w:tab/>
      </w:r>
      <w:r w:rsidRPr="00A80EC7">
        <w:t>El presente documento tiene por objeto informar sobre el estado de aplicación del presupuesto de la Unión para el primer año del bienio 2018-2019 en lo que respecta a los ingresos y los gastos.</w:t>
      </w:r>
    </w:p>
    <w:p w:rsidR="008F52EB" w:rsidRPr="00A80EC7" w:rsidRDefault="008F52EB" w:rsidP="008F52EB">
      <w:pPr>
        <w:pStyle w:val="Heading1"/>
        <w:spacing w:before="360"/>
      </w:pPr>
      <w:r w:rsidRPr="00A80EC7">
        <w:t>2</w:t>
      </w:r>
      <w:r w:rsidRPr="00A80EC7">
        <w:tab/>
        <w:t>Presupuesto de la Unión para 2018-2019 (Resolución 1387)</w:t>
      </w:r>
    </w:p>
    <w:p w:rsidR="008F52EB" w:rsidRPr="00A80EC7" w:rsidRDefault="008F52EB" w:rsidP="008F52EB">
      <w:r w:rsidRPr="00A80EC7">
        <w:t>2.1</w:t>
      </w:r>
      <w:r w:rsidRPr="00A80EC7">
        <w:tab/>
        <w:t>En su reunión de 2017, el Consejo adoptó mediante su Resolución 1387 el presupuesto de la Unión para 2018-2019, que asciende a 324 617 000 CHF para el bienio y se subdivide como sigue: 159 877 000 CHF para 2018 y 164 740 000 CHF para 2019</w:t>
      </w:r>
      <w:r w:rsidR="003B5548">
        <w:t>.</w:t>
      </w:r>
      <w:r w:rsidRPr="00A80EC7">
        <w:t xml:space="preserve"> Se basa en una unidad contributiva anual de los Estados Miembros de 318 000 CHF, lo que corresponde a un crecimiento nominal cero comparado con los bienios anteriores. El Presupuesto de la Unión se está aplicando de conformidad con el Artículo 10 del Reglamento Financiero.</w:t>
      </w:r>
    </w:p>
    <w:p w:rsidR="008F52EB" w:rsidRPr="00A80EC7" w:rsidRDefault="008F52EB" w:rsidP="00F01C64">
      <w:pPr>
        <w:rPr>
          <w:szCs w:val="24"/>
        </w:rPr>
      </w:pPr>
      <w:r w:rsidRPr="00A80EC7">
        <w:t>2.2</w:t>
      </w:r>
      <w:r w:rsidRPr="00A80EC7">
        <w:tab/>
        <w:t>En el Cuadro 1 siguiente se indica la situación del</w:t>
      </w:r>
      <w:r w:rsidR="00613047">
        <w:t xml:space="preserve"> </w:t>
      </w:r>
      <w:r w:rsidRPr="00A80EC7">
        <w:t xml:space="preserve">presupuesto para 2018, con indicación de los gastos al 31 de enero de 2018 y una previsión de ingresos y gastos hasta el 31 de diciembre </w:t>
      </w:r>
      <w:r w:rsidRPr="00A80EC7">
        <w:lastRenderedPageBreak/>
        <w:t>de</w:t>
      </w:r>
      <w:r w:rsidR="00613047">
        <w:t> </w:t>
      </w:r>
      <w:r w:rsidRPr="00A80EC7">
        <w:t>2018</w:t>
      </w:r>
      <w:r w:rsidRPr="00A80EC7">
        <w:rPr>
          <w:rFonts w:cs="Calibri"/>
        </w:rPr>
        <w:t xml:space="preserve">. </w:t>
      </w:r>
      <w:r w:rsidRPr="00A80EC7">
        <w:t xml:space="preserve">Las previsiones preliminares para 2018 </w:t>
      </w:r>
      <w:r w:rsidRPr="00A80EC7">
        <w:rPr>
          <w:szCs w:val="24"/>
        </w:rPr>
        <w:t>muestran una variación de 3 millones CHF, debida esencialmente a la aplicación de la decisión de la CAPI respecto del ajuste por lugar de destino en Ginebra.</w:t>
      </w:r>
    </w:p>
    <w:p w:rsidR="008F52EB" w:rsidRPr="00A80EC7" w:rsidRDefault="008F52EB" w:rsidP="008F52EB">
      <w:pPr>
        <w:pStyle w:val="Tabletitle"/>
        <w:spacing w:before="240"/>
      </w:pPr>
      <w:r w:rsidRPr="00A80EC7">
        <w:t>Cuadro 1 – Aplicación del presupuesto con arreglo a la Resolución 1387</w:t>
      </w:r>
    </w:p>
    <w:tbl>
      <w:tblPr>
        <w:tblW w:w="5009" w:type="pct"/>
        <w:tblLayout w:type="fixed"/>
        <w:tblLook w:val="04A0" w:firstRow="1" w:lastRow="0" w:firstColumn="1" w:lastColumn="0" w:noHBand="0" w:noVBand="1"/>
      </w:tblPr>
      <w:tblGrid>
        <w:gridCol w:w="2835"/>
        <w:gridCol w:w="1562"/>
        <w:gridCol w:w="1841"/>
        <w:gridCol w:w="1332"/>
        <w:gridCol w:w="1219"/>
        <w:gridCol w:w="852"/>
        <w:tblGridChange w:id="9">
          <w:tblGrid>
            <w:gridCol w:w="2835"/>
            <w:gridCol w:w="1562"/>
            <w:gridCol w:w="1841"/>
            <w:gridCol w:w="1332"/>
            <w:gridCol w:w="1219"/>
            <w:gridCol w:w="852"/>
          </w:tblGrid>
        </w:tblGridChange>
      </w:tblGrid>
      <w:tr w:rsidR="003B5548" w:rsidRPr="00A80EC7" w:rsidTr="003B5548">
        <w:trPr>
          <w:trHeight w:val="23"/>
        </w:trPr>
        <w:tc>
          <w:tcPr>
            <w:tcW w:w="5000" w:type="pct"/>
            <w:gridSpan w:val="6"/>
            <w:tcBorders>
              <w:top w:val="nil"/>
              <w:left w:val="nil"/>
              <w:bottom w:val="single" w:sz="12" w:space="0" w:color="FFFFFF"/>
              <w:right w:val="single" w:sz="12" w:space="0" w:color="FFFFFF"/>
            </w:tcBorders>
            <w:shd w:val="clear" w:color="auto" w:fill="DBE5F1" w:themeFill="accent1" w:themeFillTint="33"/>
            <w:vAlign w:val="center"/>
          </w:tcPr>
          <w:p w:rsidR="003B5548" w:rsidRPr="00A80EC7" w:rsidRDefault="003B5548" w:rsidP="00613047">
            <w:pPr>
              <w:pStyle w:val="Tablehead"/>
            </w:pPr>
            <w:r w:rsidRPr="00A80EC7">
              <w:t>PRESUPUESTO para 2018 - Previsiones de ingresos y gastos</w:t>
            </w:r>
          </w:p>
        </w:tc>
      </w:tr>
      <w:tr w:rsidR="003B5548" w:rsidRPr="00A80EC7" w:rsidTr="003B5548">
        <w:trPr>
          <w:trHeight w:val="23"/>
        </w:trPr>
        <w:tc>
          <w:tcPr>
            <w:tcW w:w="5000" w:type="pct"/>
            <w:gridSpan w:val="6"/>
            <w:tcBorders>
              <w:top w:val="nil"/>
              <w:left w:val="nil"/>
              <w:bottom w:val="single" w:sz="12" w:space="0" w:color="FFFFFF"/>
              <w:right w:val="single" w:sz="12" w:space="0" w:color="FFFFFF"/>
            </w:tcBorders>
            <w:vAlign w:val="center"/>
          </w:tcPr>
          <w:p w:rsidR="003B5548" w:rsidRPr="003B5548" w:rsidRDefault="003B5548" w:rsidP="003B5548">
            <w:pPr>
              <w:snapToGrid w:val="0"/>
              <w:ind w:left="7200" w:firstLine="720"/>
              <w:jc w:val="center"/>
              <w:rPr>
                <w:rFonts w:cs="Calibri"/>
                <w:b/>
                <w:bCs/>
              </w:rPr>
            </w:pPr>
            <w:r w:rsidRPr="00A80EC7">
              <w:rPr>
                <w:rFonts w:cs="Arial"/>
                <w:i/>
                <w:iCs/>
                <w:sz w:val="14"/>
                <w:szCs w:val="14"/>
              </w:rPr>
              <w:t>Miles de francos suizos</w:t>
            </w:r>
          </w:p>
        </w:tc>
      </w:tr>
      <w:tr w:rsidR="003B5548" w:rsidRPr="00A80EC7" w:rsidTr="003B5548">
        <w:trPr>
          <w:trHeight w:val="704"/>
        </w:trPr>
        <w:tc>
          <w:tcPr>
            <w:tcW w:w="1470" w:type="pct"/>
            <w:tcBorders>
              <w:top w:val="nil"/>
              <w:left w:val="nil"/>
              <w:bottom w:val="single" w:sz="12" w:space="0" w:color="FFFFFF"/>
              <w:right w:val="single" w:sz="12" w:space="0" w:color="FFFFFF"/>
            </w:tcBorders>
            <w:vAlign w:val="center"/>
            <w:hideMark/>
          </w:tcPr>
          <w:p w:rsidR="003B5548" w:rsidRPr="00A80EC7" w:rsidRDefault="003B5548" w:rsidP="003B5548">
            <w:pPr>
              <w:pStyle w:val="Tablehead"/>
              <w:rPr>
                <w:lang w:eastAsia="zh-CN"/>
              </w:rPr>
            </w:pPr>
            <w:r>
              <w:rPr>
                <w:lang w:eastAsia="zh-CN"/>
              </w:rPr>
              <w:t>I</w:t>
            </w:r>
            <w:r w:rsidRPr="00A80EC7">
              <w:rPr>
                <w:lang w:eastAsia="zh-CN"/>
              </w:rPr>
              <w:t>ngresos</w:t>
            </w:r>
          </w:p>
        </w:tc>
        <w:tc>
          <w:tcPr>
            <w:tcW w:w="810" w:type="pct"/>
            <w:tcBorders>
              <w:top w:val="nil"/>
              <w:left w:val="nil"/>
              <w:right w:val="single" w:sz="8" w:space="0" w:color="FFFFFF"/>
            </w:tcBorders>
            <w:shd w:val="clear" w:color="000000" w:fill="DCE6F1"/>
            <w:hideMark/>
          </w:tcPr>
          <w:p w:rsidR="003B5548" w:rsidRPr="00113A2D" w:rsidRDefault="003B5548" w:rsidP="003B5548">
            <w:pPr>
              <w:pStyle w:val="Tablehead"/>
            </w:pPr>
            <w:r>
              <w:t>Presupuesto 2018</w:t>
            </w:r>
          </w:p>
        </w:tc>
        <w:tc>
          <w:tcPr>
            <w:tcW w:w="955" w:type="pct"/>
            <w:tcBorders>
              <w:top w:val="nil"/>
              <w:left w:val="nil"/>
              <w:right w:val="single" w:sz="8" w:space="0" w:color="FFFFFF"/>
            </w:tcBorders>
            <w:shd w:val="clear" w:color="000000" w:fill="DCE6F1"/>
            <w:hideMark/>
          </w:tcPr>
          <w:p w:rsidR="003B5548" w:rsidRPr="00113A2D" w:rsidRDefault="003B5548" w:rsidP="003B5548">
            <w:pPr>
              <w:pStyle w:val="Tablehead"/>
            </w:pPr>
            <w:r>
              <w:t>Real al 31 de enero de 2018</w:t>
            </w:r>
          </w:p>
        </w:tc>
        <w:tc>
          <w:tcPr>
            <w:tcW w:w="691" w:type="pct"/>
            <w:tcBorders>
              <w:top w:val="nil"/>
              <w:left w:val="nil"/>
              <w:right w:val="single" w:sz="8" w:space="0" w:color="FFFFFF"/>
            </w:tcBorders>
            <w:shd w:val="clear" w:color="000000" w:fill="DCE6F1"/>
            <w:hideMark/>
          </w:tcPr>
          <w:p w:rsidR="003B5548" w:rsidRPr="00113A2D" w:rsidRDefault="003B5548" w:rsidP="003B5548">
            <w:pPr>
              <w:pStyle w:val="Tablehead"/>
            </w:pPr>
            <w:r>
              <w:t>Previsión</w:t>
            </w:r>
          </w:p>
        </w:tc>
        <w:tc>
          <w:tcPr>
            <w:tcW w:w="632" w:type="pct"/>
            <w:tcBorders>
              <w:top w:val="nil"/>
              <w:left w:val="nil"/>
              <w:right w:val="nil"/>
            </w:tcBorders>
            <w:shd w:val="clear" w:color="000000" w:fill="DCE6F1"/>
            <w:hideMark/>
          </w:tcPr>
          <w:p w:rsidR="003B5548" w:rsidRPr="00113A2D" w:rsidRDefault="003B5548" w:rsidP="003B5548">
            <w:pPr>
              <w:pStyle w:val="Tablehead"/>
            </w:pPr>
            <w:r w:rsidRPr="00113A2D">
              <w:t>Variación</w:t>
            </w:r>
          </w:p>
        </w:tc>
        <w:tc>
          <w:tcPr>
            <w:tcW w:w="442" w:type="pct"/>
            <w:tcBorders>
              <w:top w:val="nil"/>
              <w:left w:val="nil"/>
              <w:right w:val="nil"/>
            </w:tcBorders>
            <w:shd w:val="clear" w:color="auto" w:fill="DBE5F1" w:themeFill="accent1" w:themeFillTint="33"/>
          </w:tcPr>
          <w:p w:rsidR="003B5548" w:rsidRPr="00113A2D" w:rsidRDefault="003B5548" w:rsidP="003B5548">
            <w:pPr>
              <w:pStyle w:val="Tablehead"/>
            </w:pPr>
            <w:r>
              <w:t>%</w:t>
            </w:r>
          </w:p>
        </w:tc>
      </w:tr>
      <w:tr w:rsidR="00A80EC7"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A80EC7" w:rsidRPr="00A80EC7" w:rsidRDefault="00A80EC7" w:rsidP="00A80EC7">
            <w:pPr>
              <w:pStyle w:val="Tabletext"/>
              <w:rPr>
                <w:lang w:eastAsia="zh-CN"/>
              </w:rPr>
            </w:pPr>
            <w:r w:rsidRPr="00A80EC7">
              <w:rPr>
                <w:lang w:eastAsia="zh-CN"/>
              </w:rPr>
              <w:t>Total contribuciones previstas</w:t>
            </w:r>
          </w:p>
        </w:tc>
        <w:tc>
          <w:tcPr>
            <w:tcW w:w="810" w:type="pct"/>
            <w:tcBorders>
              <w:top w:val="nil"/>
              <w:left w:val="nil"/>
              <w:bottom w:val="nil"/>
              <w:right w:val="single" w:sz="8" w:space="0" w:color="FFFFFF"/>
            </w:tcBorders>
            <w:shd w:val="clear" w:color="000000" w:fill="FFFFFF"/>
            <w:noWrap/>
            <w:vAlign w:val="bottom"/>
          </w:tcPr>
          <w:p w:rsidR="00A80EC7" w:rsidRPr="00A80EC7" w:rsidRDefault="00A80EC7" w:rsidP="00A80EC7">
            <w:pPr>
              <w:pStyle w:val="Tabletext"/>
              <w:jc w:val="right"/>
              <w:rPr>
                <w:lang w:eastAsia="zh-CN"/>
              </w:rPr>
            </w:pPr>
            <w:r w:rsidRPr="00A80EC7">
              <w:rPr>
                <w:lang w:eastAsia="zh-CN"/>
              </w:rPr>
              <w:t>124 401</w:t>
            </w:r>
          </w:p>
        </w:tc>
        <w:tc>
          <w:tcPr>
            <w:tcW w:w="955" w:type="pct"/>
            <w:tcBorders>
              <w:top w:val="nil"/>
              <w:left w:val="nil"/>
              <w:bottom w:val="nil"/>
              <w:right w:val="single" w:sz="8" w:space="0" w:color="FFFFFF"/>
            </w:tcBorders>
            <w:shd w:val="clear" w:color="000000" w:fill="FFFFFF"/>
            <w:noWrap/>
            <w:vAlign w:val="bottom"/>
          </w:tcPr>
          <w:p w:rsidR="00A80EC7" w:rsidRPr="00A80EC7" w:rsidRDefault="00A80EC7" w:rsidP="00A80EC7">
            <w:pPr>
              <w:pStyle w:val="Tabletext"/>
              <w:jc w:val="right"/>
              <w:rPr>
                <w:lang w:eastAsia="zh-CN"/>
              </w:rPr>
            </w:pPr>
            <w:r w:rsidRPr="00A80EC7">
              <w:rPr>
                <w:lang w:eastAsia="zh-CN"/>
              </w:rPr>
              <w:t>124 591</w:t>
            </w:r>
          </w:p>
        </w:tc>
        <w:tc>
          <w:tcPr>
            <w:tcW w:w="691" w:type="pct"/>
            <w:tcBorders>
              <w:top w:val="nil"/>
              <w:left w:val="nil"/>
              <w:bottom w:val="nil"/>
              <w:right w:val="single" w:sz="8" w:space="0" w:color="FFFFFF"/>
            </w:tcBorders>
            <w:shd w:val="clear" w:color="000000" w:fill="FFFFFF"/>
            <w:noWrap/>
            <w:vAlign w:val="bottom"/>
          </w:tcPr>
          <w:p w:rsidR="00A80EC7" w:rsidRPr="00A80EC7" w:rsidRDefault="00A80EC7" w:rsidP="00A80EC7">
            <w:pPr>
              <w:pStyle w:val="Tabletext"/>
              <w:jc w:val="right"/>
              <w:rPr>
                <w:lang w:eastAsia="zh-CN"/>
              </w:rPr>
            </w:pPr>
            <w:r w:rsidRPr="00A80EC7">
              <w:rPr>
                <w:lang w:eastAsia="zh-CN"/>
              </w:rPr>
              <w:t>124 591</w:t>
            </w:r>
          </w:p>
        </w:tc>
        <w:tc>
          <w:tcPr>
            <w:tcW w:w="632" w:type="pct"/>
            <w:tcBorders>
              <w:top w:val="nil"/>
              <w:left w:val="nil"/>
              <w:bottom w:val="nil"/>
              <w:right w:val="nil"/>
            </w:tcBorders>
            <w:shd w:val="clear" w:color="000000" w:fill="FFFFFF"/>
            <w:noWrap/>
            <w:vAlign w:val="bottom"/>
          </w:tcPr>
          <w:p w:rsidR="00A80EC7" w:rsidRPr="00A80EC7" w:rsidRDefault="00A80EC7" w:rsidP="00A80EC7">
            <w:pPr>
              <w:pStyle w:val="Tabletext"/>
              <w:jc w:val="right"/>
              <w:rPr>
                <w:lang w:eastAsia="zh-CN"/>
              </w:rPr>
            </w:pPr>
            <w:r w:rsidRPr="00A80EC7">
              <w:rPr>
                <w:lang w:eastAsia="zh-CN"/>
              </w:rPr>
              <w:t>190</w:t>
            </w:r>
          </w:p>
        </w:tc>
        <w:tc>
          <w:tcPr>
            <w:tcW w:w="442" w:type="pct"/>
            <w:tcBorders>
              <w:top w:val="nil"/>
              <w:left w:val="nil"/>
              <w:bottom w:val="nil"/>
              <w:right w:val="nil"/>
            </w:tcBorders>
            <w:shd w:val="clear" w:color="000000" w:fill="FFFFFF"/>
            <w:vAlign w:val="bottom"/>
          </w:tcPr>
          <w:p w:rsidR="00A80EC7" w:rsidRPr="00A80EC7" w:rsidRDefault="00A80EC7" w:rsidP="00A80EC7">
            <w:pPr>
              <w:pStyle w:val="Tabletext"/>
              <w:jc w:val="right"/>
              <w:rPr>
                <w:lang w:eastAsia="zh-CN"/>
              </w:rPr>
            </w:pPr>
            <w:r w:rsidRPr="00A80EC7">
              <w:rPr>
                <w:lang w:eastAsia="zh-CN"/>
              </w:rPr>
              <w:t>0,2%</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FD5D8E" w:rsidP="00FD5D8E">
            <w:pPr>
              <w:pStyle w:val="Tabletext"/>
              <w:rPr>
                <w:lang w:eastAsia="zh-CN"/>
              </w:rPr>
            </w:pPr>
            <w:r w:rsidRPr="00A80EC7">
              <w:rPr>
                <w:lang w:eastAsia="zh-CN"/>
              </w:rPr>
              <w:t>Total recuperación de costes</w:t>
            </w:r>
          </w:p>
        </w:tc>
        <w:tc>
          <w:tcPr>
            <w:tcW w:w="810" w:type="pct"/>
            <w:tcBorders>
              <w:top w:val="nil"/>
              <w:left w:val="nil"/>
              <w:bottom w:val="nil"/>
              <w:right w:val="single" w:sz="8" w:space="0" w:color="FFFFFF"/>
            </w:tcBorders>
            <w:shd w:val="clear" w:color="000000" w:fill="FFFFFF"/>
            <w:noWrap/>
            <w:vAlign w:val="bottom"/>
          </w:tcPr>
          <w:p w:rsidR="00FD5D8E" w:rsidRPr="00A80EC7" w:rsidRDefault="00FD5D8E" w:rsidP="004F5ADD">
            <w:pPr>
              <w:pStyle w:val="Tabletext"/>
              <w:jc w:val="right"/>
              <w:rPr>
                <w:lang w:eastAsia="zh-CN"/>
              </w:rPr>
            </w:pPr>
            <w:r w:rsidRPr="00A80EC7">
              <w:rPr>
                <w:lang w:eastAsia="zh-CN"/>
              </w:rPr>
              <w:t>36 735</w:t>
            </w:r>
          </w:p>
        </w:tc>
        <w:tc>
          <w:tcPr>
            <w:tcW w:w="955" w:type="pct"/>
            <w:tcBorders>
              <w:top w:val="nil"/>
              <w:left w:val="nil"/>
              <w:bottom w:val="nil"/>
              <w:right w:val="single" w:sz="8" w:space="0" w:color="FFFFFF"/>
            </w:tcBorders>
            <w:shd w:val="clear" w:color="000000" w:fill="FFFFFF"/>
            <w:noWrap/>
            <w:vAlign w:val="bottom"/>
          </w:tcPr>
          <w:p w:rsidR="00FD5D8E" w:rsidRPr="00A80EC7" w:rsidRDefault="003B5548" w:rsidP="004F5ADD">
            <w:pPr>
              <w:pStyle w:val="Tabletext"/>
              <w:jc w:val="right"/>
              <w:rPr>
                <w:lang w:eastAsia="zh-CN"/>
              </w:rPr>
            </w:pPr>
            <w:r>
              <w:rPr>
                <w:lang w:eastAsia="zh-CN"/>
              </w:rPr>
              <w:t>2</w:t>
            </w:r>
            <w:r w:rsidR="00FD5D8E" w:rsidRPr="00A80EC7">
              <w:rPr>
                <w:lang w:eastAsia="zh-CN"/>
              </w:rPr>
              <w:t>524</w:t>
            </w:r>
          </w:p>
        </w:tc>
        <w:tc>
          <w:tcPr>
            <w:tcW w:w="691" w:type="pct"/>
            <w:tcBorders>
              <w:top w:val="nil"/>
              <w:left w:val="nil"/>
              <w:bottom w:val="nil"/>
              <w:right w:val="single" w:sz="8" w:space="0" w:color="FFFFFF"/>
            </w:tcBorders>
            <w:shd w:val="clear" w:color="000000" w:fill="FFFFFF"/>
            <w:noWrap/>
            <w:vAlign w:val="bottom"/>
          </w:tcPr>
          <w:p w:rsidR="00FD5D8E" w:rsidRPr="00A80EC7" w:rsidRDefault="00FD5D8E" w:rsidP="004F5ADD">
            <w:pPr>
              <w:pStyle w:val="Tabletext"/>
              <w:jc w:val="right"/>
              <w:rPr>
                <w:lang w:eastAsia="zh-CN"/>
              </w:rPr>
            </w:pPr>
            <w:r w:rsidRPr="00A80EC7">
              <w:t>36 050</w:t>
            </w:r>
          </w:p>
        </w:tc>
        <w:tc>
          <w:tcPr>
            <w:tcW w:w="632" w:type="pct"/>
            <w:tcBorders>
              <w:top w:val="nil"/>
              <w:left w:val="nil"/>
              <w:bottom w:val="nil"/>
              <w:right w:val="nil"/>
            </w:tcBorders>
            <w:shd w:val="clear" w:color="000000" w:fill="FFFFFF"/>
            <w:noWrap/>
            <w:vAlign w:val="center"/>
          </w:tcPr>
          <w:p w:rsidR="00FD5D8E" w:rsidRPr="00A80EC7" w:rsidRDefault="00613047" w:rsidP="004F5ADD">
            <w:pPr>
              <w:pStyle w:val="Tabletext"/>
              <w:jc w:val="right"/>
            </w:pPr>
            <w:r>
              <w:t>-</w:t>
            </w:r>
            <w:r w:rsidR="00FD5D8E" w:rsidRPr="00A80EC7">
              <w:t>325</w:t>
            </w:r>
          </w:p>
        </w:tc>
        <w:tc>
          <w:tcPr>
            <w:tcW w:w="442" w:type="pct"/>
            <w:tcBorders>
              <w:top w:val="nil"/>
              <w:left w:val="nil"/>
              <w:bottom w:val="nil"/>
              <w:right w:val="nil"/>
            </w:tcBorders>
            <w:shd w:val="clear" w:color="000000" w:fill="FFFFFF"/>
            <w:vAlign w:val="center"/>
          </w:tcPr>
          <w:p w:rsidR="00FD5D8E" w:rsidRPr="00A80EC7" w:rsidRDefault="00613047" w:rsidP="004F5ADD">
            <w:pPr>
              <w:pStyle w:val="Tabletext"/>
              <w:jc w:val="right"/>
            </w:pPr>
            <w:r>
              <w:t>-</w:t>
            </w:r>
            <w:r w:rsidR="00FD5D8E" w:rsidRPr="00A80EC7">
              <w:t>0,9%</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FD5D8E" w:rsidP="00FD5D8E">
            <w:pPr>
              <w:pStyle w:val="Tabletext"/>
              <w:rPr>
                <w:lang w:eastAsia="zh-CN"/>
              </w:rPr>
            </w:pPr>
            <w:r w:rsidRPr="00A80EC7">
              <w:rPr>
                <w:lang w:eastAsia="zh-CN"/>
              </w:rPr>
              <w:t>Total intereses devengados</w:t>
            </w:r>
          </w:p>
        </w:tc>
        <w:tc>
          <w:tcPr>
            <w:tcW w:w="810"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300</w:t>
            </w:r>
          </w:p>
        </w:tc>
        <w:tc>
          <w:tcPr>
            <w:tcW w:w="955"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100</w:t>
            </w:r>
          </w:p>
        </w:tc>
        <w:tc>
          <w:tcPr>
            <w:tcW w:w="691"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150</w:t>
            </w:r>
          </w:p>
        </w:tc>
        <w:tc>
          <w:tcPr>
            <w:tcW w:w="632" w:type="pct"/>
            <w:tcBorders>
              <w:top w:val="nil"/>
              <w:left w:val="nil"/>
              <w:bottom w:val="nil"/>
              <w:right w:val="nil"/>
            </w:tcBorders>
            <w:shd w:val="clear" w:color="000000" w:fill="FFFFFF"/>
            <w:noWrap/>
            <w:vAlign w:val="center"/>
          </w:tcPr>
          <w:p w:rsidR="00FD5D8E" w:rsidRPr="00A80EC7" w:rsidRDefault="00613047" w:rsidP="004F5ADD">
            <w:pPr>
              <w:pStyle w:val="Tabletext"/>
              <w:jc w:val="right"/>
            </w:pPr>
            <w:r>
              <w:t>-</w:t>
            </w:r>
            <w:r w:rsidR="00FD5D8E" w:rsidRPr="00A80EC7">
              <w:t>150</w:t>
            </w:r>
          </w:p>
        </w:tc>
        <w:tc>
          <w:tcPr>
            <w:tcW w:w="442" w:type="pct"/>
            <w:tcBorders>
              <w:top w:val="nil"/>
              <w:left w:val="nil"/>
              <w:bottom w:val="nil"/>
              <w:right w:val="nil"/>
            </w:tcBorders>
            <w:shd w:val="clear" w:color="000000" w:fill="FFFFFF"/>
            <w:vAlign w:val="center"/>
          </w:tcPr>
          <w:p w:rsidR="00FD5D8E" w:rsidRPr="00A80EC7" w:rsidRDefault="00613047" w:rsidP="004F5ADD">
            <w:pPr>
              <w:pStyle w:val="Tabletext"/>
              <w:jc w:val="right"/>
            </w:pPr>
            <w:r>
              <w:t>-</w:t>
            </w:r>
            <w:r w:rsidR="00FD5D8E" w:rsidRPr="00A80EC7">
              <w:t>50%</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tcPr>
          <w:p w:rsidR="00FD5D8E" w:rsidRPr="00A80EC7" w:rsidRDefault="00FD5D8E" w:rsidP="00FD5D8E">
            <w:pPr>
              <w:pStyle w:val="Tabletext"/>
              <w:rPr>
                <w:lang w:eastAsia="zh-CN"/>
              </w:rPr>
            </w:pPr>
            <w:r w:rsidRPr="00A80EC7">
              <w:rPr>
                <w:lang w:eastAsia="zh-CN"/>
              </w:rPr>
              <w:t>Otros ingresos</w:t>
            </w:r>
          </w:p>
        </w:tc>
        <w:tc>
          <w:tcPr>
            <w:tcW w:w="810"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100</w:t>
            </w:r>
          </w:p>
        </w:tc>
        <w:tc>
          <w:tcPr>
            <w:tcW w:w="955"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5</w:t>
            </w:r>
          </w:p>
        </w:tc>
        <w:tc>
          <w:tcPr>
            <w:tcW w:w="691"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100</w:t>
            </w:r>
          </w:p>
        </w:tc>
        <w:tc>
          <w:tcPr>
            <w:tcW w:w="632" w:type="pct"/>
            <w:tcBorders>
              <w:top w:val="nil"/>
              <w:left w:val="nil"/>
              <w:bottom w:val="nil"/>
              <w:right w:val="nil"/>
            </w:tcBorders>
            <w:shd w:val="clear" w:color="000000" w:fill="FFFFFF"/>
            <w:noWrap/>
            <w:vAlign w:val="center"/>
          </w:tcPr>
          <w:p w:rsidR="00FD5D8E" w:rsidRPr="00A80EC7" w:rsidRDefault="00FD5D8E" w:rsidP="004F5ADD">
            <w:pPr>
              <w:pStyle w:val="Tabletext"/>
              <w:jc w:val="right"/>
            </w:pPr>
            <w:r w:rsidRPr="00A80EC7">
              <w:t>0</w:t>
            </w:r>
          </w:p>
        </w:tc>
        <w:tc>
          <w:tcPr>
            <w:tcW w:w="442" w:type="pct"/>
            <w:tcBorders>
              <w:top w:val="nil"/>
              <w:left w:val="nil"/>
              <w:bottom w:val="nil"/>
              <w:right w:val="nil"/>
            </w:tcBorders>
            <w:shd w:val="clear" w:color="000000" w:fill="FFFFFF"/>
            <w:vAlign w:val="center"/>
          </w:tcPr>
          <w:p w:rsidR="00FD5D8E" w:rsidRPr="00A80EC7" w:rsidRDefault="00FD5D8E" w:rsidP="004F5ADD">
            <w:pPr>
              <w:pStyle w:val="Tabletext"/>
              <w:jc w:val="right"/>
            </w:pPr>
            <w:r w:rsidRPr="00A80EC7">
              <w:t>0%</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FD5D8E" w:rsidP="00FD5D8E">
            <w:pPr>
              <w:pStyle w:val="Tabletext"/>
              <w:rPr>
                <w:lang w:eastAsia="zh-CN"/>
              </w:rPr>
            </w:pPr>
            <w:r w:rsidRPr="00A80EC7">
              <w:rPr>
                <w:lang w:eastAsia="zh-CN"/>
              </w:rPr>
              <w:t>Detracción de la Cuenta de Provisión</w:t>
            </w:r>
          </w:p>
        </w:tc>
        <w:tc>
          <w:tcPr>
            <w:tcW w:w="810" w:type="pct"/>
            <w:tcBorders>
              <w:top w:val="nil"/>
              <w:left w:val="nil"/>
              <w:bottom w:val="nil"/>
              <w:right w:val="single" w:sz="8" w:space="0" w:color="FFFFFF"/>
            </w:tcBorders>
            <w:shd w:val="clear" w:color="000000" w:fill="FFFFFF"/>
            <w:noWrap/>
            <w:vAlign w:val="center"/>
          </w:tcPr>
          <w:p w:rsidR="00FD5D8E" w:rsidRPr="00A80EC7" w:rsidRDefault="00613047" w:rsidP="004F5ADD">
            <w:pPr>
              <w:pStyle w:val="Tabletext"/>
              <w:jc w:val="right"/>
            </w:pPr>
            <w:r>
              <w:t>-</w:t>
            </w:r>
            <w:r w:rsidR="003B5548">
              <w:t>2</w:t>
            </w:r>
            <w:r w:rsidR="00FD5D8E" w:rsidRPr="00A80EC7">
              <w:t>245</w:t>
            </w:r>
          </w:p>
        </w:tc>
        <w:tc>
          <w:tcPr>
            <w:tcW w:w="955"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0</w:t>
            </w:r>
          </w:p>
        </w:tc>
        <w:tc>
          <w:tcPr>
            <w:tcW w:w="691" w:type="pct"/>
            <w:tcBorders>
              <w:top w:val="nil"/>
              <w:left w:val="nil"/>
              <w:bottom w:val="nil"/>
              <w:right w:val="single" w:sz="8" w:space="0" w:color="FFFFFF"/>
            </w:tcBorders>
            <w:shd w:val="clear" w:color="000000" w:fill="FFFFFF"/>
            <w:noWrap/>
            <w:vAlign w:val="center"/>
          </w:tcPr>
          <w:p w:rsidR="00FD5D8E" w:rsidRPr="00A80EC7" w:rsidRDefault="00613047" w:rsidP="004F5ADD">
            <w:pPr>
              <w:pStyle w:val="Tabletext"/>
              <w:jc w:val="right"/>
            </w:pPr>
            <w:r>
              <w:t>-</w:t>
            </w:r>
            <w:r w:rsidR="003B5548">
              <w:t>2</w:t>
            </w:r>
            <w:r w:rsidR="00FD5D8E" w:rsidRPr="00A80EC7">
              <w:t>245</w:t>
            </w:r>
          </w:p>
        </w:tc>
        <w:tc>
          <w:tcPr>
            <w:tcW w:w="632" w:type="pct"/>
            <w:tcBorders>
              <w:top w:val="nil"/>
              <w:left w:val="nil"/>
              <w:bottom w:val="nil"/>
              <w:right w:val="nil"/>
            </w:tcBorders>
            <w:shd w:val="clear" w:color="000000" w:fill="FFFFFF"/>
            <w:noWrap/>
            <w:vAlign w:val="center"/>
          </w:tcPr>
          <w:p w:rsidR="00FD5D8E" w:rsidRPr="00A80EC7" w:rsidRDefault="00FD5D8E" w:rsidP="004F5ADD">
            <w:pPr>
              <w:pStyle w:val="Tabletext"/>
              <w:jc w:val="right"/>
            </w:pPr>
            <w:r w:rsidRPr="00A80EC7">
              <w:t>0</w:t>
            </w:r>
          </w:p>
        </w:tc>
        <w:tc>
          <w:tcPr>
            <w:tcW w:w="442" w:type="pct"/>
            <w:tcBorders>
              <w:top w:val="nil"/>
              <w:left w:val="nil"/>
              <w:bottom w:val="nil"/>
              <w:right w:val="nil"/>
            </w:tcBorders>
            <w:shd w:val="clear" w:color="000000" w:fill="FFFFFF"/>
            <w:vAlign w:val="center"/>
          </w:tcPr>
          <w:p w:rsidR="00FD5D8E" w:rsidRPr="00A80EC7" w:rsidRDefault="00FD5D8E" w:rsidP="004F5ADD">
            <w:pPr>
              <w:pStyle w:val="Tabletext"/>
              <w:jc w:val="right"/>
            </w:pPr>
            <w:r w:rsidRPr="00A80EC7">
              <w:t>0%</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tcPr>
          <w:p w:rsidR="00FD5D8E" w:rsidRPr="00A80EC7" w:rsidRDefault="00FD5D8E" w:rsidP="00FD5D8E">
            <w:pPr>
              <w:pStyle w:val="Tabletext"/>
              <w:rPr>
                <w:lang w:eastAsia="zh-CN"/>
              </w:rPr>
            </w:pPr>
            <w:r w:rsidRPr="00A80EC7">
              <w:rPr>
                <w:lang w:eastAsia="zh-CN"/>
              </w:rPr>
              <w:t>Ahorros en la aplicación del presupuesto</w:t>
            </w:r>
          </w:p>
        </w:tc>
        <w:tc>
          <w:tcPr>
            <w:tcW w:w="810"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946</w:t>
            </w:r>
          </w:p>
        </w:tc>
        <w:tc>
          <w:tcPr>
            <w:tcW w:w="955"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0</w:t>
            </w:r>
          </w:p>
        </w:tc>
        <w:tc>
          <w:tcPr>
            <w:tcW w:w="691"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946</w:t>
            </w:r>
          </w:p>
        </w:tc>
        <w:tc>
          <w:tcPr>
            <w:tcW w:w="632" w:type="pct"/>
            <w:tcBorders>
              <w:top w:val="nil"/>
              <w:left w:val="nil"/>
              <w:bottom w:val="nil"/>
              <w:right w:val="nil"/>
            </w:tcBorders>
            <w:shd w:val="clear" w:color="000000" w:fill="FFFFFF"/>
            <w:noWrap/>
            <w:vAlign w:val="center"/>
          </w:tcPr>
          <w:p w:rsidR="00FD5D8E" w:rsidRPr="00A80EC7" w:rsidRDefault="00FD5D8E" w:rsidP="004F5ADD">
            <w:pPr>
              <w:pStyle w:val="Tabletext"/>
              <w:jc w:val="right"/>
            </w:pPr>
            <w:r w:rsidRPr="00A80EC7">
              <w:t>0</w:t>
            </w:r>
          </w:p>
        </w:tc>
        <w:tc>
          <w:tcPr>
            <w:tcW w:w="442" w:type="pct"/>
            <w:tcBorders>
              <w:top w:val="nil"/>
              <w:left w:val="nil"/>
              <w:bottom w:val="nil"/>
              <w:right w:val="nil"/>
            </w:tcBorders>
            <w:shd w:val="clear" w:color="000000" w:fill="FFFFFF"/>
            <w:vAlign w:val="center"/>
          </w:tcPr>
          <w:p w:rsidR="00FD5D8E" w:rsidRPr="00A80EC7" w:rsidRDefault="00FD5D8E" w:rsidP="004F5ADD">
            <w:pPr>
              <w:pStyle w:val="Tabletext"/>
              <w:jc w:val="right"/>
            </w:pPr>
            <w:r w:rsidRPr="00A80EC7">
              <w:t>0%</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FD5D8E" w:rsidP="00FD5D8E">
            <w:pPr>
              <w:pStyle w:val="Tabletext"/>
              <w:rPr>
                <w:b/>
                <w:bCs/>
                <w:lang w:eastAsia="zh-CN"/>
              </w:rPr>
            </w:pPr>
            <w:r w:rsidRPr="00A80EC7">
              <w:rPr>
                <w:b/>
                <w:bCs/>
                <w:lang w:eastAsia="zh-CN"/>
              </w:rPr>
              <w:t>INGRESOS TOTALES</w:t>
            </w:r>
          </w:p>
        </w:tc>
        <w:tc>
          <w:tcPr>
            <w:tcW w:w="810" w:type="pct"/>
            <w:tcBorders>
              <w:top w:val="nil"/>
              <w:left w:val="nil"/>
              <w:bottom w:val="nil"/>
              <w:right w:val="single" w:sz="8" w:space="0" w:color="FFFFFF"/>
            </w:tcBorders>
            <w:shd w:val="clear" w:color="000000" w:fill="DCE6F1"/>
            <w:noWrap/>
            <w:vAlign w:val="center"/>
          </w:tcPr>
          <w:p w:rsidR="00FD5D8E" w:rsidRPr="00A80EC7" w:rsidRDefault="00FD5D8E" w:rsidP="004F5ADD">
            <w:pPr>
              <w:pStyle w:val="Tabletext"/>
              <w:jc w:val="right"/>
              <w:rPr>
                <w:b/>
                <w:bCs/>
              </w:rPr>
            </w:pPr>
            <w:r w:rsidRPr="00A80EC7">
              <w:rPr>
                <w:b/>
                <w:bCs/>
              </w:rPr>
              <w:t>159 877</w:t>
            </w:r>
          </w:p>
        </w:tc>
        <w:tc>
          <w:tcPr>
            <w:tcW w:w="955" w:type="pct"/>
            <w:tcBorders>
              <w:top w:val="nil"/>
              <w:left w:val="nil"/>
              <w:bottom w:val="nil"/>
              <w:right w:val="single" w:sz="8" w:space="0" w:color="FFFFFF"/>
            </w:tcBorders>
            <w:shd w:val="clear" w:color="000000" w:fill="DCE6F1"/>
            <w:noWrap/>
            <w:vAlign w:val="center"/>
          </w:tcPr>
          <w:p w:rsidR="00FD5D8E" w:rsidRPr="00A80EC7" w:rsidRDefault="00FD5D8E" w:rsidP="004F5ADD">
            <w:pPr>
              <w:pStyle w:val="Tabletext"/>
              <w:jc w:val="right"/>
              <w:rPr>
                <w:b/>
                <w:bCs/>
              </w:rPr>
            </w:pPr>
            <w:r w:rsidRPr="00A80EC7">
              <w:rPr>
                <w:b/>
                <w:bCs/>
              </w:rPr>
              <w:t>127 220</w:t>
            </w:r>
          </w:p>
        </w:tc>
        <w:tc>
          <w:tcPr>
            <w:tcW w:w="691" w:type="pct"/>
            <w:tcBorders>
              <w:top w:val="nil"/>
              <w:left w:val="nil"/>
              <w:bottom w:val="nil"/>
              <w:right w:val="single" w:sz="8" w:space="0" w:color="FFFFFF"/>
            </w:tcBorders>
            <w:shd w:val="clear" w:color="000000" w:fill="DCE6F1"/>
            <w:noWrap/>
            <w:vAlign w:val="center"/>
          </w:tcPr>
          <w:p w:rsidR="00FD5D8E" w:rsidRPr="00A80EC7" w:rsidRDefault="00FD5D8E" w:rsidP="004F5ADD">
            <w:pPr>
              <w:pStyle w:val="Tabletext"/>
              <w:jc w:val="right"/>
              <w:rPr>
                <w:b/>
                <w:bCs/>
              </w:rPr>
            </w:pPr>
            <w:r w:rsidRPr="00A80EC7">
              <w:rPr>
                <w:b/>
                <w:bCs/>
              </w:rPr>
              <w:t>159 592</w:t>
            </w:r>
          </w:p>
        </w:tc>
        <w:tc>
          <w:tcPr>
            <w:tcW w:w="632" w:type="pct"/>
            <w:tcBorders>
              <w:top w:val="nil"/>
              <w:left w:val="nil"/>
              <w:bottom w:val="nil"/>
              <w:right w:val="nil"/>
            </w:tcBorders>
            <w:shd w:val="clear" w:color="000000" w:fill="DCE6F1"/>
            <w:noWrap/>
            <w:vAlign w:val="center"/>
          </w:tcPr>
          <w:p w:rsidR="00FD5D8E" w:rsidRPr="00A80EC7" w:rsidRDefault="00613047" w:rsidP="004F5ADD">
            <w:pPr>
              <w:pStyle w:val="Tabletext"/>
              <w:jc w:val="right"/>
              <w:rPr>
                <w:b/>
                <w:bCs/>
              </w:rPr>
            </w:pPr>
            <w:r>
              <w:rPr>
                <w:b/>
                <w:bCs/>
              </w:rPr>
              <w:t>-</w:t>
            </w:r>
            <w:r w:rsidR="00FD5D8E" w:rsidRPr="00A80EC7">
              <w:rPr>
                <w:b/>
                <w:bCs/>
              </w:rPr>
              <w:t>285</w:t>
            </w:r>
          </w:p>
        </w:tc>
        <w:tc>
          <w:tcPr>
            <w:tcW w:w="442" w:type="pct"/>
            <w:tcBorders>
              <w:top w:val="nil"/>
              <w:left w:val="nil"/>
              <w:bottom w:val="nil"/>
              <w:right w:val="nil"/>
            </w:tcBorders>
            <w:shd w:val="clear" w:color="auto" w:fill="DBE5F1" w:themeFill="accent1" w:themeFillTint="33"/>
            <w:vAlign w:val="center"/>
          </w:tcPr>
          <w:p w:rsidR="00FD5D8E" w:rsidRPr="00A80EC7" w:rsidRDefault="00613047" w:rsidP="004F5ADD">
            <w:pPr>
              <w:pStyle w:val="Tabletext"/>
              <w:jc w:val="right"/>
              <w:rPr>
                <w:b/>
                <w:bCs/>
              </w:rPr>
            </w:pPr>
            <w:r>
              <w:rPr>
                <w:b/>
                <w:bCs/>
              </w:rPr>
              <w:t>-</w:t>
            </w:r>
            <w:r w:rsidR="00FD5D8E" w:rsidRPr="00A80EC7">
              <w:rPr>
                <w:b/>
                <w:bCs/>
              </w:rPr>
              <w:t>0,2%</w:t>
            </w:r>
          </w:p>
        </w:tc>
      </w:tr>
      <w:tr w:rsidR="00F01C64" w:rsidRPr="00A80EC7" w:rsidTr="003B5548">
        <w:trPr>
          <w:trHeight w:val="543"/>
        </w:trPr>
        <w:tc>
          <w:tcPr>
            <w:tcW w:w="1470" w:type="pct"/>
            <w:tcBorders>
              <w:top w:val="nil"/>
              <w:left w:val="nil"/>
              <w:bottom w:val="single" w:sz="12" w:space="0" w:color="FFFFFF"/>
              <w:right w:val="single" w:sz="12" w:space="0" w:color="FFFFFF"/>
            </w:tcBorders>
            <w:shd w:val="clear" w:color="000000" w:fill="DCE6F1"/>
            <w:vAlign w:val="center"/>
            <w:hideMark/>
          </w:tcPr>
          <w:p w:rsidR="00F01C64" w:rsidRPr="00A80EC7" w:rsidRDefault="00F01C64" w:rsidP="001912A1">
            <w:pPr>
              <w:pStyle w:val="Tablehead"/>
              <w:rPr>
                <w:bCs/>
                <w:lang w:eastAsia="zh-CN"/>
              </w:rPr>
            </w:pPr>
            <w:r w:rsidRPr="001912A1">
              <w:rPr>
                <w:lang w:eastAsia="zh-CN"/>
              </w:rPr>
              <w:t>Gastos</w:t>
            </w:r>
          </w:p>
        </w:tc>
        <w:tc>
          <w:tcPr>
            <w:tcW w:w="3530" w:type="pct"/>
            <w:gridSpan w:val="5"/>
            <w:tcBorders>
              <w:top w:val="nil"/>
              <w:left w:val="nil"/>
              <w:right w:val="single" w:sz="8" w:space="0" w:color="FFFFFF"/>
            </w:tcBorders>
            <w:shd w:val="clear" w:color="000000" w:fill="DCE6F1"/>
            <w:vAlign w:val="bottom"/>
          </w:tcPr>
          <w:p w:rsidR="00F01C64" w:rsidRPr="00A80EC7" w:rsidRDefault="00F01C64" w:rsidP="004F5ADD">
            <w:pPr>
              <w:pStyle w:val="Tabletext"/>
              <w:jc w:val="right"/>
              <w:rPr>
                <w:b/>
                <w:bCs/>
                <w:lang w:eastAsia="zh-CN"/>
              </w:rPr>
            </w:pP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FD5D8E" w:rsidP="00FD5D8E">
            <w:pPr>
              <w:pStyle w:val="Tabletext"/>
              <w:rPr>
                <w:lang w:eastAsia="zh-CN"/>
              </w:rPr>
            </w:pPr>
            <w:r w:rsidRPr="00A80EC7">
              <w:rPr>
                <w:lang w:eastAsia="zh-CN"/>
              </w:rPr>
              <w:t>Secretaría General</w:t>
            </w:r>
          </w:p>
        </w:tc>
        <w:tc>
          <w:tcPr>
            <w:tcW w:w="810"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90 549</w:t>
            </w:r>
          </w:p>
        </w:tc>
        <w:tc>
          <w:tcPr>
            <w:tcW w:w="955" w:type="pct"/>
            <w:tcBorders>
              <w:top w:val="nil"/>
              <w:left w:val="nil"/>
              <w:bottom w:val="nil"/>
              <w:right w:val="single" w:sz="8" w:space="0" w:color="FFFFFF"/>
            </w:tcBorders>
            <w:shd w:val="clear" w:color="000000" w:fill="FFFFFF"/>
            <w:noWrap/>
            <w:vAlign w:val="center"/>
          </w:tcPr>
          <w:p w:rsidR="00FD5D8E" w:rsidRPr="00A80EC7" w:rsidRDefault="003B5548" w:rsidP="004F5ADD">
            <w:pPr>
              <w:pStyle w:val="Tabletext"/>
              <w:jc w:val="right"/>
            </w:pPr>
            <w:r>
              <w:t>5</w:t>
            </w:r>
            <w:r w:rsidR="00FD5D8E" w:rsidRPr="00A80EC7">
              <w:t>051</w:t>
            </w:r>
          </w:p>
        </w:tc>
        <w:tc>
          <w:tcPr>
            <w:tcW w:w="691"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88 849</w:t>
            </w:r>
          </w:p>
        </w:tc>
        <w:tc>
          <w:tcPr>
            <w:tcW w:w="632" w:type="pct"/>
            <w:tcBorders>
              <w:top w:val="nil"/>
              <w:left w:val="nil"/>
              <w:bottom w:val="nil"/>
              <w:right w:val="nil"/>
            </w:tcBorders>
            <w:shd w:val="clear" w:color="000000" w:fill="FFFFFF"/>
            <w:noWrap/>
            <w:vAlign w:val="center"/>
          </w:tcPr>
          <w:p w:rsidR="00FD5D8E" w:rsidRPr="00A80EC7" w:rsidRDefault="003B5548" w:rsidP="004F5ADD">
            <w:pPr>
              <w:pStyle w:val="Tabletext"/>
              <w:jc w:val="right"/>
            </w:pPr>
            <w:r>
              <w:t>1</w:t>
            </w:r>
            <w:r w:rsidR="00FD5D8E" w:rsidRPr="00A80EC7">
              <w:t>700</w:t>
            </w:r>
          </w:p>
        </w:tc>
        <w:tc>
          <w:tcPr>
            <w:tcW w:w="442" w:type="pct"/>
            <w:tcBorders>
              <w:top w:val="nil"/>
              <w:left w:val="nil"/>
              <w:bottom w:val="nil"/>
              <w:right w:val="nil"/>
            </w:tcBorders>
            <w:shd w:val="clear" w:color="000000" w:fill="FFFFFF"/>
            <w:vAlign w:val="center"/>
          </w:tcPr>
          <w:p w:rsidR="00FD5D8E" w:rsidRPr="00A80EC7" w:rsidRDefault="00FD5D8E" w:rsidP="004F5ADD">
            <w:pPr>
              <w:pStyle w:val="Tabletext"/>
              <w:jc w:val="right"/>
            </w:pPr>
            <w:r w:rsidRPr="00A80EC7">
              <w:t>1,9%</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FD5D8E" w:rsidP="00FD5D8E">
            <w:pPr>
              <w:pStyle w:val="Tabletext"/>
              <w:rPr>
                <w:lang w:eastAsia="zh-CN"/>
              </w:rPr>
            </w:pPr>
            <w:r w:rsidRPr="00A80EC7">
              <w:rPr>
                <w:lang w:eastAsia="zh-CN"/>
              </w:rPr>
              <w:t>UIT-R</w:t>
            </w:r>
          </w:p>
        </w:tc>
        <w:tc>
          <w:tcPr>
            <w:tcW w:w="810"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27 988</w:t>
            </w:r>
          </w:p>
        </w:tc>
        <w:tc>
          <w:tcPr>
            <w:tcW w:w="955" w:type="pct"/>
            <w:tcBorders>
              <w:top w:val="nil"/>
              <w:left w:val="nil"/>
              <w:bottom w:val="nil"/>
              <w:right w:val="single" w:sz="8" w:space="0" w:color="FFFFFF"/>
            </w:tcBorders>
            <w:shd w:val="clear" w:color="000000" w:fill="FFFFFF"/>
            <w:noWrap/>
            <w:vAlign w:val="center"/>
          </w:tcPr>
          <w:p w:rsidR="00FD5D8E" w:rsidRPr="00A80EC7" w:rsidRDefault="003B5548" w:rsidP="004F5ADD">
            <w:pPr>
              <w:pStyle w:val="Tabletext"/>
              <w:jc w:val="right"/>
            </w:pPr>
            <w:r>
              <w:t>2</w:t>
            </w:r>
            <w:r w:rsidR="00FD5D8E" w:rsidRPr="00A80EC7">
              <w:t>059</w:t>
            </w:r>
          </w:p>
        </w:tc>
        <w:tc>
          <w:tcPr>
            <w:tcW w:w="691"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27 463</w:t>
            </w:r>
          </w:p>
        </w:tc>
        <w:tc>
          <w:tcPr>
            <w:tcW w:w="632" w:type="pct"/>
            <w:tcBorders>
              <w:top w:val="nil"/>
              <w:left w:val="nil"/>
              <w:bottom w:val="nil"/>
              <w:right w:val="nil"/>
            </w:tcBorders>
            <w:shd w:val="clear" w:color="000000" w:fill="FFFFFF"/>
            <w:noWrap/>
            <w:vAlign w:val="center"/>
          </w:tcPr>
          <w:p w:rsidR="00FD5D8E" w:rsidRPr="00A80EC7" w:rsidRDefault="00FD5D8E" w:rsidP="004F5ADD">
            <w:pPr>
              <w:pStyle w:val="Tabletext"/>
              <w:jc w:val="right"/>
            </w:pPr>
            <w:r w:rsidRPr="00A80EC7">
              <w:t>525</w:t>
            </w:r>
          </w:p>
        </w:tc>
        <w:tc>
          <w:tcPr>
            <w:tcW w:w="442" w:type="pct"/>
            <w:tcBorders>
              <w:top w:val="nil"/>
              <w:left w:val="nil"/>
              <w:bottom w:val="nil"/>
              <w:right w:val="nil"/>
            </w:tcBorders>
            <w:shd w:val="clear" w:color="000000" w:fill="FFFFFF"/>
            <w:vAlign w:val="center"/>
          </w:tcPr>
          <w:p w:rsidR="00FD5D8E" w:rsidRPr="00A80EC7" w:rsidRDefault="00FD5D8E" w:rsidP="004F5ADD">
            <w:pPr>
              <w:pStyle w:val="Tabletext"/>
              <w:jc w:val="right"/>
            </w:pPr>
            <w:r w:rsidRPr="00A80EC7">
              <w:t>1,9%</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FD5D8E" w:rsidP="00FD5D8E">
            <w:pPr>
              <w:pStyle w:val="Tabletext"/>
              <w:rPr>
                <w:lang w:eastAsia="zh-CN"/>
              </w:rPr>
            </w:pPr>
            <w:r w:rsidRPr="00A80EC7">
              <w:rPr>
                <w:lang w:eastAsia="zh-CN"/>
              </w:rPr>
              <w:t>UIT-T</w:t>
            </w:r>
          </w:p>
        </w:tc>
        <w:tc>
          <w:tcPr>
            <w:tcW w:w="810"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13 505</w:t>
            </w:r>
          </w:p>
        </w:tc>
        <w:tc>
          <w:tcPr>
            <w:tcW w:w="955"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898</w:t>
            </w:r>
          </w:p>
        </w:tc>
        <w:tc>
          <w:tcPr>
            <w:tcW w:w="691"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13 252</w:t>
            </w:r>
          </w:p>
        </w:tc>
        <w:tc>
          <w:tcPr>
            <w:tcW w:w="632" w:type="pct"/>
            <w:tcBorders>
              <w:top w:val="nil"/>
              <w:left w:val="nil"/>
              <w:bottom w:val="nil"/>
              <w:right w:val="nil"/>
            </w:tcBorders>
            <w:shd w:val="clear" w:color="000000" w:fill="FFFFFF"/>
            <w:noWrap/>
            <w:vAlign w:val="center"/>
          </w:tcPr>
          <w:p w:rsidR="00FD5D8E" w:rsidRPr="00A80EC7" w:rsidRDefault="00FD5D8E" w:rsidP="004F5ADD">
            <w:pPr>
              <w:pStyle w:val="Tabletext"/>
              <w:jc w:val="right"/>
            </w:pPr>
            <w:r w:rsidRPr="00A80EC7">
              <w:t>253</w:t>
            </w:r>
          </w:p>
        </w:tc>
        <w:tc>
          <w:tcPr>
            <w:tcW w:w="442" w:type="pct"/>
            <w:tcBorders>
              <w:top w:val="nil"/>
              <w:left w:val="nil"/>
              <w:bottom w:val="nil"/>
              <w:right w:val="nil"/>
            </w:tcBorders>
            <w:shd w:val="clear" w:color="000000" w:fill="FFFFFF"/>
            <w:vAlign w:val="center"/>
          </w:tcPr>
          <w:p w:rsidR="00FD5D8E" w:rsidRPr="00A80EC7" w:rsidRDefault="00FD5D8E" w:rsidP="004F5ADD">
            <w:pPr>
              <w:pStyle w:val="Tabletext"/>
              <w:jc w:val="right"/>
            </w:pPr>
            <w:r w:rsidRPr="00A80EC7">
              <w:t>1,9%</w:t>
            </w:r>
          </w:p>
        </w:tc>
      </w:tr>
      <w:tr w:rsidR="00FD5D8E" w:rsidRPr="00A80EC7" w:rsidTr="003B5548">
        <w:trPr>
          <w:trHeight w:val="23"/>
        </w:trPr>
        <w:tc>
          <w:tcPr>
            <w:tcW w:w="1470" w:type="pct"/>
            <w:tcBorders>
              <w:top w:val="nil"/>
              <w:left w:val="nil"/>
              <w:bottom w:val="single" w:sz="12" w:space="0" w:color="FFFFFF"/>
              <w:right w:val="single" w:sz="12" w:space="0" w:color="FFFFFF"/>
            </w:tcBorders>
            <w:shd w:val="clear" w:color="000000" w:fill="DCE6F1"/>
            <w:noWrap/>
            <w:vAlign w:val="bottom"/>
            <w:hideMark/>
          </w:tcPr>
          <w:p w:rsidR="00FD5D8E" w:rsidRPr="00A80EC7" w:rsidRDefault="00FD5D8E" w:rsidP="00FD5D8E">
            <w:pPr>
              <w:pStyle w:val="Tabletext"/>
              <w:rPr>
                <w:lang w:eastAsia="zh-CN"/>
              </w:rPr>
            </w:pPr>
            <w:r w:rsidRPr="00A80EC7">
              <w:rPr>
                <w:lang w:eastAsia="zh-CN"/>
              </w:rPr>
              <w:t>UIT-D</w:t>
            </w:r>
          </w:p>
        </w:tc>
        <w:tc>
          <w:tcPr>
            <w:tcW w:w="810"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27 835</w:t>
            </w:r>
          </w:p>
        </w:tc>
        <w:tc>
          <w:tcPr>
            <w:tcW w:w="955" w:type="pct"/>
            <w:tcBorders>
              <w:top w:val="nil"/>
              <w:left w:val="nil"/>
              <w:bottom w:val="nil"/>
              <w:right w:val="single" w:sz="8" w:space="0" w:color="FFFFFF"/>
            </w:tcBorders>
            <w:shd w:val="clear" w:color="000000" w:fill="FFFFFF"/>
            <w:noWrap/>
            <w:vAlign w:val="center"/>
          </w:tcPr>
          <w:p w:rsidR="00FD5D8E" w:rsidRPr="00A80EC7" w:rsidRDefault="003B5548" w:rsidP="004F5ADD">
            <w:pPr>
              <w:pStyle w:val="Tabletext"/>
              <w:jc w:val="right"/>
            </w:pPr>
            <w:r>
              <w:t>1</w:t>
            </w:r>
            <w:r w:rsidR="00FD5D8E" w:rsidRPr="00A80EC7">
              <w:t>698</w:t>
            </w:r>
          </w:p>
        </w:tc>
        <w:tc>
          <w:tcPr>
            <w:tcW w:w="691" w:type="pct"/>
            <w:tcBorders>
              <w:top w:val="nil"/>
              <w:left w:val="nil"/>
              <w:bottom w:val="nil"/>
              <w:right w:val="single" w:sz="8" w:space="0" w:color="FFFFFF"/>
            </w:tcBorders>
            <w:shd w:val="clear" w:color="000000" w:fill="FFFFFF"/>
            <w:noWrap/>
            <w:vAlign w:val="center"/>
          </w:tcPr>
          <w:p w:rsidR="00FD5D8E" w:rsidRPr="00A80EC7" w:rsidRDefault="00FD5D8E" w:rsidP="004F5ADD">
            <w:pPr>
              <w:pStyle w:val="Tabletext"/>
              <w:jc w:val="right"/>
            </w:pPr>
            <w:r w:rsidRPr="00A80EC7">
              <w:t>27 313</w:t>
            </w:r>
          </w:p>
        </w:tc>
        <w:tc>
          <w:tcPr>
            <w:tcW w:w="632" w:type="pct"/>
            <w:tcBorders>
              <w:top w:val="nil"/>
              <w:left w:val="nil"/>
              <w:bottom w:val="nil"/>
              <w:right w:val="nil"/>
            </w:tcBorders>
            <w:shd w:val="clear" w:color="000000" w:fill="FFFFFF"/>
            <w:noWrap/>
            <w:vAlign w:val="center"/>
          </w:tcPr>
          <w:p w:rsidR="00FD5D8E" w:rsidRPr="00A80EC7" w:rsidRDefault="00FD5D8E" w:rsidP="004F5ADD">
            <w:pPr>
              <w:pStyle w:val="Tabletext"/>
              <w:jc w:val="right"/>
            </w:pPr>
            <w:r w:rsidRPr="00A80EC7">
              <w:t>522</w:t>
            </w:r>
          </w:p>
        </w:tc>
        <w:tc>
          <w:tcPr>
            <w:tcW w:w="442" w:type="pct"/>
            <w:tcBorders>
              <w:top w:val="nil"/>
              <w:left w:val="nil"/>
              <w:bottom w:val="single" w:sz="4" w:space="0" w:color="FFFFFF"/>
              <w:right w:val="nil"/>
            </w:tcBorders>
            <w:shd w:val="clear" w:color="000000" w:fill="FFFFFF"/>
            <w:vAlign w:val="center"/>
          </w:tcPr>
          <w:p w:rsidR="00FD5D8E" w:rsidRPr="00A80EC7" w:rsidRDefault="00FD5D8E" w:rsidP="004F5ADD">
            <w:pPr>
              <w:pStyle w:val="Tabletext"/>
              <w:jc w:val="right"/>
            </w:pPr>
            <w:r w:rsidRPr="00A80EC7">
              <w:t>1,9%</w:t>
            </w: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FD5D8E" w:rsidP="00FD5D8E">
            <w:pPr>
              <w:pStyle w:val="Tabletext"/>
              <w:rPr>
                <w:b/>
                <w:bCs/>
                <w:lang w:eastAsia="zh-CN"/>
              </w:rPr>
            </w:pPr>
            <w:r w:rsidRPr="00A80EC7">
              <w:rPr>
                <w:b/>
                <w:bCs/>
                <w:lang w:eastAsia="zh-CN"/>
              </w:rPr>
              <w:t>GASTOS TOTALES</w:t>
            </w:r>
          </w:p>
        </w:tc>
        <w:tc>
          <w:tcPr>
            <w:tcW w:w="810" w:type="pct"/>
            <w:tcBorders>
              <w:top w:val="nil"/>
              <w:left w:val="nil"/>
              <w:bottom w:val="nil"/>
              <w:right w:val="single" w:sz="8" w:space="0" w:color="FFFFFF"/>
            </w:tcBorders>
            <w:shd w:val="clear" w:color="000000" w:fill="DCE6F1"/>
            <w:noWrap/>
            <w:vAlign w:val="center"/>
          </w:tcPr>
          <w:p w:rsidR="00FD5D8E" w:rsidRPr="00A80EC7" w:rsidRDefault="00FD5D8E" w:rsidP="004F5ADD">
            <w:pPr>
              <w:pStyle w:val="Tabletext"/>
              <w:jc w:val="right"/>
              <w:rPr>
                <w:b/>
                <w:bCs/>
              </w:rPr>
            </w:pPr>
            <w:r w:rsidRPr="00A80EC7">
              <w:rPr>
                <w:b/>
                <w:bCs/>
              </w:rPr>
              <w:t>159 877</w:t>
            </w:r>
          </w:p>
        </w:tc>
        <w:tc>
          <w:tcPr>
            <w:tcW w:w="955" w:type="pct"/>
            <w:tcBorders>
              <w:top w:val="nil"/>
              <w:left w:val="nil"/>
              <w:bottom w:val="nil"/>
              <w:right w:val="single" w:sz="8" w:space="0" w:color="FFFFFF"/>
            </w:tcBorders>
            <w:shd w:val="clear" w:color="000000" w:fill="DCE6F1"/>
            <w:noWrap/>
            <w:vAlign w:val="center"/>
          </w:tcPr>
          <w:p w:rsidR="00FD5D8E" w:rsidRPr="00A80EC7" w:rsidRDefault="003B5548" w:rsidP="004F5ADD">
            <w:pPr>
              <w:pStyle w:val="Tabletext"/>
              <w:jc w:val="right"/>
              <w:rPr>
                <w:b/>
                <w:bCs/>
              </w:rPr>
            </w:pPr>
            <w:r>
              <w:rPr>
                <w:b/>
                <w:bCs/>
              </w:rPr>
              <w:t>9</w:t>
            </w:r>
            <w:r w:rsidR="00FD5D8E" w:rsidRPr="00A80EC7">
              <w:rPr>
                <w:b/>
                <w:bCs/>
              </w:rPr>
              <w:t>705</w:t>
            </w:r>
          </w:p>
        </w:tc>
        <w:tc>
          <w:tcPr>
            <w:tcW w:w="691" w:type="pct"/>
            <w:tcBorders>
              <w:top w:val="nil"/>
              <w:left w:val="nil"/>
              <w:bottom w:val="nil"/>
              <w:right w:val="single" w:sz="8" w:space="0" w:color="FFFFFF"/>
            </w:tcBorders>
            <w:shd w:val="clear" w:color="000000" w:fill="DCE6F1"/>
            <w:noWrap/>
            <w:vAlign w:val="center"/>
          </w:tcPr>
          <w:p w:rsidR="00FD5D8E" w:rsidRPr="00A80EC7" w:rsidRDefault="00FD5D8E" w:rsidP="004F5ADD">
            <w:pPr>
              <w:pStyle w:val="Tabletext"/>
              <w:jc w:val="right"/>
              <w:rPr>
                <w:b/>
                <w:bCs/>
              </w:rPr>
            </w:pPr>
            <w:r w:rsidRPr="00A80EC7">
              <w:rPr>
                <w:b/>
                <w:bCs/>
              </w:rPr>
              <w:t>156 877</w:t>
            </w:r>
          </w:p>
        </w:tc>
        <w:tc>
          <w:tcPr>
            <w:tcW w:w="632" w:type="pct"/>
            <w:tcBorders>
              <w:top w:val="nil"/>
              <w:left w:val="nil"/>
              <w:bottom w:val="nil"/>
              <w:right w:val="nil"/>
            </w:tcBorders>
            <w:shd w:val="clear" w:color="000000" w:fill="DCE6F1"/>
            <w:noWrap/>
            <w:vAlign w:val="center"/>
          </w:tcPr>
          <w:p w:rsidR="00FD5D8E" w:rsidRPr="00A80EC7" w:rsidRDefault="003B5548" w:rsidP="004F5ADD">
            <w:pPr>
              <w:pStyle w:val="Tabletext"/>
              <w:jc w:val="right"/>
              <w:rPr>
                <w:b/>
                <w:bCs/>
              </w:rPr>
            </w:pPr>
            <w:r>
              <w:rPr>
                <w:b/>
                <w:bCs/>
              </w:rPr>
              <w:t>3</w:t>
            </w:r>
            <w:r w:rsidR="00FD5D8E" w:rsidRPr="00A80EC7">
              <w:rPr>
                <w:b/>
                <w:bCs/>
              </w:rPr>
              <w:t>000</w:t>
            </w:r>
          </w:p>
        </w:tc>
        <w:tc>
          <w:tcPr>
            <w:tcW w:w="442" w:type="pct"/>
            <w:tcBorders>
              <w:top w:val="nil"/>
              <w:left w:val="nil"/>
              <w:bottom w:val="nil"/>
              <w:right w:val="nil"/>
            </w:tcBorders>
            <w:shd w:val="clear" w:color="auto" w:fill="DBE5F1" w:themeFill="accent1" w:themeFillTint="33"/>
            <w:vAlign w:val="center"/>
          </w:tcPr>
          <w:p w:rsidR="00FD5D8E" w:rsidRPr="00A80EC7" w:rsidRDefault="00FD5D8E" w:rsidP="004F5ADD">
            <w:pPr>
              <w:pStyle w:val="Tabletext"/>
              <w:jc w:val="right"/>
              <w:rPr>
                <w:b/>
                <w:bCs/>
              </w:rPr>
            </w:pPr>
            <w:r w:rsidRPr="00A80EC7">
              <w:rPr>
                <w:b/>
                <w:bCs/>
              </w:rPr>
              <w:t>1,9%</w:t>
            </w:r>
          </w:p>
        </w:tc>
      </w:tr>
      <w:tr w:rsidR="00F01C64" w:rsidRPr="00A80EC7" w:rsidTr="003B5548">
        <w:trPr>
          <w:trHeight w:val="23"/>
        </w:trPr>
        <w:tc>
          <w:tcPr>
            <w:tcW w:w="1470" w:type="pct"/>
            <w:tcBorders>
              <w:top w:val="nil"/>
              <w:left w:val="nil"/>
              <w:bottom w:val="nil"/>
              <w:right w:val="nil"/>
            </w:tcBorders>
            <w:shd w:val="clear" w:color="000000" w:fill="FFFFFF"/>
            <w:noWrap/>
            <w:vAlign w:val="bottom"/>
            <w:hideMark/>
          </w:tcPr>
          <w:p w:rsidR="00F01C64" w:rsidRPr="00A80EC7" w:rsidRDefault="00F01C64" w:rsidP="00FD5D8E">
            <w:pPr>
              <w:pStyle w:val="Tabletext"/>
              <w:rPr>
                <w:lang w:eastAsia="zh-CN"/>
              </w:rPr>
            </w:pPr>
            <w:r w:rsidRPr="00A80EC7">
              <w:rPr>
                <w:lang w:eastAsia="zh-CN"/>
              </w:rPr>
              <w:t> </w:t>
            </w:r>
          </w:p>
        </w:tc>
        <w:tc>
          <w:tcPr>
            <w:tcW w:w="810" w:type="pct"/>
            <w:tcBorders>
              <w:top w:val="single" w:sz="4" w:space="0" w:color="FFFFFF"/>
              <w:left w:val="nil"/>
              <w:bottom w:val="single" w:sz="4" w:space="0" w:color="FFFFFF"/>
              <w:right w:val="single" w:sz="8" w:space="0" w:color="FFFFFF"/>
            </w:tcBorders>
            <w:shd w:val="clear" w:color="000000" w:fill="FFFFFF"/>
            <w:noWrap/>
            <w:vAlign w:val="bottom"/>
          </w:tcPr>
          <w:p w:rsidR="00F01C64" w:rsidRPr="00A80EC7" w:rsidRDefault="00F01C64" w:rsidP="004F5ADD">
            <w:pPr>
              <w:pStyle w:val="Tabletext"/>
              <w:jc w:val="right"/>
              <w:rPr>
                <w:b/>
                <w:bCs/>
                <w:lang w:eastAsia="zh-CN"/>
              </w:rPr>
            </w:pPr>
          </w:p>
        </w:tc>
        <w:tc>
          <w:tcPr>
            <w:tcW w:w="955" w:type="pct"/>
            <w:tcBorders>
              <w:top w:val="single" w:sz="4" w:space="0" w:color="FFFFFF"/>
              <w:left w:val="nil"/>
              <w:bottom w:val="single" w:sz="4" w:space="0" w:color="FFFFFF"/>
              <w:right w:val="single" w:sz="8" w:space="0" w:color="FFFFFF"/>
            </w:tcBorders>
            <w:shd w:val="clear" w:color="000000" w:fill="FFFFFF"/>
            <w:noWrap/>
            <w:vAlign w:val="bottom"/>
          </w:tcPr>
          <w:p w:rsidR="00F01C64" w:rsidRPr="00A80EC7" w:rsidRDefault="00F01C64" w:rsidP="004F5ADD">
            <w:pPr>
              <w:pStyle w:val="Tabletext"/>
              <w:jc w:val="right"/>
              <w:rPr>
                <w:b/>
                <w:bCs/>
                <w:lang w:eastAsia="zh-CN"/>
              </w:rPr>
            </w:pPr>
          </w:p>
        </w:tc>
        <w:tc>
          <w:tcPr>
            <w:tcW w:w="691" w:type="pct"/>
            <w:tcBorders>
              <w:top w:val="single" w:sz="4" w:space="0" w:color="FFFFFF"/>
              <w:left w:val="nil"/>
              <w:bottom w:val="single" w:sz="4" w:space="0" w:color="FFFFFF"/>
              <w:right w:val="single" w:sz="8" w:space="0" w:color="FFFFFF"/>
            </w:tcBorders>
            <w:shd w:val="clear" w:color="000000" w:fill="FFFFFF"/>
            <w:noWrap/>
            <w:vAlign w:val="bottom"/>
          </w:tcPr>
          <w:p w:rsidR="00F01C64" w:rsidRPr="00A80EC7" w:rsidRDefault="00F01C64" w:rsidP="004F5ADD">
            <w:pPr>
              <w:pStyle w:val="Tabletext"/>
              <w:jc w:val="right"/>
              <w:rPr>
                <w:b/>
                <w:bCs/>
                <w:lang w:eastAsia="zh-CN"/>
              </w:rPr>
            </w:pPr>
          </w:p>
        </w:tc>
        <w:tc>
          <w:tcPr>
            <w:tcW w:w="632" w:type="pct"/>
            <w:tcBorders>
              <w:top w:val="single" w:sz="4" w:space="0" w:color="FFFFFF"/>
              <w:left w:val="nil"/>
              <w:bottom w:val="single" w:sz="4" w:space="0" w:color="FFFFFF"/>
              <w:right w:val="nil"/>
            </w:tcBorders>
            <w:shd w:val="clear" w:color="000000" w:fill="FFFFFF"/>
            <w:noWrap/>
            <w:vAlign w:val="bottom"/>
          </w:tcPr>
          <w:p w:rsidR="00F01C64" w:rsidRPr="00A80EC7" w:rsidRDefault="00F01C64" w:rsidP="004F5ADD">
            <w:pPr>
              <w:pStyle w:val="Tabletext"/>
              <w:jc w:val="right"/>
              <w:rPr>
                <w:b/>
                <w:bCs/>
                <w:lang w:eastAsia="zh-CN"/>
              </w:rPr>
            </w:pPr>
          </w:p>
        </w:tc>
        <w:tc>
          <w:tcPr>
            <w:tcW w:w="442" w:type="pct"/>
            <w:tcBorders>
              <w:top w:val="single" w:sz="4" w:space="0" w:color="FFFFFF"/>
              <w:left w:val="nil"/>
              <w:bottom w:val="single" w:sz="4" w:space="0" w:color="FFFFFF"/>
              <w:right w:val="nil"/>
            </w:tcBorders>
            <w:shd w:val="clear" w:color="000000" w:fill="FFFFFF"/>
          </w:tcPr>
          <w:p w:rsidR="00F01C64" w:rsidRPr="00A80EC7" w:rsidRDefault="00F01C64" w:rsidP="004F5ADD">
            <w:pPr>
              <w:pStyle w:val="Tabletext"/>
              <w:jc w:val="right"/>
              <w:rPr>
                <w:lang w:eastAsia="zh-CN"/>
              </w:rPr>
            </w:pPr>
          </w:p>
        </w:tc>
      </w:tr>
      <w:tr w:rsidR="00FD5D8E" w:rsidRPr="00A80EC7" w:rsidTr="003B5548">
        <w:trPr>
          <w:trHeight w:val="23"/>
        </w:trPr>
        <w:tc>
          <w:tcPr>
            <w:tcW w:w="1470" w:type="pct"/>
            <w:tcBorders>
              <w:top w:val="nil"/>
              <w:left w:val="nil"/>
              <w:bottom w:val="nil"/>
              <w:right w:val="single" w:sz="12" w:space="0" w:color="FFFFFF"/>
            </w:tcBorders>
            <w:shd w:val="clear" w:color="000000" w:fill="DCE6F1"/>
            <w:noWrap/>
            <w:vAlign w:val="bottom"/>
            <w:hideMark/>
          </w:tcPr>
          <w:p w:rsidR="00FD5D8E" w:rsidRPr="00A80EC7" w:rsidRDefault="001912A1" w:rsidP="00FD5D8E">
            <w:pPr>
              <w:pStyle w:val="Tabletext"/>
              <w:rPr>
                <w:b/>
                <w:bCs/>
                <w:lang w:eastAsia="zh-CN"/>
              </w:rPr>
            </w:pPr>
            <w:r w:rsidRPr="00A80EC7">
              <w:rPr>
                <w:b/>
                <w:bCs/>
                <w:lang w:eastAsia="zh-CN"/>
              </w:rPr>
              <w:t>INGRESOS MENOS GASTOS</w:t>
            </w:r>
          </w:p>
        </w:tc>
        <w:tc>
          <w:tcPr>
            <w:tcW w:w="810" w:type="pct"/>
            <w:tcBorders>
              <w:top w:val="nil"/>
              <w:left w:val="nil"/>
              <w:bottom w:val="nil"/>
              <w:right w:val="single" w:sz="8" w:space="0" w:color="FFFFFF"/>
            </w:tcBorders>
            <w:shd w:val="clear" w:color="000000" w:fill="DCE6F1"/>
            <w:noWrap/>
            <w:vAlign w:val="center"/>
          </w:tcPr>
          <w:p w:rsidR="00FD5D8E" w:rsidRPr="00A80EC7" w:rsidRDefault="00FD5D8E" w:rsidP="004F5ADD">
            <w:pPr>
              <w:pStyle w:val="Tabletext"/>
              <w:jc w:val="right"/>
              <w:rPr>
                <w:b/>
                <w:bCs/>
              </w:rPr>
            </w:pPr>
            <w:r w:rsidRPr="00A80EC7">
              <w:rPr>
                <w:b/>
                <w:bCs/>
              </w:rPr>
              <w:t>0</w:t>
            </w:r>
          </w:p>
        </w:tc>
        <w:tc>
          <w:tcPr>
            <w:tcW w:w="955" w:type="pct"/>
            <w:tcBorders>
              <w:top w:val="nil"/>
              <w:left w:val="nil"/>
              <w:bottom w:val="nil"/>
              <w:right w:val="single" w:sz="8" w:space="0" w:color="FFFFFF"/>
            </w:tcBorders>
            <w:shd w:val="clear" w:color="000000" w:fill="DCE6F1"/>
            <w:noWrap/>
            <w:vAlign w:val="center"/>
          </w:tcPr>
          <w:p w:rsidR="00FD5D8E" w:rsidRPr="00A80EC7" w:rsidRDefault="00FD5D8E" w:rsidP="004F5ADD">
            <w:pPr>
              <w:pStyle w:val="Tabletext"/>
              <w:jc w:val="right"/>
              <w:rPr>
                <w:b/>
                <w:bCs/>
              </w:rPr>
            </w:pPr>
            <w:r w:rsidRPr="00A80EC7">
              <w:rPr>
                <w:b/>
                <w:bCs/>
              </w:rPr>
              <w:t>117 515</w:t>
            </w:r>
          </w:p>
        </w:tc>
        <w:tc>
          <w:tcPr>
            <w:tcW w:w="691" w:type="pct"/>
            <w:tcBorders>
              <w:top w:val="nil"/>
              <w:left w:val="nil"/>
              <w:bottom w:val="nil"/>
              <w:right w:val="single" w:sz="8" w:space="0" w:color="FFFFFF"/>
            </w:tcBorders>
            <w:shd w:val="clear" w:color="000000" w:fill="DCE6F1"/>
            <w:noWrap/>
            <w:vAlign w:val="center"/>
          </w:tcPr>
          <w:p w:rsidR="00FD5D8E" w:rsidRPr="00A80EC7" w:rsidRDefault="003B5548" w:rsidP="004F5ADD">
            <w:pPr>
              <w:pStyle w:val="Tabletext"/>
              <w:jc w:val="right"/>
              <w:rPr>
                <w:b/>
                <w:bCs/>
              </w:rPr>
            </w:pPr>
            <w:r>
              <w:rPr>
                <w:b/>
                <w:bCs/>
              </w:rPr>
              <w:t>2</w:t>
            </w:r>
            <w:r w:rsidR="00FD5D8E" w:rsidRPr="00A80EC7">
              <w:rPr>
                <w:b/>
                <w:bCs/>
              </w:rPr>
              <w:t>715</w:t>
            </w:r>
          </w:p>
        </w:tc>
        <w:tc>
          <w:tcPr>
            <w:tcW w:w="632" w:type="pct"/>
            <w:tcBorders>
              <w:top w:val="nil"/>
              <w:left w:val="nil"/>
              <w:bottom w:val="nil"/>
              <w:right w:val="nil"/>
            </w:tcBorders>
            <w:shd w:val="clear" w:color="000000" w:fill="DCE6F1"/>
            <w:noWrap/>
            <w:vAlign w:val="center"/>
          </w:tcPr>
          <w:p w:rsidR="00FD5D8E" w:rsidRPr="00A80EC7" w:rsidRDefault="00FD5D8E" w:rsidP="004F5ADD">
            <w:pPr>
              <w:pStyle w:val="Tabletext"/>
              <w:jc w:val="right"/>
              <w:rPr>
                <w:b/>
                <w:bCs/>
              </w:rPr>
            </w:pPr>
          </w:p>
        </w:tc>
        <w:tc>
          <w:tcPr>
            <w:tcW w:w="442" w:type="pct"/>
            <w:tcBorders>
              <w:top w:val="nil"/>
              <w:left w:val="nil"/>
              <w:bottom w:val="nil"/>
              <w:right w:val="nil"/>
            </w:tcBorders>
            <w:shd w:val="clear" w:color="auto" w:fill="DBE5F1" w:themeFill="accent1" w:themeFillTint="33"/>
            <w:vAlign w:val="center"/>
          </w:tcPr>
          <w:p w:rsidR="00FD5D8E" w:rsidRPr="00A80EC7" w:rsidRDefault="00FD5D8E" w:rsidP="004F5ADD">
            <w:pPr>
              <w:pStyle w:val="Tabletext"/>
              <w:jc w:val="right"/>
              <w:rPr>
                <w:b/>
                <w:bCs/>
              </w:rPr>
            </w:pPr>
          </w:p>
        </w:tc>
      </w:tr>
    </w:tbl>
    <w:p w:rsidR="008F52EB" w:rsidRPr="00A80EC7" w:rsidRDefault="008F52EB" w:rsidP="008F52EB">
      <w:pPr>
        <w:pStyle w:val="Heading1"/>
      </w:pPr>
      <w:r w:rsidRPr="00A80EC7">
        <w:t>3</w:t>
      </w:r>
      <w:r w:rsidRPr="00A80EC7">
        <w:tab/>
        <w:t>Ingresos</w:t>
      </w:r>
    </w:p>
    <w:p w:rsidR="008F52EB" w:rsidRPr="00A80EC7" w:rsidRDefault="008F52EB" w:rsidP="008F52EB">
      <w:r w:rsidRPr="00A80EC7">
        <w:t>3.1</w:t>
      </w:r>
      <w:r w:rsidRPr="00A80EC7">
        <w:tab/>
        <w:t xml:space="preserve">Los ingresos de la Unión en concepto de contribuciones previstas, la recuperación de costes, los intereses/otros ingresos y las detracciones globalmente negativas de la Cuenta de Provisión (punto 13 del Documento </w:t>
      </w:r>
      <w:hyperlink r:id="rId10" w:history="1">
        <w:r w:rsidRPr="00A80EC7">
          <w:rPr>
            <w:rStyle w:val="Hyperlink"/>
          </w:rPr>
          <w:t>C17/10</w:t>
        </w:r>
      </w:hyperlink>
      <w:r w:rsidRPr="00A80EC7">
        <w:t>).</w:t>
      </w:r>
      <w:r w:rsidRPr="00A80EC7">
        <w:rPr>
          <w:szCs w:val="24"/>
        </w:rPr>
        <w:t xml:space="preserve"> Los ingresos más elevados en concepto de contribuciones previstas de los Estados Miembros ayudarán a compensar el déficit previsto en concepto de contribuciones de Miembros de Sector y de recuperación de costes.</w:t>
      </w:r>
    </w:p>
    <w:p w:rsidR="008F52EB" w:rsidRPr="00A80EC7" w:rsidRDefault="008F52EB" w:rsidP="008F52EB">
      <w:r w:rsidRPr="00A80EC7">
        <w:t>3.2</w:t>
      </w:r>
      <w:r w:rsidRPr="00A80EC7">
        <w:tab/>
        <w:t>Los ingresos en concepto de contribuciones previstas representan el 77,8% del presupuesto total para 2018, que incluyen las contribuciones de los Estados Miembros, Miembros de Sector, Asociados e Instituciones Académicas. En el Cuadro 2 se muestra el desglose de las contribuciones previstas.</w:t>
      </w:r>
    </w:p>
    <w:p w:rsidR="008F52EB" w:rsidRPr="00A80EC7" w:rsidRDefault="008F52EB" w:rsidP="004F5ADD">
      <w:pPr>
        <w:pStyle w:val="Tabletitle"/>
        <w:spacing w:before="240"/>
      </w:pPr>
      <w:r w:rsidRPr="00A80EC7">
        <w:lastRenderedPageBreak/>
        <w:t>Cuadro 2 – Ingresos en concepto de contribuciones previstas</w:t>
      </w:r>
    </w:p>
    <w:p w:rsidR="008F52EB" w:rsidRPr="00A80EC7" w:rsidRDefault="008F52EB" w:rsidP="008F52EB">
      <w:pPr>
        <w:snapToGrid w:val="0"/>
        <w:ind w:left="7200" w:firstLine="720"/>
        <w:jc w:val="center"/>
        <w:rPr>
          <w:rFonts w:cs="Arial"/>
          <w:i/>
          <w:iCs/>
          <w:sz w:val="14"/>
          <w:szCs w:val="14"/>
        </w:rPr>
      </w:pPr>
      <w:r w:rsidRPr="00A80EC7">
        <w:rPr>
          <w:rFonts w:cs="Arial"/>
          <w:i/>
          <w:iCs/>
          <w:sz w:val="14"/>
          <w:szCs w:val="14"/>
        </w:rPr>
        <w:t>Miles de francos suizos</w:t>
      </w:r>
    </w:p>
    <w:tbl>
      <w:tblPr>
        <w:tblW w:w="5000" w:type="pct"/>
        <w:tblLayout w:type="fixed"/>
        <w:tblLook w:val="04A0" w:firstRow="1" w:lastRow="0" w:firstColumn="1" w:lastColumn="0" w:noHBand="0" w:noVBand="1"/>
      </w:tblPr>
      <w:tblGrid>
        <w:gridCol w:w="2692"/>
        <w:gridCol w:w="1560"/>
        <w:gridCol w:w="1417"/>
        <w:gridCol w:w="1419"/>
        <w:gridCol w:w="1558"/>
        <w:gridCol w:w="993"/>
        <w:tblGridChange w:id="10">
          <w:tblGrid>
            <w:gridCol w:w="2692"/>
            <w:gridCol w:w="1560"/>
            <w:gridCol w:w="1417"/>
            <w:gridCol w:w="1419"/>
            <w:gridCol w:w="1558"/>
            <w:gridCol w:w="993"/>
          </w:tblGrid>
        </w:tblGridChange>
      </w:tblGrid>
      <w:tr w:rsidR="00BB0091" w:rsidRPr="00A80EC7" w:rsidTr="00BB0091">
        <w:trPr>
          <w:trHeight w:val="967"/>
        </w:trPr>
        <w:tc>
          <w:tcPr>
            <w:tcW w:w="1396" w:type="pct"/>
            <w:vMerge w:val="restart"/>
            <w:tcBorders>
              <w:top w:val="nil"/>
              <w:left w:val="nil"/>
              <w:bottom w:val="single" w:sz="12" w:space="0" w:color="FFFFFF"/>
              <w:right w:val="single" w:sz="12" w:space="0" w:color="FFFFFF"/>
            </w:tcBorders>
            <w:shd w:val="clear" w:color="000000" w:fill="DCE6F1"/>
            <w:vAlign w:val="center"/>
            <w:hideMark/>
          </w:tcPr>
          <w:p w:rsidR="00BB0091" w:rsidRPr="00A80EC7" w:rsidRDefault="00BB0091" w:rsidP="00BB0091">
            <w:pPr>
              <w:pStyle w:val="Tablehead"/>
              <w:rPr>
                <w:lang w:eastAsia="zh-CN"/>
              </w:rPr>
            </w:pPr>
            <w:r w:rsidRPr="00A80EC7">
              <w:rPr>
                <w:lang w:eastAsia="zh-CN"/>
              </w:rPr>
              <w:t>Contribuciones previstas</w:t>
            </w:r>
          </w:p>
        </w:tc>
        <w:tc>
          <w:tcPr>
            <w:tcW w:w="809" w:type="pct"/>
            <w:tcBorders>
              <w:top w:val="nil"/>
              <w:left w:val="nil"/>
              <w:right w:val="single" w:sz="8" w:space="0" w:color="FFFFFF"/>
            </w:tcBorders>
            <w:shd w:val="clear" w:color="000000" w:fill="DCE6F1"/>
            <w:hideMark/>
          </w:tcPr>
          <w:p w:rsidR="00BB0091" w:rsidRPr="00113A2D" w:rsidRDefault="00BB0091" w:rsidP="00BB0091">
            <w:pPr>
              <w:pStyle w:val="Tablehead"/>
            </w:pPr>
            <w:r w:rsidRPr="00113A2D">
              <w:t>Presupuesto 2018</w:t>
            </w:r>
          </w:p>
        </w:tc>
        <w:tc>
          <w:tcPr>
            <w:tcW w:w="735" w:type="pct"/>
            <w:tcBorders>
              <w:top w:val="nil"/>
              <w:left w:val="nil"/>
              <w:right w:val="single" w:sz="8" w:space="0" w:color="FFFFFF"/>
            </w:tcBorders>
            <w:shd w:val="clear" w:color="000000" w:fill="DCE6F1"/>
            <w:hideMark/>
          </w:tcPr>
          <w:p w:rsidR="00BB0091" w:rsidRPr="00113A2D" w:rsidRDefault="00BB0091" w:rsidP="00BB0091">
            <w:pPr>
              <w:pStyle w:val="Tablehead"/>
            </w:pPr>
            <w:r w:rsidRPr="00113A2D">
              <w:t>Real al 31 de enero de 2018</w:t>
            </w:r>
          </w:p>
        </w:tc>
        <w:tc>
          <w:tcPr>
            <w:tcW w:w="736" w:type="pct"/>
            <w:tcBorders>
              <w:top w:val="nil"/>
              <w:left w:val="nil"/>
              <w:right w:val="single" w:sz="8" w:space="0" w:color="FFFFFF"/>
            </w:tcBorders>
            <w:shd w:val="clear" w:color="000000" w:fill="DCE6F1"/>
            <w:hideMark/>
          </w:tcPr>
          <w:p w:rsidR="00BB0091" w:rsidRPr="00113A2D" w:rsidRDefault="00BB0091" w:rsidP="00BB0091">
            <w:pPr>
              <w:pStyle w:val="Tablehead"/>
            </w:pPr>
            <w:r>
              <w:t>Previsión 2018</w:t>
            </w:r>
          </w:p>
        </w:tc>
        <w:tc>
          <w:tcPr>
            <w:tcW w:w="808" w:type="pct"/>
            <w:tcBorders>
              <w:top w:val="nil"/>
              <w:left w:val="nil"/>
              <w:right w:val="nil"/>
            </w:tcBorders>
            <w:shd w:val="clear" w:color="000000" w:fill="DCE6F1"/>
            <w:hideMark/>
          </w:tcPr>
          <w:p w:rsidR="00BB0091" w:rsidRPr="00113A2D" w:rsidRDefault="00BB0091" w:rsidP="00BB0091">
            <w:pPr>
              <w:pStyle w:val="Tablehead"/>
            </w:pPr>
            <w:r w:rsidRPr="00113A2D">
              <w:t>Variación</w:t>
            </w:r>
          </w:p>
        </w:tc>
        <w:tc>
          <w:tcPr>
            <w:tcW w:w="515" w:type="pct"/>
            <w:tcBorders>
              <w:top w:val="nil"/>
              <w:left w:val="nil"/>
              <w:right w:val="nil"/>
            </w:tcBorders>
            <w:shd w:val="clear" w:color="auto" w:fill="DBE5F1" w:themeFill="accent1" w:themeFillTint="33"/>
          </w:tcPr>
          <w:p w:rsidR="00BB0091" w:rsidRPr="00113A2D" w:rsidRDefault="00BB0091" w:rsidP="00BB0091">
            <w:pPr>
              <w:pStyle w:val="Tablehead"/>
            </w:pPr>
            <w:r>
              <w:t>%</w:t>
            </w:r>
          </w:p>
        </w:tc>
      </w:tr>
      <w:tr w:rsidR="004F5ADD" w:rsidRPr="00A80EC7" w:rsidTr="004F5ADD">
        <w:trPr>
          <w:trHeight w:val="227"/>
        </w:trPr>
        <w:tc>
          <w:tcPr>
            <w:tcW w:w="1396" w:type="pct"/>
            <w:vMerge/>
            <w:tcBorders>
              <w:top w:val="nil"/>
              <w:left w:val="nil"/>
              <w:bottom w:val="single" w:sz="12" w:space="0" w:color="FFFFFF"/>
              <w:right w:val="single" w:sz="12" w:space="0" w:color="FFFFFF"/>
            </w:tcBorders>
            <w:vAlign w:val="center"/>
            <w:hideMark/>
          </w:tcPr>
          <w:p w:rsidR="004F5ADD" w:rsidRPr="00A80EC7" w:rsidRDefault="004F5ADD" w:rsidP="004F5ADD">
            <w:pPr>
              <w:pStyle w:val="Tablehead"/>
              <w:rPr>
                <w:lang w:eastAsia="zh-CN"/>
              </w:rPr>
            </w:pPr>
          </w:p>
        </w:tc>
        <w:tc>
          <w:tcPr>
            <w:tcW w:w="809" w:type="pct"/>
            <w:tcBorders>
              <w:top w:val="single" w:sz="8" w:space="0" w:color="FFFFFF"/>
              <w:left w:val="nil"/>
              <w:bottom w:val="single" w:sz="8" w:space="0" w:color="FFFFFF"/>
              <w:right w:val="single" w:sz="8" w:space="0" w:color="FFFFFF"/>
            </w:tcBorders>
            <w:shd w:val="clear" w:color="000000" w:fill="DCE6F1"/>
            <w:vAlign w:val="center"/>
            <w:hideMark/>
          </w:tcPr>
          <w:p w:rsidR="004F5ADD" w:rsidRPr="00A80EC7" w:rsidRDefault="004F5ADD" w:rsidP="004F5ADD">
            <w:pPr>
              <w:pStyle w:val="Tablehead"/>
              <w:rPr>
                <w:lang w:eastAsia="zh-CN"/>
              </w:rPr>
            </w:pPr>
            <w:r w:rsidRPr="00A80EC7">
              <w:rPr>
                <w:lang w:eastAsia="zh-CN"/>
              </w:rPr>
              <w:t>a</w:t>
            </w:r>
          </w:p>
        </w:tc>
        <w:tc>
          <w:tcPr>
            <w:tcW w:w="735" w:type="pct"/>
            <w:tcBorders>
              <w:top w:val="single" w:sz="8" w:space="0" w:color="FFFFFF"/>
              <w:left w:val="nil"/>
              <w:bottom w:val="single" w:sz="8" w:space="0" w:color="FFFFFF"/>
              <w:right w:val="single" w:sz="8" w:space="0" w:color="FFFFFF"/>
            </w:tcBorders>
            <w:shd w:val="clear" w:color="000000" w:fill="DCE6F1"/>
            <w:vAlign w:val="center"/>
            <w:hideMark/>
          </w:tcPr>
          <w:p w:rsidR="004F5ADD" w:rsidRPr="00A80EC7" w:rsidRDefault="004F5ADD" w:rsidP="004F5ADD">
            <w:pPr>
              <w:pStyle w:val="Tablehead"/>
              <w:rPr>
                <w:lang w:eastAsia="zh-CN"/>
              </w:rPr>
            </w:pPr>
            <w:r w:rsidRPr="00A80EC7">
              <w:rPr>
                <w:lang w:eastAsia="zh-CN"/>
              </w:rPr>
              <w:t>b</w:t>
            </w:r>
          </w:p>
        </w:tc>
        <w:tc>
          <w:tcPr>
            <w:tcW w:w="736" w:type="pct"/>
            <w:tcBorders>
              <w:top w:val="nil"/>
              <w:left w:val="nil"/>
              <w:bottom w:val="single" w:sz="8" w:space="0" w:color="FFFFFF"/>
              <w:right w:val="single" w:sz="8" w:space="0" w:color="FFFFFF"/>
            </w:tcBorders>
            <w:shd w:val="clear" w:color="000000" w:fill="DCE6F1"/>
            <w:vAlign w:val="center"/>
            <w:hideMark/>
          </w:tcPr>
          <w:p w:rsidR="004F5ADD" w:rsidRPr="00A80EC7" w:rsidRDefault="004F5ADD" w:rsidP="004F5ADD">
            <w:pPr>
              <w:pStyle w:val="Tablehead"/>
              <w:rPr>
                <w:lang w:eastAsia="zh-CN"/>
              </w:rPr>
            </w:pPr>
            <w:r w:rsidRPr="00A80EC7">
              <w:rPr>
                <w:lang w:eastAsia="zh-CN"/>
              </w:rPr>
              <w:t>c</w:t>
            </w:r>
          </w:p>
        </w:tc>
        <w:tc>
          <w:tcPr>
            <w:tcW w:w="808" w:type="pct"/>
            <w:tcBorders>
              <w:top w:val="nil"/>
              <w:left w:val="nil"/>
              <w:bottom w:val="single" w:sz="8" w:space="0" w:color="FFFFFF"/>
              <w:right w:val="nil"/>
            </w:tcBorders>
            <w:shd w:val="clear" w:color="000000" w:fill="DCE6F1"/>
            <w:vAlign w:val="center"/>
            <w:hideMark/>
          </w:tcPr>
          <w:p w:rsidR="004F5ADD" w:rsidRPr="00A80EC7" w:rsidRDefault="00BB0091" w:rsidP="00613047">
            <w:pPr>
              <w:pStyle w:val="Tablehead"/>
              <w:rPr>
                <w:lang w:eastAsia="zh-CN"/>
              </w:rPr>
            </w:pPr>
            <w:r>
              <w:rPr>
                <w:lang w:eastAsia="zh-CN"/>
              </w:rPr>
              <w:t xml:space="preserve">d = c </w:t>
            </w:r>
            <w:r w:rsidR="00613047">
              <w:t>-</w:t>
            </w:r>
            <w:r w:rsidR="004F5ADD" w:rsidRPr="00A80EC7">
              <w:rPr>
                <w:lang w:eastAsia="zh-CN"/>
              </w:rPr>
              <w:t xml:space="preserve"> a</w:t>
            </w:r>
          </w:p>
        </w:tc>
        <w:tc>
          <w:tcPr>
            <w:tcW w:w="515" w:type="pct"/>
            <w:tcBorders>
              <w:top w:val="nil"/>
              <w:left w:val="nil"/>
              <w:bottom w:val="nil"/>
              <w:right w:val="nil"/>
            </w:tcBorders>
            <w:shd w:val="clear" w:color="auto" w:fill="DBE5F1" w:themeFill="accent1" w:themeFillTint="33"/>
          </w:tcPr>
          <w:p w:rsidR="004F5ADD" w:rsidRPr="00A80EC7" w:rsidRDefault="004F5ADD" w:rsidP="004F5ADD">
            <w:pPr>
              <w:pStyle w:val="Tablehead"/>
              <w:rPr>
                <w:lang w:eastAsia="zh-CN"/>
              </w:rPr>
            </w:pPr>
            <w:r w:rsidRPr="00A80EC7">
              <w:t>e = d/a</w:t>
            </w:r>
          </w:p>
        </w:tc>
      </w:tr>
      <w:tr w:rsidR="004F5ADD" w:rsidRPr="00A80EC7" w:rsidTr="004F5ADD">
        <w:trPr>
          <w:trHeight w:val="227"/>
        </w:trPr>
        <w:tc>
          <w:tcPr>
            <w:tcW w:w="1396" w:type="pct"/>
            <w:tcBorders>
              <w:top w:val="nil"/>
              <w:left w:val="nil"/>
              <w:bottom w:val="nil"/>
              <w:right w:val="single" w:sz="12" w:space="0" w:color="FFFFFF"/>
            </w:tcBorders>
            <w:shd w:val="clear" w:color="000000" w:fill="DCE6F1"/>
            <w:noWrap/>
            <w:vAlign w:val="bottom"/>
            <w:hideMark/>
          </w:tcPr>
          <w:p w:rsidR="004F5ADD" w:rsidRPr="00A80EC7" w:rsidRDefault="004F5ADD" w:rsidP="004F5ADD">
            <w:pPr>
              <w:pStyle w:val="Tabletext"/>
              <w:rPr>
                <w:lang w:eastAsia="zh-CN"/>
              </w:rPr>
            </w:pPr>
            <w:r w:rsidRPr="00A80EC7">
              <w:rPr>
                <w:lang w:eastAsia="zh-CN"/>
              </w:rPr>
              <w:t>1. Estados Miembros</w:t>
            </w:r>
          </w:p>
        </w:tc>
        <w:tc>
          <w:tcPr>
            <w:tcW w:w="809"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106 292</w:t>
            </w:r>
          </w:p>
        </w:tc>
        <w:tc>
          <w:tcPr>
            <w:tcW w:w="735"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108 518</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108 518</w:t>
            </w:r>
          </w:p>
        </w:tc>
        <w:tc>
          <w:tcPr>
            <w:tcW w:w="808" w:type="pct"/>
            <w:tcBorders>
              <w:top w:val="nil"/>
              <w:left w:val="nil"/>
              <w:bottom w:val="nil"/>
              <w:right w:val="nil"/>
            </w:tcBorders>
            <w:shd w:val="clear" w:color="000000" w:fill="FFFFFF"/>
            <w:noWrap/>
            <w:vAlign w:val="center"/>
          </w:tcPr>
          <w:p w:rsidR="004F5ADD" w:rsidRPr="00A80EC7" w:rsidRDefault="00BB0091" w:rsidP="004F5ADD">
            <w:pPr>
              <w:pStyle w:val="Tabletext"/>
              <w:jc w:val="right"/>
            </w:pPr>
            <w:r>
              <w:t>2</w:t>
            </w:r>
            <w:r w:rsidR="004F5ADD" w:rsidRPr="00A80EC7">
              <w:t>226</w:t>
            </w:r>
          </w:p>
        </w:tc>
        <w:tc>
          <w:tcPr>
            <w:tcW w:w="515" w:type="pct"/>
            <w:tcBorders>
              <w:top w:val="nil"/>
              <w:left w:val="nil"/>
              <w:bottom w:val="nil"/>
              <w:right w:val="nil"/>
            </w:tcBorders>
            <w:shd w:val="clear" w:color="000000" w:fill="FFFFFF"/>
            <w:vAlign w:val="center"/>
          </w:tcPr>
          <w:p w:rsidR="004F5ADD" w:rsidRPr="00A80EC7" w:rsidRDefault="004F5ADD" w:rsidP="004F5ADD">
            <w:pPr>
              <w:pStyle w:val="Tabletext"/>
              <w:jc w:val="right"/>
            </w:pPr>
            <w:r w:rsidRPr="00A80EC7">
              <w:t>2,1%</w:t>
            </w:r>
          </w:p>
        </w:tc>
      </w:tr>
      <w:tr w:rsidR="004F5ADD" w:rsidRPr="00A80EC7" w:rsidTr="004F5ADD">
        <w:trPr>
          <w:trHeight w:val="227"/>
        </w:trPr>
        <w:tc>
          <w:tcPr>
            <w:tcW w:w="1396" w:type="pct"/>
            <w:tcBorders>
              <w:top w:val="nil"/>
              <w:left w:val="nil"/>
              <w:bottom w:val="nil"/>
              <w:right w:val="single" w:sz="12" w:space="0" w:color="FFFFFF"/>
            </w:tcBorders>
            <w:shd w:val="clear" w:color="000000" w:fill="DCE6F1"/>
            <w:noWrap/>
            <w:vAlign w:val="bottom"/>
            <w:hideMark/>
          </w:tcPr>
          <w:p w:rsidR="004F5ADD" w:rsidRPr="00A80EC7" w:rsidRDefault="004F5ADD" w:rsidP="004F5ADD">
            <w:pPr>
              <w:pStyle w:val="Tabletext"/>
              <w:rPr>
                <w:lang w:eastAsia="zh-CN"/>
              </w:rPr>
            </w:pPr>
            <w:r w:rsidRPr="00A80EC7">
              <w:rPr>
                <w:lang w:eastAsia="zh-CN"/>
              </w:rPr>
              <w:t>2. Miembros de Sector</w:t>
            </w:r>
          </w:p>
        </w:tc>
        <w:tc>
          <w:tcPr>
            <w:tcW w:w="809"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15 875</w:t>
            </w:r>
          </w:p>
        </w:tc>
        <w:tc>
          <w:tcPr>
            <w:tcW w:w="735"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14 085</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14 085</w:t>
            </w:r>
          </w:p>
        </w:tc>
        <w:tc>
          <w:tcPr>
            <w:tcW w:w="808" w:type="pct"/>
            <w:tcBorders>
              <w:top w:val="nil"/>
              <w:left w:val="nil"/>
              <w:bottom w:val="nil"/>
              <w:right w:val="nil"/>
            </w:tcBorders>
            <w:shd w:val="clear" w:color="000000" w:fill="FFFFFF"/>
            <w:noWrap/>
            <w:vAlign w:val="center"/>
          </w:tcPr>
          <w:p w:rsidR="004F5ADD" w:rsidRPr="00A80EC7" w:rsidRDefault="00613047" w:rsidP="004F5ADD">
            <w:pPr>
              <w:pStyle w:val="Tabletext"/>
              <w:jc w:val="right"/>
            </w:pPr>
            <w:r>
              <w:t>-</w:t>
            </w:r>
            <w:r w:rsidR="00BB0091">
              <w:t>1</w:t>
            </w:r>
            <w:r w:rsidR="004F5ADD" w:rsidRPr="00A80EC7">
              <w:t>790</w:t>
            </w:r>
          </w:p>
        </w:tc>
        <w:tc>
          <w:tcPr>
            <w:tcW w:w="515" w:type="pct"/>
            <w:tcBorders>
              <w:top w:val="nil"/>
              <w:left w:val="nil"/>
              <w:bottom w:val="nil"/>
              <w:right w:val="nil"/>
            </w:tcBorders>
            <w:shd w:val="clear" w:color="000000" w:fill="FFFFFF"/>
            <w:vAlign w:val="center"/>
          </w:tcPr>
          <w:p w:rsidR="004F5ADD" w:rsidRPr="00A80EC7" w:rsidRDefault="00613047" w:rsidP="004F5ADD">
            <w:pPr>
              <w:pStyle w:val="Tabletext"/>
              <w:jc w:val="right"/>
            </w:pPr>
            <w:r>
              <w:t>-</w:t>
            </w:r>
            <w:r w:rsidR="004F5ADD" w:rsidRPr="00A80EC7">
              <w:t>11,3%</w:t>
            </w:r>
          </w:p>
        </w:tc>
      </w:tr>
      <w:tr w:rsidR="004F5ADD" w:rsidRPr="00A80EC7" w:rsidTr="004F5ADD">
        <w:trPr>
          <w:trHeight w:val="227"/>
        </w:trPr>
        <w:tc>
          <w:tcPr>
            <w:tcW w:w="1396" w:type="pct"/>
            <w:tcBorders>
              <w:top w:val="nil"/>
              <w:left w:val="nil"/>
              <w:bottom w:val="nil"/>
              <w:right w:val="single" w:sz="12" w:space="0" w:color="FFFFFF"/>
            </w:tcBorders>
            <w:shd w:val="clear" w:color="000000" w:fill="DCE6F1"/>
            <w:noWrap/>
            <w:vAlign w:val="bottom"/>
            <w:hideMark/>
          </w:tcPr>
          <w:p w:rsidR="004F5ADD" w:rsidRPr="00A80EC7" w:rsidRDefault="004F5ADD" w:rsidP="004F5ADD">
            <w:pPr>
              <w:pStyle w:val="Tabletext"/>
              <w:rPr>
                <w:lang w:eastAsia="zh-CN"/>
              </w:rPr>
            </w:pPr>
            <w:r w:rsidRPr="00A80EC7">
              <w:rPr>
                <w:lang w:eastAsia="zh-CN"/>
              </w:rPr>
              <w:t>3. Asociados</w:t>
            </w:r>
          </w:p>
        </w:tc>
        <w:tc>
          <w:tcPr>
            <w:tcW w:w="809" w:type="pct"/>
            <w:tcBorders>
              <w:top w:val="nil"/>
              <w:left w:val="nil"/>
              <w:bottom w:val="nil"/>
              <w:right w:val="single" w:sz="8" w:space="0" w:color="FFFFFF"/>
            </w:tcBorders>
            <w:shd w:val="clear" w:color="000000" w:fill="FFFFFF"/>
            <w:noWrap/>
            <w:vAlign w:val="center"/>
          </w:tcPr>
          <w:p w:rsidR="004F5ADD" w:rsidRPr="00A80EC7" w:rsidRDefault="00BB0091" w:rsidP="004F5ADD">
            <w:pPr>
              <w:pStyle w:val="Tabletext"/>
              <w:jc w:val="right"/>
            </w:pPr>
            <w:r>
              <w:t>1</w:t>
            </w:r>
            <w:r w:rsidR="004F5ADD" w:rsidRPr="00A80EC7">
              <w:t>955</w:t>
            </w:r>
          </w:p>
        </w:tc>
        <w:tc>
          <w:tcPr>
            <w:tcW w:w="735" w:type="pct"/>
            <w:tcBorders>
              <w:top w:val="nil"/>
              <w:left w:val="nil"/>
              <w:bottom w:val="nil"/>
              <w:right w:val="single" w:sz="8" w:space="0" w:color="FFFFFF"/>
            </w:tcBorders>
            <w:shd w:val="clear" w:color="000000" w:fill="FFFFFF"/>
            <w:noWrap/>
            <w:vAlign w:val="center"/>
          </w:tcPr>
          <w:p w:rsidR="004F5ADD" w:rsidRPr="00A80EC7" w:rsidRDefault="00BB0091" w:rsidP="004F5ADD">
            <w:pPr>
              <w:pStyle w:val="Tabletext"/>
              <w:jc w:val="right"/>
            </w:pPr>
            <w:r>
              <w:t>1</w:t>
            </w:r>
            <w:r w:rsidR="004F5ADD" w:rsidRPr="00A80EC7">
              <w:t>660</w:t>
            </w:r>
          </w:p>
        </w:tc>
        <w:tc>
          <w:tcPr>
            <w:tcW w:w="736" w:type="pct"/>
            <w:tcBorders>
              <w:top w:val="nil"/>
              <w:left w:val="nil"/>
              <w:bottom w:val="nil"/>
              <w:right w:val="single" w:sz="8" w:space="0" w:color="FFFFFF"/>
            </w:tcBorders>
            <w:shd w:val="clear" w:color="000000" w:fill="FFFFFF"/>
            <w:noWrap/>
            <w:vAlign w:val="center"/>
          </w:tcPr>
          <w:p w:rsidR="004F5ADD" w:rsidRPr="00A80EC7" w:rsidRDefault="00BB0091" w:rsidP="004F5ADD">
            <w:pPr>
              <w:pStyle w:val="Tabletext"/>
              <w:jc w:val="right"/>
            </w:pPr>
            <w:r>
              <w:t>1</w:t>
            </w:r>
            <w:r w:rsidR="004F5ADD" w:rsidRPr="00A80EC7">
              <w:t>660</w:t>
            </w:r>
          </w:p>
        </w:tc>
        <w:tc>
          <w:tcPr>
            <w:tcW w:w="808" w:type="pct"/>
            <w:tcBorders>
              <w:top w:val="nil"/>
              <w:left w:val="nil"/>
              <w:bottom w:val="nil"/>
              <w:right w:val="nil"/>
            </w:tcBorders>
            <w:shd w:val="clear" w:color="000000" w:fill="FFFFFF"/>
            <w:noWrap/>
            <w:vAlign w:val="center"/>
          </w:tcPr>
          <w:p w:rsidR="004F5ADD" w:rsidRPr="00A80EC7" w:rsidRDefault="00613047" w:rsidP="004F5ADD">
            <w:pPr>
              <w:pStyle w:val="Tabletext"/>
              <w:jc w:val="right"/>
            </w:pPr>
            <w:r>
              <w:t>-</w:t>
            </w:r>
            <w:r w:rsidR="004F5ADD" w:rsidRPr="00A80EC7">
              <w:t>295</w:t>
            </w:r>
          </w:p>
        </w:tc>
        <w:tc>
          <w:tcPr>
            <w:tcW w:w="515" w:type="pct"/>
            <w:tcBorders>
              <w:top w:val="nil"/>
              <w:left w:val="nil"/>
              <w:bottom w:val="nil"/>
              <w:right w:val="nil"/>
            </w:tcBorders>
            <w:shd w:val="clear" w:color="000000" w:fill="FFFFFF"/>
            <w:vAlign w:val="center"/>
          </w:tcPr>
          <w:p w:rsidR="004F5ADD" w:rsidRPr="00A80EC7" w:rsidRDefault="00613047" w:rsidP="004F5ADD">
            <w:pPr>
              <w:pStyle w:val="Tabletext"/>
              <w:jc w:val="right"/>
            </w:pPr>
            <w:r>
              <w:t>-</w:t>
            </w:r>
            <w:r w:rsidR="004F5ADD" w:rsidRPr="00A80EC7">
              <w:t>15,1%</w:t>
            </w:r>
          </w:p>
        </w:tc>
      </w:tr>
      <w:tr w:rsidR="004F5ADD" w:rsidRPr="00A80EC7" w:rsidTr="004F5ADD">
        <w:trPr>
          <w:trHeight w:val="227"/>
        </w:trPr>
        <w:tc>
          <w:tcPr>
            <w:tcW w:w="1396" w:type="pct"/>
            <w:tcBorders>
              <w:top w:val="nil"/>
              <w:left w:val="nil"/>
              <w:bottom w:val="nil"/>
              <w:right w:val="nil"/>
            </w:tcBorders>
            <w:shd w:val="clear" w:color="000000" w:fill="DCE6F1"/>
            <w:noWrap/>
            <w:vAlign w:val="bottom"/>
            <w:hideMark/>
          </w:tcPr>
          <w:p w:rsidR="004F5ADD" w:rsidRPr="00A80EC7" w:rsidRDefault="004F5ADD" w:rsidP="004F5ADD">
            <w:pPr>
              <w:pStyle w:val="Tabletext"/>
              <w:rPr>
                <w:lang w:eastAsia="zh-CN"/>
              </w:rPr>
            </w:pPr>
            <w:r w:rsidRPr="00A80EC7">
              <w:rPr>
                <w:lang w:eastAsia="zh-CN"/>
              </w:rPr>
              <w:t>4. Instituciones Académicas</w:t>
            </w:r>
          </w:p>
        </w:tc>
        <w:tc>
          <w:tcPr>
            <w:tcW w:w="809"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279</w:t>
            </w:r>
          </w:p>
        </w:tc>
        <w:tc>
          <w:tcPr>
            <w:tcW w:w="735"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328</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4F5ADD">
            <w:pPr>
              <w:pStyle w:val="Tabletext"/>
              <w:jc w:val="right"/>
            </w:pPr>
            <w:r w:rsidRPr="00A80EC7">
              <w:t>328</w:t>
            </w:r>
          </w:p>
        </w:tc>
        <w:tc>
          <w:tcPr>
            <w:tcW w:w="808" w:type="pct"/>
            <w:tcBorders>
              <w:top w:val="nil"/>
              <w:left w:val="nil"/>
              <w:bottom w:val="nil"/>
              <w:right w:val="nil"/>
            </w:tcBorders>
            <w:shd w:val="clear" w:color="000000" w:fill="FFFFFF"/>
            <w:noWrap/>
            <w:vAlign w:val="center"/>
          </w:tcPr>
          <w:p w:rsidR="004F5ADD" w:rsidRPr="00A80EC7" w:rsidRDefault="004F5ADD" w:rsidP="004F5ADD">
            <w:pPr>
              <w:pStyle w:val="Tabletext"/>
              <w:jc w:val="right"/>
            </w:pPr>
            <w:r w:rsidRPr="00A80EC7">
              <w:t>49</w:t>
            </w:r>
          </w:p>
        </w:tc>
        <w:tc>
          <w:tcPr>
            <w:tcW w:w="515" w:type="pct"/>
            <w:tcBorders>
              <w:top w:val="nil"/>
              <w:left w:val="nil"/>
              <w:bottom w:val="nil"/>
              <w:right w:val="nil"/>
            </w:tcBorders>
            <w:shd w:val="clear" w:color="000000" w:fill="FFFFFF"/>
            <w:vAlign w:val="center"/>
          </w:tcPr>
          <w:p w:rsidR="004F5ADD" w:rsidRPr="00A80EC7" w:rsidRDefault="004F5ADD" w:rsidP="004F5ADD">
            <w:pPr>
              <w:pStyle w:val="Tabletext"/>
              <w:jc w:val="right"/>
            </w:pPr>
            <w:r w:rsidRPr="00A80EC7">
              <w:t>17,6%</w:t>
            </w:r>
          </w:p>
        </w:tc>
      </w:tr>
      <w:tr w:rsidR="004F5ADD" w:rsidRPr="00A80EC7" w:rsidTr="004F5ADD">
        <w:trPr>
          <w:trHeight w:val="227"/>
        </w:trPr>
        <w:tc>
          <w:tcPr>
            <w:tcW w:w="1396" w:type="pct"/>
            <w:tcBorders>
              <w:top w:val="nil"/>
              <w:left w:val="nil"/>
              <w:bottom w:val="nil"/>
              <w:right w:val="nil"/>
            </w:tcBorders>
            <w:shd w:val="clear" w:color="000000" w:fill="DCE6F1"/>
            <w:noWrap/>
            <w:vAlign w:val="bottom"/>
            <w:hideMark/>
          </w:tcPr>
          <w:p w:rsidR="004F5ADD" w:rsidRPr="00A80EC7" w:rsidRDefault="004F5ADD" w:rsidP="004F5ADD">
            <w:pPr>
              <w:pStyle w:val="Tabletext"/>
              <w:rPr>
                <w:lang w:eastAsia="zh-CN"/>
              </w:rPr>
            </w:pPr>
          </w:p>
        </w:tc>
        <w:tc>
          <w:tcPr>
            <w:tcW w:w="809" w:type="pct"/>
            <w:tcBorders>
              <w:top w:val="nil"/>
              <w:left w:val="nil"/>
              <w:bottom w:val="nil"/>
              <w:right w:val="single" w:sz="8" w:space="0" w:color="FFFFFF"/>
            </w:tcBorders>
            <w:shd w:val="clear" w:color="000000" w:fill="FFFFFF"/>
            <w:noWrap/>
            <w:vAlign w:val="bottom"/>
          </w:tcPr>
          <w:p w:rsidR="004F5ADD" w:rsidRPr="00A80EC7" w:rsidRDefault="004F5ADD" w:rsidP="004F5ADD">
            <w:pPr>
              <w:pStyle w:val="Tabletext"/>
              <w:jc w:val="right"/>
              <w:rPr>
                <w:lang w:eastAsia="zh-CN"/>
              </w:rPr>
            </w:pPr>
          </w:p>
        </w:tc>
        <w:tc>
          <w:tcPr>
            <w:tcW w:w="735" w:type="pct"/>
            <w:tcBorders>
              <w:top w:val="nil"/>
              <w:left w:val="nil"/>
              <w:bottom w:val="nil"/>
              <w:right w:val="single" w:sz="8" w:space="0" w:color="FFFFFF"/>
            </w:tcBorders>
            <w:shd w:val="clear" w:color="000000" w:fill="FFFFFF"/>
            <w:noWrap/>
            <w:vAlign w:val="bottom"/>
          </w:tcPr>
          <w:p w:rsidR="004F5ADD" w:rsidRPr="00A80EC7" w:rsidRDefault="004F5ADD" w:rsidP="004F5ADD">
            <w:pPr>
              <w:pStyle w:val="Tabletext"/>
              <w:jc w:val="right"/>
              <w:rPr>
                <w:lang w:eastAsia="zh-CN"/>
              </w:rPr>
            </w:pPr>
          </w:p>
        </w:tc>
        <w:tc>
          <w:tcPr>
            <w:tcW w:w="736" w:type="pct"/>
            <w:tcBorders>
              <w:top w:val="nil"/>
              <w:left w:val="nil"/>
              <w:bottom w:val="nil"/>
              <w:right w:val="single" w:sz="8" w:space="0" w:color="FFFFFF"/>
            </w:tcBorders>
            <w:shd w:val="clear" w:color="000000" w:fill="FFFFFF"/>
            <w:noWrap/>
            <w:vAlign w:val="bottom"/>
          </w:tcPr>
          <w:p w:rsidR="004F5ADD" w:rsidRPr="00A80EC7" w:rsidRDefault="004F5ADD" w:rsidP="004F5ADD">
            <w:pPr>
              <w:pStyle w:val="Tabletext"/>
              <w:jc w:val="right"/>
              <w:rPr>
                <w:lang w:eastAsia="zh-CN"/>
              </w:rPr>
            </w:pPr>
          </w:p>
        </w:tc>
        <w:tc>
          <w:tcPr>
            <w:tcW w:w="808" w:type="pct"/>
            <w:tcBorders>
              <w:top w:val="nil"/>
              <w:left w:val="nil"/>
              <w:bottom w:val="nil"/>
              <w:right w:val="nil"/>
            </w:tcBorders>
            <w:shd w:val="clear" w:color="000000" w:fill="FFFFFF"/>
            <w:noWrap/>
            <w:vAlign w:val="center"/>
          </w:tcPr>
          <w:p w:rsidR="004F5ADD" w:rsidRPr="00A80EC7" w:rsidRDefault="004F5ADD" w:rsidP="004F5ADD">
            <w:pPr>
              <w:pStyle w:val="Tabletext"/>
              <w:jc w:val="right"/>
              <w:rPr>
                <w:lang w:eastAsia="zh-CN"/>
              </w:rPr>
            </w:pPr>
          </w:p>
        </w:tc>
        <w:tc>
          <w:tcPr>
            <w:tcW w:w="515" w:type="pct"/>
            <w:tcBorders>
              <w:top w:val="nil"/>
              <w:left w:val="nil"/>
              <w:bottom w:val="nil"/>
              <w:right w:val="nil"/>
            </w:tcBorders>
            <w:shd w:val="clear" w:color="000000" w:fill="FFFFFF"/>
          </w:tcPr>
          <w:p w:rsidR="004F5ADD" w:rsidRPr="00A80EC7" w:rsidRDefault="004F5ADD" w:rsidP="004F5ADD">
            <w:pPr>
              <w:pStyle w:val="Tabletext"/>
              <w:jc w:val="right"/>
              <w:rPr>
                <w:lang w:eastAsia="zh-CN"/>
              </w:rPr>
            </w:pPr>
          </w:p>
        </w:tc>
      </w:tr>
      <w:tr w:rsidR="004F5ADD" w:rsidRPr="00A80EC7" w:rsidTr="004F5ADD">
        <w:trPr>
          <w:trHeight w:val="227"/>
        </w:trPr>
        <w:tc>
          <w:tcPr>
            <w:tcW w:w="1396" w:type="pct"/>
            <w:tcBorders>
              <w:top w:val="nil"/>
              <w:left w:val="nil"/>
              <w:bottom w:val="nil"/>
              <w:right w:val="single" w:sz="12" w:space="0" w:color="FFFFFF"/>
            </w:tcBorders>
            <w:shd w:val="clear" w:color="000000" w:fill="DCE6F1"/>
            <w:noWrap/>
            <w:vAlign w:val="bottom"/>
            <w:hideMark/>
          </w:tcPr>
          <w:p w:rsidR="004F5ADD" w:rsidRPr="00A80EC7" w:rsidRDefault="004F5ADD" w:rsidP="004F5ADD">
            <w:pPr>
              <w:pStyle w:val="Tabletext"/>
              <w:rPr>
                <w:b/>
                <w:bCs/>
                <w:lang w:eastAsia="zh-CN"/>
              </w:rPr>
            </w:pPr>
            <w:r w:rsidRPr="00A80EC7">
              <w:rPr>
                <w:b/>
                <w:bCs/>
                <w:lang w:eastAsia="zh-CN"/>
              </w:rPr>
              <w:t>Total</w:t>
            </w:r>
          </w:p>
        </w:tc>
        <w:tc>
          <w:tcPr>
            <w:tcW w:w="809" w:type="pct"/>
            <w:tcBorders>
              <w:top w:val="nil"/>
              <w:left w:val="nil"/>
              <w:bottom w:val="nil"/>
              <w:right w:val="single" w:sz="8" w:space="0" w:color="FFFFFF"/>
            </w:tcBorders>
            <w:shd w:val="clear" w:color="000000" w:fill="DCE6F1"/>
            <w:noWrap/>
            <w:vAlign w:val="center"/>
          </w:tcPr>
          <w:p w:rsidR="004F5ADD" w:rsidRPr="00A80EC7" w:rsidRDefault="004F5ADD" w:rsidP="004F5ADD">
            <w:pPr>
              <w:pStyle w:val="Tabletext"/>
              <w:jc w:val="right"/>
              <w:rPr>
                <w:b/>
                <w:bCs/>
              </w:rPr>
            </w:pPr>
            <w:r w:rsidRPr="00A80EC7">
              <w:rPr>
                <w:b/>
                <w:bCs/>
              </w:rPr>
              <w:t>124 401</w:t>
            </w:r>
          </w:p>
        </w:tc>
        <w:tc>
          <w:tcPr>
            <w:tcW w:w="735" w:type="pct"/>
            <w:tcBorders>
              <w:top w:val="nil"/>
              <w:left w:val="nil"/>
              <w:bottom w:val="nil"/>
              <w:right w:val="single" w:sz="8" w:space="0" w:color="FFFFFF"/>
            </w:tcBorders>
            <w:shd w:val="clear" w:color="000000" w:fill="DCE6F1"/>
            <w:noWrap/>
            <w:vAlign w:val="center"/>
          </w:tcPr>
          <w:p w:rsidR="004F5ADD" w:rsidRPr="00A80EC7" w:rsidRDefault="004F5ADD" w:rsidP="004F5ADD">
            <w:pPr>
              <w:pStyle w:val="Tabletext"/>
              <w:jc w:val="right"/>
              <w:rPr>
                <w:b/>
                <w:bCs/>
              </w:rPr>
            </w:pPr>
            <w:r w:rsidRPr="00A80EC7">
              <w:rPr>
                <w:b/>
                <w:bCs/>
              </w:rPr>
              <w:t>124 591</w:t>
            </w:r>
          </w:p>
        </w:tc>
        <w:tc>
          <w:tcPr>
            <w:tcW w:w="736" w:type="pct"/>
            <w:tcBorders>
              <w:top w:val="nil"/>
              <w:left w:val="nil"/>
              <w:bottom w:val="nil"/>
              <w:right w:val="single" w:sz="8" w:space="0" w:color="FFFFFF"/>
            </w:tcBorders>
            <w:shd w:val="clear" w:color="000000" w:fill="DCE6F1"/>
            <w:noWrap/>
            <w:vAlign w:val="center"/>
          </w:tcPr>
          <w:p w:rsidR="004F5ADD" w:rsidRPr="00A80EC7" w:rsidRDefault="004F5ADD" w:rsidP="004F5ADD">
            <w:pPr>
              <w:pStyle w:val="Tabletext"/>
              <w:jc w:val="right"/>
              <w:rPr>
                <w:b/>
                <w:bCs/>
              </w:rPr>
            </w:pPr>
            <w:r w:rsidRPr="00A80EC7">
              <w:rPr>
                <w:b/>
                <w:bCs/>
              </w:rPr>
              <w:t>124 591</w:t>
            </w:r>
          </w:p>
        </w:tc>
        <w:tc>
          <w:tcPr>
            <w:tcW w:w="808" w:type="pct"/>
            <w:tcBorders>
              <w:top w:val="nil"/>
              <w:left w:val="nil"/>
              <w:bottom w:val="nil"/>
              <w:right w:val="nil"/>
            </w:tcBorders>
            <w:shd w:val="clear" w:color="000000" w:fill="DCE6F1"/>
            <w:noWrap/>
            <w:vAlign w:val="center"/>
          </w:tcPr>
          <w:p w:rsidR="004F5ADD" w:rsidRPr="00A80EC7" w:rsidRDefault="004F5ADD" w:rsidP="004F5ADD">
            <w:pPr>
              <w:pStyle w:val="Tabletext"/>
              <w:jc w:val="right"/>
              <w:rPr>
                <w:b/>
                <w:bCs/>
              </w:rPr>
            </w:pPr>
            <w:r w:rsidRPr="00A80EC7">
              <w:rPr>
                <w:b/>
                <w:bCs/>
              </w:rPr>
              <w:t>190</w:t>
            </w:r>
          </w:p>
        </w:tc>
        <w:tc>
          <w:tcPr>
            <w:tcW w:w="515" w:type="pct"/>
            <w:tcBorders>
              <w:top w:val="nil"/>
              <w:left w:val="nil"/>
              <w:bottom w:val="nil"/>
              <w:right w:val="nil"/>
            </w:tcBorders>
            <w:shd w:val="clear" w:color="auto" w:fill="DBE5F1" w:themeFill="accent1" w:themeFillTint="33"/>
            <w:vAlign w:val="center"/>
          </w:tcPr>
          <w:p w:rsidR="004F5ADD" w:rsidRPr="00A80EC7" w:rsidRDefault="004F5ADD" w:rsidP="004F5ADD">
            <w:pPr>
              <w:pStyle w:val="Tabletext"/>
              <w:jc w:val="right"/>
              <w:rPr>
                <w:b/>
                <w:bCs/>
              </w:rPr>
            </w:pPr>
            <w:r w:rsidRPr="00A80EC7">
              <w:rPr>
                <w:b/>
                <w:bCs/>
              </w:rPr>
              <w:t>0,2%</w:t>
            </w:r>
          </w:p>
        </w:tc>
      </w:tr>
    </w:tbl>
    <w:p w:rsidR="008F52EB" w:rsidRPr="00A80EC7" w:rsidRDefault="008F52EB" w:rsidP="00BB0091">
      <w:r w:rsidRPr="00A80EC7">
        <w:t>3.3</w:t>
      </w:r>
      <w:r w:rsidRPr="00A80EC7">
        <w:tab/>
        <w:t>El importe de la unidad contributiva anual para 2018-2019 se fija en 318 000 CHF. El número de unidades de los Estados Miembros al 31 de enero de 2018 es de 341 1/4, es decir 7 unidades más que el número de unidades presupuestados de 334 1/2 (China aumentó de 14 unidades a 20 unidades y Pakistán aumentó de 1 a 2 unidades).</w:t>
      </w:r>
    </w:p>
    <w:p w:rsidR="008F52EB" w:rsidRPr="00A80EC7" w:rsidRDefault="008F52EB" w:rsidP="00613047">
      <w:r w:rsidRPr="00A80EC7">
        <w:t>3.4</w:t>
      </w:r>
      <w:r w:rsidRPr="00A80EC7">
        <w:tab/>
        <w:t>Importe de la unidad contributiva anual de los Miembros</w:t>
      </w:r>
      <w:r w:rsidR="001912A1">
        <w:t xml:space="preserve"> de Sector para 2018 se fija en </w:t>
      </w:r>
      <w:r w:rsidRPr="00A80EC7">
        <w:t>63</w:t>
      </w:r>
      <w:r w:rsidR="00BB0091">
        <w:t xml:space="preserve"> 600 CHF y en 10 </w:t>
      </w:r>
      <w:r w:rsidRPr="00A80EC7">
        <w:t>600 CHF para los asociados. Al 31 de enero de 2018 los ingresos totales previstos de los Miembros de Sector es inferior a los ingresos presupuestados en 1,8 millones CHF (-11%). Lo mismo ocurre con los ingresos previstos para los Asociados, que es 0,29 millones CHF inferior a los ingresos presupuestados (-15%).</w:t>
      </w:r>
    </w:p>
    <w:p w:rsidR="008F52EB" w:rsidRPr="00A80EC7" w:rsidRDefault="008F52EB" w:rsidP="00BB0091">
      <w:r w:rsidRPr="00A80EC7">
        <w:t>3.5</w:t>
      </w:r>
      <w:r w:rsidRPr="00A80EC7">
        <w:tab/>
        <w:t>Desde 2011 la aplicación de la Resolución 169 (Rev. Busán, 2014) ha generado nuevas fuentes de ingresos procedentes de instituciones académicas, universidades y sus establecimientos de investigación asociados. Al 31 de enero de 2018 había en total 12</w:t>
      </w:r>
      <w:r w:rsidR="00BB0091">
        <w:t>0</w:t>
      </w:r>
      <w:r w:rsidRPr="00A80EC7">
        <w:t xml:space="preserve"> instituciones académicas activas.</w:t>
      </w:r>
    </w:p>
    <w:p w:rsidR="008F52EB" w:rsidRPr="00A80EC7" w:rsidRDefault="008F52EB" w:rsidP="008F52EB">
      <w:r w:rsidRPr="00A80EC7">
        <w:t>3.6</w:t>
      </w:r>
      <w:r w:rsidRPr="00A80EC7">
        <w:tab/>
        <w:t>Los ingresos en concepto de recuperación de costes representan 21,8% de los ingresos totales presupuestados. El desglose figura en el Cuadro 3. Es probable que los ingresos en concepto de recuperación de costes sean inferiores a los presupuestados para 2018, debido esencialmente a los ingresos en concepto de recuperación de costes de apoyo a proyectos, compensados en parte por ingresos más elevados en concepto de UIFN e INN.</w:t>
      </w:r>
    </w:p>
    <w:p w:rsidR="008F52EB" w:rsidRPr="00A80EC7" w:rsidRDefault="008F52EB" w:rsidP="008F52EB">
      <w:pPr>
        <w:tabs>
          <w:tab w:val="clear" w:pos="567"/>
          <w:tab w:val="clear" w:pos="1134"/>
          <w:tab w:val="clear" w:pos="1701"/>
          <w:tab w:val="clear" w:pos="2268"/>
          <w:tab w:val="clear" w:pos="2835"/>
        </w:tabs>
        <w:overflowPunct/>
        <w:autoSpaceDE/>
        <w:autoSpaceDN/>
        <w:adjustRightInd/>
        <w:spacing w:before="0"/>
        <w:textAlignment w:val="auto"/>
        <w:rPr>
          <w:b/>
        </w:rPr>
      </w:pPr>
      <w:r w:rsidRPr="00A80EC7">
        <w:br w:type="page"/>
      </w:r>
    </w:p>
    <w:p w:rsidR="008F52EB" w:rsidRPr="00A80EC7" w:rsidRDefault="008F52EB" w:rsidP="008F52EB">
      <w:pPr>
        <w:pStyle w:val="Tabletitle"/>
        <w:spacing w:before="360"/>
      </w:pPr>
      <w:r w:rsidRPr="00A80EC7">
        <w:lastRenderedPageBreak/>
        <w:t>Cuadro 3 – Ingresos en concepto de recuperación de costes</w:t>
      </w:r>
    </w:p>
    <w:p w:rsidR="008F52EB" w:rsidRPr="00A80EC7" w:rsidRDefault="008F52EB" w:rsidP="008F52EB">
      <w:pPr>
        <w:snapToGrid w:val="0"/>
        <w:ind w:left="7200" w:firstLine="720"/>
        <w:jc w:val="center"/>
        <w:rPr>
          <w:rFonts w:cs="Calibri"/>
          <w:b/>
          <w:bCs/>
          <w:highlight w:val="cyan"/>
        </w:rPr>
      </w:pPr>
      <w:r w:rsidRPr="00A80EC7">
        <w:rPr>
          <w:rFonts w:cs="Arial"/>
          <w:i/>
          <w:iCs/>
          <w:sz w:val="14"/>
          <w:szCs w:val="14"/>
        </w:rPr>
        <w:t>Miles de francos suizos</w:t>
      </w:r>
    </w:p>
    <w:tbl>
      <w:tblPr>
        <w:tblW w:w="5000" w:type="pct"/>
        <w:tblLayout w:type="fixed"/>
        <w:tblLook w:val="04A0" w:firstRow="1" w:lastRow="0" w:firstColumn="1" w:lastColumn="0" w:noHBand="0" w:noVBand="1"/>
      </w:tblPr>
      <w:tblGrid>
        <w:gridCol w:w="2550"/>
        <w:gridCol w:w="1419"/>
        <w:gridCol w:w="1419"/>
        <w:gridCol w:w="1558"/>
        <w:gridCol w:w="1419"/>
        <w:gridCol w:w="1274"/>
        <w:tblGridChange w:id="11">
          <w:tblGrid>
            <w:gridCol w:w="2550"/>
            <w:gridCol w:w="1419"/>
            <w:gridCol w:w="1419"/>
            <w:gridCol w:w="1558"/>
            <w:gridCol w:w="1419"/>
            <w:gridCol w:w="1274"/>
          </w:tblGrid>
        </w:tblGridChange>
      </w:tblGrid>
      <w:tr w:rsidR="000A603D" w:rsidRPr="00A80EC7" w:rsidTr="000A603D">
        <w:trPr>
          <w:trHeight w:val="967"/>
        </w:trPr>
        <w:tc>
          <w:tcPr>
            <w:tcW w:w="1323" w:type="pct"/>
            <w:vMerge w:val="restart"/>
            <w:tcBorders>
              <w:top w:val="nil"/>
              <w:left w:val="nil"/>
              <w:bottom w:val="single" w:sz="12" w:space="0" w:color="FFFFFF"/>
              <w:right w:val="single" w:sz="12" w:space="0" w:color="FFFFFF"/>
            </w:tcBorders>
            <w:shd w:val="clear" w:color="000000" w:fill="DCE6F1"/>
            <w:vAlign w:val="center"/>
            <w:hideMark/>
          </w:tcPr>
          <w:p w:rsidR="000A603D" w:rsidRPr="00A80EC7" w:rsidRDefault="000A603D" w:rsidP="000A603D">
            <w:pPr>
              <w:pStyle w:val="Tablehead"/>
              <w:rPr>
                <w:bCs/>
                <w:lang w:eastAsia="zh-CN"/>
              </w:rPr>
            </w:pPr>
            <w:r w:rsidRPr="00A80EC7">
              <w:rPr>
                <w:bCs/>
                <w:lang w:eastAsia="zh-CN"/>
              </w:rPr>
              <w:t>Recuperación de costes</w:t>
            </w:r>
          </w:p>
        </w:tc>
        <w:tc>
          <w:tcPr>
            <w:tcW w:w="736" w:type="pct"/>
            <w:tcBorders>
              <w:top w:val="nil"/>
              <w:left w:val="nil"/>
              <w:right w:val="single" w:sz="8" w:space="0" w:color="FFFFFF"/>
            </w:tcBorders>
            <w:shd w:val="clear" w:color="000000" w:fill="DCE6F1"/>
            <w:hideMark/>
          </w:tcPr>
          <w:p w:rsidR="000A603D" w:rsidRPr="00113A2D" w:rsidRDefault="000A603D" w:rsidP="000A603D">
            <w:pPr>
              <w:pStyle w:val="Tablehead"/>
            </w:pPr>
            <w:r w:rsidRPr="00113A2D">
              <w:t>Presupuesto 2018</w:t>
            </w:r>
          </w:p>
        </w:tc>
        <w:tc>
          <w:tcPr>
            <w:tcW w:w="736" w:type="pct"/>
            <w:tcBorders>
              <w:top w:val="nil"/>
              <w:left w:val="nil"/>
              <w:right w:val="single" w:sz="8" w:space="0" w:color="FFFFFF"/>
            </w:tcBorders>
            <w:shd w:val="clear" w:color="000000" w:fill="DCE6F1"/>
            <w:hideMark/>
          </w:tcPr>
          <w:p w:rsidR="000A603D" w:rsidRPr="00113A2D" w:rsidRDefault="000A603D" w:rsidP="000A603D">
            <w:pPr>
              <w:pStyle w:val="Tablehead"/>
            </w:pPr>
            <w:r w:rsidRPr="00113A2D">
              <w:t>Real al 31 de enero de 2018</w:t>
            </w:r>
          </w:p>
        </w:tc>
        <w:tc>
          <w:tcPr>
            <w:tcW w:w="808" w:type="pct"/>
            <w:tcBorders>
              <w:top w:val="nil"/>
              <w:left w:val="nil"/>
              <w:right w:val="single" w:sz="8" w:space="0" w:color="FFFFFF"/>
            </w:tcBorders>
            <w:shd w:val="clear" w:color="000000" w:fill="DCE6F1"/>
            <w:hideMark/>
          </w:tcPr>
          <w:p w:rsidR="000A603D" w:rsidRPr="00113A2D" w:rsidRDefault="000A603D" w:rsidP="000A603D">
            <w:pPr>
              <w:pStyle w:val="Tablehead"/>
            </w:pPr>
            <w:r>
              <w:t>Previsión</w:t>
            </w:r>
            <w:r>
              <w:br/>
              <w:t>2018</w:t>
            </w:r>
          </w:p>
        </w:tc>
        <w:tc>
          <w:tcPr>
            <w:tcW w:w="736" w:type="pct"/>
            <w:tcBorders>
              <w:top w:val="nil"/>
              <w:left w:val="nil"/>
              <w:right w:val="nil"/>
            </w:tcBorders>
            <w:shd w:val="clear" w:color="000000" w:fill="DCE6F1"/>
            <w:hideMark/>
          </w:tcPr>
          <w:p w:rsidR="000A603D" w:rsidRPr="00113A2D" w:rsidRDefault="000A603D" w:rsidP="000A603D">
            <w:pPr>
              <w:pStyle w:val="Tablehead"/>
            </w:pPr>
            <w:r w:rsidRPr="00113A2D">
              <w:t>Variación</w:t>
            </w:r>
          </w:p>
        </w:tc>
        <w:tc>
          <w:tcPr>
            <w:tcW w:w="661" w:type="pct"/>
            <w:tcBorders>
              <w:top w:val="nil"/>
              <w:left w:val="nil"/>
              <w:right w:val="nil"/>
            </w:tcBorders>
            <w:shd w:val="clear" w:color="auto" w:fill="DBE5F1" w:themeFill="accent1" w:themeFillTint="33"/>
          </w:tcPr>
          <w:p w:rsidR="000A603D" w:rsidRPr="00113A2D" w:rsidRDefault="000A603D" w:rsidP="000A603D">
            <w:pPr>
              <w:pStyle w:val="Tablehead"/>
            </w:pPr>
            <w:r>
              <w:t>%</w:t>
            </w:r>
          </w:p>
        </w:tc>
      </w:tr>
      <w:tr w:rsidR="004F5ADD" w:rsidRPr="00A80EC7" w:rsidTr="004F5ADD">
        <w:trPr>
          <w:trHeight w:val="227"/>
        </w:trPr>
        <w:tc>
          <w:tcPr>
            <w:tcW w:w="1323" w:type="pct"/>
            <w:vMerge/>
            <w:tcBorders>
              <w:top w:val="nil"/>
              <w:left w:val="nil"/>
              <w:bottom w:val="single" w:sz="12" w:space="0" w:color="FFFFFF"/>
              <w:right w:val="single" w:sz="12" w:space="0" w:color="FFFFFF"/>
            </w:tcBorders>
            <w:vAlign w:val="center"/>
            <w:hideMark/>
          </w:tcPr>
          <w:p w:rsidR="004F5ADD" w:rsidRPr="00A80EC7" w:rsidRDefault="004F5ADD" w:rsidP="004F5ADD">
            <w:pPr>
              <w:pStyle w:val="Tablehead"/>
              <w:rPr>
                <w:bCs/>
                <w:lang w:eastAsia="zh-CN"/>
              </w:rPr>
            </w:pPr>
          </w:p>
        </w:tc>
        <w:tc>
          <w:tcPr>
            <w:tcW w:w="736" w:type="pct"/>
            <w:tcBorders>
              <w:top w:val="single" w:sz="8" w:space="0" w:color="FFFFFF"/>
              <w:left w:val="nil"/>
              <w:bottom w:val="single" w:sz="8" w:space="0" w:color="FFFFFF"/>
              <w:right w:val="single" w:sz="8" w:space="0" w:color="FFFFFF"/>
            </w:tcBorders>
            <w:shd w:val="clear" w:color="000000" w:fill="DCE6F1"/>
            <w:vAlign w:val="center"/>
            <w:hideMark/>
          </w:tcPr>
          <w:p w:rsidR="004F5ADD" w:rsidRPr="00A80EC7" w:rsidRDefault="004F5ADD" w:rsidP="004F5ADD">
            <w:pPr>
              <w:pStyle w:val="Tablehead"/>
              <w:rPr>
                <w:bCs/>
                <w:lang w:eastAsia="zh-CN"/>
              </w:rPr>
            </w:pPr>
            <w:r w:rsidRPr="00A80EC7">
              <w:rPr>
                <w:bCs/>
                <w:lang w:eastAsia="zh-CN"/>
              </w:rPr>
              <w:t>a</w:t>
            </w:r>
          </w:p>
        </w:tc>
        <w:tc>
          <w:tcPr>
            <w:tcW w:w="736" w:type="pct"/>
            <w:tcBorders>
              <w:top w:val="single" w:sz="8" w:space="0" w:color="FFFFFF"/>
              <w:left w:val="nil"/>
              <w:bottom w:val="single" w:sz="8" w:space="0" w:color="FFFFFF"/>
              <w:right w:val="single" w:sz="8" w:space="0" w:color="FFFFFF"/>
            </w:tcBorders>
            <w:shd w:val="clear" w:color="000000" w:fill="DCE6F1"/>
            <w:vAlign w:val="center"/>
            <w:hideMark/>
          </w:tcPr>
          <w:p w:rsidR="004F5ADD" w:rsidRPr="00A80EC7" w:rsidRDefault="000A603D" w:rsidP="004F5ADD">
            <w:pPr>
              <w:pStyle w:val="Tablehead"/>
              <w:rPr>
                <w:bCs/>
                <w:lang w:eastAsia="zh-CN"/>
              </w:rPr>
            </w:pPr>
            <w:r>
              <w:rPr>
                <w:bCs/>
                <w:lang w:eastAsia="zh-CN"/>
              </w:rPr>
              <w:t>b</w:t>
            </w:r>
          </w:p>
        </w:tc>
        <w:tc>
          <w:tcPr>
            <w:tcW w:w="808" w:type="pct"/>
            <w:tcBorders>
              <w:top w:val="nil"/>
              <w:left w:val="nil"/>
              <w:bottom w:val="single" w:sz="8" w:space="0" w:color="FFFFFF"/>
              <w:right w:val="single" w:sz="8" w:space="0" w:color="FFFFFF"/>
            </w:tcBorders>
            <w:shd w:val="clear" w:color="000000" w:fill="DCE6F1"/>
            <w:vAlign w:val="center"/>
            <w:hideMark/>
          </w:tcPr>
          <w:p w:rsidR="004F5ADD" w:rsidRPr="00A80EC7" w:rsidRDefault="004F5ADD" w:rsidP="000A603D">
            <w:pPr>
              <w:pStyle w:val="Tablehead"/>
              <w:rPr>
                <w:bCs/>
                <w:lang w:eastAsia="zh-CN"/>
              </w:rPr>
            </w:pPr>
            <w:r w:rsidRPr="00A80EC7">
              <w:rPr>
                <w:bCs/>
                <w:lang w:eastAsia="zh-CN"/>
              </w:rPr>
              <w:t>c</w:t>
            </w:r>
          </w:p>
        </w:tc>
        <w:tc>
          <w:tcPr>
            <w:tcW w:w="736" w:type="pct"/>
            <w:tcBorders>
              <w:top w:val="nil"/>
              <w:left w:val="nil"/>
              <w:bottom w:val="single" w:sz="8" w:space="0" w:color="FFFFFF"/>
              <w:right w:val="nil"/>
            </w:tcBorders>
            <w:shd w:val="clear" w:color="000000" w:fill="DCE6F1"/>
            <w:vAlign w:val="center"/>
            <w:hideMark/>
          </w:tcPr>
          <w:p w:rsidR="004F5ADD" w:rsidRPr="00A80EC7" w:rsidRDefault="004F5ADD" w:rsidP="00613047">
            <w:pPr>
              <w:pStyle w:val="Tablehead"/>
              <w:rPr>
                <w:bCs/>
                <w:lang w:eastAsia="zh-CN"/>
              </w:rPr>
            </w:pPr>
            <w:r w:rsidRPr="00A80EC7">
              <w:rPr>
                <w:bCs/>
                <w:lang w:eastAsia="zh-CN"/>
              </w:rPr>
              <w:t xml:space="preserve">d = c </w:t>
            </w:r>
            <w:r w:rsidR="00613047">
              <w:t>-</w:t>
            </w:r>
            <w:r w:rsidRPr="00A80EC7">
              <w:rPr>
                <w:bCs/>
                <w:lang w:eastAsia="zh-CN"/>
              </w:rPr>
              <w:t xml:space="preserve"> a</w:t>
            </w:r>
          </w:p>
        </w:tc>
        <w:tc>
          <w:tcPr>
            <w:tcW w:w="661" w:type="pct"/>
            <w:tcBorders>
              <w:top w:val="nil"/>
              <w:left w:val="nil"/>
              <w:bottom w:val="nil"/>
              <w:right w:val="nil"/>
            </w:tcBorders>
            <w:shd w:val="clear" w:color="auto" w:fill="DBE5F1" w:themeFill="accent1" w:themeFillTint="33"/>
          </w:tcPr>
          <w:p w:rsidR="004F5ADD" w:rsidRPr="00A80EC7" w:rsidRDefault="004F5ADD" w:rsidP="004F5ADD">
            <w:pPr>
              <w:pStyle w:val="Tablehead"/>
              <w:rPr>
                <w:lang w:eastAsia="zh-CN"/>
              </w:rPr>
            </w:pPr>
            <w:r w:rsidRPr="00A80EC7">
              <w:t>e = d/a</w:t>
            </w:r>
          </w:p>
        </w:tc>
      </w:tr>
      <w:tr w:rsidR="004F5ADD" w:rsidRPr="00A80EC7" w:rsidTr="004F5ADD">
        <w:trPr>
          <w:trHeight w:val="227"/>
        </w:trPr>
        <w:tc>
          <w:tcPr>
            <w:tcW w:w="1323" w:type="pct"/>
            <w:tcBorders>
              <w:top w:val="nil"/>
              <w:left w:val="nil"/>
              <w:bottom w:val="nil"/>
              <w:right w:val="single" w:sz="12" w:space="0" w:color="FFFFFF"/>
            </w:tcBorders>
            <w:shd w:val="clear" w:color="000000" w:fill="DCE6F1"/>
            <w:noWrap/>
            <w:vAlign w:val="bottom"/>
            <w:hideMark/>
          </w:tcPr>
          <w:p w:rsidR="004F5ADD" w:rsidRPr="00A80EC7" w:rsidRDefault="004F5ADD" w:rsidP="004F5ADD">
            <w:pPr>
              <w:pStyle w:val="Tabletext"/>
              <w:rPr>
                <w:rFonts w:asciiTheme="minorHAnsi" w:hAnsiTheme="minorHAnsi" w:cs="Arial"/>
                <w:lang w:eastAsia="zh-CN"/>
              </w:rPr>
            </w:pPr>
            <w:r w:rsidRPr="00A80EC7">
              <w:rPr>
                <w:rFonts w:cs="Arial"/>
              </w:rPr>
              <w:t xml:space="preserve">1. </w:t>
            </w:r>
            <w:r w:rsidRPr="00A80EC7">
              <w:t>Apoyo a proyectos</w:t>
            </w:r>
          </w:p>
        </w:tc>
        <w:tc>
          <w:tcPr>
            <w:tcW w:w="736" w:type="pct"/>
            <w:tcBorders>
              <w:top w:val="nil"/>
              <w:left w:val="nil"/>
              <w:bottom w:val="nil"/>
              <w:right w:val="single" w:sz="8" w:space="0" w:color="FFFFFF"/>
            </w:tcBorders>
            <w:shd w:val="clear" w:color="000000" w:fill="FFFFFF"/>
            <w:noWrap/>
            <w:vAlign w:val="center"/>
          </w:tcPr>
          <w:p w:rsidR="004F5ADD" w:rsidRPr="00A80EC7" w:rsidRDefault="000A603D" w:rsidP="000A603D">
            <w:pPr>
              <w:pStyle w:val="Tabletext"/>
              <w:jc w:val="right"/>
            </w:pPr>
            <w:r>
              <w:t>1</w:t>
            </w:r>
            <w:r w:rsidR="004F5ADD" w:rsidRPr="00A80EC7">
              <w:t>375</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0</w:t>
            </w:r>
          </w:p>
        </w:tc>
        <w:tc>
          <w:tcPr>
            <w:tcW w:w="808"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750</w:t>
            </w:r>
          </w:p>
        </w:tc>
        <w:tc>
          <w:tcPr>
            <w:tcW w:w="736" w:type="pct"/>
            <w:tcBorders>
              <w:top w:val="nil"/>
              <w:left w:val="nil"/>
              <w:bottom w:val="nil"/>
              <w:right w:val="nil"/>
            </w:tcBorders>
            <w:shd w:val="clear" w:color="000000" w:fill="FFFFFF"/>
            <w:noWrap/>
            <w:vAlign w:val="center"/>
          </w:tcPr>
          <w:p w:rsidR="004F5ADD" w:rsidRPr="00A80EC7" w:rsidRDefault="00613047" w:rsidP="000A603D">
            <w:pPr>
              <w:pStyle w:val="Tabletext"/>
              <w:jc w:val="right"/>
            </w:pPr>
            <w:r>
              <w:t>-</w:t>
            </w:r>
            <w:r w:rsidR="004F5ADD" w:rsidRPr="00A80EC7">
              <w:t>625</w:t>
            </w:r>
          </w:p>
        </w:tc>
        <w:tc>
          <w:tcPr>
            <w:tcW w:w="661" w:type="pct"/>
            <w:tcBorders>
              <w:top w:val="nil"/>
              <w:left w:val="nil"/>
              <w:bottom w:val="nil"/>
              <w:right w:val="nil"/>
            </w:tcBorders>
            <w:shd w:val="clear" w:color="000000" w:fill="FFFFFF"/>
            <w:vAlign w:val="center"/>
          </w:tcPr>
          <w:p w:rsidR="004F5ADD" w:rsidRPr="00A80EC7" w:rsidRDefault="00613047" w:rsidP="000A603D">
            <w:pPr>
              <w:pStyle w:val="Tabletext"/>
              <w:jc w:val="right"/>
            </w:pPr>
            <w:r>
              <w:t>-</w:t>
            </w:r>
            <w:r w:rsidR="004F5ADD" w:rsidRPr="00A80EC7">
              <w:t>45,5%</w:t>
            </w:r>
          </w:p>
        </w:tc>
      </w:tr>
      <w:tr w:rsidR="004F5ADD" w:rsidRPr="00A80EC7" w:rsidTr="004F5ADD">
        <w:trPr>
          <w:trHeight w:val="227"/>
        </w:trPr>
        <w:tc>
          <w:tcPr>
            <w:tcW w:w="1323" w:type="pct"/>
            <w:tcBorders>
              <w:top w:val="nil"/>
              <w:left w:val="nil"/>
              <w:bottom w:val="nil"/>
              <w:right w:val="single" w:sz="12" w:space="0" w:color="FFFFFF"/>
            </w:tcBorders>
            <w:shd w:val="clear" w:color="000000" w:fill="DCE6F1"/>
            <w:noWrap/>
            <w:vAlign w:val="bottom"/>
            <w:hideMark/>
          </w:tcPr>
          <w:p w:rsidR="004F5ADD" w:rsidRPr="00A80EC7" w:rsidRDefault="004F5ADD" w:rsidP="004F5ADD">
            <w:pPr>
              <w:pStyle w:val="Tabletext"/>
              <w:rPr>
                <w:rFonts w:asciiTheme="minorHAnsi" w:hAnsiTheme="minorHAnsi" w:cs="Arial"/>
                <w:lang w:eastAsia="zh-CN"/>
              </w:rPr>
            </w:pPr>
            <w:r w:rsidRPr="00A80EC7">
              <w:rPr>
                <w:rFonts w:cs="Arial"/>
              </w:rPr>
              <w:t xml:space="preserve">2. </w:t>
            </w:r>
            <w:r w:rsidRPr="00A80EC7">
              <w:t>Venta de publicaciones</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19 000</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770</w:t>
            </w:r>
          </w:p>
        </w:tc>
        <w:tc>
          <w:tcPr>
            <w:tcW w:w="808"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19 000</w:t>
            </w:r>
          </w:p>
        </w:tc>
        <w:tc>
          <w:tcPr>
            <w:tcW w:w="736" w:type="pct"/>
            <w:tcBorders>
              <w:top w:val="nil"/>
              <w:left w:val="nil"/>
              <w:bottom w:val="nil"/>
              <w:right w:val="nil"/>
            </w:tcBorders>
            <w:shd w:val="clear" w:color="000000" w:fill="FFFFFF"/>
            <w:noWrap/>
            <w:vAlign w:val="center"/>
          </w:tcPr>
          <w:p w:rsidR="004F5ADD" w:rsidRPr="00A80EC7" w:rsidRDefault="004F5ADD" w:rsidP="000A603D">
            <w:pPr>
              <w:pStyle w:val="Tabletext"/>
              <w:jc w:val="right"/>
            </w:pPr>
            <w:r w:rsidRPr="00A80EC7">
              <w:t>0</w:t>
            </w:r>
          </w:p>
        </w:tc>
        <w:tc>
          <w:tcPr>
            <w:tcW w:w="661" w:type="pct"/>
            <w:tcBorders>
              <w:top w:val="nil"/>
              <w:left w:val="nil"/>
              <w:bottom w:val="nil"/>
              <w:right w:val="nil"/>
            </w:tcBorders>
            <w:shd w:val="clear" w:color="000000" w:fill="FFFFFF"/>
            <w:vAlign w:val="center"/>
          </w:tcPr>
          <w:p w:rsidR="004F5ADD" w:rsidRPr="00A80EC7" w:rsidRDefault="004F5ADD" w:rsidP="000A603D">
            <w:pPr>
              <w:pStyle w:val="Tabletext"/>
              <w:jc w:val="right"/>
            </w:pPr>
            <w:r w:rsidRPr="00A80EC7">
              <w:t>0%</w:t>
            </w:r>
          </w:p>
        </w:tc>
      </w:tr>
      <w:tr w:rsidR="004F5ADD" w:rsidRPr="00A80EC7" w:rsidTr="004F5ADD">
        <w:trPr>
          <w:trHeight w:val="227"/>
        </w:trPr>
        <w:tc>
          <w:tcPr>
            <w:tcW w:w="1323" w:type="pct"/>
            <w:tcBorders>
              <w:top w:val="nil"/>
              <w:left w:val="nil"/>
              <w:bottom w:val="nil"/>
              <w:right w:val="single" w:sz="12" w:space="0" w:color="FFFFFF"/>
            </w:tcBorders>
            <w:shd w:val="clear" w:color="000000" w:fill="DCE6F1"/>
            <w:noWrap/>
            <w:vAlign w:val="bottom"/>
            <w:hideMark/>
          </w:tcPr>
          <w:p w:rsidR="004F5ADD" w:rsidRPr="00A80EC7" w:rsidRDefault="004F5ADD" w:rsidP="004F5ADD">
            <w:pPr>
              <w:pStyle w:val="Tabletext"/>
              <w:rPr>
                <w:rFonts w:asciiTheme="minorHAnsi" w:hAnsiTheme="minorHAnsi" w:cs="Arial"/>
                <w:lang w:eastAsia="zh-CN"/>
              </w:rPr>
            </w:pPr>
            <w:r w:rsidRPr="00A80EC7">
              <w:rPr>
                <w:rFonts w:cs="Arial"/>
              </w:rPr>
              <w:t>3. UIFN</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500</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757</w:t>
            </w:r>
          </w:p>
        </w:tc>
        <w:tc>
          <w:tcPr>
            <w:tcW w:w="808"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800</w:t>
            </w:r>
          </w:p>
        </w:tc>
        <w:tc>
          <w:tcPr>
            <w:tcW w:w="736" w:type="pct"/>
            <w:tcBorders>
              <w:top w:val="nil"/>
              <w:left w:val="nil"/>
              <w:bottom w:val="nil"/>
              <w:right w:val="nil"/>
            </w:tcBorders>
            <w:shd w:val="clear" w:color="000000" w:fill="FFFFFF"/>
            <w:noWrap/>
            <w:vAlign w:val="center"/>
          </w:tcPr>
          <w:p w:rsidR="004F5ADD" w:rsidRPr="00A80EC7" w:rsidRDefault="004F5ADD" w:rsidP="000A603D">
            <w:pPr>
              <w:pStyle w:val="Tabletext"/>
              <w:jc w:val="right"/>
            </w:pPr>
            <w:r w:rsidRPr="00A80EC7">
              <w:t>300</w:t>
            </w:r>
          </w:p>
        </w:tc>
        <w:tc>
          <w:tcPr>
            <w:tcW w:w="661" w:type="pct"/>
            <w:tcBorders>
              <w:top w:val="nil"/>
              <w:left w:val="nil"/>
              <w:bottom w:val="nil"/>
              <w:right w:val="nil"/>
            </w:tcBorders>
            <w:shd w:val="clear" w:color="000000" w:fill="FFFFFF"/>
            <w:vAlign w:val="center"/>
          </w:tcPr>
          <w:p w:rsidR="004F5ADD" w:rsidRPr="00A80EC7" w:rsidRDefault="004F5ADD" w:rsidP="000A603D">
            <w:pPr>
              <w:pStyle w:val="Tabletext"/>
              <w:jc w:val="right"/>
            </w:pPr>
            <w:r w:rsidRPr="00A80EC7">
              <w:t>60%</w:t>
            </w:r>
          </w:p>
        </w:tc>
      </w:tr>
      <w:tr w:rsidR="004F5ADD" w:rsidRPr="00A80EC7" w:rsidTr="004F5ADD">
        <w:trPr>
          <w:trHeight w:val="227"/>
        </w:trPr>
        <w:tc>
          <w:tcPr>
            <w:tcW w:w="1323" w:type="pct"/>
            <w:tcBorders>
              <w:top w:val="nil"/>
              <w:left w:val="nil"/>
              <w:bottom w:val="nil"/>
              <w:right w:val="nil"/>
            </w:tcBorders>
            <w:shd w:val="clear" w:color="000000" w:fill="DCE6F1"/>
            <w:noWrap/>
            <w:vAlign w:val="bottom"/>
            <w:hideMark/>
          </w:tcPr>
          <w:p w:rsidR="004F5ADD" w:rsidRPr="00A80EC7" w:rsidRDefault="004F5ADD" w:rsidP="004F5ADD">
            <w:pPr>
              <w:pStyle w:val="Tabletext"/>
              <w:rPr>
                <w:rFonts w:asciiTheme="minorHAnsi" w:hAnsiTheme="minorHAnsi" w:cs="Arial"/>
                <w:lang w:eastAsia="zh-CN"/>
              </w:rPr>
            </w:pPr>
            <w:r w:rsidRPr="00A80EC7">
              <w:rPr>
                <w:rFonts w:cs="Arial"/>
              </w:rPr>
              <w:t>4. TELECOM</w:t>
            </w:r>
          </w:p>
        </w:tc>
        <w:tc>
          <w:tcPr>
            <w:tcW w:w="736" w:type="pct"/>
            <w:tcBorders>
              <w:top w:val="nil"/>
              <w:left w:val="nil"/>
              <w:bottom w:val="nil"/>
              <w:right w:val="single" w:sz="8" w:space="0" w:color="FFFFFF"/>
            </w:tcBorders>
            <w:shd w:val="clear" w:color="000000" w:fill="FFFFFF"/>
            <w:noWrap/>
            <w:vAlign w:val="center"/>
          </w:tcPr>
          <w:p w:rsidR="004F5ADD" w:rsidRPr="00A80EC7" w:rsidRDefault="000A603D" w:rsidP="000A603D">
            <w:pPr>
              <w:pStyle w:val="Tabletext"/>
              <w:jc w:val="right"/>
            </w:pPr>
            <w:r>
              <w:t>1</w:t>
            </w:r>
            <w:r w:rsidR="004F5ADD" w:rsidRPr="00A80EC7">
              <w:t>500</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0</w:t>
            </w:r>
          </w:p>
        </w:tc>
        <w:tc>
          <w:tcPr>
            <w:tcW w:w="808" w:type="pct"/>
            <w:tcBorders>
              <w:top w:val="nil"/>
              <w:left w:val="nil"/>
              <w:bottom w:val="nil"/>
              <w:right w:val="single" w:sz="8" w:space="0" w:color="FFFFFF"/>
            </w:tcBorders>
            <w:shd w:val="clear" w:color="000000" w:fill="FFFFFF"/>
            <w:noWrap/>
            <w:vAlign w:val="center"/>
          </w:tcPr>
          <w:p w:rsidR="004F5ADD" w:rsidRPr="00A80EC7" w:rsidRDefault="000A603D" w:rsidP="000A603D">
            <w:pPr>
              <w:pStyle w:val="Tabletext"/>
              <w:jc w:val="right"/>
            </w:pPr>
            <w:r>
              <w:t>1</w:t>
            </w:r>
            <w:r w:rsidR="004F5ADD" w:rsidRPr="00A80EC7">
              <w:t>500</w:t>
            </w:r>
          </w:p>
        </w:tc>
        <w:tc>
          <w:tcPr>
            <w:tcW w:w="736" w:type="pct"/>
            <w:tcBorders>
              <w:top w:val="nil"/>
              <w:left w:val="nil"/>
              <w:bottom w:val="nil"/>
              <w:right w:val="nil"/>
            </w:tcBorders>
            <w:shd w:val="clear" w:color="000000" w:fill="FFFFFF"/>
            <w:noWrap/>
            <w:vAlign w:val="center"/>
          </w:tcPr>
          <w:p w:rsidR="004F5ADD" w:rsidRPr="00A80EC7" w:rsidRDefault="004F5ADD" w:rsidP="000A603D">
            <w:pPr>
              <w:pStyle w:val="Tabletext"/>
              <w:jc w:val="right"/>
            </w:pPr>
            <w:r w:rsidRPr="00A80EC7">
              <w:t>0</w:t>
            </w:r>
          </w:p>
        </w:tc>
        <w:tc>
          <w:tcPr>
            <w:tcW w:w="661" w:type="pct"/>
            <w:tcBorders>
              <w:top w:val="nil"/>
              <w:left w:val="nil"/>
              <w:bottom w:val="nil"/>
              <w:right w:val="nil"/>
            </w:tcBorders>
            <w:shd w:val="clear" w:color="000000" w:fill="FFFFFF"/>
            <w:vAlign w:val="center"/>
          </w:tcPr>
          <w:p w:rsidR="004F5ADD" w:rsidRPr="00A80EC7" w:rsidRDefault="004F5ADD" w:rsidP="000A603D">
            <w:pPr>
              <w:pStyle w:val="Tabletext"/>
              <w:jc w:val="right"/>
            </w:pPr>
            <w:r w:rsidRPr="00A80EC7">
              <w:t>0%</w:t>
            </w:r>
          </w:p>
        </w:tc>
      </w:tr>
      <w:tr w:rsidR="004F5ADD" w:rsidRPr="00A80EC7" w:rsidTr="004F5ADD">
        <w:trPr>
          <w:trHeight w:val="227"/>
        </w:trPr>
        <w:tc>
          <w:tcPr>
            <w:tcW w:w="1323" w:type="pct"/>
            <w:tcBorders>
              <w:top w:val="nil"/>
              <w:left w:val="nil"/>
              <w:bottom w:val="nil"/>
              <w:right w:val="nil"/>
            </w:tcBorders>
            <w:shd w:val="clear" w:color="000000" w:fill="DCE6F1"/>
            <w:noWrap/>
            <w:vAlign w:val="bottom"/>
            <w:hideMark/>
          </w:tcPr>
          <w:p w:rsidR="004F5ADD" w:rsidRPr="00A80EC7" w:rsidRDefault="004F5ADD" w:rsidP="004F5ADD">
            <w:pPr>
              <w:pStyle w:val="Tabletext"/>
              <w:rPr>
                <w:rFonts w:asciiTheme="minorHAnsi" w:hAnsiTheme="minorHAnsi" w:cs="Arial"/>
                <w:lang w:eastAsia="zh-CN"/>
              </w:rPr>
            </w:pPr>
            <w:r w:rsidRPr="00A80EC7">
              <w:rPr>
                <w:rFonts w:cs="Arial"/>
              </w:rPr>
              <w:t xml:space="preserve">5. </w:t>
            </w:r>
            <w:r w:rsidRPr="00A80EC7">
              <w:t>Notificaciones de redes de satélites</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14 000</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997</w:t>
            </w:r>
          </w:p>
        </w:tc>
        <w:tc>
          <w:tcPr>
            <w:tcW w:w="808"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14 000</w:t>
            </w:r>
          </w:p>
        </w:tc>
        <w:tc>
          <w:tcPr>
            <w:tcW w:w="736" w:type="pct"/>
            <w:tcBorders>
              <w:top w:val="nil"/>
              <w:left w:val="nil"/>
              <w:bottom w:val="nil"/>
              <w:right w:val="nil"/>
            </w:tcBorders>
            <w:shd w:val="clear" w:color="000000" w:fill="FFFFFF"/>
            <w:noWrap/>
            <w:vAlign w:val="center"/>
          </w:tcPr>
          <w:p w:rsidR="004F5ADD" w:rsidRPr="00A80EC7" w:rsidRDefault="004F5ADD" w:rsidP="000A603D">
            <w:pPr>
              <w:pStyle w:val="Tabletext"/>
              <w:jc w:val="right"/>
            </w:pPr>
            <w:r w:rsidRPr="00A80EC7">
              <w:t>0</w:t>
            </w:r>
          </w:p>
        </w:tc>
        <w:tc>
          <w:tcPr>
            <w:tcW w:w="661" w:type="pct"/>
            <w:tcBorders>
              <w:top w:val="nil"/>
              <w:left w:val="nil"/>
              <w:bottom w:val="nil"/>
              <w:right w:val="nil"/>
            </w:tcBorders>
            <w:shd w:val="clear" w:color="000000" w:fill="FFFFFF"/>
            <w:vAlign w:val="center"/>
          </w:tcPr>
          <w:p w:rsidR="004F5ADD" w:rsidRPr="00A80EC7" w:rsidRDefault="004F5ADD" w:rsidP="000A603D">
            <w:pPr>
              <w:pStyle w:val="Tabletext"/>
              <w:jc w:val="right"/>
            </w:pPr>
            <w:r w:rsidRPr="00A80EC7">
              <w:t>0%</w:t>
            </w:r>
          </w:p>
        </w:tc>
      </w:tr>
      <w:tr w:rsidR="004F5ADD" w:rsidRPr="00A80EC7" w:rsidTr="004F5ADD">
        <w:trPr>
          <w:trHeight w:val="227"/>
        </w:trPr>
        <w:tc>
          <w:tcPr>
            <w:tcW w:w="1323" w:type="pct"/>
            <w:tcBorders>
              <w:top w:val="nil"/>
              <w:left w:val="nil"/>
              <w:bottom w:val="nil"/>
              <w:right w:val="nil"/>
            </w:tcBorders>
            <w:shd w:val="clear" w:color="000000" w:fill="DCE6F1"/>
            <w:noWrap/>
            <w:vAlign w:val="bottom"/>
            <w:hideMark/>
          </w:tcPr>
          <w:p w:rsidR="004F5ADD" w:rsidRPr="00A80EC7" w:rsidRDefault="004F5ADD" w:rsidP="004F5ADD">
            <w:pPr>
              <w:pStyle w:val="Tabletext"/>
              <w:rPr>
                <w:rFonts w:asciiTheme="minorHAnsi" w:hAnsiTheme="minorHAnsi" w:cs="Arial"/>
                <w:lang w:eastAsia="zh-CN"/>
              </w:rPr>
            </w:pPr>
            <w:r w:rsidRPr="00A80EC7">
              <w:rPr>
                <w:rFonts w:cs="Arial"/>
              </w:rPr>
              <w:t xml:space="preserve">6. </w:t>
            </w:r>
            <w:r w:rsidRPr="00A80EC7">
              <w:t>Otros</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0</w:t>
            </w:r>
          </w:p>
        </w:tc>
        <w:tc>
          <w:tcPr>
            <w:tcW w:w="736"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0</w:t>
            </w:r>
          </w:p>
        </w:tc>
        <w:tc>
          <w:tcPr>
            <w:tcW w:w="808" w:type="pct"/>
            <w:tcBorders>
              <w:top w:val="nil"/>
              <w:left w:val="nil"/>
              <w:bottom w:val="nil"/>
              <w:right w:val="single" w:sz="8" w:space="0" w:color="FFFFFF"/>
            </w:tcBorders>
            <w:shd w:val="clear" w:color="000000" w:fill="FFFFFF"/>
            <w:noWrap/>
            <w:vAlign w:val="center"/>
          </w:tcPr>
          <w:p w:rsidR="004F5ADD" w:rsidRPr="00A80EC7" w:rsidRDefault="004F5ADD" w:rsidP="000A603D">
            <w:pPr>
              <w:pStyle w:val="Tabletext"/>
              <w:jc w:val="right"/>
            </w:pPr>
            <w:r w:rsidRPr="00A80EC7">
              <w:t>0</w:t>
            </w:r>
          </w:p>
        </w:tc>
        <w:tc>
          <w:tcPr>
            <w:tcW w:w="736" w:type="pct"/>
            <w:tcBorders>
              <w:top w:val="nil"/>
              <w:left w:val="nil"/>
              <w:bottom w:val="nil"/>
              <w:right w:val="nil"/>
            </w:tcBorders>
            <w:shd w:val="clear" w:color="000000" w:fill="FFFFFF"/>
            <w:noWrap/>
            <w:vAlign w:val="center"/>
          </w:tcPr>
          <w:p w:rsidR="004F5ADD" w:rsidRPr="00A80EC7" w:rsidRDefault="004F5ADD" w:rsidP="000A603D">
            <w:pPr>
              <w:pStyle w:val="Tabletext"/>
              <w:jc w:val="right"/>
            </w:pPr>
            <w:r w:rsidRPr="00A80EC7">
              <w:t>0</w:t>
            </w:r>
          </w:p>
        </w:tc>
        <w:tc>
          <w:tcPr>
            <w:tcW w:w="661" w:type="pct"/>
            <w:tcBorders>
              <w:top w:val="nil"/>
              <w:left w:val="nil"/>
              <w:bottom w:val="nil"/>
              <w:right w:val="nil"/>
            </w:tcBorders>
            <w:shd w:val="clear" w:color="000000" w:fill="FFFFFF"/>
            <w:vAlign w:val="center"/>
          </w:tcPr>
          <w:p w:rsidR="004F5ADD" w:rsidRPr="00A80EC7" w:rsidRDefault="004F5ADD" w:rsidP="000A603D">
            <w:pPr>
              <w:pStyle w:val="Tabletext"/>
              <w:jc w:val="right"/>
            </w:pPr>
            <w:r w:rsidRPr="00A80EC7">
              <w:t>100%</w:t>
            </w:r>
          </w:p>
        </w:tc>
      </w:tr>
      <w:tr w:rsidR="004F5ADD" w:rsidRPr="00A80EC7" w:rsidTr="004F5ADD">
        <w:trPr>
          <w:trHeight w:val="227"/>
        </w:trPr>
        <w:tc>
          <w:tcPr>
            <w:tcW w:w="1323" w:type="pct"/>
            <w:tcBorders>
              <w:top w:val="nil"/>
              <w:left w:val="nil"/>
              <w:bottom w:val="nil"/>
              <w:right w:val="single" w:sz="12" w:space="0" w:color="FFFFFF"/>
            </w:tcBorders>
            <w:shd w:val="clear" w:color="000000" w:fill="DCE6F1"/>
            <w:noWrap/>
            <w:vAlign w:val="bottom"/>
            <w:hideMark/>
          </w:tcPr>
          <w:p w:rsidR="004F5ADD" w:rsidRPr="00A80EC7" w:rsidRDefault="004F5ADD" w:rsidP="004F5ADD">
            <w:pPr>
              <w:pStyle w:val="Tabletext"/>
              <w:rPr>
                <w:rFonts w:asciiTheme="minorHAnsi" w:hAnsiTheme="minorHAnsi" w:cs="Arial"/>
                <w:b/>
                <w:bCs/>
                <w:lang w:eastAsia="zh-CN"/>
              </w:rPr>
            </w:pPr>
            <w:r w:rsidRPr="00A80EC7">
              <w:rPr>
                <w:rFonts w:asciiTheme="minorHAnsi" w:hAnsiTheme="minorHAnsi" w:cs="Arial"/>
                <w:b/>
                <w:bCs/>
                <w:lang w:eastAsia="zh-CN"/>
              </w:rPr>
              <w:t>Total</w:t>
            </w:r>
          </w:p>
        </w:tc>
        <w:tc>
          <w:tcPr>
            <w:tcW w:w="736" w:type="pct"/>
            <w:tcBorders>
              <w:top w:val="nil"/>
              <w:left w:val="nil"/>
              <w:bottom w:val="nil"/>
              <w:right w:val="single" w:sz="8" w:space="0" w:color="FFFFFF"/>
            </w:tcBorders>
            <w:shd w:val="clear" w:color="000000" w:fill="DCE6F1"/>
            <w:noWrap/>
            <w:vAlign w:val="center"/>
          </w:tcPr>
          <w:p w:rsidR="004F5ADD" w:rsidRPr="00A80EC7" w:rsidRDefault="004F5ADD" w:rsidP="000A603D">
            <w:pPr>
              <w:pStyle w:val="Tabletext"/>
              <w:jc w:val="right"/>
              <w:rPr>
                <w:b/>
                <w:bCs/>
              </w:rPr>
            </w:pPr>
            <w:r w:rsidRPr="00A80EC7">
              <w:rPr>
                <w:b/>
                <w:bCs/>
              </w:rPr>
              <w:t>36 375</w:t>
            </w:r>
          </w:p>
        </w:tc>
        <w:tc>
          <w:tcPr>
            <w:tcW w:w="736" w:type="pct"/>
            <w:tcBorders>
              <w:top w:val="nil"/>
              <w:left w:val="nil"/>
              <w:bottom w:val="nil"/>
              <w:right w:val="single" w:sz="8" w:space="0" w:color="FFFFFF"/>
            </w:tcBorders>
            <w:shd w:val="clear" w:color="000000" w:fill="DCE6F1"/>
            <w:noWrap/>
            <w:vAlign w:val="center"/>
          </w:tcPr>
          <w:p w:rsidR="004F5ADD" w:rsidRPr="00A80EC7" w:rsidRDefault="000A603D" w:rsidP="000A603D">
            <w:pPr>
              <w:pStyle w:val="Tabletext"/>
              <w:jc w:val="right"/>
              <w:rPr>
                <w:b/>
                <w:bCs/>
              </w:rPr>
            </w:pPr>
            <w:r>
              <w:rPr>
                <w:b/>
                <w:bCs/>
              </w:rPr>
              <w:t>2</w:t>
            </w:r>
            <w:r w:rsidR="004F5ADD" w:rsidRPr="00A80EC7">
              <w:rPr>
                <w:b/>
                <w:bCs/>
              </w:rPr>
              <w:t>524</w:t>
            </w:r>
          </w:p>
        </w:tc>
        <w:tc>
          <w:tcPr>
            <w:tcW w:w="808" w:type="pct"/>
            <w:tcBorders>
              <w:top w:val="nil"/>
              <w:left w:val="nil"/>
              <w:bottom w:val="nil"/>
              <w:right w:val="single" w:sz="8" w:space="0" w:color="FFFFFF"/>
            </w:tcBorders>
            <w:shd w:val="clear" w:color="000000" w:fill="DCE6F1"/>
            <w:noWrap/>
            <w:vAlign w:val="center"/>
          </w:tcPr>
          <w:p w:rsidR="004F5ADD" w:rsidRPr="00A80EC7" w:rsidRDefault="004F5ADD" w:rsidP="000A603D">
            <w:pPr>
              <w:pStyle w:val="Tabletext"/>
              <w:jc w:val="right"/>
              <w:rPr>
                <w:b/>
                <w:bCs/>
              </w:rPr>
            </w:pPr>
            <w:r w:rsidRPr="00A80EC7">
              <w:rPr>
                <w:b/>
                <w:bCs/>
              </w:rPr>
              <w:t>36 050</w:t>
            </w:r>
          </w:p>
        </w:tc>
        <w:tc>
          <w:tcPr>
            <w:tcW w:w="736" w:type="pct"/>
            <w:tcBorders>
              <w:top w:val="nil"/>
              <w:left w:val="nil"/>
              <w:bottom w:val="nil"/>
              <w:right w:val="nil"/>
            </w:tcBorders>
            <w:shd w:val="clear" w:color="000000" w:fill="DCE6F1"/>
            <w:noWrap/>
            <w:vAlign w:val="center"/>
          </w:tcPr>
          <w:p w:rsidR="004F5ADD" w:rsidRPr="00A80EC7" w:rsidRDefault="00613047" w:rsidP="000A603D">
            <w:pPr>
              <w:pStyle w:val="Tabletext"/>
              <w:jc w:val="right"/>
              <w:rPr>
                <w:b/>
                <w:bCs/>
              </w:rPr>
            </w:pPr>
            <w:r>
              <w:rPr>
                <w:b/>
                <w:bCs/>
              </w:rPr>
              <w:t>-</w:t>
            </w:r>
            <w:r w:rsidR="004F5ADD" w:rsidRPr="00A80EC7">
              <w:rPr>
                <w:b/>
                <w:bCs/>
              </w:rPr>
              <w:t>325</w:t>
            </w:r>
          </w:p>
        </w:tc>
        <w:tc>
          <w:tcPr>
            <w:tcW w:w="661" w:type="pct"/>
            <w:tcBorders>
              <w:top w:val="nil"/>
              <w:left w:val="nil"/>
              <w:bottom w:val="nil"/>
              <w:right w:val="nil"/>
            </w:tcBorders>
            <w:shd w:val="clear" w:color="auto" w:fill="DBE5F1" w:themeFill="accent1" w:themeFillTint="33"/>
            <w:vAlign w:val="center"/>
          </w:tcPr>
          <w:p w:rsidR="004F5ADD" w:rsidRPr="00A80EC7" w:rsidRDefault="00613047" w:rsidP="000A603D">
            <w:pPr>
              <w:pStyle w:val="Tabletext"/>
              <w:jc w:val="right"/>
              <w:rPr>
                <w:b/>
                <w:bCs/>
              </w:rPr>
            </w:pPr>
            <w:r>
              <w:rPr>
                <w:b/>
                <w:bCs/>
              </w:rPr>
              <w:t>-</w:t>
            </w:r>
            <w:r w:rsidR="004F5ADD" w:rsidRPr="00A80EC7">
              <w:rPr>
                <w:b/>
                <w:bCs/>
              </w:rPr>
              <w:t>0,9%</w:t>
            </w:r>
          </w:p>
        </w:tc>
      </w:tr>
    </w:tbl>
    <w:p w:rsidR="008F52EB" w:rsidRPr="00A80EC7" w:rsidRDefault="008F52EB" w:rsidP="008F52EB">
      <w:pPr>
        <w:pStyle w:val="Heading1"/>
      </w:pPr>
      <w:r w:rsidRPr="00A80EC7">
        <w:t>4</w:t>
      </w:r>
      <w:r w:rsidRPr="00A80EC7">
        <w:tab/>
        <w:t>Gastos</w:t>
      </w:r>
    </w:p>
    <w:p w:rsidR="008F52EB" w:rsidRPr="00A80EC7" w:rsidRDefault="008F52EB" w:rsidP="008F52EB">
      <w:r w:rsidRPr="00A80EC7">
        <w:t>4.1</w:t>
      </w:r>
      <w:r w:rsidRPr="00A80EC7">
        <w:tab/>
        <w:t>En lo que respecta a los gastos, se están aplicando continuamente medidas y esfuerzos para incrementar la eficiencia, con arreglo a lo dispuesto en la Resolución 1387. El objetivo es mantener los gastos dentro de lo presupuestado al final del ejercicio 2018. La aplicación de la decisión de la CAPI de reducir el ajuste por lugar de destino para las categorías profesional y superior del personal en Ginebra generará ahorros estimados en aproximadamente 3 millones CHF en 2018.</w:t>
      </w:r>
    </w:p>
    <w:p w:rsidR="008F52EB" w:rsidRPr="00A80EC7" w:rsidRDefault="008F52EB" w:rsidP="008F52EB">
      <w:pPr>
        <w:pStyle w:val="Heading1"/>
      </w:pPr>
      <w:r w:rsidRPr="00A80EC7">
        <w:t>5</w:t>
      </w:r>
      <w:r w:rsidRPr="00A80EC7">
        <w:tab/>
        <w:t>Cuenta de Provisión de la UIT</w:t>
      </w:r>
    </w:p>
    <w:p w:rsidR="008F52EB" w:rsidRPr="00A80EC7" w:rsidRDefault="008F52EB" w:rsidP="008F52EB">
      <w:r w:rsidRPr="00A80EC7">
        <w:t>5.1</w:t>
      </w:r>
      <w:r w:rsidRPr="00A80EC7">
        <w:tab/>
        <w:t>Debía depositarse un importe de 1,15 millones CHF en la Cuenta de Provisión durante el periodo 2018-2019 conforme a la Resolución 1387, ya que ese mismo importe había sido detraído para el bienio 2016-2017. Además, la administración se ha comprometido a realizar ahorros en la aplicación del presupuesto, por un importe de 0,946 millones CHF, a fin de equilibrar el presupuesto de 2018.</w:t>
      </w:r>
    </w:p>
    <w:p w:rsidR="008F52EB" w:rsidRPr="00A80EC7" w:rsidRDefault="008F52EB" w:rsidP="008F52EB">
      <w:r w:rsidRPr="00A80EC7">
        <w:t>5.2</w:t>
      </w:r>
      <w:r w:rsidRPr="00A80EC7">
        <w:tab/>
        <w:t>Al cierre de las cuentas de 2018 se deter</w:t>
      </w:r>
      <w:r w:rsidR="000A603D">
        <w:t xml:space="preserve">minará el importe real que será </w:t>
      </w:r>
      <w:r w:rsidRPr="00A80EC7">
        <w:t>depositado/detraído de la Cuenta de Provisión.</w:t>
      </w:r>
    </w:p>
    <w:p w:rsidR="008F52EB" w:rsidRPr="00A80EC7" w:rsidRDefault="008F52EB" w:rsidP="008F52EB">
      <w:r w:rsidRPr="00A80EC7">
        <w:t>5.3</w:t>
      </w:r>
      <w:r w:rsidRPr="00A80EC7">
        <w:tab/>
        <w:t>Además, el Consejo encargó al Secretario General que detrajera 1 millón CHF de la Cuenta de Provisión el 1 de enero de 2018, para pasarlo al fondo ASHI a fin de responder al pasivo a largo plazo no financiado.</w:t>
      </w:r>
    </w:p>
    <w:p w:rsidR="008F52EB" w:rsidRPr="00A80EC7" w:rsidRDefault="008F52EB" w:rsidP="00A80EC7">
      <w:pPr>
        <w:pStyle w:val="Heading1"/>
      </w:pPr>
      <w:r w:rsidRPr="00A80EC7">
        <w:t>6</w:t>
      </w:r>
      <w:r w:rsidRPr="00A80EC7">
        <w:tab/>
        <w:t>Presupuesto basado en los resultados</w:t>
      </w:r>
    </w:p>
    <w:p w:rsidR="008F52EB" w:rsidRPr="00A80EC7" w:rsidRDefault="008F52EB" w:rsidP="008F52EB">
      <w:pPr>
        <w:tabs>
          <w:tab w:val="clear" w:pos="567"/>
          <w:tab w:val="clear" w:pos="1134"/>
          <w:tab w:val="clear" w:pos="1701"/>
          <w:tab w:val="clear" w:pos="2268"/>
          <w:tab w:val="clear" w:pos="2835"/>
        </w:tabs>
        <w:overflowPunct/>
        <w:autoSpaceDE/>
        <w:autoSpaceDN/>
        <w:snapToGrid w:val="0"/>
        <w:spacing w:after="120"/>
        <w:jc w:val="both"/>
        <w:textAlignment w:val="auto"/>
        <w:rPr>
          <w:szCs w:val="24"/>
        </w:rPr>
      </w:pPr>
      <w:r w:rsidRPr="00A80EC7">
        <w:rPr>
          <w:szCs w:val="24"/>
        </w:rPr>
        <w:t>6.1</w:t>
      </w:r>
      <w:r w:rsidRPr="00A80EC7">
        <w:rPr>
          <w:szCs w:val="24"/>
        </w:rPr>
        <w:tab/>
        <w:t>En el cuadro 4 siguiente se indican los gastos al 31 de enero de 2018 correspondientes a las cuatro metas estratégicas de la Unión recogidas en el Plan Estratégico de la Unión para 2016-2019 que figura en la Resolución 71 (Rev. Busán, 2014). No se observan variaciones significativas, dado que es todavía principio de año.</w:t>
      </w:r>
    </w:p>
    <w:p w:rsidR="008F52EB" w:rsidRDefault="008F52EB" w:rsidP="00113A2D">
      <w:pPr>
        <w:pStyle w:val="Tabletitle"/>
      </w:pPr>
      <w:r w:rsidRPr="00A80EC7">
        <w:lastRenderedPageBreak/>
        <w:t>Cuadro 4 - Coste de las metas estratégicas de la UIT al 31 de enero de 2018</w:t>
      </w:r>
    </w:p>
    <w:p w:rsidR="00A80EC7" w:rsidRPr="001912A1" w:rsidRDefault="00113A2D" w:rsidP="00113A2D">
      <w:pPr>
        <w:pStyle w:val="Reasons"/>
        <w:jc w:val="right"/>
        <w:rPr>
          <w:sz w:val="14"/>
          <w:szCs w:val="14"/>
        </w:rPr>
      </w:pPr>
      <w:r w:rsidRPr="001912A1">
        <w:rPr>
          <w:i/>
          <w:iCs/>
          <w:sz w:val="14"/>
          <w:szCs w:val="14"/>
        </w:rPr>
        <w:t>Miles de francos suizos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6"/>
        <w:gridCol w:w="1678"/>
        <w:gridCol w:w="2268"/>
        <w:gridCol w:w="1832"/>
      </w:tblGrid>
      <w:tr w:rsidR="00A80EC7" w:rsidRPr="00300277" w:rsidTr="001A348A">
        <w:tc>
          <w:tcPr>
            <w:tcW w:w="3851" w:type="dxa"/>
            <w:gridSpan w:val="2"/>
            <w:tcBorders>
              <w:top w:val="single" w:sz="4" w:space="0" w:color="auto"/>
              <w:bottom w:val="single" w:sz="4" w:space="0" w:color="auto"/>
            </w:tcBorders>
            <w:shd w:val="clear" w:color="auto" w:fill="DBE5F1" w:themeFill="accent1" w:themeFillTint="33"/>
          </w:tcPr>
          <w:p w:rsidR="00A80EC7" w:rsidRPr="00113A2D" w:rsidRDefault="00A80EC7" w:rsidP="00113A2D">
            <w:pPr>
              <w:pStyle w:val="Tablehead"/>
            </w:pPr>
            <w:r w:rsidRPr="00113A2D">
              <w:t>Aplicación del presupuesto de la UIT</w:t>
            </w:r>
          </w:p>
        </w:tc>
        <w:tc>
          <w:tcPr>
            <w:tcW w:w="1678" w:type="dxa"/>
            <w:tcBorders>
              <w:top w:val="single" w:sz="4" w:space="0" w:color="auto"/>
              <w:bottom w:val="single" w:sz="4" w:space="0" w:color="auto"/>
            </w:tcBorders>
            <w:shd w:val="clear" w:color="auto" w:fill="DBE5F1" w:themeFill="accent1" w:themeFillTint="33"/>
          </w:tcPr>
          <w:p w:rsidR="00A80EC7" w:rsidRPr="00113A2D" w:rsidRDefault="00113A2D" w:rsidP="00113A2D">
            <w:pPr>
              <w:pStyle w:val="Tablehead"/>
            </w:pPr>
            <w:r w:rsidRPr="00113A2D">
              <w:t xml:space="preserve">Presupuesto </w:t>
            </w:r>
            <w:r w:rsidR="00A80EC7" w:rsidRPr="00113A2D">
              <w:t>2018</w:t>
            </w:r>
          </w:p>
        </w:tc>
        <w:tc>
          <w:tcPr>
            <w:tcW w:w="2268" w:type="dxa"/>
            <w:tcBorders>
              <w:top w:val="single" w:sz="4" w:space="0" w:color="auto"/>
              <w:bottom w:val="single" w:sz="4" w:space="0" w:color="auto"/>
            </w:tcBorders>
            <w:shd w:val="clear" w:color="auto" w:fill="DBE5F1" w:themeFill="accent1" w:themeFillTint="33"/>
          </w:tcPr>
          <w:p w:rsidR="00A80EC7" w:rsidRPr="00113A2D" w:rsidRDefault="00A80EC7" w:rsidP="00113A2D">
            <w:pPr>
              <w:pStyle w:val="Tablehead"/>
            </w:pPr>
            <w:r w:rsidRPr="00113A2D">
              <w:t>Real al 31 de enero de 2018</w:t>
            </w:r>
          </w:p>
        </w:tc>
        <w:tc>
          <w:tcPr>
            <w:tcW w:w="1832" w:type="dxa"/>
            <w:tcBorders>
              <w:top w:val="single" w:sz="4" w:space="0" w:color="auto"/>
              <w:bottom w:val="single" w:sz="4" w:space="0" w:color="auto"/>
            </w:tcBorders>
            <w:shd w:val="clear" w:color="auto" w:fill="DBE5F1" w:themeFill="accent1" w:themeFillTint="33"/>
          </w:tcPr>
          <w:p w:rsidR="00A80EC7" w:rsidRPr="00113A2D" w:rsidRDefault="00113A2D" w:rsidP="00113A2D">
            <w:pPr>
              <w:pStyle w:val="Tablehead"/>
            </w:pPr>
            <w:r w:rsidRPr="00113A2D">
              <w:t>Variación</w:t>
            </w:r>
          </w:p>
        </w:tc>
      </w:tr>
      <w:tr w:rsidR="00A80EC7" w:rsidRPr="00300277" w:rsidTr="001A348A">
        <w:tc>
          <w:tcPr>
            <w:tcW w:w="1925" w:type="dxa"/>
            <w:tcBorders>
              <w:top w:val="single" w:sz="4" w:space="0" w:color="auto"/>
            </w:tcBorders>
            <w:vAlign w:val="center"/>
          </w:tcPr>
          <w:p w:rsidR="00A80EC7" w:rsidRPr="00113A2D" w:rsidRDefault="00113A2D" w:rsidP="00113A2D">
            <w:pPr>
              <w:pStyle w:val="Tabletext"/>
            </w:pPr>
            <w:r w:rsidRPr="00113A2D">
              <w:t>Meta</w:t>
            </w:r>
            <w:r w:rsidR="00A80EC7" w:rsidRPr="00113A2D">
              <w:t xml:space="preserve"> 1</w:t>
            </w:r>
          </w:p>
        </w:tc>
        <w:tc>
          <w:tcPr>
            <w:tcW w:w="1926" w:type="dxa"/>
            <w:tcBorders>
              <w:top w:val="single" w:sz="4" w:space="0" w:color="auto"/>
            </w:tcBorders>
            <w:vAlign w:val="center"/>
          </w:tcPr>
          <w:p w:rsidR="00A80EC7" w:rsidRPr="00113A2D" w:rsidRDefault="00113A2D" w:rsidP="00113A2D">
            <w:pPr>
              <w:pStyle w:val="Tabletext"/>
            </w:pPr>
            <w:r w:rsidRPr="00113A2D">
              <w:t>Crecimiento</w:t>
            </w:r>
          </w:p>
        </w:tc>
        <w:tc>
          <w:tcPr>
            <w:tcW w:w="1678" w:type="dxa"/>
            <w:tcBorders>
              <w:top w:val="single" w:sz="4" w:space="0" w:color="auto"/>
            </w:tcBorders>
            <w:vAlign w:val="center"/>
          </w:tcPr>
          <w:p w:rsidR="00A80EC7" w:rsidRPr="00113A2D" w:rsidRDefault="00A80EC7" w:rsidP="00113A2D">
            <w:pPr>
              <w:pStyle w:val="Tabletext"/>
              <w:jc w:val="right"/>
            </w:pPr>
            <w:r w:rsidRPr="00113A2D">
              <w:t>54 942</w:t>
            </w:r>
          </w:p>
        </w:tc>
        <w:tc>
          <w:tcPr>
            <w:tcW w:w="2268" w:type="dxa"/>
            <w:tcBorders>
              <w:top w:val="single" w:sz="4" w:space="0" w:color="auto"/>
            </w:tcBorders>
            <w:vAlign w:val="center"/>
          </w:tcPr>
          <w:p w:rsidR="00A80EC7" w:rsidRPr="00113A2D" w:rsidRDefault="00613047" w:rsidP="00113A2D">
            <w:pPr>
              <w:pStyle w:val="Tabletext"/>
              <w:jc w:val="right"/>
            </w:pPr>
            <w:r>
              <w:t>3</w:t>
            </w:r>
            <w:r w:rsidR="00A80EC7" w:rsidRPr="00113A2D">
              <w:t>335</w:t>
            </w:r>
          </w:p>
        </w:tc>
        <w:tc>
          <w:tcPr>
            <w:tcW w:w="1832" w:type="dxa"/>
            <w:tcBorders>
              <w:top w:val="single" w:sz="4" w:space="0" w:color="auto"/>
            </w:tcBorders>
            <w:vAlign w:val="center"/>
          </w:tcPr>
          <w:p w:rsidR="00A80EC7" w:rsidRPr="00113A2D" w:rsidRDefault="00A80EC7" w:rsidP="00113A2D">
            <w:pPr>
              <w:pStyle w:val="Tabletext"/>
              <w:jc w:val="right"/>
            </w:pPr>
            <w:r w:rsidRPr="00113A2D">
              <w:t>50 776</w:t>
            </w:r>
          </w:p>
        </w:tc>
      </w:tr>
      <w:tr w:rsidR="00A80EC7" w:rsidRPr="00300277" w:rsidTr="001A348A">
        <w:tc>
          <w:tcPr>
            <w:tcW w:w="1925" w:type="dxa"/>
            <w:vAlign w:val="center"/>
          </w:tcPr>
          <w:p w:rsidR="00A80EC7" w:rsidRPr="00113A2D" w:rsidRDefault="00113A2D" w:rsidP="00113A2D">
            <w:pPr>
              <w:pStyle w:val="Tabletext"/>
            </w:pPr>
            <w:r w:rsidRPr="00113A2D">
              <w:t xml:space="preserve">Meta </w:t>
            </w:r>
            <w:r w:rsidR="00A80EC7" w:rsidRPr="00113A2D">
              <w:t>2</w:t>
            </w:r>
          </w:p>
        </w:tc>
        <w:tc>
          <w:tcPr>
            <w:tcW w:w="1926" w:type="dxa"/>
            <w:vAlign w:val="center"/>
          </w:tcPr>
          <w:p w:rsidR="00A80EC7" w:rsidRPr="00113A2D" w:rsidRDefault="00113A2D" w:rsidP="00113A2D">
            <w:pPr>
              <w:pStyle w:val="Tabletext"/>
            </w:pPr>
            <w:r w:rsidRPr="00113A2D">
              <w:t>Integración</w:t>
            </w:r>
          </w:p>
        </w:tc>
        <w:tc>
          <w:tcPr>
            <w:tcW w:w="1678" w:type="dxa"/>
            <w:vAlign w:val="center"/>
          </w:tcPr>
          <w:p w:rsidR="00A80EC7" w:rsidRPr="00113A2D" w:rsidRDefault="00A80EC7" w:rsidP="00113A2D">
            <w:pPr>
              <w:pStyle w:val="Tabletext"/>
              <w:jc w:val="right"/>
            </w:pPr>
            <w:r w:rsidRPr="00113A2D">
              <w:t>74 594</w:t>
            </w:r>
          </w:p>
        </w:tc>
        <w:tc>
          <w:tcPr>
            <w:tcW w:w="2268" w:type="dxa"/>
            <w:vAlign w:val="center"/>
          </w:tcPr>
          <w:p w:rsidR="00A80EC7" w:rsidRPr="00113A2D" w:rsidRDefault="00613047" w:rsidP="00113A2D">
            <w:pPr>
              <w:pStyle w:val="Tabletext"/>
              <w:jc w:val="right"/>
            </w:pPr>
            <w:r>
              <w:t>4</w:t>
            </w:r>
            <w:r w:rsidR="00A80EC7" w:rsidRPr="00113A2D">
              <w:t>528</w:t>
            </w:r>
          </w:p>
        </w:tc>
        <w:tc>
          <w:tcPr>
            <w:tcW w:w="1832" w:type="dxa"/>
            <w:vAlign w:val="center"/>
          </w:tcPr>
          <w:p w:rsidR="00A80EC7" w:rsidRPr="00113A2D" w:rsidRDefault="00A80EC7" w:rsidP="00113A2D">
            <w:pPr>
              <w:pStyle w:val="Tabletext"/>
              <w:jc w:val="right"/>
            </w:pPr>
            <w:r w:rsidRPr="00113A2D">
              <w:t>68 516</w:t>
            </w:r>
          </w:p>
        </w:tc>
      </w:tr>
      <w:tr w:rsidR="00A80EC7" w:rsidRPr="00300277" w:rsidTr="001A348A">
        <w:tc>
          <w:tcPr>
            <w:tcW w:w="1925" w:type="dxa"/>
            <w:vAlign w:val="center"/>
          </w:tcPr>
          <w:p w:rsidR="00A80EC7" w:rsidRPr="00113A2D" w:rsidRDefault="00113A2D" w:rsidP="00113A2D">
            <w:pPr>
              <w:pStyle w:val="Tabletext"/>
            </w:pPr>
            <w:r w:rsidRPr="00113A2D">
              <w:t xml:space="preserve">Meta </w:t>
            </w:r>
            <w:r w:rsidR="00A80EC7" w:rsidRPr="00113A2D">
              <w:t>3</w:t>
            </w:r>
          </w:p>
        </w:tc>
        <w:tc>
          <w:tcPr>
            <w:tcW w:w="1926" w:type="dxa"/>
            <w:vAlign w:val="center"/>
          </w:tcPr>
          <w:p w:rsidR="00A80EC7" w:rsidRPr="00113A2D" w:rsidRDefault="00113A2D" w:rsidP="00113A2D">
            <w:pPr>
              <w:pStyle w:val="Tabletext"/>
            </w:pPr>
            <w:r w:rsidRPr="00113A2D">
              <w:t>Sostenibilidad</w:t>
            </w:r>
          </w:p>
        </w:tc>
        <w:tc>
          <w:tcPr>
            <w:tcW w:w="1678" w:type="dxa"/>
            <w:vAlign w:val="center"/>
          </w:tcPr>
          <w:p w:rsidR="00A80EC7" w:rsidRPr="00113A2D" w:rsidRDefault="00A80EC7" w:rsidP="00113A2D">
            <w:pPr>
              <w:pStyle w:val="Tabletext"/>
              <w:jc w:val="right"/>
            </w:pPr>
            <w:r w:rsidRPr="00113A2D">
              <w:t>17 328</w:t>
            </w:r>
          </w:p>
        </w:tc>
        <w:tc>
          <w:tcPr>
            <w:tcW w:w="2268" w:type="dxa"/>
            <w:vAlign w:val="center"/>
          </w:tcPr>
          <w:p w:rsidR="00A80EC7" w:rsidRPr="00113A2D" w:rsidRDefault="00613047" w:rsidP="00113A2D">
            <w:pPr>
              <w:pStyle w:val="Tabletext"/>
              <w:jc w:val="right"/>
            </w:pPr>
            <w:r>
              <w:t>1</w:t>
            </w:r>
            <w:bookmarkStart w:id="12" w:name="_GoBack"/>
            <w:bookmarkEnd w:id="12"/>
            <w:r w:rsidR="00A80EC7" w:rsidRPr="00113A2D">
              <w:t>052</w:t>
            </w:r>
          </w:p>
        </w:tc>
        <w:tc>
          <w:tcPr>
            <w:tcW w:w="1832" w:type="dxa"/>
            <w:vAlign w:val="center"/>
          </w:tcPr>
          <w:p w:rsidR="00A80EC7" w:rsidRPr="00113A2D" w:rsidRDefault="00A80EC7" w:rsidP="00113A2D">
            <w:pPr>
              <w:pStyle w:val="Tabletext"/>
              <w:jc w:val="right"/>
            </w:pPr>
            <w:r w:rsidRPr="00113A2D">
              <w:t>15 931</w:t>
            </w:r>
          </w:p>
        </w:tc>
      </w:tr>
      <w:tr w:rsidR="00A80EC7" w:rsidRPr="00300277" w:rsidTr="001A348A">
        <w:tc>
          <w:tcPr>
            <w:tcW w:w="1925" w:type="dxa"/>
            <w:vAlign w:val="center"/>
          </w:tcPr>
          <w:p w:rsidR="00A80EC7" w:rsidRPr="00113A2D" w:rsidRDefault="00113A2D" w:rsidP="00113A2D">
            <w:pPr>
              <w:pStyle w:val="Tabletext"/>
            </w:pPr>
            <w:r w:rsidRPr="00113A2D">
              <w:t xml:space="preserve">Meta </w:t>
            </w:r>
            <w:r w:rsidR="00A80EC7" w:rsidRPr="00113A2D">
              <w:t>4</w:t>
            </w:r>
          </w:p>
        </w:tc>
        <w:tc>
          <w:tcPr>
            <w:tcW w:w="1926" w:type="dxa"/>
            <w:vAlign w:val="center"/>
          </w:tcPr>
          <w:p w:rsidR="00A80EC7" w:rsidRPr="00113A2D" w:rsidRDefault="00113A2D" w:rsidP="00113A2D">
            <w:pPr>
              <w:pStyle w:val="Tabletext"/>
            </w:pPr>
            <w:r w:rsidRPr="00113A2D">
              <w:t>Innovación y asociación</w:t>
            </w:r>
          </w:p>
        </w:tc>
        <w:tc>
          <w:tcPr>
            <w:tcW w:w="1678" w:type="dxa"/>
            <w:vAlign w:val="center"/>
          </w:tcPr>
          <w:p w:rsidR="00A80EC7" w:rsidRPr="00113A2D" w:rsidRDefault="00A80EC7" w:rsidP="00113A2D">
            <w:pPr>
              <w:pStyle w:val="Tabletext"/>
              <w:jc w:val="right"/>
            </w:pPr>
            <w:r w:rsidRPr="00113A2D">
              <w:t>13 013</w:t>
            </w:r>
          </w:p>
        </w:tc>
        <w:tc>
          <w:tcPr>
            <w:tcW w:w="2268" w:type="dxa"/>
            <w:vAlign w:val="center"/>
          </w:tcPr>
          <w:p w:rsidR="00A80EC7" w:rsidRPr="00113A2D" w:rsidRDefault="00A80EC7" w:rsidP="00113A2D">
            <w:pPr>
              <w:pStyle w:val="Tabletext"/>
              <w:jc w:val="right"/>
            </w:pPr>
            <w:r w:rsidRPr="00113A2D">
              <w:t>790</w:t>
            </w:r>
          </w:p>
        </w:tc>
        <w:tc>
          <w:tcPr>
            <w:tcW w:w="1832" w:type="dxa"/>
            <w:vAlign w:val="center"/>
          </w:tcPr>
          <w:p w:rsidR="00A80EC7" w:rsidRPr="00113A2D" w:rsidRDefault="00A80EC7" w:rsidP="00113A2D">
            <w:pPr>
              <w:pStyle w:val="Tabletext"/>
              <w:jc w:val="right"/>
            </w:pPr>
            <w:r w:rsidRPr="00113A2D">
              <w:t>11 949</w:t>
            </w:r>
          </w:p>
        </w:tc>
      </w:tr>
      <w:tr w:rsidR="00A80EC7" w:rsidRPr="00300277" w:rsidTr="001A348A">
        <w:tc>
          <w:tcPr>
            <w:tcW w:w="1925" w:type="dxa"/>
            <w:tcBorders>
              <w:bottom w:val="single" w:sz="4" w:space="0" w:color="auto"/>
            </w:tcBorders>
            <w:shd w:val="clear" w:color="auto" w:fill="DBE5F1" w:themeFill="accent1" w:themeFillTint="33"/>
          </w:tcPr>
          <w:p w:rsidR="00A80EC7" w:rsidRPr="00113A2D" w:rsidRDefault="00A80EC7" w:rsidP="00113A2D">
            <w:pPr>
              <w:pStyle w:val="Tabletext"/>
              <w:rPr>
                <w:b/>
                <w:bCs/>
              </w:rPr>
            </w:pPr>
            <w:r w:rsidRPr="00113A2D">
              <w:rPr>
                <w:b/>
                <w:bCs/>
              </w:rPr>
              <w:t>TOTAL</w:t>
            </w:r>
          </w:p>
        </w:tc>
        <w:tc>
          <w:tcPr>
            <w:tcW w:w="1926" w:type="dxa"/>
            <w:tcBorders>
              <w:bottom w:val="single" w:sz="4" w:space="0" w:color="auto"/>
            </w:tcBorders>
            <w:shd w:val="clear" w:color="auto" w:fill="DBE5F1" w:themeFill="accent1" w:themeFillTint="33"/>
          </w:tcPr>
          <w:p w:rsidR="00A80EC7" w:rsidRPr="00113A2D" w:rsidRDefault="00A80EC7" w:rsidP="00113A2D">
            <w:pPr>
              <w:pStyle w:val="Tabletext"/>
              <w:rPr>
                <w:b/>
                <w:bCs/>
              </w:rPr>
            </w:pPr>
          </w:p>
        </w:tc>
        <w:tc>
          <w:tcPr>
            <w:tcW w:w="1678" w:type="dxa"/>
            <w:tcBorders>
              <w:bottom w:val="single" w:sz="4" w:space="0" w:color="auto"/>
            </w:tcBorders>
            <w:shd w:val="clear" w:color="auto" w:fill="DBE5F1" w:themeFill="accent1" w:themeFillTint="33"/>
            <w:vAlign w:val="center"/>
          </w:tcPr>
          <w:p w:rsidR="00A80EC7" w:rsidRPr="00113A2D" w:rsidRDefault="00A80EC7" w:rsidP="00113A2D">
            <w:pPr>
              <w:pStyle w:val="Tabletext"/>
              <w:jc w:val="right"/>
              <w:rPr>
                <w:b/>
                <w:bCs/>
              </w:rPr>
            </w:pPr>
            <w:r w:rsidRPr="00113A2D">
              <w:rPr>
                <w:b/>
                <w:bCs/>
              </w:rPr>
              <w:t>159 877</w:t>
            </w:r>
          </w:p>
        </w:tc>
        <w:tc>
          <w:tcPr>
            <w:tcW w:w="2268" w:type="dxa"/>
            <w:tcBorders>
              <w:bottom w:val="single" w:sz="4" w:space="0" w:color="auto"/>
            </w:tcBorders>
            <w:shd w:val="clear" w:color="auto" w:fill="DBE5F1" w:themeFill="accent1" w:themeFillTint="33"/>
            <w:vAlign w:val="center"/>
          </w:tcPr>
          <w:p w:rsidR="00A80EC7" w:rsidRPr="00113A2D" w:rsidRDefault="00A80EC7" w:rsidP="00113A2D">
            <w:pPr>
              <w:pStyle w:val="Tabletext"/>
              <w:jc w:val="right"/>
              <w:rPr>
                <w:b/>
                <w:bCs/>
              </w:rPr>
            </w:pPr>
            <w:r w:rsidRPr="00113A2D">
              <w:rPr>
                <w:b/>
                <w:bCs/>
              </w:rPr>
              <w:t>9 705</w:t>
            </w:r>
          </w:p>
        </w:tc>
        <w:tc>
          <w:tcPr>
            <w:tcW w:w="1832" w:type="dxa"/>
            <w:tcBorders>
              <w:bottom w:val="single" w:sz="4" w:space="0" w:color="auto"/>
            </w:tcBorders>
            <w:shd w:val="clear" w:color="auto" w:fill="DBE5F1" w:themeFill="accent1" w:themeFillTint="33"/>
            <w:vAlign w:val="center"/>
          </w:tcPr>
          <w:p w:rsidR="00A80EC7" w:rsidRPr="00113A2D" w:rsidRDefault="00A80EC7" w:rsidP="00113A2D">
            <w:pPr>
              <w:pStyle w:val="Tabletext"/>
              <w:jc w:val="right"/>
              <w:rPr>
                <w:b/>
                <w:bCs/>
              </w:rPr>
            </w:pPr>
            <w:r w:rsidRPr="00113A2D">
              <w:rPr>
                <w:b/>
                <w:bCs/>
              </w:rPr>
              <w:t>147 172</w:t>
            </w:r>
          </w:p>
        </w:tc>
      </w:tr>
    </w:tbl>
    <w:p w:rsidR="00113A2D" w:rsidRDefault="00113A2D" w:rsidP="0032202E">
      <w:pPr>
        <w:pStyle w:val="Reasons"/>
      </w:pPr>
    </w:p>
    <w:p w:rsidR="00113A2D" w:rsidRDefault="00113A2D">
      <w:pPr>
        <w:jc w:val="center"/>
      </w:pPr>
      <w:r>
        <w:t>______________</w:t>
      </w:r>
    </w:p>
    <w:sectPr w:rsidR="00113A2D"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EB" w:rsidRDefault="008F52EB">
      <w:r>
        <w:separator/>
      </w:r>
    </w:p>
  </w:endnote>
  <w:endnote w:type="continuationSeparator" w:id="0">
    <w:p w:rsidR="008F52EB" w:rsidRDefault="008F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80EC7" w:rsidRDefault="00A80EC7">
    <w:pPr>
      <w:pStyle w:val="Footer"/>
      <w:rPr>
        <w:lang w:val="fr-CH"/>
      </w:rPr>
    </w:pPr>
    <w:r>
      <w:fldChar w:fldCharType="begin"/>
    </w:r>
    <w:r w:rsidRPr="00A80EC7">
      <w:rPr>
        <w:lang w:val="fr-CH"/>
      </w:rPr>
      <w:instrText xml:space="preserve"> FILENAME \p  \* MERGEFORMAT </w:instrText>
    </w:r>
    <w:r>
      <w:fldChar w:fldCharType="separate"/>
    </w:r>
    <w:r w:rsidR="00386BD7">
      <w:rPr>
        <w:lang w:val="fr-CH"/>
      </w:rPr>
      <w:t>P:\ESP\SG\CONSEIL\C18\000\009S.docx</w:t>
    </w:r>
    <w:r>
      <w:fldChar w:fldCharType="end"/>
    </w:r>
    <w:r>
      <w:rPr>
        <w:lang w:val="fr-CH"/>
      </w:rPr>
      <w:t xml:space="preserve"> (425073</w:t>
    </w:r>
    <w:r w:rsidRPr="00A80EC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80EC7" w:rsidRDefault="00760F1C" w:rsidP="00A80EC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EB" w:rsidRDefault="008F52EB">
      <w:r>
        <w:t>____________________</w:t>
      </w:r>
    </w:p>
  </w:footnote>
  <w:footnote w:type="continuationSeparator" w:id="0">
    <w:p w:rsidR="008F52EB" w:rsidRDefault="008F5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13047">
      <w:rPr>
        <w:noProof/>
      </w:rPr>
      <w:t>5</w:t>
    </w:r>
    <w:r>
      <w:rPr>
        <w:noProof/>
      </w:rPr>
      <w:fldChar w:fldCharType="end"/>
    </w:r>
  </w:p>
  <w:p w:rsidR="00760F1C" w:rsidRDefault="00760F1C" w:rsidP="00A80EC7">
    <w:pPr>
      <w:pStyle w:val="Footer"/>
      <w:jc w:val="center"/>
    </w:pPr>
    <w:r>
      <w:t>C</w:t>
    </w:r>
    <w:r w:rsidR="007F350B">
      <w:t>1</w:t>
    </w:r>
    <w:r w:rsidR="009F4811">
      <w:t>8</w:t>
    </w:r>
    <w:r>
      <w:t>/</w:t>
    </w:r>
    <w:r w:rsidR="00A80EC7">
      <w:t>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EB"/>
    <w:rsid w:val="00093EEB"/>
    <w:rsid w:val="000A603D"/>
    <w:rsid w:val="000B0D00"/>
    <w:rsid w:val="000B7C15"/>
    <w:rsid w:val="000D1D0F"/>
    <w:rsid w:val="000F5290"/>
    <w:rsid w:val="0010165C"/>
    <w:rsid w:val="00113A2D"/>
    <w:rsid w:val="00146BFB"/>
    <w:rsid w:val="001912A1"/>
    <w:rsid w:val="001F14A2"/>
    <w:rsid w:val="002801AA"/>
    <w:rsid w:val="002C4676"/>
    <w:rsid w:val="002C70B0"/>
    <w:rsid w:val="002F3CC4"/>
    <w:rsid w:val="00386BD7"/>
    <w:rsid w:val="003B5548"/>
    <w:rsid w:val="004F5ADD"/>
    <w:rsid w:val="00513630"/>
    <w:rsid w:val="00560125"/>
    <w:rsid w:val="00585553"/>
    <w:rsid w:val="005B34D9"/>
    <w:rsid w:val="005D0CCF"/>
    <w:rsid w:val="005F3BCB"/>
    <w:rsid w:val="005F410F"/>
    <w:rsid w:val="0060149A"/>
    <w:rsid w:val="00601924"/>
    <w:rsid w:val="00613047"/>
    <w:rsid w:val="006447EA"/>
    <w:rsid w:val="0064731F"/>
    <w:rsid w:val="006710F6"/>
    <w:rsid w:val="006C1B56"/>
    <w:rsid w:val="006D4761"/>
    <w:rsid w:val="00726872"/>
    <w:rsid w:val="00760F1C"/>
    <w:rsid w:val="007657F0"/>
    <w:rsid w:val="0077252D"/>
    <w:rsid w:val="00774FAA"/>
    <w:rsid w:val="007E5DD3"/>
    <w:rsid w:val="007F350B"/>
    <w:rsid w:val="00820BE4"/>
    <w:rsid w:val="008451E8"/>
    <w:rsid w:val="008F52EB"/>
    <w:rsid w:val="00913B9C"/>
    <w:rsid w:val="00956E77"/>
    <w:rsid w:val="009F4811"/>
    <w:rsid w:val="00A80EC7"/>
    <w:rsid w:val="00AA390C"/>
    <w:rsid w:val="00B0200A"/>
    <w:rsid w:val="00B574DB"/>
    <w:rsid w:val="00B826C2"/>
    <w:rsid w:val="00B8298E"/>
    <w:rsid w:val="00BB0091"/>
    <w:rsid w:val="00BD0723"/>
    <w:rsid w:val="00BD2518"/>
    <w:rsid w:val="00BF1D1C"/>
    <w:rsid w:val="00C20C59"/>
    <w:rsid w:val="00C55116"/>
    <w:rsid w:val="00C55B1F"/>
    <w:rsid w:val="00CF1A67"/>
    <w:rsid w:val="00D2750E"/>
    <w:rsid w:val="00D62446"/>
    <w:rsid w:val="00DA4EA2"/>
    <w:rsid w:val="00DC3D3E"/>
    <w:rsid w:val="00DE2C90"/>
    <w:rsid w:val="00DE3B24"/>
    <w:rsid w:val="00E06947"/>
    <w:rsid w:val="00E3592D"/>
    <w:rsid w:val="00E92DE8"/>
    <w:rsid w:val="00EB1212"/>
    <w:rsid w:val="00ED65AB"/>
    <w:rsid w:val="00F01C64"/>
    <w:rsid w:val="00F12850"/>
    <w:rsid w:val="00F33BF4"/>
    <w:rsid w:val="00F7105E"/>
    <w:rsid w:val="00F75F57"/>
    <w:rsid w:val="00F82FEE"/>
    <w:rsid w:val="00FD57D3"/>
    <w:rsid w:val="00FD5D8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8162F3-D93F-4751-B101-4E45BCCC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8F52EB"/>
    <w:rPr>
      <w:rFonts w:ascii="Calibri" w:hAnsi="Calibri"/>
      <w:b/>
      <w:sz w:val="28"/>
      <w:lang w:val="es-ES_tradnl" w:eastAsia="en-US"/>
    </w:rPr>
  </w:style>
  <w:style w:type="table" w:styleId="TableGrid">
    <w:name w:val="Table Grid"/>
    <w:basedOn w:val="TableNormal"/>
    <w:rsid w:val="00A8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convention-s.doc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tu.int/council/Basic-Texts/convention-s.doc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md/S17-CL-C-0010/en" TargetMode="External"/><Relationship Id="rId4" Type="http://schemas.openxmlformats.org/officeDocument/2006/relationships/footnotes" Target="footnotes.xml"/><Relationship Id="rId9" Type="http://schemas.openxmlformats.org/officeDocument/2006/relationships/hyperlink" Target="https://www.itu.int/md/S17-CL-C-013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100</TotalTime>
  <Pages>5</Pages>
  <Words>1379</Words>
  <Characters>6853</Characters>
  <Application>Microsoft Office Word</Application>
  <DocSecurity>0</DocSecurity>
  <Lines>57</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8216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9</cp:revision>
  <cp:lastPrinted>2018-02-26T11:34:00Z</cp:lastPrinted>
  <dcterms:created xsi:type="dcterms:W3CDTF">2018-02-26T10:46:00Z</dcterms:created>
  <dcterms:modified xsi:type="dcterms:W3CDTF">2018-02-26T14:10:00Z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