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65E12" w:rsidRPr="00813E5E" w14:paraId="0A7FED0A" w14:textId="77777777">
        <w:trPr>
          <w:cantSplit/>
        </w:trPr>
        <w:tc>
          <w:tcPr>
            <w:tcW w:w="6911" w:type="dxa"/>
          </w:tcPr>
          <w:p w14:paraId="0A7FED08" w14:textId="09D12692" w:rsidR="00A65E12" w:rsidRPr="006626FB" w:rsidRDefault="00A65E12" w:rsidP="006F4348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6626FB">
              <w:rPr>
                <w:b/>
                <w:bCs/>
                <w:position w:val="6"/>
                <w:sz w:val="30"/>
                <w:szCs w:val="30"/>
              </w:rPr>
              <w:t>Council 201</w:t>
            </w:r>
            <w:r w:rsidR="00036F14">
              <w:rPr>
                <w:b/>
                <w:bCs/>
                <w:position w:val="6"/>
                <w:sz w:val="30"/>
                <w:szCs w:val="30"/>
              </w:rPr>
              <w:t>8</w:t>
            </w:r>
            <w:r w:rsidRPr="006626FB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6F4348">
              <w:rPr>
                <w:b/>
                <w:bCs/>
                <w:position w:val="6"/>
                <w:szCs w:val="24"/>
              </w:rPr>
              <w:t>Final Meeting</w:t>
            </w:r>
            <w:r w:rsidRPr="006626FB">
              <w:rPr>
                <w:b/>
                <w:bCs/>
                <w:position w:val="6"/>
                <w:szCs w:val="24"/>
              </w:rPr>
              <w:t xml:space="preserve">, </w:t>
            </w:r>
            <w:r w:rsidR="00734983">
              <w:rPr>
                <w:b/>
                <w:bCs/>
                <w:position w:val="6"/>
                <w:szCs w:val="24"/>
              </w:rPr>
              <w:t xml:space="preserve">Dubai, </w:t>
            </w:r>
            <w:r w:rsidRPr="006626FB">
              <w:rPr>
                <w:b/>
                <w:bCs/>
                <w:position w:val="6"/>
                <w:szCs w:val="24"/>
              </w:rPr>
              <w:t>2</w:t>
            </w:r>
            <w:r w:rsidR="006F4348">
              <w:rPr>
                <w:b/>
                <w:bCs/>
                <w:position w:val="6"/>
                <w:szCs w:val="24"/>
              </w:rPr>
              <w:t>7 October 2018</w:t>
            </w:r>
          </w:p>
        </w:tc>
        <w:tc>
          <w:tcPr>
            <w:tcW w:w="3120" w:type="dxa"/>
          </w:tcPr>
          <w:p w14:paraId="0A7FED09" w14:textId="77777777" w:rsidR="00A65E12" w:rsidRPr="00813E5E" w:rsidRDefault="006626FB" w:rsidP="00A65E12">
            <w:pPr>
              <w:spacing w:before="0" w:line="240" w:lineRule="atLeast"/>
              <w:jc w:val="right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0A7FED52" wp14:editId="0A7FED53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5E12" w:rsidRPr="00813E5E" w14:paraId="0A7FED0D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A7FED0B" w14:textId="77777777" w:rsidR="00A65E12" w:rsidRPr="006626FB" w:rsidRDefault="00A65E12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A7FED0C" w14:textId="77777777" w:rsidR="00A65E12" w:rsidRPr="00813E5E" w:rsidRDefault="00A65E12">
            <w:pPr>
              <w:spacing w:before="0" w:line="240" w:lineRule="atLeast"/>
              <w:rPr>
                <w:szCs w:val="24"/>
              </w:rPr>
            </w:pPr>
          </w:p>
        </w:tc>
      </w:tr>
      <w:tr w:rsidR="00A65E12" w:rsidRPr="00813E5E" w14:paraId="0A7FED10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A7FED0E" w14:textId="77777777" w:rsidR="00A65E12" w:rsidRPr="006626FB" w:rsidRDefault="00A65E12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A7FED0F" w14:textId="77777777" w:rsidR="00A65E12" w:rsidRPr="00813E5E" w:rsidRDefault="00A65E12">
            <w:pPr>
              <w:spacing w:before="0" w:line="240" w:lineRule="atLeast"/>
              <w:rPr>
                <w:szCs w:val="24"/>
              </w:rPr>
            </w:pPr>
          </w:p>
        </w:tc>
      </w:tr>
      <w:tr w:rsidR="00A65E12" w:rsidRPr="00813E5E" w14:paraId="0A7FED14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0A7FED11" w14:textId="77777777" w:rsidR="00A65E12" w:rsidRPr="00AE57FF" w:rsidRDefault="00A65E12" w:rsidP="0041552F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120" w:type="dxa"/>
          </w:tcPr>
          <w:p w14:paraId="0A7FED12" w14:textId="77777777" w:rsidR="008D7490" w:rsidRPr="002E1414" w:rsidRDefault="008D7490" w:rsidP="008D7490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 w:rsidRPr="002E1414">
              <w:rPr>
                <w:b/>
              </w:rPr>
              <w:t>Addendum 1</w:t>
            </w:r>
            <w:r w:rsidR="00B06FE2" w:rsidRPr="002E1414">
              <w:rPr>
                <w:b/>
              </w:rPr>
              <w:t xml:space="preserve"> to</w:t>
            </w:r>
          </w:p>
          <w:p w14:paraId="0A7FED13" w14:textId="77777777" w:rsidR="00A65E12" w:rsidRPr="002E1414" w:rsidRDefault="00A65E12" w:rsidP="001D7FE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 w:rsidRPr="002E1414">
              <w:rPr>
                <w:b/>
              </w:rPr>
              <w:t>Document C1</w:t>
            </w:r>
            <w:r w:rsidR="001D7FEC" w:rsidRPr="002E1414">
              <w:rPr>
                <w:b/>
              </w:rPr>
              <w:t>8</w:t>
            </w:r>
            <w:r w:rsidRPr="002E1414">
              <w:rPr>
                <w:b/>
              </w:rPr>
              <w:t>/</w:t>
            </w:r>
            <w:r w:rsidR="008D7490" w:rsidRPr="002E1414">
              <w:rPr>
                <w:b/>
              </w:rPr>
              <w:t>2</w:t>
            </w:r>
            <w:r w:rsidR="00D576D5" w:rsidRPr="002E1414">
              <w:rPr>
                <w:b/>
              </w:rPr>
              <w:t>2</w:t>
            </w:r>
            <w:r w:rsidRPr="002E1414">
              <w:rPr>
                <w:b/>
              </w:rPr>
              <w:t>-E</w:t>
            </w:r>
          </w:p>
        </w:tc>
      </w:tr>
      <w:tr w:rsidR="00A65E12" w:rsidRPr="00813E5E" w14:paraId="0A7FED17" w14:textId="77777777">
        <w:trPr>
          <w:cantSplit/>
          <w:trHeight w:val="23"/>
        </w:trPr>
        <w:tc>
          <w:tcPr>
            <w:tcW w:w="6911" w:type="dxa"/>
            <w:vMerge/>
          </w:tcPr>
          <w:p w14:paraId="0A7FED15" w14:textId="77777777" w:rsidR="00A65E12" w:rsidRPr="00AE57FF" w:rsidRDefault="00A65E12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0A7FED16" w14:textId="61FFE53F" w:rsidR="00A65E12" w:rsidRPr="002E1414" w:rsidRDefault="00C7326D" w:rsidP="004C0774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24</w:t>
            </w:r>
            <w:r w:rsidR="0041552F" w:rsidRPr="002E1414">
              <w:rPr>
                <w:b/>
              </w:rPr>
              <w:t xml:space="preserve"> </w:t>
            </w:r>
            <w:r w:rsidR="004C0774" w:rsidRPr="002E1414">
              <w:rPr>
                <w:b/>
              </w:rPr>
              <w:t>September</w:t>
            </w:r>
            <w:r w:rsidR="006F4348" w:rsidRPr="002E1414">
              <w:rPr>
                <w:b/>
              </w:rPr>
              <w:t xml:space="preserve"> </w:t>
            </w:r>
            <w:r w:rsidR="004D689E" w:rsidRPr="002E1414">
              <w:rPr>
                <w:b/>
              </w:rPr>
              <w:t>201</w:t>
            </w:r>
            <w:r w:rsidR="006F4348" w:rsidRPr="002E1414">
              <w:rPr>
                <w:b/>
              </w:rPr>
              <w:t>8</w:t>
            </w:r>
          </w:p>
        </w:tc>
      </w:tr>
      <w:tr w:rsidR="00A65E12" w:rsidRPr="00813E5E" w14:paraId="0A7FED1A" w14:textId="77777777">
        <w:trPr>
          <w:cantSplit/>
          <w:trHeight w:val="23"/>
        </w:trPr>
        <w:tc>
          <w:tcPr>
            <w:tcW w:w="6911" w:type="dxa"/>
            <w:vMerge/>
          </w:tcPr>
          <w:p w14:paraId="0A7FED18" w14:textId="77777777" w:rsidR="00A65E12" w:rsidRPr="00AE57FF" w:rsidRDefault="00A65E12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0A7FED19" w14:textId="77777777" w:rsidR="00A65E12" w:rsidRPr="00AE57FF" w:rsidRDefault="00A65E12" w:rsidP="00A65E12">
            <w:pPr>
              <w:tabs>
                <w:tab w:val="left" w:pos="993"/>
              </w:tabs>
              <w:spacing w:before="0"/>
              <w:rPr>
                <w:b/>
              </w:rPr>
            </w:pPr>
            <w:r w:rsidRPr="00AE57FF">
              <w:rPr>
                <w:b/>
              </w:rPr>
              <w:t>Original: English</w:t>
            </w:r>
          </w:p>
        </w:tc>
      </w:tr>
      <w:tr w:rsidR="00A65E12" w:rsidRPr="00813E5E" w14:paraId="0A7FED1C" w14:textId="77777777">
        <w:trPr>
          <w:cantSplit/>
        </w:trPr>
        <w:tc>
          <w:tcPr>
            <w:tcW w:w="10031" w:type="dxa"/>
            <w:gridSpan w:val="2"/>
          </w:tcPr>
          <w:p w14:paraId="0A7FED1B" w14:textId="77777777" w:rsidR="00A65E12" w:rsidRPr="00AE57FF" w:rsidRDefault="006F4348">
            <w:pPr>
              <w:pStyle w:val="Source"/>
            </w:pPr>
            <w:bookmarkStart w:id="6" w:name="dsource" w:colFirst="0" w:colLast="0"/>
            <w:bookmarkEnd w:id="5"/>
            <w:r>
              <w:t>Note</w:t>
            </w:r>
            <w:r w:rsidR="00A65E12" w:rsidRPr="00AE57FF">
              <w:t xml:space="preserve"> by the Secretary-General</w:t>
            </w:r>
          </w:p>
        </w:tc>
      </w:tr>
    </w:tbl>
    <w:p w14:paraId="0A7FED1D" w14:textId="77777777" w:rsidR="00036F14" w:rsidRDefault="00036F14">
      <w:pPr>
        <w:rPr>
          <w:caps/>
        </w:rPr>
      </w:pPr>
      <w:bookmarkStart w:id="7" w:name="dtitle1" w:colFirst="0" w:colLast="0"/>
      <w:bookmarkEnd w:id="6"/>
    </w:p>
    <w:p w14:paraId="0A7FED1E" w14:textId="77777777" w:rsidR="006F4348" w:rsidRPr="006F4348" w:rsidRDefault="006F4348" w:rsidP="006F4348">
      <w:pPr>
        <w:pStyle w:val="Title1"/>
      </w:pPr>
      <w:r>
        <w:t xml:space="preserve">SUPPLEMENTARY REPORT OF THE </w:t>
      </w:r>
      <w:r>
        <w:br/>
        <w:t>INDEPENDENT MANAGEMENT ADVISORY COMMITTEE (IMAC)</w:t>
      </w:r>
    </w:p>
    <w:p w14:paraId="0A7FED22" w14:textId="1530E91F" w:rsidR="006F4348" w:rsidRDefault="006F4348" w:rsidP="00C7326D">
      <w:pPr>
        <w:spacing w:before="1320"/>
      </w:pPr>
      <w:r w:rsidRPr="006F4348">
        <w:t xml:space="preserve">I have the honour to transmit to the </w:t>
      </w:r>
      <w:r>
        <w:t>M</w:t>
      </w:r>
      <w:r w:rsidRPr="006F4348">
        <w:t xml:space="preserve">ember </w:t>
      </w:r>
      <w:r>
        <w:t>S</w:t>
      </w:r>
      <w:r w:rsidRPr="006F4348">
        <w:t>tates of t</w:t>
      </w:r>
      <w:bookmarkStart w:id="8" w:name="_GoBack"/>
      <w:bookmarkEnd w:id="8"/>
      <w:r w:rsidRPr="006F4348">
        <w:t xml:space="preserve">he </w:t>
      </w:r>
      <w:r>
        <w:t>C</w:t>
      </w:r>
      <w:r w:rsidRPr="006F4348">
        <w:t xml:space="preserve">ouncil a report from the </w:t>
      </w:r>
      <w:r>
        <w:t>C</w:t>
      </w:r>
      <w:r w:rsidR="00106863">
        <w:t>hair</w:t>
      </w:r>
      <w:r w:rsidRPr="006F4348">
        <w:t xml:space="preserve"> of</w:t>
      </w:r>
      <w:r>
        <w:t xml:space="preserve"> t</w:t>
      </w:r>
      <w:r w:rsidRPr="006F4348">
        <w:t xml:space="preserve">he </w:t>
      </w:r>
      <w:r>
        <w:t>I</w:t>
      </w:r>
      <w:r w:rsidRPr="006F4348">
        <w:t xml:space="preserve">ndependent </w:t>
      </w:r>
      <w:r>
        <w:t>M</w:t>
      </w:r>
      <w:r w:rsidRPr="006F4348">
        <w:t xml:space="preserve">anagement </w:t>
      </w:r>
      <w:r>
        <w:t>A</w:t>
      </w:r>
      <w:r w:rsidRPr="006F4348">
        <w:t xml:space="preserve">dvisory </w:t>
      </w:r>
      <w:r>
        <w:t>C</w:t>
      </w:r>
      <w:r w:rsidRPr="006F4348">
        <w:t>ommittee (</w:t>
      </w:r>
      <w:r>
        <w:t>IMAC</w:t>
      </w:r>
      <w:r w:rsidRPr="006F4348">
        <w:t>).</w:t>
      </w:r>
    </w:p>
    <w:p w14:paraId="0A7FED24" w14:textId="77777777" w:rsidR="006F4348" w:rsidRDefault="006F4348" w:rsidP="00C7326D">
      <w:pPr>
        <w:spacing w:before="1680"/>
        <w:ind w:left="4320"/>
        <w:jc w:val="center"/>
      </w:pPr>
      <w:r w:rsidRPr="006F4348">
        <w:t>Houlin ZHAO</w:t>
      </w:r>
    </w:p>
    <w:p w14:paraId="0A7FED25" w14:textId="77777777" w:rsidR="006F4348" w:rsidRDefault="006F4348" w:rsidP="00C7326D">
      <w:pPr>
        <w:spacing w:before="0"/>
        <w:ind w:left="4320"/>
        <w:jc w:val="center"/>
      </w:pPr>
      <w:r w:rsidRPr="006F4348">
        <w:t>Secretary-General</w:t>
      </w:r>
    </w:p>
    <w:p w14:paraId="0A7FED27" w14:textId="77777777" w:rsidR="00036F14" w:rsidRDefault="00036F14">
      <w:r>
        <w:rPr>
          <w:caps/>
        </w:rPr>
        <w:br w:type="page"/>
      </w:r>
    </w:p>
    <w:bookmarkEnd w:id="7"/>
    <w:p w14:paraId="0A7FED28" w14:textId="77777777" w:rsidR="00D576D5" w:rsidRDefault="00D576D5" w:rsidP="00C7326D">
      <w:pPr>
        <w:spacing w:before="0"/>
        <w:rPr>
          <w:lang w:val="en-US" w:eastAsia="zh-CN"/>
        </w:rPr>
      </w:pPr>
    </w:p>
    <w:p w14:paraId="0A7FED29" w14:textId="77777777" w:rsidR="00036F14" w:rsidRPr="006F4348" w:rsidRDefault="00036F14" w:rsidP="006F4348">
      <w:pPr>
        <w:pStyle w:val="Title1"/>
      </w:pPr>
      <w:r>
        <w:t xml:space="preserve">SUPPLEMENTARY REPORT OF THE </w:t>
      </w:r>
      <w:r>
        <w:br/>
        <w:t>INDEPENDENT MANAGEMENT ADVISORY COMMITTEE (IMAC)</w:t>
      </w:r>
    </w:p>
    <w:p w14:paraId="0A7FED2A" w14:textId="77777777" w:rsidR="00036F14" w:rsidRDefault="00036F14" w:rsidP="00D576D5">
      <w:pPr>
        <w:rPr>
          <w:lang w:val="en-US" w:eastAsia="zh-CN"/>
        </w:rPr>
      </w:pPr>
    </w:p>
    <w:tbl>
      <w:tblPr>
        <w:tblW w:w="892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5"/>
      </w:tblGrid>
      <w:tr w:rsidR="00D576D5" w:rsidRPr="00D73823" w14:paraId="0A7FED34" w14:textId="77777777" w:rsidTr="00D576D5">
        <w:trPr>
          <w:trHeight w:val="3372"/>
        </w:trPr>
        <w:tc>
          <w:tcPr>
            <w:tcW w:w="8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7FED2B" w14:textId="77777777" w:rsidR="00D576D5" w:rsidRPr="005915CF" w:rsidRDefault="00D576D5" w:rsidP="00C7326D">
            <w:pPr>
              <w:pStyle w:val="Headingb"/>
              <w:keepNext w:val="0"/>
              <w:keepLines w:val="0"/>
              <w:spacing w:before="120" w:after="120"/>
              <w:ind w:right="48"/>
              <w:rPr>
                <w:bCs/>
                <w:szCs w:val="24"/>
                <w:lang w:bidi="en-US"/>
              </w:rPr>
            </w:pPr>
            <w:r w:rsidRPr="005915CF">
              <w:rPr>
                <w:bCs/>
                <w:szCs w:val="24"/>
                <w:lang w:bidi="en-US"/>
              </w:rPr>
              <w:t>Summary</w:t>
            </w:r>
          </w:p>
          <w:p w14:paraId="0A7FED2C" w14:textId="77777777" w:rsidR="00036F14" w:rsidRDefault="00036F14" w:rsidP="00C7326D">
            <w:pPr>
              <w:spacing w:after="120"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This document presents a supplement to the IMAC’s </w:t>
            </w:r>
            <w:r w:rsidR="006F4348">
              <w:rPr>
                <w:lang w:bidi="en-US"/>
              </w:rPr>
              <w:t xml:space="preserve">Seventh </w:t>
            </w:r>
            <w:r>
              <w:rPr>
                <w:lang w:bidi="en-US"/>
              </w:rPr>
              <w:t xml:space="preserve">Annual Report. It </w:t>
            </w:r>
            <w:proofErr w:type="gramStart"/>
            <w:r>
              <w:rPr>
                <w:lang w:bidi="en-US"/>
              </w:rPr>
              <w:t>is submitted</w:t>
            </w:r>
            <w:proofErr w:type="gramEnd"/>
            <w:r>
              <w:rPr>
                <w:lang w:bidi="en-US"/>
              </w:rPr>
              <w:t xml:space="preserve"> to</w:t>
            </w:r>
            <w:r w:rsidR="006F4348">
              <w:rPr>
                <w:lang w:bidi="en-US"/>
              </w:rPr>
              <w:t xml:space="preserve"> </w:t>
            </w:r>
            <w:r>
              <w:rPr>
                <w:lang w:bidi="en-US"/>
              </w:rPr>
              <w:t>the ITU Council for its final meeting in October 201</w:t>
            </w:r>
            <w:r w:rsidR="006F4348">
              <w:rPr>
                <w:lang w:bidi="en-US"/>
              </w:rPr>
              <w:t>8</w:t>
            </w:r>
            <w:r>
              <w:rPr>
                <w:lang w:bidi="en-US"/>
              </w:rPr>
              <w:t>, to fulfil the Committee’s specific</w:t>
            </w:r>
            <w:r w:rsidR="006F4348">
              <w:rPr>
                <w:lang w:bidi="en-US"/>
              </w:rPr>
              <w:t xml:space="preserve"> </w:t>
            </w:r>
            <w:r>
              <w:rPr>
                <w:lang w:bidi="en-US"/>
              </w:rPr>
              <w:t>responsibility to advise the Council on issues arising from the audited financial statements of</w:t>
            </w:r>
            <w:r w:rsidR="006F4348">
              <w:rPr>
                <w:lang w:bidi="en-US"/>
              </w:rPr>
              <w:t xml:space="preserve"> </w:t>
            </w:r>
            <w:r>
              <w:rPr>
                <w:lang w:bidi="en-US"/>
              </w:rPr>
              <w:t>ITU and reports produced by the external auditor; and to support and inform the Council’s</w:t>
            </w:r>
            <w:r w:rsidR="006F4348">
              <w:rPr>
                <w:lang w:bidi="en-US"/>
              </w:rPr>
              <w:t xml:space="preserve"> </w:t>
            </w:r>
            <w:r>
              <w:rPr>
                <w:lang w:bidi="en-US"/>
              </w:rPr>
              <w:t>consideration of the financial statements and external audit report for 201</w:t>
            </w:r>
            <w:r w:rsidR="006F4348">
              <w:rPr>
                <w:lang w:bidi="en-US"/>
              </w:rPr>
              <w:t>7</w:t>
            </w:r>
            <w:r>
              <w:rPr>
                <w:lang w:bidi="en-US"/>
              </w:rPr>
              <w:t>.</w:t>
            </w:r>
          </w:p>
          <w:p w14:paraId="0A7FED2D" w14:textId="77777777" w:rsidR="006F4348" w:rsidRDefault="00036F14" w:rsidP="00C7326D">
            <w:pPr>
              <w:spacing w:after="120"/>
              <w:jc w:val="both"/>
              <w:rPr>
                <w:lang w:bidi="en-US"/>
              </w:rPr>
            </w:pPr>
            <w:r w:rsidRPr="00A11083">
              <w:rPr>
                <w:lang w:bidi="en-US"/>
              </w:rPr>
              <w:t xml:space="preserve">This supplementary report also provides comment and advice to the Council </w:t>
            </w:r>
            <w:r w:rsidR="00A11083" w:rsidRPr="00A11083">
              <w:rPr>
                <w:lang w:bidi="en-US"/>
              </w:rPr>
              <w:t xml:space="preserve">on issues arising since IMAC’s Seventh Annual Report </w:t>
            </w:r>
            <w:proofErr w:type="gramStart"/>
            <w:r w:rsidR="00A11083" w:rsidRPr="00A11083">
              <w:rPr>
                <w:lang w:bidi="en-US"/>
              </w:rPr>
              <w:t>was finalized</w:t>
            </w:r>
            <w:proofErr w:type="gramEnd"/>
            <w:r w:rsidR="00A11083" w:rsidRPr="00A11083">
              <w:rPr>
                <w:lang w:bidi="en-US"/>
              </w:rPr>
              <w:t>.</w:t>
            </w:r>
          </w:p>
          <w:p w14:paraId="0A7FED2E" w14:textId="77777777" w:rsidR="00D576D5" w:rsidRPr="005915CF" w:rsidRDefault="00D576D5" w:rsidP="00C7326D">
            <w:pPr>
              <w:pStyle w:val="Headingb"/>
              <w:keepNext w:val="0"/>
              <w:keepLines w:val="0"/>
              <w:spacing w:before="120" w:after="120"/>
              <w:ind w:right="48"/>
              <w:rPr>
                <w:bCs/>
                <w:szCs w:val="24"/>
                <w:lang w:bidi="en-US"/>
              </w:rPr>
            </w:pPr>
            <w:r w:rsidRPr="005915CF">
              <w:rPr>
                <w:bCs/>
                <w:szCs w:val="24"/>
                <w:lang w:bidi="en-US"/>
              </w:rPr>
              <w:t>Action required</w:t>
            </w:r>
          </w:p>
          <w:p w14:paraId="0A7FED2F" w14:textId="77777777" w:rsidR="00D576D5" w:rsidRPr="005915CF" w:rsidRDefault="00D576D5" w:rsidP="00C7326D">
            <w:pPr>
              <w:pStyle w:val="Headingb"/>
              <w:spacing w:before="120" w:after="120"/>
              <w:ind w:right="48"/>
              <w:jc w:val="both"/>
              <w:rPr>
                <w:szCs w:val="24"/>
                <w:lang w:bidi="en-US"/>
              </w:rPr>
            </w:pPr>
            <w:r w:rsidRPr="005915CF">
              <w:rPr>
                <w:b w:val="0"/>
                <w:bCs/>
                <w:szCs w:val="24"/>
                <w:lang w:bidi="en-US"/>
              </w:rPr>
              <w:t xml:space="preserve">The Council </w:t>
            </w:r>
            <w:proofErr w:type="gramStart"/>
            <w:r w:rsidRPr="005915CF">
              <w:rPr>
                <w:b w:val="0"/>
                <w:bCs/>
                <w:szCs w:val="24"/>
                <w:lang w:bidi="en-US"/>
              </w:rPr>
              <w:t>is invited</w:t>
            </w:r>
            <w:proofErr w:type="gramEnd"/>
            <w:r w:rsidRPr="005915CF">
              <w:rPr>
                <w:szCs w:val="24"/>
                <w:lang w:bidi="en-US"/>
              </w:rPr>
              <w:t xml:space="preserve"> to endorse</w:t>
            </w:r>
            <w:r w:rsidRPr="005915CF">
              <w:rPr>
                <w:i/>
                <w:iCs/>
                <w:szCs w:val="24"/>
                <w:lang w:bidi="en-US"/>
              </w:rPr>
              <w:t xml:space="preserve"> </w:t>
            </w:r>
            <w:r w:rsidRPr="005915CF">
              <w:rPr>
                <w:b w:val="0"/>
                <w:bCs/>
                <w:szCs w:val="24"/>
                <w:lang w:bidi="en-US"/>
              </w:rPr>
              <w:t xml:space="preserve">the </w:t>
            </w:r>
            <w:r w:rsidR="006F4348">
              <w:rPr>
                <w:b w:val="0"/>
                <w:bCs/>
                <w:szCs w:val="24"/>
                <w:lang w:bidi="en-US"/>
              </w:rPr>
              <w:t xml:space="preserve">supplementary </w:t>
            </w:r>
            <w:r w:rsidRPr="005915CF">
              <w:rPr>
                <w:b w:val="0"/>
                <w:bCs/>
                <w:szCs w:val="24"/>
                <w:lang w:bidi="en-US"/>
              </w:rPr>
              <w:t>IMAC</w:t>
            </w:r>
            <w:r w:rsidR="006F4348">
              <w:rPr>
                <w:b w:val="0"/>
                <w:bCs/>
                <w:szCs w:val="24"/>
                <w:lang w:bidi="en-US"/>
              </w:rPr>
              <w:t xml:space="preserve"> report</w:t>
            </w:r>
            <w:r w:rsidRPr="005915CF">
              <w:rPr>
                <w:b w:val="0"/>
                <w:bCs/>
                <w:szCs w:val="24"/>
                <w:lang w:bidi="en-US"/>
              </w:rPr>
              <w:t>.</w:t>
            </w:r>
          </w:p>
          <w:p w14:paraId="0A7FED30" w14:textId="77777777" w:rsidR="00D576D5" w:rsidRPr="005915CF" w:rsidRDefault="00D576D5" w:rsidP="00C7326D">
            <w:pPr>
              <w:pStyle w:val="Headingb"/>
              <w:spacing w:before="120"/>
              <w:ind w:right="48"/>
              <w:jc w:val="center"/>
              <w:rPr>
                <w:b w:val="0"/>
                <w:bCs/>
                <w:szCs w:val="24"/>
                <w:lang w:bidi="en-US"/>
              </w:rPr>
            </w:pPr>
            <w:r w:rsidRPr="005915CF">
              <w:rPr>
                <w:b w:val="0"/>
                <w:bCs/>
                <w:szCs w:val="24"/>
                <w:lang w:bidi="en-US"/>
              </w:rPr>
              <w:t>____________</w:t>
            </w:r>
          </w:p>
          <w:p w14:paraId="0A7FED31" w14:textId="77777777" w:rsidR="00D576D5" w:rsidRPr="005915CF" w:rsidRDefault="00D576D5" w:rsidP="00C7326D">
            <w:pPr>
              <w:pStyle w:val="Headingb"/>
              <w:keepNext w:val="0"/>
              <w:keepLines w:val="0"/>
              <w:spacing w:before="120"/>
              <w:ind w:right="48"/>
              <w:rPr>
                <w:bCs/>
                <w:szCs w:val="24"/>
                <w:lang w:bidi="en-US"/>
              </w:rPr>
            </w:pPr>
            <w:r w:rsidRPr="005915CF">
              <w:rPr>
                <w:bCs/>
                <w:szCs w:val="24"/>
                <w:lang w:bidi="en-US"/>
              </w:rPr>
              <w:t>References</w:t>
            </w:r>
          </w:p>
          <w:p w14:paraId="0A7FED33" w14:textId="310A9341" w:rsidR="00D73823" w:rsidRPr="00D73823" w:rsidRDefault="00D576D5" w:rsidP="00C7326D">
            <w:pPr>
              <w:spacing w:after="120"/>
              <w:rPr>
                <w:lang w:val="en-US" w:bidi="en-US"/>
              </w:rPr>
            </w:pPr>
            <w:r w:rsidRPr="006F4348">
              <w:rPr>
                <w:i/>
                <w:iCs/>
                <w:lang w:bidi="en-US"/>
              </w:rPr>
              <w:t xml:space="preserve">Document </w:t>
            </w:r>
            <w:hyperlink r:id="rId9" w:history="1">
              <w:r w:rsidRPr="006F4348">
                <w:rPr>
                  <w:rStyle w:val="Hyperlink"/>
                  <w:i/>
                  <w:iCs/>
                  <w:lang w:bidi="en-US"/>
                </w:rPr>
                <w:t>C1</w:t>
              </w:r>
              <w:r w:rsidR="006F4348" w:rsidRPr="006F4348">
                <w:rPr>
                  <w:rStyle w:val="Hyperlink"/>
                  <w:i/>
                  <w:iCs/>
                  <w:lang w:bidi="en-US"/>
                </w:rPr>
                <w:t>8</w:t>
              </w:r>
              <w:r w:rsidRPr="006F4348">
                <w:rPr>
                  <w:rStyle w:val="Hyperlink"/>
                  <w:i/>
                  <w:iCs/>
                  <w:lang w:bidi="en-US"/>
                </w:rPr>
                <w:t>/22</w:t>
              </w:r>
            </w:hyperlink>
            <w:r w:rsidR="006F4348">
              <w:rPr>
                <w:i/>
                <w:iCs/>
                <w:lang w:bidi="en-US"/>
              </w:rPr>
              <w:t xml:space="preserve">: </w:t>
            </w:r>
            <w:r w:rsidR="006F4348" w:rsidRPr="006F4348">
              <w:rPr>
                <w:i/>
                <w:iCs/>
                <w:lang w:bidi="en-US"/>
              </w:rPr>
              <w:t>Seventh</w:t>
            </w:r>
            <w:r w:rsidRPr="006F4348">
              <w:rPr>
                <w:i/>
                <w:iCs/>
                <w:lang w:bidi="en-US"/>
              </w:rPr>
              <w:t xml:space="preserve"> annual report of IMAC to the Council</w:t>
            </w:r>
            <w:r w:rsidRPr="00AE57FF">
              <w:rPr>
                <w:i/>
                <w:iCs/>
                <w:lang w:bidi="en-US"/>
              </w:rPr>
              <w:br/>
            </w:r>
            <w:r w:rsidRPr="00B06FE2">
              <w:rPr>
                <w:i/>
                <w:iCs/>
                <w:lang w:val="en-US" w:bidi="en-US"/>
              </w:rPr>
              <w:t xml:space="preserve">Document </w:t>
            </w:r>
            <w:hyperlink r:id="rId10" w:history="1">
              <w:r w:rsidRPr="00B06FE2">
                <w:rPr>
                  <w:rStyle w:val="Hyperlink"/>
                  <w:i/>
                  <w:iCs/>
                  <w:lang w:val="en-US" w:bidi="en-US"/>
                </w:rPr>
                <w:t>C1</w:t>
              </w:r>
              <w:r w:rsidR="006F4348" w:rsidRPr="00B06FE2">
                <w:rPr>
                  <w:rStyle w:val="Hyperlink"/>
                  <w:i/>
                  <w:iCs/>
                  <w:lang w:val="en-US" w:bidi="en-US"/>
                </w:rPr>
                <w:t>8</w:t>
              </w:r>
              <w:r w:rsidRPr="00B06FE2">
                <w:rPr>
                  <w:rStyle w:val="Hyperlink"/>
                  <w:i/>
                  <w:iCs/>
                  <w:lang w:val="en-US" w:bidi="en-US"/>
                </w:rPr>
                <w:t>/</w:t>
              </w:r>
              <w:r w:rsidR="004C0774" w:rsidRPr="00B06FE2">
                <w:rPr>
                  <w:rStyle w:val="Hyperlink"/>
                  <w:i/>
                  <w:iCs/>
                  <w:lang w:val="en-US" w:bidi="en-US"/>
                </w:rPr>
                <w:t>40</w:t>
              </w:r>
            </w:hyperlink>
            <w:r w:rsidR="006F4348">
              <w:rPr>
                <w:i/>
                <w:iCs/>
                <w:lang w:val="en-US" w:bidi="en-US"/>
              </w:rPr>
              <w:t>:</w:t>
            </w:r>
            <w:r w:rsidRPr="00AE57FF">
              <w:rPr>
                <w:i/>
                <w:iCs/>
                <w:lang w:val="en-US" w:bidi="en-US"/>
              </w:rPr>
              <w:t xml:space="preserve"> External Auditor’s Report</w:t>
            </w:r>
            <w:r w:rsidR="006F4348">
              <w:rPr>
                <w:i/>
                <w:iCs/>
                <w:lang w:val="en-US" w:bidi="en-US"/>
              </w:rPr>
              <w:br/>
            </w:r>
            <w:hyperlink r:id="rId11" w:history="1">
              <w:r w:rsidR="006F4348" w:rsidRPr="00990CC2">
                <w:rPr>
                  <w:rStyle w:val="Hyperlink"/>
                  <w:rFonts w:asciiTheme="minorHAnsi" w:hAnsiTheme="minorHAnsi"/>
                  <w:i/>
                  <w:iCs/>
                  <w:szCs w:val="24"/>
                </w:rPr>
                <w:t>Resolution 162</w:t>
              </w:r>
            </w:hyperlink>
            <w:r w:rsidR="006F4348" w:rsidRPr="00990CC2">
              <w:rPr>
                <w:rFonts w:asciiTheme="minorHAnsi" w:hAnsiTheme="minorHAnsi"/>
                <w:i/>
                <w:iCs/>
                <w:szCs w:val="24"/>
              </w:rPr>
              <w:t xml:space="preserve"> (Rev. Busan, 2014)</w:t>
            </w:r>
          </w:p>
        </w:tc>
      </w:tr>
    </w:tbl>
    <w:p w14:paraId="0A7FED35" w14:textId="77777777" w:rsidR="00D576D5" w:rsidRPr="00D73823" w:rsidRDefault="00D576D5" w:rsidP="00C7326D">
      <w:pPr>
        <w:pStyle w:val="NumberedHeading"/>
        <w:snapToGrid w:val="0"/>
        <w:spacing w:before="600" w:after="120"/>
        <w:ind w:left="0" w:firstLine="0"/>
        <w:rPr>
          <w:rFonts w:eastAsia="SimSun"/>
          <w:lang w:eastAsia="en-GB" w:bidi="en-US"/>
        </w:rPr>
      </w:pPr>
      <w:r w:rsidRPr="00D73823">
        <w:rPr>
          <w:rFonts w:eastAsia="SimSun"/>
          <w:lang w:eastAsia="en-GB" w:bidi="en-US"/>
        </w:rPr>
        <w:t>Purpose of this Addendum</w:t>
      </w:r>
    </w:p>
    <w:p w14:paraId="0A7FED36" w14:textId="77777777" w:rsidR="0072490B" w:rsidRPr="005A5D6A" w:rsidRDefault="00D576D5" w:rsidP="00C7326D">
      <w:pPr>
        <w:pStyle w:val="Normalnumbered"/>
        <w:snapToGrid w:val="0"/>
        <w:spacing w:before="120"/>
        <w:ind w:left="0" w:firstLine="0"/>
        <w:rPr>
          <w:rFonts w:eastAsia="SimSun"/>
          <w:lang w:eastAsia="en-GB" w:bidi="en-US"/>
        </w:rPr>
      </w:pPr>
      <w:r w:rsidRPr="0072490B">
        <w:rPr>
          <w:rFonts w:eastAsia="SimSun"/>
          <w:lang w:eastAsia="en-GB" w:bidi="en-US"/>
        </w:rPr>
        <w:t xml:space="preserve">In its </w:t>
      </w:r>
      <w:r w:rsidR="001D7FEC">
        <w:rPr>
          <w:rFonts w:eastAsia="SimSun"/>
          <w:lang w:eastAsia="en-GB" w:bidi="en-US"/>
        </w:rPr>
        <w:t>seventh</w:t>
      </w:r>
      <w:r w:rsidRPr="0072490B">
        <w:rPr>
          <w:rFonts w:eastAsia="SimSun"/>
          <w:lang w:eastAsia="en-GB" w:bidi="en-US"/>
        </w:rPr>
        <w:t xml:space="preserve"> Annual Report, IMAC noted that its observations on </w:t>
      </w:r>
      <w:r w:rsidR="0072490B" w:rsidRPr="0072490B">
        <w:rPr>
          <w:rFonts w:eastAsia="SimSun"/>
          <w:lang w:eastAsia="en-GB" w:bidi="en-US"/>
        </w:rPr>
        <w:t xml:space="preserve">the </w:t>
      </w:r>
      <w:r w:rsidRPr="0072490B">
        <w:rPr>
          <w:rFonts w:eastAsia="SimSun"/>
          <w:lang w:eastAsia="en-GB" w:bidi="en-US"/>
        </w:rPr>
        <w:t>External Audit</w:t>
      </w:r>
      <w:r w:rsidR="0072490B" w:rsidRPr="0072490B">
        <w:rPr>
          <w:rFonts w:eastAsia="SimSun"/>
          <w:lang w:eastAsia="en-GB" w:bidi="en-US"/>
        </w:rPr>
        <w:t>ors</w:t>
      </w:r>
      <w:r w:rsidR="00A4620F">
        <w:rPr>
          <w:rFonts w:eastAsia="SimSun"/>
          <w:lang w:eastAsia="en-GB" w:bidi="en-US"/>
        </w:rPr>
        <w:t>’</w:t>
      </w:r>
      <w:r w:rsidR="0072490B" w:rsidRPr="0072490B">
        <w:rPr>
          <w:rFonts w:eastAsia="SimSun"/>
          <w:lang w:eastAsia="en-GB" w:bidi="en-US"/>
        </w:rPr>
        <w:t xml:space="preserve"> </w:t>
      </w:r>
      <w:r w:rsidR="004E6629">
        <w:rPr>
          <w:rFonts w:eastAsia="SimSun"/>
          <w:lang w:eastAsia="en-GB" w:bidi="en-US"/>
        </w:rPr>
        <w:t>r</w:t>
      </w:r>
      <w:r w:rsidR="0072490B" w:rsidRPr="0072490B">
        <w:rPr>
          <w:rFonts w:eastAsia="SimSun"/>
          <w:lang w:eastAsia="en-GB" w:bidi="en-US"/>
        </w:rPr>
        <w:t>eport</w:t>
      </w:r>
      <w:r w:rsidRPr="0072490B">
        <w:rPr>
          <w:rFonts w:eastAsia="SimSun"/>
          <w:lang w:eastAsia="en-GB" w:bidi="en-US"/>
        </w:rPr>
        <w:t xml:space="preserve"> </w:t>
      </w:r>
      <w:proofErr w:type="gramStart"/>
      <w:r w:rsidRPr="0072490B">
        <w:rPr>
          <w:rFonts w:eastAsia="SimSun"/>
          <w:lang w:eastAsia="en-GB" w:bidi="en-US"/>
        </w:rPr>
        <w:t>would be covered</w:t>
      </w:r>
      <w:proofErr w:type="gramEnd"/>
      <w:r w:rsidRPr="0072490B">
        <w:rPr>
          <w:rFonts w:eastAsia="SimSun"/>
          <w:lang w:eastAsia="en-GB" w:bidi="en-US"/>
        </w:rPr>
        <w:t xml:space="preserve"> in an Addendum to </w:t>
      </w:r>
      <w:r w:rsidR="0072490B" w:rsidRPr="0072490B">
        <w:rPr>
          <w:rFonts w:eastAsia="SimSun"/>
          <w:lang w:eastAsia="en-GB" w:bidi="en-US"/>
        </w:rPr>
        <w:t>the IMAC</w:t>
      </w:r>
      <w:r w:rsidRPr="0072490B">
        <w:rPr>
          <w:rFonts w:eastAsia="SimSun"/>
          <w:lang w:eastAsia="en-GB" w:bidi="en-US"/>
        </w:rPr>
        <w:t xml:space="preserve"> report, following review of the External Auditors’ </w:t>
      </w:r>
      <w:r w:rsidR="004E6629">
        <w:rPr>
          <w:rFonts w:eastAsia="SimSun"/>
          <w:lang w:eastAsia="en-GB" w:bidi="en-US"/>
        </w:rPr>
        <w:t>r</w:t>
      </w:r>
      <w:r w:rsidR="001D7FEC">
        <w:rPr>
          <w:rFonts w:eastAsia="SimSun"/>
          <w:lang w:eastAsia="en-GB" w:bidi="en-US"/>
        </w:rPr>
        <w:t>eport, when received</w:t>
      </w:r>
      <w:r w:rsidRPr="0072490B">
        <w:rPr>
          <w:rFonts w:eastAsia="SimSun"/>
          <w:lang w:eastAsia="en-GB" w:bidi="en-US"/>
        </w:rPr>
        <w:t>.</w:t>
      </w:r>
    </w:p>
    <w:p w14:paraId="0A7FED37" w14:textId="77777777" w:rsidR="00D576D5" w:rsidRPr="005A5D6A" w:rsidRDefault="00D576D5" w:rsidP="00C7326D">
      <w:pPr>
        <w:pStyle w:val="Normalnumbered"/>
        <w:snapToGrid w:val="0"/>
        <w:spacing w:before="120"/>
        <w:ind w:left="0" w:firstLine="0"/>
        <w:rPr>
          <w:rFonts w:eastAsia="SimSun"/>
          <w:lang w:eastAsia="en-GB" w:bidi="en-US"/>
        </w:rPr>
      </w:pPr>
      <w:r w:rsidRPr="005A5D6A">
        <w:rPr>
          <w:rFonts w:eastAsia="SimSun"/>
          <w:lang w:eastAsia="en-GB" w:bidi="en-US"/>
        </w:rPr>
        <w:t xml:space="preserve">This Addendum to IMAC’s </w:t>
      </w:r>
      <w:r w:rsidR="001D7FEC" w:rsidRPr="005A5D6A">
        <w:rPr>
          <w:rFonts w:eastAsia="SimSun"/>
          <w:lang w:eastAsia="en-GB" w:bidi="en-US"/>
        </w:rPr>
        <w:t>seventh</w:t>
      </w:r>
      <w:r w:rsidRPr="005A5D6A">
        <w:rPr>
          <w:rFonts w:eastAsia="SimSun"/>
          <w:lang w:eastAsia="en-GB" w:bidi="en-US"/>
        </w:rPr>
        <w:t xml:space="preserve"> Annual Report </w:t>
      </w:r>
      <w:proofErr w:type="gramStart"/>
      <w:r w:rsidRPr="005A5D6A">
        <w:rPr>
          <w:rFonts w:eastAsia="SimSun"/>
          <w:lang w:eastAsia="en-GB" w:bidi="en-US"/>
        </w:rPr>
        <w:t>is therefore submitted</w:t>
      </w:r>
      <w:proofErr w:type="gramEnd"/>
      <w:r w:rsidRPr="005A5D6A">
        <w:rPr>
          <w:rFonts w:eastAsia="SimSun"/>
          <w:lang w:eastAsia="en-GB" w:bidi="en-US"/>
        </w:rPr>
        <w:t xml:space="preserve"> to advise the Council on</w:t>
      </w:r>
      <w:r w:rsidR="001D7FEC" w:rsidRPr="005A5D6A">
        <w:rPr>
          <w:rFonts w:eastAsia="SimSun"/>
          <w:lang w:eastAsia="en-GB" w:bidi="en-US"/>
        </w:rPr>
        <w:t xml:space="preserve"> key</w:t>
      </w:r>
      <w:r w:rsidRPr="005A5D6A">
        <w:rPr>
          <w:rFonts w:eastAsia="SimSun"/>
          <w:lang w:eastAsia="en-GB" w:bidi="en-US"/>
        </w:rPr>
        <w:t xml:space="preserve"> issues arising from the External Auditors’ Report on their audit of the financial statements of ITU; and to inform the Council’s consideration of the financial statements and external audit report for 201</w:t>
      </w:r>
      <w:r w:rsidR="001D7FEC" w:rsidRPr="005A5D6A">
        <w:rPr>
          <w:rFonts w:eastAsia="SimSun"/>
          <w:lang w:eastAsia="en-GB" w:bidi="en-US"/>
        </w:rPr>
        <w:t>7</w:t>
      </w:r>
      <w:r w:rsidRPr="005A5D6A">
        <w:rPr>
          <w:rFonts w:eastAsia="SimSun"/>
          <w:lang w:eastAsia="en-GB" w:bidi="en-US"/>
        </w:rPr>
        <w:t>.</w:t>
      </w:r>
    </w:p>
    <w:p w14:paraId="0A7FED38" w14:textId="77777777" w:rsidR="009D6D9F" w:rsidRPr="005A5D6A" w:rsidRDefault="003022CF" w:rsidP="00C7326D">
      <w:pPr>
        <w:pStyle w:val="Normalnumbered"/>
        <w:snapToGrid w:val="0"/>
        <w:spacing w:before="120"/>
        <w:ind w:left="0" w:firstLine="0"/>
        <w:rPr>
          <w:rFonts w:eastAsia="SimSun"/>
          <w:lang w:eastAsia="en-GB" w:bidi="en-US"/>
        </w:rPr>
      </w:pPr>
      <w:r w:rsidRPr="005A5D6A">
        <w:rPr>
          <w:rFonts w:eastAsia="SimSun"/>
          <w:lang w:eastAsia="en-GB" w:bidi="en-US"/>
        </w:rPr>
        <w:t xml:space="preserve">This supplementary report also provides </w:t>
      </w:r>
      <w:r w:rsidR="00C82081" w:rsidRPr="005A5D6A">
        <w:rPr>
          <w:rFonts w:eastAsia="SimSun"/>
          <w:lang w:eastAsia="en-GB" w:bidi="en-US"/>
        </w:rPr>
        <w:t xml:space="preserve">further </w:t>
      </w:r>
      <w:r w:rsidRPr="005A5D6A">
        <w:rPr>
          <w:rFonts w:eastAsia="SimSun"/>
          <w:lang w:eastAsia="en-GB" w:bidi="en-US"/>
        </w:rPr>
        <w:t xml:space="preserve">comment and advice to Council </w:t>
      </w:r>
      <w:r w:rsidR="009D6D9F" w:rsidRPr="005A5D6A">
        <w:rPr>
          <w:rFonts w:eastAsia="SimSun"/>
          <w:lang w:eastAsia="en-GB" w:bidi="en-US"/>
        </w:rPr>
        <w:t>on</w:t>
      </w:r>
      <w:r w:rsidR="00C82081" w:rsidRPr="005A5D6A">
        <w:rPr>
          <w:rFonts w:eastAsia="SimSun"/>
          <w:lang w:eastAsia="en-GB" w:bidi="en-US"/>
        </w:rPr>
        <w:t>:</w:t>
      </w:r>
      <w:r w:rsidR="009D6D9F" w:rsidRPr="005A5D6A">
        <w:rPr>
          <w:rFonts w:eastAsia="SimSun"/>
          <w:lang w:eastAsia="en-GB" w:bidi="en-US"/>
        </w:rPr>
        <w:t xml:space="preserve"> </w:t>
      </w:r>
    </w:p>
    <w:p w14:paraId="0A7FED39" w14:textId="77777777" w:rsidR="007F6444" w:rsidRDefault="00D34330" w:rsidP="00C7326D">
      <w:pPr>
        <w:numPr>
          <w:ilvl w:val="0"/>
          <w:numId w:val="29"/>
        </w:numPr>
        <w:tabs>
          <w:tab w:val="clear" w:pos="567"/>
          <w:tab w:val="clear" w:pos="1134"/>
          <w:tab w:val="clear" w:pos="1440"/>
          <w:tab w:val="clear" w:pos="1701"/>
          <w:tab w:val="clear" w:pos="2268"/>
          <w:tab w:val="clear" w:pos="2835"/>
        </w:tabs>
        <w:overflowPunct/>
        <w:snapToGrid w:val="0"/>
        <w:spacing w:after="120"/>
        <w:ind w:left="1276" w:hanging="567"/>
        <w:jc w:val="both"/>
        <w:textAlignment w:val="auto"/>
        <w:rPr>
          <w:rFonts w:eastAsia="SimSun" w:cs="SimSun"/>
          <w:szCs w:val="24"/>
          <w:lang w:eastAsia="en-GB" w:bidi="en-US"/>
        </w:rPr>
      </w:pPr>
      <w:r>
        <w:rPr>
          <w:rFonts w:eastAsia="SimSun" w:cs="SimSun"/>
          <w:szCs w:val="24"/>
          <w:lang w:eastAsia="en-GB" w:bidi="en-US"/>
        </w:rPr>
        <w:t xml:space="preserve">The </w:t>
      </w:r>
      <w:r w:rsidR="009D6D9F" w:rsidRPr="00624A94">
        <w:rPr>
          <w:rFonts w:eastAsia="SimSun" w:cs="SimSun"/>
          <w:szCs w:val="24"/>
          <w:lang w:eastAsia="en-GB" w:bidi="en-US"/>
        </w:rPr>
        <w:t>ITU Headquarters construction project</w:t>
      </w:r>
      <w:r>
        <w:rPr>
          <w:rFonts w:eastAsia="SimSun" w:cs="SimSun"/>
          <w:szCs w:val="24"/>
          <w:lang w:eastAsia="en-GB" w:bidi="en-US"/>
        </w:rPr>
        <w:t>;</w:t>
      </w:r>
    </w:p>
    <w:p w14:paraId="0A7FED3A" w14:textId="77777777" w:rsidR="003022CF" w:rsidRPr="007F6444" w:rsidRDefault="00FE535E" w:rsidP="00C7326D">
      <w:pPr>
        <w:numPr>
          <w:ilvl w:val="0"/>
          <w:numId w:val="29"/>
        </w:numPr>
        <w:tabs>
          <w:tab w:val="clear" w:pos="567"/>
          <w:tab w:val="clear" w:pos="1134"/>
          <w:tab w:val="clear" w:pos="1440"/>
          <w:tab w:val="clear" w:pos="1701"/>
          <w:tab w:val="clear" w:pos="2268"/>
          <w:tab w:val="clear" w:pos="2835"/>
        </w:tabs>
        <w:overflowPunct/>
        <w:snapToGrid w:val="0"/>
        <w:spacing w:after="120"/>
        <w:ind w:left="1276" w:hanging="567"/>
        <w:jc w:val="both"/>
        <w:textAlignment w:val="auto"/>
        <w:rPr>
          <w:rFonts w:eastAsia="SimSun" w:cs="SimSun"/>
          <w:szCs w:val="24"/>
          <w:lang w:eastAsia="en-GB" w:bidi="en-US"/>
        </w:rPr>
      </w:pPr>
      <w:r>
        <w:rPr>
          <w:rFonts w:eastAsia="SimSun" w:cs="SimSun"/>
          <w:szCs w:val="24"/>
          <w:lang w:eastAsia="en-GB" w:bidi="en-US"/>
        </w:rPr>
        <w:t>S</w:t>
      </w:r>
      <w:r w:rsidR="007F6444" w:rsidRPr="007F6444">
        <w:rPr>
          <w:rFonts w:eastAsia="SimSun" w:cs="SimSun"/>
          <w:szCs w:val="24"/>
          <w:lang w:eastAsia="en-GB" w:bidi="en-US"/>
        </w:rPr>
        <w:t>uspected fraudulent activity in a regional office</w:t>
      </w:r>
      <w:r w:rsidR="00D34330" w:rsidRPr="007F6444">
        <w:rPr>
          <w:rFonts w:eastAsia="SimSun" w:cs="SimSun"/>
          <w:szCs w:val="24"/>
          <w:lang w:eastAsia="en-GB" w:bidi="en-US"/>
        </w:rPr>
        <w:t>.</w:t>
      </w:r>
    </w:p>
    <w:p w14:paraId="0A7FED3B" w14:textId="77777777" w:rsidR="00D576D5" w:rsidRPr="006201D8" w:rsidRDefault="00D576D5" w:rsidP="00C7326D">
      <w:pPr>
        <w:pStyle w:val="NumberedHeading"/>
        <w:snapToGrid w:val="0"/>
        <w:spacing w:after="120"/>
        <w:ind w:left="0" w:firstLine="0"/>
        <w:rPr>
          <w:rFonts w:eastAsia="SimSun"/>
          <w:lang w:eastAsia="en-GB" w:bidi="en-US"/>
        </w:rPr>
      </w:pPr>
      <w:r w:rsidRPr="006201D8">
        <w:rPr>
          <w:rFonts w:eastAsia="SimSun"/>
          <w:lang w:eastAsia="en-GB" w:bidi="en-US"/>
        </w:rPr>
        <w:t>The External Auditors’ Report for 20</w:t>
      </w:r>
      <w:r w:rsidR="00FA15C0">
        <w:rPr>
          <w:rFonts w:eastAsia="SimSun"/>
          <w:lang w:eastAsia="en-GB" w:bidi="en-US"/>
        </w:rPr>
        <w:t>1</w:t>
      </w:r>
      <w:r w:rsidR="001D7FEC">
        <w:rPr>
          <w:rFonts w:eastAsia="SimSun"/>
          <w:lang w:eastAsia="en-GB" w:bidi="en-US"/>
        </w:rPr>
        <w:t>7</w:t>
      </w:r>
      <w:r w:rsidRPr="006201D8">
        <w:rPr>
          <w:rFonts w:eastAsia="SimSun"/>
          <w:lang w:eastAsia="en-GB" w:bidi="en-US"/>
        </w:rPr>
        <w:t>: Unqualified audit opinion</w:t>
      </w:r>
    </w:p>
    <w:p w14:paraId="0A7FED3C" w14:textId="77777777" w:rsidR="00D51868" w:rsidRDefault="00D576D5" w:rsidP="00C7326D">
      <w:pPr>
        <w:pStyle w:val="Normalnumbered"/>
        <w:snapToGrid w:val="0"/>
        <w:spacing w:before="120"/>
        <w:ind w:left="0" w:firstLine="0"/>
        <w:rPr>
          <w:rFonts w:eastAsia="SimSun"/>
          <w:lang w:eastAsia="en-GB" w:bidi="en-US"/>
        </w:rPr>
      </w:pPr>
      <w:r w:rsidRPr="00D51868">
        <w:rPr>
          <w:rFonts w:eastAsia="SimSun"/>
          <w:lang w:eastAsia="en-GB" w:bidi="en-US"/>
        </w:rPr>
        <w:t xml:space="preserve">The External Auditors have </w:t>
      </w:r>
      <w:r w:rsidR="001D7FEC">
        <w:rPr>
          <w:rFonts w:eastAsia="SimSun"/>
          <w:lang w:eastAsia="en-GB" w:bidi="en-US"/>
        </w:rPr>
        <w:t xml:space="preserve">again </w:t>
      </w:r>
      <w:r w:rsidRPr="00D51868">
        <w:rPr>
          <w:rFonts w:eastAsia="SimSun"/>
          <w:lang w:eastAsia="en-GB" w:bidi="en-US"/>
        </w:rPr>
        <w:t>provided an unqualified audit opinion on the ITU’s financial statements for 201</w:t>
      </w:r>
      <w:r w:rsidR="001D7FEC">
        <w:rPr>
          <w:rFonts w:eastAsia="SimSun"/>
          <w:lang w:eastAsia="en-GB" w:bidi="en-US"/>
        </w:rPr>
        <w:t xml:space="preserve">7 </w:t>
      </w:r>
      <w:r w:rsidR="00674094" w:rsidRPr="00D51868">
        <w:rPr>
          <w:rFonts w:eastAsia="SimSun"/>
          <w:lang w:eastAsia="en-GB" w:bidi="en-US"/>
        </w:rPr>
        <w:t>with an emphasis of matter on the financial position</w:t>
      </w:r>
      <w:r w:rsidR="001D7FEC">
        <w:rPr>
          <w:rFonts w:eastAsia="SimSun"/>
          <w:lang w:eastAsia="en-GB" w:bidi="en-US"/>
        </w:rPr>
        <w:t>,</w:t>
      </w:r>
      <w:r w:rsidR="00674094" w:rsidRPr="00D51868">
        <w:rPr>
          <w:rFonts w:eastAsia="SimSun"/>
          <w:lang w:eastAsia="en-GB" w:bidi="en-US"/>
        </w:rPr>
        <w:t xml:space="preserve"> </w:t>
      </w:r>
      <w:r w:rsidR="00D51868" w:rsidRPr="00D51868">
        <w:rPr>
          <w:rFonts w:eastAsia="SimSun"/>
          <w:lang w:eastAsia="en-GB" w:bidi="en-US"/>
        </w:rPr>
        <w:t xml:space="preserve">showing a negative </w:t>
      </w:r>
      <w:r w:rsidR="00E91ABA">
        <w:rPr>
          <w:rFonts w:eastAsia="SimSun"/>
          <w:lang w:eastAsia="en-GB" w:bidi="en-US"/>
        </w:rPr>
        <w:t>n</w:t>
      </w:r>
      <w:r w:rsidR="00D51868" w:rsidRPr="00D51868">
        <w:rPr>
          <w:rFonts w:eastAsia="SimSun"/>
          <w:lang w:eastAsia="en-GB" w:bidi="en-US"/>
        </w:rPr>
        <w:t xml:space="preserve">et </w:t>
      </w:r>
      <w:r w:rsidR="00E91ABA">
        <w:rPr>
          <w:rFonts w:eastAsia="SimSun"/>
          <w:lang w:eastAsia="en-GB" w:bidi="en-US"/>
        </w:rPr>
        <w:t>a</w:t>
      </w:r>
      <w:r w:rsidR="00E91ABA" w:rsidRPr="00D51868">
        <w:rPr>
          <w:rFonts w:eastAsia="SimSun"/>
          <w:lang w:eastAsia="en-GB" w:bidi="en-US"/>
        </w:rPr>
        <w:t>sset</w:t>
      </w:r>
      <w:r w:rsidR="00E91ABA">
        <w:rPr>
          <w:rFonts w:eastAsia="SimSun"/>
          <w:lang w:eastAsia="en-GB" w:bidi="en-US"/>
        </w:rPr>
        <w:t xml:space="preserve"> of </w:t>
      </w:r>
      <w:r w:rsidR="00E91ABA" w:rsidRPr="00DE4687">
        <w:rPr>
          <w:rFonts w:eastAsia="SimSun"/>
          <w:lang w:eastAsia="en-GB" w:bidi="en-US"/>
        </w:rPr>
        <w:t>CHF -</w:t>
      </w:r>
      <w:r w:rsidR="00E047E2" w:rsidRPr="00DE4687">
        <w:rPr>
          <w:rFonts w:eastAsia="SimSun"/>
          <w:lang w:eastAsia="en-GB" w:bidi="en-US"/>
        </w:rPr>
        <w:t>482</w:t>
      </w:r>
      <w:r w:rsidR="00E91ABA" w:rsidRPr="00DE4687">
        <w:rPr>
          <w:rFonts w:eastAsia="SimSun"/>
          <w:lang w:eastAsia="en-GB" w:bidi="en-US"/>
        </w:rPr>
        <w:t>.</w:t>
      </w:r>
      <w:r w:rsidR="00E047E2" w:rsidRPr="00DE4687">
        <w:rPr>
          <w:rFonts w:eastAsia="SimSun"/>
          <w:lang w:eastAsia="en-GB" w:bidi="en-US"/>
        </w:rPr>
        <w:t>524</w:t>
      </w:r>
      <w:r w:rsidR="00E91ABA" w:rsidRPr="00DE4687">
        <w:rPr>
          <w:rFonts w:eastAsia="SimSun"/>
          <w:lang w:eastAsia="en-GB" w:bidi="en-US"/>
        </w:rPr>
        <w:t xml:space="preserve"> million</w:t>
      </w:r>
      <w:r w:rsidR="00E047E2" w:rsidRPr="00DE4687">
        <w:rPr>
          <w:rFonts w:eastAsia="SimSun"/>
          <w:lang w:eastAsia="en-GB" w:bidi="en-US"/>
        </w:rPr>
        <w:t xml:space="preserve"> compared with CHF -419.155 in 2016</w:t>
      </w:r>
      <w:r w:rsidR="00D51868" w:rsidRPr="00390E66">
        <w:rPr>
          <w:rFonts w:eastAsia="SimSun"/>
          <w:lang w:eastAsia="en-GB" w:bidi="en-US"/>
        </w:rPr>
        <w:t>,</w:t>
      </w:r>
      <w:r w:rsidR="00D51868" w:rsidRPr="00D51868">
        <w:rPr>
          <w:rFonts w:eastAsia="SimSun"/>
          <w:lang w:eastAsia="en-GB" w:bidi="en-US"/>
        </w:rPr>
        <w:t xml:space="preserve"> mainly due to the actuarial liabilities relating to long-term employee benefits. The emphasis of matter does not modify the </w:t>
      </w:r>
      <w:r w:rsidR="00D51868" w:rsidRPr="00D51868">
        <w:rPr>
          <w:rFonts w:eastAsia="SimSun"/>
          <w:lang w:eastAsia="en-GB" w:bidi="en-US"/>
        </w:rPr>
        <w:lastRenderedPageBreak/>
        <w:t>unqualified audit opinion</w:t>
      </w:r>
      <w:r w:rsidR="00E91ABA">
        <w:rPr>
          <w:rFonts w:eastAsia="SimSun"/>
          <w:lang w:eastAsia="en-GB" w:bidi="en-US"/>
        </w:rPr>
        <w:t xml:space="preserve"> but draws attention to a matter that in the External Auditors’ judgement is of such importance that it is fundamental to users’ understanding of the financial statements</w:t>
      </w:r>
      <w:r w:rsidR="00D51868" w:rsidRPr="00D51868">
        <w:rPr>
          <w:rFonts w:eastAsia="SimSun"/>
          <w:lang w:eastAsia="en-GB" w:bidi="en-US"/>
        </w:rPr>
        <w:t xml:space="preserve">. The External Auditors’ long-form audit report provides a </w:t>
      </w:r>
      <w:r w:rsidR="001D7FEC">
        <w:rPr>
          <w:rFonts w:eastAsia="SimSun"/>
          <w:lang w:eastAsia="en-GB" w:bidi="en-US"/>
        </w:rPr>
        <w:t xml:space="preserve">helpful and </w:t>
      </w:r>
      <w:r w:rsidR="00D51868" w:rsidRPr="00D51868">
        <w:rPr>
          <w:rFonts w:eastAsia="SimSun"/>
          <w:lang w:eastAsia="en-GB" w:bidi="en-US"/>
        </w:rPr>
        <w:t xml:space="preserve">comprehensive </w:t>
      </w:r>
      <w:r w:rsidR="00E91ABA">
        <w:rPr>
          <w:rFonts w:eastAsia="SimSun"/>
          <w:lang w:eastAsia="en-GB" w:bidi="en-US"/>
        </w:rPr>
        <w:t>review of the</w:t>
      </w:r>
      <w:r w:rsidR="00D51868" w:rsidRPr="00D51868">
        <w:rPr>
          <w:rFonts w:eastAsia="SimSun"/>
          <w:lang w:eastAsia="en-GB" w:bidi="en-US"/>
        </w:rPr>
        <w:t xml:space="preserve"> financial </w:t>
      </w:r>
      <w:r w:rsidR="00E91ABA">
        <w:rPr>
          <w:rFonts w:eastAsia="SimSun"/>
          <w:lang w:eastAsia="en-GB" w:bidi="en-US"/>
        </w:rPr>
        <w:t>position</w:t>
      </w:r>
      <w:r w:rsidR="00D51868" w:rsidRPr="00D51868">
        <w:rPr>
          <w:rFonts w:eastAsia="SimSun"/>
          <w:lang w:eastAsia="en-GB" w:bidi="en-US"/>
        </w:rPr>
        <w:t xml:space="preserve">; and </w:t>
      </w:r>
      <w:r w:rsidR="00D51868" w:rsidRPr="001D7FEC">
        <w:rPr>
          <w:rFonts w:eastAsia="SimSun"/>
          <w:lang w:eastAsia="en-GB" w:bidi="en-US"/>
        </w:rPr>
        <w:t xml:space="preserve">includes </w:t>
      </w:r>
      <w:r w:rsidR="001D7FEC" w:rsidRPr="001D7FEC">
        <w:rPr>
          <w:rFonts w:eastAsia="SimSun"/>
          <w:lang w:eastAsia="en-GB" w:bidi="en-US"/>
        </w:rPr>
        <w:t>ten (10</w:t>
      </w:r>
      <w:r w:rsidR="00D51868" w:rsidRPr="001D7FEC">
        <w:rPr>
          <w:rFonts w:eastAsia="SimSun"/>
          <w:lang w:eastAsia="en-GB" w:bidi="en-US"/>
        </w:rPr>
        <w:t xml:space="preserve">) recommendations and </w:t>
      </w:r>
      <w:r w:rsidR="001D7FEC" w:rsidRPr="001D7FEC">
        <w:rPr>
          <w:rFonts w:eastAsia="SimSun"/>
          <w:lang w:eastAsia="en-GB" w:bidi="en-US"/>
        </w:rPr>
        <w:t>one (1</w:t>
      </w:r>
      <w:r w:rsidR="00D51868" w:rsidRPr="001D7FEC">
        <w:rPr>
          <w:rFonts w:eastAsia="SimSun"/>
          <w:lang w:eastAsia="en-GB" w:bidi="en-US"/>
        </w:rPr>
        <w:t>) suggestion for management action.</w:t>
      </w:r>
    </w:p>
    <w:p w14:paraId="0A7FED3D" w14:textId="77777777" w:rsidR="001D7FEC" w:rsidRPr="001D7FEC" w:rsidRDefault="008454E7" w:rsidP="00C7326D">
      <w:pPr>
        <w:pStyle w:val="Normalnumbered"/>
        <w:snapToGrid w:val="0"/>
        <w:spacing w:before="120"/>
        <w:ind w:left="0" w:firstLine="0"/>
        <w:rPr>
          <w:rFonts w:eastAsia="SimSun"/>
          <w:lang w:eastAsia="en-GB" w:bidi="en-US"/>
        </w:rPr>
      </w:pPr>
      <w:r>
        <w:rPr>
          <w:rFonts w:eastAsia="SimSun"/>
          <w:lang w:eastAsia="en-GB" w:bidi="en-US"/>
        </w:rPr>
        <w:t xml:space="preserve">The report </w:t>
      </w:r>
      <w:r w:rsidR="001D7FEC">
        <w:rPr>
          <w:rFonts w:eastAsia="SimSun"/>
          <w:lang w:eastAsia="en-GB" w:bidi="en-US"/>
        </w:rPr>
        <w:t xml:space="preserve">draws attention to a number of areas where important improvements </w:t>
      </w:r>
      <w:r>
        <w:rPr>
          <w:rFonts w:eastAsia="SimSun"/>
          <w:lang w:eastAsia="en-GB" w:bidi="en-US"/>
        </w:rPr>
        <w:t xml:space="preserve">need to </w:t>
      </w:r>
      <w:proofErr w:type="gramStart"/>
      <w:r>
        <w:rPr>
          <w:rFonts w:eastAsia="SimSun"/>
          <w:lang w:eastAsia="en-GB" w:bidi="en-US"/>
        </w:rPr>
        <w:t>be addr</w:t>
      </w:r>
      <w:r w:rsidR="007F6444">
        <w:rPr>
          <w:rFonts w:eastAsia="SimSun"/>
          <w:lang w:eastAsia="en-GB" w:bidi="en-US"/>
        </w:rPr>
        <w:t>essed</w:t>
      </w:r>
      <w:proofErr w:type="gramEnd"/>
      <w:r w:rsidR="007F6444">
        <w:rPr>
          <w:rFonts w:eastAsia="SimSun"/>
          <w:lang w:eastAsia="en-GB" w:bidi="en-US"/>
        </w:rPr>
        <w:t>, as a matter of priority.</w:t>
      </w:r>
    </w:p>
    <w:p w14:paraId="0A7FED3E" w14:textId="77777777" w:rsidR="00D576D5" w:rsidRPr="006201D8" w:rsidRDefault="00D576D5" w:rsidP="00C7326D">
      <w:pPr>
        <w:pStyle w:val="NumberedHeading"/>
        <w:snapToGrid w:val="0"/>
        <w:spacing w:after="120"/>
        <w:ind w:left="0" w:firstLine="0"/>
        <w:rPr>
          <w:rFonts w:eastAsia="SimSun"/>
          <w:lang w:eastAsia="en-GB" w:bidi="en-US"/>
        </w:rPr>
      </w:pPr>
      <w:r w:rsidRPr="006201D8">
        <w:rPr>
          <w:rFonts w:eastAsia="SimSun"/>
          <w:lang w:eastAsia="en-GB" w:bidi="en-US"/>
        </w:rPr>
        <w:t>The External Auditors</w:t>
      </w:r>
      <w:r w:rsidR="00AF5ECC">
        <w:rPr>
          <w:rFonts w:eastAsia="SimSun"/>
          <w:lang w:eastAsia="en-GB" w:bidi="en-US"/>
        </w:rPr>
        <w:t>’</w:t>
      </w:r>
      <w:r w:rsidRPr="006201D8">
        <w:rPr>
          <w:rFonts w:eastAsia="SimSun"/>
          <w:lang w:eastAsia="en-GB" w:bidi="en-US"/>
        </w:rPr>
        <w:t xml:space="preserve"> recommendations and suggestions</w:t>
      </w:r>
    </w:p>
    <w:p w14:paraId="0A7FED3F" w14:textId="77777777" w:rsidR="00D576D5" w:rsidRPr="006201D8" w:rsidRDefault="00D576D5" w:rsidP="00C7326D">
      <w:pPr>
        <w:pStyle w:val="Normalnumbered"/>
        <w:snapToGrid w:val="0"/>
        <w:spacing w:before="120"/>
        <w:ind w:left="0" w:firstLine="0"/>
        <w:rPr>
          <w:rFonts w:eastAsia="SimSun"/>
          <w:lang w:eastAsia="en-GB" w:bidi="en-US"/>
        </w:rPr>
      </w:pPr>
      <w:r w:rsidRPr="006201D8">
        <w:rPr>
          <w:rFonts w:eastAsia="SimSun"/>
          <w:lang w:eastAsia="en-GB" w:bidi="en-US"/>
        </w:rPr>
        <w:t xml:space="preserve">The External Auditors </w:t>
      </w:r>
      <w:r w:rsidR="008454E7">
        <w:rPr>
          <w:rFonts w:eastAsia="SimSun"/>
          <w:lang w:eastAsia="en-GB" w:bidi="en-US"/>
        </w:rPr>
        <w:t>make recommendations in relation to</w:t>
      </w:r>
      <w:r w:rsidRPr="006201D8">
        <w:rPr>
          <w:rFonts w:eastAsia="SimSun"/>
          <w:lang w:eastAsia="en-GB" w:bidi="en-US"/>
        </w:rPr>
        <w:t>:</w:t>
      </w:r>
    </w:p>
    <w:p w14:paraId="0A7FED40" w14:textId="77777777" w:rsidR="008454E7" w:rsidRDefault="008454E7" w:rsidP="00C7326D">
      <w:pPr>
        <w:numPr>
          <w:ilvl w:val="0"/>
          <w:numId w:val="33"/>
        </w:numPr>
        <w:tabs>
          <w:tab w:val="clear" w:pos="567"/>
          <w:tab w:val="clear" w:pos="1080"/>
          <w:tab w:val="clear" w:pos="1134"/>
          <w:tab w:val="clear" w:pos="1701"/>
          <w:tab w:val="clear" w:pos="2268"/>
          <w:tab w:val="clear" w:pos="2835"/>
        </w:tabs>
        <w:overflowPunct/>
        <w:snapToGrid w:val="0"/>
        <w:spacing w:after="120"/>
        <w:ind w:hanging="371"/>
        <w:jc w:val="both"/>
        <w:textAlignment w:val="auto"/>
        <w:rPr>
          <w:rFonts w:eastAsia="SimSun" w:cs="SimSun"/>
          <w:szCs w:val="24"/>
          <w:lang w:eastAsia="en-GB" w:bidi="en-US"/>
        </w:rPr>
      </w:pPr>
      <w:r>
        <w:rPr>
          <w:rFonts w:eastAsia="SimSun" w:cs="SimSun"/>
          <w:szCs w:val="24"/>
          <w:lang w:eastAsia="en-GB" w:bidi="en-US"/>
        </w:rPr>
        <w:t>The construction of the HQ premises should be evaluated in a way in which addresses the needs and human resources of the Union in the long term;</w:t>
      </w:r>
    </w:p>
    <w:p w14:paraId="0A7FED41" w14:textId="77777777" w:rsidR="00806D20" w:rsidRDefault="008454E7" w:rsidP="00C7326D">
      <w:pPr>
        <w:numPr>
          <w:ilvl w:val="0"/>
          <w:numId w:val="33"/>
        </w:numPr>
        <w:tabs>
          <w:tab w:val="clear" w:pos="567"/>
          <w:tab w:val="clear" w:pos="1080"/>
          <w:tab w:val="clear" w:pos="1134"/>
          <w:tab w:val="clear" w:pos="1701"/>
          <w:tab w:val="clear" w:pos="2268"/>
          <w:tab w:val="clear" w:pos="2835"/>
        </w:tabs>
        <w:overflowPunct/>
        <w:snapToGrid w:val="0"/>
        <w:spacing w:after="120"/>
        <w:ind w:hanging="371"/>
        <w:jc w:val="both"/>
        <w:textAlignment w:val="auto"/>
        <w:rPr>
          <w:rFonts w:eastAsia="SimSun" w:cs="SimSun"/>
          <w:szCs w:val="24"/>
          <w:lang w:eastAsia="en-GB" w:bidi="en-US"/>
        </w:rPr>
      </w:pPr>
      <w:r>
        <w:rPr>
          <w:rFonts w:eastAsia="SimSun" w:cs="SimSun"/>
          <w:szCs w:val="24"/>
          <w:lang w:eastAsia="en-GB" w:bidi="en-US"/>
        </w:rPr>
        <w:t>The need for rationalization and extraordinary measures to improve the HR payment function;</w:t>
      </w:r>
    </w:p>
    <w:p w14:paraId="0A7FED42" w14:textId="77777777" w:rsidR="008454E7" w:rsidRDefault="008454E7" w:rsidP="00C7326D">
      <w:pPr>
        <w:numPr>
          <w:ilvl w:val="0"/>
          <w:numId w:val="33"/>
        </w:numPr>
        <w:tabs>
          <w:tab w:val="clear" w:pos="567"/>
          <w:tab w:val="clear" w:pos="1080"/>
          <w:tab w:val="clear" w:pos="1134"/>
          <w:tab w:val="clear" w:pos="1701"/>
          <w:tab w:val="clear" w:pos="2268"/>
          <w:tab w:val="clear" w:pos="2835"/>
        </w:tabs>
        <w:overflowPunct/>
        <w:snapToGrid w:val="0"/>
        <w:spacing w:after="120"/>
        <w:ind w:hanging="371"/>
        <w:jc w:val="both"/>
        <w:textAlignment w:val="auto"/>
        <w:rPr>
          <w:rFonts w:eastAsia="SimSun" w:cs="SimSun"/>
          <w:szCs w:val="24"/>
          <w:lang w:eastAsia="en-GB" w:bidi="en-US"/>
        </w:rPr>
      </w:pPr>
      <w:r w:rsidRPr="00FF5AFE">
        <w:rPr>
          <w:rFonts w:eastAsia="SimSun" w:cs="SimSun"/>
          <w:szCs w:val="24"/>
          <w:lang w:eastAsia="en-GB" w:bidi="en-US"/>
        </w:rPr>
        <w:t xml:space="preserve">The urgent action required to put in place a workforce planning </w:t>
      </w:r>
      <w:r w:rsidR="00806D20" w:rsidRPr="00FF5AFE">
        <w:rPr>
          <w:rFonts w:eastAsia="SimSun" w:cs="SimSun"/>
          <w:szCs w:val="24"/>
          <w:lang w:eastAsia="en-GB" w:bidi="en-US"/>
        </w:rPr>
        <w:t>strategy</w:t>
      </w:r>
      <w:r w:rsidRPr="00FF5AFE">
        <w:rPr>
          <w:rFonts w:eastAsia="SimSun" w:cs="SimSun"/>
          <w:szCs w:val="24"/>
          <w:lang w:eastAsia="en-GB" w:bidi="en-US"/>
        </w:rPr>
        <w:t xml:space="preserve"> to meet the Union’s changing needs and </w:t>
      </w:r>
      <w:r w:rsidR="00390E66">
        <w:rPr>
          <w:rFonts w:eastAsia="SimSun" w:cs="SimSun"/>
          <w:szCs w:val="24"/>
          <w:lang w:eastAsia="en-GB" w:bidi="en-US"/>
        </w:rPr>
        <w:t>ensure</w:t>
      </w:r>
      <w:r w:rsidR="00390E66" w:rsidRPr="00FF5AFE">
        <w:rPr>
          <w:rFonts w:eastAsia="SimSun" w:cs="SimSun"/>
          <w:szCs w:val="24"/>
          <w:lang w:eastAsia="en-GB" w:bidi="en-US"/>
        </w:rPr>
        <w:t xml:space="preserve"> </w:t>
      </w:r>
      <w:r w:rsidRPr="00FF5AFE">
        <w:rPr>
          <w:rFonts w:eastAsia="SimSun" w:cs="SimSun"/>
          <w:szCs w:val="24"/>
          <w:lang w:eastAsia="en-GB" w:bidi="en-US"/>
        </w:rPr>
        <w:t>that the ITU remains fit-for-purpose</w:t>
      </w:r>
      <w:r w:rsidR="00806D20" w:rsidRPr="00FF5AFE">
        <w:rPr>
          <w:rFonts w:eastAsia="SimSun" w:cs="SimSun"/>
          <w:szCs w:val="24"/>
          <w:lang w:eastAsia="en-GB" w:bidi="en-US"/>
        </w:rPr>
        <w:t xml:space="preserve">. </w:t>
      </w:r>
      <w:r w:rsidR="00806D20" w:rsidRPr="00EA4968">
        <w:rPr>
          <w:rFonts w:eastAsia="SimSun" w:cs="SimSun"/>
          <w:szCs w:val="24"/>
          <w:lang w:eastAsia="en-GB" w:bidi="en-US"/>
        </w:rPr>
        <w:t xml:space="preserve">IMAC </w:t>
      </w:r>
      <w:r w:rsidR="00EA4968">
        <w:rPr>
          <w:rFonts w:eastAsia="SimSun" w:cs="SimSun"/>
          <w:szCs w:val="24"/>
          <w:lang w:eastAsia="en-GB" w:bidi="en-US"/>
        </w:rPr>
        <w:t xml:space="preserve">reiterates </w:t>
      </w:r>
      <w:r w:rsidR="00363729" w:rsidRPr="00FF5AFE">
        <w:rPr>
          <w:rFonts w:eastAsia="SimSun" w:cs="SimSun"/>
          <w:szCs w:val="24"/>
          <w:lang w:eastAsia="en-GB" w:bidi="en-US"/>
        </w:rPr>
        <w:t xml:space="preserve">that ITU </w:t>
      </w:r>
      <w:r w:rsidR="00EA4968">
        <w:rPr>
          <w:rFonts w:eastAsia="SimSun" w:cs="SimSun"/>
          <w:szCs w:val="24"/>
          <w:lang w:eastAsia="en-GB" w:bidi="en-US"/>
        </w:rPr>
        <w:t xml:space="preserve">needs to </w:t>
      </w:r>
      <w:r w:rsidR="00363729" w:rsidRPr="00FF5AFE">
        <w:rPr>
          <w:rFonts w:eastAsia="SimSun" w:cs="SimSun"/>
          <w:szCs w:val="24"/>
          <w:lang w:eastAsia="en-GB" w:bidi="en-US"/>
        </w:rPr>
        <w:t xml:space="preserve">move towards an alignment of </w:t>
      </w:r>
      <w:r w:rsidR="00EA4968">
        <w:rPr>
          <w:rFonts w:eastAsia="SimSun" w:cs="SimSun"/>
          <w:szCs w:val="24"/>
          <w:lang w:eastAsia="en-GB" w:bidi="en-US"/>
        </w:rPr>
        <w:t>its</w:t>
      </w:r>
      <w:r w:rsidR="00363729" w:rsidRPr="00FF5AFE">
        <w:rPr>
          <w:rFonts w:eastAsia="SimSun" w:cs="SimSun"/>
          <w:szCs w:val="24"/>
          <w:lang w:eastAsia="en-GB" w:bidi="en-US"/>
        </w:rPr>
        <w:t xml:space="preserve"> operating model, people strategy and focus areas with the Union’s strategic vision. This will ensure ITU has a fit-for-purpose organization given the speed of digitalization and the develop</w:t>
      </w:r>
      <w:r w:rsidR="00EA4968">
        <w:rPr>
          <w:rFonts w:eastAsia="SimSun" w:cs="SimSun"/>
          <w:szCs w:val="24"/>
          <w:lang w:eastAsia="en-GB" w:bidi="en-US"/>
        </w:rPr>
        <w:t>ment of the information society</w:t>
      </w:r>
      <w:r w:rsidR="00363729" w:rsidRPr="00FF5AFE">
        <w:rPr>
          <w:rFonts w:eastAsia="SimSun" w:cs="SimSun"/>
          <w:szCs w:val="24"/>
          <w:lang w:eastAsia="en-GB" w:bidi="en-US"/>
        </w:rPr>
        <w:t>.</w:t>
      </w:r>
    </w:p>
    <w:p w14:paraId="0A7FED43" w14:textId="77777777" w:rsidR="00FF5AFE" w:rsidRPr="00C82081" w:rsidRDefault="009D6D9F" w:rsidP="00C7326D">
      <w:pPr>
        <w:numPr>
          <w:ilvl w:val="0"/>
          <w:numId w:val="33"/>
        </w:numPr>
        <w:tabs>
          <w:tab w:val="clear" w:pos="567"/>
          <w:tab w:val="clear" w:pos="1080"/>
          <w:tab w:val="clear" w:pos="1134"/>
          <w:tab w:val="clear" w:pos="1701"/>
          <w:tab w:val="clear" w:pos="2268"/>
          <w:tab w:val="clear" w:pos="2835"/>
        </w:tabs>
        <w:overflowPunct/>
        <w:snapToGrid w:val="0"/>
        <w:spacing w:after="120"/>
        <w:ind w:left="1077" w:hanging="371"/>
        <w:jc w:val="both"/>
        <w:textAlignment w:val="auto"/>
        <w:rPr>
          <w:rFonts w:eastAsia="SimSun" w:cs="SimSun"/>
          <w:szCs w:val="24"/>
          <w:lang w:eastAsia="en-GB" w:bidi="en-US"/>
        </w:rPr>
      </w:pPr>
      <w:r>
        <w:rPr>
          <w:rFonts w:eastAsia="SimSun" w:cs="SimSun"/>
          <w:szCs w:val="24"/>
          <w:lang w:eastAsia="en-GB" w:bidi="en-US"/>
        </w:rPr>
        <w:t>The increasing</w:t>
      </w:r>
      <w:r w:rsidR="00F24E7F">
        <w:rPr>
          <w:rFonts w:eastAsia="SimSun" w:cs="SimSun"/>
          <w:szCs w:val="24"/>
          <w:lang w:eastAsia="en-GB" w:bidi="en-US"/>
        </w:rPr>
        <w:t>ly</w:t>
      </w:r>
      <w:r>
        <w:rPr>
          <w:rFonts w:eastAsia="SimSun" w:cs="SimSun"/>
          <w:szCs w:val="24"/>
          <w:lang w:eastAsia="en-GB" w:bidi="en-US"/>
        </w:rPr>
        <w:t xml:space="preserve"> urgent need for a policy and guidelines on </w:t>
      </w:r>
      <w:r w:rsidR="00F24E7F">
        <w:rPr>
          <w:rFonts w:eastAsia="SimSun" w:cs="SimSun"/>
          <w:szCs w:val="24"/>
          <w:lang w:eastAsia="en-GB" w:bidi="en-US"/>
        </w:rPr>
        <w:t xml:space="preserve">all aspects of </w:t>
      </w:r>
      <w:r>
        <w:rPr>
          <w:rFonts w:eastAsia="SimSun" w:cs="SimSun"/>
          <w:szCs w:val="24"/>
          <w:lang w:eastAsia="en-GB" w:bidi="en-US"/>
        </w:rPr>
        <w:t xml:space="preserve">procurement, </w:t>
      </w:r>
      <w:r w:rsidR="00F24E7F">
        <w:rPr>
          <w:rFonts w:eastAsia="SimSun" w:cs="SimSun"/>
          <w:szCs w:val="24"/>
          <w:lang w:eastAsia="en-GB" w:bidi="en-US"/>
        </w:rPr>
        <w:t xml:space="preserve">where </w:t>
      </w:r>
      <w:r w:rsidR="00C82081">
        <w:rPr>
          <w:rFonts w:eastAsia="SimSun" w:cs="SimSun"/>
          <w:szCs w:val="24"/>
          <w:lang w:eastAsia="en-GB" w:bidi="en-US"/>
        </w:rPr>
        <w:t>more comprehensive</w:t>
      </w:r>
      <w:r w:rsidR="00F24E7F">
        <w:rPr>
          <w:rFonts w:eastAsia="SimSun" w:cs="SimSun"/>
          <w:szCs w:val="24"/>
          <w:lang w:eastAsia="en-GB" w:bidi="en-US"/>
        </w:rPr>
        <w:t xml:space="preserve"> and effective procedures are necessary to </w:t>
      </w:r>
      <w:r w:rsidR="00C82081">
        <w:rPr>
          <w:rFonts w:eastAsia="SimSun" w:cs="SimSun"/>
          <w:szCs w:val="24"/>
          <w:lang w:eastAsia="en-GB" w:bidi="en-US"/>
        </w:rPr>
        <w:t xml:space="preserve">achieve </w:t>
      </w:r>
      <w:r w:rsidR="00F24E7F">
        <w:rPr>
          <w:rFonts w:eastAsia="SimSun" w:cs="SimSun"/>
          <w:szCs w:val="24"/>
          <w:lang w:eastAsia="en-GB" w:bidi="en-US"/>
        </w:rPr>
        <w:t xml:space="preserve">an adequate level of control and </w:t>
      </w:r>
      <w:r w:rsidR="00C82081">
        <w:rPr>
          <w:rFonts w:eastAsia="SimSun" w:cs="SimSun"/>
          <w:szCs w:val="24"/>
          <w:lang w:eastAsia="en-GB" w:bidi="en-US"/>
        </w:rPr>
        <w:t>compliance</w:t>
      </w:r>
      <w:r w:rsidR="00F24E7F" w:rsidRPr="00C82081">
        <w:rPr>
          <w:rFonts w:eastAsia="SimSun" w:cs="SimSun"/>
          <w:szCs w:val="24"/>
          <w:lang w:eastAsia="en-GB" w:bidi="en-US"/>
        </w:rPr>
        <w:t>;</w:t>
      </w:r>
    </w:p>
    <w:p w14:paraId="0A7FED44" w14:textId="77777777" w:rsidR="00D83446" w:rsidRPr="00990066" w:rsidRDefault="00C82081" w:rsidP="00C7326D">
      <w:pPr>
        <w:numPr>
          <w:ilvl w:val="0"/>
          <w:numId w:val="33"/>
        </w:numPr>
        <w:tabs>
          <w:tab w:val="clear" w:pos="567"/>
          <w:tab w:val="clear" w:pos="1080"/>
          <w:tab w:val="clear" w:pos="1134"/>
          <w:tab w:val="clear" w:pos="1701"/>
          <w:tab w:val="clear" w:pos="2268"/>
          <w:tab w:val="clear" w:pos="2835"/>
        </w:tabs>
        <w:overflowPunct/>
        <w:snapToGrid w:val="0"/>
        <w:spacing w:after="120"/>
        <w:ind w:left="1077" w:hanging="371"/>
        <w:jc w:val="both"/>
        <w:textAlignment w:val="auto"/>
        <w:rPr>
          <w:rFonts w:eastAsia="SimSun" w:cs="SimSun"/>
          <w:szCs w:val="24"/>
          <w:lang w:eastAsia="en-GB" w:bidi="en-US"/>
        </w:rPr>
      </w:pPr>
      <w:r>
        <w:rPr>
          <w:rFonts w:eastAsia="SimSun" w:cs="SimSun"/>
          <w:szCs w:val="24"/>
          <w:lang w:eastAsia="en-GB" w:bidi="en-US"/>
        </w:rPr>
        <w:t>The ethics framework</w:t>
      </w:r>
      <w:r w:rsidR="00593071">
        <w:rPr>
          <w:rFonts w:eastAsia="SimSun" w:cs="SimSun"/>
          <w:szCs w:val="24"/>
          <w:lang w:eastAsia="en-GB" w:bidi="en-US"/>
        </w:rPr>
        <w:t>,</w:t>
      </w:r>
      <w:r>
        <w:rPr>
          <w:rFonts w:eastAsia="SimSun" w:cs="SimSun"/>
          <w:szCs w:val="24"/>
          <w:lang w:eastAsia="en-GB" w:bidi="en-US"/>
        </w:rPr>
        <w:t xml:space="preserve"> where </w:t>
      </w:r>
      <w:r w:rsidR="002C0D21">
        <w:rPr>
          <w:rFonts w:eastAsia="SimSun" w:cs="SimSun"/>
          <w:szCs w:val="24"/>
          <w:lang w:eastAsia="en-GB" w:bidi="en-US"/>
        </w:rPr>
        <w:t xml:space="preserve">the Ethics Officer position </w:t>
      </w:r>
      <w:r w:rsidR="00593071">
        <w:rPr>
          <w:rFonts w:eastAsia="SimSun" w:cs="SimSun"/>
          <w:szCs w:val="24"/>
          <w:lang w:eastAsia="en-GB" w:bidi="en-US"/>
        </w:rPr>
        <w:t>is</w:t>
      </w:r>
      <w:r w:rsidR="002C0D21">
        <w:rPr>
          <w:rFonts w:eastAsia="SimSun" w:cs="SimSun"/>
          <w:szCs w:val="24"/>
          <w:lang w:eastAsia="en-GB" w:bidi="en-US"/>
        </w:rPr>
        <w:t xml:space="preserve"> again vacant and the ITU secretariat should </w:t>
      </w:r>
      <w:r w:rsidR="00593071">
        <w:rPr>
          <w:rFonts w:eastAsia="SimSun" w:cs="SimSun"/>
          <w:szCs w:val="24"/>
          <w:lang w:eastAsia="en-GB" w:bidi="en-US"/>
        </w:rPr>
        <w:t>vigorously</w:t>
      </w:r>
      <w:r w:rsidR="00624A94">
        <w:rPr>
          <w:rFonts w:eastAsia="SimSun" w:cs="SimSun"/>
          <w:szCs w:val="24"/>
          <w:lang w:eastAsia="en-GB" w:bidi="en-US"/>
        </w:rPr>
        <w:t xml:space="preserve"> pursue the filling of this </w:t>
      </w:r>
      <w:r w:rsidR="0065649E">
        <w:rPr>
          <w:rFonts w:eastAsia="SimSun" w:cs="SimSun"/>
          <w:szCs w:val="24"/>
          <w:lang w:eastAsia="en-GB" w:bidi="en-US"/>
        </w:rPr>
        <w:t xml:space="preserve">highly </w:t>
      </w:r>
      <w:r w:rsidR="00624A94">
        <w:rPr>
          <w:rFonts w:eastAsia="SimSun" w:cs="SimSun"/>
          <w:szCs w:val="24"/>
          <w:lang w:eastAsia="en-GB" w:bidi="en-US"/>
        </w:rPr>
        <w:t>important</w:t>
      </w:r>
      <w:r w:rsidR="00593071">
        <w:rPr>
          <w:rFonts w:eastAsia="SimSun" w:cs="SimSun"/>
          <w:szCs w:val="24"/>
          <w:lang w:eastAsia="en-GB" w:bidi="en-US"/>
        </w:rPr>
        <w:t xml:space="preserve"> </w:t>
      </w:r>
      <w:r w:rsidR="00624A94">
        <w:rPr>
          <w:rFonts w:eastAsia="SimSun" w:cs="SimSun"/>
          <w:szCs w:val="24"/>
          <w:lang w:eastAsia="en-GB" w:bidi="en-US"/>
        </w:rPr>
        <w:t>position.</w:t>
      </w:r>
    </w:p>
    <w:p w14:paraId="0A7FED45" w14:textId="77777777" w:rsidR="00990066" w:rsidRPr="00990066" w:rsidRDefault="00990066" w:rsidP="00C7326D">
      <w:pPr>
        <w:pStyle w:val="NumberedHeading"/>
        <w:snapToGrid w:val="0"/>
        <w:spacing w:after="120"/>
        <w:ind w:left="0" w:firstLine="0"/>
        <w:rPr>
          <w:rFonts w:eastAsia="SimSun"/>
          <w:lang w:eastAsia="en-GB" w:bidi="en-US"/>
        </w:rPr>
      </w:pPr>
      <w:r w:rsidRPr="00990066">
        <w:rPr>
          <w:rFonts w:eastAsia="SimSun"/>
          <w:lang w:eastAsia="en-GB" w:bidi="en-US"/>
        </w:rPr>
        <w:t>ITU Headquarters construction project</w:t>
      </w:r>
    </w:p>
    <w:p w14:paraId="0A7FED46" w14:textId="0D272B87" w:rsidR="000C6B71" w:rsidRPr="000C6B71" w:rsidRDefault="007C75B1" w:rsidP="00C7326D">
      <w:pPr>
        <w:pStyle w:val="Normalnumbered"/>
        <w:snapToGrid w:val="0"/>
        <w:spacing w:before="120"/>
        <w:ind w:left="0" w:firstLine="0"/>
        <w:rPr>
          <w:rFonts w:eastAsia="SimSun"/>
          <w:lang w:eastAsia="en-GB" w:bidi="en-US"/>
        </w:rPr>
      </w:pPr>
      <w:r>
        <w:rPr>
          <w:rFonts w:eastAsia="SimSun"/>
          <w:lang w:eastAsia="en-GB" w:bidi="en-US"/>
        </w:rPr>
        <w:t>T</w:t>
      </w:r>
      <w:r w:rsidR="000C6B71">
        <w:rPr>
          <w:rFonts w:eastAsia="SimSun"/>
          <w:lang w:eastAsia="en-GB" w:bidi="en-US"/>
        </w:rPr>
        <w:t>he recent</w:t>
      </w:r>
      <w:r>
        <w:rPr>
          <w:rFonts w:eastAsia="SimSun"/>
          <w:lang w:eastAsia="en-GB" w:bidi="en-US"/>
        </w:rPr>
        <w:t>ly appointed</w:t>
      </w:r>
      <w:r w:rsidR="000C6B71">
        <w:rPr>
          <w:rFonts w:eastAsia="SimSun"/>
          <w:lang w:eastAsia="en-GB" w:bidi="en-US"/>
        </w:rPr>
        <w:t xml:space="preserve"> </w:t>
      </w:r>
      <w:r w:rsidR="000C6B71" w:rsidRPr="000C6B71">
        <w:rPr>
          <w:rFonts w:eastAsia="SimSun"/>
          <w:lang w:eastAsia="en-GB" w:bidi="en-US"/>
        </w:rPr>
        <w:t>Senior Construction Project Advisor</w:t>
      </w:r>
      <w:r>
        <w:rPr>
          <w:rFonts w:eastAsia="SimSun"/>
          <w:lang w:eastAsia="en-GB" w:bidi="en-US"/>
        </w:rPr>
        <w:t xml:space="preserve"> has identified the need for a qualified project management team to provide sufficient risk management and supervision to the overall construction project</w:t>
      </w:r>
      <w:r w:rsidR="00B92B2B">
        <w:rPr>
          <w:rFonts w:eastAsia="SimSun"/>
          <w:lang w:eastAsia="en-GB" w:bidi="en-US"/>
        </w:rPr>
        <w:t>,</w:t>
      </w:r>
      <w:r>
        <w:rPr>
          <w:rFonts w:eastAsia="SimSun"/>
          <w:lang w:eastAsia="en-GB" w:bidi="en-US"/>
        </w:rPr>
        <w:t xml:space="preserve"> consistent with good practice. T</w:t>
      </w:r>
      <w:r w:rsidR="003A0F50">
        <w:rPr>
          <w:rFonts w:eastAsia="SimSun"/>
          <w:lang w:eastAsia="en-GB" w:bidi="en-US"/>
        </w:rPr>
        <w:t>his previously unidentified need will require additional funding in excess of 11 million CHF.</w:t>
      </w:r>
      <w:r w:rsidR="00C61B5A">
        <w:rPr>
          <w:rFonts w:eastAsia="SimSun"/>
          <w:lang w:eastAsia="en-GB" w:bidi="en-US"/>
        </w:rPr>
        <w:t xml:space="preserve"> </w:t>
      </w:r>
      <w:r w:rsidR="0033764C">
        <w:rPr>
          <w:rFonts w:eastAsia="SimSun"/>
          <w:lang w:eastAsia="en-GB" w:bidi="en-US"/>
        </w:rPr>
        <w:t xml:space="preserve">It was decided that these </w:t>
      </w:r>
      <w:r w:rsidR="00C61B5A">
        <w:rPr>
          <w:rFonts w:eastAsia="SimSun"/>
          <w:lang w:eastAsia="en-GB" w:bidi="en-US"/>
        </w:rPr>
        <w:t xml:space="preserve">further project management costs </w:t>
      </w:r>
      <w:proofErr w:type="gramStart"/>
      <w:r w:rsidR="0033764C">
        <w:rPr>
          <w:rFonts w:eastAsia="SimSun"/>
          <w:lang w:eastAsia="en-GB" w:bidi="en-US"/>
        </w:rPr>
        <w:t>will</w:t>
      </w:r>
      <w:proofErr w:type="gramEnd"/>
      <w:r w:rsidR="0033764C">
        <w:rPr>
          <w:rFonts w:eastAsia="SimSun"/>
          <w:lang w:eastAsia="en-GB" w:bidi="en-US"/>
        </w:rPr>
        <w:t xml:space="preserve"> not </w:t>
      </w:r>
      <w:r w:rsidR="00C61B5A">
        <w:rPr>
          <w:rFonts w:eastAsia="SimSun"/>
          <w:lang w:eastAsia="en-GB" w:bidi="en-US"/>
        </w:rPr>
        <w:t>be financed through the existing loan arrangements</w:t>
      </w:r>
      <w:r w:rsidR="0033764C">
        <w:rPr>
          <w:rFonts w:eastAsia="SimSun"/>
          <w:lang w:eastAsia="en-GB" w:bidi="en-US"/>
        </w:rPr>
        <w:t xml:space="preserve"> to preserve the building scope</w:t>
      </w:r>
      <w:r w:rsidR="00C61B5A">
        <w:rPr>
          <w:rFonts w:eastAsia="SimSun"/>
          <w:lang w:eastAsia="en-GB" w:bidi="en-US"/>
        </w:rPr>
        <w:t>.</w:t>
      </w:r>
    </w:p>
    <w:p w14:paraId="0A7FED47" w14:textId="77777777" w:rsidR="00790135" w:rsidRDefault="00BF720B" w:rsidP="00C7326D">
      <w:pPr>
        <w:pStyle w:val="Normalnumbered"/>
        <w:snapToGrid w:val="0"/>
        <w:spacing w:before="120"/>
        <w:ind w:left="0" w:firstLine="0"/>
        <w:rPr>
          <w:rFonts w:eastAsia="SimSun"/>
          <w:lang w:eastAsia="en-GB" w:bidi="en-US"/>
        </w:rPr>
      </w:pPr>
      <w:r>
        <w:rPr>
          <w:rFonts w:eastAsia="SimSun"/>
          <w:lang w:eastAsia="en-GB" w:bidi="en-US"/>
        </w:rPr>
        <w:t>There is a current provision of 5% for contingencies in the funding of the project. However, IMAC is c</w:t>
      </w:r>
      <w:r w:rsidR="006079E7">
        <w:rPr>
          <w:rFonts w:eastAsia="SimSun"/>
          <w:lang w:eastAsia="en-GB" w:bidi="en-US"/>
        </w:rPr>
        <w:t>oncerned that this provision could be</w:t>
      </w:r>
      <w:r w:rsidR="00354F60">
        <w:rPr>
          <w:rFonts w:eastAsia="SimSun"/>
          <w:lang w:eastAsia="en-GB" w:bidi="en-US"/>
        </w:rPr>
        <w:t xml:space="preserve"> clearly</w:t>
      </w:r>
      <w:r w:rsidR="006079E7">
        <w:rPr>
          <w:rFonts w:eastAsia="SimSun"/>
          <w:lang w:eastAsia="en-GB" w:bidi="en-US"/>
        </w:rPr>
        <w:t xml:space="preserve"> insufficient</w:t>
      </w:r>
      <w:r w:rsidR="00576DB5">
        <w:rPr>
          <w:rFonts w:eastAsia="SimSun"/>
          <w:lang w:eastAsia="en-GB" w:bidi="en-US"/>
        </w:rPr>
        <w:t xml:space="preserve"> compared with experience in other large construction projects</w:t>
      </w:r>
      <w:r w:rsidR="00CF59FF">
        <w:rPr>
          <w:rFonts w:eastAsia="SimSun"/>
          <w:lang w:eastAsia="en-GB" w:bidi="en-US"/>
        </w:rPr>
        <w:t>, even assuming that a sufficient project management</w:t>
      </w:r>
      <w:r w:rsidR="0065607D">
        <w:rPr>
          <w:rFonts w:eastAsia="SimSun"/>
          <w:lang w:eastAsia="en-GB" w:bidi="en-US"/>
        </w:rPr>
        <w:t xml:space="preserve"> team</w:t>
      </w:r>
      <w:r w:rsidR="00CF59FF">
        <w:rPr>
          <w:rFonts w:eastAsia="SimSun"/>
          <w:lang w:eastAsia="en-GB" w:bidi="en-US"/>
        </w:rPr>
        <w:t xml:space="preserve"> is put in place.</w:t>
      </w:r>
    </w:p>
    <w:p w14:paraId="0A7FED48" w14:textId="77777777" w:rsidR="0065607D" w:rsidRPr="00B90304" w:rsidRDefault="00790135" w:rsidP="00C7326D">
      <w:pPr>
        <w:pStyle w:val="Normalnumbered"/>
        <w:snapToGrid w:val="0"/>
        <w:spacing w:before="120"/>
        <w:ind w:left="0" w:firstLine="0"/>
        <w:rPr>
          <w:rFonts w:eastAsia="SimSun"/>
          <w:lang w:eastAsia="en-GB" w:bidi="en-US"/>
        </w:rPr>
      </w:pPr>
      <w:r w:rsidRPr="008B1258">
        <w:rPr>
          <w:rFonts w:eastAsia="SimSun"/>
          <w:lang w:eastAsia="en-GB" w:bidi="en-US"/>
        </w:rPr>
        <w:t xml:space="preserve">Furthermore, in Recommendation </w:t>
      </w:r>
      <w:r w:rsidR="004C5E08">
        <w:rPr>
          <w:rFonts w:eastAsia="SimSun"/>
          <w:lang w:eastAsia="en-GB" w:bidi="en-US"/>
        </w:rPr>
        <w:t>1</w:t>
      </w:r>
      <w:r w:rsidRPr="008B1258">
        <w:rPr>
          <w:rFonts w:eastAsia="SimSun"/>
          <w:lang w:eastAsia="en-GB" w:bidi="en-US"/>
        </w:rPr>
        <w:t xml:space="preserve">3/2016 IMAC </w:t>
      </w:r>
      <w:r w:rsidR="004B2724">
        <w:rPr>
          <w:rFonts w:eastAsia="SimSun"/>
          <w:lang w:eastAsia="en-GB" w:bidi="en-US"/>
        </w:rPr>
        <w:t>advised</w:t>
      </w:r>
      <w:r w:rsidRPr="008B1258">
        <w:rPr>
          <w:rFonts w:eastAsia="SimSun"/>
          <w:lang w:eastAsia="en-GB" w:bidi="en-US"/>
        </w:rPr>
        <w:t xml:space="preserve"> that ITU consider the benefits of dedicated internal and external project and risk management expertise for this project.</w:t>
      </w:r>
      <w:r w:rsidR="008B1258">
        <w:rPr>
          <w:rFonts w:eastAsia="SimSun"/>
          <w:lang w:eastAsia="en-GB" w:bidi="en-US"/>
        </w:rPr>
        <w:t xml:space="preserve"> </w:t>
      </w:r>
      <w:r w:rsidR="004B2724">
        <w:rPr>
          <w:rFonts w:eastAsia="SimSun"/>
          <w:lang w:eastAsia="en-GB" w:bidi="en-US"/>
        </w:rPr>
        <w:t>A</w:t>
      </w:r>
      <w:r w:rsidR="002F6EE7">
        <w:rPr>
          <w:rFonts w:eastAsia="SimSun"/>
          <w:lang w:eastAsia="en-GB" w:bidi="en-US"/>
        </w:rPr>
        <w:t xml:space="preserve">s the project is </w:t>
      </w:r>
      <w:r w:rsidR="004B2724">
        <w:rPr>
          <w:rFonts w:eastAsia="SimSun"/>
          <w:lang w:eastAsia="en-GB" w:bidi="en-US"/>
        </w:rPr>
        <w:t>progressing</w:t>
      </w:r>
      <w:r w:rsidRPr="008B1258">
        <w:rPr>
          <w:rFonts w:eastAsia="SimSun"/>
          <w:lang w:eastAsia="en-GB" w:bidi="en-US"/>
        </w:rPr>
        <w:t xml:space="preserve">, </w:t>
      </w:r>
      <w:r w:rsidR="008B1258">
        <w:rPr>
          <w:rFonts w:eastAsia="SimSun"/>
          <w:lang w:eastAsia="en-GB" w:bidi="en-US"/>
        </w:rPr>
        <w:t>a</w:t>
      </w:r>
      <w:r w:rsidR="004B2724">
        <w:rPr>
          <w:rFonts w:eastAsia="SimSun"/>
          <w:lang w:eastAsia="en-GB" w:bidi="en-US"/>
        </w:rPr>
        <w:t xml:space="preserve"> steering </w:t>
      </w:r>
      <w:r w:rsidR="008B1258">
        <w:rPr>
          <w:rFonts w:eastAsia="SimSun"/>
          <w:lang w:eastAsia="en-GB" w:bidi="en-US"/>
        </w:rPr>
        <w:t>committee</w:t>
      </w:r>
      <w:r w:rsidR="004B2724">
        <w:rPr>
          <w:rFonts w:eastAsia="SimSun"/>
          <w:lang w:eastAsia="en-GB" w:bidi="en-US"/>
        </w:rPr>
        <w:t xml:space="preserve"> to oversee the project </w:t>
      </w:r>
      <w:proofErr w:type="gramStart"/>
      <w:r w:rsidR="004B2724">
        <w:rPr>
          <w:rFonts w:eastAsia="SimSun"/>
          <w:lang w:eastAsia="en-GB" w:bidi="en-US"/>
        </w:rPr>
        <w:t>should be established</w:t>
      </w:r>
      <w:proofErr w:type="gramEnd"/>
      <w:r w:rsidR="004B2724">
        <w:rPr>
          <w:rFonts w:eastAsia="SimSun"/>
          <w:lang w:eastAsia="en-GB" w:bidi="en-US"/>
        </w:rPr>
        <w:t xml:space="preserve">, with comprehensive terms of reference </w:t>
      </w:r>
      <w:r w:rsidR="008B1258">
        <w:rPr>
          <w:rFonts w:eastAsia="SimSun"/>
          <w:lang w:eastAsia="en-GB" w:bidi="en-US"/>
        </w:rPr>
        <w:t xml:space="preserve">and </w:t>
      </w:r>
      <w:r w:rsidR="004B2724">
        <w:rPr>
          <w:rFonts w:eastAsia="SimSun"/>
          <w:lang w:eastAsia="en-GB" w:bidi="en-US"/>
        </w:rPr>
        <w:t xml:space="preserve">an </w:t>
      </w:r>
      <w:r w:rsidR="008B1258">
        <w:rPr>
          <w:rFonts w:eastAsia="SimSun"/>
          <w:lang w:eastAsia="en-GB" w:bidi="en-US"/>
        </w:rPr>
        <w:t xml:space="preserve">appropriate governance structure, </w:t>
      </w:r>
      <w:r w:rsidR="002F6EE7">
        <w:rPr>
          <w:rFonts w:eastAsia="SimSun"/>
          <w:lang w:eastAsia="en-GB" w:bidi="en-US"/>
        </w:rPr>
        <w:t>including</w:t>
      </w:r>
      <w:r w:rsidR="008B1258">
        <w:rPr>
          <w:rFonts w:eastAsia="SimSun"/>
          <w:lang w:eastAsia="en-GB" w:bidi="en-US"/>
        </w:rPr>
        <w:t xml:space="preserve"> </w:t>
      </w:r>
      <w:r w:rsidR="002F6EE7">
        <w:rPr>
          <w:rFonts w:eastAsia="SimSun"/>
          <w:lang w:eastAsia="en-GB" w:bidi="en-US"/>
        </w:rPr>
        <w:t xml:space="preserve">independent </w:t>
      </w:r>
      <w:r w:rsidRPr="008B1258">
        <w:rPr>
          <w:rFonts w:eastAsia="SimSun"/>
          <w:lang w:eastAsia="en-GB" w:bidi="en-US"/>
        </w:rPr>
        <w:t>technical expert</w:t>
      </w:r>
      <w:r w:rsidR="002F6EE7">
        <w:rPr>
          <w:rFonts w:eastAsia="SimSun"/>
          <w:lang w:eastAsia="en-GB" w:bidi="en-US"/>
        </w:rPr>
        <w:t>s.</w:t>
      </w:r>
    </w:p>
    <w:p w14:paraId="0A7FED49" w14:textId="77777777" w:rsidR="0065607D" w:rsidRDefault="0065607D" w:rsidP="00C7326D">
      <w:pPr>
        <w:pStyle w:val="Normalnumbered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120"/>
        <w:rPr>
          <w:rFonts w:eastAsia="SimSun"/>
          <w:lang w:eastAsia="en-GB" w:bidi="en-US"/>
        </w:rPr>
      </w:pPr>
      <w:r w:rsidRPr="0065607D">
        <w:rPr>
          <w:rFonts w:eastAsia="SimSun"/>
          <w:b/>
          <w:bCs/>
          <w:lang w:eastAsia="en-GB" w:bidi="en-US"/>
        </w:rPr>
        <w:lastRenderedPageBreak/>
        <w:t>Recommendation 4</w:t>
      </w:r>
      <w:r w:rsidR="00F771F4">
        <w:rPr>
          <w:rFonts w:eastAsia="SimSun"/>
          <w:b/>
          <w:bCs/>
          <w:lang w:eastAsia="en-GB" w:bidi="en-US"/>
        </w:rPr>
        <w:t>/</w:t>
      </w:r>
      <w:r w:rsidRPr="0065607D">
        <w:rPr>
          <w:rFonts w:eastAsia="SimSun"/>
          <w:b/>
          <w:bCs/>
          <w:lang w:eastAsia="en-GB" w:bidi="en-US"/>
        </w:rPr>
        <w:t>2018</w:t>
      </w:r>
      <w:r>
        <w:rPr>
          <w:rFonts w:eastAsia="SimSun"/>
          <w:lang w:eastAsia="en-GB" w:bidi="en-US"/>
        </w:rPr>
        <w:t xml:space="preserve">: </w:t>
      </w:r>
      <w:r w:rsidRPr="0065607D">
        <w:rPr>
          <w:rFonts w:eastAsia="SimSun"/>
          <w:lang w:eastAsia="en-GB" w:bidi="en-US"/>
        </w:rPr>
        <w:t xml:space="preserve">IMAC </w:t>
      </w:r>
      <w:r w:rsidR="00B90304">
        <w:rPr>
          <w:rFonts w:eastAsia="SimSun"/>
          <w:lang w:eastAsia="en-GB" w:bidi="en-US"/>
        </w:rPr>
        <w:t xml:space="preserve">therefore </w:t>
      </w:r>
      <w:r w:rsidRPr="0065607D">
        <w:rPr>
          <w:rFonts w:eastAsia="SimSun"/>
          <w:lang w:eastAsia="en-GB" w:bidi="en-US"/>
        </w:rPr>
        <w:t xml:space="preserve">recommends </w:t>
      </w:r>
      <w:r>
        <w:rPr>
          <w:rFonts w:eastAsia="SimSun"/>
          <w:lang w:eastAsia="en-GB" w:bidi="en-US"/>
        </w:rPr>
        <w:t xml:space="preserve">that </w:t>
      </w:r>
      <w:r w:rsidR="00897575">
        <w:rPr>
          <w:rFonts w:eastAsia="SimSun"/>
          <w:lang w:eastAsia="en-GB" w:bidi="en-US"/>
        </w:rPr>
        <w:t xml:space="preserve">a formal governance structure </w:t>
      </w:r>
      <w:proofErr w:type="gramStart"/>
      <w:r w:rsidR="00897575">
        <w:rPr>
          <w:rFonts w:eastAsia="SimSun"/>
          <w:lang w:eastAsia="en-GB" w:bidi="en-US"/>
        </w:rPr>
        <w:t>be</w:t>
      </w:r>
      <w:r w:rsidR="00B90304">
        <w:rPr>
          <w:rFonts w:eastAsia="SimSun"/>
          <w:lang w:eastAsia="en-GB" w:bidi="en-US"/>
        </w:rPr>
        <w:t xml:space="preserve"> put</w:t>
      </w:r>
      <w:proofErr w:type="gramEnd"/>
      <w:r w:rsidR="00B90304">
        <w:rPr>
          <w:rFonts w:eastAsia="SimSun"/>
          <w:lang w:eastAsia="en-GB" w:bidi="en-US"/>
        </w:rPr>
        <w:t xml:space="preserve"> in place </w:t>
      </w:r>
      <w:r w:rsidR="00897575">
        <w:rPr>
          <w:rFonts w:eastAsia="SimSun"/>
          <w:lang w:eastAsia="en-GB" w:bidi="en-US"/>
        </w:rPr>
        <w:t xml:space="preserve">to oversee the project; </w:t>
      </w:r>
      <w:r w:rsidR="00B90304">
        <w:rPr>
          <w:rFonts w:eastAsia="SimSun"/>
          <w:lang w:eastAsia="en-GB" w:bidi="en-US"/>
        </w:rPr>
        <w:t xml:space="preserve">and </w:t>
      </w:r>
      <w:r w:rsidR="00897575">
        <w:rPr>
          <w:rFonts w:eastAsia="SimSun"/>
          <w:lang w:eastAsia="en-GB" w:bidi="en-US"/>
        </w:rPr>
        <w:t xml:space="preserve">that </w:t>
      </w:r>
      <w:r>
        <w:rPr>
          <w:rFonts w:eastAsia="SimSun"/>
          <w:lang w:eastAsia="en-GB" w:bidi="en-US"/>
        </w:rPr>
        <w:t xml:space="preserve">ITU </w:t>
      </w:r>
      <w:r w:rsidRPr="0065607D">
        <w:rPr>
          <w:rFonts w:eastAsia="SimSun"/>
          <w:lang w:eastAsia="en-GB" w:bidi="en-US"/>
        </w:rPr>
        <w:t xml:space="preserve">revisit the capital requirements </w:t>
      </w:r>
      <w:r>
        <w:rPr>
          <w:rFonts w:eastAsia="SimSun"/>
          <w:lang w:eastAsia="en-GB" w:bidi="en-US"/>
        </w:rPr>
        <w:t xml:space="preserve">needed to ensure appropriate </w:t>
      </w:r>
      <w:r w:rsidRPr="0065607D">
        <w:rPr>
          <w:rFonts w:eastAsia="SimSun"/>
          <w:lang w:eastAsia="en-GB" w:bidi="en-US"/>
        </w:rPr>
        <w:t xml:space="preserve">financial </w:t>
      </w:r>
      <w:r>
        <w:rPr>
          <w:rFonts w:eastAsia="SimSun"/>
          <w:lang w:eastAsia="en-GB" w:bidi="en-US"/>
        </w:rPr>
        <w:t>planning</w:t>
      </w:r>
      <w:r w:rsidR="006935A1">
        <w:rPr>
          <w:rFonts w:eastAsia="SimSun"/>
          <w:lang w:eastAsia="en-GB" w:bidi="en-US"/>
        </w:rPr>
        <w:t xml:space="preserve"> for the ITU headquarters construction project</w:t>
      </w:r>
      <w:r w:rsidRPr="0065607D">
        <w:rPr>
          <w:rFonts w:eastAsia="SimSun"/>
          <w:lang w:eastAsia="en-GB" w:bidi="en-US"/>
        </w:rPr>
        <w:t>.</w:t>
      </w:r>
    </w:p>
    <w:p w14:paraId="0A7FED4A" w14:textId="77777777" w:rsidR="00990066" w:rsidRPr="007F6444" w:rsidRDefault="00640FA1" w:rsidP="00C7326D">
      <w:pPr>
        <w:pStyle w:val="NumberedHeading"/>
        <w:snapToGrid w:val="0"/>
        <w:spacing w:after="120"/>
        <w:ind w:left="0" w:firstLine="0"/>
        <w:rPr>
          <w:rFonts w:eastAsia="SimSun"/>
          <w:lang w:eastAsia="en-GB" w:bidi="en-US"/>
        </w:rPr>
      </w:pPr>
      <w:r w:rsidRPr="007F6444">
        <w:rPr>
          <w:rFonts w:eastAsia="SimSun"/>
          <w:lang w:eastAsia="en-GB" w:bidi="en-US"/>
        </w:rPr>
        <w:t>Suspected</w:t>
      </w:r>
      <w:r w:rsidR="00D34330" w:rsidRPr="007F6444">
        <w:rPr>
          <w:rFonts w:eastAsia="SimSun"/>
          <w:lang w:eastAsia="en-GB" w:bidi="en-US"/>
        </w:rPr>
        <w:t xml:space="preserve"> f</w:t>
      </w:r>
      <w:r w:rsidR="00990066" w:rsidRPr="007F6444">
        <w:rPr>
          <w:rFonts w:eastAsia="SimSun"/>
          <w:lang w:eastAsia="en-GB" w:bidi="en-US"/>
        </w:rPr>
        <w:t>raud</w:t>
      </w:r>
      <w:r w:rsidRPr="007F6444">
        <w:rPr>
          <w:rFonts w:eastAsia="SimSun"/>
          <w:lang w:eastAsia="en-GB" w:bidi="en-US"/>
        </w:rPr>
        <w:t>ulent activity</w:t>
      </w:r>
      <w:r w:rsidR="00990066" w:rsidRPr="007F6444">
        <w:rPr>
          <w:rFonts w:eastAsia="SimSun"/>
          <w:lang w:eastAsia="en-GB" w:bidi="en-US"/>
        </w:rPr>
        <w:t xml:space="preserve"> </w:t>
      </w:r>
      <w:r w:rsidR="008B6B83" w:rsidRPr="007F6444">
        <w:rPr>
          <w:rFonts w:eastAsia="SimSun"/>
          <w:lang w:eastAsia="en-GB" w:bidi="en-US"/>
        </w:rPr>
        <w:t xml:space="preserve">in </w:t>
      </w:r>
      <w:r w:rsidRPr="007F6444">
        <w:rPr>
          <w:rFonts w:eastAsia="SimSun"/>
          <w:lang w:eastAsia="en-GB" w:bidi="en-US"/>
        </w:rPr>
        <w:t xml:space="preserve">a </w:t>
      </w:r>
      <w:r w:rsidR="00990066" w:rsidRPr="007F6444">
        <w:rPr>
          <w:rFonts w:eastAsia="SimSun"/>
          <w:lang w:eastAsia="en-GB" w:bidi="en-US"/>
        </w:rPr>
        <w:t>regional office</w:t>
      </w:r>
    </w:p>
    <w:p w14:paraId="0A7FED4B" w14:textId="77777777" w:rsidR="00310476" w:rsidRDefault="007B7033" w:rsidP="00C7326D">
      <w:pPr>
        <w:pStyle w:val="Normalnumbered"/>
        <w:snapToGrid w:val="0"/>
        <w:spacing w:before="120"/>
        <w:ind w:left="0" w:firstLine="0"/>
        <w:rPr>
          <w:rFonts w:eastAsia="SimSun"/>
          <w:lang w:eastAsia="en-GB" w:bidi="en-US"/>
        </w:rPr>
      </w:pPr>
      <w:r>
        <w:rPr>
          <w:rFonts w:eastAsia="SimSun"/>
          <w:lang w:eastAsia="en-GB" w:bidi="en-US"/>
        </w:rPr>
        <w:t xml:space="preserve">The External Auditor’s report refers to </w:t>
      </w:r>
      <w:r w:rsidR="00580F5B">
        <w:rPr>
          <w:rFonts w:eastAsia="SimSun"/>
          <w:lang w:eastAsia="en-GB" w:bidi="en-US"/>
        </w:rPr>
        <w:t>the id</w:t>
      </w:r>
      <w:r w:rsidR="00EF2B7B">
        <w:rPr>
          <w:rFonts w:eastAsia="SimSun"/>
          <w:lang w:eastAsia="en-GB" w:bidi="en-US"/>
        </w:rPr>
        <w:t xml:space="preserve">entification of a case of suspected fraud over a period of years in a regional office. The External Auditors have concluded that the impact of </w:t>
      </w:r>
      <w:r w:rsidR="00700E21">
        <w:rPr>
          <w:rFonts w:eastAsia="SimSun"/>
          <w:lang w:eastAsia="en-GB" w:bidi="en-US"/>
        </w:rPr>
        <w:t>the fraudu</w:t>
      </w:r>
      <w:r w:rsidR="000066A1">
        <w:rPr>
          <w:rFonts w:eastAsia="SimSun"/>
          <w:lang w:eastAsia="en-GB" w:bidi="en-US"/>
        </w:rPr>
        <w:t xml:space="preserve">lent </w:t>
      </w:r>
      <w:r w:rsidR="00700E21">
        <w:rPr>
          <w:rFonts w:eastAsia="SimSun"/>
          <w:lang w:eastAsia="en-GB" w:bidi="en-US"/>
        </w:rPr>
        <w:t>activity does</w:t>
      </w:r>
      <w:r w:rsidR="000066A1">
        <w:rPr>
          <w:rFonts w:eastAsia="SimSun"/>
          <w:lang w:eastAsia="en-GB" w:bidi="en-US"/>
        </w:rPr>
        <w:t xml:space="preserve"> not materially affect the 2017 accounts as a whole.</w:t>
      </w:r>
      <w:r w:rsidR="00310476">
        <w:rPr>
          <w:rFonts w:eastAsia="SimSun"/>
          <w:lang w:eastAsia="en-GB" w:bidi="en-US"/>
        </w:rPr>
        <w:t xml:space="preserve"> </w:t>
      </w:r>
      <w:r w:rsidR="0007509A">
        <w:rPr>
          <w:rFonts w:eastAsia="SimSun"/>
          <w:lang w:eastAsia="en-GB" w:bidi="en-US"/>
        </w:rPr>
        <w:t>Nevertheless</w:t>
      </w:r>
      <w:r w:rsidR="00310476">
        <w:rPr>
          <w:rFonts w:eastAsia="SimSun"/>
          <w:lang w:eastAsia="en-GB" w:bidi="en-US"/>
        </w:rPr>
        <w:t>,</w:t>
      </w:r>
      <w:r w:rsidR="0007509A">
        <w:rPr>
          <w:rFonts w:eastAsia="SimSun"/>
          <w:lang w:eastAsia="en-GB" w:bidi="en-US"/>
        </w:rPr>
        <w:t xml:space="preserve"> IMAC notes that</w:t>
      </w:r>
      <w:r w:rsidR="00310476">
        <w:rPr>
          <w:rFonts w:eastAsia="SimSun"/>
          <w:lang w:eastAsia="en-GB" w:bidi="en-US"/>
        </w:rPr>
        <w:t xml:space="preserve"> </w:t>
      </w:r>
      <w:r w:rsidR="00903B07">
        <w:rPr>
          <w:rFonts w:eastAsia="SimSun"/>
          <w:lang w:eastAsia="en-GB" w:bidi="en-US"/>
        </w:rPr>
        <w:t xml:space="preserve">the </w:t>
      </w:r>
      <w:r w:rsidR="00310476">
        <w:rPr>
          <w:rFonts w:eastAsia="SimSun"/>
          <w:lang w:eastAsia="en-GB" w:bidi="en-US"/>
        </w:rPr>
        <w:t xml:space="preserve">activities </w:t>
      </w:r>
      <w:r w:rsidR="0007509A">
        <w:rPr>
          <w:rFonts w:eastAsia="SimSun"/>
          <w:lang w:eastAsia="en-GB" w:bidi="en-US"/>
        </w:rPr>
        <w:t xml:space="preserve">involved and </w:t>
      </w:r>
      <w:r w:rsidR="00310476">
        <w:rPr>
          <w:rFonts w:eastAsia="SimSun"/>
          <w:lang w:eastAsia="en-GB" w:bidi="en-US"/>
        </w:rPr>
        <w:t xml:space="preserve">under investigation </w:t>
      </w:r>
      <w:proofErr w:type="gramStart"/>
      <w:r w:rsidR="00310476">
        <w:rPr>
          <w:rFonts w:eastAsia="SimSun"/>
          <w:lang w:eastAsia="en-GB" w:bidi="en-US"/>
        </w:rPr>
        <w:t>were perpetrated</w:t>
      </w:r>
      <w:proofErr w:type="gramEnd"/>
      <w:r w:rsidR="00310476">
        <w:rPr>
          <w:rFonts w:eastAsia="SimSun"/>
          <w:lang w:eastAsia="en-GB" w:bidi="en-US"/>
        </w:rPr>
        <w:t xml:space="preserve"> over a number of years and involved </w:t>
      </w:r>
      <w:r w:rsidR="0032648F">
        <w:rPr>
          <w:rFonts w:eastAsia="SimSun"/>
          <w:lang w:eastAsia="en-GB" w:bidi="en-US"/>
        </w:rPr>
        <w:t xml:space="preserve">serial </w:t>
      </w:r>
      <w:r w:rsidR="00310476">
        <w:rPr>
          <w:rFonts w:eastAsia="SimSun"/>
          <w:lang w:eastAsia="en-GB" w:bidi="en-US"/>
        </w:rPr>
        <w:t xml:space="preserve">breaches of control </w:t>
      </w:r>
      <w:r w:rsidR="0032648F">
        <w:rPr>
          <w:rFonts w:eastAsia="SimSun"/>
          <w:lang w:eastAsia="en-GB" w:bidi="en-US"/>
        </w:rPr>
        <w:t xml:space="preserve">across </w:t>
      </w:r>
      <w:r w:rsidR="00310476">
        <w:rPr>
          <w:rFonts w:eastAsia="SimSun"/>
          <w:lang w:eastAsia="en-GB" w:bidi="en-US"/>
        </w:rPr>
        <w:t>a number of aspects</w:t>
      </w:r>
      <w:r w:rsidR="00903B07">
        <w:rPr>
          <w:rFonts w:eastAsia="SimSun"/>
          <w:lang w:eastAsia="en-GB" w:bidi="en-US"/>
        </w:rPr>
        <w:t>,</w:t>
      </w:r>
      <w:r w:rsidR="00310476">
        <w:rPr>
          <w:rFonts w:eastAsia="SimSun"/>
          <w:lang w:eastAsia="en-GB" w:bidi="en-US"/>
        </w:rPr>
        <w:t xml:space="preserve"> </w:t>
      </w:r>
      <w:r w:rsidR="00D34330">
        <w:rPr>
          <w:rFonts w:eastAsia="SimSun"/>
          <w:lang w:eastAsia="en-GB" w:bidi="en-US"/>
        </w:rPr>
        <w:t>including but not limited to</w:t>
      </w:r>
      <w:r w:rsidR="00310476">
        <w:rPr>
          <w:rFonts w:eastAsia="SimSun"/>
          <w:lang w:eastAsia="en-GB" w:bidi="en-US"/>
        </w:rPr>
        <w:t xml:space="preserve"> procurement</w:t>
      </w:r>
      <w:r w:rsidR="0032648F">
        <w:rPr>
          <w:rFonts w:eastAsia="SimSun"/>
          <w:lang w:eastAsia="en-GB" w:bidi="en-US"/>
        </w:rPr>
        <w:t xml:space="preserve"> and contracting</w:t>
      </w:r>
      <w:r w:rsidR="00310476">
        <w:rPr>
          <w:rFonts w:eastAsia="SimSun"/>
          <w:lang w:eastAsia="en-GB" w:bidi="en-US"/>
        </w:rPr>
        <w:t>.</w:t>
      </w:r>
    </w:p>
    <w:p w14:paraId="0A7FED4C" w14:textId="77777777" w:rsidR="0065607D" w:rsidRDefault="00647E1B" w:rsidP="00C7326D">
      <w:pPr>
        <w:pStyle w:val="Normalnumbered"/>
        <w:snapToGrid w:val="0"/>
        <w:spacing w:before="120"/>
        <w:ind w:left="0" w:firstLine="0"/>
        <w:rPr>
          <w:rFonts w:eastAsia="SimSun"/>
          <w:lang w:eastAsia="en-GB" w:bidi="en-US"/>
        </w:rPr>
      </w:pPr>
      <w:r>
        <w:rPr>
          <w:rFonts w:eastAsia="SimSun"/>
          <w:lang w:eastAsia="en-GB" w:bidi="en-US"/>
        </w:rPr>
        <w:t xml:space="preserve">IMAC has previously raised concerns over control and governance in regional offices </w:t>
      </w:r>
      <w:r w:rsidR="00700E21">
        <w:rPr>
          <w:rFonts w:eastAsia="SimSun"/>
          <w:lang w:eastAsia="en-GB" w:bidi="en-US"/>
        </w:rPr>
        <w:t>(IMAC Rec</w:t>
      </w:r>
      <w:r w:rsidR="00DE4687">
        <w:rPr>
          <w:rFonts w:eastAsia="SimSun"/>
          <w:lang w:eastAsia="en-GB" w:bidi="en-US"/>
        </w:rPr>
        <w:t xml:space="preserve">ommendation </w:t>
      </w:r>
      <w:r w:rsidR="00700E21">
        <w:rPr>
          <w:rFonts w:eastAsia="SimSun"/>
          <w:lang w:eastAsia="en-GB" w:bidi="en-US"/>
        </w:rPr>
        <w:t>2/2014, Rec</w:t>
      </w:r>
      <w:r w:rsidR="00DE4687">
        <w:rPr>
          <w:rFonts w:eastAsia="SimSun"/>
          <w:lang w:eastAsia="en-GB" w:bidi="en-US"/>
        </w:rPr>
        <w:t xml:space="preserve">ommendation </w:t>
      </w:r>
      <w:r w:rsidR="00700E21">
        <w:rPr>
          <w:rFonts w:eastAsia="SimSun"/>
          <w:lang w:eastAsia="en-GB" w:bidi="en-US"/>
        </w:rPr>
        <w:t>5/2015)</w:t>
      </w:r>
      <w:r w:rsidR="00273B0A">
        <w:rPr>
          <w:rFonts w:eastAsia="SimSun"/>
          <w:lang w:eastAsia="en-GB" w:bidi="en-US"/>
        </w:rPr>
        <w:t xml:space="preserve"> and IMAC </w:t>
      </w:r>
      <w:r w:rsidR="00903B07">
        <w:rPr>
          <w:rFonts w:eastAsia="SimSun"/>
          <w:lang w:eastAsia="en-GB" w:bidi="en-US"/>
        </w:rPr>
        <w:t>remains</w:t>
      </w:r>
      <w:r w:rsidR="00273B0A">
        <w:rPr>
          <w:rFonts w:eastAsia="SimSun"/>
          <w:lang w:eastAsia="en-GB" w:bidi="en-US"/>
        </w:rPr>
        <w:t xml:space="preserve"> seriously </w:t>
      </w:r>
      <w:r w:rsidR="00273B0A" w:rsidRPr="00700E21">
        <w:rPr>
          <w:rFonts w:eastAsia="SimSun"/>
          <w:lang w:eastAsia="en-GB" w:bidi="en-US"/>
        </w:rPr>
        <w:t xml:space="preserve">concerned that the governance </w:t>
      </w:r>
      <w:r w:rsidR="00273B0A">
        <w:rPr>
          <w:rFonts w:eastAsia="SimSun"/>
          <w:lang w:eastAsia="en-GB" w:bidi="en-US"/>
        </w:rPr>
        <w:t xml:space="preserve">and </w:t>
      </w:r>
      <w:r w:rsidR="00273B0A" w:rsidRPr="00700E21">
        <w:rPr>
          <w:rFonts w:eastAsia="SimSun"/>
          <w:lang w:eastAsia="en-GB" w:bidi="en-US"/>
        </w:rPr>
        <w:t xml:space="preserve">controls in place </w:t>
      </w:r>
      <w:r w:rsidR="00273B0A">
        <w:rPr>
          <w:rFonts w:eastAsia="SimSun"/>
          <w:lang w:eastAsia="en-GB" w:bidi="en-US"/>
        </w:rPr>
        <w:t xml:space="preserve">in the regional offices </w:t>
      </w:r>
      <w:r w:rsidR="00273B0A" w:rsidRPr="00700E21">
        <w:rPr>
          <w:rFonts w:eastAsia="SimSun"/>
          <w:lang w:eastAsia="en-GB" w:bidi="en-US"/>
        </w:rPr>
        <w:t>are insufficient</w:t>
      </w:r>
      <w:r w:rsidR="00700E21">
        <w:rPr>
          <w:rFonts w:eastAsia="SimSun"/>
          <w:lang w:eastAsia="en-GB" w:bidi="en-US"/>
        </w:rPr>
        <w:t>.</w:t>
      </w:r>
    </w:p>
    <w:p w14:paraId="0A7FED4D" w14:textId="77777777" w:rsidR="00DC7F4F" w:rsidRDefault="00323872" w:rsidP="00C7326D">
      <w:pPr>
        <w:pStyle w:val="Normalnumbered"/>
        <w:snapToGrid w:val="0"/>
        <w:spacing w:before="120"/>
        <w:ind w:left="0" w:firstLine="0"/>
        <w:rPr>
          <w:rFonts w:eastAsia="SimSun"/>
          <w:lang w:eastAsia="en-GB" w:bidi="en-US"/>
        </w:rPr>
      </w:pPr>
      <w:r>
        <w:rPr>
          <w:rFonts w:eastAsia="SimSun"/>
          <w:lang w:eastAsia="en-GB" w:bidi="en-US"/>
        </w:rPr>
        <w:t xml:space="preserve">IMAC requested full </w:t>
      </w:r>
      <w:r w:rsidR="00903B07">
        <w:rPr>
          <w:rFonts w:eastAsia="SimSun"/>
          <w:lang w:eastAsia="en-GB" w:bidi="en-US"/>
        </w:rPr>
        <w:t xml:space="preserve">details of the </w:t>
      </w:r>
      <w:r>
        <w:rPr>
          <w:rFonts w:eastAsia="SimSun"/>
          <w:lang w:eastAsia="en-GB" w:bidi="en-US"/>
        </w:rPr>
        <w:t>investigation</w:t>
      </w:r>
      <w:r w:rsidR="007F6444">
        <w:rPr>
          <w:rFonts w:eastAsia="SimSun"/>
          <w:lang w:eastAsia="en-GB" w:bidi="en-US"/>
        </w:rPr>
        <w:t xml:space="preserve"> carried out by Internal Audit,</w:t>
      </w:r>
      <w:r>
        <w:rPr>
          <w:rFonts w:eastAsia="SimSun"/>
          <w:lang w:eastAsia="en-GB" w:bidi="en-US"/>
        </w:rPr>
        <w:t xml:space="preserve"> but </w:t>
      </w:r>
      <w:proofErr w:type="gramStart"/>
      <w:r>
        <w:rPr>
          <w:rFonts w:eastAsia="SimSun"/>
          <w:lang w:eastAsia="en-GB" w:bidi="en-US"/>
        </w:rPr>
        <w:t>was only provided</w:t>
      </w:r>
      <w:proofErr w:type="gramEnd"/>
      <w:r>
        <w:rPr>
          <w:rFonts w:eastAsia="SimSun"/>
          <w:lang w:eastAsia="en-GB" w:bidi="en-US"/>
        </w:rPr>
        <w:t xml:space="preserve"> </w:t>
      </w:r>
      <w:r w:rsidR="00903B07">
        <w:rPr>
          <w:rFonts w:eastAsia="SimSun"/>
          <w:lang w:eastAsia="en-GB" w:bidi="en-US"/>
        </w:rPr>
        <w:t xml:space="preserve">with an extract of </w:t>
      </w:r>
      <w:r w:rsidR="00911B8A">
        <w:rPr>
          <w:rFonts w:eastAsia="SimSun"/>
          <w:lang w:eastAsia="en-GB" w:bidi="en-US"/>
        </w:rPr>
        <w:t>the</w:t>
      </w:r>
      <w:r>
        <w:rPr>
          <w:rFonts w:eastAsia="SimSun"/>
          <w:lang w:eastAsia="en-GB" w:bidi="en-US"/>
        </w:rPr>
        <w:t xml:space="preserve"> executive summary</w:t>
      </w:r>
      <w:r w:rsidR="00903B07">
        <w:rPr>
          <w:rFonts w:eastAsia="SimSun"/>
          <w:lang w:eastAsia="en-GB" w:bidi="en-US"/>
        </w:rPr>
        <w:t xml:space="preserve"> and an Annex 17 to the investigation report</w:t>
      </w:r>
      <w:r w:rsidR="00DC7F4F">
        <w:rPr>
          <w:rFonts w:eastAsia="SimSun"/>
          <w:lang w:eastAsia="en-GB" w:bidi="en-US"/>
        </w:rPr>
        <w:t>.</w:t>
      </w:r>
      <w:r w:rsidR="00CA764E">
        <w:rPr>
          <w:rFonts w:eastAsia="SimSun"/>
          <w:lang w:eastAsia="en-GB" w:bidi="en-US"/>
        </w:rPr>
        <w:t xml:space="preserve"> However, IMAC notes that the full report </w:t>
      </w:r>
      <w:proofErr w:type="gramStart"/>
      <w:r w:rsidR="00CA764E">
        <w:rPr>
          <w:rFonts w:eastAsia="SimSun"/>
          <w:lang w:eastAsia="en-GB" w:bidi="en-US"/>
        </w:rPr>
        <w:t>was provided</w:t>
      </w:r>
      <w:proofErr w:type="gramEnd"/>
      <w:r w:rsidR="00CA764E">
        <w:rPr>
          <w:rFonts w:eastAsia="SimSun"/>
          <w:lang w:eastAsia="en-GB" w:bidi="en-US"/>
        </w:rPr>
        <w:t xml:space="preserve"> to the External Auditor.</w:t>
      </w:r>
      <w:r w:rsidR="00A506F3">
        <w:rPr>
          <w:rFonts w:eastAsia="SimSun"/>
          <w:lang w:eastAsia="en-GB" w:bidi="en-US"/>
        </w:rPr>
        <w:t xml:space="preserve"> In the absence of the full investigation report, IMAC is not in a position to </w:t>
      </w:r>
      <w:proofErr w:type="gramStart"/>
      <w:r w:rsidR="00A506F3">
        <w:rPr>
          <w:rFonts w:eastAsia="SimSun"/>
          <w:lang w:eastAsia="en-GB" w:bidi="en-US"/>
        </w:rPr>
        <w:t>advise</w:t>
      </w:r>
      <w:proofErr w:type="gramEnd"/>
      <w:r w:rsidR="00A506F3">
        <w:rPr>
          <w:rFonts w:eastAsia="SimSun"/>
          <w:lang w:eastAsia="en-GB" w:bidi="en-US"/>
        </w:rPr>
        <w:t xml:space="preserve"> on this matter</w:t>
      </w:r>
      <w:r w:rsidR="003D6982">
        <w:rPr>
          <w:rFonts w:eastAsia="SimSun"/>
          <w:lang w:eastAsia="en-GB" w:bidi="en-US"/>
        </w:rPr>
        <w:t xml:space="preserve"> or its potential ramifications</w:t>
      </w:r>
      <w:r w:rsidR="00A506F3">
        <w:rPr>
          <w:rFonts w:eastAsia="SimSun"/>
          <w:lang w:eastAsia="en-GB" w:bidi="en-US"/>
        </w:rPr>
        <w:t>.</w:t>
      </w:r>
    </w:p>
    <w:p w14:paraId="0A7FED4E" w14:textId="77777777" w:rsidR="004C0774" w:rsidRPr="007F6444" w:rsidRDefault="004C0774" w:rsidP="00C7326D">
      <w:pPr>
        <w:pStyle w:val="NumberedHeading"/>
        <w:snapToGrid w:val="0"/>
        <w:spacing w:after="120"/>
        <w:ind w:left="0" w:firstLine="0"/>
        <w:rPr>
          <w:rFonts w:eastAsia="SimSun"/>
          <w:lang w:eastAsia="en-GB" w:bidi="en-US"/>
        </w:rPr>
      </w:pPr>
      <w:r>
        <w:rPr>
          <w:rFonts w:eastAsia="SimSun"/>
          <w:lang w:eastAsia="en-GB" w:bidi="en-US"/>
        </w:rPr>
        <w:t>Compliance and fraud risk management / development of the draft Investigation Guidelines</w:t>
      </w:r>
    </w:p>
    <w:p w14:paraId="0A7FED4F" w14:textId="77777777" w:rsidR="00D81997" w:rsidRPr="00E27F90" w:rsidRDefault="004C0774" w:rsidP="00C7326D">
      <w:pPr>
        <w:pStyle w:val="Normalnumbered"/>
        <w:snapToGrid w:val="0"/>
        <w:spacing w:before="120"/>
        <w:ind w:left="0" w:firstLine="0"/>
      </w:pPr>
      <w:r w:rsidRPr="00D81997">
        <w:rPr>
          <w:rFonts w:eastAsia="SimSun"/>
          <w:lang w:eastAsia="en-GB" w:bidi="en-US"/>
        </w:rPr>
        <w:t>As already mentioned</w:t>
      </w:r>
      <w:r w:rsidRPr="0093244D">
        <w:rPr>
          <w:rFonts w:eastAsia="SimSun"/>
          <w:lang w:eastAsia="en-GB" w:bidi="en-US"/>
        </w:rPr>
        <w:t xml:space="preserve"> in its</w:t>
      </w:r>
      <w:r w:rsidRPr="00E27F90">
        <w:rPr>
          <w:rFonts w:eastAsia="SimSun"/>
          <w:lang w:eastAsia="en-GB" w:bidi="en-US"/>
        </w:rPr>
        <w:t xml:space="preserve"> 7</w:t>
      </w:r>
      <w:r w:rsidRPr="00C7326D">
        <w:rPr>
          <w:rFonts w:eastAsia="SimSun"/>
          <w:lang w:eastAsia="en-GB" w:bidi="en-US"/>
        </w:rPr>
        <w:t>th</w:t>
      </w:r>
      <w:r w:rsidRPr="00E27F90">
        <w:rPr>
          <w:rFonts w:eastAsia="SimSun"/>
          <w:lang w:eastAsia="en-GB" w:bidi="en-US"/>
        </w:rPr>
        <w:t xml:space="preserve"> Annual Report, IMAC reviewed the </w:t>
      </w:r>
      <w:r w:rsidRPr="004C0774">
        <w:t>draft Investigation Guidelines for the ITU</w:t>
      </w:r>
      <w:r>
        <w:t xml:space="preserve"> and </w:t>
      </w:r>
      <w:r w:rsidRPr="00D81997">
        <w:rPr>
          <w:rFonts w:eastAsia="SimSun"/>
          <w:lang w:eastAsia="en-GB" w:bidi="en-US"/>
        </w:rPr>
        <w:t xml:space="preserve">was requested by </w:t>
      </w:r>
      <w:r w:rsidRPr="0093244D">
        <w:rPr>
          <w:rFonts w:eastAsia="SimSun"/>
          <w:lang w:eastAsia="en-GB" w:bidi="en-US"/>
        </w:rPr>
        <w:t xml:space="preserve">the secretariat </w:t>
      </w:r>
      <w:r w:rsidRPr="00E27F90">
        <w:rPr>
          <w:rFonts w:eastAsia="SimSun"/>
          <w:lang w:eastAsia="en-GB" w:bidi="en-US"/>
        </w:rPr>
        <w:t xml:space="preserve">to </w:t>
      </w:r>
      <w:proofErr w:type="gramStart"/>
      <w:r w:rsidRPr="00E27F90">
        <w:rPr>
          <w:rFonts w:eastAsia="SimSun"/>
          <w:lang w:eastAsia="en-GB" w:bidi="en-US"/>
        </w:rPr>
        <w:t>advise</w:t>
      </w:r>
      <w:proofErr w:type="gramEnd"/>
      <w:r w:rsidRPr="00E27F90">
        <w:rPr>
          <w:rFonts w:eastAsia="SimSun"/>
          <w:lang w:eastAsia="en-GB" w:bidi="en-US"/>
        </w:rPr>
        <w:t xml:space="preserve"> on the appropriate arrangements that should apply if any allegations were raised in relation to the Secretary-General, which have to be reported to the Chair of Council.</w:t>
      </w:r>
    </w:p>
    <w:p w14:paraId="0A7FED50" w14:textId="77777777" w:rsidR="004C0774" w:rsidRPr="00D81997" w:rsidRDefault="004C0774" w:rsidP="00C7326D">
      <w:pPr>
        <w:pStyle w:val="Normalnumbered"/>
        <w:snapToGrid w:val="0"/>
        <w:spacing w:before="120"/>
        <w:ind w:left="0" w:firstLine="0"/>
      </w:pPr>
      <w:r w:rsidRPr="00D81997">
        <w:rPr>
          <w:rFonts w:eastAsia="SimSun"/>
          <w:lang w:eastAsia="en-GB" w:bidi="en-US"/>
        </w:rPr>
        <w:t>Upon consultations with all the relevant parties,</w:t>
      </w:r>
      <w:r w:rsidR="00D81997" w:rsidRPr="00D81997">
        <w:rPr>
          <w:rFonts w:eastAsia="SimSun"/>
          <w:lang w:eastAsia="en-GB" w:bidi="en-US"/>
        </w:rPr>
        <w:t xml:space="preserve"> and according to good governance practices,</w:t>
      </w:r>
      <w:r w:rsidRPr="00D81997">
        <w:rPr>
          <w:rFonts w:eastAsia="SimSun"/>
          <w:lang w:eastAsia="en-GB" w:bidi="en-US"/>
        </w:rPr>
        <w:t xml:space="preserve"> IMAC advised that the responsible party for reporting to the Chair of the Council could be the Chair of IMAC (who is completely independent from management and </w:t>
      </w:r>
      <w:proofErr w:type="gramStart"/>
      <w:r w:rsidRPr="00D81997">
        <w:rPr>
          <w:rFonts w:eastAsia="SimSun"/>
          <w:lang w:eastAsia="en-GB" w:bidi="en-US"/>
        </w:rPr>
        <w:t>has been appointed</w:t>
      </w:r>
      <w:proofErr w:type="gramEnd"/>
      <w:r w:rsidRPr="00D81997">
        <w:rPr>
          <w:rFonts w:eastAsia="SimSun"/>
          <w:lang w:eastAsia="en-GB" w:bidi="en-US"/>
        </w:rPr>
        <w:t xml:space="preserve"> by Council).</w:t>
      </w:r>
    </w:p>
    <w:p w14:paraId="0A7FED51" w14:textId="5C3356DB" w:rsidR="00DD77FB" w:rsidRPr="00DD77FB" w:rsidRDefault="00C7326D" w:rsidP="0093244D">
      <w:pPr>
        <w:spacing w:before="840"/>
        <w:jc w:val="center"/>
        <w:rPr>
          <w:rFonts w:asciiTheme="minorHAnsi" w:hAnsiTheme="minorHAnsi"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/>
          <w:bCs/>
          <w:color w:val="000000"/>
          <w:sz w:val="22"/>
          <w:szCs w:val="22"/>
          <w:u w:val="single"/>
        </w:rPr>
        <w:t>_____________________</w:t>
      </w:r>
    </w:p>
    <w:sectPr w:rsidR="00DD77FB" w:rsidRPr="00DD77FB" w:rsidSect="004D1851">
      <w:head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FED56" w14:textId="77777777" w:rsidR="00120D58" w:rsidRDefault="00120D58">
      <w:r>
        <w:separator/>
      </w:r>
    </w:p>
  </w:endnote>
  <w:endnote w:type="continuationSeparator" w:id="0">
    <w:p w14:paraId="0A7FED57" w14:textId="77777777" w:rsidR="00120D58" w:rsidRDefault="0012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FED5A" w14:textId="77777777" w:rsidR="00EC5797" w:rsidRDefault="00EC5797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0A7FED5B" w14:textId="77777777" w:rsidR="00EC5797" w:rsidRDefault="00EC57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FED54" w14:textId="77777777" w:rsidR="00120D58" w:rsidRDefault="00120D58">
      <w:r>
        <w:t>____________________</w:t>
      </w:r>
    </w:p>
  </w:footnote>
  <w:footnote w:type="continuationSeparator" w:id="0">
    <w:p w14:paraId="0A7FED55" w14:textId="77777777" w:rsidR="00120D58" w:rsidRDefault="00120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FED58" w14:textId="77777777" w:rsidR="00EC5797" w:rsidRDefault="00EC5797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734983">
      <w:rPr>
        <w:noProof/>
      </w:rPr>
      <w:t>4</w:t>
    </w:r>
    <w:r>
      <w:rPr>
        <w:noProof/>
      </w:rPr>
      <w:fldChar w:fldCharType="end"/>
    </w:r>
  </w:p>
  <w:p w14:paraId="0A7FED59" w14:textId="77777777" w:rsidR="00EC5797" w:rsidRDefault="00EC5797" w:rsidP="006F4348">
    <w:pPr>
      <w:pStyle w:val="Header"/>
    </w:pPr>
    <w:r w:rsidRPr="00AE57FF">
      <w:t>C1</w:t>
    </w:r>
    <w:r w:rsidR="006F4348">
      <w:t>8</w:t>
    </w:r>
    <w:r w:rsidRPr="00AE57FF">
      <w:t>/22</w:t>
    </w:r>
    <w:r w:rsidR="00D576D5" w:rsidRPr="00AE57FF">
      <w:t>(Add.1)</w:t>
    </w:r>
    <w:r w:rsidRPr="00AE57FF"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DE17C0"/>
    <w:multiLevelType w:val="hybridMultilevel"/>
    <w:tmpl w:val="6E205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03479"/>
    <w:multiLevelType w:val="hybridMultilevel"/>
    <w:tmpl w:val="E7DA1848"/>
    <w:lvl w:ilvl="0" w:tplc="D0DAE69E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SimSun" w:hAnsi="Calibri" w:cs="SimSu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AFD1FDF"/>
    <w:multiLevelType w:val="hybridMultilevel"/>
    <w:tmpl w:val="831EA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1598D"/>
    <w:multiLevelType w:val="hybridMultilevel"/>
    <w:tmpl w:val="CF06BD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7C1935"/>
    <w:multiLevelType w:val="hybridMultilevel"/>
    <w:tmpl w:val="E7DA1848"/>
    <w:lvl w:ilvl="0" w:tplc="D0DAE69E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SimSun" w:hAnsi="Calibri" w:cs="SimSu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ADD29FB"/>
    <w:multiLevelType w:val="multilevel"/>
    <w:tmpl w:val="7B3E6A8E"/>
    <w:lvl w:ilvl="0">
      <w:start w:val="1"/>
      <w:numFmt w:val="decimal"/>
      <w:pStyle w:val="NumberedHead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ormalnumbered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4205E31"/>
    <w:multiLevelType w:val="hybridMultilevel"/>
    <w:tmpl w:val="9E92ED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6443"/>
    <w:multiLevelType w:val="hybridMultilevel"/>
    <w:tmpl w:val="08501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F6563"/>
    <w:multiLevelType w:val="hybridMultilevel"/>
    <w:tmpl w:val="A2CE3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B6C30"/>
    <w:multiLevelType w:val="hybridMultilevel"/>
    <w:tmpl w:val="98883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B1C9E"/>
    <w:multiLevelType w:val="hybridMultilevel"/>
    <w:tmpl w:val="1FAED53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B831523"/>
    <w:multiLevelType w:val="hybridMultilevel"/>
    <w:tmpl w:val="77F67C96"/>
    <w:lvl w:ilvl="0" w:tplc="760ADC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671E5"/>
    <w:multiLevelType w:val="hybridMultilevel"/>
    <w:tmpl w:val="E7DA1848"/>
    <w:lvl w:ilvl="0" w:tplc="D0DAE69E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SimSun" w:hAnsi="Calibri" w:cs="SimSu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51E4531B"/>
    <w:multiLevelType w:val="hybridMultilevel"/>
    <w:tmpl w:val="F704DE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743F07"/>
    <w:multiLevelType w:val="hybridMultilevel"/>
    <w:tmpl w:val="26E45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87C14"/>
    <w:multiLevelType w:val="hybridMultilevel"/>
    <w:tmpl w:val="A54A8EF4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5AA36681"/>
    <w:multiLevelType w:val="hybridMultilevel"/>
    <w:tmpl w:val="2A5C7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C041C"/>
    <w:multiLevelType w:val="hybridMultilevel"/>
    <w:tmpl w:val="DC22B0CC"/>
    <w:lvl w:ilvl="0" w:tplc="D21898A8">
      <w:start w:val="1"/>
      <w:numFmt w:val="lowerRoman"/>
      <w:lvlText w:val="(%1)"/>
      <w:lvlJc w:val="left"/>
      <w:pPr>
        <w:tabs>
          <w:tab w:val="num" w:pos="-345"/>
        </w:tabs>
        <w:ind w:left="1065" w:hanging="705"/>
      </w:pPr>
      <w:rPr>
        <w:rFonts w:hint="default"/>
      </w:rPr>
    </w:lvl>
    <w:lvl w:ilvl="1" w:tplc="005AE1D6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SimSun" w:hAnsi="Calibri" w:cs="SimSun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C3053"/>
    <w:multiLevelType w:val="hybridMultilevel"/>
    <w:tmpl w:val="4FBC58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153578"/>
    <w:multiLevelType w:val="hybridMultilevel"/>
    <w:tmpl w:val="85409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021E79"/>
    <w:multiLevelType w:val="multilevel"/>
    <w:tmpl w:val="F8B60C9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2" w15:restartNumberingAfterBreak="0">
    <w:nsid w:val="673C34B5"/>
    <w:multiLevelType w:val="multilevel"/>
    <w:tmpl w:val="2AE877DC"/>
    <w:lvl w:ilvl="0">
      <w:start w:val="1"/>
      <w:numFmt w:val="decimal"/>
      <w:lvlText w:val="%1."/>
      <w:lvlJc w:val="left"/>
      <w:pPr>
        <w:ind w:left="720" w:hanging="720"/>
      </w:pPr>
      <w:rPr>
        <w:rFonts w:ascii="Calibri" w:eastAsia="SimSun" w:hAnsi="Calibri" w:cs="Helvetica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23" w15:restartNumberingAfterBreak="0">
    <w:nsid w:val="69775024"/>
    <w:multiLevelType w:val="hybridMultilevel"/>
    <w:tmpl w:val="6996257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6D470B9F"/>
    <w:multiLevelType w:val="singleLevel"/>
    <w:tmpl w:val="6D470B9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0D1428C"/>
    <w:multiLevelType w:val="hybridMultilevel"/>
    <w:tmpl w:val="DA0A384A"/>
    <w:lvl w:ilvl="0" w:tplc="1220A3B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A762CD"/>
    <w:multiLevelType w:val="hybridMultilevel"/>
    <w:tmpl w:val="E084B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75050"/>
    <w:multiLevelType w:val="multilevel"/>
    <w:tmpl w:val="A2FC4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91E55DA"/>
    <w:multiLevelType w:val="hybridMultilevel"/>
    <w:tmpl w:val="9B661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16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19"/>
  </w:num>
  <w:num w:numId="9">
    <w:abstractNumId w:val="1"/>
  </w:num>
  <w:num w:numId="10">
    <w:abstractNumId w:val="15"/>
  </w:num>
  <w:num w:numId="11">
    <w:abstractNumId w:val="4"/>
  </w:num>
  <w:num w:numId="12">
    <w:abstractNumId w:val="27"/>
  </w:num>
  <w:num w:numId="13">
    <w:abstractNumId w:val="20"/>
  </w:num>
  <w:num w:numId="14">
    <w:abstractNumId w:val="8"/>
  </w:num>
  <w:num w:numId="15">
    <w:abstractNumId w:val="28"/>
  </w:num>
  <w:num w:numId="16">
    <w:abstractNumId w:val="14"/>
  </w:num>
  <w:num w:numId="17">
    <w:abstractNumId w:val="6"/>
  </w:num>
  <w:num w:numId="18">
    <w:abstractNumId w:val="25"/>
  </w:num>
  <w:num w:numId="19">
    <w:abstractNumId w:val="12"/>
  </w:num>
  <w:num w:numId="20">
    <w:abstractNumId w:val="6"/>
    <w:lvlOverride w:ilvl="0">
      <w:startOverride w:val="2"/>
    </w:lvlOverride>
    <w:lvlOverride w:ilvl="1">
      <w:startOverride w:val="1"/>
    </w:lvlOverride>
  </w:num>
  <w:num w:numId="21">
    <w:abstractNumId w:val="6"/>
    <w:lvlOverride w:ilvl="0">
      <w:startOverride w:val="2"/>
    </w:lvlOverride>
    <w:lvlOverride w:ilvl="1">
      <w:startOverride w:val="1"/>
    </w:lvlOverride>
  </w:num>
  <w:num w:numId="22">
    <w:abstractNumId w:val="6"/>
  </w:num>
  <w:num w:numId="23">
    <w:abstractNumId w:val="3"/>
  </w:num>
  <w:num w:numId="24">
    <w:abstractNumId w:val="17"/>
  </w:num>
  <w:num w:numId="25">
    <w:abstractNumId w:val="26"/>
  </w:num>
  <w:num w:numId="26">
    <w:abstractNumId w:val="23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5"/>
  </w:num>
  <w:num w:numId="30">
    <w:abstractNumId w:val="10"/>
  </w:num>
  <w:num w:numId="31">
    <w:abstractNumId w:val="2"/>
  </w:num>
  <w:num w:numId="32">
    <w:abstractNumId w:val="13"/>
  </w:num>
  <w:num w:numId="33">
    <w:abstractNumId w:val="11"/>
  </w:num>
  <w:num w:numId="34">
    <w:abstractNumId w:val="6"/>
  </w:num>
  <w:num w:numId="35">
    <w:abstractNumId w:val="6"/>
  </w:num>
  <w:num w:numId="36">
    <w:abstractNumId w:val="6"/>
  </w:num>
  <w:num w:numId="37">
    <w:abstractNumId w:val="6"/>
  </w:num>
  <w:num w:numId="38">
    <w:abstractNumId w:val="6"/>
  </w:num>
  <w:num w:numId="39">
    <w:abstractNumId w:val="6"/>
  </w:num>
  <w:num w:numId="40">
    <w:abstractNumId w:val="6"/>
  </w:num>
  <w:num w:numId="41">
    <w:abstractNumId w:val="6"/>
  </w:num>
  <w:num w:numId="42">
    <w:abstractNumId w:val="6"/>
  </w:num>
  <w:num w:numId="43">
    <w:abstractNumId w:val="6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12"/>
    <w:rsid w:val="00004CC2"/>
    <w:rsid w:val="000066A1"/>
    <w:rsid w:val="00006CA0"/>
    <w:rsid w:val="00010134"/>
    <w:rsid w:val="00021772"/>
    <w:rsid w:val="000232D8"/>
    <w:rsid w:val="000236F9"/>
    <w:rsid w:val="00025C1C"/>
    <w:rsid w:val="00036F14"/>
    <w:rsid w:val="00050542"/>
    <w:rsid w:val="00062401"/>
    <w:rsid w:val="00062490"/>
    <w:rsid w:val="00063016"/>
    <w:rsid w:val="00070506"/>
    <w:rsid w:val="0007509A"/>
    <w:rsid w:val="00076AF6"/>
    <w:rsid w:val="00085CF2"/>
    <w:rsid w:val="00090820"/>
    <w:rsid w:val="000A5B24"/>
    <w:rsid w:val="000A6407"/>
    <w:rsid w:val="000B022A"/>
    <w:rsid w:val="000B1705"/>
    <w:rsid w:val="000B2754"/>
    <w:rsid w:val="000B27DC"/>
    <w:rsid w:val="000B7D58"/>
    <w:rsid w:val="000C0C31"/>
    <w:rsid w:val="000C6B71"/>
    <w:rsid w:val="000D63F0"/>
    <w:rsid w:val="000D75B2"/>
    <w:rsid w:val="000E71C3"/>
    <w:rsid w:val="000F69AB"/>
    <w:rsid w:val="00106863"/>
    <w:rsid w:val="001121F5"/>
    <w:rsid w:val="00116806"/>
    <w:rsid w:val="00120D58"/>
    <w:rsid w:val="00124E1E"/>
    <w:rsid w:val="00131A71"/>
    <w:rsid w:val="00140CE1"/>
    <w:rsid w:val="00144001"/>
    <w:rsid w:val="0014750D"/>
    <w:rsid w:val="0016076F"/>
    <w:rsid w:val="00173E11"/>
    <w:rsid w:val="0017539C"/>
    <w:rsid w:val="00175AC2"/>
    <w:rsid w:val="0017609F"/>
    <w:rsid w:val="00182BB5"/>
    <w:rsid w:val="00182BF7"/>
    <w:rsid w:val="001839DB"/>
    <w:rsid w:val="00185CDA"/>
    <w:rsid w:val="00197BFA"/>
    <w:rsid w:val="001A03E9"/>
    <w:rsid w:val="001A1788"/>
    <w:rsid w:val="001A5809"/>
    <w:rsid w:val="001B57EF"/>
    <w:rsid w:val="001C628E"/>
    <w:rsid w:val="001C6BB0"/>
    <w:rsid w:val="001D12A9"/>
    <w:rsid w:val="001D7FEC"/>
    <w:rsid w:val="001E0F7B"/>
    <w:rsid w:val="001E60D9"/>
    <w:rsid w:val="001F3104"/>
    <w:rsid w:val="00200BAA"/>
    <w:rsid w:val="002059C4"/>
    <w:rsid w:val="002119FD"/>
    <w:rsid w:val="002130E0"/>
    <w:rsid w:val="00213108"/>
    <w:rsid w:val="00216578"/>
    <w:rsid w:val="00217933"/>
    <w:rsid w:val="00220812"/>
    <w:rsid w:val="0022780C"/>
    <w:rsid w:val="00231235"/>
    <w:rsid w:val="00233086"/>
    <w:rsid w:val="00237418"/>
    <w:rsid w:val="00245851"/>
    <w:rsid w:val="00265875"/>
    <w:rsid w:val="00266D44"/>
    <w:rsid w:val="00267C61"/>
    <w:rsid w:val="002707D5"/>
    <w:rsid w:val="0027303B"/>
    <w:rsid w:val="00273B0A"/>
    <w:rsid w:val="00276F03"/>
    <w:rsid w:val="00277D42"/>
    <w:rsid w:val="0028109B"/>
    <w:rsid w:val="0029519C"/>
    <w:rsid w:val="002A545A"/>
    <w:rsid w:val="002A5795"/>
    <w:rsid w:val="002B1F58"/>
    <w:rsid w:val="002C0D21"/>
    <w:rsid w:val="002C1C7A"/>
    <w:rsid w:val="002C3254"/>
    <w:rsid w:val="002D1059"/>
    <w:rsid w:val="002D41F5"/>
    <w:rsid w:val="002D45CB"/>
    <w:rsid w:val="002D5280"/>
    <w:rsid w:val="002D5C9F"/>
    <w:rsid w:val="002D6EF9"/>
    <w:rsid w:val="002E0192"/>
    <w:rsid w:val="002E1414"/>
    <w:rsid w:val="002E203B"/>
    <w:rsid w:val="002F3C1F"/>
    <w:rsid w:val="002F49C0"/>
    <w:rsid w:val="002F533C"/>
    <w:rsid w:val="002F6EE7"/>
    <w:rsid w:val="0030160F"/>
    <w:rsid w:val="003022CF"/>
    <w:rsid w:val="0030418F"/>
    <w:rsid w:val="00305D7E"/>
    <w:rsid w:val="00307445"/>
    <w:rsid w:val="00310476"/>
    <w:rsid w:val="00311777"/>
    <w:rsid w:val="003224DC"/>
    <w:rsid w:val="00322D0D"/>
    <w:rsid w:val="00322D46"/>
    <w:rsid w:val="00323872"/>
    <w:rsid w:val="0032648F"/>
    <w:rsid w:val="00327B1B"/>
    <w:rsid w:val="0033764C"/>
    <w:rsid w:val="003469CB"/>
    <w:rsid w:val="003472CE"/>
    <w:rsid w:val="00350808"/>
    <w:rsid w:val="00354F60"/>
    <w:rsid w:val="003563AB"/>
    <w:rsid w:val="003563AF"/>
    <w:rsid w:val="00363729"/>
    <w:rsid w:val="00387668"/>
    <w:rsid w:val="00387DA0"/>
    <w:rsid w:val="00390E66"/>
    <w:rsid w:val="003942D4"/>
    <w:rsid w:val="0039430B"/>
    <w:rsid w:val="003958A8"/>
    <w:rsid w:val="003970D5"/>
    <w:rsid w:val="003A0F50"/>
    <w:rsid w:val="003A0FBB"/>
    <w:rsid w:val="003B24A8"/>
    <w:rsid w:val="003B66DC"/>
    <w:rsid w:val="003C2533"/>
    <w:rsid w:val="003C5D3E"/>
    <w:rsid w:val="003D6982"/>
    <w:rsid w:val="003E00C6"/>
    <w:rsid w:val="003F2A45"/>
    <w:rsid w:val="0040435A"/>
    <w:rsid w:val="00410EE6"/>
    <w:rsid w:val="00415336"/>
    <w:rsid w:val="0041552F"/>
    <w:rsid w:val="00416A24"/>
    <w:rsid w:val="00425154"/>
    <w:rsid w:val="00425E35"/>
    <w:rsid w:val="00431D9E"/>
    <w:rsid w:val="00432294"/>
    <w:rsid w:val="00433CE8"/>
    <w:rsid w:val="00434A5C"/>
    <w:rsid w:val="00445079"/>
    <w:rsid w:val="0044676C"/>
    <w:rsid w:val="004544D9"/>
    <w:rsid w:val="00461EA8"/>
    <w:rsid w:val="004744E0"/>
    <w:rsid w:val="00477459"/>
    <w:rsid w:val="0048121D"/>
    <w:rsid w:val="00490E72"/>
    <w:rsid w:val="004921C8"/>
    <w:rsid w:val="00493688"/>
    <w:rsid w:val="004B2724"/>
    <w:rsid w:val="004B71E4"/>
    <w:rsid w:val="004C0774"/>
    <w:rsid w:val="004C5E08"/>
    <w:rsid w:val="004D1851"/>
    <w:rsid w:val="004D51B7"/>
    <w:rsid w:val="004D599D"/>
    <w:rsid w:val="004D689E"/>
    <w:rsid w:val="004E2EA5"/>
    <w:rsid w:val="004E3AEB"/>
    <w:rsid w:val="004E6629"/>
    <w:rsid w:val="0050223C"/>
    <w:rsid w:val="00514CDB"/>
    <w:rsid w:val="005243FF"/>
    <w:rsid w:val="00531610"/>
    <w:rsid w:val="00546E8B"/>
    <w:rsid w:val="00550BC0"/>
    <w:rsid w:val="00551C71"/>
    <w:rsid w:val="00560883"/>
    <w:rsid w:val="00564FBC"/>
    <w:rsid w:val="005721F6"/>
    <w:rsid w:val="00576DB5"/>
    <w:rsid w:val="00580F5B"/>
    <w:rsid w:val="00582442"/>
    <w:rsid w:val="00583A1F"/>
    <w:rsid w:val="005865CA"/>
    <w:rsid w:val="00593071"/>
    <w:rsid w:val="005A02FF"/>
    <w:rsid w:val="005A5D6A"/>
    <w:rsid w:val="005B469D"/>
    <w:rsid w:val="005B5280"/>
    <w:rsid w:val="005C64B6"/>
    <w:rsid w:val="005D3E92"/>
    <w:rsid w:val="005E043B"/>
    <w:rsid w:val="005F62C6"/>
    <w:rsid w:val="00603E86"/>
    <w:rsid w:val="006079E7"/>
    <w:rsid w:val="00611B4F"/>
    <w:rsid w:val="00624A94"/>
    <w:rsid w:val="00631F75"/>
    <w:rsid w:val="00640FA1"/>
    <w:rsid w:val="0064192D"/>
    <w:rsid w:val="00646A53"/>
    <w:rsid w:val="0064731C"/>
    <w:rsid w:val="00647E1B"/>
    <w:rsid w:val="00652EEC"/>
    <w:rsid w:val="006535F1"/>
    <w:rsid w:val="0065557D"/>
    <w:rsid w:val="0065607D"/>
    <w:rsid w:val="0065649E"/>
    <w:rsid w:val="006626FB"/>
    <w:rsid w:val="00662984"/>
    <w:rsid w:val="006716BB"/>
    <w:rsid w:val="006728C7"/>
    <w:rsid w:val="00674094"/>
    <w:rsid w:val="00676531"/>
    <w:rsid w:val="00676824"/>
    <w:rsid w:val="0068331A"/>
    <w:rsid w:val="00683447"/>
    <w:rsid w:val="006906DF"/>
    <w:rsid w:val="006935A1"/>
    <w:rsid w:val="00693C59"/>
    <w:rsid w:val="006A0C0D"/>
    <w:rsid w:val="006B018A"/>
    <w:rsid w:val="006B1BF7"/>
    <w:rsid w:val="006B2FAF"/>
    <w:rsid w:val="006B6DCC"/>
    <w:rsid w:val="006C68B0"/>
    <w:rsid w:val="006D161D"/>
    <w:rsid w:val="006D44DF"/>
    <w:rsid w:val="006D450C"/>
    <w:rsid w:val="006F1708"/>
    <w:rsid w:val="006F4348"/>
    <w:rsid w:val="00700E21"/>
    <w:rsid w:val="007043EB"/>
    <w:rsid w:val="00705591"/>
    <w:rsid w:val="00705870"/>
    <w:rsid w:val="007130C1"/>
    <w:rsid w:val="00715A6E"/>
    <w:rsid w:val="0071644D"/>
    <w:rsid w:val="0071780B"/>
    <w:rsid w:val="00717DE6"/>
    <w:rsid w:val="0072490B"/>
    <w:rsid w:val="007252E0"/>
    <w:rsid w:val="00725EEF"/>
    <w:rsid w:val="0072691E"/>
    <w:rsid w:val="00731B17"/>
    <w:rsid w:val="00734983"/>
    <w:rsid w:val="00741C2A"/>
    <w:rsid w:val="00747242"/>
    <w:rsid w:val="0075051B"/>
    <w:rsid w:val="00750912"/>
    <w:rsid w:val="007554EF"/>
    <w:rsid w:val="007575C7"/>
    <w:rsid w:val="00780A8C"/>
    <w:rsid w:val="0078370C"/>
    <w:rsid w:val="00785AE8"/>
    <w:rsid w:val="007867AC"/>
    <w:rsid w:val="00790135"/>
    <w:rsid w:val="00793EC2"/>
    <w:rsid w:val="00794D34"/>
    <w:rsid w:val="007A38E5"/>
    <w:rsid w:val="007A6435"/>
    <w:rsid w:val="007A6B92"/>
    <w:rsid w:val="007B0B8D"/>
    <w:rsid w:val="007B7033"/>
    <w:rsid w:val="007C75B1"/>
    <w:rsid w:val="007D171E"/>
    <w:rsid w:val="007D51AB"/>
    <w:rsid w:val="007D51F3"/>
    <w:rsid w:val="007E2745"/>
    <w:rsid w:val="007E2B84"/>
    <w:rsid w:val="007F10D9"/>
    <w:rsid w:val="007F2303"/>
    <w:rsid w:val="007F57E5"/>
    <w:rsid w:val="007F6444"/>
    <w:rsid w:val="007F6981"/>
    <w:rsid w:val="008004C9"/>
    <w:rsid w:val="0080258E"/>
    <w:rsid w:val="00806713"/>
    <w:rsid w:val="00806D20"/>
    <w:rsid w:val="00813E5E"/>
    <w:rsid w:val="008237AC"/>
    <w:rsid w:val="0083581B"/>
    <w:rsid w:val="0083756E"/>
    <w:rsid w:val="008454E7"/>
    <w:rsid w:val="008548F9"/>
    <w:rsid w:val="008601F0"/>
    <w:rsid w:val="00864AFF"/>
    <w:rsid w:val="008659E6"/>
    <w:rsid w:val="0087682F"/>
    <w:rsid w:val="0088241F"/>
    <w:rsid w:val="00885048"/>
    <w:rsid w:val="008855AB"/>
    <w:rsid w:val="00893872"/>
    <w:rsid w:val="00897575"/>
    <w:rsid w:val="00897BBB"/>
    <w:rsid w:val="008A1D65"/>
    <w:rsid w:val="008A260C"/>
    <w:rsid w:val="008A5115"/>
    <w:rsid w:val="008B114C"/>
    <w:rsid w:val="008B1258"/>
    <w:rsid w:val="008B4A6A"/>
    <w:rsid w:val="008B4EE6"/>
    <w:rsid w:val="008B54B4"/>
    <w:rsid w:val="008B5D33"/>
    <w:rsid w:val="008B6B83"/>
    <w:rsid w:val="008C4156"/>
    <w:rsid w:val="008C7E27"/>
    <w:rsid w:val="008D1CE4"/>
    <w:rsid w:val="008D7490"/>
    <w:rsid w:val="008D7C93"/>
    <w:rsid w:val="008E5618"/>
    <w:rsid w:val="008F30D5"/>
    <w:rsid w:val="008F7372"/>
    <w:rsid w:val="00903B07"/>
    <w:rsid w:val="00907DC7"/>
    <w:rsid w:val="00911B8A"/>
    <w:rsid w:val="009140B3"/>
    <w:rsid w:val="00914782"/>
    <w:rsid w:val="00915304"/>
    <w:rsid w:val="009173EF"/>
    <w:rsid w:val="00923530"/>
    <w:rsid w:val="00927C3F"/>
    <w:rsid w:val="0093244D"/>
    <w:rsid w:val="00932906"/>
    <w:rsid w:val="009412D7"/>
    <w:rsid w:val="009417AB"/>
    <w:rsid w:val="0094320A"/>
    <w:rsid w:val="00954CB4"/>
    <w:rsid w:val="00960718"/>
    <w:rsid w:val="00961B0B"/>
    <w:rsid w:val="00963305"/>
    <w:rsid w:val="0096644E"/>
    <w:rsid w:val="009719A8"/>
    <w:rsid w:val="00975671"/>
    <w:rsid w:val="00980E86"/>
    <w:rsid w:val="009820C8"/>
    <w:rsid w:val="00982835"/>
    <w:rsid w:val="00990066"/>
    <w:rsid w:val="00990CC2"/>
    <w:rsid w:val="009B0A65"/>
    <w:rsid w:val="009B1B1E"/>
    <w:rsid w:val="009B38C3"/>
    <w:rsid w:val="009C5D8F"/>
    <w:rsid w:val="009C77BB"/>
    <w:rsid w:val="009C7F99"/>
    <w:rsid w:val="009D3F48"/>
    <w:rsid w:val="009D6D9F"/>
    <w:rsid w:val="009E17BD"/>
    <w:rsid w:val="009E3D9C"/>
    <w:rsid w:val="009F724C"/>
    <w:rsid w:val="00A01CBA"/>
    <w:rsid w:val="00A0424A"/>
    <w:rsid w:val="00A04AAB"/>
    <w:rsid w:val="00A04CEC"/>
    <w:rsid w:val="00A06F99"/>
    <w:rsid w:val="00A11083"/>
    <w:rsid w:val="00A22CBE"/>
    <w:rsid w:val="00A2398C"/>
    <w:rsid w:val="00A27F92"/>
    <w:rsid w:val="00A32257"/>
    <w:rsid w:val="00A3250F"/>
    <w:rsid w:val="00A36D20"/>
    <w:rsid w:val="00A41DFA"/>
    <w:rsid w:val="00A4620F"/>
    <w:rsid w:val="00A504FE"/>
    <w:rsid w:val="00A506F3"/>
    <w:rsid w:val="00A55622"/>
    <w:rsid w:val="00A563A9"/>
    <w:rsid w:val="00A65E12"/>
    <w:rsid w:val="00A67166"/>
    <w:rsid w:val="00A736C3"/>
    <w:rsid w:val="00A80535"/>
    <w:rsid w:val="00A83502"/>
    <w:rsid w:val="00A916BA"/>
    <w:rsid w:val="00AB36AD"/>
    <w:rsid w:val="00AC6AE1"/>
    <w:rsid w:val="00AE23DF"/>
    <w:rsid w:val="00AE3D31"/>
    <w:rsid w:val="00AE57FF"/>
    <w:rsid w:val="00AF5ECC"/>
    <w:rsid w:val="00AF6E12"/>
    <w:rsid w:val="00AF6E49"/>
    <w:rsid w:val="00AF7D4A"/>
    <w:rsid w:val="00B02EC7"/>
    <w:rsid w:val="00B04A67"/>
    <w:rsid w:val="00B0583C"/>
    <w:rsid w:val="00B06FE2"/>
    <w:rsid w:val="00B1158F"/>
    <w:rsid w:val="00B13FA7"/>
    <w:rsid w:val="00B14073"/>
    <w:rsid w:val="00B30928"/>
    <w:rsid w:val="00B31F65"/>
    <w:rsid w:val="00B34520"/>
    <w:rsid w:val="00B4038C"/>
    <w:rsid w:val="00B40A81"/>
    <w:rsid w:val="00B44910"/>
    <w:rsid w:val="00B51B0F"/>
    <w:rsid w:val="00B558BA"/>
    <w:rsid w:val="00B55A4C"/>
    <w:rsid w:val="00B60D15"/>
    <w:rsid w:val="00B616B5"/>
    <w:rsid w:val="00B63795"/>
    <w:rsid w:val="00B64B30"/>
    <w:rsid w:val="00B64E39"/>
    <w:rsid w:val="00B71612"/>
    <w:rsid w:val="00B72267"/>
    <w:rsid w:val="00B758B0"/>
    <w:rsid w:val="00B76EB6"/>
    <w:rsid w:val="00B77FE4"/>
    <w:rsid w:val="00B81077"/>
    <w:rsid w:val="00B824C8"/>
    <w:rsid w:val="00B83C6A"/>
    <w:rsid w:val="00B90304"/>
    <w:rsid w:val="00B92B2B"/>
    <w:rsid w:val="00BA2003"/>
    <w:rsid w:val="00BB0C54"/>
    <w:rsid w:val="00BB18A7"/>
    <w:rsid w:val="00BB1BA5"/>
    <w:rsid w:val="00BC251A"/>
    <w:rsid w:val="00BC4187"/>
    <w:rsid w:val="00BD032B"/>
    <w:rsid w:val="00BD33B5"/>
    <w:rsid w:val="00BD4BC1"/>
    <w:rsid w:val="00BE2640"/>
    <w:rsid w:val="00BE3159"/>
    <w:rsid w:val="00BE5AF2"/>
    <w:rsid w:val="00BF470B"/>
    <w:rsid w:val="00BF4F4F"/>
    <w:rsid w:val="00BF67F7"/>
    <w:rsid w:val="00BF720B"/>
    <w:rsid w:val="00C01189"/>
    <w:rsid w:val="00C13269"/>
    <w:rsid w:val="00C142DE"/>
    <w:rsid w:val="00C14CF3"/>
    <w:rsid w:val="00C1602D"/>
    <w:rsid w:val="00C177FC"/>
    <w:rsid w:val="00C215C3"/>
    <w:rsid w:val="00C30F6A"/>
    <w:rsid w:val="00C374DE"/>
    <w:rsid w:val="00C47AD4"/>
    <w:rsid w:val="00C52D81"/>
    <w:rsid w:val="00C55198"/>
    <w:rsid w:val="00C60551"/>
    <w:rsid w:val="00C61B5A"/>
    <w:rsid w:val="00C64176"/>
    <w:rsid w:val="00C66724"/>
    <w:rsid w:val="00C6745C"/>
    <w:rsid w:val="00C71121"/>
    <w:rsid w:val="00C712C9"/>
    <w:rsid w:val="00C7326D"/>
    <w:rsid w:val="00C82081"/>
    <w:rsid w:val="00C85256"/>
    <w:rsid w:val="00C86925"/>
    <w:rsid w:val="00C86ED3"/>
    <w:rsid w:val="00C935E3"/>
    <w:rsid w:val="00C979AC"/>
    <w:rsid w:val="00C979ED"/>
    <w:rsid w:val="00CA6393"/>
    <w:rsid w:val="00CA764E"/>
    <w:rsid w:val="00CB18FF"/>
    <w:rsid w:val="00CC183C"/>
    <w:rsid w:val="00CC7461"/>
    <w:rsid w:val="00CD0C08"/>
    <w:rsid w:val="00CD272F"/>
    <w:rsid w:val="00CD7954"/>
    <w:rsid w:val="00CE0163"/>
    <w:rsid w:val="00CE03FB"/>
    <w:rsid w:val="00CE13A1"/>
    <w:rsid w:val="00CE433C"/>
    <w:rsid w:val="00CF0098"/>
    <w:rsid w:val="00CF33F3"/>
    <w:rsid w:val="00CF5635"/>
    <w:rsid w:val="00CF59FF"/>
    <w:rsid w:val="00D02E99"/>
    <w:rsid w:val="00D0405D"/>
    <w:rsid w:val="00D06183"/>
    <w:rsid w:val="00D21561"/>
    <w:rsid w:val="00D22C42"/>
    <w:rsid w:val="00D34330"/>
    <w:rsid w:val="00D34ABC"/>
    <w:rsid w:val="00D45045"/>
    <w:rsid w:val="00D4607F"/>
    <w:rsid w:val="00D51868"/>
    <w:rsid w:val="00D576D5"/>
    <w:rsid w:val="00D57B30"/>
    <w:rsid w:val="00D60522"/>
    <w:rsid w:val="00D65041"/>
    <w:rsid w:val="00D67244"/>
    <w:rsid w:val="00D72E4D"/>
    <w:rsid w:val="00D73823"/>
    <w:rsid w:val="00D765A7"/>
    <w:rsid w:val="00D77871"/>
    <w:rsid w:val="00D81997"/>
    <w:rsid w:val="00D83446"/>
    <w:rsid w:val="00D90976"/>
    <w:rsid w:val="00D95BB9"/>
    <w:rsid w:val="00DA3561"/>
    <w:rsid w:val="00DB492C"/>
    <w:rsid w:val="00DB5F27"/>
    <w:rsid w:val="00DC0EB1"/>
    <w:rsid w:val="00DC7F4F"/>
    <w:rsid w:val="00DD26B1"/>
    <w:rsid w:val="00DD52F2"/>
    <w:rsid w:val="00DD77FB"/>
    <w:rsid w:val="00DE4687"/>
    <w:rsid w:val="00DF280A"/>
    <w:rsid w:val="00E007D2"/>
    <w:rsid w:val="00E047E2"/>
    <w:rsid w:val="00E10E80"/>
    <w:rsid w:val="00E124F0"/>
    <w:rsid w:val="00E15F6D"/>
    <w:rsid w:val="00E2672F"/>
    <w:rsid w:val="00E27F90"/>
    <w:rsid w:val="00E3248F"/>
    <w:rsid w:val="00E37C1F"/>
    <w:rsid w:val="00E47FD8"/>
    <w:rsid w:val="00E60F04"/>
    <w:rsid w:val="00E64342"/>
    <w:rsid w:val="00E67A3A"/>
    <w:rsid w:val="00E71C45"/>
    <w:rsid w:val="00E7516C"/>
    <w:rsid w:val="00E775B3"/>
    <w:rsid w:val="00E807C1"/>
    <w:rsid w:val="00E90CB3"/>
    <w:rsid w:val="00E91ABA"/>
    <w:rsid w:val="00EA4968"/>
    <w:rsid w:val="00EA79CF"/>
    <w:rsid w:val="00EB0D6F"/>
    <w:rsid w:val="00EB2232"/>
    <w:rsid w:val="00EC5337"/>
    <w:rsid w:val="00EC5797"/>
    <w:rsid w:val="00EE05E0"/>
    <w:rsid w:val="00EE1397"/>
    <w:rsid w:val="00EF2B7B"/>
    <w:rsid w:val="00F04C70"/>
    <w:rsid w:val="00F07537"/>
    <w:rsid w:val="00F2150A"/>
    <w:rsid w:val="00F231D8"/>
    <w:rsid w:val="00F23F38"/>
    <w:rsid w:val="00F24E7F"/>
    <w:rsid w:val="00F253F1"/>
    <w:rsid w:val="00F379D4"/>
    <w:rsid w:val="00F46C5F"/>
    <w:rsid w:val="00F63AF4"/>
    <w:rsid w:val="00F64F98"/>
    <w:rsid w:val="00F717F7"/>
    <w:rsid w:val="00F72942"/>
    <w:rsid w:val="00F75174"/>
    <w:rsid w:val="00F771F4"/>
    <w:rsid w:val="00F82879"/>
    <w:rsid w:val="00F855DE"/>
    <w:rsid w:val="00F8750A"/>
    <w:rsid w:val="00F94A63"/>
    <w:rsid w:val="00F94B35"/>
    <w:rsid w:val="00FA15C0"/>
    <w:rsid w:val="00FA1791"/>
    <w:rsid w:val="00FB21C9"/>
    <w:rsid w:val="00FB40DF"/>
    <w:rsid w:val="00FB7596"/>
    <w:rsid w:val="00FC01A4"/>
    <w:rsid w:val="00FC2232"/>
    <w:rsid w:val="00FC6F09"/>
    <w:rsid w:val="00FD396D"/>
    <w:rsid w:val="00FD51DC"/>
    <w:rsid w:val="00FD5F2B"/>
    <w:rsid w:val="00FE15EA"/>
    <w:rsid w:val="00FE4077"/>
    <w:rsid w:val="00FE535E"/>
    <w:rsid w:val="00FE776D"/>
    <w:rsid w:val="00FE77D2"/>
    <w:rsid w:val="00FF36B7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A7FED08"/>
  <w15:docId w15:val="{4BBA4352-173A-4004-BBAF-B142FBEF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rsid w:val="00813E5E"/>
    <w:pPr>
      <w:outlineLvl w:val="4"/>
    </w:pPr>
  </w:style>
  <w:style w:type="paragraph" w:styleId="Heading6">
    <w:name w:val="heading 6"/>
    <w:basedOn w:val="Heading4"/>
    <w:next w:val="Normal"/>
    <w:rsid w:val="00813E5E"/>
    <w:pPr>
      <w:outlineLvl w:val="5"/>
    </w:pPr>
  </w:style>
  <w:style w:type="paragraph" w:styleId="Heading7">
    <w:name w:val="heading 7"/>
    <w:basedOn w:val="Heading4"/>
    <w:next w:val="Normal"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4D185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4D1851"/>
    <w:rPr>
      <w:vertAlign w:val="superscript"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firstfooter0">
    <w:name w:val="first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6535F1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styleId="CommentReference">
    <w:name w:val="annotation reference"/>
    <w:basedOn w:val="DefaultParagraphFont"/>
    <w:uiPriority w:val="99"/>
    <w:semiHidden/>
    <w:unhideWhenUsed/>
    <w:rsid w:val="008A26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60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/>
      <w:textAlignment w:val="auto"/>
    </w:pPr>
    <w:rPr>
      <w:rFonts w:ascii="Arial" w:eastAsiaTheme="minorHAnsi" w:hAnsi="Arial" w:cs="Arial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60C"/>
    <w:rPr>
      <w:rFonts w:ascii="Arial" w:eastAsiaTheme="minorHAnsi" w:hAnsi="Arial" w:cs="Arial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80535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5174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75174"/>
    <w:rPr>
      <w:rFonts w:ascii="Calibri" w:eastAsiaTheme="minorHAnsi" w:hAnsi="Calibri" w:cs="Arial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7517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75174"/>
    <w:rPr>
      <w:rFonts w:ascii="Segoe UI" w:hAnsi="Segoe UI" w:cs="Segoe UI"/>
      <w:sz w:val="18"/>
      <w:szCs w:val="18"/>
      <w:lang w:val="en-GB" w:eastAsia="en-US"/>
    </w:rPr>
  </w:style>
  <w:style w:type="paragraph" w:customStyle="1" w:styleId="NumberedParagraph">
    <w:name w:val="Numbered Paragraph"/>
    <w:basedOn w:val="Normal"/>
    <w:link w:val="NumberedParagraphChar"/>
    <w:rsid w:val="0067653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after="120"/>
      <w:ind w:firstLine="567"/>
      <w:jc w:val="both"/>
    </w:pPr>
    <w:rPr>
      <w:rFonts w:asciiTheme="minorHAnsi" w:hAnsiTheme="minorHAnsi"/>
      <w:szCs w:val="22"/>
    </w:rPr>
  </w:style>
  <w:style w:type="paragraph" w:customStyle="1" w:styleId="Normalnumbered">
    <w:name w:val="Normal (numbered)"/>
    <w:basedOn w:val="ListParagraph"/>
    <w:link w:val="NormalnumberedChar"/>
    <w:qFormat/>
    <w:rsid w:val="00F64F98"/>
    <w:pPr>
      <w:numPr>
        <w:ilvl w:val="1"/>
        <w:numId w:val="17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80" w:after="120"/>
      <w:contextualSpacing w:val="0"/>
      <w:jc w:val="both"/>
    </w:pPr>
    <w:rPr>
      <w:rFonts w:asciiTheme="minorHAnsi" w:hAnsiTheme="minorHAnsi"/>
      <w:szCs w:val="24"/>
    </w:rPr>
  </w:style>
  <w:style w:type="character" w:customStyle="1" w:styleId="NumberedParagraphChar">
    <w:name w:val="Numbered Paragraph Char"/>
    <w:basedOn w:val="DefaultParagraphFont"/>
    <w:link w:val="NumberedParagraph"/>
    <w:rsid w:val="00676531"/>
    <w:rPr>
      <w:rFonts w:asciiTheme="minorHAnsi" w:hAnsiTheme="minorHAnsi"/>
      <w:sz w:val="24"/>
      <w:szCs w:val="22"/>
      <w:lang w:val="en-GB" w:eastAsia="en-US"/>
    </w:rPr>
  </w:style>
  <w:style w:type="paragraph" w:customStyle="1" w:styleId="NumberedHeading">
    <w:name w:val="Numbered Heading"/>
    <w:basedOn w:val="Normalnumbered"/>
    <w:link w:val="NumberedHeadingChar"/>
    <w:qFormat/>
    <w:rsid w:val="003472CE"/>
    <w:pPr>
      <w:keepNext/>
      <w:numPr>
        <w:ilvl w:val="0"/>
      </w:numPr>
      <w:spacing w:before="480" w:after="0"/>
      <w:ind w:left="357" w:hanging="357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17DE6"/>
    <w:rPr>
      <w:rFonts w:ascii="Calibri" w:hAnsi="Calibri"/>
      <w:sz w:val="24"/>
      <w:lang w:val="en-GB" w:eastAsia="en-US"/>
    </w:rPr>
  </w:style>
  <w:style w:type="character" w:customStyle="1" w:styleId="NormalnumberedChar">
    <w:name w:val="Normal (numbered) Char"/>
    <w:basedOn w:val="ListParagraphChar"/>
    <w:link w:val="Normalnumbered"/>
    <w:rsid w:val="00F64F98"/>
    <w:rPr>
      <w:rFonts w:asciiTheme="minorHAnsi" w:hAnsiTheme="minorHAnsi"/>
      <w:sz w:val="24"/>
      <w:szCs w:val="24"/>
      <w:lang w:val="en-GB" w:eastAsia="en-US"/>
    </w:rPr>
  </w:style>
  <w:style w:type="character" w:customStyle="1" w:styleId="NumberedHeadingChar">
    <w:name w:val="Numbered Heading Char"/>
    <w:basedOn w:val="NormalnumberedChar"/>
    <w:link w:val="NumberedHeading"/>
    <w:rsid w:val="003472CE"/>
    <w:rPr>
      <w:rFonts w:asciiTheme="minorHAnsi" w:hAnsiTheme="minorHAnsi"/>
      <w:b/>
      <w:sz w:val="24"/>
      <w:szCs w:val="24"/>
      <w:lang w:val="en-GB" w:eastAsia="en-US"/>
    </w:rPr>
  </w:style>
  <w:style w:type="table" w:styleId="TableGrid">
    <w:name w:val="Table Grid"/>
    <w:basedOn w:val="TableNormal"/>
    <w:rsid w:val="00CC1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2-Accent1">
    <w:name w:val="List Table 2 Accent 1"/>
    <w:basedOn w:val="TableNormal"/>
    <w:uiPriority w:val="47"/>
    <w:rsid w:val="00EE05E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E05E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semiHidden/>
    <w:rsid w:val="00F855DE"/>
    <w:rPr>
      <w:rFonts w:ascii="Calibri" w:hAnsi="Calibri"/>
      <w:sz w:val="24"/>
      <w:lang w:val="en-GB" w:eastAsia="en-US"/>
    </w:rPr>
  </w:style>
  <w:style w:type="character" w:customStyle="1" w:styleId="HeaderChar">
    <w:name w:val="Header Char"/>
    <w:link w:val="Header"/>
    <w:rsid w:val="00D576D5"/>
    <w:rPr>
      <w:rFonts w:ascii="Calibri" w:hAnsi="Calibri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/S-CONF-PLEN-201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18-CL-C-0040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S18-CL-C-0022/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36FEE-7171-4816-BEBC-ACC8148CA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1163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C15/22 - Fourth annual report of the IMAC</vt:lpstr>
    </vt:vector>
  </TitlesOfParts>
  <Manager>General Secretariat - Pool</Manager>
  <Company>International Telecommunication Union (ITU)</Company>
  <LinksUpToDate>false</LinksUpToDate>
  <CharactersWithSpaces>7786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report of the IMAC</dc:title>
  <dc:subject>Council 2018</dc:subject>
  <dc:creator>Brouard, Ricarda</dc:creator>
  <cp:keywords>C2018, C18</cp:keywords>
  <dc:description/>
  <cp:lastModifiedBy>Brouard, Ricarda</cp:lastModifiedBy>
  <cp:revision>3</cp:revision>
  <cp:lastPrinted>2016-05-23T23:10:00Z</cp:lastPrinted>
  <dcterms:created xsi:type="dcterms:W3CDTF">2018-09-25T08:46:00Z</dcterms:created>
  <dcterms:modified xsi:type="dcterms:W3CDTF">2018-10-01T13:01:00Z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