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101FE" w:rsidTr="00212825">
        <w:trPr>
          <w:cantSplit/>
        </w:trPr>
        <w:tc>
          <w:tcPr>
            <w:tcW w:w="6911" w:type="dxa"/>
          </w:tcPr>
          <w:p w:rsidR="00BC7BC0" w:rsidRPr="007101FE" w:rsidRDefault="000569B4" w:rsidP="00C91BB2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7101F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101F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C91BB2" w:rsidRPr="007101FE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7101F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101F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101FE">
              <w:rPr>
                <w:b/>
                <w:bCs/>
                <w:szCs w:val="22"/>
                <w:lang w:val="ru-RU"/>
              </w:rPr>
              <w:t xml:space="preserve">, </w:t>
            </w:r>
            <w:r w:rsidR="00B54D71" w:rsidRPr="007101FE">
              <w:rPr>
                <w:b/>
                <w:bCs/>
                <w:szCs w:val="22"/>
                <w:lang w:val="ru-RU"/>
              </w:rPr>
              <w:t>1</w:t>
            </w:r>
            <w:r w:rsidR="00C91BB2" w:rsidRPr="007101FE">
              <w:rPr>
                <w:b/>
                <w:bCs/>
                <w:szCs w:val="22"/>
                <w:lang w:val="ru-RU"/>
              </w:rPr>
              <w:t>7</w:t>
            </w:r>
            <w:r w:rsidR="00B54D71" w:rsidRPr="007101FE">
              <w:rPr>
                <w:b/>
                <w:bCs/>
                <w:szCs w:val="22"/>
                <w:lang w:val="ru-RU"/>
              </w:rPr>
              <w:t>−</w:t>
            </w:r>
            <w:r w:rsidR="00225368" w:rsidRPr="007101FE">
              <w:rPr>
                <w:b/>
                <w:bCs/>
                <w:lang w:val="ru-RU"/>
              </w:rPr>
              <w:t>2</w:t>
            </w:r>
            <w:r w:rsidR="00C91BB2" w:rsidRPr="007101FE">
              <w:rPr>
                <w:b/>
                <w:bCs/>
                <w:lang w:val="ru-RU"/>
              </w:rPr>
              <w:t>7</w:t>
            </w:r>
            <w:r w:rsidR="0091182C" w:rsidRPr="007101FE">
              <w:rPr>
                <w:b/>
                <w:bCs/>
                <w:lang w:val="ru-RU"/>
              </w:rPr>
              <w:t xml:space="preserve"> </w:t>
            </w:r>
            <w:r w:rsidR="00C91BB2" w:rsidRPr="007101FE">
              <w:rPr>
                <w:b/>
                <w:bCs/>
                <w:lang w:val="ru-RU"/>
              </w:rPr>
              <w:t>апреля</w:t>
            </w:r>
            <w:r w:rsidR="00225368" w:rsidRPr="007101FE">
              <w:rPr>
                <w:b/>
                <w:bCs/>
                <w:lang w:val="ru-RU"/>
              </w:rPr>
              <w:t xml:space="preserve"> 201</w:t>
            </w:r>
            <w:r w:rsidR="00C91BB2" w:rsidRPr="007101FE">
              <w:rPr>
                <w:b/>
                <w:bCs/>
                <w:lang w:val="ru-RU"/>
              </w:rPr>
              <w:t>8</w:t>
            </w:r>
            <w:r w:rsidR="00225368" w:rsidRPr="007101F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101FE" w:rsidRDefault="0091182C" w:rsidP="00302693">
            <w:pPr>
              <w:spacing w:before="0"/>
              <w:rPr>
                <w:szCs w:val="22"/>
                <w:lang w:val="ru-RU"/>
              </w:rPr>
            </w:pPr>
            <w:bookmarkStart w:id="1" w:name="ditulogo"/>
            <w:bookmarkEnd w:id="1"/>
            <w:r w:rsidRPr="007101FE">
              <w:rPr>
                <w:noProof/>
                <w:lang w:val="en-US" w:eastAsia="zh-CN"/>
              </w:rPr>
              <w:drawing>
                <wp:inline distT="0" distB="0" distL="0" distR="0" wp14:anchorId="75CD285D" wp14:editId="5A927883">
                  <wp:extent cx="1314450" cy="695325"/>
                  <wp:effectExtent l="0" t="0" r="0" b="9525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101FE" w:rsidTr="0021282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101FE" w:rsidRDefault="00BC7BC0" w:rsidP="0000706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101FE" w:rsidRDefault="00BC7BC0" w:rsidP="0000706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101FE" w:rsidTr="0021282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101FE" w:rsidRDefault="00BC7BC0" w:rsidP="0000706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101FE" w:rsidRDefault="00BC7BC0" w:rsidP="0000706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101FE" w:rsidTr="0021282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101FE" w:rsidRDefault="00BC7BC0" w:rsidP="00C91BB2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7101F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101F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7101FE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PL</w:t>
            </w:r>
            <w:r w:rsidR="00683C70" w:rsidRPr="007101FE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 xml:space="preserve"> </w:t>
            </w:r>
            <w:r w:rsidR="00D85CA1" w:rsidRPr="007101FE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1.</w:t>
            </w:r>
            <w:r w:rsidR="00C91BB2" w:rsidRPr="007101FE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11</w:t>
            </w:r>
          </w:p>
        </w:tc>
        <w:tc>
          <w:tcPr>
            <w:tcW w:w="3120" w:type="dxa"/>
          </w:tcPr>
          <w:p w:rsidR="00BC7BC0" w:rsidRPr="007101FE" w:rsidRDefault="00BC7BC0" w:rsidP="00C91BB2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01F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101FE">
              <w:rPr>
                <w:b/>
                <w:bCs/>
                <w:szCs w:val="22"/>
                <w:lang w:val="ru-RU"/>
              </w:rPr>
              <w:t>1</w:t>
            </w:r>
            <w:r w:rsidR="00C91BB2" w:rsidRPr="007101FE">
              <w:rPr>
                <w:b/>
                <w:bCs/>
                <w:szCs w:val="22"/>
                <w:lang w:val="ru-RU"/>
              </w:rPr>
              <w:t>8</w:t>
            </w:r>
            <w:r w:rsidRPr="007101FE">
              <w:rPr>
                <w:b/>
                <w:bCs/>
                <w:szCs w:val="22"/>
                <w:lang w:val="ru-RU"/>
              </w:rPr>
              <w:t>/</w:t>
            </w:r>
            <w:r w:rsidR="00D85CA1" w:rsidRPr="007101FE">
              <w:rPr>
                <w:b/>
                <w:bCs/>
                <w:szCs w:val="22"/>
                <w:lang w:val="ru-RU"/>
              </w:rPr>
              <w:t>3</w:t>
            </w:r>
            <w:r w:rsidR="00683C70" w:rsidRPr="007101FE">
              <w:rPr>
                <w:b/>
                <w:bCs/>
                <w:szCs w:val="22"/>
                <w:lang w:val="ru-RU"/>
              </w:rPr>
              <w:t>1</w:t>
            </w:r>
            <w:r w:rsidRPr="007101F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101FE" w:rsidTr="00212825">
        <w:trPr>
          <w:cantSplit/>
          <w:trHeight w:val="23"/>
        </w:trPr>
        <w:tc>
          <w:tcPr>
            <w:tcW w:w="6911" w:type="dxa"/>
            <w:vMerge/>
          </w:tcPr>
          <w:p w:rsidR="00BC7BC0" w:rsidRPr="007101FE" w:rsidRDefault="00BC7BC0" w:rsidP="0000706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101FE" w:rsidRDefault="00C91BB2" w:rsidP="00C91BB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01FE">
              <w:rPr>
                <w:b/>
                <w:bCs/>
                <w:szCs w:val="22"/>
                <w:lang w:val="ru-RU"/>
              </w:rPr>
              <w:t>8 февраля</w:t>
            </w:r>
            <w:r w:rsidR="00BC7BC0" w:rsidRPr="007101FE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7101FE">
              <w:rPr>
                <w:b/>
                <w:bCs/>
                <w:szCs w:val="22"/>
                <w:lang w:val="ru-RU"/>
              </w:rPr>
              <w:t>1</w:t>
            </w:r>
            <w:r w:rsidRPr="007101FE">
              <w:rPr>
                <w:b/>
                <w:bCs/>
                <w:szCs w:val="22"/>
                <w:lang w:val="ru-RU"/>
              </w:rPr>
              <w:t>8</w:t>
            </w:r>
            <w:r w:rsidR="00BC7BC0" w:rsidRPr="007101F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101FE" w:rsidTr="00212825">
        <w:trPr>
          <w:cantSplit/>
          <w:trHeight w:val="23"/>
        </w:trPr>
        <w:tc>
          <w:tcPr>
            <w:tcW w:w="6911" w:type="dxa"/>
            <w:vMerge/>
          </w:tcPr>
          <w:p w:rsidR="00BC7BC0" w:rsidRPr="007101FE" w:rsidRDefault="00BC7BC0" w:rsidP="0000706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101FE" w:rsidRDefault="00BC7BC0" w:rsidP="0000706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01F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101FE" w:rsidTr="00212825">
        <w:trPr>
          <w:cantSplit/>
        </w:trPr>
        <w:tc>
          <w:tcPr>
            <w:tcW w:w="10031" w:type="dxa"/>
            <w:gridSpan w:val="2"/>
          </w:tcPr>
          <w:p w:rsidR="00BC7BC0" w:rsidRPr="007101FE" w:rsidRDefault="00BC7BC0" w:rsidP="00BA6A14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7101FE">
              <w:rPr>
                <w:lang w:val="ru-RU"/>
              </w:rPr>
              <w:t>Отчет Генерального секретаря</w:t>
            </w:r>
          </w:p>
        </w:tc>
      </w:tr>
      <w:tr w:rsidR="00BC7BC0" w:rsidRPr="004C277B" w:rsidTr="00212825">
        <w:trPr>
          <w:cantSplit/>
        </w:trPr>
        <w:tc>
          <w:tcPr>
            <w:tcW w:w="10031" w:type="dxa"/>
            <w:gridSpan w:val="2"/>
          </w:tcPr>
          <w:p w:rsidR="00BC7BC0" w:rsidRPr="007101FE" w:rsidRDefault="00650443" w:rsidP="00C91BB2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7101FE">
              <w:rPr>
                <w:rFonts w:cs="Calibri"/>
                <w:lang w:val="ru-RU"/>
              </w:rPr>
              <w:t xml:space="preserve">ПРОЕКТ ЧЕТЫРЕХГОДИЧНОГО СКОЛЬЗЯЩЕГО ОПЕРАТИВНОГО ПЛАНА </w:t>
            </w:r>
            <w:r w:rsidRPr="007101FE">
              <w:rPr>
                <w:rFonts w:cs="Calibri"/>
                <w:lang w:val="ru-RU"/>
              </w:rPr>
              <w:br/>
              <w:t>ГЕНЕРАЛЬНОГО СЕКРЕТАРИАТА НА 201</w:t>
            </w:r>
            <w:r w:rsidR="00C91BB2" w:rsidRPr="007101FE">
              <w:rPr>
                <w:rFonts w:cs="Calibri"/>
                <w:lang w:val="ru-RU"/>
              </w:rPr>
              <w:t>9</w:t>
            </w:r>
            <w:r w:rsidRPr="007101FE">
              <w:rPr>
                <w:rFonts w:cs="Calibri"/>
                <w:lang w:val="ru-RU"/>
              </w:rPr>
              <w:t>–20</w:t>
            </w:r>
            <w:r w:rsidR="0091182C" w:rsidRPr="007101FE">
              <w:rPr>
                <w:rFonts w:cs="Calibri"/>
                <w:lang w:val="ru-RU"/>
              </w:rPr>
              <w:t>2</w:t>
            </w:r>
            <w:r w:rsidR="00C91BB2" w:rsidRPr="007101FE">
              <w:rPr>
                <w:rFonts w:cs="Calibri"/>
                <w:lang w:val="ru-RU"/>
              </w:rPr>
              <w:t>2</w:t>
            </w:r>
            <w:r w:rsidRPr="007101FE">
              <w:rPr>
                <w:rFonts w:cs="Calibri"/>
                <w:lang w:val="ru-RU"/>
              </w:rPr>
              <w:t> </w:t>
            </w:r>
            <w:r w:rsidRPr="007101FE">
              <w:rPr>
                <w:rFonts w:cs="Calibri"/>
                <w:caps w:val="0"/>
                <w:lang w:val="ru-RU"/>
              </w:rPr>
              <w:t>ГОДЫ</w:t>
            </w:r>
          </w:p>
        </w:tc>
      </w:tr>
      <w:bookmarkEnd w:id="3"/>
    </w:tbl>
    <w:p w:rsidR="00FA2776" w:rsidRPr="007101FE" w:rsidRDefault="00FA2776" w:rsidP="00BA6A14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A2776" w:rsidRPr="007101FE" w:rsidTr="00DC719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776" w:rsidRPr="007101FE" w:rsidRDefault="00FA2776" w:rsidP="00BA6A14">
            <w:pPr>
              <w:pStyle w:val="Headingb"/>
              <w:rPr>
                <w:szCs w:val="22"/>
                <w:lang w:val="ru-RU"/>
              </w:rPr>
            </w:pPr>
            <w:r w:rsidRPr="007101FE">
              <w:rPr>
                <w:szCs w:val="22"/>
                <w:lang w:val="ru-RU"/>
              </w:rPr>
              <w:t>Резюме</w:t>
            </w:r>
          </w:p>
          <w:p w:rsidR="00650443" w:rsidRPr="007101FE" w:rsidRDefault="00650443" w:rsidP="00C91BB2">
            <w:pPr>
              <w:rPr>
                <w:rFonts w:cs="Calibri"/>
                <w:lang w:val="ru-RU"/>
              </w:rPr>
            </w:pPr>
            <w:r w:rsidRPr="007101FE">
              <w:rPr>
                <w:rFonts w:cs="Calibri"/>
                <w:lang w:val="ru-RU"/>
              </w:rPr>
              <w:t>В настоящем документе представлен проект четырехгодичного скользящего Оперативного плана Генерального секретариата на период 201</w:t>
            </w:r>
            <w:r w:rsidR="00C91BB2" w:rsidRPr="007101FE">
              <w:rPr>
                <w:rFonts w:cs="Calibri"/>
                <w:lang w:val="ru-RU"/>
              </w:rPr>
              <w:t>9</w:t>
            </w:r>
            <w:r w:rsidRPr="007101FE">
              <w:rPr>
                <w:rFonts w:cs="Calibri"/>
                <w:lang w:val="ru-RU"/>
              </w:rPr>
              <w:t>−20</w:t>
            </w:r>
            <w:r w:rsidR="0015024A" w:rsidRPr="007101FE">
              <w:rPr>
                <w:rFonts w:cs="Calibri"/>
                <w:lang w:val="ru-RU"/>
              </w:rPr>
              <w:t>2</w:t>
            </w:r>
            <w:r w:rsidR="00C91BB2" w:rsidRPr="007101FE">
              <w:rPr>
                <w:rFonts w:cs="Calibri"/>
                <w:lang w:val="ru-RU"/>
              </w:rPr>
              <w:t>2</w:t>
            </w:r>
            <w:r w:rsidRPr="007101FE">
              <w:rPr>
                <w:rFonts w:cs="Calibri"/>
                <w:lang w:val="ru-RU"/>
              </w:rPr>
              <w:t> годов.</w:t>
            </w:r>
          </w:p>
          <w:p w:rsidR="00650443" w:rsidRPr="007101FE" w:rsidRDefault="00650443" w:rsidP="00BA6A1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rPr>
                <w:szCs w:val="22"/>
                <w:lang w:val="ru-RU"/>
              </w:rPr>
            </w:pPr>
            <w:r w:rsidRPr="007101FE">
              <w:rPr>
                <w:rFonts w:cs="Calibri"/>
                <w:lang w:val="ru-RU"/>
              </w:rPr>
              <w:t>План публикуется в соответствии с п</w:t>
            </w:r>
            <w:r w:rsidR="007C6B9A" w:rsidRPr="007101FE">
              <w:rPr>
                <w:rFonts w:cs="Calibri"/>
                <w:lang w:val="ru-RU"/>
              </w:rPr>
              <w:t>.</w:t>
            </w:r>
            <w:r w:rsidRPr="007101FE">
              <w:rPr>
                <w:rFonts w:cs="Calibri"/>
                <w:lang w:val="ru-RU"/>
              </w:rPr>
              <w:t> </w:t>
            </w:r>
            <w:r w:rsidRPr="007101FE">
              <w:rPr>
                <w:rFonts w:cs="Calibri"/>
                <w:szCs w:val="24"/>
                <w:lang w:val="ru-RU"/>
              </w:rPr>
              <w:t>87A</w:t>
            </w:r>
            <w:r w:rsidRPr="007101FE">
              <w:rPr>
                <w:rFonts w:cs="Calibri"/>
                <w:lang w:val="ru-RU"/>
              </w:rPr>
              <w:t xml:space="preserve"> </w:t>
            </w:r>
            <w:r w:rsidRPr="007101FE">
              <w:rPr>
                <w:rFonts w:cs="Calibri"/>
                <w:szCs w:val="24"/>
                <w:lang w:val="ru-RU"/>
              </w:rPr>
              <w:t>Статьи 5</w:t>
            </w:r>
            <w:r w:rsidRPr="007101FE">
              <w:rPr>
                <w:rFonts w:cs="Calibri"/>
                <w:lang w:val="ru-RU"/>
              </w:rPr>
              <w:t xml:space="preserve"> Конвенции МСЭ, в котором предусматривается, что оперативный план деятельности, которую необходимо осуществить Генеральному секретариату, подготавливается ежегодно на четырехгодичной скользящей основе</w:t>
            </w:r>
            <w:r w:rsidR="00D86706" w:rsidRPr="007101FE">
              <w:rPr>
                <w:rFonts w:cs="Calibri"/>
                <w:lang w:val="ru-RU"/>
              </w:rPr>
              <w:t>.</w:t>
            </w:r>
          </w:p>
          <w:p w:rsidR="00FA2776" w:rsidRPr="007101FE" w:rsidRDefault="00FA2776" w:rsidP="00BA6A14">
            <w:pPr>
              <w:pStyle w:val="Headingb"/>
              <w:rPr>
                <w:szCs w:val="22"/>
                <w:lang w:val="ru-RU"/>
              </w:rPr>
            </w:pPr>
            <w:r w:rsidRPr="007101FE">
              <w:rPr>
                <w:szCs w:val="22"/>
                <w:lang w:val="ru-RU"/>
              </w:rPr>
              <w:t>Необходимые действия</w:t>
            </w:r>
          </w:p>
          <w:p w:rsidR="00FA2776" w:rsidRPr="007101FE" w:rsidRDefault="00650443" w:rsidP="00C91BB2">
            <w:pPr>
              <w:rPr>
                <w:szCs w:val="22"/>
                <w:lang w:val="ru-RU"/>
              </w:rPr>
            </w:pPr>
            <w:r w:rsidRPr="007101FE">
              <w:rPr>
                <w:rFonts w:cs="Calibri"/>
                <w:lang w:val="ru-RU"/>
              </w:rPr>
              <w:t xml:space="preserve">Совету предлагается </w:t>
            </w:r>
            <w:r w:rsidRPr="007101FE">
              <w:rPr>
                <w:rFonts w:cs="Calibri"/>
                <w:b/>
                <w:bCs/>
                <w:lang w:val="ru-RU"/>
              </w:rPr>
              <w:t>рассмотреть</w:t>
            </w:r>
            <w:r w:rsidRPr="007101FE">
              <w:rPr>
                <w:rFonts w:cs="Calibri"/>
                <w:lang w:val="ru-RU"/>
              </w:rPr>
              <w:t xml:space="preserve"> и </w:t>
            </w:r>
            <w:r w:rsidRPr="007101FE">
              <w:rPr>
                <w:rFonts w:cs="Calibri"/>
                <w:b/>
                <w:bCs/>
                <w:lang w:val="ru-RU"/>
              </w:rPr>
              <w:t>утвердить</w:t>
            </w:r>
            <w:r w:rsidRPr="007101FE">
              <w:rPr>
                <w:rFonts w:cs="Calibri"/>
                <w:lang w:val="ru-RU"/>
              </w:rPr>
              <w:t xml:space="preserve"> проект четырехгодичного скользящего Оперативного плана Генерального секретариата на 201</w:t>
            </w:r>
            <w:r w:rsidR="00C91BB2" w:rsidRPr="007101FE">
              <w:rPr>
                <w:rFonts w:cs="Calibri"/>
                <w:lang w:val="ru-RU"/>
              </w:rPr>
              <w:t>9</w:t>
            </w:r>
            <w:r w:rsidRPr="007101FE">
              <w:rPr>
                <w:rFonts w:cs="Calibri"/>
                <w:lang w:val="ru-RU"/>
              </w:rPr>
              <w:t>–20</w:t>
            </w:r>
            <w:r w:rsidR="0015024A" w:rsidRPr="007101FE">
              <w:rPr>
                <w:rFonts w:cs="Calibri"/>
                <w:lang w:val="ru-RU"/>
              </w:rPr>
              <w:t>2</w:t>
            </w:r>
            <w:r w:rsidR="00C91BB2" w:rsidRPr="007101FE">
              <w:rPr>
                <w:rFonts w:cs="Calibri"/>
                <w:lang w:val="ru-RU"/>
              </w:rPr>
              <w:t>2</w:t>
            </w:r>
            <w:r w:rsidRPr="007101FE">
              <w:rPr>
                <w:rFonts w:cs="Calibri"/>
                <w:lang w:val="ru-RU"/>
              </w:rPr>
              <w:t xml:space="preserve"> годы </w:t>
            </w:r>
            <w:r w:rsidRPr="007101FE">
              <w:rPr>
                <w:rFonts w:cs="Calibri"/>
                <w:szCs w:val="22"/>
                <w:lang w:val="ru-RU"/>
              </w:rPr>
              <w:t>и</w:t>
            </w:r>
            <w:r w:rsidR="009433AC" w:rsidRPr="007101FE">
              <w:rPr>
                <w:rFonts w:cs="Calibri"/>
                <w:szCs w:val="22"/>
                <w:lang w:val="ru-RU"/>
              </w:rPr>
              <w:t> </w:t>
            </w:r>
            <w:r w:rsidRPr="007101FE">
              <w:rPr>
                <w:rFonts w:cs="Calibri"/>
                <w:b/>
                <w:bCs/>
                <w:szCs w:val="22"/>
                <w:lang w:val="ru-RU"/>
              </w:rPr>
              <w:t>принять</w:t>
            </w:r>
            <w:r w:rsidRPr="007101FE">
              <w:rPr>
                <w:rFonts w:cs="Calibri"/>
                <w:szCs w:val="22"/>
                <w:lang w:val="ru-RU"/>
              </w:rPr>
              <w:t xml:space="preserve"> проект Резолюции, содержащийся в</w:t>
            </w:r>
            <w:r w:rsidR="00C91BB2" w:rsidRPr="007101FE">
              <w:rPr>
                <w:rFonts w:cs="Calibri"/>
                <w:szCs w:val="22"/>
                <w:lang w:val="ru-RU"/>
              </w:rPr>
              <w:t xml:space="preserve"> Документе</w:t>
            </w:r>
            <w:r w:rsidR="009E3EAA" w:rsidRPr="007101FE">
              <w:rPr>
                <w:rFonts w:cs="Calibri"/>
                <w:szCs w:val="22"/>
                <w:lang w:val="ru-RU"/>
              </w:rPr>
              <w:t xml:space="preserve"> </w:t>
            </w:r>
            <w:hyperlink r:id="rId9" w:history="1">
              <w:r w:rsidR="00C91BB2" w:rsidRPr="007101FE">
                <w:rPr>
                  <w:rStyle w:val="Hyperlink"/>
                  <w:szCs w:val="22"/>
                  <w:lang w:val="ru-RU"/>
                </w:rPr>
                <w:t>C18/32</w:t>
              </w:r>
            </w:hyperlink>
            <w:r w:rsidR="00FA2776" w:rsidRPr="007101FE">
              <w:rPr>
                <w:szCs w:val="22"/>
                <w:lang w:val="ru-RU"/>
              </w:rPr>
              <w:t>.</w:t>
            </w:r>
          </w:p>
          <w:p w:rsidR="00FA2776" w:rsidRPr="007101FE" w:rsidRDefault="00FA2776" w:rsidP="00BA6A14">
            <w:pPr>
              <w:jc w:val="center"/>
              <w:rPr>
                <w:caps/>
                <w:szCs w:val="22"/>
                <w:lang w:val="ru-RU"/>
              </w:rPr>
            </w:pPr>
            <w:r w:rsidRPr="007101FE">
              <w:rPr>
                <w:caps/>
                <w:szCs w:val="22"/>
                <w:lang w:val="ru-RU"/>
              </w:rPr>
              <w:t>____________</w:t>
            </w:r>
          </w:p>
          <w:p w:rsidR="00FA2776" w:rsidRPr="007101FE" w:rsidRDefault="00FA2776" w:rsidP="00BA6A14">
            <w:pPr>
              <w:pStyle w:val="Headingb"/>
              <w:rPr>
                <w:szCs w:val="22"/>
                <w:lang w:val="ru-RU"/>
              </w:rPr>
            </w:pPr>
            <w:r w:rsidRPr="007101FE">
              <w:rPr>
                <w:szCs w:val="22"/>
                <w:lang w:val="ru-RU"/>
              </w:rPr>
              <w:t>Справочные материалы</w:t>
            </w:r>
          </w:p>
          <w:p w:rsidR="00FA2776" w:rsidRPr="007101FE" w:rsidRDefault="004C277B" w:rsidP="00C91BB2">
            <w:pPr>
              <w:spacing w:after="120"/>
              <w:rPr>
                <w:i/>
                <w:iCs/>
                <w:lang w:val="ru-RU"/>
              </w:rPr>
            </w:pPr>
            <w:hyperlink r:id="rId10" w:history="1">
              <w:r w:rsidR="00650443" w:rsidRPr="007101FE">
                <w:rPr>
                  <w:rStyle w:val="Hyperlink"/>
                  <w:rFonts w:cstheme="minorHAnsi"/>
                  <w:i/>
                  <w:iCs/>
                  <w:lang w:val="ru-RU"/>
                </w:rPr>
                <w:t>К</w:t>
              </w:r>
              <w:r w:rsidR="000234D7" w:rsidRPr="007101FE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650443" w:rsidRPr="007101FE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Ст</w:t>
              </w:r>
              <w:r w:rsidR="000234D7" w:rsidRPr="007101FE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 xml:space="preserve">. 5, </w:t>
              </w:r>
              <w:r w:rsidR="00650443" w:rsidRPr="007101FE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п</w:t>
              </w:r>
              <w:r w:rsidR="000234D7" w:rsidRPr="007101FE">
                <w:rPr>
                  <w:rStyle w:val="Hyperlink"/>
                  <w:rFonts w:cstheme="minorHAnsi"/>
                  <w:i/>
                  <w:iCs/>
                  <w:szCs w:val="22"/>
                  <w:lang w:val="ru-RU"/>
                </w:rPr>
                <w:t>. 87A</w:t>
              </w:r>
            </w:hyperlink>
            <w:r w:rsidR="0015024A" w:rsidRPr="007101FE">
              <w:rPr>
                <w:rStyle w:val="Hyperlink"/>
                <w:rFonts w:cstheme="minorHAnsi"/>
                <w:i/>
                <w:iCs/>
                <w:szCs w:val="22"/>
                <w:lang w:val="ru-RU"/>
              </w:rPr>
              <w:br/>
            </w:r>
            <w:hyperlink r:id="rId11" w:history="1">
              <w:r w:rsidR="0015024A" w:rsidRPr="007101FE">
                <w:rPr>
                  <w:rStyle w:val="Hyperlink"/>
                  <w:i/>
                  <w:iCs/>
                  <w:szCs w:val="22"/>
                  <w:lang w:val="ru-RU"/>
                </w:rPr>
                <w:t>Резолюция 71 (Пересм. Пусан, 2014 г.)</w:t>
              </w:r>
            </w:hyperlink>
            <w:r w:rsidR="00C91BB2" w:rsidRPr="007101FE">
              <w:rPr>
                <w:szCs w:val="22"/>
                <w:lang w:val="ru-RU"/>
              </w:rPr>
              <w:t xml:space="preserve">; </w:t>
            </w:r>
            <w:hyperlink r:id="rId12" w:history="1">
              <w:r w:rsidR="00650443" w:rsidRPr="007101FE">
                <w:rPr>
                  <w:rStyle w:val="Hyperlink"/>
                  <w:i/>
                  <w:iCs/>
                  <w:szCs w:val="22"/>
                  <w:lang w:val="ru-RU"/>
                </w:rPr>
                <w:t>Резолюция</w:t>
              </w:r>
              <w:r w:rsidR="000234D7" w:rsidRPr="007101FE">
                <w:rPr>
                  <w:rStyle w:val="Hyperlink"/>
                  <w:i/>
                  <w:iCs/>
                  <w:szCs w:val="22"/>
                  <w:lang w:val="ru-RU"/>
                </w:rPr>
                <w:t xml:space="preserve"> 72 (</w:t>
              </w:r>
              <w:r w:rsidR="00650443" w:rsidRPr="007101FE">
                <w:rPr>
                  <w:rStyle w:val="Hyperlink"/>
                  <w:i/>
                  <w:iCs/>
                  <w:szCs w:val="22"/>
                  <w:lang w:val="ru-RU"/>
                </w:rPr>
                <w:t xml:space="preserve">Пересм. Пусан, </w:t>
              </w:r>
              <w:r w:rsidR="000234D7" w:rsidRPr="007101FE">
                <w:rPr>
                  <w:rStyle w:val="Hyperlink"/>
                  <w:i/>
                  <w:iCs/>
                  <w:szCs w:val="22"/>
                  <w:lang w:val="ru-RU"/>
                </w:rPr>
                <w:t>2014</w:t>
              </w:r>
              <w:r w:rsidR="00650443" w:rsidRPr="007101FE">
                <w:rPr>
                  <w:rStyle w:val="Hyperlink"/>
                  <w:i/>
                  <w:iCs/>
                  <w:szCs w:val="22"/>
                  <w:lang w:val="ru-RU"/>
                </w:rPr>
                <w:t xml:space="preserve"> г.</w:t>
              </w:r>
              <w:r w:rsidR="000234D7" w:rsidRPr="007101FE">
                <w:rPr>
                  <w:rStyle w:val="Hyperlink"/>
                  <w:i/>
                  <w:iCs/>
                  <w:szCs w:val="22"/>
                  <w:lang w:val="ru-RU"/>
                </w:rPr>
                <w:t>)</w:t>
              </w:r>
            </w:hyperlink>
          </w:p>
        </w:tc>
      </w:tr>
    </w:tbl>
    <w:p w:rsidR="000234D7" w:rsidRPr="007101FE" w:rsidRDefault="000234D7" w:rsidP="00BA6A14">
      <w:pPr>
        <w:pStyle w:val="Heading1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"/>
        <w:jc w:val="both"/>
        <w:textAlignment w:val="auto"/>
        <w:rPr>
          <w:lang w:val="ru-RU"/>
        </w:rPr>
        <w:sectPr w:rsidR="000234D7" w:rsidRPr="007101FE" w:rsidSect="00D16A89">
          <w:footerReference w:type="default" r:id="rId13"/>
          <w:headerReference w:type="first" r:id="rId14"/>
          <w:pgSz w:w="11907" w:h="16839" w:code="9"/>
          <w:pgMar w:top="1077" w:right="1077" w:bottom="1077" w:left="1077" w:header="720" w:footer="720" w:gutter="0"/>
          <w:cols w:space="720"/>
          <w:docGrid w:linePitch="360"/>
        </w:sectPr>
      </w:pPr>
    </w:p>
    <w:p w:rsidR="000234D7" w:rsidRPr="007101FE" w:rsidRDefault="00C91BB2" w:rsidP="00BA6A14">
      <w:pPr>
        <w:pStyle w:val="Heading1"/>
        <w:rPr>
          <w:lang w:val="ru-RU"/>
        </w:rPr>
      </w:pPr>
      <w:r w:rsidRPr="007101FE">
        <w:rPr>
          <w:lang w:val="ru-RU"/>
        </w:rPr>
        <w:lastRenderedPageBreak/>
        <w:t>1</w:t>
      </w:r>
      <w:r w:rsidR="00964A3B" w:rsidRPr="007101FE">
        <w:rPr>
          <w:lang w:val="ru-RU"/>
        </w:rPr>
        <w:tab/>
      </w:r>
      <w:r w:rsidR="006A02E4" w:rsidRPr="007101FE">
        <w:rPr>
          <w:lang w:val="ru-RU"/>
        </w:rPr>
        <w:t>Общая обстановка и ключевые приор</w:t>
      </w:r>
      <w:r w:rsidR="00964A3B" w:rsidRPr="007101FE">
        <w:rPr>
          <w:lang w:val="ru-RU"/>
        </w:rPr>
        <w:t>итеты Генерального секретариата</w:t>
      </w:r>
    </w:p>
    <w:p w:rsidR="00BB0A0B" w:rsidRPr="007101FE" w:rsidRDefault="00932FF9" w:rsidP="00932FF9">
      <w:pPr>
        <w:rPr>
          <w:lang w:val="ru-RU"/>
        </w:rPr>
      </w:pPr>
      <w:r w:rsidRPr="007101FE">
        <w:rPr>
          <w:lang w:val="ru-RU"/>
        </w:rPr>
        <w:t>В д</w:t>
      </w:r>
      <w:r w:rsidR="0015024A" w:rsidRPr="007101FE">
        <w:rPr>
          <w:lang w:val="ru-RU"/>
        </w:rPr>
        <w:t>анн</w:t>
      </w:r>
      <w:r w:rsidRPr="007101FE">
        <w:rPr>
          <w:lang w:val="ru-RU"/>
        </w:rPr>
        <w:t>ом</w:t>
      </w:r>
      <w:r w:rsidR="0015024A" w:rsidRPr="007101FE">
        <w:rPr>
          <w:lang w:val="ru-RU"/>
        </w:rPr>
        <w:t xml:space="preserve"> </w:t>
      </w:r>
      <w:r w:rsidR="006A02E4" w:rsidRPr="007101FE">
        <w:rPr>
          <w:lang w:val="ru-RU"/>
        </w:rPr>
        <w:t>Оперативн</w:t>
      </w:r>
      <w:r w:rsidRPr="007101FE">
        <w:rPr>
          <w:lang w:val="ru-RU"/>
        </w:rPr>
        <w:t>ом</w:t>
      </w:r>
      <w:r w:rsidR="006A02E4" w:rsidRPr="007101FE">
        <w:rPr>
          <w:lang w:val="ru-RU"/>
        </w:rPr>
        <w:t xml:space="preserve"> план</w:t>
      </w:r>
      <w:r w:rsidRPr="007101FE">
        <w:rPr>
          <w:lang w:val="ru-RU"/>
        </w:rPr>
        <w:t>е основное внимание уделяется</w:t>
      </w:r>
      <w:r w:rsidR="0015024A" w:rsidRPr="007101FE">
        <w:rPr>
          <w:lang w:val="ru-RU"/>
        </w:rPr>
        <w:t xml:space="preserve"> деятельности Генерального секретариата в 201</w:t>
      </w:r>
      <w:r w:rsidR="00C91BB2" w:rsidRPr="007101FE">
        <w:rPr>
          <w:lang w:val="ru-RU"/>
        </w:rPr>
        <w:t>9</w:t>
      </w:r>
      <w:r w:rsidR="0015024A" w:rsidRPr="007101FE">
        <w:rPr>
          <w:lang w:val="ru-RU"/>
        </w:rPr>
        <w:t xml:space="preserve"> году, которая согласуется с двухгодичн</w:t>
      </w:r>
      <w:r w:rsidR="00C91BB2" w:rsidRPr="007101FE">
        <w:rPr>
          <w:lang w:val="ru-RU"/>
        </w:rPr>
        <w:t>ым</w:t>
      </w:r>
      <w:r w:rsidR="0015024A" w:rsidRPr="007101FE">
        <w:rPr>
          <w:lang w:val="ru-RU"/>
        </w:rPr>
        <w:t xml:space="preserve"> бюджет</w:t>
      </w:r>
      <w:r w:rsidR="00C91BB2" w:rsidRPr="007101FE">
        <w:rPr>
          <w:lang w:val="ru-RU"/>
        </w:rPr>
        <w:t>ом</w:t>
      </w:r>
      <w:r w:rsidR="009E3EAA" w:rsidRPr="007101FE">
        <w:rPr>
          <w:lang w:val="ru-RU"/>
        </w:rPr>
        <w:t xml:space="preserve"> на 2018</w:t>
      </w:r>
      <w:r w:rsidR="00C91BB2" w:rsidRPr="007101FE">
        <w:rPr>
          <w:lang w:val="ru-RU"/>
        </w:rPr>
        <w:t>−</w:t>
      </w:r>
      <w:r w:rsidR="0015024A" w:rsidRPr="007101FE">
        <w:rPr>
          <w:lang w:val="ru-RU"/>
        </w:rPr>
        <w:t>201</w:t>
      </w:r>
      <w:r w:rsidR="009E3EAA" w:rsidRPr="007101FE">
        <w:rPr>
          <w:lang w:val="ru-RU"/>
        </w:rPr>
        <w:t>9</w:t>
      </w:r>
      <w:r w:rsidR="0015024A" w:rsidRPr="007101FE">
        <w:rPr>
          <w:lang w:val="ru-RU"/>
        </w:rPr>
        <w:t xml:space="preserve"> годы</w:t>
      </w:r>
      <w:r w:rsidR="00156EE9" w:rsidRPr="007101FE">
        <w:rPr>
          <w:lang w:val="ru-RU"/>
        </w:rPr>
        <w:t>, утвержден</w:t>
      </w:r>
      <w:r w:rsidRPr="007101FE">
        <w:rPr>
          <w:lang w:val="ru-RU"/>
        </w:rPr>
        <w:t>ным</w:t>
      </w:r>
      <w:r w:rsidR="00156EE9" w:rsidRPr="007101FE">
        <w:rPr>
          <w:lang w:val="ru-RU"/>
        </w:rPr>
        <w:t xml:space="preserve"> сесси</w:t>
      </w:r>
      <w:r w:rsidRPr="007101FE">
        <w:rPr>
          <w:lang w:val="ru-RU"/>
        </w:rPr>
        <w:t>ей</w:t>
      </w:r>
      <w:r w:rsidR="00156EE9" w:rsidRPr="007101FE">
        <w:rPr>
          <w:lang w:val="ru-RU"/>
        </w:rPr>
        <w:t xml:space="preserve"> Совета 2017 года. </w:t>
      </w:r>
      <w:r w:rsidR="0015024A" w:rsidRPr="007101FE">
        <w:rPr>
          <w:lang w:val="ru-RU"/>
        </w:rPr>
        <w:t xml:space="preserve">В настоящее время согласно Конвенции </w:t>
      </w:r>
      <w:r w:rsidRPr="007101FE">
        <w:rPr>
          <w:lang w:val="ru-RU"/>
        </w:rPr>
        <w:t xml:space="preserve">МСЭ </w:t>
      </w:r>
      <w:r w:rsidR="0015024A" w:rsidRPr="007101FE">
        <w:rPr>
          <w:lang w:val="ru-RU"/>
        </w:rPr>
        <w:t xml:space="preserve">данный четырехгодичный скользящий </w:t>
      </w:r>
      <w:r w:rsidR="00BB0A0B" w:rsidRPr="007101FE">
        <w:rPr>
          <w:lang w:val="ru-RU"/>
        </w:rPr>
        <w:t xml:space="preserve">Оперативный </w:t>
      </w:r>
      <w:r w:rsidR="0015024A" w:rsidRPr="007101FE">
        <w:rPr>
          <w:lang w:val="ru-RU"/>
        </w:rPr>
        <w:t xml:space="preserve">план включает </w:t>
      </w:r>
      <w:r w:rsidR="00C91BB2" w:rsidRPr="007101FE">
        <w:rPr>
          <w:lang w:val="ru-RU"/>
        </w:rPr>
        <w:t>три</w:t>
      </w:r>
      <w:r w:rsidR="0015024A" w:rsidRPr="007101FE">
        <w:rPr>
          <w:lang w:val="ru-RU"/>
        </w:rPr>
        <w:t xml:space="preserve"> год</w:t>
      </w:r>
      <w:r w:rsidR="009E3EAA" w:rsidRPr="007101FE">
        <w:rPr>
          <w:lang w:val="ru-RU"/>
        </w:rPr>
        <w:t>а</w:t>
      </w:r>
      <w:r w:rsidR="00156EE9" w:rsidRPr="007101FE">
        <w:rPr>
          <w:lang w:val="ru-RU"/>
        </w:rPr>
        <w:t xml:space="preserve"> (2020</w:t>
      </w:r>
      <w:r w:rsidR="00C91BB2" w:rsidRPr="007101FE">
        <w:rPr>
          <w:lang w:val="ru-RU"/>
        </w:rPr>
        <w:t>−</w:t>
      </w:r>
      <w:r w:rsidR="00156EE9" w:rsidRPr="007101FE">
        <w:rPr>
          <w:lang w:val="ru-RU"/>
        </w:rPr>
        <w:t>202</w:t>
      </w:r>
      <w:r w:rsidR="00C91BB2" w:rsidRPr="007101FE">
        <w:rPr>
          <w:lang w:val="ru-RU"/>
        </w:rPr>
        <w:t>2</w:t>
      </w:r>
      <w:r w:rsidR="00156EE9" w:rsidRPr="007101FE">
        <w:rPr>
          <w:lang w:val="ru-RU"/>
        </w:rPr>
        <w:t> гг.)</w:t>
      </w:r>
      <w:r w:rsidR="0015024A" w:rsidRPr="007101FE">
        <w:rPr>
          <w:lang w:val="ru-RU"/>
        </w:rPr>
        <w:t xml:space="preserve">, </w:t>
      </w:r>
      <w:r w:rsidR="0016569F" w:rsidRPr="007101FE">
        <w:rPr>
          <w:lang w:val="ru-RU"/>
        </w:rPr>
        <w:t xml:space="preserve">на </w:t>
      </w:r>
      <w:r w:rsidR="0015024A" w:rsidRPr="007101FE">
        <w:rPr>
          <w:lang w:val="ru-RU"/>
        </w:rPr>
        <w:t>которы</w:t>
      </w:r>
      <w:r w:rsidR="00156EE9" w:rsidRPr="007101FE">
        <w:rPr>
          <w:lang w:val="ru-RU"/>
        </w:rPr>
        <w:t>е</w:t>
      </w:r>
      <w:r w:rsidR="0015024A" w:rsidRPr="007101FE">
        <w:rPr>
          <w:lang w:val="ru-RU"/>
        </w:rPr>
        <w:t xml:space="preserve"> не </w:t>
      </w:r>
      <w:r w:rsidR="0016569F" w:rsidRPr="007101FE">
        <w:rPr>
          <w:lang w:val="ru-RU"/>
        </w:rPr>
        <w:t xml:space="preserve">распространяется </w:t>
      </w:r>
      <w:r w:rsidR="0015024A" w:rsidRPr="007101FE">
        <w:rPr>
          <w:lang w:val="ru-RU"/>
        </w:rPr>
        <w:t>текущ</w:t>
      </w:r>
      <w:r w:rsidR="0016569F" w:rsidRPr="007101FE">
        <w:rPr>
          <w:lang w:val="ru-RU"/>
        </w:rPr>
        <w:t>ий</w:t>
      </w:r>
      <w:r w:rsidR="0015024A" w:rsidRPr="007101FE">
        <w:rPr>
          <w:lang w:val="ru-RU"/>
        </w:rPr>
        <w:t xml:space="preserve"> цикл стратегического или финансового планирования</w:t>
      </w:r>
      <w:r w:rsidR="00156EE9" w:rsidRPr="007101FE">
        <w:rPr>
          <w:lang w:val="ru-RU"/>
        </w:rPr>
        <w:t xml:space="preserve"> и</w:t>
      </w:r>
      <w:r w:rsidR="0015024A" w:rsidRPr="007101FE">
        <w:rPr>
          <w:lang w:val="ru-RU"/>
        </w:rPr>
        <w:t xml:space="preserve"> которые не </w:t>
      </w:r>
      <w:r w:rsidR="0016569F" w:rsidRPr="007101FE">
        <w:rPr>
          <w:lang w:val="ru-RU"/>
        </w:rPr>
        <w:t>охвачены</w:t>
      </w:r>
      <w:r w:rsidR="0015024A" w:rsidRPr="007101FE">
        <w:rPr>
          <w:lang w:val="ru-RU"/>
        </w:rPr>
        <w:t xml:space="preserve"> двухгодичн</w:t>
      </w:r>
      <w:r w:rsidR="00C91BB2" w:rsidRPr="007101FE">
        <w:rPr>
          <w:lang w:val="ru-RU"/>
        </w:rPr>
        <w:t>ым</w:t>
      </w:r>
      <w:r w:rsidR="0015024A" w:rsidRPr="007101FE">
        <w:rPr>
          <w:lang w:val="ru-RU"/>
        </w:rPr>
        <w:t xml:space="preserve"> бюджет</w:t>
      </w:r>
      <w:r w:rsidR="00C91BB2" w:rsidRPr="007101FE">
        <w:rPr>
          <w:lang w:val="ru-RU"/>
        </w:rPr>
        <w:t>ом</w:t>
      </w:r>
      <w:r w:rsidR="00156EE9" w:rsidRPr="007101FE">
        <w:rPr>
          <w:lang w:val="ru-RU"/>
        </w:rPr>
        <w:t xml:space="preserve"> на 2018–2019 годы, п</w:t>
      </w:r>
      <w:r w:rsidR="0015024A" w:rsidRPr="007101FE">
        <w:rPr>
          <w:lang w:val="ru-RU"/>
        </w:rPr>
        <w:t>оэтому финансовые данные на период 20</w:t>
      </w:r>
      <w:r w:rsidR="009E3EAA" w:rsidRPr="007101FE">
        <w:rPr>
          <w:lang w:val="ru-RU"/>
        </w:rPr>
        <w:t>20</w:t>
      </w:r>
      <w:r w:rsidR="0015024A" w:rsidRPr="007101FE">
        <w:rPr>
          <w:lang w:val="ru-RU"/>
        </w:rPr>
        <w:t>–202</w:t>
      </w:r>
      <w:r w:rsidR="00C91BB2" w:rsidRPr="007101FE">
        <w:rPr>
          <w:lang w:val="ru-RU"/>
        </w:rPr>
        <w:t>2</w:t>
      </w:r>
      <w:r w:rsidR="0015024A" w:rsidRPr="007101FE">
        <w:rPr>
          <w:lang w:val="ru-RU"/>
        </w:rPr>
        <w:t xml:space="preserve"> годов являются </w:t>
      </w:r>
      <w:r w:rsidR="002B3B57" w:rsidRPr="007101FE">
        <w:rPr>
          <w:lang w:val="ru-RU"/>
        </w:rPr>
        <w:t>ориентировочными</w:t>
      </w:r>
      <w:r w:rsidR="0015024A" w:rsidRPr="007101FE">
        <w:rPr>
          <w:lang w:val="ru-RU"/>
        </w:rPr>
        <w:t xml:space="preserve"> и </w:t>
      </w:r>
      <w:r w:rsidR="00E13408" w:rsidRPr="007101FE">
        <w:rPr>
          <w:lang w:val="ru-RU"/>
        </w:rPr>
        <w:t>могут</w:t>
      </w:r>
      <w:r w:rsidR="0015024A" w:rsidRPr="007101FE">
        <w:rPr>
          <w:lang w:val="ru-RU"/>
        </w:rPr>
        <w:t xml:space="preserve"> </w:t>
      </w:r>
      <w:r w:rsidR="00E13408" w:rsidRPr="007101FE">
        <w:rPr>
          <w:lang w:val="ru-RU"/>
        </w:rPr>
        <w:t xml:space="preserve">изменяться </w:t>
      </w:r>
      <w:r w:rsidR="0015024A" w:rsidRPr="007101FE">
        <w:rPr>
          <w:lang w:val="ru-RU"/>
        </w:rPr>
        <w:t xml:space="preserve">в соответствии с решениями высшего руководства. </w:t>
      </w:r>
    </w:p>
    <w:p w:rsidR="000234D7" w:rsidRPr="007101FE" w:rsidRDefault="00BB0A0B" w:rsidP="002E2EF0">
      <w:pPr>
        <w:rPr>
          <w:lang w:val="ru-RU"/>
        </w:rPr>
      </w:pPr>
      <w:r w:rsidRPr="007101FE">
        <w:rPr>
          <w:lang w:val="ru-RU"/>
        </w:rPr>
        <w:t>К</w:t>
      </w:r>
      <w:r w:rsidR="006A02E4" w:rsidRPr="007101FE">
        <w:rPr>
          <w:lang w:val="ru-RU"/>
        </w:rPr>
        <w:t>лючевые приоритеты Генерального секретариата</w:t>
      </w:r>
      <w:r w:rsidRPr="007101FE">
        <w:rPr>
          <w:lang w:val="ru-RU"/>
        </w:rPr>
        <w:t xml:space="preserve"> согласованы со Стратегическим планом на 2016–2019 годы и </w:t>
      </w:r>
      <w:r w:rsidR="00156EE9" w:rsidRPr="007101FE">
        <w:rPr>
          <w:lang w:val="ru-RU"/>
        </w:rPr>
        <w:t>обусловлены</w:t>
      </w:r>
      <w:r w:rsidR="006A02E4" w:rsidRPr="007101FE">
        <w:rPr>
          <w:lang w:val="ru-RU"/>
        </w:rPr>
        <w:t xml:space="preserve"> его рол</w:t>
      </w:r>
      <w:r w:rsidR="00156EE9" w:rsidRPr="007101FE">
        <w:rPr>
          <w:lang w:val="ru-RU"/>
        </w:rPr>
        <w:t>ью</w:t>
      </w:r>
      <w:r w:rsidR="006A02E4" w:rsidRPr="007101FE">
        <w:rPr>
          <w:lang w:val="ru-RU"/>
        </w:rPr>
        <w:t xml:space="preserve"> по поддержке секторальных и межсекторальных видов дея</w:t>
      </w:r>
      <w:r w:rsidR="00B14179" w:rsidRPr="007101FE">
        <w:rPr>
          <w:lang w:val="ru-RU"/>
        </w:rPr>
        <w:t>тельности и содействию таким вид</w:t>
      </w:r>
      <w:r w:rsidR="006A02E4" w:rsidRPr="007101FE">
        <w:rPr>
          <w:lang w:val="ru-RU"/>
        </w:rPr>
        <w:t xml:space="preserve">ам деятельности, которые направлены на </w:t>
      </w:r>
      <w:r w:rsidR="002E2EF0" w:rsidRPr="007101FE">
        <w:rPr>
          <w:lang w:val="ru-RU"/>
        </w:rPr>
        <w:t>реш</w:t>
      </w:r>
      <w:r w:rsidR="006A02E4" w:rsidRPr="007101FE">
        <w:rPr>
          <w:lang w:val="ru-RU"/>
        </w:rPr>
        <w:t xml:space="preserve">ение задач и </w:t>
      </w:r>
      <w:r w:rsidR="002E2EF0" w:rsidRPr="007101FE">
        <w:rPr>
          <w:lang w:val="ru-RU"/>
        </w:rPr>
        <w:t xml:space="preserve">достижение </w:t>
      </w:r>
      <w:r w:rsidR="006A02E4" w:rsidRPr="007101FE">
        <w:rPr>
          <w:lang w:val="ru-RU"/>
        </w:rPr>
        <w:t xml:space="preserve">стратегических целей Союза. </w:t>
      </w:r>
    </w:p>
    <w:p w:rsidR="000234D7" w:rsidRPr="007101FE" w:rsidRDefault="006A02E4" w:rsidP="002E2EF0">
      <w:pPr>
        <w:rPr>
          <w:lang w:val="ru-RU"/>
        </w:rPr>
      </w:pPr>
      <w:r w:rsidRPr="007101FE">
        <w:rPr>
          <w:lang w:val="ru-RU"/>
        </w:rPr>
        <w:t xml:space="preserve">Кроме того, </w:t>
      </w:r>
      <w:r w:rsidR="0003708F" w:rsidRPr="007101FE">
        <w:rPr>
          <w:lang w:val="ru-RU"/>
        </w:rPr>
        <w:t>потребуется повышение эффективности для выполнения всех запланированных видов деятельности</w:t>
      </w:r>
      <w:r w:rsidR="00B14179" w:rsidRPr="007101FE">
        <w:rPr>
          <w:lang w:val="ru-RU"/>
        </w:rPr>
        <w:t xml:space="preserve">, при </w:t>
      </w:r>
      <w:r w:rsidR="0003708F" w:rsidRPr="007101FE">
        <w:rPr>
          <w:lang w:val="ru-RU"/>
        </w:rPr>
        <w:t>обеспеч</w:t>
      </w:r>
      <w:r w:rsidR="002E2EF0" w:rsidRPr="007101FE">
        <w:rPr>
          <w:lang w:val="ru-RU"/>
        </w:rPr>
        <w:t>ении</w:t>
      </w:r>
      <w:r w:rsidR="00B14179" w:rsidRPr="007101FE">
        <w:rPr>
          <w:lang w:val="ru-RU"/>
        </w:rPr>
        <w:t xml:space="preserve"> ч</w:t>
      </w:r>
      <w:r w:rsidR="0003708F" w:rsidRPr="007101FE">
        <w:rPr>
          <w:lang w:val="ru-RU"/>
        </w:rPr>
        <w:t xml:space="preserve">ленам услуг самого высокого качества. При выполнении </w:t>
      </w:r>
      <w:r w:rsidR="00BB0A0B" w:rsidRPr="007101FE">
        <w:rPr>
          <w:lang w:val="ru-RU"/>
        </w:rPr>
        <w:t>Оперативного плана</w:t>
      </w:r>
      <w:r w:rsidR="0003708F" w:rsidRPr="007101FE">
        <w:rPr>
          <w:lang w:val="ru-RU"/>
        </w:rPr>
        <w:t xml:space="preserve"> Генеральный секретариат будет уделять основное внимание полной оптимизации планирования, ко</w:t>
      </w:r>
      <w:r w:rsidR="00ED517D" w:rsidRPr="007101FE">
        <w:rPr>
          <w:lang w:val="ru-RU"/>
        </w:rPr>
        <w:t>нтроля</w:t>
      </w:r>
      <w:r w:rsidR="0003708F" w:rsidRPr="007101FE">
        <w:rPr>
          <w:lang w:val="ru-RU"/>
        </w:rPr>
        <w:t xml:space="preserve"> и отчетности по видам деятельности;</w:t>
      </w:r>
      <w:r w:rsidR="00DD137B" w:rsidRPr="007101FE">
        <w:rPr>
          <w:lang w:val="ru-RU"/>
        </w:rPr>
        <w:t xml:space="preserve"> </w:t>
      </w:r>
      <w:r w:rsidR="00B14179" w:rsidRPr="007101FE">
        <w:rPr>
          <w:lang w:val="ru-RU"/>
        </w:rPr>
        <w:t>контролю</w:t>
      </w:r>
      <w:r w:rsidR="0003708F" w:rsidRPr="007101FE">
        <w:rPr>
          <w:lang w:val="ru-RU"/>
        </w:rPr>
        <w:t xml:space="preserve"> выполнения Стратегического плана; дальнейшему совершенствованию политики мобилизации ресурсов; сохранению и постоянному совершенствованию относящихся к конференциям и публикациям услуг</w:t>
      </w:r>
      <w:r w:rsidR="000234D7" w:rsidRPr="007101FE">
        <w:rPr>
          <w:lang w:val="ru-RU"/>
        </w:rPr>
        <w:t>,</w:t>
      </w:r>
      <w:r w:rsidR="0003708F" w:rsidRPr="007101FE">
        <w:rPr>
          <w:lang w:val="ru-RU"/>
        </w:rPr>
        <w:t xml:space="preserve"> предоставляемых членам; максимальному увеличению ценности информации МСЭ, предоставляемой членам и глобальному сообществу ИКТ; содействию лучшему пониманию роли МСЭ и пропаганде его деятельности и миссии среди основных заинтересованных кругов; </w:t>
      </w:r>
      <w:r w:rsidR="00ED517D" w:rsidRPr="007101FE">
        <w:rPr>
          <w:lang w:val="ru-RU"/>
        </w:rPr>
        <w:t>повышению доступности и функциональности</w:t>
      </w:r>
      <w:r w:rsidR="0003708F" w:rsidRPr="007101FE">
        <w:rPr>
          <w:lang w:val="ru-RU"/>
        </w:rPr>
        <w:t xml:space="preserve"> инфраструктуры и </w:t>
      </w:r>
      <w:r w:rsidR="00ED517D" w:rsidRPr="007101FE">
        <w:rPr>
          <w:lang w:val="ru-RU"/>
        </w:rPr>
        <w:t>услуг</w:t>
      </w:r>
      <w:r w:rsidR="0003708F" w:rsidRPr="007101FE">
        <w:rPr>
          <w:lang w:val="ru-RU"/>
        </w:rPr>
        <w:t xml:space="preserve"> ИКТ</w:t>
      </w:r>
      <w:r w:rsidR="00ED517D" w:rsidRPr="007101FE">
        <w:rPr>
          <w:lang w:val="ru-RU"/>
        </w:rPr>
        <w:t xml:space="preserve">; повышению эффективности секторальных видов деятельности; а также содействию инновациям путем поддержки усилий Секторов, направленных на развитие экосистемы, достаточно благоприятной для инноваций, и на адаптацию к изменяющейся среде электросвязи/ИКТ. </w:t>
      </w:r>
    </w:p>
    <w:p w:rsidR="000234D7" w:rsidRPr="007101FE" w:rsidRDefault="0003708F" w:rsidP="00BA6A14">
      <w:pPr>
        <w:rPr>
          <w:lang w:val="ru-RU"/>
        </w:rPr>
      </w:pPr>
      <w:r w:rsidRPr="007101FE">
        <w:rPr>
          <w:lang w:val="ru-RU"/>
        </w:rPr>
        <w:t>В</w:t>
      </w:r>
      <w:r w:rsidR="0040209D" w:rsidRPr="007101FE">
        <w:rPr>
          <w:lang w:val="ru-RU"/>
        </w:rPr>
        <w:t xml:space="preserve"> течение этого периода в</w:t>
      </w:r>
      <w:r w:rsidRPr="007101FE">
        <w:rPr>
          <w:lang w:val="ru-RU"/>
        </w:rPr>
        <w:t xml:space="preserve"> рамках Генерального секретариата будет продолжена деятельность по модернизации практики управления, а также будет </w:t>
      </w:r>
      <w:r w:rsidR="0040209D" w:rsidRPr="007101FE">
        <w:rPr>
          <w:lang w:val="ru-RU"/>
        </w:rPr>
        <w:t xml:space="preserve">постоянно совершенствоваться организация, ориентированная на результаты, </w:t>
      </w:r>
      <w:r w:rsidRPr="007101FE">
        <w:rPr>
          <w:lang w:val="ru-RU"/>
        </w:rPr>
        <w:t xml:space="preserve">включая </w:t>
      </w:r>
      <w:r w:rsidR="0040209D" w:rsidRPr="007101FE">
        <w:rPr>
          <w:lang w:val="ru-RU"/>
        </w:rPr>
        <w:t xml:space="preserve">согласование процессов оперативного, финансово-бюджетного </w:t>
      </w:r>
      <w:r w:rsidR="00964A3B" w:rsidRPr="007101FE">
        <w:rPr>
          <w:lang w:val="ru-RU"/>
        </w:rPr>
        <w:t>и стратегического планирования.</w:t>
      </w:r>
    </w:p>
    <w:p w:rsidR="0068199D" w:rsidRPr="007101FE" w:rsidRDefault="00156EE9" w:rsidP="009834D7">
      <w:pPr>
        <w:rPr>
          <w:lang w:val="ru-RU"/>
        </w:rPr>
      </w:pPr>
      <w:r w:rsidRPr="007101FE">
        <w:rPr>
          <w:lang w:val="ru-RU"/>
        </w:rPr>
        <w:t>Один крупны</w:t>
      </w:r>
      <w:r w:rsidR="004B43C6" w:rsidRPr="007101FE">
        <w:rPr>
          <w:lang w:val="ru-RU"/>
        </w:rPr>
        <w:t>й</w:t>
      </w:r>
      <w:r w:rsidRPr="007101FE">
        <w:rPr>
          <w:lang w:val="ru-RU"/>
        </w:rPr>
        <w:t xml:space="preserve"> стратегически</w:t>
      </w:r>
      <w:r w:rsidR="004B43C6" w:rsidRPr="007101FE">
        <w:rPr>
          <w:lang w:val="ru-RU"/>
        </w:rPr>
        <w:t>й проект</w:t>
      </w:r>
      <w:r w:rsidRPr="007101FE">
        <w:rPr>
          <w:lang w:val="ru-RU"/>
        </w:rPr>
        <w:t>, выполняемы</w:t>
      </w:r>
      <w:r w:rsidR="004B43C6" w:rsidRPr="007101FE">
        <w:rPr>
          <w:lang w:val="ru-RU"/>
        </w:rPr>
        <w:t>й</w:t>
      </w:r>
      <w:r w:rsidRPr="007101FE">
        <w:rPr>
          <w:lang w:val="ru-RU"/>
        </w:rPr>
        <w:t xml:space="preserve"> в течение этого периода, заслуживает отдельного упоминания</w:t>
      </w:r>
      <w:r w:rsidR="00E21CB6" w:rsidRPr="007101FE">
        <w:rPr>
          <w:lang w:val="ru-RU"/>
        </w:rPr>
        <w:t xml:space="preserve">: </w:t>
      </w:r>
      <w:r w:rsidRPr="007101FE">
        <w:rPr>
          <w:lang w:val="ru-RU"/>
        </w:rPr>
        <w:t>снос здания "Варембе"</w:t>
      </w:r>
      <w:r w:rsidR="00F308C4" w:rsidRPr="007101FE">
        <w:rPr>
          <w:lang w:val="ru-RU"/>
        </w:rPr>
        <w:t xml:space="preserve">, замена его </w:t>
      </w:r>
      <w:r w:rsidR="009834D7" w:rsidRPr="007101FE">
        <w:rPr>
          <w:lang w:val="ru-RU"/>
        </w:rPr>
        <w:t>еди</w:t>
      </w:r>
      <w:r w:rsidR="00BD2897" w:rsidRPr="007101FE">
        <w:rPr>
          <w:lang w:val="ru-RU"/>
        </w:rPr>
        <w:t>ным</w:t>
      </w:r>
      <w:r w:rsidR="00E21CB6" w:rsidRPr="007101FE">
        <w:rPr>
          <w:lang w:val="ru-RU"/>
        </w:rPr>
        <w:t xml:space="preserve"> </w:t>
      </w:r>
      <w:r w:rsidR="00F308C4" w:rsidRPr="007101FE">
        <w:rPr>
          <w:lang w:val="ru-RU"/>
        </w:rPr>
        <w:t xml:space="preserve">зданием, </w:t>
      </w:r>
      <w:r w:rsidR="00D24A38" w:rsidRPr="007101FE">
        <w:rPr>
          <w:lang w:val="ru-RU"/>
        </w:rPr>
        <w:t xml:space="preserve">в </w:t>
      </w:r>
      <w:r w:rsidR="00F308C4" w:rsidRPr="007101FE">
        <w:rPr>
          <w:lang w:val="ru-RU"/>
        </w:rPr>
        <w:t>которо</w:t>
      </w:r>
      <w:r w:rsidR="00D24A38" w:rsidRPr="007101FE">
        <w:rPr>
          <w:lang w:val="ru-RU"/>
        </w:rPr>
        <w:t>м</w:t>
      </w:r>
      <w:r w:rsidR="00F308C4" w:rsidRPr="007101FE">
        <w:rPr>
          <w:lang w:val="ru-RU"/>
        </w:rPr>
        <w:t xml:space="preserve"> также </w:t>
      </w:r>
      <w:r w:rsidR="00D24A38" w:rsidRPr="007101FE">
        <w:rPr>
          <w:lang w:val="ru-RU"/>
        </w:rPr>
        <w:t>можно будет разместить сохраня</w:t>
      </w:r>
      <w:r w:rsidR="003C738F" w:rsidRPr="007101FE">
        <w:rPr>
          <w:lang w:val="ru-RU"/>
        </w:rPr>
        <w:t>ющиеся</w:t>
      </w:r>
      <w:r w:rsidR="00D24A38" w:rsidRPr="007101FE">
        <w:rPr>
          <w:lang w:val="ru-RU"/>
        </w:rPr>
        <w:t xml:space="preserve"> объекты</w:t>
      </w:r>
      <w:r w:rsidR="00F308C4" w:rsidRPr="007101FE">
        <w:rPr>
          <w:lang w:val="ru-RU"/>
        </w:rPr>
        <w:t xml:space="preserve"> здания МСЭ "Башня"</w:t>
      </w:r>
      <w:r w:rsidR="004E6CED" w:rsidRPr="007101FE">
        <w:rPr>
          <w:lang w:val="ru-RU"/>
        </w:rPr>
        <w:t xml:space="preserve"> и большинство объектов здания "Монбрийан"</w:t>
      </w:r>
      <w:r w:rsidR="00F308C4" w:rsidRPr="007101FE">
        <w:rPr>
          <w:lang w:val="ru-RU"/>
        </w:rPr>
        <w:t>, и последующ</w:t>
      </w:r>
      <w:r w:rsidR="00A607D6" w:rsidRPr="007101FE">
        <w:rPr>
          <w:lang w:val="ru-RU"/>
        </w:rPr>
        <w:t>ая реализация здания МСЭ "Башня"</w:t>
      </w:r>
      <w:r w:rsidR="00E21CB6" w:rsidRPr="007101FE">
        <w:rPr>
          <w:lang w:val="ru-RU"/>
        </w:rPr>
        <w:t xml:space="preserve">. </w:t>
      </w:r>
      <w:r w:rsidR="004E6CED" w:rsidRPr="007101FE">
        <w:rPr>
          <w:lang w:val="ru-RU"/>
        </w:rPr>
        <w:t xml:space="preserve">В новом здании будут </w:t>
      </w:r>
      <w:r w:rsidR="009834D7" w:rsidRPr="007101FE">
        <w:rPr>
          <w:lang w:val="ru-RU"/>
        </w:rPr>
        <w:t xml:space="preserve">рабочие места для персонала без разделительных стен и современные объекты для проведения собраний; здание будет автономным, экологически устойчивым, доступным и экономичным в управлении. </w:t>
      </w:r>
      <w:r w:rsidR="00F308C4" w:rsidRPr="007101FE">
        <w:rPr>
          <w:lang w:val="ru-RU"/>
        </w:rPr>
        <w:t xml:space="preserve">Этот проект финансируется за счет </w:t>
      </w:r>
      <w:r w:rsidR="0068199D" w:rsidRPr="007101FE">
        <w:rPr>
          <w:lang w:val="ru-RU"/>
        </w:rPr>
        <w:t xml:space="preserve">представляемых страной пребывания ссуд, первая из которых, покрывающая проектный период </w:t>
      </w:r>
      <w:r w:rsidR="00E21CB6" w:rsidRPr="007101FE">
        <w:rPr>
          <w:lang w:val="ru-RU"/>
        </w:rPr>
        <w:t>2017−2019</w:t>
      </w:r>
      <w:r w:rsidR="0068199D" w:rsidRPr="007101FE">
        <w:rPr>
          <w:lang w:val="ru-RU"/>
        </w:rPr>
        <w:t> годов, уже согласована</w:t>
      </w:r>
      <w:r w:rsidR="00E21CB6" w:rsidRPr="007101FE">
        <w:rPr>
          <w:lang w:val="ru-RU"/>
        </w:rPr>
        <w:t xml:space="preserve">. </w:t>
      </w:r>
      <w:r w:rsidR="0068199D" w:rsidRPr="007101FE">
        <w:rPr>
          <w:lang w:val="ru-RU"/>
        </w:rPr>
        <w:t>Погашение это</w:t>
      </w:r>
      <w:r w:rsidR="00EA74BA" w:rsidRPr="007101FE">
        <w:rPr>
          <w:lang w:val="ru-RU"/>
        </w:rPr>
        <w:t>й</w:t>
      </w:r>
      <w:r w:rsidR="0068199D" w:rsidRPr="007101FE">
        <w:rPr>
          <w:lang w:val="ru-RU"/>
        </w:rPr>
        <w:t xml:space="preserve"> беспроцентной ссуды в течение 50 лет начнется только после сдачи готового здания</w:t>
      </w:r>
      <w:r w:rsidR="00EA74BA" w:rsidRPr="007101FE">
        <w:rPr>
          <w:lang w:val="ru-RU"/>
        </w:rPr>
        <w:t xml:space="preserve"> и</w:t>
      </w:r>
      <w:r w:rsidR="0068199D" w:rsidRPr="007101FE">
        <w:rPr>
          <w:lang w:val="ru-RU"/>
        </w:rPr>
        <w:t xml:space="preserve"> не ранее конца 2023 года. Ожидается, что заявка на получение второй и </w:t>
      </w:r>
      <w:r w:rsidR="004B43C6" w:rsidRPr="007101FE">
        <w:rPr>
          <w:lang w:val="ru-RU"/>
        </w:rPr>
        <w:t>последней</w:t>
      </w:r>
      <w:r w:rsidR="0068199D" w:rsidRPr="007101FE">
        <w:rPr>
          <w:lang w:val="ru-RU"/>
        </w:rPr>
        <w:t xml:space="preserve"> ссуды по проекту будет подана в конце 2018 года. Проект находится под надзором Государств-Членов через группу </w:t>
      </w:r>
      <w:r w:rsidR="00642AB1" w:rsidRPr="007101FE">
        <w:rPr>
          <w:color w:val="000000"/>
          <w:lang w:val="ru-RU"/>
        </w:rPr>
        <w:t>КГГЧ</w:t>
      </w:r>
      <w:r w:rsidR="0068199D" w:rsidRPr="007101FE">
        <w:rPr>
          <w:lang w:val="ru-RU"/>
        </w:rPr>
        <w:t>, в соответствии с Решением 588 Совета.</w:t>
      </w:r>
      <w:r w:rsidR="009834D7" w:rsidRPr="007101FE">
        <w:rPr>
          <w:lang w:val="ru-RU"/>
        </w:rPr>
        <w:t xml:space="preserve"> В 2017 году МСЭ провел всемирный архитектурный конкурс, международное жюри которого выбрало проект-победитель.</w:t>
      </w:r>
    </w:p>
    <w:p w:rsidR="000234D7" w:rsidRPr="007101FE" w:rsidRDefault="00C91BB2" w:rsidP="002B3B57">
      <w:pPr>
        <w:pStyle w:val="Heading1"/>
        <w:rPr>
          <w:lang w:val="ru-RU"/>
        </w:rPr>
      </w:pPr>
      <w:r w:rsidRPr="007101FE">
        <w:rPr>
          <w:lang w:val="ru-RU"/>
        </w:rPr>
        <w:t>2</w:t>
      </w:r>
      <w:r w:rsidR="00964A3B" w:rsidRPr="007101FE">
        <w:rPr>
          <w:lang w:val="ru-RU"/>
        </w:rPr>
        <w:tab/>
      </w:r>
      <w:r w:rsidR="00555C8E" w:rsidRPr="007101FE">
        <w:rPr>
          <w:lang w:val="ru-RU"/>
        </w:rPr>
        <w:t>Поддержка Генеральным секретариатом структуры результатов деятельности МСЭ</w:t>
      </w:r>
    </w:p>
    <w:p w:rsidR="000234D7" w:rsidRPr="007101FE" w:rsidRDefault="00C91BB2" w:rsidP="00C91BB2">
      <w:pPr>
        <w:pStyle w:val="Heading2"/>
        <w:spacing w:after="120"/>
        <w:rPr>
          <w:lang w:val="ru-RU"/>
        </w:rPr>
      </w:pPr>
      <w:r w:rsidRPr="007101FE">
        <w:rPr>
          <w:lang w:val="ru-RU"/>
        </w:rPr>
        <w:t>2</w:t>
      </w:r>
      <w:r w:rsidR="00E751A0" w:rsidRPr="007101FE">
        <w:rPr>
          <w:lang w:val="ru-RU"/>
        </w:rPr>
        <w:t>.</w:t>
      </w:r>
      <w:r w:rsidRPr="007101FE">
        <w:rPr>
          <w:lang w:val="ru-RU"/>
        </w:rPr>
        <w:t>1</w:t>
      </w:r>
      <w:r w:rsidR="00C60645" w:rsidRPr="007101FE">
        <w:rPr>
          <w:lang w:val="ru-RU"/>
        </w:rPr>
        <w:tab/>
      </w:r>
      <w:r w:rsidR="003140BD" w:rsidRPr="007101FE">
        <w:rPr>
          <w:lang w:val="ru-RU"/>
        </w:rPr>
        <w:t>Распределение з</w:t>
      </w:r>
      <w:r w:rsidR="0094112C" w:rsidRPr="007101FE">
        <w:rPr>
          <w:lang w:val="ru-RU"/>
        </w:rPr>
        <w:t>атрат Генерального секретариата</w:t>
      </w:r>
      <w:r w:rsidR="009834D7" w:rsidRPr="007101FE">
        <w:rPr>
          <w:lang w:val="ru-RU"/>
        </w:rPr>
        <w:t xml:space="preserve"> на 2019 год</w:t>
      </w:r>
    </w:p>
    <w:tbl>
      <w:tblPr>
        <w:tblStyle w:val="GridTable4-Accent11"/>
        <w:tblW w:w="14596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620" w:firstRow="1" w:lastRow="0" w:firstColumn="0" w:lastColumn="0" w:noHBand="1" w:noVBand="1"/>
      </w:tblPr>
      <w:tblGrid>
        <w:gridCol w:w="4815"/>
        <w:gridCol w:w="1843"/>
        <w:gridCol w:w="7938"/>
      </w:tblGrid>
      <w:tr w:rsidR="000234D7" w:rsidRPr="004C277B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4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234D7" w:rsidRPr="007101FE" w:rsidRDefault="003140BD" w:rsidP="0066342C">
            <w:pPr>
              <w:spacing w:before="80" w:after="8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color w:val="FFFFFF"/>
                <w:sz w:val="18"/>
                <w:szCs w:val="18"/>
                <w:lang w:val="ru-RU"/>
              </w:rPr>
              <w:t>Общие ресурсы Генерального секретариата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0234D7" w:rsidP="0066342C">
            <w:pPr>
              <w:spacing w:before="80" w:after="8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color w:val="FFFFFF"/>
                <w:sz w:val="18"/>
                <w:szCs w:val="18"/>
                <w:lang w:val="ru-RU"/>
              </w:rPr>
              <w:t xml:space="preserve">% </w:t>
            </w:r>
            <w:r w:rsidR="003140BD" w:rsidRPr="007101FE">
              <w:rPr>
                <w:color w:val="FFFFFF"/>
                <w:sz w:val="18"/>
                <w:szCs w:val="18"/>
                <w:lang w:val="ru-RU"/>
              </w:rPr>
              <w:t>распределения</w:t>
            </w:r>
            <w:r w:rsidR="00C60645" w:rsidRPr="007101FE">
              <w:rPr>
                <w:color w:val="FFFFFF"/>
                <w:sz w:val="18"/>
                <w:szCs w:val="18"/>
                <w:lang w:val="ru-RU"/>
              </w:rPr>
              <w:t>,</w:t>
            </w:r>
          </w:p>
        </w:tc>
        <w:tc>
          <w:tcPr>
            <w:tcW w:w="79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3140BD" w:rsidP="0066342C">
            <w:pPr>
              <w:spacing w:before="80" w:after="80"/>
              <w:jc w:val="center"/>
              <w:rPr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color w:val="FFFFFF"/>
                <w:sz w:val="18"/>
                <w:szCs w:val="18"/>
                <w:lang w:val="ru-RU"/>
              </w:rPr>
              <w:t xml:space="preserve">рассчитанный на основе </w:t>
            </w:r>
            <w:r w:rsidR="00E21CB6" w:rsidRPr="007101FE">
              <w:rPr>
                <w:color w:val="FFFFFF"/>
                <w:sz w:val="18"/>
                <w:szCs w:val="18"/>
                <w:lang w:val="ru-RU"/>
              </w:rPr>
              <w:t>проекта бюджета</w:t>
            </w:r>
            <w:r w:rsidR="000234D7" w:rsidRPr="007101FE">
              <w:rPr>
                <w:color w:val="FFFFFF"/>
                <w:sz w:val="18"/>
                <w:szCs w:val="18"/>
                <w:lang w:val="ru-RU"/>
              </w:rPr>
              <w:t xml:space="preserve"> (</w:t>
            </w:r>
            <w:r w:rsidRPr="007101FE">
              <w:rPr>
                <w:color w:val="FFFFFF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7101FE">
              <w:rPr>
                <w:color w:val="FFFFFF"/>
                <w:sz w:val="18"/>
                <w:szCs w:val="18"/>
                <w:lang w:val="ru-RU"/>
              </w:rPr>
              <w:t>)</w:t>
            </w:r>
          </w:p>
        </w:tc>
      </w:tr>
      <w:tr w:rsidR="000234D7" w:rsidRPr="004C277B" w:rsidTr="00DE6DE4">
        <w:trPr>
          <w:trHeight w:val="300"/>
        </w:trPr>
        <w:tc>
          <w:tcPr>
            <w:tcW w:w="4815" w:type="dxa"/>
            <w:hideMark/>
          </w:tcPr>
          <w:p w:rsidR="000234D7" w:rsidRPr="007101FE" w:rsidRDefault="003140BD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7101FE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</w:t>
            </w:r>
            <w:r w:rsidR="0075033B" w:rsidRPr="007101FE">
              <w:rPr>
                <w:color w:val="000000"/>
                <w:sz w:val="18"/>
                <w:szCs w:val="18"/>
                <w:lang w:val="ru-RU"/>
              </w:rPr>
              <w:t xml:space="preserve">на </w:t>
            </w:r>
            <w:r w:rsidR="0075033B" w:rsidRPr="007101FE">
              <w:rPr>
                <w:b/>
                <w:bCs/>
                <w:color w:val="000000"/>
                <w:sz w:val="18"/>
                <w:szCs w:val="18"/>
                <w:lang w:val="ru-RU"/>
              </w:rPr>
              <w:t>задачи Секторов</w:t>
            </w:r>
            <w:r w:rsidR="000234D7" w:rsidRPr="007101FE">
              <w:rPr>
                <w:rStyle w:val="FootnoteReference"/>
                <w:szCs w:val="16"/>
                <w:lang w:val="ru-RU"/>
              </w:rPr>
              <w:t>*</w:t>
            </w:r>
          </w:p>
        </w:tc>
        <w:tc>
          <w:tcPr>
            <w:tcW w:w="1843" w:type="dxa"/>
          </w:tcPr>
          <w:p w:rsidR="000234D7" w:rsidRPr="007101FE" w:rsidRDefault="00C91BB2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sz w:val="18"/>
                <w:szCs w:val="18"/>
                <w:lang w:val="ru-RU"/>
              </w:rPr>
              <w:t>88</w:t>
            </w:r>
            <w:r w:rsidR="000234D7" w:rsidRPr="007101FE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938" w:type="dxa"/>
          </w:tcPr>
          <w:p w:rsidR="000234D7" w:rsidRPr="007101FE" w:rsidRDefault="00154278" w:rsidP="006634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026"/>
                <w:tab w:val="left" w:pos="1451"/>
                <w:tab w:val="left" w:pos="1876"/>
              </w:tabs>
              <w:spacing w:before="40" w:after="40"/>
              <w:ind w:left="1876" w:hanging="1876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ab/>
            </w:r>
            <w:r w:rsidR="00C91BB2" w:rsidRPr="007101FE">
              <w:rPr>
                <w:sz w:val="18"/>
                <w:szCs w:val="18"/>
                <w:lang w:val="ru-RU"/>
              </w:rPr>
              <w:t>79 841</w:t>
            </w:r>
            <w:r w:rsidRPr="007101FE">
              <w:rPr>
                <w:sz w:val="18"/>
                <w:szCs w:val="18"/>
                <w:lang w:val="ru-RU"/>
              </w:rPr>
              <w:tab/>
            </w:r>
            <w:r w:rsidR="000234D7" w:rsidRPr="007101FE">
              <w:rPr>
                <w:rStyle w:val="FootnoteReference"/>
                <w:szCs w:val="16"/>
                <w:lang w:val="ru-RU"/>
              </w:rPr>
              <w:t>*</w:t>
            </w:r>
            <w:r w:rsidR="00C60645" w:rsidRPr="007101FE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7101FE">
              <w:rPr>
                <w:color w:val="000000"/>
                <w:sz w:val="18"/>
                <w:szCs w:val="18"/>
                <w:lang w:val="ru-RU"/>
              </w:rPr>
              <w:t xml:space="preserve">Включает </w:t>
            </w:r>
            <w:r w:rsidR="00F57CCE" w:rsidRPr="007101FE">
              <w:rPr>
                <w:color w:val="000000"/>
                <w:sz w:val="18"/>
                <w:szCs w:val="18"/>
                <w:lang w:val="ru-RU"/>
              </w:rPr>
              <w:t>средства достижения целей</w:t>
            </w:r>
            <w:r w:rsidR="0075033B" w:rsidRPr="007101FE">
              <w:rPr>
                <w:color w:val="000000"/>
                <w:sz w:val="18"/>
                <w:szCs w:val="18"/>
                <w:lang w:val="ru-RU"/>
              </w:rPr>
              <w:t>/</w:t>
            </w:r>
            <w:r w:rsidR="00B53E32" w:rsidRPr="007101FE">
              <w:rPr>
                <w:color w:val="000000"/>
                <w:sz w:val="18"/>
                <w:szCs w:val="18"/>
                <w:lang w:val="ru-RU"/>
              </w:rPr>
              <w:br/>
            </w:r>
            <w:r w:rsidR="0075033B" w:rsidRPr="007101FE">
              <w:rPr>
                <w:color w:val="000000"/>
                <w:sz w:val="18"/>
                <w:szCs w:val="18"/>
                <w:lang w:val="ru-RU"/>
              </w:rPr>
              <w:t>вспомогательные услуги и документацию</w:t>
            </w:r>
            <w:r w:rsidR="00B53E32" w:rsidRPr="007101FE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4C277B" w:rsidTr="00DE6DE4">
        <w:trPr>
          <w:trHeight w:val="161"/>
        </w:trPr>
        <w:tc>
          <w:tcPr>
            <w:tcW w:w="4815" w:type="dxa"/>
            <w:hideMark/>
          </w:tcPr>
          <w:p w:rsidR="000234D7" w:rsidRPr="007101FE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7101FE">
              <w:rPr>
                <w:color w:val="000000"/>
                <w:sz w:val="18"/>
                <w:szCs w:val="18"/>
                <w:lang w:val="ru-RU"/>
              </w:rPr>
              <w:t xml:space="preserve">Ресурсы, распределенные на </w:t>
            </w:r>
            <w:r w:rsidRPr="007101FE">
              <w:rPr>
                <w:b/>
                <w:bCs/>
                <w:color w:val="000000"/>
                <w:sz w:val="18"/>
                <w:szCs w:val="18"/>
                <w:lang w:val="ru-RU"/>
              </w:rPr>
              <w:t>межсекторальные задачи</w:t>
            </w:r>
            <w:r w:rsidR="000234D7" w:rsidRPr="007101FE">
              <w:rPr>
                <w:rStyle w:val="FootnoteReference"/>
                <w:szCs w:val="16"/>
                <w:lang w:val="ru-RU"/>
              </w:rPr>
              <w:t>**</w:t>
            </w:r>
          </w:p>
        </w:tc>
        <w:tc>
          <w:tcPr>
            <w:tcW w:w="1843" w:type="dxa"/>
          </w:tcPr>
          <w:p w:rsidR="000234D7" w:rsidRPr="007101FE" w:rsidRDefault="00C91BB2" w:rsidP="00BB0A0B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sz w:val="18"/>
                <w:szCs w:val="18"/>
                <w:lang w:val="ru-RU"/>
              </w:rPr>
              <w:t>12</w:t>
            </w:r>
            <w:r w:rsidR="000234D7" w:rsidRPr="007101FE">
              <w:rPr>
                <w:b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7938" w:type="dxa"/>
          </w:tcPr>
          <w:p w:rsidR="000234D7" w:rsidRPr="007101FE" w:rsidRDefault="00154278" w:rsidP="006634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026"/>
                <w:tab w:val="left" w:pos="1451"/>
                <w:tab w:val="left" w:pos="1876"/>
              </w:tabs>
              <w:spacing w:before="40" w:after="40"/>
              <w:ind w:left="1876" w:hanging="1876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ab/>
            </w:r>
            <w:r w:rsidR="00C91BB2" w:rsidRPr="007101FE">
              <w:rPr>
                <w:sz w:val="18"/>
                <w:szCs w:val="18"/>
                <w:lang w:val="ru-RU"/>
              </w:rPr>
              <w:t>10 426</w:t>
            </w:r>
            <w:r w:rsidR="000234D7" w:rsidRPr="007101FE">
              <w:rPr>
                <w:sz w:val="18"/>
                <w:szCs w:val="18"/>
                <w:lang w:val="ru-RU"/>
              </w:rPr>
              <w:tab/>
            </w:r>
            <w:r w:rsidR="000234D7" w:rsidRPr="007101FE">
              <w:rPr>
                <w:rStyle w:val="FootnoteReference"/>
                <w:szCs w:val="16"/>
                <w:lang w:val="ru-RU"/>
              </w:rPr>
              <w:t>**</w:t>
            </w:r>
            <w:r w:rsidR="00C60645" w:rsidRPr="007101FE">
              <w:rPr>
                <w:color w:val="000000"/>
                <w:sz w:val="18"/>
                <w:szCs w:val="18"/>
                <w:lang w:val="ru-RU"/>
              </w:rPr>
              <w:tab/>
            </w:r>
            <w:r w:rsidR="0075033B" w:rsidRPr="007101FE">
              <w:rPr>
                <w:color w:val="000000"/>
                <w:sz w:val="18"/>
                <w:szCs w:val="18"/>
                <w:lang w:val="ru-RU"/>
              </w:rPr>
              <w:t>Включает прямые затрат</w:t>
            </w:r>
            <w:r w:rsidR="00B53E32" w:rsidRPr="007101FE">
              <w:rPr>
                <w:color w:val="000000"/>
                <w:sz w:val="18"/>
                <w:szCs w:val="18"/>
                <w:lang w:val="ru-RU"/>
              </w:rPr>
              <w:t>ы</w:t>
            </w:r>
            <w:r w:rsidR="0075033B" w:rsidRPr="007101FE">
              <w:rPr>
                <w:color w:val="000000"/>
                <w:sz w:val="18"/>
                <w:szCs w:val="18"/>
                <w:lang w:val="ru-RU"/>
              </w:rPr>
              <w:t xml:space="preserve"> на межсекторальные намеченные результаты деятельности</w:t>
            </w:r>
            <w:r w:rsidR="00B53E32" w:rsidRPr="007101FE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0234D7" w:rsidRPr="007101FE" w:rsidTr="00DE6DE4">
        <w:trPr>
          <w:trHeight w:val="81"/>
        </w:trPr>
        <w:tc>
          <w:tcPr>
            <w:tcW w:w="4815" w:type="dxa"/>
            <w:hideMark/>
          </w:tcPr>
          <w:p w:rsidR="000234D7" w:rsidRPr="007101FE" w:rsidRDefault="0075033B" w:rsidP="00BA6A14">
            <w:pPr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7101FE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0234D7" w:rsidRPr="007101FE" w:rsidRDefault="000234D7" w:rsidP="00B53E32">
            <w:pPr>
              <w:spacing w:before="40" w:after="40"/>
              <w:ind w:right="567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sz w:val="18"/>
                <w:szCs w:val="18"/>
                <w:lang w:val="ru-RU"/>
              </w:rPr>
              <w:t>100%</w:t>
            </w:r>
          </w:p>
        </w:tc>
        <w:tc>
          <w:tcPr>
            <w:tcW w:w="7938" w:type="dxa"/>
          </w:tcPr>
          <w:p w:rsidR="000234D7" w:rsidRPr="007101FE" w:rsidRDefault="00154278" w:rsidP="0066342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1026"/>
                <w:tab w:val="left" w:pos="1451"/>
                <w:tab w:val="left" w:pos="1876"/>
              </w:tabs>
              <w:spacing w:before="40" w:after="40"/>
              <w:ind w:left="1876" w:hanging="1876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ab/>
            </w:r>
            <w:r w:rsidR="00C91BB2" w:rsidRPr="007101FE">
              <w:rPr>
                <w:sz w:val="18"/>
                <w:szCs w:val="18"/>
                <w:lang w:val="ru-RU"/>
              </w:rPr>
              <w:t>90 267</w:t>
            </w:r>
          </w:p>
        </w:tc>
      </w:tr>
    </w:tbl>
    <w:p w:rsidR="009F62AB" w:rsidRPr="007101FE" w:rsidRDefault="009F62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 Bold"/>
          <w:b/>
          <w:lang w:val="ru-RU"/>
        </w:rPr>
      </w:pPr>
      <w:r w:rsidRPr="007101FE">
        <w:rPr>
          <w:lang w:val="ru-RU"/>
        </w:rPr>
        <w:br w:type="page"/>
      </w:r>
    </w:p>
    <w:p w:rsidR="000234D7" w:rsidRPr="007101FE" w:rsidRDefault="00C91BB2" w:rsidP="00F57CCE">
      <w:pPr>
        <w:pStyle w:val="Heading2"/>
        <w:rPr>
          <w:lang w:val="ru-RU"/>
        </w:rPr>
      </w:pPr>
      <w:r w:rsidRPr="007101FE">
        <w:rPr>
          <w:lang w:val="ru-RU"/>
        </w:rPr>
        <w:t>2</w:t>
      </w:r>
      <w:r w:rsidR="00D16A89" w:rsidRPr="007101FE">
        <w:rPr>
          <w:lang w:val="ru-RU"/>
        </w:rPr>
        <w:t>.</w:t>
      </w:r>
      <w:r w:rsidRPr="007101FE">
        <w:rPr>
          <w:lang w:val="ru-RU"/>
        </w:rPr>
        <w:t>2</w:t>
      </w:r>
      <w:r w:rsidR="00D16A89" w:rsidRPr="007101FE">
        <w:rPr>
          <w:lang w:val="ru-RU"/>
        </w:rPr>
        <w:tab/>
      </w:r>
      <w:r w:rsidR="0047328C" w:rsidRPr="007101FE">
        <w:rPr>
          <w:lang w:val="ru-RU"/>
        </w:rPr>
        <w:t xml:space="preserve">Распределение ресурсов Генерального секретариата на </w:t>
      </w:r>
      <w:r w:rsidR="00F57CCE" w:rsidRPr="007101FE">
        <w:rPr>
          <w:lang w:val="ru-RU"/>
        </w:rPr>
        <w:t>средства достижения целей</w:t>
      </w:r>
      <w:r w:rsidR="0047328C" w:rsidRPr="007101FE">
        <w:rPr>
          <w:lang w:val="ru-RU"/>
        </w:rPr>
        <w:t xml:space="preserve">/вспомогательные услуги </w:t>
      </w:r>
      <w:r w:rsidR="00B90BFF" w:rsidRPr="007101FE">
        <w:rPr>
          <w:lang w:val="ru-RU"/>
        </w:rPr>
        <w:t xml:space="preserve">в </w:t>
      </w:r>
      <w:r w:rsidR="0047328C" w:rsidRPr="007101FE">
        <w:rPr>
          <w:lang w:val="ru-RU"/>
        </w:rPr>
        <w:t>201</w:t>
      </w:r>
      <w:r w:rsidR="009F62AB" w:rsidRPr="007101FE">
        <w:rPr>
          <w:lang w:val="ru-RU"/>
        </w:rPr>
        <w:t>9</w:t>
      </w:r>
      <w:r w:rsidR="000234D7" w:rsidRPr="007101FE">
        <w:rPr>
          <w:lang w:val="ru-RU"/>
        </w:rPr>
        <w:t xml:space="preserve"> </w:t>
      </w:r>
      <w:r w:rsidR="0047328C" w:rsidRPr="007101FE">
        <w:rPr>
          <w:lang w:val="ru-RU"/>
        </w:rPr>
        <w:t>год</w:t>
      </w:r>
      <w:r w:rsidR="007E070F" w:rsidRPr="007101FE">
        <w:rPr>
          <w:lang w:val="ru-RU"/>
        </w:rPr>
        <w:t>у</w:t>
      </w:r>
    </w:p>
    <w:tbl>
      <w:tblPr>
        <w:tblStyle w:val="GridTable1Light-Accent51"/>
        <w:tblW w:w="144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22"/>
        <w:gridCol w:w="7371"/>
      </w:tblGrid>
      <w:tr w:rsidR="00751ED9" w:rsidRPr="007101FE" w:rsidTr="00F83F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751ED9" w:rsidRPr="007101FE" w:rsidRDefault="009F62AB" w:rsidP="00F83F8D">
            <w:pPr>
              <w:rPr>
                <w:lang w:val="ru-RU"/>
              </w:rPr>
            </w:pPr>
            <w:r w:rsidRPr="007101FE">
              <w:rPr>
                <w:noProof/>
                <w:lang w:val="en-US" w:eastAsia="zh-CN"/>
              </w:rPr>
              <w:drawing>
                <wp:inline distT="0" distB="0" distL="0" distR="0" wp14:anchorId="6DD578E7" wp14:editId="318C28EF">
                  <wp:extent cx="4048125" cy="246697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371" w:type="dxa"/>
            <w:vMerge w:val="restart"/>
          </w:tcPr>
          <w:tbl>
            <w:tblPr>
              <w:tblStyle w:val="PlainTable21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7"/>
              <w:gridCol w:w="1163"/>
            </w:tblGrid>
            <w:tr w:rsidR="00751ED9" w:rsidRPr="007101FE" w:rsidTr="007143E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bottom w:val="single" w:sz="4" w:space="0" w:color="auto"/>
                  </w:tcBorders>
                  <w:vAlign w:val="center"/>
                </w:tcPr>
                <w:p w:rsidR="00751ED9" w:rsidRPr="007101FE" w:rsidRDefault="007143EE" w:rsidP="00BA6A14">
                  <w:pPr>
                    <w:spacing w:before="40" w:after="40"/>
                    <w:jc w:val="center"/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lang w:val="ru-RU" w:eastAsia="zh-CN"/>
                    </w:rPr>
                    <w:t>Запланированное распределение ресурсов по вспомогательным услугам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vAlign w:val="center"/>
                </w:tcPr>
                <w:p w:rsidR="00751ED9" w:rsidRPr="007101FE" w:rsidRDefault="00751ED9" w:rsidP="00BA6A14">
                  <w:pPr>
                    <w:spacing w:before="40" w:after="4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</w:tr>
            <w:tr w:rsidR="00751ED9" w:rsidRPr="007101FE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Союзом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7101FE" w:rsidRDefault="00751ED9" w:rsidP="009F62AB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9F62AB" w:rsidRPr="007101FE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7101FE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Организация конференций, ассамблей, семинаров и семинаров-практикумов (включая письменный и устный перевод)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51ED9" w:rsidRPr="007101FE" w:rsidRDefault="009F62AB" w:rsidP="009F62A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29</w:t>
                  </w:r>
                  <w:r w:rsidR="00751ED9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751ED9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7101FE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публикации</w:t>
                  </w:r>
                </w:p>
              </w:tc>
              <w:tc>
                <w:tcPr>
                  <w:tcW w:w="1163" w:type="dxa"/>
                  <w:vMerge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BB0A0B" w:rsidRPr="007101FE" w:rsidTr="001D27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BB0A0B" w:rsidRPr="007101FE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ИКТ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center"/>
                </w:tcPr>
                <w:p w:rsidR="00BB0A0B" w:rsidRPr="007101FE" w:rsidRDefault="00BB0A0B" w:rsidP="009F62A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9F62AB" w:rsidRPr="007101FE">
                    <w:rPr>
                      <w:sz w:val="18"/>
                      <w:szCs w:val="18"/>
                      <w:lang w:val="ru-RU"/>
                    </w:rPr>
                    <w:t>2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A10FD3" w:rsidRPr="007101FE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BB0A0B" w:rsidRPr="007101FE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BB0A0B" w:rsidRPr="007101FE" w:rsidRDefault="00BB0A0B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S.5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защите и обеспечению безопасности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BB0A0B" w:rsidRPr="007101FE" w:rsidRDefault="009F62AB" w:rsidP="009F62AB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BB0A0B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6</w:t>
                  </w:r>
                  <w:r w:rsidR="00BB0A0B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7101FE" w:rsidTr="009D23A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bottom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S.6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людскими ресурсами</w:t>
                  </w:r>
                  <w:r w:rsidR="009F62AB" w:rsidRPr="007101FE">
                    <w:rPr>
                      <w:b w:val="0"/>
                      <w:bCs w:val="0"/>
                      <w:szCs w:val="16"/>
                      <w:lang w:val="ru-RU"/>
                    </w:rPr>
                    <w:t xml:space="preserve"> </w:t>
                  </w:r>
                  <w:r w:rsidR="009F62AB"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(включая затраты на АСХИ (медицинское страхование после выхода в отставку) и на эксплуатацию зданий)</w:t>
                  </w: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vAlign w:val="bottom"/>
                </w:tcPr>
                <w:p w:rsidR="00751ED9" w:rsidRPr="007101FE" w:rsidRDefault="009F62AB" w:rsidP="009F62A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23</w:t>
                  </w:r>
                  <w:r w:rsidR="00751ED9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0</w:t>
                  </w:r>
                  <w:r w:rsidR="00751ED9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7101FE" w:rsidTr="009D23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S.7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Управление финансовыми ресурсами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7101FE" w:rsidRDefault="00751ED9" w:rsidP="00A10FD3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7,</w:t>
                  </w:r>
                  <w:r w:rsidR="009F62AB" w:rsidRPr="007101FE">
                    <w:rPr>
                      <w:sz w:val="18"/>
                      <w:szCs w:val="18"/>
                      <w:lang w:val="ru-RU"/>
                    </w:rPr>
                    <w:t>2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7101FE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S.8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Юридические услуги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1,3%</w:t>
                  </w:r>
                </w:p>
              </w:tc>
            </w:tr>
            <w:tr w:rsidR="00751ED9" w:rsidRPr="007101FE" w:rsidTr="00B53E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S.9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Внутренний аудит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51ED9" w:rsidRPr="007101FE" w:rsidRDefault="009F62AB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0,7</w:t>
                  </w:r>
                  <w:r w:rsidR="00751ED9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751ED9" w:rsidRPr="004C277B" w:rsidTr="00B53E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single" w:sz="4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S.10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Договоренности с членами Союза и внешними заинтересованными сторонами (включая ООН)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</w:tcBorders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7101FE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7101FE" w:rsidRDefault="00751ED9" w:rsidP="009F62A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Услуги связи 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7101FE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протокола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4C277B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Содействие работе руководящих органов (ПК, Совет, рабочие группы Совета)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4C277B" w:rsidTr="0033038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Производство и выдача электронных пропусков</w:t>
                  </w:r>
                  <w:r w:rsidR="00F57CCE"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 (не включено)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4C277B" w:rsidTr="003303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S.15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Услуги по мобилизации ресурсов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4C277B" w:rsidTr="002C10C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</w:tcPr>
                <w:p w:rsidR="00751ED9" w:rsidRPr="007101FE" w:rsidRDefault="00751ED9" w:rsidP="00B53E32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40" w:after="4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S.16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Корпоративное стратегическое управление и планирование</w:t>
                  </w:r>
                </w:p>
              </w:tc>
              <w:tc>
                <w:tcPr>
                  <w:tcW w:w="1163" w:type="dxa"/>
                  <w:vAlign w:val="bottom"/>
                </w:tcPr>
                <w:p w:rsidR="00751ED9" w:rsidRPr="007101FE" w:rsidRDefault="00751ED9" w:rsidP="00BA6A14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751ED9" w:rsidRPr="007101FE" w:rsidTr="002C10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7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751ED9" w:rsidRPr="007101FE" w:rsidRDefault="00751ED9" w:rsidP="001D27F3">
                  <w:pPr>
                    <w:spacing w:before="40" w:after="4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Всего S.10−S.16</w:t>
                  </w:r>
                  <w:r w:rsidR="001D27F3"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1163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751ED9" w:rsidRPr="007101FE" w:rsidRDefault="00A10FD3" w:rsidP="009F62AB">
                  <w:pPr>
                    <w:spacing w:before="40" w:after="4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9</w:t>
                  </w:r>
                  <w:r w:rsidR="00751ED9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9F62AB" w:rsidRPr="007101FE">
                    <w:rPr>
                      <w:sz w:val="18"/>
                      <w:szCs w:val="18"/>
                      <w:lang w:val="ru-RU"/>
                    </w:rPr>
                    <w:t>1</w:t>
                  </w:r>
                  <w:r w:rsidR="00751ED9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751ED9" w:rsidRPr="007101FE" w:rsidRDefault="00751ED9" w:rsidP="009F62AB">
            <w:pPr>
              <w:tabs>
                <w:tab w:val="clear" w:pos="794"/>
                <w:tab w:val="left" w:pos="182"/>
              </w:tabs>
              <w:ind w:left="182" w:hanging="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/>
              </w:rPr>
            </w:pPr>
          </w:p>
        </w:tc>
      </w:tr>
      <w:tr w:rsidR="00512473" w:rsidRPr="007101FE" w:rsidTr="004A12F8">
        <w:trPr>
          <w:trHeight w:val="2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2" w:type="dxa"/>
          </w:tcPr>
          <w:p w:rsidR="00F83F8D" w:rsidRPr="007101FE" w:rsidRDefault="00F83F8D" w:rsidP="00A97B03">
            <w:pPr>
              <w:spacing w:before="0"/>
              <w:rPr>
                <w:b w:val="0"/>
                <w:bCs w:val="0"/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2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80" w:firstRow="0" w:lastRow="0" w:firstColumn="1" w:lastColumn="0" w:noHBand="0" w:noVBand="1"/>
            </w:tblPr>
            <w:tblGrid>
              <w:gridCol w:w="6021"/>
              <w:gridCol w:w="1005"/>
            </w:tblGrid>
            <w:tr w:rsidR="00512473" w:rsidRPr="007101FE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7101FE" w:rsidRDefault="00512473" w:rsidP="009F62AB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E.1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 xml:space="preserve">Обеспечить эффективное и действенное использование людских, финансовых и капитальных ресурсов, а также </w:t>
                  </w:r>
                  <w:r w:rsidR="009F62AB"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(...)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7101FE" w:rsidRDefault="007E070F" w:rsidP="009F62A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36</w:t>
                  </w:r>
                  <w:r w:rsidR="00F83F8D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F62AB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512473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7101FE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7101FE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E.2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инфраструктуры для проведения эффективных и доступных конференций, собраний, получения документации, публикаций и информации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7101FE" w:rsidRDefault="007E070F" w:rsidP="009F62A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9F62AB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0</w:t>
                  </w: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9F62AB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512473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7101FE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7101FE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E.3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эффективные услуги протокола, связи и мобилизации ресурсов, касающиеся членов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7101FE" w:rsidRDefault="009F62AB" w:rsidP="009F62A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2</w:t>
                  </w:r>
                  <w:r w:rsidR="00913D65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512473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7101FE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7101FE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E.4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планирование, координацию и выполнение стратегического плана и оперативных планов Союза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7101FE" w:rsidRDefault="007E070F" w:rsidP="00282B8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913D65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,0</w:t>
                  </w:r>
                  <w:r w:rsidR="00512473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512473" w:rsidRPr="007101FE" w:rsidTr="00282B8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021" w:type="dxa"/>
                  <w:noWrap/>
                  <w:tcMar>
                    <w:left w:w="57" w:type="dxa"/>
                    <w:right w:w="57" w:type="dxa"/>
                  </w:tcMar>
                </w:tcPr>
                <w:p w:rsidR="00512473" w:rsidRPr="007101FE" w:rsidRDefault="00512473" w:rsidP="00512473">
                  <w:pPr>
                    <w:tabs>
                      <w:tab w:val="clear" w:pos="794"/>
                      <w:tab w:val="left" w:pos="493"/>
                    </w:tabs>
                    <w:spacing w:before="40" w:after="40"/>
                    <w:ind w:left="493" w:hanging="493"/>
                    <w:rPr>
                      <w:rFonts w:eastAsia="Times New Roman" w:cs="Times New Roman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color w:val="4F81BD" w:themeColor="accent1"/>
                      <w:sz w:val="18"/>
                      <w:szCs w:val="18"/>
                      <w:lang w:val="ru-RU"/>
                    </w:rPr>
                    <w:t>E.5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eastAsia="Times New Roman" w:cs="Times New Roman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  <w:t>Обеспечить эффективное и действенное управление организацией (внутреннее и внешнее)</w:t>
                  </w:r>
                </w:p>
              </w:tc>
              <w:tc>
                <w:tcPr>
                  <w:tcW w:w="1005" w:type="dxa"/>
                  <w:noWrap/>
                  <w:tcMar>
                    <w:left w:w="57" w:type="dxa"/>
                    <w:right w:w="57" w:type="dxa"/>
                  </w:tcMar>
                  <w:vAlign w:val="bottom"/>
                </w:tcPr>
                <w:p w:rsidR="00512473" w:rsidRPr="007101FE" w:rsidRDefault="009F62AB" w:rsidP="009F62AB">
                  <w:pPr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913D65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512473" w:rsidRPr="007101FE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512473" w:rsidRPr="007101FE" w:rsidRDefault="00512473" w:rsidP="005124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1" w:type="dxa"/>
            <w:vMerge/>
          </w:tcPr>
          <w:p w:rsidR="00512473" w:rsidRPr="007101FE" w:rsidRDefault="00512473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ru-RU" w:eastAsia="zh-CN"/>
              </w:rPr>
            </w:pPr>
          </w:p>
        </w:tc>
      </w:tr>
    </w:tbl>
    <w:p w:rsidR="000234D7" w:rsidRPr="007101FE" w:rsidRDefault="000234D7" w:rsidP="00BA6A14">
      <w:pPr>
        <w:rPr>
          <w:lang w:val="ru-RU"/>
        </w:rPr>
      </w:pPr>
      <w:r w:rsidRPr="007101FE">
        <w:rPr>
          <w:lang w:val="ru-RU"/>
        </w:rPr>
        <w:br w:type="page"/>
      </w:r>
    </w:p>
    <w:p w:rsidR="000234D7" w:rsidRPr="007101FE" w:rsidRDefault="009F62AB" w:rsidP="009F62AB">
      <w:pPr>
        <w:pStyle w:val="Heading2"/>
        <w:spacing w:before="0" w:after="120"/>
        <w:rPr>
          <w:lang w:val="ru-RU"/>
        </w:rPr>
      </w:pPr>
      <w:r w:rsidRPr="007101FE">
        <w:rPr>
          <w:lang w:val="ru-RU"/>
        </w:rPr>
        <w:t>2</w:t>
      </w:r>
      <w:r w:rsidR="008B7089" w:rsidRPr="007101FE">
        <w:rPr>
          <w:lang w:val="ru-RU"/>
        </w:rPr>
        <w:t>.</w:t>
      </w:r>
      <w:r w:rsidRPr="007101FE">
        <w:rPr>
          <w:lang w:val="ru-RU"/>
        </w:rPr>
        <w:t>3</w:t>
      </w:r>
      <w:r w:rsidR="00CE006A" w:rsidRPr="007101FE">
        <w:rPr>
          <w:lang w:val="ru-RU"/>
        </w:rPr>
        <w:tab/>
      </w:r>
      <w:r w:rsidR="00B90BFF" w:rsidRPr="007101FE">
        <w:rPr>
          <w:lang w:val="ru-RU"/>
        </w:rPr>
        <w:t>Распределение ресурсов на межсекторальные задачи и намеченные результаты деятельности в 201</w:t>
      </w:r>
      <w:r w:rsidRPr="007101FE">
        <w:rPr>
          <w:lang w:val="ru-RU"/>
        </w:rPr>
        <w:t>9</w:t>
      </w:r>
      <w:r w:rsidR="00B90BFF" w:rsidRPr="007101FE">
        <w:rPr>
          <w:lang w:val="ru-RU"/>
        </w:rPr>
        <w:t xml:space="preserve"> год</w:t>
      </w:r>
      <w:r w:rsidR="009D23A7" w:rsidRPr="007101FE">
        <w:rPr>
          <w:lang w:val="ru-RU"/>
        </w:rPr>
        <w:t>у</w:t>
      </w:r>
    </w:p>
    <w:tbl>
      <w:tblPr>
        <w:tblStyle w:val="GridTable1Light-Accent51"/>
        <w:tblW w:w="14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7115"/>
        <w:gridCol w:w="7377"/>
      </w:tblGrid>
      <w:tr w:rsidR="003B2891" w:rsidRPr="004C277B" w:rsidTr="009D23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3B2891" w:rsidRPr="007101FE" w:rsidRDefault="00DB3B3E" w:rsidP="009D23A7">
            <w:pPr>
              <w:rPr>
                <w:lang w:val="ru-RU"/>
              </w:rPr>
            </w:pPr>
            <w:r w:rsidRPr="007101FE">
              <w:rPr>
                <w:noProof/>
                <w:lang w:val="en-US" w:eastAsia="zh-CN"/>
              </w:rPr>
              <w:drawing>
                <wp:inline distT="0" distB="0" distL="0" distR="0" wp14:anchorId="66413F9D" wp14:editId="70325D0C">
                  <wp:extent cx="4572000" cy="274320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7377" w:type="dxa"/>
            <w:vMerge w:val="restart"/>
          </w:tcPr>
          <w:tbl>
            <w:tblPr>
              <w:tblStyle w:val="PlainTable21"/>
              <w:tblW w:w="0" w:type="auto"/>
              <w:tblInd w:w="18" w:type="dxa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1007"/>
              <w:gridCol w:w="1007"/>
            </w:tblGrid>
            <w:tr w:rsidR="00C479DD" w:rsidRPr="007101FE" w:rsidTr="007143E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bottom w:val="single" w:sz="4" w:space="0" w:color="auto"/>
                  </w:tcBorders>
                </w:tcPr>
                <w:p w:rsidR="007143EE" w:rsidRPr="007101FE" w:rsidRDefault="007143EE" w:rsidP="007143EE">
                  <w:pPr>
                    <w:spacing w:before="20" w:after="20"/>
                    <w:jc w:val="center"/>
                    <w:rPr>
                      <w:color w:val="4F81BD" w:themeColor="accent1"/>
                      <w:lang w:val="ru-RU" w:eastAsia="zh-CN"/>
                    </w:rPr>
                  </w:pPr>
                  <w:r w:rsidRPr="007101FE">
                    <w:rPr>
                      <w:color w:val="4F81BD" w:themeColor="accent1"/>
                      <w:lang w:val="ru-RU" w:eastAsia="zh-CN"/>
                    </w:rPr>
                    <w:t>Запланированное распределение ресурсов по намеченным результатам деятельности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</w:tcBorders>
                  <w:vAlign w:val="center"/>
                </w:tcPr>
                <w:p w:rsidR="00C479DD" w:rsidRPr="007101FE" w:rsidRDefault="00C479DD" w:rsidP="007143EE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/>
                    </w:rPr>
                    <w:t>% от общей суммы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</w:tcBorders>
                  <w:vAlign w:val="center"/>
                </w:tcPr>
                <w:p w:rsidR="00C479DD" w:rsidRPr="007101FE" w:rsidRDefault="00C479DD" w:rsidP="007143EE">
                  <w:pPr>
                    <w:spacing w:before="20" w:after="20"/>
                    <w:ind w:left="-57" w:right="-5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4F81BD" w:themeColor="accent1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eastAsia="Calibri" w:cs="Arial"/>
                      <w:color w:val="4F81BD" w:themeColor="accent1"/>
                      <w:sz w:val="18"/>
                      <w:szCs w:val="18"/>
                      <w:lang w:val="ru-RU"/>
                    </w:rPr>
                    <w:t>% от задачи</w:t>
                  </w:r>
                </w:p>
              </w:tc>
            </w:tr>
            <w:tr w:rsidR="00C479DD" w:rsidRPr="007101FE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7101FE" w:rsidRDefault="00C479DD" w:rsidP="00C866C4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I.1-1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всемирные конференции, форумы, мероприятия и платформы для обсуждений на высоком уровне (</w:t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такие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 как ВКМЭ, ВФПЭ, ВВУИО, ВДЭИО, ITU Telecom)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31</w:t>
                  </w:r>
                  <w:r w:rsidR="00BB0A0B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6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C479DD" w:rsidP="00DB3B3E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Обмен знаниями, сотрудничество и партнерские отношения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20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1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90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I.2-2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Меморандумы о взаимопонимании (МоВ)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C479DD" w:rsidP="00953D03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1,</w:t>
                  </w:r>
                  <w:r w:rsidR="00DB3B3E" w:rsidRPr="007101FE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6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I.3-1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Межсекторальные инициативы и отчеты о возникающих тенденциях в области электросвязи/ИКТ, а также другие аналогичные инициативы (включая журнал "Новости МСЭ")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C479DD" w:rsidP="00DB3B3E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2</w:t>
                  </w:r>
                  <w:r w:rsidR="00953D03" w:rsidRPr="007101FE">
                    <w:rPr>
                      <w:sz w:val="18"/>
                      <w:szCs w:val="18"/>
                      <w:lang w:val="ru-RU"/>
                    </w:rPr>
                    <w:t>5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DB3B3E" w:rsidRPr="007101FE">
                    <w:rPr>
                      <w:sz w:val="18"/>
                      <w:szCs w:val="18"/>
                      <w:lang w:val="ru-RU"/>
                    </w:rPr>
                    <w:t>3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953D03" w:rsidP="00DB3B3E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I.4-1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Отчеты и другие входные документы для </w:t>
                  </w:r>
                  <w:r w:rsidR="00C866C4"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межучрежденческих 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процессов, проходящих внутри ООН, а также многосторонних и межправительственных процессов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13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3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C479DD" w:rsidP="00DB3B3E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9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Отчеты, руководящие указания и контрольные перечни по вопросам доступности электросвязи/ИКТ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7101FE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3,</w:t>
                  </w:r>
                  <w:r w:rsidR="00DB3B3E" w:rsidRPr="007101FE">
                    <w:rPr>
                      <w:sz w:val="18"/>
                      <w:szCs w:val="18"/>
                      <w:lang w:val="ru-RU"/>
                    </w:rPr>
                    <w:t>7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7101FE" w:rsidRDefault="00953D03" w:rsidP="00953D03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66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4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Мобилизация ресурсов и специальных технических знаний, например, способствуя расширению участия лиц с ограниченными возможностями и особыми потребностями в международных и региональных собраниях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7101FE" w:rsidRDefault="00953D03" w:rsidP="00DB3B3E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0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="00DB3B3E" w:rsidRPr="007101FE">
                    <w:rPr>
                      <w:sz w:val="18"/>
                      <w:szCs w:val="18"/>
                      <w:lang w:val="ru-RU"/>
                    </w:rPr>
                    <w:t>6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none" w:sz="0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11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0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Дальнейшая разработка и реализация политики МСЭ по обеспечению доступности и связанных с ней планов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7101FE" w:rsidRDefault="00C479DD" w:rsidP="00953D03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0,</w:t>
                  </w:r>
                  <w:r w:rsidR="00953D03" w:rsidRPr="007101FE">
                    <w:rPr>
                      <w:sz w:val="18"/>
                      <w:szCs w:val="18"/>
                      <w:lang w:val="ru-RU"/>
                    </w:rPr>
                    <w:t>4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vAlign w:val="bottom"/>
                </w:tcPr>
                <w:p w:rsidR="00C479DD" w:rsidRPr="007101FE" w:rsidRDefault="00953D03" w:rsidP="00DB3B3E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7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5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hAnsiTheme="minorHAnsi"/>
                      <w:color w:val="4F81BD" w:themeColor="accent1"/>
                      <w:sz w:val="18"/>
                      <w:szCs w:val="18"/>
                      <w:lang w:val="ru-RU" w:eastAsia="zh-CN"/>
                    </w:rPr>
                    <w:t>I.5-4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Информационно-пропагандистские мероприятия как на уровне ООН, так и на региональном и национальном уровнях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C479DD" w:rsidP="00DB3B3E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0,</w:t>
                  </w:r>
                  <w:r w:rsidR="00DB3B3E" w:rsidRPr="007101FE">
                    <w:rPr>
                      <w:sz w:val="18"/>
                      <w:szCs w:val="18"/>
                      <w:lang w:val="ru-RU"/>
                    </w:rPr>
                    <w:t>7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12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3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7101FE" w:rsidTr="000D729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ПК</w:t>
                  </w:r>
                  <w:r w:rsidRPr="007101FE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="000D7297" w:rsidRPr="007101FE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ab/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Решения, </w:t>
                  </w:r>
                  <w:r w:rsidR="000D7297"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Резолюции, Рекомендации 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и другие результаты Полномочной конференции</w:t>
                  </w:r>
                  <w:r w:rsidRPr="007101FE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0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sz w:val="18"/>
                      <w:szCs w:val="18"/>
                      <w:lang w:val="ru-RU"/>
                    </w:rPr>
                    <w:t>8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</w:tcBorders>
                  <w:vAlign w:val="bottom"/>
                </w:tcPr>
                <w:p w:rsidR="00C479DD" w:rsidRPr="007101FE" w:rsidRDefault="00DB3B3E" w:rsidP="00DB3B3E">
                  <w:pPr>
                    <w:spacing w:before="20" w:after="20"/>
                    <w:ind w:right="113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0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,</w:t>
                  </w: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8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  <w:tr w:rsidR="00C479DD" w:rsidRPr="004C277B" w:rsidTr="000D72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5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:rsidR="00C479DD" w:rsidRPr="007101FE" w:rsidRDefault="00C479DD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</w:tabs>
                    <w:spacing w:before="20" w:after="20"/>
                    <w:ind w:left="567" w:hanging="567"/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rFonts w:asciiTheme="minorHAnsi" w:eastAsia="Calibri" w:hAnsiTheme="minorHAnsi" w:cs="Arial"/>
                      <w:color w:val="4F81BD" w:themeColor="accent1"/>
                      <w:sz w:val="18"/>
                      <w:szCs w:val="18"/>
                      <w:lang w:val="ru-RU"/>
                    </w:rPr>
                    <w:t>Совет/РГС</w:t>
                  </w:r>
                  <w:r w:rsidRPr="007101FE">
                    <w:rPr>
                      <w:rFonts w:asciiTheme="minorHAnsi" w:eastAsia="Calibri" w:hAnsiTheme="minorHAns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: 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Решения и </w:t>
                  </w:r>
                  <w:r w:rsidR="000D7297"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 xml:space="preserve">Резолюции </w:t>
                  </w:r>
                  <w:r w:rsidRPr="007101FE">
                    <w:rPr>
                      <w:rFonts w:asciiTheme="minorHAnsi" w:hAnsiTheme="minorHAnsi"/>
                      <w:b w:val="0"/>
                      <w:bCs w:val="0"/>
                      <w:sz w:val="18"/>
                      <w:szCs w:val="18"/>
                      <w:lang w:val="ru-RU"/>
                    </w:rPr>
                    <w:t>Совета, а также результаты, полученные рабочими группами Совета</w:t>
                  </w:r>
                  <w:r w:rsidRPr="007101FE">
                    <w:rPr>
                      <w:rStyle w:val="FootnoteReference"/>
                      <w:b w:val="0"/>
                      <w:bCs w:val="0"/>
                      <w:lang w:val="ru-RU"/>
                    </w:rPr>
                    <w:t>*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953D03" w:rsidP="00DB3B3E">
                  <w:pPr>
                    <w:spacing w:before="20" w:after="20"/>
                    <w:ind w:right="170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sz w:val="18"/>
                      <w:szCs w:val="18"/>
                      <w:lang w:val="ru-RU"/>
                    </w:rPr>
                    <w:t>2,</w:t>
                  </w:r>
                  <w:r w:rsidR="00DB3B3E" w:rsidRPr="007101FE">
                    <w:rPr>
                      <w:sz w:val="18"/>
                      <w:szCs w:val="18"/>
                      <w:lang w:val="ru-RU"/>
                    </w:rPr>
                    <w:t>1</w:t>
                  </w:r>
                  <w:r w:rsidR="00C479DD" w:rsidRPr="007101FE">
                    <w:rPr>
                      <w:sz w:val="18"/>
                      <w:szCs w:val="18"/>
                      <w:lang w:val="ru-RU"/>
                    </w:rPr>
                    <w:t>%</w:t>
                  </w:r>
                </w:p>
              </w:tc>
              <w:tc>
                <w:tcPr>
                  <w:tcW w:w="1007" w:type="dxa"/>
                  <w:tcBorders>
                    <w:top w:val="none" w:sz="0" w:space="0" w:color="auto"/>
                    <w:bottom w:val="single" w:sz="4" w:space="0" w:color="auto"/>
                  </w:tcBorders>
                  <w:vAlign w:val="bottom"/>
                </w:tcPr>
                <w:p w:rsidR="00C479DD" w:rsidRPr="007101FE" w:rsidRDefault="00953D03" w:rsidP="00DB3B3E">
                  <w:pPr>
                    <w:spacing w:before="20" w:after="20"/>
                    <w:ind w:right="113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2,</w:t>
                  </w:r>
                  <w:r w:rsidR="00DB3B3E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1</w:t>
                  </w:r>
                  <w:r w:rsidR="00C479DD" w:rsidRPr="007101FE">
                    <w:rPr>
                      <w:b/>
                      <w:bCs/>
                      <w:sz w:val="18"/>
                      <w:szCs w:val="18"/>
                      <w:lang w:val="ru-RU"/>
                    </w:rPr>
                    <w:t>%</w:t>
                  </w:r>
                </w:p>
              </w:tc>
            </w:tr>
          </w:tbl>
          <w:p w:rsidR="0033038F" w:rsidRPr="007101FE" w:rsidRDefault="00C479DD" w:rsidP="00BA6A14">
            <w:pPr>
              <w:tabs>
                <w:tab w:val="clear" w:pos="794"/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rStyle w:val="FootnoteReference"/>
                <w:lang w:val="ru-RU"/>
              </w:rPr>
              <w:t>*</w:t>
            </w:r>
            <w:r w:rsidRPr="007101FE">
              <w:rPr>
                <w:sz w:val="18"/>
                <w:szCs w:val="18"/>
                <w:lang w:val="ru-RU"/>
              </w:rPr>
              <w:tab/>
              <w:t>Затраты на эти намеченные результаты деятельности распределены на все задачи Союза.</w:t>
            </w:r>
          </w:p>
        </w:tc>
      </w:tr>
      <w:tr w:rsidR="00282B8B" w:rsidRPr="007101FE" w:rsidTr="004A12F8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5" w:type="dxa"/>
          </w:tcPr>
          <w:p w:rsidR="009D23A7" w:rsidRPr="007101FE" w:rsidRDefault="009D23A7" w:rsidP="009D23A7">
            <w:pPr>
              <w:spacing w:before="0"/>
              <w:rPr>
                <w:sz w:val="18"/>
                <w:szCs w:val="18"/>
                <w:lang w:val="ru-RU"/>
              </w:rPr>
            </w:pPr>
          </w:p>
          <w:tbl>
            <w:tblPr>
              <w:tblStyle w:val="GridTable1Light-Accent51"/>
              <w:tblW w:w="703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6102"/>
              <w:gridCol w:w="933"/>
            </w:tblGrid>
            <w:tr w:rsidR="00282B8B" w:rsidRPr="007101FE" w:rsidTr="00B17B3B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7101FE" w:rsidRDefault="00282B8B" w:rsidP="00B17B3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I.1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диалогу на международном уровне между заинтересованными сторонами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7101FE" w:rsidRDefault="00DB3B3E" w:rsidP="00DB3B3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32</w:t>
                  </w:r>
                  <w:r w:rsidR="00B368D7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,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5</w:t>
                  </w:r>
                  <w:r w:rsidR="00282B8B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7101FE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7101FE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I.2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партнерским отношениям и сотрудничеству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7101FE" w:rsidRDefault="00DB3B3E" w:rsidP="00DB3B3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22</w:t>
                  </w:r>
                  <w:r w:rsidR="00282B8B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,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1</w:t>
                  </w:r>
                  <w:r w:rsidR="00282B8B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7101FE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7101FE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I.3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Способствовать определению и анализу возникающих тенденций в среде электросвязи/ИКТ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7101FE" w:rsidRDefault="00DB3B3E" w:rsidP="00DB3B3E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26</w:t>
                  </w:r>
                  <w:r w:rsidR="00282B8B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,</w:t>
                  </w: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1</w:t>
                  </w:r>
                  <w:r w:rsidR="00282B8B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7101FE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7101FE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b w:val="0"/>
                      <w:bCs w:val="0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I.4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7101FE" w:rsidRDefault="00B368D7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13,7</w:t>
                  </w:r>
                  <w:r w:rsidR="00282B8B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  <w:tr w:rsidR="00282B8B" w:rsidRPr="007101FE" w:rsidTr="00282B8B">
              <w:tblPrEx>
                <w:tblCellMar>
                  <w:left w:w="57" w:type="dxa"/>
                  <w:right w:w="57" w:type="dxa"/>
                </w:tblCellMar>
              </w:tblPrEx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02" w:type="dxa"/>
                </w:tcPr>
                <w:p w:rsidR="00282B8B" w:rsidRPr="007101FE" w:rsidRDefault="00282B8B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left="425" w:hanging="425"/>
                    <w:rPr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>I.5</w:t>
                  </w:r>
                  <w:r w:rsidRPr="007101FE">
                    <w:rPr>
                      <w:rFonts w:eastAsia="Calibri" w:cs="Arial"/>
                      <w:b w:val="0"/>
                      <w:bCs w:val="0"/>
                      <w:sz w:val="18"/>
                      <w:szCs w:val="18"/>
                      <w:lang w:val="ru-RU"/>
                    </w:rPr>
                    <w:t>:</w:t>
                  </w:r>
                  <w:r w:rsidRPr="007101FE">
                    <w:rPr>
                      <w:color w:val="4F81BD" w:themeColor="accent1"/>
                      <w:sz w:val="18"/>
                      <w:szCs w:val="18"/>
                      <w:lang w:val="ru-RU" w:eastAsia="zh-CN"/>
                    </w:rPr>
                    <w:tab/>
                  </w:r>
                  <w:r w:rsidRPr="007101FE">
                    <w:rPr>
                      <w:b w:val="0"/>
                      <w:bCs w:val="0"/>
                      <w:sz w:val="18"/>
                      <w:szCs w:val="18"/>
                      <w:lang w:val="ru-RU"/>
                    </w:rPr>
                    <w:t>Расширять доступ к электросвязи/ИКТ для лиц с ограниченными возможностями и особыми потребностями</w:t>
                  </w:r>
                </w:p>
              </w:tc>
              <w:tc>
                <w:tcPr>
                  <w:tcW w:w="933" w:type="dxa"/>
                  <w:vAlign w:val="bottom"/>
                </w:tcPr>
                <w:p w:rsidR="00282B8B" w:rsidRPr="007101FE" w:rsidRDefault="00DB3B3E" w:rsidP="00282B8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425"/>
                    </w:tabs>
                    <w:spacing w:before="40" w:after="40"/>
                    <w:ind w:right="170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</w:pPr>
                  <w:r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5,6</w:t>
                  </w:r>
                  <w:r w:rsidR="00282B8B" w:rsidRPr="007101FE">
                    <w:rPr>
                      <w:b/>
                      <w:bCs/>
                      <w:color w:val="000000" w:themeColor="text1"/>
                      <w:sz w:val="18"/>
                      <w:szCs w:val="18"/>
                      <w:lang w:val="ru-RU" w:eastAsia="zh-CN"/>
                    </w:rPr>
                    <w:t>%</w:t>
                  </w:r>
                </w:p>
              </w:tc>
            </w:tr>
          </w:tbl>
          <w:p w:rsidR="00282B8B" w:rsidRPr="007101FE" w:rsidRDefault="00282B8B" w:rsidP="00282B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5"/>
              </w:tabs>
              <w:spacing w:before="60" w:after="60"/>
              <w:ind w:left="425" w:right="284" w:hanging="425"/>
              <w:rPr>
                <w:b w:val="0"/>
                <w:bCs w:val="0"/>
                <w:color w:val="000000" w:themeColor="text1"/>
                <w:sz w:val="18"/>
                <w:szCs w:val="18"/>
                <w:lang w:val="ru-RU" w:eastAsia="zh-CN"/>
              </w:rPr>
            </w:pPr>
          </w:p>
        </w:tc>
        <w:tc>
          <w:tcPr>
            <w:tcW w:w="7377" w:type="dxa"/>
            <w:vMerge/>
          </w:tcPr>
          <w:p w:rsidR="00282B8B" w:rsidRPr="007101FE" w:rsidRDefault="00282B8B" w:rsidP="00BA6A1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ru-RU" w:eastAsia="zh-CN"/>
              </w:rPr>
            </w:pPr>
          </w:p>
        </w:tc>
      </w:tr>
    </w:tbl>
    <w:p w:rsidR="000234D7" w:rsidRPr="007101FE" w:rsidRDefault="00DB3B3E" w:rsidP="0005127B">
      <w:pPr>
        <w:pStyle w:val="Heading1"/>
        <w:spacing w:before="0"/>
        <w:rPr>
          <w:lang w:val="ru-RU"/>
        </w:rPr>
      </w:pPr>
      <w:r w:rsidRPr="007101FE">
        <w:rPr>
          <w:lang w:val="ru-RU"/>
        </w:rPr>
        <w:t>3</w:t>
      </w:r>
      <w:r w:rsidR="0094112C" w:rsidRPr="007101FE">
        <w:rPr>
          <w:lang w:val="ru-RU"/>
        </w:rPr>
        <w:tab/>
      </w:r>
      <w:r w:rsidR="00302C6E" w:rsidRPr="007101FE">
        <w:rPr>
          <w:lang w:val="ru-RU"/>
        </w:rPr>
        <w:t>Анализ рисков</w:t>
      </w:r>
    </w:p>
    <w:p w:rsidR="000234D7" w:rsidRPr="007101FE" w:rsidRDefault="00EC33F3" w:rsidP="00902F89">
      <w:pPr>
        <w:spacing w:after="120"/>
        <w:rPr>
          <w:lang w:val="ru-RU"/>
        </w:rPr>
      </w:pPr>
      <w:r w:rsidRPr="007101FE">
        <w:rPr>
          <w:lang w:val="ru-RU"/>
        </w:rPr>
        <w:t>При переходе от стратегии к реализации были выявлены, проанализированы и оценены операционные риски высокого уровня</w:t>
      </w:r>
      <w:r w:rsidR="00902F89" w:rsidRPr="007101FE">
        <w:rPr>
          <w:lang w:val="ru-RU"/>
        </w:rPr>
        <w:t xml:space="preserve"> относительно рисков в предыдущем Оперативном плане</w:t>
      </w:r>
      <w:r w:rsidRPr="007101FE">
        <w:rPr>
          <w:lang w:val="ru-RU"/>
        </w:rPr>
        <w:t>, которые представлены в приведенной ниже таблице</w:t>
      </w:r>
      <w:r w:rsidR="00B85496" w:rsidRPr="007101FE">
        <w:rPr>
          <w:lang w:val="ru-RU"/>
        </w:rPr>
        <w:t xml:space="preserve">. </w:t>
      </w:r>
      <w:r w:rsidRPr="007101FE">
        <w:rPr>
          <w:lang w:val="ru-RU"/>
        </w:rPr>
        <w:t xml:space="preserve">Этими рисками, связанными с достижением соответствующих конечных результатов, будут заниматься Бюро и </w:t>
      </w:r>
      <w:r w:rsidR="00B85496" w:rsidRPr="007101FE">
        <w:rPr>
          <w:lang w:val="ru-RU"/>
        </w:rPr>
        <w:t>Генеральный секретариат</w:t>
      </w:r>
      <w:r w:rsidRPr="007101FE">
        <w:rPr>
          <w:lang w:val="ru-RU"/>
        </w:rPr>
        <w:t xml:space="preserve">. 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4820"/>
        <w:gridCol w:w="1134"/>
        <w:gridCol w:w="1134"/>
        <w:gridCol w:w="5641"/>
      </w:tblGrid>
      <w:tr w:rsidR="0094112C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1F725C" w:rsidP="00193E0E">
            <w:pPr>
              <w:spacing w:before="40" w:after="4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Описание риска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1F725C" w:rsidP="00193E0E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56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1F725C" w:rsidP="00193E0E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Смягчение последствий</w:t>
            </w:r>
          </w:p>
        </w:tc>
      </w:tr>
      <w:tr w:rsidR="004654D2" w:rsidRPr="004C277B" w:rsidTr="00DE6DE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4654D2" w:rsidRPr="007101FE" w:rsidRDefault="004654D2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4820" w:type="dxa"/>
          </w:tcPr>
          <w:p w:rsidR="004654D2" w:rsidRPr="007101FE" w:rsidRDefault="00384DCD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Общая охрана и безопасность персонала МСЭ, а также помещений и имущества организации во всем мире</w:t>
            </w:r>
          </w:p>
        </w:tc>
        <w:tc>
          <w:tcPr>
            <w:tcW w:w="1134" w:type="dxa"/>
            <w:vAlign w:val="center"/>
          </w:tcPr>
          <w:p w:rsidR="004654D2" w:rsidRPr="007101FE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  <w:vAlign w:val="center"/>
          </w:tcPr>
          <w:p w:rsidR="004654D2" w:rsidRPr="007101FE" w:rsidRDefault="004654D2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  <w:vAlign w:val="center"/>
          </w:tcPr>
          <w:p w:rsidR="004654D2" w:rsidRPr="007101FE" w:rsidRDefault="00EC3E20" w:rsidP="00556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DC4E4E" w:rsidRPr="007101FE">
              <w:rPr>
                <w:rFonts w:eastAsia="Calibri" w:cs="Arial"/>
                <w:sz w:val="18"/>
                <w:szCs w:val="18"/>
                <w:lang w:val="ru-RU"/>
              </w:rPr>
              <w:t>Обеспеч</w:t>
            </w:r>
            <w:r w:rsidR="00556ED6" w:rsidRPr="007101FE">
              <w:rPr>
                <w:rFonts w:eastAsia="Calibri" w:cs="Arial"/>
                <w:sz w:val="18"/>
                <w:szCs w:val="18"/>
                <w:lang w:val="ru-RU"/>
              </w:rPr>
              <w:t>ение</w:t>
            </w:r>
            <w:r w:rsidR="00384DCD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достижени</w:t>
            </w:r>
            <w:r w:rsidR="00556ED6" w:rsidRPr="007101FE">
              <w:rPr>
                <w:rFonts w:eastAsia="Calibri" w:cs="Arial"/>
                <w:sz w:val="18"/>
                <w:szCs w:val="18"/>
                <w:lang w:val="ru-RU"/>
              </w:rPr>
              <w:t>я</w:t>
            </w:r>
            <w:r w:rsidR="00384DCD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цел</w:t>
            </w:r>
            <w:r w:rsidR="00C865CD" w:rsidRPr="007101FE">
              <w:rPr>
                <w:rFonts w:eastAsia="Calibri" w:cs="Arial"/>
                <w:sz w:val="18"/>
                <w:szCs w:val="18"/>
                <w:lang w:val="ru-RU"/>
              </w:rPr>
              <w:t>ей стратегического проектирования</w:t>
            </w:r>
            <w:r w:rsidR="00384DCD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системы </w:t>
            </w:r>
            <w:r w:rsidR="00DC4E4E" w:rsidRPr="007101FE">
              <w:rPr>
                <w:rFonts w:eastAsia="Calibri" w:cs="Arial"/>
                <w:sz w:val="18"/>
                <w:szCs w:val="18"/>
                <w:lang w:val="ru-RU"/>
              </w:rPr>
              <w:t>обеспечения</w:t>
            </w:r>
            <w:r w:rsidR="00384DCD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безопасности</w:t>
            </w:r>
            <w:r w:rsidR="00DC4E4E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в</w:t>
            </w:r>
            <w:r w:rsidR="00384DCD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Организации Объединенных Наций</w:t>
            </w:r>
          </w:p>
          <w:p w:rsidR="004654D2" w:rsidRPr="007101FE" w:rsidRDefault="00584A0E" w:rsidP="00C86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C865CD" w:rsidRPr="007101FE">
              <w:rPr>
                <w:rFonts w:eastAsia="Calibri" w:cs="Arial"/>
                <w:sz w:val="18"/>
                <w:szCs w:val="18"/>
                <w:lang w:val="ru-RU"/>
              </w:rPr>
              <w:t>С</w:t>
            </w:r>
            <w:r w:rsidR="001B16C2" w:rsidRPr="007101FE">
              <w:rPr>
                <w:rFonts w:eastAsia="Calibri" w:cs="Arial"/>
                <w:sz w:val="18"/>
                <w:szCs w:val="18"/>
                <w:lang w:val="ru-RU"/>
              </w:rPr>
              <w:t>овершенствование</w:t>
            </w:r>
            <w:r w:rsidR="003D0A08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физической</w:t>
            </w:r>
            <w:r w:rsidR="00385712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инфраструктуры</w:t>
            </w:r>
            <w:r w:rsidR="003D0A08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="00385712" w:rsidRPr="007101FE">
              <w:rPr>
                <w:rFonts w:eastAsia="Calibri" w:cs="Arial"/>
                <w:sz w:val="18"/>
                <w:szCs w:val="18"/>
                <w:lang w:val="ru-RU"/>
              </w:rPr>
              <w:t>обеспечения безопасности</w:t>
            </w:r>
            <w:r w:rsidR="003D0A08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в штаб-квартире </w:t>
            </w:r>
          </w:p>
          <w:p w:rsidR="00EC3E20" w:rsidRPr="007101FE" w:rsidRDefault="00EC3E20" w:rsidP="00C86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C865CD" w:rsidRPr="007101FE">
              <w:rPr>
                <w:rFonts w:eastAsia="Calibri" w:cs="Arial"/>
                <w:sz w:val="18"/>
                <w:szCs w:val="18"/>
                <w:lang w:val="ru-RU"/>
              </w:rPr>
              <w:t>Продолжение аудита оценки безопасности в региональных и зональных отделениях</w:t>
            </w:r>
          </w:p>
          <w:p w:rsidR="004654D2" w:rsidRPr="007101FE" w:rsidRDefault="00584A0E" w:rsidP="00C86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C865CD" w:rsidRPr="007101FE">
              <w:rPr>
                <w:rFonts w:eastAsia="Calibri" w:cs="Arial"/>
                <w:sz w:val="18"/>
                <w:szCs w:val="18"/>
                <w:lang w:val="ru-RU"/>
              </w:rPr>
              <w:t>Р</w:t>
            </w:r>
            <w:r w:rsidR="001B16C2" w:rsidRPr="007101FE">
              <w:rPr>
                <w:rFonts w:eastAsia="Calibri" w:cs="Arial"/>
                <w:sz w:val="18"/>
                <w:szCs w:val="18"/>
                <w:lang w:val="ru-RU"/>
              </w:rPr>
              <w:t>еализация</w:t>
            </w:r>
            <w:r w:rsidR="004654D2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ORMS (</w:t>
            </w:r>
            <w:r w:rsidR="001B16C2" w:rsidRPr="007101FE">
              <w:rPr>
                <w:rFonts w:eastAsia="Calibri" w:cs="Arial"/>
                <w:sz w:val="18"/>
                <w:szCs w:val="18"/>
                <w:lang w:val="ru-RU"/>
              </w:rPr>
              <w:t>штаб-квартира и отделения на местах</w:t>
            </w:r>
            <w:r w:rsidR="004654D2" w:rsidRPr="007101FE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  <w:p w:rsidR="004654D2" w:rsidRPr="007101FE" w:rsidRDefault="00584A0E" w:rsidP="00C86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C865CD" w:rsidRPr="007101FE">
              <w:rPr>
                <w:rFonts w:eastAsia="Calibri" w:cs="Arial"/>
                <w:sz w:val="18"/>
                <w:szCs w:val="18"/>
                <w:lang w:val="ru-RU"/>
              </w:rPr>
              <w:t>З</w:t>
            </w:r>
            <w:r w:rsidR="001B16C2" w:rsidRPr="007101FE">
              <w:rPr>
                <w:rFonts w:eastAsia="Calibri" w:cs="Arial"/>
                <w:sz w:val="18"/>
                <w:szCs w:val="18"/>
                <w:lang w:val="ru-RU"/>
              </w:rPr>
              <w:t>ащита помещений</w:t>
            </w:r>
            <w:r w:rsidR="004654D2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(</w:t>
            </w:r>
            <w:r w:rsidR="00380038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защитная противоударная </w:t>
            </w:r>
            <w:r w:rsidR="001B16C2" w:rsidRPr="007101FE">
              <w:rPr>
                <w:rFonts w:eastAsia="Calibri" w:cs="Arial"/>
                <w:sz w:val="18"/>
                <w:szCs w:val="18"/>
                <w:lang w:val="ru-RU"/>
              </w:rPr>
              <w:t>пленк</w:t>
            </w:r>
            <w:r w:rsidR="00380038" w:rsidRPr="007101FE">
              <w:rPr>
                <w:rFonts w:eastAsia="Calibri" w:cs="Arial"/>
                <w:sz w:val="18"/>
                <w:szCs w:val="18"/>
                <w:lang w:val="ru-RU"/>
              </w:rPr>
              <w:t>а на окнах</w:t>
            </w:r>
            <w:r w:rsidR="004654D2" w:rsidRPr="007101FE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  <w:p w:rsidR="004654D2" w:rsidRPr="007101FE" w:rsidRDefault="00584A0E" w:rsidP="00C86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C865CD" w:rsidRPr="007101FE">
              <w:rPr>
                <w:rFonts w:eastAsia="Calibri" w:cs="Arial"/>
                <w:sz w:val="18"/>
                <w:szCs w:val="18"/>
                <w:lang w:val="ru-RU"/>
              </w:rPr>
              <w:t>О</w:t>
            </w:r>
            <w:r w:rsidR="001B16C2" w:rsidRPr="007101FE">
              <w:rPr>
                <w:rFonts w:eastAsia="Calibri" w:cs="Arial"/>
                <w:sz w:val="18"/>
                <w:szCs w:val="18"/>
                <w:lang w:val="ru-RU"/>
              </w:rPr>
              <w:t>бсуждение со страной пребывания вопроса о заграждении пешеходных проходов</w:t>
            </w:r>
          </w:p>
        </w:tc>
      </w:tr>
      <w:tr w:rsidR="00B85496" w:rsidRPr="004C277B" w:rsidTr="00DE6DE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B85496" w:rsidRPr="007101FE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B85496" w:rsidRPr="007101FE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Отсутствие физической возможности использовать штаб</w:t>
            </w:r>
            <w:r w:rsidR="0005127B" w:rsidRPr="007101FE">
              <w:rPr>
                <w:sz w:val="18"/>
                <w:szCs w:val="18"/>
                <w:lang w:val="ru-RU"/>
              </w:rPr>
              <w:noBreakHyphen/>
            </w:r>
            <w:r w:rsidRPr="007101FE">
              <w:rPr>
                <w:sz w:val="18"/>
                <w:szCs w:val="18"/>
                <w:lang w:val="ru-RU"/>
              </w:rPr>
              <w:t>квартиру</w:t>
            </w:r>
          </w:p>
        </w:tc>
        <w:tc>
          <w:tcPr>
            <w:tcW w:w="1134" w:type="dxa"/>
          </w:tcPr>
          <w:p w:rsidR="00B85496" w:rsidRPr="007101FE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B85496" w:rsidRPr="007101FE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B85496" w:rsidRPr="007101FE" w:rsidRDefault="00B85496" w:rsidP="00C865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  <w:t>План обеспечения непрерывной деятельности МСЭ в целом</w:t>
            </w:r>
          </w:p>
        </w:tc>
      </w:tr>
      <w:tr w:rsidR="00B85496" w:rsidRPr="004C277B" w:rsidTr="00DE6DE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B85496" w:rsidRPr="007101FE" w:rsidRDefault="00B8549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B85496" w:rsidRPr="007101FE" w:rsidRDefault="00B85496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Отсутствие физической возможности организации </w:t>
            </w:r>
            <w:r w:rsidR="003D0A08" w:rsidRPr="007101FE">
              <w:rPr>
                <w:sz w:val="18"/>
                <w:szCs w:val="18"/>
                <w:lang w:val="ru-RU"/>
              </w:rPr>
              <w:t xml:space="preserve">основных </w:t>
            </w:r>
            <w:r w:rsidRPr="007101FE">
              <w:rPr>
                <w:sz w:val="18"/>
                <w:szCs w:val="18"/>
                <w:lang w:val="ru-RU"/>
              </w:rPr>
              <w:t xml:space="preserve">мероприятий </w:t>
            </w:r>
            <w:r w:rsidR="00902F89" w:rsidRPr="007101FE">
              <w:rPr>
                <w:sz w:val="18"/>
                <w:szCs w:val="18"/>
                <w:lang w:val="ru-RU"/>
              </w:rPr>
              <w:t xml:space="preserve">на территории другого государства </w:t>
            </w:r>
            <w:r w:rsidRPr="007101FE">
              <w:rPr>
                <w:sz w:val="18"/>
                <w:szCs w:val="18"/>
                <w:lang w:val="ru-RU"/>
              </w:rPr>
              <w:t>или в Женеве (например, страна, принимающая мероприятие, меняется в последний момент в связи с политической нестабильностью или кризисом, который оказывает сильное воздействие, таким как пандемия или соображения государственной безопасности)</w:t>
            </w:r>
          </w:p>
        </w:tc>
        <w:tc>
          <w:tcPr>
            <w:tcW w:w="1134" w:type="dxa"/>
          </w:tcPr>
          <w:p w:rsidR="00B85496" w:rsidRPr="007101FE" w:rsidRDefault="00B8549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B85496" w:rsidRPr="007101FE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B85496" w:rsidRPr="007101FE" w:rsidRDefault="00C865CD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9F2BCA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План обеспечения непрерывной деятельности МСЭ в целом на глобальном уровне, в том числе </w:t>
            </w:r>
            <w:r w:rsidR="009F2BCA" w:rsidRPr="007101FE">
              <w:rPr>
                <w:color w:val="000000"/>
                <w:sz w:val="18"/>
                <w:szCs w:val="18"/>
                <w:lang w:val="ru-RU"/>
              </w:rPr>
              <w:t>расширение средств дистанционного участия</w:t>
            </w:r>
          </w:p>
        </w:tc>
      </w:tr>
      <w:tr w:rsidR="0094112C" w:rsidRPr="004C277B" w:rsidTr="00DE6DE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0234D7" w:rsidRPr="007101FE" w:rsidRDefault="001F725C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Инфраструктура</w:t>
            </w:r>
          </w:p>
        </w:tc>
        <w:tc>
          <w:tcPr>
            <w:tcW w:w="4820" w:type="dxa"/>
          </w:tcPr>
          <w:p w:rsidR="000234D7" w:rsidRPr="007101FE" w:rsidRDefault="00B632CF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Прерывание услуг ИКТ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0234D7" w:rsidRPr="007101FE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234D7" w:rsidRPr="007101FE" w:rsidRDefault="001F725C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0234D7" w:rsidRPr="007101FE" w:rsidRDefault="0094112C" w:rsidP="009F2B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1703E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План </w:t>
            </w:r>
            <w:r w:rsidR="009F2BCA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восстановления после бедствий и </w:t>
            </w:r>
            <w:r w:rsidR="0051703E" w:rsidRPr="007101FE">
              <w:rPr>
                <w:rFonts w:eastAsia="Calibri" w:cs="Arial"/>
                <w:sz w:val="18"/>
                <w:szCs w:val="18"/>
                <w:lang w:val="ru-RU"/>
              </w:rPr>
              <w:t>обеспечения непрерывно</w:t>
            </w:r>
            <w:r w:rsidR="00B85496" w:rsidRPr="007101FE">
              <w:rPr>
                <w:rFonts w:eastAsia="Calibri" w:cs="Arial"/>
                <w:sz w:val="18"/>
                <w:szCs w:val="18"/>
                <w:lang w:val="ru-RU"/>
              </w:rPr>
              <w:t>го функционирования ИКТ</w:t>
            </w:r>
          </w:p>
        </w:tc>
      </w:tr>
      <w:tr w:rsidR="001B3D26" w:rsidRPr="004C277B" w:rsidTr="00DE6DE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1B3D26" w:rsidRPr="007101FE" w:rsidRDefault="001B3D2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Заинтересованные стороны/партнеры</w:t>
            </w:r>
          </w:p>
        </w:tc>
        <w:tc>
          <w:tcPr>
            <w:tcW w:w="4820" w:type="dxa"/>
          </w:tcPr>
          <w:p w:rsidR="001B3D26" w:rsidRPr="007101FE" w:rsidRDefault="00584A0E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Решения руководящих органов, имеющие серьезные стратегические и финансовые последствия </w:t>
            </w:r>
          </w:p>
        </w:tc>
        <w:tc>
          <w:tcPr>
            <w:tcW w:w="1134" w:type="dxa"/>
          </w:tcPr>
          <w:p w:rsidR="001B3D26" w:rsidRPr="007101FE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134" w:type="dxa"/>
          </w:tcPr>
          <w:p w:rsidR="001B3D26" w:rsidRPr="007101FE" w:rsidRDefault="001B3D2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1B3D26" w:rsidRPr="007101FE" w:rsidRDefault="001B3D26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84A0E" w:rsidRPr="007101FE">
              <w:rPr>
                <w:rFonts w:eastAsia="Calibri" w:cs="Arial"/>
                <w:sz w:val="18"/>
                <w:szCs w:val="18"/>
                <w:lang w:val="ru-RU"/>
              </w:rPr>
              <w:t>Своевременное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584A0E" w:rsidRPr="004C277B" w:rsidTr="00DE6DE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84A0E" w:rsidRPr="007101FE" w:rsidRDefault="00584A0E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4820" w:type="dxa"/>
          </w:tcPr>
          <w:p w:rsidR="00584A0E" w:rsidRPr="007101FE" w:rsidRDefault="003D0A08" w:rsidP="00193E0E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7101FE">
              <w:rPr>
                <w:rFonts w:cs="Calibri"/>
                <w:sz w:val="18"/>
                <w:szCs w:val="18"/>
                <w:lang w:val="ru-RU"/>
              </w:rPr>
              <w:t xml:space="preserve">Отсутствие </w:t>
            </w:r>
            <w:r w:rsidR="009C5634" w:rsidRPr="007101FE">
              <w:rPr>
                <w:rFonts w:cs="Calibri"/>
                <w:sz w:val="18"/>
                <w:szCs w:val="18"/>
                <w:lang w:val="ru-RU"/>
              </w:rPr>
              <w:t>универсальности</w:t>
            </w:r>
            <w:r w:rsidRPr="007101FE">
              <w:rPr>
                <w:rFonts w:cs="Calibri"/>
                <w:sz w:val="18"/>
                <w:szCs w:val="18"/>
                <w:lang w:val="ru-RU"/>
              </w:rPr>
              <w:t xml:space="preserve">, оперативности и </w:t>
            </w:r>
            <w:r w:rsidR="009C5634" w:rsidRPr="007101FE">
              <w:rPr>
                <w:rFonts w:cs="Calibri"/>
                <w:sz w:val="18"/>
                <w:szCs w:val="18"/>
                <w:lang w:val="ru-RU"/>
              </w:rPr>
              <w:t>подготовленности</w:t>
            </w:r>
            <w:r w:rsidRPr="007101FE">
              <w:rPr>
                <w:rFonts w:cs="Calibri"/>
                <w:sz w:val="18"/>
                <w:szCs w:val="18"/>
                <w:lang w:val="ru-RU"/>
              </w:rPr>
              <w:t xml:space="preserve"> работников </w:t>
            </w:r>
            <w:r w:rsidR="009C5634" w:rsidRPr="007101FE">
              <w:rPr>
                <w:rFonts w:cs="Calibri"/>
                <w:sz w:val="18"/>
                <w:szCs w:val="18"/>
                <w:lang w:val="ru-RU"/>
              </w:rPr>
              <w:t>для адаптации к меняющимся потребностям</w:t>
            </w:r>
          </w:p>
        </w:tc>
        <w:tc>
          <w:tcPr>
            <w:tcW w:w="1134" w:type="dxa"/>
          </w:tcPr>
          <w:p w:rsidR="00584A0E" w:rsidRPr="007101FE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584A0E" w:rsidRPr="007101FE" w:rsidRDefault="00584A0E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641" w:type="dxa"/>
          </w:tcPr>
          <w:p w:rsidR="00584A0E" w:rsidRPr="007101FE" w:rsidRDefault="00584A0E" w:rsidP="00E318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Выполнение стратегического плана в области людских ресурсов, </w:t>
            </w:r>
            <w:r w:rsidR="009F2BCA" w:rsidRPr="007101FE">
              <w:rPr>
                <w:rFonts w:eastAsia="Calibri" w:cs="Arial"/>
                <w:sz w:val="18"/>
                <w:szCs w:val="18"/>
                <w:lang w:val="ru-RU"/>
              </w:rPr>
              <w:t>в котором определяются кадровые потребности и потребности в области хозяйственной деятельности путем планирования людских ресурсов, анализа пробелов путем управления показателями деятельности и удовлетворения потребностей в квалификации и компетенции</w:t>
            </w:r>
            <w:r w:rsidR="00E318DF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благодаря обучению и развитию. Обеспечение того, чтобы процедуры и процессы в области людских ресурсов поддерживали </w:t>
            </w:r>
            <w:r w:rsidR="00E318DF" w:rsidRPr="007101FE">
              <w:rPr>
                <w:rFonts w:cs="Calibri"/>
                <w:sz w:val="18"/>
                <w:szCs w:val="18"/>
                <w:lang w:val="ru-RU"/>
              </w:rPr>
              <w:t>универсальность, оперативность и подготовленность работников в соответствии с Положениями о персонале и Правилами о персонале, а также общей системой политики ООН</w:t>
            </w:r>
          </w:p>
        </w:tc>
      </w:tr>
      <w:tr w:rsidR="00036DC7" w:rsidRPr="004C277B" w:rsidTr="00DE6DE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036DC7" w:rsidRPr="007101FE" w:rsidRDefault="00E318DF" w:rsidP="004F3445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Опера</w:t>
            </w:r>
            <w:r w:rsidR="004F3445" w:rsidRPr="007101FE">
              <w:rPr>
                <w:sz w:val="18"/>
                <w:szCs w:val="18"/>
                <w:lang w:val="ru-RU"/>
              </w:rPr>
              <w:t>ционн</w:t>
            </w:r>
            <w:r w:rsidRPr="007101FE">
              <w:rPr>
                <w:sz w:val="18"/>
                <w:szCs w:val="18"/>
                <w:lang w:val="ru-RU"/>
              </w:rPr>
              <w:t>ый риск</w:t>
            </w:r>
          </w:p>
        </w:tc>
        <w:tc>
          <w:tcPr>
            <w:tcW w:w="4820" w:type="dxa"/>
          </w:tcPr>
          <w:p w:rsidR="00036DC7" w:rsidRPr="007101FE" w:rsidRDefault="006A4F14" w:rsidP="00E318D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7101FE">
              <w:rPr>
                <w:rFonts w:cs="Calibri"/>
                <w:sz w:val="18"/>
                <w:szCs w:val="18"/>
                <w:lang w:val="ru-RU"/>
              </w:rPr>
              <w:t xml:space="preserve">Неэффективное управление </w:t>
            </w:r>
            <w:r w:rsidR="00E318DF" w:rsidRPr="007101FE">
              <w:rPr>
                <w:rFonts w:cs="Calibri"/>
                <w:sz w:val="18"/>
                <w:szCs w:val="18"/>
                <w:lang w:val="ru-RU"/>
              </w:rPr>
              <w:t xml:space="preserve">финансовыми </w:t>
            </w:r>
            <w:r w:rsidRPr="007101FE">
              <w:rPr>
                <w:rFonts w:cs="Calibri"/>
                <w:sz w:val="18"/>
                <w:szCs w:val="18"/>
                <w:lang w:val="ru-RU"/>
              </w:rPr>
              <w:t>ресурсами</w:t>
            </w:r>
            <w:r w:rsidR="00E318DF" w:rsidRPr="007101FE">
              <w:rPr>
                <w:rFonts w:cs="Calibri"/>
                <w:sz w:val="18"/>
                <w:szCs w:val="18"/>
                <w:lang w:val="ru-RU"/>
              </w:rPr>
              <w:t xml:space="preserve"> (отсутствие контроля, ошибки,</w:t>
            </w:r>
            <w:r w:rsidR="005C0127" w:rsidRPr="007101FE">
              <w:rPr>
                <w:rFonts w:cs="Calibri"/>
                <w:sz w:val="18"/>
                <w:szCs w:val="18"/>
                <w:lang w:val="ru-RU"/>
              </w:rPr>
              <w:t xml:space="preserve"> ошибки, вызываемые человеческим фактором)</w:t>
            </w:r>
          </w:p>
        </w:tc>
        <w:tc>
          <w:tcPr>
            <w:tcW w:w="1134" w:type="dxa"/>
          </w:tcPr>
          <w:p w:rsidR="00036DC7" w:rsidRPr="007101FE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036DC7" w:rsidRPr="007101FE" w:rsidRDefault="00036DC7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036DC7" w:rsidRPr="007101FE" w:rsidRDefault="00036DC7" w:rsidP="00193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6A4F14" w:rsidRPr="007101FE">
              <w:rPr>
                <w:rFonts w:eastAsia="Calibri" w:cs="Arial"/>
                <w:sz w:val="18"/>
                <w:szCs w:val="18"/>
                <w:lang w:val="ru-RU"/>
              </w:rPr>
              <w:t>Внутренняя система/механизм контроля, заключение о внутреннем контроле</w:t>
            </w:r>
          </w:p>
        </w:tc>
      </w:tr>
      <w:tr w:rsidR="00FC5036" w:rsidRPr="007101FE" w:rsidTr="00DE6DE4">
        <w:trPr>
          <w:cantSplit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FC5036" w:rsidRPr="007101FE" w:rsidRDefault="00FC5036" w:rsidP="00193E0E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4820" w:type="dxa"/>
          </w:tcPr>
          <w:p w:rsidR="00FC5036" w:rsidRPr="007101FE" w:rsidRDefault="005C0127" w:rsidP="005C0127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Неуплата или</w:t>
            </w:r>
            <w:r w:rsidR="00FC5036" w:rsidRPr="007101FE">
              <w:rPr>
                <w:sz w:val="18"/>
                <w:szCs w:val="18"/>
                <w:lang w:val="ru-RU"/>
              </w:rPr>
              <w:t xml:space="preserve"> снижение класса взносов </w:t>
            </w:r>
            <w:r w:rsidRPr="007101FE">
              <w:rPr>
                <w:sz w:val="18"/>
                <w:szCs w:val="18"/>
                <w:lang w:val="ru-RU"/>
              </w:rPr>
              <w:t>ч</w:t>
            </w:r>
            <w:r w:rsidR="00FC5036" w:rsidRPr="007101FE">
              <w:rPr>
                <w:sz w:val="18"/>
                <w:szCs w:val="18"/>
                <w:lang w:val="ru-RU"/>
              </w:rPr>
              <w:t>ленов</w:t>
            </w:r>
            <w:r w:rsidRPr="007101FE">
              <w:rPr>
                <w:sz w:val="18"/>
                <w:szCs w:val="18"/>
                <w:lang w:val="ru-RU"/>
              </w:rPr>
              <w:t xml:space="preserve"> МСЭ и/или уменьшение доходов</w:t>
            </w:r>
          </w:p>
        </w:tc>
        <w:tc>
          <w:tcPr>
            <w:tcW w:w="1134" w:type="dxa"/>
          </w:tcPr>
          <w:p w:rsidR="00FC5036" w:rsidRPr="007101FE" w:rsidRDefault="00FC503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34" w:type="dxa"/>
          </w:tcPr>
          <w:p w:rsidR="00FC5036" w:rsidRPr="007101FE" w:rsidRDefault="00FC5036" w:rsidP="00193E0E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641" w:type="dxa"/>
          </w:tcPr>
          <w:p w:rsidR="00FC5036" w:rsidRPr="007101FE" w:rsidRDefault="00FC5036" w:rsidP="005C01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5C0127" w:rsidRPr="007101FE">
              <w:rPr>
                <w:rFonts w:eastAsia="Calibri" w:cs="Arial"/>
                <w:sz w:val="18"/>
                <w:szCs w:val="18"/>
                <w:lang w:val="ru-RU"/>
              </w:rPr>
              <w:t>Постоянный контроль и с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воевременное взаимодействие с членами МСЭ (как на уровне штаб-квартиры, так и при работе через региональные отделения).</w:t>
            </w:r>
            <w:r w:rsidR="005C0127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Контроль над доходами и своевременное взаимодействие с руководством </w:t>
            </w:r>
          </w:p>
        </w:tc>
      </w:tr>
    </w:tbl>
    <w:p w:rsidR="000234D7" w:rsidRPr="007101FE" w:rsidRDefault="00FC5036" w:rsidP="005C0127">
      <w:pPr>
        <w:pStyle w:val="Heading1"/>
        <w:pageBreakBefore/>
        <w:rPr>
          <w:lang w:val="ru-RU"/>
        </w:rPr>
      </w:pPr>
      <w:r w:rsidRPr="007101FE">
        <w:rPr>
          <w:lang w:val="ru-RU"/>
        </w:rPr>
        <w:t>4</w:t>
      </w:r>
      <w:r w:rsidR="00AF4F37" w:rsidRPr="007101FE">
        <w:rPr>
          <w:lang w:val="ru-RU"/>
        </w:rPr>
        <w:tab/>
      </w:r>
      <w:r w:rsidR="005C0127" w:rsidRPr="007101FE">
        <w:rPr>
          <w:lang w:val="ru-RU"/>
        </w:rPr>
        <w:t>Средства достижения целей</w:t>
      </w:r>
      <w:r w:rsidR="001F725C" w:rsidRPr="007101FE">
        <w:rPr>
          <w:lang w:val="ru-RU"/>
        </w:rPr>
        <w:t xml:space="preserve"> для секторальных</w:t>
      </w:r>
      <w:r w:rsidR="00DD137B" w:rsidRPr="007101FE">
        <w:rPr>
          <w:lang w:val="ru-RU"/>
        </w:rPr>
        <w:t xml:space="preserve"> </w:t>
      </w:r>
      <w:r w:rsidR="00D52C05" w:rsidRPr="007101FE">
        <w:rPr>
          <w:lang w:val="ru-RU"/>
        </w:rPr>
        <w:t>и межсек</w:t>
      </w:r>
      <w:r w:rsidR="00E6234C" w:rsidRPr="007101FE">
        <w:rPr>
          <w:lang w:val="ru-RU"/>
        </w:rPr>
        <w:t>торальных задач и целей</w:t>
      </w:r>
    </w:p>
    <w:p w:rsidR="000234D7" w:rsidRPr="007101FE" w:rsidRDefault="007B0D1D" w:rsidP="005C0127">
      <w:pPr>
        <w:rPr>
          <w:lang w:val="ru-RU"/>
        </w:rPr>
      </w:pPr>
      <w:r w:rsidRPr="007101FE">
        <w:rPr>
          <w:lang w:val="ru-RU"/>
        </w:rPr>
        <w:t xml:space="preserve">В приведенных ниже таблицах представлены </w:t>
      </w:r>
      <w:r w:rsidR="005C0127" w:rsidRPr="007101FE">
        <w:rPr>
          <w:lang w:val="ru-RU"/>
        </w:rPr>
        <w:t>средства достижения целей</w:t>
      </w:r>
      <w:r w:rsidRPr="007101FE">
        <w:rPr>
          <w:lang w:val="ru-RU"/>
        </w:rPr>
        <w:t xml:space="preserve"> для достижения стратегических целей и </w:t>
      </w:r>
      <w:r w:rsidR="005C0127" w:rsidRPr="007101FE">
        <w:rPr>
          <w:lang w:val="ru-RU"/>
        </w:rPr>
        <w:t xml:space="preserve">решения стратегических </w:t>
      </w:r>
      <w:r w:rsidRPr="007101FE">
        <w:rPr>
          <w:lang w:val="ru-RU"/>
        </w:rPr>
        <w:t xml:space="preserve">задач Союза и соответствующие показатели, с помощью которых оценивается </w:t>
      </w:r>
      <w:r w:rsidR="005C0127" w:rsidRPr="007101FE">
        <w:rPr>
          <w:lang w:val="ru-RU"/>
        </w:rPr>
        <w:t>реализация средств достижения целей</w:t>
      </w:r>
      <w:r w:rsidRPr="007101FE">
        <w:rPr>
          <w:lang w:val="ru-RU"/>
        </w:rPr>
        <w:t xml:space="preserve"> на уровне организации (департаменты, указанные в графе "Средства измерения", отвечают за предоставление данных и не являются единственными, кто отвечает за достигнутые результаты). </w:t>
      </w:r>
      <w:r w:rsidR="002B3B57" w:rsidRPr="007101FE">
        <w:rPr>
          <w:lang w:val="ru-RU"/>
        </w:rPr>
        <w:t>Данные за 2014 год представляют исходный уровень, сообщается о достигнутом в 201</w:t>
      </w:r>
      <w:r w:rsidR="00FC5036" w:rsidRPr="007101FE">
        <w:rPr>
          <w:lang w:val="ru-RU"/>
        </w:rPr>
        <w:t>7</w:t>
      </w:r>
      <w:r w:rsidR="002B3B57" w:rsidRPr="007101FE">
        <w:rPr>
          <w:lang w:val="ru-RU"/>
        </w:rPr>
        <w:t xml:space="preserve"> году прогрессе</w:t>
      </w:r>
      <w:r w:rsidR="005C0127" w:rsidRPr="007101FE">
        <w:rPr>
          <w:lang w:val="ru-RU"/>
        </w:rPr>
        <w:t xml:space="preserve"> (при наличии данных)</w:t>
      </w:r>
      <w:r w:rsidR="00E6234C" w:rsidRPr="007101FE">
        <w:rPr>
          <w:lang w:val="ru-RU"/>
        </w:rPr>
        <w:t>,</w:t>
      </w:r>
      <w:r w:rsidR="002B3B57" w:rsidRPr="007101FE">
        <w:rPr>
          <w:lang w:val="ru-RU"/>
        </w:rPr>
        <w:t xml:space="preserve"> </w:t>
      </w:r>
      <w:r w:rsidR="005C0127" w:rsidRPr="007101FE">
        <w:rPr>
          <w:lang w:val="ru-RU"/>
        </w:rPr>
        <w:t>с примерами показателей (все данные содержатся в Документе </w:t>
      </w:r>
      <w:hyperlink r:id="rId17" w:history="1">
        <w:r w:rsidR="005C0127" w:rsidRPr="007101FE">
          <w:rPr>
            <w:rStyle w:val="Hyperlink"/>
            <w:lang w:val="ru-RU"/>
          </w:rPr>
          <w:t>C18/35</w:t>
        </w:r>
      </w:hyperlink>
      <w:r w:rsidR="005C0127" w:rsidRPr="007101FE">
        <w:rPr>
          <w:rStyle w:val="Hyperlink"/>
          <w:color w:val="auto"/>
          <w:u w:val="none"/>
          <w:lang w:val="ru-RU"/>
        </w:rPr>
        <w:t>)</w:t>
      </w:r>
      <w:r w:rsidR="005C0127" w:rsidRPr="007101FE">
        <w:rPr>
          <w:lang w:val="ru-RU"/>
        </w:rPr>
        <w:t xml:space="preserve"> </w:t>
      </w:r>
      <w:r w:rsidR="002B3B57" w:rsidRPr="007101FE">
        <w:rPr>
          <w:lang w:val="ru-RU"/>
        </w:rPr>
        <w:t>и, кроме того, когда это применимо, включены целевые показатели на 2020 год.</w:t>
      </w:r>
    </w:p>
    <w:p w:rsidR="000234D7" w:rsidRPr="007101FE" w:rsidRDefault="00FC5036" w:rsidP="00E6234C">
      <w:pPr>
        <w:pStyle w:val="Heading2"/>
        <w:spacing w:before="240" w:after="120"/>
        <w:rPr>
          <w:lang w:val="ru-RU"/>
        </w:rPr>
      </w:pPr>
      <w:r w:rsidRPr="007101FE">
        <w:rPr>
          <w:lang w:val="ru-RU"/>
        </w:rPr>
        <w:t>4</w:t>
      </w:r>
      <w:r w:rsidR="00AF4F37" w:rsidRPr="007101FE">
        <w:rPr>
          <w:lang w:val="ru-RU"/>
        </w:rPr>
        <w:t>.1</w:t>
      </w:r>
      <w:r w:rsidR="00AF4F37" w:rsidRPr="007101FE">
        <w:rPr>
          <w:lang w:val="ru-RU"/>
        </w:rPr>
        <w:tab/>
      </w:r>
      <w:r w:rsidR="000234D7" w:rsidRPr="007101FE">
        <w:rPr>
          <w:lang w:val="ru-RU"/>
        </w:rPr>
        <w:t>E.1</w:t>
      </w:r>
      <w:r w:rsidR="00C21893" w:rsidRPr="007101FE">
        <w:rPr>
          <w:lang w:val="ru-RU"/>
        </w:rPr>
        <w:t>:</w:t>
      </w:r>
      <w:r w:rsidR="000234D7" w:rsidRPr="007101FE">
        <w:rPr>
          <w:lang w:val="ru-RU"/>
        </w:rPr>
        <w:t xml:space="preserve"> </w:t>
      </w:r>
      <w:r w:rsidR="00903597" w:rsidRPr="007101FE">
        <w:rPr>
          <w:lang w:val="ru-RU"/>
        </w:rPr>
        <w:t>Обеспечить эффективное и действенное использование людских, финансовых и капитальных ресурсов, а также безопасную и защищенную рабочую обстановку, способствующую работе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3114"/>
        <w:gridCol w:w="9072"/>
        <w:gridCol w:w="2381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9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tcW w:w="3114" w:type="dxa"/>
            <w:vMerge w:val="restart"/>
          </w:tcPr>
          <w:p w:rsidR="000234D7" w:rsidRPr="007101FE" w:rsidRDefault="000234D7" w:rsidP="00E6234C">
            <w:pPr>
              <w:spacing w:before="30" w:after="3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E.1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7B0D1D" w:rsidRPr="007101FE">
              <w:rPr>
                <w:sz w:val="18"/>
                <w:szCs w:val="18"/>
                <w:lang w:val="ru-RU"/>
              </w:rPr>
              <w:t>Э</w:t>
            </w:r>
            <w:r w:rsidR="00903597" w:rsidRPr="007101FE">
              <w:rPr>
                <w:sz w:val="18"/>
                <w:szCs w:val="18"/>
                <w:lang w:val="ru-RU"/>
              </w:rPr>
              <w:t>ффективное и действенное использование людских, финан</w:t>
            </w:r>
            <w:r w:rsidR="002C75A6" w:rsidRPr="007101FE">
              <w:rPr>
                <w:sz w:val="18"/>
                <w:szCs w:val="18"/>
                <w:lang w:val="ru-RU"/>
              </w:rPr>
              <w:t>совых и капитальных ресурсов, а </w:t>
            </w:r>
            <w:r w:rsidR="00903597" w:rsidRPr="007101FE">
              <w:rPr>
                <w:sz w:val="18"/>
                <w:szCs w:val="18"/>
                <w:lang w:val="ru-RU"/>
              </w:rPr>
              <w:t>также безопасн</w:t>
            </w:r>
            <w:r w:rsidR="0081053A" w:rsidRPr="007101FE">
              <w:rPr>
                <w:sz w:val="18"/>
                <w:szCs w:val="18"/>
                <w:lang w:val="ru-RU"/>
              </w:rPr>
              <w:t>ая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и защищенн</w:t>
            </w:r>
            <w:r w:rsidR="0081053A" w:rsidRPr="007101FE">
              <w:rPr>
                <w:sz w:val="18"/>
                <w:szCs w:val="18"/>
                <w:lang w:val="ru-RU"/>
              </w:rPr>
              <w:t>ая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рабоч</w:t>
            </w:r>
            <w:r w:rsidR="0081053A" w:rsidRPr="007101FE">
              <w:rPr>
                <w:sz w:val="18"/>
                <w:szCs w:val="18"/>
                <w:lang w:val="ru-RU"/>
              </w:rPr>
              <w:t>ая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обстановк</w:t>
            </w:r>
            <w:r w:rsidR="0081053A" w:rsidRPr="007101FE">
              <w:rPr>
                <w:sz w:val="18"/>
                <w:szCs w:val="18"/>
                <w:lang w:val="ru-RU"/>
              </w:rPr>
              <w:t>а</w:t>
            </w:r>
            <w:r w:rsidR="00903597" w:rsidRPr="007101FE">
              <w:rPr>
                <w:sz w:val="18"/>
                <w:szCs w:val="18"/>
                <w:lang w:val="ru-RU"/>
              </w:rPr>
              <w:t>, способствующ</w:t>
            </w:r>
            <w:r w:rsidR="0081053A" w:rsidRPr="007101FE">
              <w:rPr>
                <w:sz w:val="18"/>
                <w:szCs w:val="18"/>
                <w:lang w:val="ru-RU"/>
              </w:rPr>
              <w:t>ая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работе</w:t>
            </w:r>
          </w:p>
        </w:tc>
        <w:tc>
          <w:tcPr>
            <w:tcW w:w="9072" w:type="dxa"/>
          </w:tcPr>
          <w:p w:rsidR="000234D7" w:rsidRPr="007101FE" w:rsidRDefault="006D331D" w:rsidP="00FC5036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Доля женщин категории специалистов, которые остаются на каждом этапе процесса найма персонала </w:t>
            </w:r>
            <w:r w:rsidR="000234D7" w:rsidRPr="007101FE">
              <w:rPr>
                <w:sz w:val="18"/>
                <w:szCs w:val="18"/>
                <w:lang w:val="ru-RU"/>
              </w:rPr>
              <w:t>(</w:t>
            </w:r>
            <w:r w:rsidR="00E55246" w:rsidRPr="007101FE">
              <w:rPr>
                <w:sz w:val="18"/>
                <w:szCs w:val="18"/>
                <w:lang w:val="ru-RU"/>
              </w:rPr>
              <w:t>ц</w:t>
            </w:r>
            <w:r w:rsidRPr="007101FE">
              <w:rPr>
                <w:sz w:val="18"/>
                <w:szCs w:val="18"/>
                <w:lang w:val="ru-RU"/>
              </w:rPr>
              <w:t>елевой показатель</w:t>
            </w:r>
            <w:r w:rsidR="00803C02" w:rsidRPr="007101FE">
              <w:rPr>
                <w:sz w:val="18"/>
                <w:szCs w:val="18"/>
                <w:lang w:val="ru-RU"/>
              </w:rPr>
              <w:t xml:space="preserve"> на 2020 г.</w:t>
            </w:r>
            <w:r w:rsidR="000234D7" w:rsidRPr="007101FE">
              <w:rPr>
                <w:sz w:val="18"/>
                <w:szCs w:val="18"/>
                <w:lang w:val="ru-RU"/>
              </w:rPr>
              <w:t>: 33%)</w:t>
            </w:r>
            <w:r w:rsidR="001D27F3" w:rsidRPr="007101FE">
              <w:rPr>
                <w:sz w:val="18"/>
                <w:szCs w:val="18"/>
                <w:lang w:val="ru-RU"/>
              </w:rPr>
              <w:t>:</w:t>
            </w:r>
          </w:p>
          <w:p w:rsidR="00FA46D3" w:rsidRPr="007101FE" w:rsidRDefault="00803C02" w:rsidP="00FC5036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 г.: P5 и выше: подача заявлений – 16%, предварительный отбор – 27%, включение в краткий список – 29% и отбор – 36%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381" w:type="dxa"/>
          </w:tcPr>
          <w:p w:rsidR="000234D7" w:rsidRPr="007101FE" w:rsidRDefault="007B0D1D" w:rsidP="00CF70DE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7101FE">
              <w:rPr>
                <w:sz w:val="18"/>
                <w:szCs w:val="18"/>
                <w:lang w:val="ru-RU"/>
              </w:rPr>
              <w:t>HRMD</w:t>
            </w:r>
          </w:p>
        </w:tc>
      </w:tr>
      <w:tr w:rsidR="000234D7" w:rsidRPr="007101FE" w:rsidTr="00DE6DE4">
        <w:tc>
          <w:tcPr>
            <w:tcW w:w="3114" w:type="dxa"/>
            <w:vMerge/>
          </w:tcPr>
          <w:p w:rsidR="000234D7" w:rsidRPr="007101FE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7101FE" w:rsidRDefault="006D331D" w:rsidP="00E6234C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Контроль исполнения бюджета</w:t>
            </w:r>
            <w:r w:rsidR="00E22411" w:rsidRPr="007101FE">
              <w:rPr>
                <w:sz w:val="18"/>
                <w:szCs w:val="18"/>
                <w:lang w:val="ru-RU"/>
              </w:rPr>
              <w:t>:</w:t>
            </w:r>
          </w:p>
          <w:p w:rsidR="000234D7" w:rsidRPr="007101FE" w:rsidRDefault="000234D7" w:rsidP="001239F4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FA46D3" w:rsidRPr="007101FE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E22411" w:rsidRPr="007101FE">
              <w:rPr>
                <w:i/>
                <w:iCs/>
                <w:sz w:val="18"/>
                <w:szCs w:val="18"/>
                <w:lang w:val="ru-RU"/>
              </w:rPr>
              <w:t xml:space="preserve"> 2015</w:t>
            </w:r>
            <w:r w:rsidR="00FA46D3" w:rsidRPr="007101FE">
              <w:rPr>
                <w:i/>
                <w:iCs/>
                <w:sz w:val="18"/>
                <w:szCs w:val="18"/>
                <w:lang w:val="ru-RU"/>
              </w:rPr>
              <w:t xml:space="preserve"> и 201</w:t>
            </w:r>
            <w:r w:rsidR="001239F4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E22411" w:rsidRPr="007101FE">
              <w:rPr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целевой показатель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 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отсутствие перерасхода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381" w:type="dxa"/>
          </w:tcPr>
          <w:p w:rsidR="000234D7" w:rsidRPr="007101FE" w:rsidRDefault="001757E7" w:rsidP="00CF70DE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7101FE">
              <w:rPr>
                <w:sz w:val="18"/>
                <w:szCs w:val="18"/>
                <w:lang w:val="ru-RU"/>
              </w:rPr>
              <w:t>FRMD</w:t>
            </w:r>
          </w:p>
        </w:tc>
      </w:tr>
      <w:tr w:rsidR="000234D7" w:rsidRPr="007101FE" w:rsidTr="00DE6DE4">
        <w:tc>
          <w:tcPr>
            <w:tcW w:w="3114" w:type="dxa"/>
            <w:vMerge/>
          </w:tcPr>
          <w:p w:rsidR="000234D7" w:rsidRPr="007101FE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0234D7" w:rsidRPr="007101FE" w:rsidRDefault="001757E7" w:rsidP="00FC5036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Количество сообщений</w:t>
            </w:r>
            <w:r w:rsidR="00E55246" w:rsidRPr="007101FE">
              <w:rPr>
                <w:sz w:val="18"/>
                <w:szCs w:val="18"/>
                <w:lang w:val="ru-RU"/>
              </w:rPr>
              <w:t xml:space="preserve"> от</w:t>
            </w:r>
            <w:r w:rsidRPr="007101FE">
              <w:rPr>
                <w:sz w:val="18"/>
                <w:szCs w:val="18"/>
                <w:lang w:val="ru-RU"/>
              </w:rPr>
              <w:t xml:space="preserve"> заинтересованных сторон</w:t>
            </w:r>
            <w:r w:rsidR="000234D7" w:rsidRPr="007101FE">
              <w:rPr>
                <w:sz w:val="18"/>
                <w:szCs w:val="18"/>
                <w:lang w:val="ru-RU"/>
              </w:rPr>
              <w:t>/</w:t>
            </w:r>
            <w:r w:rsidRPr="007101FE">
              <w:rPr>
                <w:sz w:val="18"/>
                <w:szCs w:val="18"/>
                <w:lang w:val="ru-RU"/>
              </w:rPr>
              <w:t>клиентов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sz w:val="18"/>
                <w:szCs w:val="18"/>
                <w:lang w:val="ru-RU"/>
              </w:rPr>
              <w:t xml:space="preserve">о </w:t>
            </w:r>
            <w:r w:rsidR="007C2A4B" w:rsidRPr="007101FE">
              <w:rPr>
                <w:sz w:val="18"/>
                <w:szCs w:val="18"/>
                <w:lang w:val="ru-RU"/>
              </w:rPr>
              <w:t>повреждениях или инцидентах, связанных с работой</w:t>
            </w:r>
            <w:r w:rsidR="002C695D" w:rsidRPr="007101FE">
              <w:rPr>
                <w:sz w:val="18"/>
                <w:szCs w:val="18"/>
                <w:lang w:val="ru-RU"/>
              </w:rPr>
              <w:t>:</w:t>
            </w:r>
            <w:r w:rsidR="00FC5036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7C2A4B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>: &lt;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2%;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FA46D3" w:rsidRPr="007101FE">
              <w:rPr>
                <w:i/>
                <w:iCs/>
                <w:sz w:val="18"/>
                <w:szCs w:val="18"/>
                <w:lang w:val="ru-RU"/>
              </w:rPr>
              <w:t>201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FA46D3" w:rsidRPr="007101FE">
              <w:rPr>
                <w:i/>
                <w:iCs/>
                <w:sz w:val="18"/>
                <w:szCs w:val="18"/>
                <w:lang w:val="ru-RU"/>
              </w:rPr>
              <w:t xml:space="preserve"> г.: &lt;2%.</w:t>
            </w:r>
          </w:p>
        </w:tc>
        <w:tc>
          <w:tcPr>
            <w:tcW w:w="2381" w:type="dxa"/>
          </w:tcPr>
          <w:p w:rsidR="000234D7" w:rsidRPr="007101FE" w:rsidRDefault="001757E7" w:rsidP="00CF70DE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База данных об инцидентах</w:t>
            </w:r>
          </w:p>
        </w:tc>
      </w:tr>
      <w:tr w:rsidR="000234D7" w:rsidRPr="004C277B" w:rsidTr="00DE6DE4">
        <w:tc>
          <w:tcPr>
            <w:tcW w:w="3114" w:type="dxa"/>
            <w:vMerge/>
          </w:tcPr>
          <w:p w:rsidR="000234D7" w:rsidRPr="007101FE" w:rsidRDefault="000234D7" w:rsidP="00E6234C">
            <w:pPr>
              <w:spacing w:before="30" w:after="3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9072" w:type="dxa"/>
          </w:tcPr>
          <w:p w:rsidR="004A12F8" w:rsidRPr="007101FE" w:rsidRDefault="00F61B17" w:rsidP="00FC5036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Число</w:t>
            </w:r>
            <w:r w:rsidR="007C2A4B" w:rsidRPr="007101FE">
              <w:rPr>
                <w:sz w:val="18"/>
                <w:szCs w:val="18"/>
                <w:lang w:val="ru-RU"/>
              </w:rPr>
              <w:t xml:space="preserve"> заинтересованных сторон/клиентов, которые при поездках в официальные командировки зарегистрировали свою поездку в </w:t>
            </w:r>
            <w:r w:rsidR="000D7297" w:rsidRPr="007101FE">
              <w:rPr>
                <w:sz w:val="18"/>
                <w:szCs w:val="18"/>
                <w:lang w:val="ru-RU"/>
              </w:rPr>
              <w:t xml:space="preserve">системе </w:t>
            </w:r>
            <w:r w:rsidR="007C2A4B" w:rsidRPr="007101FE">
              <w:rPr>
                <w:sz w:val="18"/>
                <w:szCs w:val="18"/>
                <w:lang w:val="ru-RU"/>
              </w:rPr>
              <w:t xml:space="preserve">ООН </w:t>
            </w:r>
            <w:r w:rsidR="000234D7" w:rsidRPr="007101FE">
              <w:rPr>
                <w:sz w:val="18"/>
                <w:szCs w:val="18"/>
                <w:lang w:val="ru-RU"/>
              </w:rPr>
              <w:t>DSS</w:t>
            </w:r>
            <w:r w:rsidR="002C695D" w:rsidRPr="007101FE">
              <w:rPr>
                <w:sz w:val="18"/>
                <w:szCs w:val="18"/>
                <w:lang w:val="ru-RU"/>
              </w:rPr>
              <w:t>:</w:t>
            </w:r>
          </w:p>
          <w:p w:rsidR="004A12F8" w:rsidRPr="007101FE" w:rsidRDefault="00195AAC" w:rsidP="00FC5036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 г.: 86,9</w:t>
            </w:r>
            <w:r w:rsidR="002C695D" w:rsidRPr="007101FE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731E95" w:rsidRPr="007101FE" w:rsidRDefault="00195AAC" w:rsidP="001239F4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г.: 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9</w:t>
            </w:r>
            <w:r w:rsidR="001239F4" w:rsidRPr="007101FE">
              <w:rPr>
                <w:i/>
                <w:iCs/>
                <w:sz w:val="18"/>
                <w:szCs w:val="18"/>
                <w:lang w:val="ru-RU"/>
              </w:rPr>
              <w:t>3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4</w:t>
            </w:r>
            <w:r w:rsidR="002C695D" w:rsidRPr="007101FE">
              <w:rPr>
                <w:i/>
                <w:iCs/>
                <w:sz w:val="18"/>
                <w:szCs w:val="18"/>
                <w:lang w:val="ru-RU"/>
              </w:rPr>
              <w:t xml:space="preserve">-процентное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соответствие</w:t>
            </w:r>
            <w:r w:rsidR="002C695D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4A12F8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0234D7" w:rsidRPr="007101FE" w:rsidRDefault="007C2A4B" w:rsidP="00FC5036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 xml:space="preserve">: 100% </w:t>
            </w:r>
            <w:r w:rsidR="00195AAC" w:rsidRPr="007101FE">
              <w:rPr>
                <w:i/>
                <w:iCs/>
                <w:sz w:val="18"/>
                <w:szCs w:val="18"/>
                <w:lang w:val="ru-RU"/>
              </w:rPr>
              <w:t>зарегистрированных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381" w:type="dxa"/>
          </w:tcPr>
          <w:p w:rsidR="000234D7" w:rsidRPr="007101FE" w:rsidRDefault="007C2A4B" w:rsidP="00CF70DE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База данных по подготовке в области безопасности и защиты для пое</w:t>
            </w:r>
            <w:r w:rsidR="000D7297" w:rsidRPr="007101FE">
              <w:rPr>
                <w:sz w:val="18"/>
                <w:szCs w:val="18"/>
                <w:lang w:val="ru-RU"/>
              </w:rPr>
              <w:t>здок в официальные командировки</w:t>
            </w:r>
          </w:p>
        </w:tc>
      </w:tr>
    </w:tbl>
    <w:p w:rsidR="00FC5036" w:rsidRPr="007101FE" w:rsidRDefault="00FC503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 Bold"/>
          <w:b/>
          <w:lang w:val="ru-RU"/>
        </w:rPr>
      </w:pPr>
      <w:r w:rsidRPr="007101FE">
        <w:rPr>
          <w:lang w:val="ru-RU"/>
        </w:rPr>
        <w:br w:type="page"/>
      </w:r>
    </w:p>
    <w:p w:rsidR="000234D7" w:rsidRPr="007101FE" w:rsidRDefault="00FC5036" w:rsidP="00BA6A14">
      <w:pPr>
        <w:pStyle w:val="Heading2"/>
        <w:spacing w:after="120"/>
        <w:rPr>
          <w:lang w:val="ru-RU"/>
        </w:rPr>
      </w:pPr>
      <w:r w:rsidRPr="007101FE">
        <w:rPr>
          <w:lang w:val="ru-RU"/>
        </w:rPr>
        <w:t>4</w:t>
      </w:r>
      <w:r w:rsidR="009F6FA8" w:rsidRPr="007101FE">
        <w:rPr>
          <w:lang w:val="ru-RU"/>
        </w:rPr>
        <w:t>.2</w:t>
      </w:r>
      <w:r w:rsidR="009F6FA8" w:rsidRPr="007101FE">
        <w:rPr>
          <w:lang w:val="ru-RU"/>
        </w:rPr>
        <w:tab/>
      </w:r>
      <w:r w:rsidR="000234D7" w:rsidRPr="007101FE">
        <w:rPr>
          <w:lang w:val="ru-RU"/>
        </w:rPr>
        <w:t>E.2</w:t>
      </w:r>
      <w:r w:rsidR="00C21893" w:rsidRPr="007101FE">
        <w:rPr>
          <w:lang w:val="ru-RU"/>
        </w:rPr>
        <w:t>:</w:t>
      </w:r>
      <w:r w:rsidR="000234D7" w:rsidRPr="007101FE">
        <w:rPr>
          <w:lang w:val="ru-RU"/>
        </w:rPr>
        <w:t xml:space="preserve"> </w:t>
      </w:r>
      <w:r w:rsidR="00903597" w:rsidRPr="007101FE">
        <w:rPr>
          <w:lang w:val="ru-RU"/>
        </w:rPr>
        <w:t>Обеспечить инфраструктуры для проведения эффективных и доступных конференций, собраний, получ</w:t>
      </w:r>
      <w:r w:rsidR="009F6FA8" w:rsidRPr="007101FE">
        <w:rPr>
          <w:lang w:val="ru-RU"/>
        </w:rPr>
        <w:t>ения документации, публикаций и </w:t>
      </w:r>
      <w:r w:rsidR="00903597" w:rsidRPr="007101FE">
        <w:rPr>
          <w:lang w:val="ru-RU"/>
        </w:rPr>
        <w:t>информации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4041"/>
        <w:gridCol w:w="7578"/>
        <w:gridCol w:w="2948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tcW w:w="4041" w:type="dxa"/>
            <w:vMerge w:val="restart"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E.2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D73963" w:rsidRPr="007101FE">
              <w:rPr>
                <w:sz w:val="18"/>
                <w:szCs w:val="18"/>
                <w:lang w:val="ru-RU"/>
              </w:rPr>
              <w:t>Э</w:t>
            </w:r>
            <w:r w:rsidR="00903597" w:rsidRPr="007101FE">
              <w:rPr>
                <w:sz w:val="18"/>
                <w:szCs w:val="18"/>
                <w:lang w:val="ru-RU"/>
              </w:rPr>
              <w:t>ффективны</w:t>
            </w:r>
            <w:r w:rsidR="00D73963" w:rsidRPr="007101FE">
              <w:rPr>
                <w:sz w:val="18"/>
                <w:szCs w:val="18"/>
                <w:lang w:val="ru-RU"/>
              </w:rPr>
              <w:t>е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и доступны</w:t>
            </w:r>
            <w:r w:rsidR="00D73963" w:rsidRPr="007101FE">
              <w:rPr>
                <w:sz w:val="18"/>
                <w:szCs w:val="18"/>
                <w:lang w:val="ru-RU"/>
              </w:rPr>
              <w:t>е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конференци</w:t>
            </w:r>
            <w:r w:rsidR="00D73963" w:rsidRPr="007101FE">
              <w:rPr>
                <w:sz w:val="18"/>
                <w:szCs w:val="18"/>
                <w:lang w:val="ru-RU"/>
              </w:rPr>
              <w:t>и</w:t>
            </w:r>
            <w:r w:rsidR="00903597" w:rsidRPr="007101FE">
              <w:rPr>
                <w:sz w:val="18"/>
                <w:szCs w:val="18"/>
                <w:lang w:val="ru-RU"/>
              </w:rPr>
              <w:t>, собрани</w:t>
            </w:r>
            <w:r w:rsidR="00D73963" w:rsidRPr="007101FE">
              <w:rPr>
                <w:sz w:val="18"/>
                <w:szCs w:val="18"/>
                <w:lang w:val="ru-RU"/>
              </w:rPr>
              <w:t>я</w:t>
            </w:r>
            <w:r w:rsidR="00903597" w:rsidRPr="007101FE">
              <w:rPr>
                <w:sz w:val="18"/>
                <w:szCs w:val="18"/>
                <w:lang w:val="ru-RU"/>
              </w:rPr>
              <w:t>, получени</w:t>
            </w:r>
            <w:r w:rsidR="00D73963" w:rsidRPr="007101FE">
              <w:rPr>
                <w:sz w:val="18"/>
                <w:szCs w:val="18"/>
                <w:lang w:val="ru-RU"/>
              </w:rPr>
              <w:t>е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документации, публикаци</w:t>
            </w:r>
            <w:r w:rsidR="00D73963" w:rsidRPr="007101FE">
              <w:rPr>
                <w:sz w:val="18"/>
                <w:szCs w:val="18"/>
                <w:lang w:val="ru-RU"/>
              </w:rPr>
              <w:t>й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и информации</w:t>
            </w:r>
          </w:p>
        </w:tc>
        <w:tc>
          <w:tcPr>
            <w:tcW w:w="7578" w:type="dxa"/>
          </w:tcPr>
          <w:p w:rsidR="000234D7" w:rsidRPr="007101FE" w:rsidRDefault="00264280" w:rsidP="00CF70D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Удовлетворенно</w:t>
            </w:r>
            <w:r w:rsidR="000D7297" w:rsidRPr="007101FE">
              <w:rPr>
                <w:sz w:val="18"/>
                <w:szCs w:val="18"/>
                <w:lang w:val="ru-RU"/>
              </w:rPr>
              <w:t>сть пользователей мероприятиями</w:t>
            </w:r>
            <w:r w:rsidR="00195AAC" w:rsidRPr="007101FE">
              <w:rPr>
                <w:sz w:val="18"/>
                <w:szCs w:val="18"/>
                <w:lang w:val="ru-RU"/>
              </w:rPr>
              <w:t>:</w:t>
            </w:r>
            <w:r w:rsidR="00FC5036" w:rsidRPr="007101FE">
              <w:rPr>
                <w:sz w:val="18"/>
                <w:szCs w:val="18"/>
                <w:lang w:val="ru-RU"/>
              </w:rPr>
              <w:t xml:space="preserve"> </w:t>
            </w:r>
            <w:r w:rsidR="006B160D" w:rsidRPr="007101FE">
              <w:rPr>
                <w:i/>
                <w:iCs/>
                <w:sz w:val="18"/>
                <w:szCs w:val="18"/>
                <w:lang w:val="ru-RU"/>
              </w:rPr>
              <w:t xml:space="preserve">для 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ВКРЭ</w:t>
            </w:r>
            <w:r w:rsidR="001312D8" w:rsidRPr="007101FE">
              <w:rPr>
                <w:i/>
                <w:iCs/>
                <w:sz w:val="18"/>
                <w:szCs w:val="18"/>
                <w:lang w:val="ru-RU"/>
              </w:rPr>
              <w:t>-1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6B160D" w:rsidRPr="007101FE">
              <w:rPr>
                <w:rStyle w:val="FootnoteReference"/>
                <w:szCs w:val="18"/>
                <w:lang w:val="ru-RU"/>
              </w:rPr>
              <w:footnoteReference w:id="1"/>
            </w:r>
            <w:r w:rsidR="002B3B57" w:rsidRPr="007101FE">
              <w:rPr>
                <w:i/>
                <w:iCs/>
                <w:sz w:val="18"/>
                <w:szCs w:val="18"/>
                <w:lang w:val="ru-RU"/>
              </w:rPr>
              <w:t xml:space="preserve"> был</w:t>
            </w:r>
            <w:r w:rsidR="00CF70DE" w:rsidRPr="007101FE">
              <w:rPr>
                <w:i/>
                <w:iCs/>
                <w:sz w:val="18"/>
                <w:szCs w:val="18"/>
                <w:lang w:val="ru-RU"/>
              </w:rPr>
              <w:t>о</w:t>
            </w:r>
            <w:r w:rsidR="002B3B57" w:rsidRPr="007101FE">
              <w:rPr>
                <w:i/>
                <w:iCs/>
                <w:sz w:val="18"/>
                <w:szCs w:val="18"/>
                <w:lang w:val="ru-RU"/>
              </w:rPr>
              <w:t xml:space="preserve"> проведен</w:t>
            </w:r>
            <w:r w:rsidR="00CF70DE" w:rsidRPr="007101FE">
              <w:rPr>
                <w:i/>
                <w:iCs/>
                <w:sz w:val="18"/>
                <w:szCs w:val="18"/>
                <w:lang w:val="ru-RU"/>
              </w:rPr>
              <w:t>о обследование</w:t>
            </w:r>
            <w:r w:rsidR="00195AAC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B3B57" w:rsidRPr="007101FE">
              <w:rPr>
                <w:i/>
                <w:iCs/>
                <w:sz w:val="18"/>
                <w:szCs w:val="18"/>
                <w:lang w:val="ru-RU"/>
              </w:rPr>
              <w:t>по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 xml:space="preserve"> следующим пунктам:</w:t>
            </w:r>
            <w:r w:rsidR="002B3B57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>качеств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>о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195AAC" w:rsidRPr="007101FE">
              <w:rPr>
                <w:i/>
                <w:iCs/>
                <w:sz w:val="18"/>
                <w:szCs w:val="18"/>
                <w:lang w:val="ru-RU"/>
              </w:rPr>
              <w:t>помещений и средств для конференции (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включая распределение мест в зале)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любезность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и профессионализм персонала МСЭ</w:t>
            </w:r>
            <w:r w:rsidR="0014209D" w:rsidRPr="007101FE">
              <w:rPr>
                <w:i/>
                <w:iCs/>
                <w:sz w:val="18"/>
                <w:szCs w:val="18"/>
                <w:lang w:val="ru-RU"/>
              </w:rPr>
              <w:t xml:space="preserve">, занятого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обслуживани</w:t>
            </w:r>
            <w:r w:rsidR="0014209D" w:rsidRPr="007101FE">
              <w:rPr>
                <w:i/>
                <w:iCs/>
                <w:sz w:val="18"/>
                <w:szCs w:val="18"/>
                <w:lang w:val="ru-RU"/>
              </w:rPr>
              <w:t>ем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 xml:space="preserve"> конференци</w:t>
            </w:r>
            <w:r w:rsidR="0014209D" w:rsidRPr="007101FE">
              <w:rPr>
                <w:i/>
                <w:iCs/>
                <w:sz w:val="18"/>
                <w:szCs w:val="18"/>
                <w:lang w:val="ru-RU"/>
              </w:rPr>
              <w:t>и</w:t>
            </w:r>
            <w:r w:rsidR="00195AAC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наличие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195AAC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 xml:space="preserve">качество 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 xml:space="preserve">письменного перевода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документов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E3C31" w:rsidRPr="007101FE">
              <w:rPr>
                <w:i/>
                <w:iCs/>
                <w:sz w:val="18"/>
                <w:szCs w:val="18"/>
                <w:lang w:val="ru-RU"/>
              </w:rPr>
              <w:t>и устн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>ого</w:t>
            </w:r>
            <w:r w:rsidR="00AE3C31" w:rsidRPr="007101FE">
              <w:rPr>
                <w:i/>
                <w:iCs/>
                <w:sz w:val="18"/>
                <w:szCs w:val="18"/>
                <w:lang w:val="ru-RU"/>
              </w:rPr>
              <w:t xml:space="preserve"> перевод</w:t>
            </w:r>
            <w:r w:rsidR="00A53D21" w:rsidRPr="007101FE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AE3C31" w:rsidRPr="007101FE">
              <w:rPr>
                <w:i/>
                <w:iCs/>
                <w:sz w:val="18"/>
                <w:szCs w:val="18"/>
                <w:lang w:val="ru-RU"/>
              </w:rPr>
              <w:t xml:space="preserve">. </w:t>
            </w:r>
            <w:r w:rsidR="00937309" w:rsidRPr="007101FE">
              <w:rPr>
                <w:i/>
                <w:iCs/>
                <w:sz w:val="18"/>
                <w:szCs w:val="18"/>
                <w:lang w:val="ru-RU"/>
              </w:rPr>
              <w:t>Н</w:t>
            </w:r>
            <w:r w:rsidR="00AE3C31" w:rsidRPr="007101FE">
              <w:rPr>
                <w:i/>
                <w:iCs/>
                <w:sz w:val="18"/>
                <w:szCs w:val="18"/>
                <w:lang w:val="ru-RU"/>
              </w:rPr>
              <w:t xml:space="preserve">а вопросник ответили около 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169</w:t>
            </w:r>
            <w:r w:rsidR="006118EC" w:rsidRPr="007101FE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AE3C31" w:rsidRPr="007101FE">
              <w:rPr>
                <w:i/>
                <w:iCs/>
                <w:sz w:val="18"/>
                <w:szCs w:val="18"/>
                <w:lang w:val="ru-RU"/>
              </w:rPr>
              <w:t>делегатов (</w:t>
            </w:r>
            <w:r w:rsidR="00CF70DE" w:rsidRPr="007101FE">
              <w:rPr>
                <w:i/>
                <w:iCs/>
                <w:sz w:val="18"/>
                <w:szCs w:val="18"/>
                <w:lang w:val="ru-RU"/>
              </w:rPr>
              <w:t>примерно 12%</w:t>
            </w:r>
            <w:r w:rsidR="00AE3C31" w:rsidRPr="007101FE">
              <w:rPr>
                <w:i/>
                <w:iCs/>
                <w:sz w:val="18"/>
                <w:szCs w:val="18"/>
                <w:lang w:val="ru-RU"/>
              </w:rPr>
              <w:t xml:space="preserve"> выборки). </w:t>
            </w:r>
          </w:p>
          <w:p w:rsidR="000234D7" w:rsidRPr="007101FE" w:rsidRDefault="00FC5036" w:rsidP="00CF70DE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О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коло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 xml:space="preserve">90% пользователей, </w:t>
            </w:r>
            <w:r w:rsidR="00937309" w:rsidRPr="007101FE">
              <w:rPr>
                <w:i/>
                <w:iCs/>
                <w:sz w:val="18"/>
                <w:szCs w:val="18"/>
                <w:lang w:val="ru-RU"/>
              </w:rPr>
              <w:t xml:space="preserve">охваченных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обследован</w:t>
            </w:r>
            <w:r w:rsidR="00937309" w:rsidRPr="007101FE">
              <w:rPr>
                <w:i/>
                <w:iCs/>
                <w:sz w:val="18"/>
                <w:szCs w:val="18"/>
                <w:lang w:val="ru-RU"/>
              </w:rPr>
              <w:t>ием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 xml:space="preserve"> в конце 2015 года, </w:t>
            </w:r>
            <w:r w:rsidR="00CB06AB" w:rsidRPr="007101FE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 xml:space="preserve"> тематику публикаций МСЭ </w:t>
            </w:r>
            <w:r w:rsidR="00CF70DE" w:rsidRPr="007101FE">
              <w:rPr>
                <w:i/>
                <w:iCs/>
                <w:sz w:val="18"/>
                <w:szCs w:val="18"/>
                <w:lang w:val="ru-RU"/>
              </w:rPr>
              <w:t xml:space="preserve">как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"полезн</w:t>
            </w:r>
            <w:r w:rsidR="00CF70DE" w:rsidRPr="007101FE">
              <w:rPr>
                <w:i/>
                <w:iCs/>
                <w:sz w:val="18"/>
                <w:szCs w:val="18"/>
                <w:lang w:val="ru-RU"/>
              </w:rPr>
              <w:t>ую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" или "очень полезн</w:t>
            </w:r>
            <w:r w:rsidR="00CF70DE" w:rsidRPr="007101FE">
              <w:rPr>
                <w:i/>
                <w:iCs/>
                <w:sz w:val="18"/>
                <w:szCs w:val="18"/>
                <w:lang w:val="ru-RU"/>
              </w:rPr>
              <w:t>ую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"</w:t>
            </w:r>
          </w:p>
          <w:p w:rsidR="001312D8" w:rsidRPr="007101FE" w:rsidRDefault="001312D8" w:rsidP="00FC503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(</w:t>
            </w:r>
            <w:r w:rsidR="00FC5036" w:rsidRPr="007101FE">
              <w:rPr>
                <w:sz w:val="18"/>
                <w:szCs w:val="18"/>
                <w:lang w:val="ru-RU"/>
              </w:rPr>
              <w:t>ежегодное</w:t>
            </w:r>
            <w:r w:rsidR="00937309" w:rsidRPr="007101FE">
              <w:rPr>
                <w:sz w:val="18"/>
                <w:szCs w:val="18"/>
                <w:lang w:val="ru-RU"/>
              </w:rPr>
              <w:t xml:space="preserve"> обследовани</w:t>
            </w:r>
            <w:r w:rsidR="00FC5036" w:rsidRPr="007101FE">
              <w:rPr>
                <w:sz w:val="18"/>
                <w:szCs w:val="18"/>
                <w:lang w:val="ru-RU"/>
              </w:rPr>
              <w:t>е</w:t>
            </w:r>
            <w:r w:rsidR="00937309" w:rsidRPr="007101FE">
              <w:rPr>
                <w:sz w:val="18"/>
                <w:szCs w:val="18"/>
                <w:lang w:val="ru-RU"/>
              </w:rPr>
              <w:t xml:space="preserve"> среди Членов МСЭ в</w:t>
            </w:r>
            <w:r w:rsidRPr="007101FE">
              <w:rPr>
                <w:sz w:val="18"/>
                <w:szCs w:val="18"/>
                <w:lang w:val="ru-RU"/>
              </w:rPr>
              <w:t xml:space="preserve"> 2016</w:t>
            </w:r>
            <w:r w:rsidR="00937309" w:rsidRPr="007101FE">
              <w:rPr>
                <w:sz w:val="18"/>
                <w:szCs w:val="18"/>
                <w:lang w:val="ru-RU"/>
              </w:rPr>
              <w:t> г.</w:t>
            </w:r>
            <w:r w:rsidRPr="007101FE">
              <w:rPr>
                <w:sz w:val="18"/>
                <w:szCs w:val="18"/>
                <w:lang w:val="ru-RU"/>
              </w:rPr>
              <w:t>):</w:t>
            </w:r>
            <w:r w:rsidR="00FC5036" w:rsidRPr="007101FE">
              <w:rPr>
                <w:sz w:val="18"/>
                <w:szCs w:val="18"/>
                <w:lang w:val="ru-RU"/>
              </w:rPr>
              <w:t xml:space="preserve"> </w:t>
            </w:r>
            <w:r w:rsidR="00FC5036" w:rsidRPr="007101FE">
              <w:rPr>
                <w:i/>
                <w:iCs/>
                <w:sz w:val="20"/>
                <w:szCs w:val="20"/>
                <w:lang w:val="ru-RU"/>
              </w:rPr>
              <w:t>&gt;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90% </w:t>
            </w:r>
            <w:r w:rsidR="00937309" w:rsidRPr="007101FE">
              <w:rPr>
                <w:i/>
                <w:iCs/>
                <w:sz w:val="18"/>
                <w:szCs w:val="18"/>
                <w:lang w:val="ru-RU"/>
              </w:rPr>
              <w:t xml:space="preserve">Членов </w:t>
            </w:r>
            <w:r w:rsidR="00CB06AB" w:rsidRPr="007101FE">
              <w:rPr>
                <w:i/>
                <w:iCs/>
                <w:sz w:val="18"/>
                <w:szCs w:val="18"/>
                <w:lang w:val="ru-RU"/>
              </w:rPr>
              <w:t>оценили</w:t>
            </w:r>
            <w:r w:rsidR="00937309" w:rsidRPr="007101FE">
              <w:rPr>
                <w:i/>
                <w:iCs/>
                <w:sz w:val="18"/>
                <w:szCs w:val="18"/>
                <w:lang w:val="ru-RU"/>
              </w:rPr>
              <w:t xml:space="preserve"> качество публикаций МСЭ</w:t>
            </w:r>
            <w:r w:rsidR="00CB06AB" w:rsidRPr="007101FE">
              <w:rPr>
                <w:i/>
                <w:iCs/>
                <w:sz w:val="18"/>
                <w:szCs w:val="18"/>
                <w:lang w:val="ru-RU"/>
              </w:rPr>
              <w:t xml:space="preserve"> как "хорошее" и "очень хорошее"</w:t>
            </w:r>
            <w:r w:rsidRPr="007101FE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7101FE" w:rsidRDefault="00CF70DE" w:rsidP="00CF70DE">
            <w:pPr>
              <w:spacing w:before="40" w:after="40"/>
              <w:rPr>
                <w:sz w:val="18"/>
                <w:szCs w:val="18"/>
                <w:lang w:val="ru-RU"/>
              </w:rPr>
            </w:pPr>
            <w:bookmarkStart w:id="4" w:name="_Ref410235675"/>
            <w:r w:rsidRPr="007101FE">
              <w:rPr>
                <w:sz w:val="18"/>
                <w:szCs w:val="18"/>
                <w:lang w:val="ru-RU"/>
              </w:rPr>
              <w:t>Обследования</w:t>
            </w:r>
            <w:r w:rsidR="00264280" w:rsidRPr="007101FE">
              <w:rPr>
                <w:sz w:val="18"/>
                <w:szCs w:val="18"/>
                <w:lang w:val="ru-RU"/>
              </w:rPr>
              <w:t xml:space="preserve"> удовлетворенности пользователей</w:t>
            </w:r>
            <w:bookmarkEnd w:id="4"/>
          </w:p>
        </w:tc>
      </w:tr>
      <w:tr w:rsidR="000234D7" w:rsidRPr="007101FE" w:rsidTr="00DE6DE4">
        <w:tc>
          <w:tcPr>
            <w:tcW w:w="4041" w:type="dxa"/>
            <w:vMerge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4A12F8" w:rsidRPr="007101FE" w:rsidRDefault="00E55246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Доступность</w:t>
            </w:r>
            <w:r w:rsidR="00264280" w:rsidRPr="007101FE">
              <w:rPr>
                <w:sz w:val="18"/>
                <w:szCs w:val="18"/>
                <w:lang w:val="ru-RU"/>
              </w:rPr>
              <w:t xml:space="preserve"> и функциональность услуг ИКТ</w:t>
            </w:r>
            <w:r w:rsidR="00E97DB5" w:rsidRPr="007101FE">
              <w:rPr>
                <w:sz w:val="18"/>
                <w:szCs w:val="18"/>
                <w:lang w:val="ru-RU"/>
              </w:rPr>
              <w:t>:</w:t>
            </w:r>
            <w:r w:rsidR="00264280" w:rsidRPr="007101FE">
              <w:rPr>
                <w:sz w:val="18"/>
                <w:szCs w:val="18"/>
                <w:lang w:val="ru-RU"/>
              </w:rPr>
              <w:t xml:space="preserve"> </w:t>
            </w:r>
          </w:p>
          <w:p w:rsidR="000234D7" w:rsidRPr="007101FE" w:rsidRDefault="000234D7" w:rsidP="00FC503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99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E55246" w:rsidRPr="007101FE">
              <w:rPr>
                <w:i/>
                <w:iCs/>
                <w:sz w:val="18"/>
                <w:szCs w:val="18"/>
                <w:lang w:val="ru-RU"/>
              </w:rPr>
              <w:t>доступность</w:t>
            </w:r>
            <w:r w:rsidR="00264280" w:rsidRPr="007101FE">
              <w:rPr>
                <w:i/>
                <w:iCs/>
                <w:sz w:val="18"/>
                <w:szCs w:val="18"/>
                <w:lang w:val="ru-RU"/>
              </w:rPr>
              <w:t xml:space="preserve"> всех услуг ИКТ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2015 г.: 99,86%;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 xml:space="preserve"> 2017 г.</w:t>
            </w:r>
            <w:r w:rsidR="001312D8" w:rsidRPr="007101FE">
              <w:rPr>
                <w:i/>
                <w:iCs/>
                <w:sz w:val="18"/>
                <w:szCs w:val="18"/>
                <w:lang w:val="ru-RU"/>
              </w:rPr>
              <w:t>: 9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8</w:t>
            </w:r>
            <w:r w:rsidR="001312D8" w:rsidRPr="007101FE">
              <w:rPr>
                <w:i/>
                <w:iCs/>
                <w:sz w:val="18"/>
                <w:szCs w:val="18"/>
                <w:lang w:val="ru-RU"/>
              </w:rPr>
              <w:t>,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>9</w:t>
            </w:r>
            <w:r w:rsidR="001312D8" w:rsidRPr="007101FE">
              <w:rPr>
                <w:i/>
                <w:iCs/>
                <w:sz w:val="18"/>
                <w:szCs w:val="18"/>
                <w:lang w:val="ru-RU"/>
              </w:rPr>
              <w:t>5%;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264280" w:rsidRPr="007101FE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264280" w:rsidRPr="007101FE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E97DB5" w:rsidRPr="007101FE">
              <w:rPr>
                <w:i/>
                <w:iCs/>
                <w:sz w:val="18"/>
                <w:szCs w:val="18"/>
                <w:lang w:val="ru-RU"/>
              </w:rPr>
              <w:t>обеспечить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 xml:space="preserve"> доступность &gt;</w:t>
            </w:r>
            <w:r w:rsidR="002C75A6" w:rsidRPr="007101FE">
              <w:rPr>
                <w:i/>
                <w:iCs/>
                <w:sz w:val="18"/>
                <w:szCs w:val="18"/>
                <w:lang w:val="ru-RU"/>
              </w:rPr>
              <w:t>99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>%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48" w:type="dxa"/>
          </w:tcPr>
          <w:p w:rsidR="000234D7" w:rsidRPr="007101FE" w:rsidRDefault="00264280" w:rsidP="00CF70DE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Каталог услуг И</w:t>
            </w:r>
            <w:r w:rsidR="000D7297" w:rsidRPr="007101FE">
              <w:rPr>
                <w:sz w:val="18"/>
                <w:szCs w:val="18"/>
                <w:lang w:val="ru-RU"/>
              </w:rPr>
              <w:t>К</w:t>
            </w:r>
            <w:r w:rsidRPr="007101FE">
              <w:rPr>
                <w:sz w:val="18"/>
                <w:szCs w:val="18"/>
                <w:lang w:val="ru-RU"/>
              </w:rPr>
              <w:t>Т</w:t>
            </w:r>
          </w:p>
        </w:tc>
      </w:tr>
      <w:tr w:rsidR="000234D7" w:rsidRPr="007101FE" w:rsidTr="00DE6DE4">
        <w:tc>
          <w:tcPr>
            <w:tcW w:w="4041" w:type="dxa"/>
            <w:vMerge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8" w:type="dxa"/>
          </w:tcPr>
          <w:p w:rsidR="000234D7" w:rsidRPr="007101FE" w:rsidRDefault="00264280" w:rsidP="00AA03A6">
            <w:pPr>
              <w:snapToGrid w:val="0"/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Удовлетворенность пользователей услугами ИКТ</w:t>
            </w:r>
            <w:r w:rsidR="00FC5036" w:rsidRPr="007101FE">
              <w:rPr>
                <w:sz w:val="18"/>
                <w:szCs w:val="18"/>
                <w:lang w:val="ru-RU"/>
              </w:rPr>
              <w:t xml:space="preserve">: 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общая 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>удовлетворенность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 xml:space="preserve"> (2016 г.)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>:</w:t>
            </w:r>
            <w:r w:rsidR="00FC5036" w:rsidRPr="007101FE">
              <w:rPr>
                <w:i/>
                <w:iCs/>
                <w:sz w:val="18"/>
                <w:szCs w:val="18"/>
                <w:lang w:val="ru-RU"/>
              </w:rPr>
              <w:t xml:space="preserve"> 88% 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 xml:space="preserve">"отлично" и "хорошо";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>: 5</w:t>
            </w:r>
            <w:r w:rsidR="00CD6F29" w:rsidRPr="007101FE">
              <w:rPr>
                <w:i/>
                <w:iCs/>
                <w:sz w:val="18"/>
                <w:szCs w:val="18"/>
                <w:lang w:val="ru-RU"/>
              </w:rPr>
              <w:t>%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рост удовлетворенности</w:t>
            </w:r>
          </w:p>
        </w:tc>
        <w:tc>
          <w:tcPr>
            <w:tcW w:w="2948" w:type="dxa"/>
          </w:tcPr>
          <w:p w:rsidR="000234D7" w:rsidRPr="007101FE" w:rsidRDefault="00B23FDC" w:rsidP="00B23FDC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Обследование</w:t>
            </w:r>
            <w:r w:rsidR="00264280" w:rsidRPr="007101FE">
              <w:rPr>
                <w:sz w:val="18"/>
                <w:szCs w:val="18"/>
                <w:lang w:val="ru-RU"/>
              </w:rPr>
              <w:t xml:space="preserve"> удовлетворенности пользователей</w:t>
            </w:r>
          </w:p>
        </w:tc>
      </w:tr>
    </w:tbl>
    <w:p w:rsidR="000A684D" w:rsidRPr="007101FE" w:rsidRDefault="000A684D" w:rsidP="000A684D">
      <w:pPr>
        <w:rPr>
          <w:lang w:val="ru-RU"/>
        </w:rPr>
      </w:pPr>
      <w:r w:rsidRPr="007101FE">
        <w:rPr>
          <w:lang w:val="ru-RU"/>
        </w:rPr>
        <w:br w:type="page"/>
      </w:r>
    </w:p>
    <w:p w:rsidR="000234D7" w:rsidRPr="007101FE" w:rsidRDefault="00AA03A6" w:rsidP="008260E4">
      <w:pPr>
        <w:pStyle w:val="Heading2"/>
        <w:spacing w:after="120"/>
        <w:rPr>
          <w:lang w:val="ru-RU"/>
        </w:rPr>
      </w:pPr>
      <w:r w:rsidRPr="007101FE">
        <w:rPr>
          <w:lang w:val="ru-RU"/>
        </w:rPr>
        <w:t>4</w:t>
      </w:r>
      <w:r w:rsidR="009F6FA8" w:rsidRPr="007101FE">
        <w:rPr>
          <w:lang w:val="ru-RU"/>
        </w:rPr>
        <w:t>.3</w:t>
      </w:r>
      <w:r w:rsidR="009F6FA8" w:rsidRPr="007101FE">
        <w:rPr>
          <w:lang w:val="ru-RU"/>
        </w:rPr>
        <w:tab/>
      </w:r>
      <w:r w:rsidR="000234D7" w:rsidRPr="007101FE">
        <w:rPr>
          <w:lang w:val="ru-RU"/>
        </w:rPr>
        <w:t>E.3</w:t>
      </w:r>
      <w:r w:rsidR="00C21893" w:rsidRPr="007101FE">
        <w:rPr>
          <w:lang w:val="ru-RU"/>
        </w:rPr>
        <w:t>:</w:t>
      </w:r>
      <w:r w:rsidR="000234D7" w:rsidRPr="007101FE">
        <w:rPr>
          <w:lang w:val="ru-RU"/>
        </w:rPr>
        <w:t xml:space="preserve"> </w:t>
      </w:r>
      <w:r w:rsidR="00903597" w:rsidRPr="007101FE">
        <w:rPr>
          <w:lang w:val="ru-RU"/>
        </w:rPr>
        <w:t>Обеспечить эффективные услуги протокола, связи и мобилизации ресурсов, касающиеся членов Союза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tcW w:w="4041" w:type="dxa"/>
            <w:vMerge w:val="restart"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E.3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264280" w:rsidRPr="007101FE">
              <w:rPr>
                <w:sz w:val="18"/>
                <w:szCs w:val="18"/>
                <w:lang w:val="ru-RU"/>
              </w:rPr>
              <w:t>Э</w:t>
            </w:r>
            <w:r w:rsidR="00903597" w:rsidRPr="007101FE">
              <w:rPr>
                <w:sz w:val="18"/>
                <w:szCs w:val="18"/>
                <w:lang w:val="ru-RU"/>
              </w:rPr>
              <w:t>ффективные услуги протокола, связи и мобилизации ресурсов, касающиеся членов Союза</w:t>
            </w:r>
          </w:p>
        </w:tc>
        <w:tc>
          <w:tcPr>
            <w:tcW w:w="7572" w:type="dxa"/>
          </w:tcPr>
          <w:p w:rsidR="004A12F8" w:rsidRPr="007101FE" w:rsidRDefault="0026428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Удовлетворенность </w:t>
            </w:r>
            <w:r w:rsidR="0014209D" w:rsidRPr="007101FE">
              <w:rPr>
                <w:sz w:val="18"/>
                <w:szCs w:val="18"/>
                <w:lang w:val="ru-RU"/>
              </w:rPr>
              <w:t>членов МСЭ: Члены Секторов, Ассоциированные члены и Академические организации:</w:t>
            </w:r>
          </w:p>
          <w:p w:rsidR="004A12F8" w:rsidRPr="007101FE" w:rsidRDefault="000234D7" w:rsidP="00AA03A6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264280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93% </w:t>
            </w:r>
            <w:r w:rsidR="00E408BE" w:rsidRPr="007101FE">
              <w:rPr>
                <w:i/>
                <w:iCs/>
                <w:sz w:val="18"/>
                <w:szCs w:val="18"/>
                <w:lang w:val="ru-RU"/>
              </w:rPr>
              <w:t>удовлетворены</w:t>
            </w:r>
            <w:r w:rsidR="00E408BE" w:rsidRPr="007101FE">
              <w:rPr>
                <w:sz w:val="18"/>
                <w:szCs w:val="18"/>
                <w:lang w:val="ru-RU"/>
              </w:rPr>
              <w:t>/</w:t>
            </w:r>
            <w:r w:rsidR="00E408BE" w:rsidRPr="007101FE">
              <w:rPr>
                <w:i/>
                <w:iCs/>
                <w:sz w:val="18"/>
                <w:szCs w:val="18"/>
                <w:lang w:val="ru-RU"/>
              </w:rPr>
              <w:t>весьма удовлетворены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7101FE" w:rsidRDefault="00E408BE" w:rsidP="00AA03A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 xml:space="preserve"> на 2020 г.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>&gt;90%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7101FE" w:rsidRDefault="00E408BE" w:rsidP="00390DC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</w:t>
            </w:r>
            <w:r w:rsidR="00390DC4" w:rsidRPr="007101FE">
              <w:rPr>
                <w:sz w:val="18"/>
                <w:szCs w:val="18"/>
                <w:lang w:val="ru-RU"/>
              </w:rPr>
              <w:t>бследование</w:t>
            </w:r>
            <w:r w:rsidRPr="007101FE">
              <w:rPr>
                <w:sz w:val="18"/>
                <w:szCs w:val="18"/>
                <w:lang w:val="ru-RU"/>
              </w:rPr>
              <w:t xml:space="preserve"> </w:t>
            </w:r>
            <w:r w:rsidR="0014209D" w:rsidRPr="007101FE">
              <w:rPr>
                <w:sz w:val="18"/>
                <w:szCs w:val="18"/>
                <w:lang w:val="ru-RU"/>
              </w:rPr>
              <w:t>членов МСЭ</w:t>
            </w:r>
          </w:p>
        </w:tc>
      </w:tr>
      <w:tr w:rsidR="000234D7" w:rsidRPr="007101FE" w:rsidTr="00DE6DE4">
        <w:tc>
          <w:tcPr>
            <w:tcW w:w="4041" w:type="dxa"/>
            <w:vMerge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7101FE" w:rsidRDefault="00F61B17" w:rsidP="004A12F8">
            <w:pPr>
              <w:keepNext/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Число</w:t>
            </w:r>
            <w:r w:rsidR="00E408BE" w:rsidRPr="007101FE">
              <w:rPr>
                <w:sz w:val="18"/>
                <w:szCs w:val="18"/>
                <w:lang w:val="ru-RU"/>
              </w:rPr>
              <w:t xml:space="preserve"> </w:t>
            </w:r>
            <w:r w:rsidR="00C4412A" w:rsidRPr="007101FE">
              <w:rPr>
                <w:sz w:val="18"/>
                <w:szCs w:val="18"/>
                <w:lang w:val="ru-RU"/>
              </w:rPr>
              <w:t>членов МСЭ:</w:t>
            </w:r>
          </w:p>
          <w:p w:rsidR="004A12F8" w:rsidRPr="007101FE" w:rsidRDefault="000234D7" w:rsidP="004A12F8">
            <w:pPr>
              <w:keepNext/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7101FE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: 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 xml:space="preserve">873 </w:t>
            </w:r>
            <w:r w:rsidR="00E408BE" w:rsidRPr="007101FE">
              <w:rPr>
                <w:i/>
                <w:iCs/>
                <w:sz w:val="18"/>
                <w:szCs w:val="18"/>
                <w:lang w:val="ru-RU"/>
              </w:rPr>
              <w:t>Член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>а</w:t>
            </w:r>
            <w:r w:rsidR="00E408BE" w:rsidRPr="007101FE">
              <w:rPr>
                <w:i/>
                <w:iCs/>
                <w:sz w:val="18"/>
                <w:szCs w:val="18"/>
                <w:lang w:val="ru-RU"/>
              </w:rPr>
              <w:t xml:space="preserve"> Секторов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, 16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>6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 xml:space="preserve"> Ассоциированных член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>ов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 xml:space="preserve"> и 8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t> </w:t>
            </w:r>
            <w:r w:rsidR="00E408BE" w:rsidRPr="007101FE">
              <w:rPr>
                <w:i/>
                <w:iCs/>
                <w:sz w:val="18"/>
                <w:szCs w:val="18"/>
                <w:lang w:val="ru-RU"/>
              </w:rPr>
              <w:t>Академических организаций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>всего 1126 членов;</w:t>
            </w:r>
          </w:p>
          <w:p w:rsidR="000234D7" w:rsidRPr="007101FE" w:rsidRDefault="00E408BE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ц</w:t>
            </w:r>
            <w:r w:rsidR="006D331D" w:rsidRPr="007101FE">
              <w:rPr>
                <w:i/>
                <w:iCs/>
                <w:sz w:val="18"/>
                <w:szCs w:val="18"/>
                <w:lang w:val="ru-RU"/>
              </w:rPr>
              <w:t>елевой показатель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на 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>2020</w:t>
            </w:r>
            <w:r w:rsidR="009F6FA8" w:rsidRPr="007101FE">
              <w:rPr>
                <w:i/>
                <w:iCs/>
                <w:sz w:val="18"/>
                <w:szCs w:val="18"/>
                <w:lang w:val="ru-RU"/>
              </w:rPr>
              <w:t> 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г.</w:t>
            </w:r>
            <w:r w:rsidR="000234D7" w:rsidRPr="007101FE">
              <w:rPr>
                <w:i/>
                <w:iCs/>
                <w:sz w:val="18"/>
                <w:szCs w:val="18"/>
                <w:lang w:val="ru-RU"/>
              </w:rPr>
              <w:t>: 15</w:t>
            </w:r>
            <w:r w:rsidR="000D7297" w:rsidRPr="007101FE">
              <w:rPr>
                <w:i/>
                <w:iCs/>
                <w:sz w:val="18"/>
                <w:szCs w:val="18"/>
                <w:lang w:val="ru-RU"/>
              </w:rPr>
              <w:noBreakHyphen/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процентный рост общего количества Членов</w:t>
            </w:r>
            <w:r w:rsidR="00C4412A" w:rsidRPr="007101FE">
              <w:rPr>
                <w:i/>
                <w:iCs/>
                <w:sz w:val="18"/>
                <w:szCs w:val="18"/>
                <w:lang w:val="ru-RU"/>
              </w:rPr>
              <w:t>; текущее состояние: увеличение на 3% в 2015 г. по сравнению с 2014 г.</w:t>
            </w:r>
          </w:p>
        </w:tc>
        <w:tc>
          <w:tcPr>
            <w:tcW w:w="2954" w:type="dxa"/>
          </w:tcPr>
          <w:p w:rsidR="000234D7" w:rsidRPr="007101FE" w:rsidRDefault="00E408BE" w:rsidP="00390DC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7101FE">
              <w:rPr>
                <w:sz w:val="18"/>
                <w:szCs w:val="18"/>
                <w:lang w:val="ru-RU"/>
              </w:rPr>
              <w:t>SPM</w:t>
            </w:r>
          </w:p>
        </w:tc>
      </w:tr>
      <w:tr w:rsidR="000234D7" w:rsidRPr="007101FE" w:rsidTr="00DE6DE4">
        <w:tc>
          <w:tcPr>
            <w:tcW w:w="4041" w:type="dxa"/>
            <w:vMerge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572" w:type="dxa"/>
          </w:tcPr>
          <w:p w:rsidR="004A12F8" w:rsidRPr="007101FE" w:rsidRDefault="007E62A9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Общий объем</w:t>
            </w:r>
            <w:r w:rsidR="00ED3AB0" w:rsidRPr="007101FE">
              <w:rPr>
                <w:sz w:val="18"/>
                <w:szCs w:val="18"/>
                <w:lang w:val="ru-RU"/>
              </w:rPr>
              <w:t xml:space="preserve"> доход</w:t>
            </w:r>
            <w:r w:rsidRPr="007101FE">
              <w:rPr>
                <w:sz w:val="18"/>
                <w:szCs w:val="18"/>
                <w:lang w:val="ru-RU"/>
              </w:rPr>
              <w:t xml:space="preserve">ов по </w:t>
            </w:r>
            <w:r w:rsidR="00251571" w:rsidRPr="007101FE">
              <w:rPr>
                <w:sz w:val="18"/>
                <w:szCs w:val="18"/>
                <w:lang w:val="ru-RU"/>
              </w:rPr>
              <w:t xml:space="preserve">категориям </w:t>
            </w:r>
            <w:r w:rsidRPr="007101FE">
              <w:rPr>
                <w:sz w:val="18"/>
                <w:szCs w:val="18"/>
                <w:lang w:val="ru-RU"/>
              </w:rPr>
              <w:t>Член</w:t>
            </w:r>
            <w:r w:rsidR="00251571" w:rsidRPr="007101FE">
              <w:rPr>
                <w:sz w:val="18"/>
                <w:szCs w:val="18"/>
                <w:lang w:val="ru-RU"/>
              </w:rPr>
              <w:t>ов С</w:t>
            </w:r>
            <w:r w:rsidRPr="007101FE">
              <w:rPr>
                <w:sz w:val="18"/>
                <w:szCs w:val="18"/>
                <w:lang w:val="ru-RU"/>
              </w:rPr>
              <w:t>екторов, Ассоциированны</w:t>
            </w:r>
            <w:r w:rsidR="00251571" w:rsidRPr="007101FE">
              <w:rPr>
                <w:sz w:val="18"/>
                <w:szCs w:val="18"/>
                <w:lang w:val="ru-RU"/>
              </w:rPr>
              <w:t>х</w:t>
            </w:r>
            <w:r w:rsidRPr="007101FE">
              <w:rPr>
                <w:sz w:val="18"/>
                <w:szCs w:val="18"/>
                <w:lang w:val="ru-RU"/>
              </w:rPr>
              <w:t xml:space="preserve"> член</w:t>
            </w:r>
            <w:r w:rsidR="00251571" w:rsidRPr="007101FE">
              <w:rPr>
                <w:sz w:val="18"/>
                <w:szCs w:val="18"/>
                <w:lang w:val="ru-RU"/>
              </w:rPr>
              <w:t>ов</w:t>
            </w:r>
            <w:r w:rsidRPr="007101FE">
              <w:rPr>
                <w:sz w:val="18"/>
                <w:szCs w:val="18"/>
                <w:lang w:val="ru-RU"/>
              </w:rPr>
              <w:t xml:space="preserve"> и Академически</w:t>
            </w:r>
            <w:r w:rsidR="00251571" w:rsidRPr="007101FE">
              <w:rPr>
                <w:sz w:val="18"/>
                <w:szCs w:val="18"/>
                <w:lang w:val="ru-RU"/>
              </w:rPr>
              <w:t>х</w:t>
            </w:r>
            <w:r w:rsidRPr="007101FE">
              <w:rPr>
                <w:sz w:val="18"/>
                <w:szCs w:val="18"/>
                <w:lang w:val="ru-RU"/>
              </w:rPr>
              <w:t xml:space="preserve"> организаци</w:t>
            </w:r>
            <w:r w:rsidR="00251571" w:rsidRPr="007101FE">
              <w:rPr>
                <w:sz w:val="18"/>
                <w:szCs w:val="18"/>
                <w:lang w:val="ru-RU"/>
              </w:rPr>
              <w:t>й</w:t>
            </w:r>
            <w:r w:rsidRPr="007101FE">
              <w:rPr>
                <w:sz w:val="18"/>
                <w:szCs w:val="18"/>
                <w:lang w:val="ru-RU"/>
              </w:rPr>
              <w:t>:</w:t>
            </w:r>
          </w:p>
          <w:p w:rsidR="005E37F3" w:rsidRPr="007101FE" w:rsidRDefault="006E7B39" w:rsidP="006E7B39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 г.: 16,8 млн. шв. фр.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br/>
            </w:r>
            <w:r w:rsidR="005E37F3" w:rsidRPr="007101FE">
              <w:rPr>
                <w:i/>
                <w:iCs/>
                <w:sz w:val="18"/>
                <w:szCs w:val="18"/>
                <w:lang w:val="ru-RU"/>
              </w:rPr>
              <w:t>201</w:t>
            </w:r>
            <w:r w:rsidR="00AA03A6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5E37F3" w:rsidRPr="007101FE">
              <w:rPr>
                <w:i/>
                <w:iCs/>
                <w:sz w:val="18"/>
                <w:szCs w:val="18"/>
                <w:lang w:val="ru-RU"/>
              </w:rPr>
              <w:t xml:space="preserve"> г.: </w:t>
            </w:r>
            <w:r w:rsidR="00390DC4" w:rsidRPr="007101FE">
              <w:rPr>
                <w:i/>
                <w:iCs/>
                <w:sz w:val="18"/>
                <w:szCs w:val="18"/>
                <w:lang w:val="ru-RU"/>
              </w:rPr>
              <w:t>будет подтверждено дополнительно</w:t>
            </w:r>
          </w:p>
          <w:p w:rsidR="005E37F3" w:rsidRPr="007101FE" w:rsidRDefault="007E62A9" w:rsidP="00AA03A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Общий объем доходов Союза:</w:t>
            </w:r>
            <w:r w:rsidR="00AA03A6" w:rsidRPr="007101FE">
              <w:rPr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2014 г.: 158,4 млн. шв. фр.</w:t>
            </w:r>
          </w:p>
        </w:tc>
        <w:tc>
          <w:tcPr>
            <w:tcW w:w="2954" w:type="dxa"/>
          </w:tcPr>
          <w:p w:rsidR="000234D7" w:rsidRPr="007101FE" w:rsidRDefault="00ED3AB0" w:rsidP="00390DC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7101FE">
              <w:rPr>
                <w:sz w:val="18"/>
                <w:szCs w:val="18"/>
                <w:lang w:val="ru-RU"/>
              </w:rPr>
              <w:t>FMRD</w:t>
            </w:r>
          </w:p>
        </w:tc>
      </w:tr>
    </w:tbl>
    <w:p w:rsidR="000234D7" w:rsidRPr="007101FE" w:rsidRDefault="00AA03A6" w:rsidP="0066342C">
      <w:pPr>
        <w:pStyle w:val="Heading2"/>
        <w:spacing w:before="240" w:after="120"/>
        <w:rPr>
          <w:lang w:val="ru-RU"/>
        </w:rPr>
      </w:pPr>
      <w:r w:rsidRPr="007101FE">
        <w:rPr>
          <w:lang w:val="ru-RU"/>
        </w:rPr>
        <w:t>4</w:t>
      </w:r>
      <w:r w:rsidR="009F6FA8" w:rsidRPr="007101FE">
        <w:rPr>
          <w:lang w:val="ru-RU"/>
        </w:rPr>
        <w:t>.4</w:t>
      </w:r>
      <w:r w:rsidR="009F6FA8" w:rsidRPr="007101FE">
        <w:rPr>
          <w:lang w:val="ru-RU"/>
        </w:rPr>
        <w:tab/>
      </w:r>
      <w:r w:rsidR="000234D7" w:rsidRPr="007101FE">
        <w:rPr>
          <w:lang w:val="ru-RU"/>
        </w:rPr>
        <w:t>E.4</w:t>
      </w:r>
      <w:r w:rsidR="00C21893" w:rsidRPr="007101FE">
        <w:rPr>
          <w:lang w:val="ru-RU"/>
        </w:rPr>
        <w:t>:</w:t>
      </w:r>
      <w:r w:rsidR="000234D7" w:rsidRPr="007101FE">
        <w:rPr>
          <w:lang w:val="ru-RU"/>
        </w:rPr>
        <w:t xml:space="preserve"> </w:t>
      </w:r>
      <w:r w:rsidR="00903597" w:rsidRPr="007101FE">
        <w:rPr>
          <w:lang w:val="ru-RU"/>
        </w:rPr>
        <w:t>Обеспечить эффективное планирование, координацию и выполнение стратегического плана и оперативных планов Союза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4041"/>
        <w:gridCol w:w="7572"/>
        <w:gridCol w:w="2954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5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4C277B" w:rsidTr="00DE6DE4">
        <w:tc>
          <w:tcPr>
            <w:tcW w:w="4041" w:type="dxa"/>
          </w:tcPr>
          <w:p w:rsidR="000234D7" w:rsidRPr="007101FE" w:rsidRDefault="000234D7" w:rsidP="00390DC4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E.4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ED3AB0" w:rsidRPr="007101FE">
              <w:rPr>
                <w:sz w:val="18"/>
                <w:szCs w:val="18"/>
                <w:lang w:val="ru-RU"/>
              </w:rPr>
              <w:t>Э</w:t>
            </w:r>
            <w:r w:rsidR="00903597" w:rsidRPr="007101FE">
              <w:rPr>
                <w:sz w:val="18"/>
                <w:szCs w:val="18"/>
                <w:lang w:val="ru-RU"/>
              </w:rPr>
              <w:t>ффек</w:t>
            </w:r>
            <w:r w:rsidR="00ED3AB0" w:rsidRPr="007101FE">
              <w:rPr>
                <w:sz w:val="18"/>
                <w:szCs w:val="18"/>
                <w:lang w:val="ru-RU"/>
              </w:rPr>
              <w:t>тивное планирование, координация</w:t>
            </w:r>
            <w:r w:rsidR="00903597" w:rsidRPr="007101FE">
              <w:rPr>
                <w:sz w:val="18"/>
                <w:szCs w:val="18"/>
                <w:lang w:val="ru-RU"/>
              </w:rPr>
              <w:t xml:space="preserve"> и выполнение </w:t>
            </w:r>
            <w:r w:rsidR="00390DC4" w:rsidRPr="007101FE">
              <w:rPr>
                <w:sz w:val="18"/>
                <w:szCs w:val="18"/>
                <w:lang w:val="ru-RU"/>
              </w:rPr>
              <w:t>С</w:t>
            </w:r>
            <w:r w:rsidR="00903597" w:rsidRPr="007101FE">
              <w:rPr>
                <w:sz w:val="18"/>
                <w:szCs w:val="18"/>
                <w:lang w:val="ru-RU"/>
              </w:rPr>
              <w:t>тратегического плана и оперативных планов Союза</w:t>
            </w:r>
          </w:p>
        </w:tc>
        <w:tc>
          <w:tcPr>
            <w:tcW w:w="7572" w:type="dxa"/>
          </w:tcPr>
          <w:p w:rsidR="004A12F8" w:rsidRPr="007101FE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Процент достигнутых или достигаемых в соответствии с планом ц</w:t>
            </w:r>
            <w:r w:rsidR="006D331D" w:rsidRPr="007101FE">
              <w:rPr>
                <w:sz w:val="18"/>
                <w:szCs w:val="18"/>
                <w:lang w:val="ru-RU"/>
              </w:rPr>
              <w:t>елев</w:t>
            </w:r>
            <w:r w:rsidRPr="007101FE">
              <w:rPr>
                <w:sz w:val="18"/>
                <w:szCs w:val="18"/>
                <w:lang w:val="ru-RU"/>
              </w:rPr>
              <w:t>ых</w:t>
            </w:r>
            <w:r w:rsidR="006D331D" w:rsidRPr="007101FE">
              <w:rPr>
                <w:sz w:val="18"/>
                <w:szCs w:val="18"/>
                <w:lang w:val="ru-RU"/>
              </w:rPr>
              <w:t xml:space="preserve"> показател</w:t>
            </w:r>
            <w:r w:rsidRPr="007101FE">
              <w:rPr>
                <w:sz w:val="18"/>
                <w:szCs w:val="18"/>
                <w:lang w:val="ru-RU"/>
              </w:rPr>
              <w:t>ей</w:t>
            </w:r>
            <w:r w:rsidR="000234D7" w:rsidRPr="007101FE">
              <w:rPr>
                <w:sz w:val="18"/>
                <w:szCs w:val="18"/>
                <w:lang w:val="ru-RU"/>
              </w:rPr>
              <w:t>/</w:t>
            </w:r>
            <w:r w:rsidRPr="007101FE">
              <w:rPr>
                <w:sz w:val="18"/>
                <w:szCs w:val="18"/>
                <w:lang w:val="ru-RU"/>
              </w:rPr>
              <w:t>к</w:t>
            </w:r>
            <w:r w:rsidR="00675E8F" w:rsidRPr="007101FE">
              <w:rPr>
                <w:sz w:val="18"/>
                <w:szCs w:val="18"/>
                <w:lang w:val="ru-RU"/>
              </w:rPr>
              <w:t>онечны</w:t>
            </w:r>
            <w:r w:rsidRPr="007101FE">
              <w:rPr>
                <w:sz w:val="18"/>
                <w:szCs w:val="18"/>
                <w:lang w:val="ru-RU"/>
              </w:rPr>
              <w:t>х</w:t>
            </w:r>
            <w:r w:rsidR="00675E8F" w:rsidRPr="007101FE">
              <w:rPr>
                <w:sz w:val="18"/>
                <w:szCs w:val="18"/>
                <w:lang w:val="ru-RU"/>
              </w:rPr>
              <w:t xml:space="preserve"> результа</w:t>
            </w:r>
            <w:r w:rsidRPr="007101FE">
              <w:rPr>
                <w:sz w:val="18"/>
                <w:szCs w:val="18"/>
                <w:lang w:val="ru-RU"/>
              </w:rPr>
              <w:t>тов</w:t>
            </w:r>
            <w:r w:rsidR="007E62A9" w:rsidRPr="007101FE">
              <w:rPr>
                <w:sz w:val="18"/>
                <w:szCs w:val="18"/>
                <w:lang w:val="ru-RU"/>
              </w:rPr>
              <w:t>:</w:t>
            </w:r>
          </w:p>
          <w:p w:rsidR="007E62A9" w:rsidRPr="007101FE" w:rsidRDefault="007E62A9" w:rsidP="00AA03A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к концу 2015 год</w:t>
            </w:r>
            <w:r w:rsidR="00251571" w:rsidRPr="007101FE">
              <w:rPr>
                <w:i/>
                <w:iCs/>
                <w:sz w:val="18"/>
                <w:szCs w:val="18"/>
                <w:lang w:val="ru-RU"/>
              </w:rPr>
              <w:t>а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в соответствии с планом намечено дости</w:t>
            </w:r>
            <w:r w:rsidR="004345D8" w:rsidRPr="007101FE">
              <w:rPr>
                <w:i/>
                <w:iCs/>
                <w:sz w:val="18"/>
                <w:szCs w:val="18"/>
                <w:lang w:val="ru-RU"/>
              </w:rPr>
              <w:t>ч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 xml:space="preserve">ь </w:t>
            </w:r>
            <w:r w:rsidR="00251571" w:rsidRPr="007101FE">
              <w:rPr>
                <w:i/>
                <w:iCs/>
                <w:sz w:val="18"/>
                <w:szCs w:val="18"/>
                <w:lang w:val="ru-RU"/>
              </w:rPr>
              <w:t xml:space="preserve">около </w:t>
            </w:r>
            <w:r w:rsidR="005E37F3" w:rsidRPr="007101FE">
              <w:rPr>
                <w:i/>
                <w:iCs/>
                <w:sz w:val="18"/>
                <w:szCs w:val="18"/>
                <w:lang w:val="ru-RU"/>
              </w:rPr>
              <w:t>58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% 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 xml:space="preserve">измеряемых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целевы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х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показател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ей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повестки дня "Соединим к 2020 году"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 xml:space="preserve">, </w:t>
            </w:r>
            <w:r w:rsidR="00AA03A6" w:rsidRPr="007101FE">
              <w:rPr>
                <w:i/>
                <w:iCs/>
                <w:sz w:val="18"/>
                <w:szCs w:val="18"/>
                <w:lang w:val="ru-RU"/>
              </w:rPr>
              <w:t>2017 г.: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AA03A6" w:rsidRPr="007101FE">
              <w:rPr>
                <w:i/>
                <w:iCs/>
                <w:sz w:val="20"/>
                <w:szCs w:val="20"/>
                <w:lang w:val="ru-RU"/>
              </w:rPr>
              <w:t>~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>64%</w:t>
            </w:r>
            <w:r w:rsidR="00251571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54" w:type="dxa"/>
          </w:tcPr>
          <w:p w:rsidR="000234D7" w:rsidRPr="007101FE" w:rsidRDefault="00ED3AB0" w:rsidP="00390DC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Отчет о выполнении Стратегического плана</w:t>
            </w:r>
            <w:r w:rsidR="000234D7" w:rsidRPr="007101FE">
              <w:rPr>
                <w:sz w:val="18"/>
                <w:szCs w:val="18"/>
                <w:lang w:val="ru-RU"/>
              </w:rPr>
              <w:t>/</w:t>
            </w: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7101FE">
              <w:rPr>
                <w:sz w:val="18"/>
                <w:szCs w:val="18"/>
                <w:lang w:val="ru-RU"/>
              </w:rPr>
              <w:t>SPM</w:t>
            </w:r>
          </w:p>
        </w:tc>
      </w:tr>
    </w:tbl>
    <w:p w:rsidR="000234D7" w:rsidRPr="007101FE" w:rsidRDefault="00AA03A6" w:rsidP="0066342C">
      <w:pPr>
        <w:pStyle w:val="Heading2"/>
        <w:spacing w:before="240" w:after="120"/>
        <w:rPr>
          <w:lang w:val="ru-RU"/>
        </w:rPr>
      </w:pPr>
      <w:r w:rsidRPr="007101FE">
        <w:rPr>
          <w:lang w:val="ru-RU"/>
        </w:rPr>
        <w:t>4</w:t>
      </w:r>
      <w:r w:rsidR="00C21893" w:rsidRPr="007101FE">
        <w:rPr>
          <w:lang w:val="ru-RU"/>
        </w:rPr>
        <w:t>.5</w:t>
      </w:r>
      <w:r w:rsidR="00C21893" w:rsidRPr="007101FE">
        <w:rPr>
          <w:lang w:val="ru-RU"/>
        </w:rPr>
        <w:tab/>
      </w:r>
      <w:r w:rsidR="000234D7" w:rsidRPr="007101FE">
        <w:rPr>
          <w:lang w:val="ru-RU"/>
        </w:rPr>
        <w:t>E.5</w:t>
      </w:r>
      <w:r w:rsidR="00C21893" w:rsidRPr="007101FE">
        <w:rPr>
          <w:lang w:val="ru-RU"/>
        </w:rPr>
        <w:t xml:space="preserve">: </w:t>
      </w:r>
      <w:r w:rsidR="00903597" w:rsidRPr="007101FE">
        <w:rPr>
          <w:lang w:val="ru-RU"/>
        </w:rPr>
        <w:t>Обеспечить эффективное и действенное управление организацией (внутреннее и внешнее)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4041"/>
        <w:gridCol w:w="7614"/>
        <w:gridCol w:w="2912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tcW w:w="4041" w:type="dxa"/>
            <w:vMerge w:val="restart"/>
            <w:shd w:val="clear" w:color="auto" w:fill="auto"/>
          </w:tcPr>
          <w:p w:rsidR="000234D7" w:rsidRPr="007101FE" w:rsidRDefault="000234D7" w:rsidP="00BA6A1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E.5</w:t>
            </w:r>
            <w:r w:rsidRPr="007101FE">
              <w:rPr>
                <w:sz w:val="18"/>
                <w:szCs w:val="18"/>
                <w:lang w:val="ru-RU"/>
              </w:rPr>
              <w:t xml:space="preserve">: </w:t>
            </w:r>
            <w:r w:rsidR="00ED3AB0" w:rsidRPr="007101FE">
              <w:rPr>
                <w:sz w:val="18"/>
                <w:szCs w:val="18"/>
                <w:lang w:val="ru-RU"/>
              </w:rPr>
              <w:t>Э</w:t>
            </w:r>
            <w:r w:rsidR="00903597" w:rsidRPr="007101FE">
              <w:rPr>
                <w:sz w:val="18"/>
                <w:szCs w:val="18"/>
                <w:lang w:val="ru-RU"/>
              </w:rPr>
              <w:t>ффективное и действенное управление организацией (внутреннее и внешнее)</w:t>
            </w:r>
          </w:p>
        </w:tc>
        <w:tc>
          <w:tcPr>
            <w:tcW w:w="7614" w:type="dxa"/>
          </w:tcPr>
          <w:p w:rsidR="004A12F8" w:rsidRPr="007101FE" w:rsidRDefault="00ED3AB0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Уровень выполнения решений руководящих органов</w:t>
            </w:r>
            <w:r w:rsidR="0099531A" w:rsidRPr="007101FE">
              <w:rPr>
                <w:sz w:val="18"/>
                <w:szCs w:val="18"/>
                <w:lang w:val="ru-RU"/>
              </w:rPr>
              <w:t>:</w:t>
            </w:r>
          </w:p>
          <w:p w:rsidR="0099531A" w:rsidRPr="007101FE" w:rsidRDefault="0099531A" w:rsidP="00BB582B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2015 г.: 97,0%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>; 2016 г.: 100%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(целевой показатель </w:t>
            </w:r>
            <w:r w:rsidR="00251571" w:rsidRPr="007101FE">
              <w:rPr>
                <w:i/>
                <w:iCs/>
                <w:sz w:val="18"/>
                <w:szCs w:val="18"/>
                <w:lang w:val="ru-RU"/>
              </w:rPr>
              <w:t>на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каждый год: 100%)</w:t>
            </w:r>
            <w:r w:rsidR="00251571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0234D7" w:rsidRPr="007101FE" w:rsidRDefault="00AA03A6" w:rsidP="00AA03A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совокупный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: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2015 г.: 55,0%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 xml:space="preserve">2016 г.: 65% 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(целевой показатель к ПК-18: 100%)</w:t>
            </w:r>
            <w:r w:rsidR="00251571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  <w:r w:rsidR="0099531A" w:rsidRPr="007101F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12" w:type="dxa"/>
          </w:tcPr>
          <w:p w:rsidR="000234D7" w:rsidRPr="007101FE" w:rsidRDefault="00ED3AB0" w:rsidP="00E615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7101FE">
              <w:rPr>
                <w:sz w:val="18"/>
                <w:szCs w:val="18"/>
                <w:lang w:val="ru-RU"/>
              </w:rPr>
              <w:t>SPM</w:t>
            </w:r>
          </w:p>
        </w:tc>
      </w:tr>
      <w:tr w:rsidR="000234D7" w:rsidRPr="007101FE" w:rsidTr="00DE6DE4">
        <w:tc>
          <w:tcPr>
            <w:tcW w:w="4041" w:type="dxa"/>
            <w:vMerge/>
            <w:shd w:val="clear" w:color="auto" w:fill="auto"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</w:p>
        </w:tc>
        <w:tc>
          <w:tcPr>
            <w:tcW w:w="7614" w:type="dxa"/>
          </w:tcPr>
          <w:p w:rsidR="004A12F8" w:rsidRPr="007101FE" w:rsidRDefault="0099531A" w:rsidP="004A12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З</w:t>
            </w:r>
            <w:r w:rsidR="00ED3AB0" w:rsidRPr="007101FE">
              <w:rPr>
                <w:sz w:val="18"/>
                <w:szCs w:val="18"/>
                <w:lang w:val="ru-RU"/>
              </w:rPr>
              <w:t xml:space="preserve">аключения и рекомендации по результатам </w:t>
            </w:r>
            <w:r w:rsidRPr="007101FE">
              <w:rPr>
                <w:sz w:val="18"/>
                <w:szCs w:val="18"/>
                <w:lang w:val="ru-RU"/>
              </w:rPr>
              <w:t xml:space="preserve">внутреннего </w:t>
            </w:r>
            <w:r w:rsidR="00ED3AB0" w:rsidRPr="007101FE">
              <w:rPr>
                <w:sz w:val="18"/>
                <w:szCs w:val="18"/>
                <w:lang w:val="ru-RU"/>
              </w:rPr>
              <w:t>аудита</w:t>
            </w:r>
            <w:r w:rsidRPr="007101FE">
              <w:rPr>
                <w:sz w:val="18"/>
                <w:szCs w:val="18"/>
                <w:lang w:val="ru-RU"/>
              </w:rPr>
              <w:t>:</w:t>
            </w:r>
          </w:p>
          <w:p w:rsidR="00BB582B" w:rsidRPr="007101FE" w:rsidRDefault="00E13408" w:rsidP="00AA03A6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процент 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рекомендаций внутреннего аудита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>:</w:t>
            </w:r>
            <w:r w:rsidR="00AA03A6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 xml:space="preserve">в 2015 г.: выполняется – </w:t>
            </w:r>
            <w:r w:rsidR="00AA03A6" w:rsidRPr="007101FE">
              <w:rPr>
                <w:i/>
                <w:iCs/>
                <w:sz w:val="18"/>
                <w:szCs w:val="18"/>
                <w:lang w:val="ru-RU"/>
              </w:rPr>
              <w:t>18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 xml:space="preserve">%; выполнено – </w:t>
            </w:r>
            <w:r w:rsidR="00AA03A6" w:rsidRPr="007101FE">
              <w:rPr>
                <w:i/>
                <w:iCs/>
                <w:sz w:val="18"/>
                <w:szCs w:val="18"/>
                <w:lang w:val="ru-RU"/>
              </w:rPr>
              <w:t>82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 xml:space="preserve">%; выполнение задержано – </w:t>
            </w:r>
            <w:r w:rsidR="00BB582B" w:rsidRPr="007101FE">
              <w:rPr>
                <w:i/>
                <w:iCs/>
                <w:sz w:val="18"/>
                <w:szCs w:val="18"/>
                <w:lang w:val="ru-RU"/>
              </w:rPr>
              <w:t>0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%</w:t>
            </w:r>
            <w:r w:rsidR="00AA03A6" w:rsidRPr="007101FE">
              <w:rPr>
                <w:sz w:val="18"/>
                <w:szCs w:val="18"/>
                <w:lang w:val="ru-RU"/>
              </w:rPr>
              <w:t>;</w:t>
            </w:r>
          </w:p>
          <w:p w:rsidR="000234D7" w:rsidRPr="007101FE" w:rsidRDefault="00BB582B" w:rsidP="00AA03A6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</w:t>
            </w:r>
            <w:r w:rsidR="00AA03A6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г.: выполняется – </w:t>
            </w:r>
            <w:r w:rsidR="00AA03A6" w:rsidRPr="007101FE">
              <w:rPr>
                <w:i/>
                <w:iCs/>
                <w:sz w:val="18"/>
                <w:szCs w:val="18"/>
                <w:lang w:val="ru-RU"/>
              </w:rPr>
              <w:t>100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%; выполнено – 0%; выполнение задержано – 0%</w:t>
            </w:r>
            <w:r w:rsidR="0099531A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912" w:type="dxa"/>
          </w:tcPr>
          <w:p w:rsidR="000234D7" w:rsidRPr="007101FE" w:rsidRDefault="00ED3AB0" w:rsidP="00E615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Данные</w:t>
            </w:r>
            <w:r w:rsidR="00405622" w:rsidRPr="007101FE">
              <w:rPr>
                <w:sz w:val="18"/>
                <w:szCs w:val="18"/>
                <w:lang w:val="ru-RU"/>
              </w:rPr>
              <w:t xml:space="preserve"> </w:t>
            </w:r>
            <w:r w:rsidR="007739B5" w:rsidRPr="007101FE">
              <w:rPr>
                <w:sz w:val="18"/>
                <w:szCs w:val="18"/>
                <w:lang w:val="ru-RU"/>
              </w:rPr>
              <w:t xml:space="preserve">внутреннего </w:t>
            </w:r>
            <w:r w:rsidRPr="007101FE">
              <w:rPr>
                <w:sz w:val="18"/>
                <w:szCs w:val="18"/>
                <w:lang w:val="ru-RU"/>
              </w:rPr>
              <w:t>аудита</w:t>
            </w:r>
          </w:p>
        </w:tc>
      </w:tr>
    </w:tbl>
    <w:p w:rsidR="000234D7" w:rsidRPr="007101FE" w:rsidRDefault="00AA03A6" w:rsidP="00F215D1">
      <w:pPr>
        <w:pStyle w:val="Heading1"/>
        <w:pageBreakBefore/>
        <w:rPr>
          <w:lang w:val="ru-RU"/>
        </w:rPr>
      </w:pPr>
      <w:r w:rsidRPr="007101FE">
        <w:rPr>
          <w:lang w:val="ru-RU"/>
        </w:rPr>
        <w:t>5</w:t>
      </w:r>
      <w:r w:rsidR="00C21893" w:rsidRPr="007101FE">
        <w:rPr>
          <w:lang w:val="ru-RU"/>
        </w:rPr>
        <w:tab/>
      </w:r>
      <w:r w:rsidR="00ED3AB0" w:rsidRPr="007101FE">
        <w:rPr>
          <w:lang w:val="ru-RU"/>
        </w:rPr>
        <w:t>Межсекторальные задачи</w:t>
      </w:r>
      <w:r w:rsidR="000234D7" w:rsidRPr="007101FE">
        <w:rPr>
          <w:lang w:val="ru-RU"/>
        </w:rPr>
        <w:t xml:space="preserve">, </w:t>
      </w:r>
      <w:r w:rsidR="00ED3AB0" w:rsidRPr="007101FE">
        <w:rPr>
          <w:lang w:val="ru-RU"/>
        </w:rPr>
        <w:t>конечные</w:t>
      </w:r>
      <w:r w:rsidR="00675E8F" w:rsidRPr="007101FE">
        <w:rPr>
          <w:lang w:val="ru-RU"/>
        </w:rPr>
        <w:t xml:space="preserve"> результат</w:t>
      </w:r>
      <w:r w:rsidR="00ED3AB0" w:rsidRPr="007101FE">
        <w:rPr>
          <w:lang w:val="ru-RU"/>
        </w:rPr>
        <w:t>ы и намеченные</w:t>
      </w:r>
      <w:r w:rsidR="00675E8F" w:rsidRPr="007101FE">
        <w:rPr>
          <w:lang w:val="ru-RU"/>
        </w:rPr>
        <w:t xml:space="preserve"> результат</w:t>
      </w:r>
      <w:r w:rsidR="00ED3AB0" w:rsidRPr="007101FE">
        <w:rPr>
          <w:lang w:val="ru-RU"/>
        </w:rPr>
        <w:t>ы</w:t>
      </w:r>
      <w:r w:rsidR="00675E8F" w:rsidRPr="007101FE">
        <w:rPr>
          <w:lang w:val="ru-RU"/>
        </w:rPr>
        <w:t xml:space="preserve"> деятельности</w:t>
      </w:r>
    </w:p>
    <w:p w:rsidR="000234D7" w:rsidRPr="007101FE" w:rsidRDefault="00131052" w:rsidP="009930A2">
      <w:pPr>
        <w:pStyle w:val="Heading2"/>
        <w:spacing w:before="240" w:after="120"/>
        <w:rPr>
          <w:lang w:val="ru-RU"/>
        </w:rPr>
      </w:pPr>
      <w:r w:rsidRPr="007101FE">
        <w:rPr>
          <w:lang w:val="ru-RU"/>
        </w:rPr>
        <w:t>5</w:t>
      </w:r>
      <w:r w:rsidR="0003145B" w:rsidRPr="007101FE">
        <w:rPr>
          <w:lang w:val="ru-RU"/>
        </w:rPr>
        <w:t>.1</w:t>
      </w:r>
      <w:r w:rsidR="0003145B" w:rsidRPr="007101FE">
        <w:rPr>
          <w:lang w:val="ru-RU"/>
        </w:rPr>
        <w:tab/>
      </w:r>
      <w:r w:rsidR="000234D7" w:rsidRPr="007101FE">
        <w:rPr>
          <w:lang w:val="ru-RU"/>
        </w:rPr>
        <w:t>I.1</w:t>
      </w:r>
      <w:r w:rsidR="0003145B" w:rsidRPr="007101FE">
        <w:rPr>
          <w:lang w:val="ru-RU"/>
        </w:rPr>
        <w:t xml:space="preserve">: </w:t>
      </w:r>
      <w:r w:rsidR="00903597" w:rsidRPr="007101FE">
        <w:rPr>
          <w:lang w:val="ru-RU"/>
        </w:rPr>
        <w:t>Способствовать диалогу на международном уровне между заинтересованными сторонами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405622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7739B5" w:rsidRPr="007101FE" w:rsidTr="00DE6DE4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7739B5" w:rsidRPr="007101FE" w:rsidRDefault="007739B5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642" w:type="dxa"/>
            <w:shd w:val="clear" w:color="auto" w:fill="auto"/>
          </w:tcPr>
          <w:p w:rsidR="004A12F8" w:rsidRPr="007101FE" w:rsidRDefault="007739B5" w:rsidP="006E7B3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Количество представленных стран/заинтересованных сторон/уровень представленности (процесс ВВУИО/Telecom)</w:t>
            </w:r>
            <w:r w:rsidR="00131052" w:rsidRPr="007101FE">
              <w:rPr>
                <w:sz w:val="18"/>
                <w:szCs w:val="18"/>
                <w:lang w:val="ru-RU"/>
              </w:rPr>
              <w:t xml:space="preserve"> (2017 г.</w:t>
            </w:r>
            <w:r w:rsidR="00E615F8" w:rsidRPr="007101FE">
              <w:rPr>
                <w:sz w:val="18"/>
                <w:szCs w:val="18"/>
                <w:lang w:val="ru-RU"/>
              </w:rPr>
              <w:t>:</w:t>
            </w:r>
            <w:r w:rsidR="00131052" w:rsidRPr="007101FE">
              <w:rPr>
                <w:sz w:val="18"/>
                <w:szCs w:val="18"/>
                <w:lang w:val="ru-RU"/>
              </w:rPr>
              <w:t xml:space="preserve"> </w:t>
            </w:r>
            <w:r w:rsidR="00E615F8"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6E7B39" w:rsidRPr="007101FE">
              <w:rPr>
                <w:sz w:val="18"/>
                <w:szCs w:val="18"/>
                <w:lang w:val="ru-RU"/>
              </w:rPr>
              <w:t>будут подтверждены дополнительно</w:t>
            </w:r>
            <w:r w:rsidR="00131052" w:rsidRPr="007101FE">
              <w:rPr>
                <w:sz w:val="18"/>
                <w:szCs w:val="18"/>
                <w:lang w:val="ru-RU"/>
              </w:rPr>
              <w:t>)</w:t>
            </w:r>
            <w:r w:rsidRPr="007101FE">
              <w:rPr>
                <w:sz w:val="18"/>
                <w:szCs w:val="18"/>
                <w:lang w:val="ru-RU"/>
              </w:rPr>
              <w:t>:</w:t>
            </w:r>
            <w:r w:rsidR="00131052" w:rsidRPr="007101FE">
              <w:rPr>
                <w:sz w:val="18"/>
                <w:szCs w:val="18"/>
                <w:lang w:val="ru-RU"/>
              </w:rPr>
              <w:t xml:space="preserve"> 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стран на мероприятиях, связанных с ВВУИО: 2014 г.: 140; </w:t>
            </w:r>
            <w:r w:rsidR="003C3A90" w:rsidRPr="007101FE">
              <w:rPr>
                <w:i/>
                <w:iCs/>
                <w:sz w:val="18"/>
                <w:szCs w:val="18"/>
                <w:lang w:val="ru-RU"/>
              </w:rPr>
              <w:t>201</w:t>
            </w:r>
            <w:r w:rsidR="00131052" w:rsidRPr="007101FE">
              <w:rPr>
                <w:i/>
                <w:iCs/>
                <w:sz w:val="18"/>
                <w:szCs w:val="18"/>
                <w:lang w:val="ru-RU"/>
              </w:rPr>
              <w:t>7</w:t>
            </w:r>
            <w:r w:rsidR="003C3A90" w:rsidRPr="007101FE">
              <w:rPr>
                <w:i/>
                <w:iCs/>
                <w:sz w:val="18"/>
                <w:szCs w:val="18"/>
                <w:lang w:val="ru-RU"/>
              </w:rPr>
              <w:t xml:space="preserve"> г.: 150;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 целевой показатель на 2020 г.: 160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>;</w:t>
            </w:r>
          </w:p>
          <w:p w:rsidR="004A12F8" w:rsidRPr="007101FE" w:rsidRDefault="00E13408" w:rsidP="0013105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количество </w:t>
            </w:r>
            <w:r w:rsidR="007739B5" w:rsidRPr="007101FE">
              <w:rPr>
                <w:i/>
                <w:iCs/>
                <w:sz w:val="18"/>
                <w:szCs w:val="18"/>
                <w:lang w:val="ru-RU"/>
              </w:rPr>
              <w:t xml:space="preserve">стран на мероприятиях </w:t>
            </w:r>
            <w:r w:rsidR="007739B5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>Telecom: 2014 г.: 111</w:t>
            </w:r>
            <w:r w:rsidR="00131052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  <w:r w:rsidR="007739B5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131052" w:rsidRPr="007101FE">
              <w:rPr>
                <w:i/>
                <w:iCs/>
                <w:sz w:val="18"/>
                <w:szCs w:val="18"/>
                <w:lang w:val="ru-RU"/>
              </w:rPr>
              <w:t>2017 г.: 126</w:t>
            </w:r>
            <w:r w:rsidR="003C3A90" w:rsidRPr="007101FE">
              <w:rPr>
                <w:i/>
                <w:iCs/>
                <w:sz w:val="18"/>
                <w:szCs w:val="18"/>
                <w:lang w:val="ru-RU"/>
              </w:rPr>
              <w:t xml:space="preserve">; </w:t>
            </w:r>
            <w:r w:rsidR="007739B5" w:rsidRPr="007101FE">
              <w:rPr>
                <w:i/>
                <w:iCs/>
                <w:sz w:val="18"/>
                <w:szCs w:val="18"/>
                <w:lang w:val="ru-RU"/>
              </w:rPr>
              <w:t>целевой показатель на 2020 г.:</w:t>
            </w:r>
            <w:r w:rsidR="007739B5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170</w:t>
            </w:r>
            <w:r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>;</w:t>
            </w:r>
          </w:p>
          <w:p w:rsidR="007739B5" w:rsidRPr="007101FE" w:rsidRDefault="00F61B17" w:rsidP="0013105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>число</w:t>
            </w:r>
            <w:r w:rsidR="00E13408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="007739B5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участников Telecom: 2014 г.: 3494; 2015 г.: 3971; </w:t>
            </w:r>
            <w:r w:rsidR="003C3A90" w:rsidRPr="007101FE">
              <w:rPr>
                <w:i/>
                <w:iCs/>
                <w:sz w:val="18"/>
                <w:szCs w:val="18"/>
                <w:lang w:val="ru-RU"/>
              </w:rPr>
              <w:t xml:space="preserve">2016 г.: 8764; </w:t>
            </w:r>
            <w:r w:rsidR="00131052" w:rsidRPr="007101FE">
              <w:rPr>
                <w:i/>
                <w:iCs/>
                <w:sz w:val="18"/>
                <w:szCs w:val="18"/>
                <w:lang w:val="ru-RU"/>
              </w:rPr>
              <w:t xml:space="preserve">2017 г.: 9100; </w:t>
            </w:r>
            <w:r w:rsidR="007739B5" w:rsidRPr="007101FE">
              <w:rPr>
                <w:i/>
                <w:iCs/>
                <w:sz w:val="18"/>
                <w:szCs w:val="18"/>
                <w:lang w:val="ru-RU"/>
              </w:rPr>
              <w:t>целевой показатель на 2020 г.</w:t>
            </w:r>
            <w:r w:rsidR="007739B5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>: 8000</w:t>
            </w:r>
            <w:r w:rsidR="00131052" w:rsidRPr="007101FE">
              <w:rPr>
                <w:i/>
                <w:iCs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  <w:shd w:val="clear" w:color="auto" w:fill="auto"/>
          </w:tcPr>
          <w:p w:rsidR="007739B5" w:rsidRPr="007101FE" w:rsidRDefault="007739B5" w:rsidP="00E615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Данные ВВУИО, Telecom</w:t>
            </w:r>
          </w:p>
        </w:tc>
      </w:tr>
    </w:tbl>
    <w:p w:rsidR="000234D7" w:rsidRPr="007101FE" w:rsidRDefault="000234D7" w:rsidP="004A12F8">
      <w:pPr>
        <w:rPr>
          <w:lang w:val="ru-RU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4C277B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Финансовые ресурсы</w:t>
            </w:r>
            <w:bookmarkStart w:id="5" w:name="_Ref409707249"/>
            <w:r w:rsidR="000234D7" w:rsidRPr="007101FE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2"/>
            </w:r>
            <w:bookmarkEnd w:id="5"/>
            <w:r w:rsidR="000234D7" w:rsidRPr="007101FE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7101FE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0234D7" w:rsidRPr="007101FE" w:rsidTr="00DE6DE4">
        <w:tc>
          <w:tcPr>
            <w:tcW w:w="8784" w:type="dxa"/>
          </w:tcPr>
          <w:p w:rsidR="000234D7" w:rsidRPr="007101FE" w:rsidRDefault="000234D7" w:rsidP="009930A2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0234D7" w:rsidRPr="007101FE" w:rsidRDefault="000234D7" w:rsidP="0013105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131052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="002C0725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7101FE" w:rsidRDefault="000234D7" w:rsidP="0013105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131052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2C0725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7101FE" w:rsidRDefault="000234D7" w:rsidP="0013105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131052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="002C0725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0234D7" w:rsidRPr="007101FE" w:rsidRDefault="000234D7" w:rsidP="00131052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131052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2C0725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131052" w:rsidRPr="007101FE" w:rsidTr="00DE6DE4">
        <w:tc>
          <w:tcPr>
            <w:tcW w:w="8784" w:type="dxa"/>
          </w:tcPr>
          <w:p w:rsidR="00131052" w:rsidRPr="007101FE" w:rsidRDefault="00131052" w:rsidP="00131052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I.1-1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обсуждений на высоком уровне (такие, как ВКМЭ, ВФПЭ, ВВУИО, ВДЭИО, ITU Telecom)</w:t>
            </w:r>
            <w:r w:rsidRPr="007101FE">
              <w:rPr>
                <w:rStyle w:val="FootnoteReference"/>
                <w:szCs w:val="16"/>
                <w:lang w:val="ru-RU"/>
              </w:rPr>
              <w:footnoteReference w:id="3"/>
            </w:r>
          </w:p>
        </w:tc>
        <w:tc>
          <w:tcPr>
            <w:tcW w:w="1445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3 362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2 417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2 286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2 727</w:t>
            </w:r>
          </w:p>
        </w:tc>
      </w:tr>
      <w:tr w:rsidR="00131052" w:rsidRPr="007101FE" w:rsidTr="00DE6DE4">
        <w:tc>
          <w:tcPr>
            <w:tcW w:w="8784" w:type="dxa"/>
          </w:tcPr>
          <w:p w:rsidR="00131052" w:rsidRPr="007101FE" w:rsidRDefault="00131052" w:rsidP="00131052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80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151</w:t>
            </w:r>
          </w:p>
        </w:tc>
      </w:tr>
      <w:tr w:rsidR="00131052" w:rsidRPr="007101FE" w:rsidTr="00DE6DE4">
        <w:tc>
          <w:tcPr>
            <w:tcW w:w="8784" w:type="dxa"/>
          </w:tcPr>
          <w:p w:rsidR="00131052" w:rsidRPr="007101FE" w:rsidRDefault="00131052" w:rsidP="00131052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I.1</w:t>
            </w:r>
          </w:p>
        </w:tc>
        <w:tc>
          <w:tcPr>
            <w:tcW w:w="1445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3 462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2 491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2 366</w:t>
            </w:r>
          </w:p>
        </w:tc>
        <w:tc>
          <w:tcPr>
            <w:tcW w:w="1446" w:type="dxa"/>
            <w:vAlign w:val="bottom"/>
          </w:tcPr>
          <w:p w:rsidR="00131052" w:rsidRPr="007101FE" w:rsidRDefault="00131052" w:rsidP="00131052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2 878</w:t>
            </w:r>
          </w:p>
        </w:tc>
      </w:tr>
    </w:tbl>
    <w:p w:rsidR="007101FE" w:rsidRDefault="007101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 Bold"/>
          <w:b/>
          <w:lang w:val="ru-RU"/>
        </w:rPr>
      </w:pPr>
      <w:r>
        <w:rPr>
          <w:lang w:val="ru-RU"/>
        </w:rPr>
        <w:br w:type="page"/>
      </w:r>
    </w:p>
    <w:p w:rsidR="000234D7" w:rsidRPr="007101FE" w:rsidRDefault="00CE4318" w:rsidP="00BA6A14">
      <w:pPr>
        <w:pStyle w:val="Heading2"/>
        <w:spacing w:after="120"/>
        <w:rPr>
          <w:lang w:val="ru-RU"/>
        </w:rPr>
      </w:pPr>
      <w:r w:rsidRPr="007101FE">
        <w:rPr>
          <w:lang w:val="ru-RU"/>
        </w:rPr>
        <w:t>5</w:t>
      </w:r>
      <w:r w:rsidR="0003145B" w:rsidRPr="007101FE">
        <w:rPr>
          <w:lang w:val="ru-RU"/>
        </w:rPr>
        <w:t>.2</w:t>
      </w:r>
      <w:r w:rsidR="0003145B" w:rsidRPr="007101FE">
        <w:rPr>
          <w:lang w:val="ru-RU"/>
        </w:rPr>
        <w:tab/>
      </w:r>
      <w:r w:rsidR="002C0725" w:rsidRPr="007101FE">
        <w:rPr>
          <w:lang w:val="ru-RU"/>
        </w:rPr>
        <w:t>I.2</w:t>
      </w:r>
      <w:r w:rsidR="0003145B" w:rsidRPr="007101FE">
        <w:rPr>
          <w:lang w:val="ru-RU"/>
        </w:rPr>
        <w:t xml:space="preserve">: </w:t>
      </w:r>
      <w:r w:rsidR="00903597" w:rsidRPr="007101FE">
        <w:rPr>
          <w:lang w:val="ru-RU"/>
        </w:rPr>
        <w:t>Способствовать партнерским отношениям и сотрудничеству в среде электросвязи/ИКТ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14"/>
        <w:gridCol w:w="2912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Показатель конечного результата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7101FE" w:rsidRDefault="000234D7" w:rsidP="00175A48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I.2-1</w:t>
            </w:r>
            <w:r w:rsidRPr="007101FE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="00903597" w:rsidRPr="007101FE">
              <w:rPr>
                <w:b w:val="0"/>
                <w:bCs w:val="0"/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614" w:type="dxa"/>
          </w:tcPr>
          <w:p w:rsidR="0078269E" w:rsidRPr="007101FE" w:rsidRDefault="00A44EE3" w:rsidP="0078269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Процентная доля</w:t>
            </w:r>
            <w:r w:rsidR="00CE696F" w:rsidRPr="007101FE">
              <w:rPr>
                <w:sz w:val="18"/>
                <w:szCs w:val="18"/>
                <w:lang w:val="ru-RU"/>
              </w:rPr>
              <w:t xml:space="preserve"> партнерств</w:t>
            </w:r>
            <w:r w:rsidR="000234D7" w:rsidRPr="007101FE">
              <w:rPr>
                <w:sz w:val="18"/>
                <w:szCs w:val="18"/>
                <w:lang w:val="ru-RU"/>
              </w:rPr>
              <w:t>/</w:t>
            </w:r>
            <w:r w:rsidR="00CE696F" w:rsidRPr="007101FE">
              <w:rPr>
                <w:sz w:val="18"/>
                <w:szCs w:val="18"/>
                <w:lang w:val="ru-RU"/>
              </w:rPr>
              <w:t>соглашени</w:t>
            </w:r>
            <w:r w:rsidR="00405622" w:rsidRPr="007101FE">
              <w:rPr>
                <w:sz w:val="18"/>
                <w:szCs w:val="18"/>
                <w:lang w:val="ru-RU"/>
              </w:rPr>
              <w:t>й</w:t>
            </w:r>
            <w:r w:rsidR="00CE696F" w:rsidRPr="007101FE">
              <w:rPr>
                <w:sz w:val="18"/>
                <w:szCs w:val="18"/>
                <w:lang w:val="ru-RU"/>
              </w:rPr>
              <w:t xml:space="preserve"> о с</w:t>
            </w:r>
            <w:r w:rsidR="00405622" w:rsidRPr="007101FE">
              <w:rPr>
                <w:sz w:val="18"/>
                <w:szCs w:val="18"/>
                <w:lang w:val="ru-RU"/>
              </w:rPr>
              <w:t>отрудничестве и</w:t>
            </w:r>
            <w:r w:rsidRPr="007101FE">
              <w:rPr>
                <w:sz w:val="18"/>
                <w:szCs w:val="18"/>
                <w:lang w:val="ru-RU"/>
              </w:rPr>
              <w:t>ли рабочих механизмов МСЭ:</w:t>
            </w:r>
          </w:p>
          <w:p w:rsidR="00A44EE3" w:rsidRPr="007101FE" w:rsidRDefault="00A44EE3" w:rsidP="00CE431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с администрациями: 2010–2014 гг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45,9%; 2015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51%;</w:t>
            </w:r>
            <w:r w:rsidR="00CE4318" w:rsidRPr="007101FE">
              <w:rPr>
                <w:i/>
                <w:iCs/>
                <w:sz w:val="18"/>
                <w:szCs w:val="18"/>
                <w:lang w:val="ru-RU"/>
              </w:rPr>
              <w:t xml:space="preserve"> с 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межправительственными</w:t>
            </w:r>
            <w:r w:rsidRPr="007101FE">
              <w:rPr>
                <w:sz w:val="18"/>
                <w:szCs w:val="18"/>
                <w:lang w:val="ru-RU"/>
              </w:rPr>
              <w:t>/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региональными организациями: 2010–2014 гг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37,2%; </w:t>
            </w:r>
            <w:r w:rsidR="00D43D8C" w:rsidRPr="007101FE">
              <w:rPr>
                <w:i/>
                <w:iCs/>
                <w:sz w:val="18"/>
                <w:szCs w:val="18"/>
                <w:lang w:val="ru-RU"/>
              </w:rPr>
              <w:br/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37,1%;</w:t>
            </w:r>
            <w:r w:rsidR="00CE4318" w:rsidRPr="007101FE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с другими организациями: 2010–2014 гг.: 16,9%; 2015</w:t>
            </w:r>
            <w:r w:rsidR="00E13408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11,4%.</w:t>
            </w:r>
          </w:p>
        </w:tc>
        <w:tc>
          <w:tcPr>
            <w:tcW w:w="2912" w:type="dxa"/>
          </w:tcPr>
          <w:p w:rsidR="000234D7" w:rsidRPr="007101FE" w:rsidRDefault="00A44EE3" w:rsidP="00E615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Межсекторальные данные</w:t>
            </w:r>
          </w:p>
        </w:tc>
      </w:tr>
    </w:tbl>
    <w:p w:rsidR="000234D7" w:rsidRPr="007101FE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4C277B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3F790B" w:rsidP="0078269E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7101FE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footnoteReference w:id="4"/>
            </w:r>
            <w:r w:rsidR="000234D7" w:rsidRPr="007101FE">
              <w:rPr>
                <w:rStyle w:val="FootnoteReference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7101FE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2C0725" w:rsidRPr="007101FE" w:rsidTr="00DE6DE4">
        <w:trPr>
          <w:cantSplit/>
        </w:trPr>
        <w:tc>
          <w:tcPr>
            <w:tcW w:w="8784" w:type="dxa"/>
          </w:tcPr>
          <w:p w:rsidR="002C0725" w:rsidRPr="007101FE" w:rsidRDefault="002C0725" w:rsidP="0078269E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2C0725" w:rsidRPr="007101FE" w:rsidRDefault="002C0725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7101FE" w:rsidRDefault="002C0725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020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7101FE" w:rsidRDefault="002C0725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833266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2C0725" w:rsidRPr="007101FE" w:rsidRDefault="002C0725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A44EE3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E4318" w:rsidRPr="007101FE" w:rsidTr="00DE6DE4">
        <w:trPr>
          <w:cantSplit/>
        </w:trPr>
        <w:tc>
          <w:tcPr>
            <w:tcW w:w="8784" w:type="dxa"/>
          </w:tcPr>
          <w:p w:rsidR="00CE4318" w:rsidRPr="007101FE" w:rsidRDefault="00CE4318" w:rsidP="00CE4318">
            <w:pPr>
              <w:spacing w:before="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I.2-1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7101FE">
              <w:rPr>
                <w:sz w:val="18"/>
                <w:szCs w:val="18"/>
                <w:lang w:val="ru-RU"/>
              </w:rPr>
              <w:t>Обмен знаниями, сотрудничество и партнерские отношения</w:t>
            </w:r>
          </w:p>
        </w:tc>
        <w:tc>
          <w:tcPr>
            <w:tcW w:w="1445" w:type="dxa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2 137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2 886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2 548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2 346</w:t>
            </w:r>
          </w:p>
        </w:tc>
      </w:tr>
      <w:tr w:rsidR="00CE4318" w:rsidRPr="007101FE" w:rsidTr="00DE6DE4">
        <w:trPr>
          <w:cantSplit/>
        </w:trPr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I.2-2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 xml:space="preserve"> </w:t>
            </w:r>
            <w:r w:rsidRPr="007101FE">
              <w:rPr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1445" w:type="dxa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150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147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147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147</w:t>
            </w:r>
          </w:p>
        </w:tc>
      </w:tr>
      <w:tr w:rsidR="00CE4318" w:rsidRPr="007101FE" w:rsidTr="00DE6DE4">
        <w:trPr>
          <w:cantSplit/>
        </w:trPr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68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93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94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149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I.2</w:t>
            </w:r>
          </w:p>
        </w:tc>
        <w:tc>
          <w:tcPr>
            <w:tcW w:w="1445" w:type="dxa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2 356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3 126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2 789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2 641</w:t>
            </w:r>
          </w:p>
        </w:tc>
      </w:tr>
    </w:tbl>
    <w:p w:rsidR="000234D7" w:rsidRPr="007101FE" w:rsidRDefault="00CE4318" w:rsidP="00D43D8C">
      <w:pPr>
        <w:pStyle w:val="Heading2"/>
        <w:spacing w:after="120"/>
        <w:rPr>
          <w:lang w:val="ru-RU"/>
        </w:rPr>
      </w:pPr>
      <w:r w:rsidRPr="007101FE">
        <w:rPr>
          <w:lang w:val="ru-RU"/>
        </w:rPr>
        <w:t>5</w:t>
      </w:r>
      <w:r w:rsidR="0003145B" w:rsidRPr="007101FE">
        <w:rPr>
          <w:lang w:val="ru-RU"/>
        </w:rPr>
        <w:t>.3</w:t>
      </w:r>
      <w:r w:rsidR="0003145B" w:rsidRPr="007101FE">
        <w:rPr>
          <w:lang w:val="ru-RU"/>
        </w:rPr>
        <w:tab/>
      </w:r>
      <w:r w:rsidR="000234D7" w:rsidRPr="007101FE">
        <w:rPr>
          <w:lang w:val="ru-RU"/>
        </w:rPr>
        <w:t>I.3</w:t>
      </w:r>
      <w:r w:rsidR="0003145B" w:rsidRPr="007101FE">
        <w:rPr>
          <w:lang w:val="ru-RU"/>
        </w:rPr>
        <w:t>:</w:t>
      </w:r>
      <w:r w:rsidR="000234D7" w:rsidRPr="007101FE">
        <w:rPr>
          <w:lang w:val="ru-RU"/>
        </w:rPr>
        <w:t xml:space="preserve"> </w:t>
      </w:r>
      <w:r w:rsidR="003F790B" w:rsidRPr="007101FE">
        <w:rPr>
          <w:lang w:val="ru-RU"/>
        </w:rPr>
        <w:t>Способствовать определению и анализу возникающих тенденций в среде электросвязи/ИКТ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642"/>
        <w:gridCol w:w="2884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175A4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175A48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Cs w:val="0"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7101FE">
              <w:rPr>
                <w:rFonts w:eastAsia="Calibri" w:cs="Arial"/>
                <w:b w:val="0"/>
                <w:sz w:val="18"/>
                <w:szCs w:val="18"/>
                <w:lang w:val="ru-RU"/>
              </w:rPr>
              <w:t xml:space="preserve">: </w:t>
            </w:r>
            <w:r w:rsidR="003F790B" w:rsidRPr="007101FE">
              <w:rPr>
                <w:b w:val="0"/>
                <w:bCs w:val="0"/>
                <w:sz w:val="18"/>
                <w:szCs w:val="18"/>
                <w:lang w:val="ru-RU"/>
              </w:rPr>
              <w:t>Своевременные определение и анализ тенденций, возникающих в области электросвязи/ИКТ, и разработка новых областей деятельности, которые к ним относятся</w:t>
            </w:r>
          </w:p>
        </w:tc>
        <w:tc>
          <w:tcPr>
            <w:tcW w:w="7642" w:type="dxa"/>
          </w:tcPr>
          <w:p w:rsidR="00DD04DA" w:rsidRPr="007101FE" w:rsidRDefault="00F32511" w:rsidP="00DD04D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Результаты работы оперативных групп МСЭ-Т начиная с 2010 года:</w:t>
            </w:r>
          </w:p>
          <w:p w:rsidR="00F32511" w:rsidRPr="007101FE" w:rsidRDefault="00F32511" w:rsidP="00CE431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3 новых Вопроса, 1 новая исследовательская комис</w:t>
            </w:r>
            <w:r w:rsidR="00DD04DA" w:rsidRPr="007101FE">
              <w:rPr>
                <w:i/>
                <w:iCs/>
                <w:sz w:val="18"/>
                <w:szCs w:val="18"/>
                <w:lang w:val="ru-RU"/>
              </w:rPr>
              <w:t>сия, 1 новая рабочая группа, 49 </w:t>
            </w:r>
            <w:r w:rsidR="00293A28" w:rsidRPr="007101FE">
              <w:rPr>
                <w:i/>
                <w:iCs/>
                <w:sz w:val="18"/>
                <w:szCs w:val="18"/>
                <w:lang w:val="ru-RU"/>
              </w:rPr>
              <w:t>направлений работы</w:t>
            </w:r>
            <w:r w:rsidR="00293A28" w:rsidRPr="007101FE">
              <w:rPr>
                <w:sz w:val="18"/>
                <w:szCs w:val="18"/>
                <w:lang w:val="ru-RU"/>
              </w:rPr>
              <w:t>/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43 утвержденных; другие результаты работы: 92.</w:t>
            </w:r>
          </w:p>
        </w:tc>
        <w:tc>
          <w:tcPr>
            <w:tcW w:w="2884" w:type="dxa"/>
          </w:tcPr>
          <w:p w:rsidR="000234D7" w:rsidRPr="007101FE" w:rsidRDefault="0013618C" w:rsidP="00E615F8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F32511" w:rsidRPr="007101FE">
              <w:rPr>
                <w:sz w:val="18"/>
                <w:szCs w:val="18"/>
                <w:lang w:val="ru-RU"/>
              </w:rPr>
              <w:t>МСЭ</w:t>
            </w:r>
          </w:p>
        </w:tc>
      </w:tr>
    </w:tbl>
    <w:p w:rsidR="000234D7" w:rsidRPr="007101FE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4C277B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DE6DE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3F790B" w:rsidP="00DE6DE4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Финансовые ресурсы</w:t>
            </w:r>
            <w:r w:rsidR="00DE6DE4" w:rsidRPr="007101FE">
              <w:rPr>
                <w:rStyle w:val="FootnoteReference"/>
                <w:b w:val="0"/>
                <w:bCs w:val="0"/>
                <w:sz w:val="18"/>
                <w:lang w:val="ru-RU"/>
              </w:rPr>
              <w:t>4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7101FE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7101FE" w:rsidTr="00DE6DE4">
        <w:tc>
          <w:tcPr>
            <w:tcW w:w="8784" w:type="dxa"/>
          </w:tcPr>
          <w:p w:rsidR="00833266" w:rsidRPr="007101FE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I.3-1</w:t>
            </w:r>
            <w:r w:rsidRPr="007101FE">
              <w:rPr>
                <w:sz w:val="18"/>
                <w:szCs w:val="18"/>
                <w:lang w:val="ru-RU"/>
              </w:rPr>
              <w:t>: Межсекторальные инициативы и отчеты о возникающих тенденциях в области электросвязи/ИКТ, а также другие аналогичные инициативы (включая журнал "Новости МСЭ")</w:t>
            </w:r>
          </w:p>
        </w:tc>
        <w:tc>
          <w:tcPr>
            <w:tcW w:w="1445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2 694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2 847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2 821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2 595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80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87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99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155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I.3</w:t>
            </w:r>
          </w:p>
        </w:tc>
        <w:tc>
          <w:tcPr>
            <w:tcW w:w="1445" w:type="dxa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2 774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2 934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2 920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2 751</w:t>
            </w:r>
          </w:p>
        </w:tc>
      </w:tr>
    </w:tbl>
    <w:p w:rsidR="000234D7" w:rsidRPr="007101FE" w:rsidRDefault="00CE4318" w:rsidP="00BA6A14">
      <w:pPr>
        <w:pStyle w:val="Heading2"/>
        <w:spacing w:after="120"/>
        <w:rPr>
          <w:lang w:val="ru-RU"/>
        </w:rPr>
      </w:pPr>
      <w:r w:rsidRPr="007101FE">
        <w:rPr>
          <w:lang w:val="ru-RU"/>
        </w:rPr>
        <w:t>5</w:t>
      </w:r>
      <w:r w:rsidR="0003145B" w:rsidRPr="007101FE">
        <w:rPr>
          <w:lang w:val="ru-RU"/>
        </w:rPr>
        <w:t>.4</w:t>
      </w:r>
      <w:r w:rsidR="0003145B" w:rsidRPr="007101FE">
        <w:rPr>
          <w:lang w:val="ru-RU"/>
        </w:rPr>
        <w:tab/>
      </w:r>
      <w:r w:rsidR="000234D7" w:rsidRPr="007101FE">
        <w:rPr>
          <w:lang w:val="ru-RU"/>
        </w:rPr>
        <w:t>I.4</w:t>
      </w:r>
      <w:r w:rsidR="0003145B" w:rsidRPr="007101FE">
        <w:rPr>
          <w:lang w:val="ru-RU"/>
        </w:rPr>
        <w:t>:</w:t>
      </w:r>
      <w:r w:rsidR="000234D7" w:rsidRPr="007101FE">
        <w:rPr>
          <w:lang w:val="ru-RU"/>
        </w:rPr>
        <w:t xml:space="preserve"> </w:t>
      </w:r>
      <w:r w:rsidR="003F790B" w:rsidRPr="007101FE">
        <w:rPr>
          <w:lang w:val="ru-RU"/>
        </w:rPr>
        <w:t>Обеспечивать/содействовать признанию (значения) электросвязи/ИКТ как одного из основных факторов, содействующих социальному, экономическому и экологически устойчивому развитию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13618C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234D7" w:rsidRPr="007101FE" w:rsidRDefault="00675E8F" w:rsidP="00BA6A14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tcW w:w="4041" w:type="dxa"/>
          </w:tcPr>
          <w:p w:rsidR="000234D7" w:rsidRPr="007101FE" w:rsidRDefault="000234D7" w:rsidP="00BA6A14">
            <w:pPr>
              <w:spacing w:before="40" w:after="4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="003F790B" w:rsidRPr="007101FE">
              <w:rPr>
                <w:sz w:val="18"/>
                <w:szCs w:val="18"/>
                <w:lang w:val="ru-RU"/>
              </w:rPr>
              <w:t>Более широкое многостороннее и межправительственное признание электросвязи/ИКТ в качестве междисциплинарного содействующего фактора для всех трех основ устойчивого развития (экономический рост, социальная интеграция и экологическая устойчивость), как это определено в итоговом документе Конференции Организации Объединенных Наций по устойчивому развитию "Рио+20", и для содействия в выполнении миссии Организации Объединенных Наций в области мира, безопасности и прав человека</w:t>
            </w:r>
          </w:p>
        </w:tc>
        <w:tc>
          <w:tcPr>
            <w:tcW w:w="7642" w:type="dxa"/>
          </w:tcPr>
          <w:p w:rsidR="00DD04DA" w:rsidRPr="007101FE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Упоминание ИКТ и ИКТ в целях развития:</w:t>
            </w:r>
          </w:p>
          <w:p w:rsidR="00DD04DA" w:rsidRPr="007101FE" w:rsidRDefault="00783DBF" w:rsidP="00917724">
            <w:pPr>
              <w:tabs>
                <w:tab w:val="clear" w:pos="794"/>
                <w:tab w:val="left" w:pos="241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i)</w:t>
            </w:r>
            <w:r w:rsidRPr="007101FE">
              <w:rPr>
                <w:sz w:val="18"/>
                <w:szCs w:val="18"/>
                <w:lang w:val="ru-RU"/>
              </w:rPr>
              <w:tab/>
            </w:r>
            <w:r w:rsidR="00917724" w:rsidRPr="007101FE">
              <w:rPr>
                <w:sz w:val="18"/>
                <w:szCs w:val="18"/>
                <w:lang w:val="ru-RU"/>
              </w:rPr>
              <w:t>в</w:t>
            </w:r>
            <w:r w:rsidR="00F32511" w:rsidRPr="007101FE">
              <w:rPr>
                <w:sz w:val="18"/>
                <w:szCs w:val="18"/>
                <w:lang w:val="ru-RU"/>
              </w:rPr>
              <w:t xml:space="preserve"> резолюциях ЭКОСО</w:t>
            </w:r>
            <w:r w:rsidR="00A43DF1" w:rsidRPr="007101FE">
              <w:rPr>
                <w:sz w:val="18"/>
                <w:szCs w:val="18"/>
                <w:lang w:val="ru-RU"/>
              </w:rPr>
              <w:t>С</w:t>
            </w:r>
            <w:r w:rsidR="00F32511" w:rsidRPr="007101FE">
              <w:rPr>
                <w:sz w:val="18"/>
                <w:szCs w:val="18"/>
                <w:lang w:val="ru-RU"/>
              </w:rPr>
              <w:t>:</w:t>
            </w:r>
          </w:p>
          <w:p w:rsidR="00917724" w:rsidRPr="007101FE" w:rsidRDefault="00917724" w:rsidP="00E615F8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2016 г.: упоминание: 25,0%; упоминание: 14,0%; отсутствие упоминания: 61,0%</w:t>
            </w:r>
            <w:r w:rsidRPr="007101FE">
              <w:rPr>
                <w:sz w:val="18"/>
                <w:szCs w:val="18"/>
                <w:lang w:val="ru-RU"/>
              </w:rPr>
              <w:t>;</w:t>
            </w:r>
          </w:p>
          <w:p w:rsidR="00F32511" w:rsidRPr="007101FE" w:rsidRDefault="00F32511" w:rsidP="00DD04DA">
            <w:pPr>
              <w:spacing w:before="40" w:after="4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2014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важное упоминание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28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9%, 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18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4%; </w:t>
            </w:r>
            <w:r w:rsidR="00A43DF1" w:rsidRPr="007101FE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52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,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6%</w:t>
            </w:r>
            <w:r w:rsidR="00A43DF1" w:rsidRPr="007101FE">
              <w:rPr>
                <w:sz w:val="18"/>
                <w:szCs w:val="18"/>
                <w:lang w:val="ru-RU"/>
              </w:rPr>
              <w:t>;</w:t>
            </w:r>
          </w:p>
          <w:p w:rsidR="00DD04DA" w:rsidRPr="007101FE" w:rsidRDefault="00F32511" w:rsidP="00302693">
            <w:pPr>
              <w:tabs>
                <w:tab w:val="clear" w:pos="794"/>
                <w:tab w:val="left" w:pos="241"/>
              </w:tabs>
              <w:spacing w:after="6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ii)</w:t>
            </w:r>
            <w:r w:rsidR="00302693" w:rsidRPr="007101FE">
              <w:rPr>
                <w:sz w:val="18"/>
                <w:szCs w:val="18"/>
                <w:lang w:val="ru-RU"/>
              </w:rPr>
              <w:tab/>
            </w:r>
            <w:r w:rsidR="00A52DAA" w:rsidRPr="007101FE">
              <w:rPr>
                <w:sz w:val="18"/>
                <w:szCs w:val="18"/>
                <w:lang w:val="ru-RU"/>
              </w:rPr>
              <w:t xml:space="preserve">в </w:t>
            </w:r>
            <w:r w:rsidR="00F4108D" w:rsidRPr="007101FE">
              <w:rPr>
                <w:sz w:val="18"/>
                <w:szCs w:val="18"/>
                <w:lang w:val="ru-RU"/>
              </w:rPr>
              <w:t xml:space="preserve">резолюциях </w:t>
            </w:r>
            <w:r w:rsidR="00A52DAA" w:rsidRPr="007101FE">
              <w:rPr>
                <w:sz w:val="18"/>
                <w:szCs w:val="18"/>
                <w:lang w:val="ru-RU"/>
              </w:rPr>
              <w:t>ГА ООН</w:t>
            </w:r>
            <w:r w:rsidRPr="007101FE">
              <w:rPr>
                <w:sz w:val="18"/>
                <w:szCs w:val="18"/>
                <w:lang w:val="ru-RU"/>
              </w:rPr>
              <w:t xml:space="preserve"> (2015</w:t>
            </w:r>
            <w:r w:rsidR="00A52DAA" w:rsidRPr="007101FE">
              <w:rPr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sz w:val="18"/>
                <w:szCs w:val="18"/>
                <w:lang w:val="ru-RU"/>
              </w:rPr>
              <w:t>):</w:t>
            </w:r>
          </w:p>
          <w:p w:rsidR="00F32511" w:rsidRPr="007101FE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2016 г.: </w:t>
            </w:r>
            <w:r w:rsidR="00A43DF1" w:rsidRPr="007101FE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7101FE">
              <w:rPr>
                <w:i/>
                <w:iCs/>
                <w:sz w:val="18"/>
                <w:szCs w:val="18"/>
                <w:lang w:val="ru-RU"/>
              </w:rPr>
              <w:t xml:space="preserve">5%; 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="00F32511" w:rsidRPr="007101FE">
              <w:rPr>
                <w:i/>
                <w:iCs/>
                <w:sz w:val="18"/>
                <w:szCs w:val="18"/>
                <w:lang w:val="ru-RU"/>
              </w:rPr>
              <w:t>: 3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2</w:t>
            </w:r>
            <w:r w:rsidR="00F32511" w:rsidRPr="007101FE">
              <w:rPr>
                <w:i/>
                <w:iCs/>
                <w:sz w:val="18"/>
                <w:szCs w:val="18"/>
                <w:lang w:val="ru-RU"/>
              </w:rPr>
              <w:t xml:space="preserve">%; </w:t>
            </w:r>
            <w:r w:rsidR="00A43DF1" w:rsidRPr="007101FE">
              <w:rPr>
                <w:i/>
                <w:iCs/>
                <w:sz w:val="18"/>
                <w:szCs w:val="18"/>
                <w:lang w:val="ru-RU"/>
              </w:rPr>
              <w:t>отсутствие упоминания</w:t>
            </w:r>
            <w:r w:rsidR="00F32511"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4</w:t>
            </w:r>
            <w:r w:rsidR="00F32511" w:rsidRPr="007101FE">
              <w:rPr>
                <w:i/>
                <w:iCs/>
                <w:sz w:val="18"/>
                <w:szCs w:val="18"/>
                <w:lang w:val="ru-RU"/>
              </w:rPr>
              <w:t>2%</w:t>
            </w:r>
            <w:r w:rsidR="00A43DF1" w:rsidRPr="007101FE">
              <w:rPr>
                <w:sz w:val="18"/>
                <w:szCs w:val="18"/>
                <w:lang w:val="ru-RU"/>
              </w:rPr>
              <w:t>;</w:t>
            </w:r>
          </w:p>
          <w:p w:rsidR="00917724" w:rsidRPr="007101FE" w:rsidRDefault="00917724" w:rsidP="0091772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2015 г.: важное упоминание: 5%; упоминание: 23%; отсутствие упоминания: 72%</w:t>
            </w:r>
            <w:r w:rsidRPr="007101FE">
              <w:rPr>
                <w:sz w:val="18"/>
                <w:szCs w:val="18"/>
                <w:lang w:val="ru-RU"/>
              </w:rPr>
              <w:t>;</w:t>
            </w:r>
          </w:p>
          <w:p w:rsidR="00DD04DA" w:rsidRPr="007101FE" w:rsidRDefault="00F32511" w:rsidP="00917724">
            <w:pPr>
              <w:tabs>
                <w:tab w:val="clear" w:pos="794"/>
                <w:tab w:val="left" w:pos="241"/>
              </w:tabs>
              <w:spacing w:after="60"/>
              <w:ind w:left="241" w:hanging="241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iii)</w:t>
            </w:r>
            <w:r w:rsidR="00302693" w:rsidRPr="007101FE">
              <w:rPr>
                <w:i/>
                <w:iCs/>
                <w:sz w:val="18"/>
                <w:szCs w:val="18"/>
                <w:lang w:val="ru-RU"/>
              </w:rPr>
              <w:tab/>
            </w:r>
            <w:r w:rsidR="00A43DF1" w:rsidRPr="007101FE">
              <w:rPr>
                <w:sz w:val="18"/>
                <w:szCs w:val="18"/>
                <w:lang w:val="ru-RU"/>
              </w:rPr>
              <w:t xml:space="preserve">важные </w:t>
            </w:r>
            <w:r w:rsidR="00A52DAA" w:rsidRPr="007101FE">
              <w:rPr>
                <w:sz w:val="18"/>
                <w:szCs w:val="18"/>
                <w:lang w:val="ru-RU"/>
              </w:rPr>
              <w:t>документы</w:t>
            </w:r>
            <w:r w:rsidR="00A43DF1" w:rsidRPr="007101FE">
              <w:rPr>
                <w:sz w:val="18"/>
                <w:szCs w:val="18"/>
                <w:lang w:val="ru-RU"/>
              </w:rPr>
              <w:t xml:space="preserve"> </w:t>
            </w:r>
            <w:r w:rsidR="00A52DAA" w:rsidRPr="007101FE">
              <w:rPr>
                <w:sz w:val="18"/>
                <w:szCs w:val="18"/>
                <w:lang w:val="ru-RU"/>
              </w:rPr>
              <w:t xml:space="preserve">системы ООН </w:t>
            </w:r>
            <w:r w:rsidRPr="007101FE">
              <w:rPr>
                <w:sz w:val="18"/>
                <w:szCs w:val="18"/>
                <w:lang w:val="ru-RU"/>
              </w:rPr>
              <w:t>(</w:t>
            </w:r>
            <w:r w:rsidR="00A43DF1" w:rsidRPr="007101FE">
              <w:rPr>
                <w:sz w:val="18"/>
                <w:szCs w:val="18"/>
                <w:lang w:val="ru-RU"/>
              </w:rPr>
              <w:t xml:space="preserve">документы встреч на высшем уровне </w:t>
            </w:r>
            <w:r w:rsidR="00A52DAA" w:rsidRPr="007101FE">
              <w:rPr>
                <w:sz w:val="18"/>
                <w:szCs w:val="18"/>
                <w:lang w:val="ru-RU"/>
              </w:rPr>
              <w:t xml:space="preserve">и </w:t>
            </w:r>
            <w:r w:rsidR="00A43DF1" w:rsidRPr="007101FE">
              <w:rPr>
                <w:sz w:val="18"/>
                <w:szCs w:val="18"/>
                <w:lang w:val="ru-RU"/>
              </w:rPr>
              <w:t>др</w:t>
            </w:r>
            <w:r w:rsidR="00A52DAA" w:rsidRPr="007101FE">
              <w:rPr>
                <w:sz w:val="18"/>
                <w:szCs w:val="18"/>
                <w:lang w:val="ru-RU"/>
              </w:rPr>
              <w:t>.</w:t>
            </w:r>
            <w:r w:rsidRPr="007101FE">
              <w:rPr>
                <w:sz w:val="18"/>
                <w:szCs w:val="18"/>
                <w:lang w:val="ru-RU"/>
              </w:rPr>
              <w:t xml:space="preserve">) </w:t>
            </w:r>
            <w:r w:rsidR="00A52DAA" w:rsidRPr="007101FE">
              <w:rPr>
                <w:sz w:val="18"/>
                <w:szCs w:val="18"/>
                <w:lang w:val="ru-RU"/>
              </w:rPr>
              <w:t>и доклады Генерального секретаря ООН</w:t>
            </w:r>
            <w:r w:rsidRPr="007101FE">
              <w:rPr>
                <w:sz w:val="18"/>
                <w:szCs w:val="18"/>
                <w:lang w:val="ru-RU"/>
              </w:rPr>
              <w:t>:</w:t>
            </w:r>
          </w:p>
          <w:p w:rsidR="000234D7" w:rsidRPr="007101FE" w:rsidRDefault="00F32511" w:rsidP="00DD04DA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2015</w:t>
            </w:r>
            <w:r w:rsidR="00D43D8C" w:rsidRPr="007101FE">
              <w:rPr>
                <w:i/>
                <w:iCs/>
                <w:sz w:val="18"/>
                <w:szCs w:val="18"/>
                <w:lang w:val="ru-RU"/>
              </w:rPr>
              <w:t xml:space="preserve"> г.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</w:t>
            </w:r>
            <w:r w:rsidR="00A43DF1" w:rsidRPr="007101FE">
              <w:rPr>
                <w:i/>
                <w:iCs/>
                <w:sz w:val="18"/>
                <w:szCs w:val="18"/>
                <w:lang w:val="ru-RU"/>
              </w:rPr>
              <w:t xml:space="preserve">важное 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 xml:space="preserve">: 47%; 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упоминание</w:t>
            </w:r>
            <w:r w:rsidRPr="007101FE">
              <w:rPr>
                <w:i/>
                <w:iCs/>
                <w:sz w:val="18"/>
                <w:szCs w:val="18"/>
                <w:lang w:val="ru-RU"/>
              </w:rPr>
              <w:t>: 53%</w:t>
            </w:r>
            <w:r w:rsidR="00A52DAA" w:rsidRPr="007101FE">
              <w:rPr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7101FE" w:rsidRDefault="0013618C" w:rsidP="006E7B39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0234D7" w:rsidRPr="007101FE">
              <w:rPr>
                <w:sz w:val="18"/>
                <w:szCs w:val="18"/>
                <w:lang w:val="ru-RU"/>
              </w:rPr>
              <w:t>SPM</w:t>
            </w:r>
          </w:p>
        </w:tc>
      </w:tr>
    </w:tbl>
    <w:p w:rsidR="000234D7" w:rsidRPr="007101FE" w:rsidRDefault="000234D7" w:rsidP="00BA6A14">
      <w:pPr>
        <w:rPr>
          <w:lang w:val="ru-RU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4C277B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CE4318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3F790B" w:rsidP="00175A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7101FE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5"/>
            </w:r>
            <w:r w:rsidR="000234D7" w:rsidRPr="007101FE">
              <w:rPr>
                <w:rStyle w:val="FootnoteReference"/>
                <w:b w:val="0"/>
                <w:bCs w:val="0"/>
                <w:szCs w:val="16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7101FE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7101FE" w:rsidTr="00DE6DE4">
        <w:tc>
          <w:tcPr>
            <w:tcW w:w="8784" w:type="dxa"/>
          </w:tcPr>
          <w:p w:rsidR="00833266" w:rsidRPr="007101FE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I.4-1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sz w:val="18"/>
                <w:szCs w:val="18"/>
                <w:lang w:val="ru-RU"/>
              </w:rPr>
              <w:t xml:space="preserve"> Отчеты и другие входные документы для </w:t>
            </w:r>
            <w:r w:rsidR="00FA0B7B" w:rsidRPr="007101FE">
              <w:rPr>
                <w:sz w:val="18"/>
                <w:szCs w:val="18"/>
                <w:lang w:val="ru-RU"/>
              </w:rPr>
              <w:t xml:space="preserve">межучрежденческих </w:t>
            </w:r>
            <w:r w:rsidRPr="007101FE">
              <w:rPr>
                <w:sz w:val="18"/>
                <w:szCs w:val="18"/>
                <w:lang w:val="ru-RU"/>
              </w:rPr>
              <w:t>процессов, проходящих внутри ООН, а также многосторонних и межправительственных процессов</w:t>
            </w:r>
          </w:p>
        </w:tc>
        <w:tc>
          <w:tcPr>
            <w:tcW w:w="1445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1 411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1 361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1 524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1 282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53</w:t>
            </w:r>
          </w:p>
        </w:tc>
        <w:tc>
          <w:tcPr>
            <w:tcW w:w="1446" w:type="dxa"/>
            <w:vAlign w:val="bottom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77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I.4</w:t>
            </w:r>
          </w:p>
        </w:tc>
        <w:tc>
          <w:tcPr>
            <w:tcW w:w="1445" w:type="dxa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1 453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1 402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1 577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1 359</w:t>
            </w:r>
          </w:p>
        </w:tc>
      </w:tr>
    </w:tbl>
    <w:p w:rsidR="00DE6DE4" w:rsidRPr="007101FE" w:rsidRDefault="00DE6D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 Bold"/>
          <w:b/>
          <w:lang w:val="ru-RU"/>
        </w:rPr>
      </w:pPr>
      <w:r w:rsidRPr="007101FE">
        <w:rPr>
          <w:lang w:val="ru-RU"/>
        </w:rPr>
        <w:br w:type="page"/>
      </w:r>
    </w:p>
    <w:p w:rsidR="000234D7" w:rsidRPr="007101FE" w:rsidRDefault="00CE4318" w:rsidP="000A684D">
      <w:pPr>
        <w:pStyle w:val="Heading2"/>
        <w:spacing w:after="120"/>
        <w:rPr>
          <w:lang w:val="ru-RU"/>
        </w:rPr>
      </w:pPr>
      <w:r w:rsidRPr="007101FE">
        <w:rPr>
          <w:lang w:val="ru-RU"/>
        </w:rPr>
        <w:t>5</w:t>
      </w:r>
      <w:r w:rsidR="00536C30" w:rsidRPr="007101FE">
        <w:rPr>
          <w:lang w:val="ru-RU"/>
        </w:rPr>
        <w:t>.5</w:t>
      </w:r>
      <w:r w:rsidR="00536C30" w:rsidRPr="007101FE">
        <w:rPr>
          <w:lang w:val="ru-RU"/>
        </w:rPr>
        <w:tab/>
      </w:r>
      <w:r w:rsidR="000234D7" w:rsidRPr="007101FE">
        <w:rPr>
          <w:lang w:val="ru-RU"/>
        </w:rPr>
        <w:t>I.5</w:t>
      </w:r>
      <w:r w:rsidR="00536C30" w:rsidRPr="007101FE">
        <w:rPr>
          <w:lang w:val="ru-RU"/>
        </w:rPr>
        <w:t>:</w:t>
      </w:r>
      <w:r w:rsidR="000234D7" w:rsidRPr="007101FE">
        <w:rPr>
          <w:lang w:val="ru-RU"/>
        </w:rPr>
        <w:t xml:space="preserve"> </w:t>
      </w:r>
      <w:r w:rsidR="003F790B" w:rsidRPr="007101FE">
        <w:rPr>
          <w:lang w:val="ru-RU"/>
        </w:rPr>
        <w:t>Расширять доступ к электросвязи/ИКТ для лиц с ограниченными возможностями и особыми потребностями</w:t>
      </w: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4041"/>
        <w:gridCol w:w="7642"/>
        <w:gridCol w:w="2884"/>
      </w:tblGrid>
      <w:tr w:rsidR="000234D7" w:rsidRPr="007101FE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Показатель конечного результата</w:t>
            </w:r>
            <w:r w:rsidR="00514396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Pr="007101FE">
              <w:rPr>
                <w:b w:val="0"/>
                <w:bCs w:val="0"/>
                <w:sz w:val="18"/>
                <w:szCs w:val="18"/>
                <w:lang w:val="ru-RU"/>
              </w:rPr>
              <w:t>текущее значение – значение к 2020 г.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28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8B2A3C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0234D7" w:rsidRPr="007101FE" w:rsidTr="00DE6DE4">
        <w:tc>
          <w:tcPr>
            <w:tcW w:w="4041" w:type="dxa"/>
          </w:tcPr>
          <w:p w:rsidR="000234D7" w:rsidRPr="007101FE" w:rsidRDefault="000234D7" w:rsidP="00F07265">
            <w:pPr>
              <w:spacing w:before="30" w:after="30"/>
              <w:rPr>
                <w:rFonts w:eastAsia="Calibri" w:cs="Arial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="00BA6A14"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7101FE">
              <w:rPr>
                <w:sz w:val="18"/>
                <w:szCs w:val="18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</w:tc>
        <w:tc>
          <w:tcPr>
            <w:tcW w:w="7642" w:type="dxa"/>
          </w:tcPr>
          <w:p w:rsidR="00A52DAA" w:rsidRPr="007101FE" w:rsidRDefault="00A52DAA" w:rsidP="00FA0B7B">
            <w:pPr>
              <w:spacing w:before="30" w:after="30"/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Количест</w:t>
            </w:r>
            <w:r w:rsidR="00CE4318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во технических публикаций МСЭ-Т, 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содержащих важнейшие элементы доступности ИКТ:</w:t>
            </w:r>
            <w:r w:rsidR="00CE4318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2010–2014 гг.: 4; 2015 г.:</w:t>
            </w:r>
            <w:r w:rsidR="00CD5BF7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4;</w:t>
            </w:r>
            <w:r w:rsidR="00CE4318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улучшающих доступност</w:t>
            </w:r>
            <w:r w:rsidR="00C45E16" w:rsidRPr="007101FE">
              <w:rPr>
                <w:rFonts w:eastAsia="Calibri" w:cs="Arial"/>
                <w:sz w:val="18"/>
                <w:szCs w:val="18"/>
                <w:lang w:val="ru-RU"/>
              </w:rPr>
              <w:t>ь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или содержащих требовани</w:t>
            </w:r>
            <w:r w:rsidR="00EC54DE" w:rsidRPr="007101FE">
              <w:rPr>
                <w:rFonts w:eastAsia="Calibri" w:cs="Arial"/>
                <w:sz w:val="18"/>
                <w:szCs w:val="18"/>
                <w:lang w:val="ru-RU"/>
              </w:rPr>
              <w:t>я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по доступности или встроенные функции </w:t>
            </w:r>
            <w:r w:rsidR="00757171" w:rsidRPr="007101FE">
              <w:rPr>
                <w:rFonts w:eastAsia="Calibri" w:cs="Arial"/>
                <w:sz w:val="18"/>
                <w:szCs w:val="18"/>
                <w:lang w:val="ru-RU"/>
              </w:rPr>
              <w:t>доступности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="00CE4318"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2010</w:t>
            </w:r>
            <w:r w:rsidR="00757171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–</w:t>
            </w:r>
            <w:r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2014</w:t>
            </w:r>
            <w:r w:rsidR="00757171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гг.</w:t>
            </w:r>
            <w:r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 30, 2015</w:t>
            </w:r>
            <w:r w:rsidR="00757171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г.</w:t>
            </w:r>
            <w:r w:rsidR="009E74C0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:</w:t>
            </w:r>
            <w:r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10</w:t>
            </w:r>
            <w:r w:rsidR="00CE4318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; 2017</w:t>
            </w:r>
            <w:r w:rsidR="006E7BE4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 xml:space="preserve"> г.: </w:t>
            </w:r>
            <w:r w:rsidR="00FA0B7B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будет подтверждено дополнительно</w:t>
            </w:r>
            <w:r w:rsidR="006E7BE4" w:rsidRPr="007101FE">
              <w:rPr>
                <w:rFonts w:eastAsia="Calibri" w:cs="Arial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2884" w:type="dxa"/>
          </w:tcPr>
          <w:p w:rsidR="000234D7" w:rsidRPr="007101FE" w:rsidRDefault="00514396" w:rsidP="00FA0B7B">
            <w:pPr>
              <w:spacing w:before="30" w:after="30"/>
              <w:rPr>
                <w:color w:val="948A54" w:themeColor="background2" w:themeShade="80"/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Ссылки в Рекомендациях МСЭ</w:t>
            </w:r>
          </w:p>
        </w:tc>
      </w:tr>
      <w:tr w:rsidR="000234D7" w:rsidRPr="007101FE" w:rsidTr="00DE6DE4">
        <w:tc>
          <w:tcPr>
            <w:tcW w:w="4041" w:type="dxa"/>
          </w:tcPr>
          <w:p w:rsidR="000234D7" w:rsidRPr="007101FE" w:rsidRDefault="000234D7" w:rsidP="00CE4318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="00BA6A14"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7101FE">
              <w:rPr>
                <w:sz w:val="18"/>
                <w:szCs w:val="18"/>
                <w:lang w:val="ru-RU"/>
              </w:rPr>
              <w:t xml:space="preserve">Расширение участия организаций лиц с ограниченными возможностями </w:t>
            </w:r>
            <w:r w:rsidR="00CE4318" w:rsidRPr="007101FE">
              <w:rPr>
                <w:sz w:val="18"/>
                <w:szCs w:val="18"/>
                <w:lang w:val="ru-RU"/>
              </w:rPr>
              <w:t>(...)</w:t>
            </w:r>
            <w:r w:rsidR="003F790B" w:rsidRPr="007101FE">
              <w:rPr>
                <w:sz w:val="18"/>
                <w:szCs w:val="18"/>
                <w:lang w:val="ru-RU"/>
              </w:rPr>
              <w:t xml:space="preserve"> в работе Союза</w:t>
            </w:r>
          </w:p>
        </w:tc>
        <w:tc>
          <w:tcPr>
            <w:tcW w:w="7642" w:type="dxa"/>
          </w:tcPr>
          <w:p w:rsidR="009E74C0" w:rsidRPr="007101FE" w:rsidRDefault="00CE4318" w:rsidP="00CE4318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</w:t>
            </w:r>
            <w:r w:rsidR="00EC54DE" w:rsidRPr="007101FE">
              <w:rPr>
                <w:sz w:val="18"/>
                <w:szCs w:val="18"/>
                <w:lang w:val="ru-RU"/>
              </w:rPr>
              <w:t xml:space="preserve">оличество </w:t>
            </w:r>
            <w:r w:rsidR="00C45E16" w:rsidRPr="007101FE">
              <w:rPr>
                <w:sz w:val="18"/>
                <w:szCs w:val="18"/>
                <w:lang w:val="ru-RU"/>
              </w:rPr>
              <w:t>собраний с сурдопереводом:</w:t>
            </w:r>
            <w:r w:rsidR="005C66C0" w:rsidRPr="007101FE">
              <w:rPr>
                <w:i/>
                <w:iCs/>
                <w:sz w:val="18"/>
                <w:szCs w:val="18"/>
                <w:lang w:val="ru-RU"/>
              </w:rPr>
              <w:t xml:space="preserve"> 2014 г.: 4</w:t>
            </w:r>
          </w:p>
          <w:p w:rsidR="009E74C0" w:rsidRPr="007101FE" w:rsidRDefault="005C66C0" w:rsidP="005C66C0">
            <w:pPr>
              <w:spacing w:before="30" w:after="30"/>
              <w:rPr>
                <w:i/>
                <w:iCs/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Количество </w:t>
            </w:r>
            <w:r w:rsidR="00C45E16" w:rsidRPr="007101FE">
              <w:rPr>
                <w:sz w:val="18"/>
                <w:szCs w:val="18"/>
                <w:lang w:val="ru-RU"/>
              </w:rPr>
              <w:t>собраний, сопровождаемых субтитрами:</w:t>
            </w:r>
            <w:r w:rsidR="00C45E16" w:rsidRPr="007101FE">
              <w:rPr>
                <w:i/>
                <w:iCs/>
                <w:sz w:val="18"/>
                <w:szCs w:val="18"/>
                <w:lang w:val="ru-RU"/>
              </w:rPr>
              <w:t xml:space="preserve"> 2014 г.: 16</w:t>
            </w:r>
          </w:p>
          <w:p w:rsidR="00C45E16" w:rsidRPr="007101FE" w:rsidRDefault="005C66C0" w:rsidP="004F344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Э</w:t>
            </w:r>
            <w:r w:rsidR="00C45E16" w:rsidRPr="007101FE">
              <w:rPr>
                <w:sz w:val="18"/>
                <w:szCs w:val="18"/>
                <w:lang w:val="ru-RU"/>
              </w:rPr>
              <w:t>ксперт</w:t>
            </w:r>
            <w:r w:rsidRPr="007101FE">
              <w:rPr>
                <w:sz w:val="18"/>
                <w:szCs w:val="18"/>
                <w:lang w:val="ru-RU"/>
              </w:rPr>
              <w:t>ы</w:t>
            </w:r>
            <w:r w:rsidR="00C45E16" w:rsidRPr="007101FE">
              <w:rPr>
                <w:sz w:val="18"/>
                <w:szCs w:val="18"/>
                <w:lang w:val="ru-RU"/>
              </w:rPr>
              <w:t xml:space="preserve"> с ограниченными возможностями, финансир</w:t>
            </w:r>
            <w:r w:rsidR="004F3445" w:rsidRPr="007101FE">
              <w:rPr>
                <w:sz w:val="18"/>
                <w:szCs w:val="18"/>
                <w:lang w:val="ru-RU"/>
              </w:rPr>
              <w:t>уемые</w:t>
            </w:r>
            <w:r w:rsidR="00C45E16" w:rsidRPr="007101FE">
              <w:rPr>
                <w:sz w:val="18"/>
                <w:szCs w:val="18"/>
                <w:lang w:val="ru-RU"/>
              </w:rPr>
              <w:t xml:space="preserve"> БСЭ: </w:t>
            </w:r>
            <w:r w:rsidR="00C45E16" w:rsidRPr="007101FE">
              <w:rPr>
                <w:i/>
                <w:iCs/>
                <w:sz w:val="18"/>
                <w:szCs w:val="18"/>
                <w:lang w:val="ru-RU"/>
              </w:rPr>
              <w:t>2014 г.: 7</w:t>
            </w:r>
          </w:p>
        </w:tc>
        <w:tc>
          <w:tcPr>
            <w:tcW w:w="2884" w:type="dxa"/>
          </w:tcPr>
          <w:p w:rsidR="000234D7" w:rsidRPr="007101FE" w:rsidRDefault="00514396" w:rsidP="00996EFE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757171" w:rsidRPr="007101FE">
              <w:rPr>
                <w:sz w:val="18"/>
                <w:szCs w:val="18"/>
                <w:lang w:val="ru-RU"/>
              </w:rPr>
              <w:t>МСЭ-Т</w:t>
            </w:r>
          </w:p>
        </w:tc>
      </w:tr>
      <w:tr w:rsidR="000234D7" w:rsidRPr="004C277B" w:rsidTr="00DE6DE4">
        <w:tc>
          <w:tcPr>
            <w:tcW w:w="4041" w:type="dxa"/>
          </w:tcPr>
          <w:p w:rsidR="000234D7" w:rsidRPr="007101FE" w:rsidRDefault="000234D7" w:rsidP="005C66C0">
            <w:pPr>
              <w:spacing w:before="30" w:after="30"/>
              <w:rPr>
                <w:rFonts w:eastAsia="Calibri" w:cs="Arial"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="00BA6A14"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="003F790B" w:rsidRPr="007101FE">
              <w:rPr>
                <w:sz w:val="18"/>
                <w:szCs w:val="18"/>
                <w:lang w:val="ru-RU"/>
              </w:rPr>
              <w:t xml:space="preserve">Повышение осознания </w:t>
            </w:r>
            <w:r w:rsidR="005C66C0" w:rsidRPr="007101FE">
              <w:rPr>
                <w:sz w:val="18"/>
                <w:szCs w:val="18"/>
                <w:lang w:val="ru-RU"/>
              </w:rPr>
              <w:t>(...)</w:t>
            </w:r>
            <w:r w:rsidR="003F790B" w:rsidRPr="007101FE">
              <w:rPr>
                <w:sz w:val="18"/>
                <w:szCs w:val="18"/>
                <w:lang w:val="ru-RU"/>
              </w:rPr>
              <w:t xml:space="preserve">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7642" w:type="dxa"/>
          </w:tcPr>
          <w:p w:rsidR="009E74C0" w:rsidRPr="007101FE" w:rsidRDefault="00DE0EAE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Количество стран, где имеется</w:t>
            </w:r>
            <w:r w:rsidR="00B876C2" w:rsidRPr="007101FE">
              <w:rPr>
                <w:sz w:val="18"/>
                <w:szCs w:val="18"/>
                <w:lang w:val="ru-RU"/>
              </w:rPr>
              <w:t xml:space="preserve"> политика в области доступности</w:t>
            </w:r>
            <w:r w:rsidR="00C45E16" w:rsidRPr="007101FE">
              <w:rPr>
                <w:sz w:val="18"/>
                <w:szCs w:val="18"/>
                <w:lang w:val="ru-RU"/>
              </w:rPr>
              <w:t>:</w:t>
            </w:r>
          </w:p>
          <w:p w:rsidR="000234D7" w:rsidRPr="007101FE" w:rsidRDefault="00C45E16" w:rsidP="004F3445">
            <w:pPr>
              <w:spacing w:before="30" w:after="30"/>
              <w:rPr>
                <w:sz w:val="18"/>
                <w:szCs w:val="18"/>
                <w:highlight w:val="cyan"/>
                <w:lang w:val="ru-RU"/>
              </w:rPr>
            </w:pPr>
            <w:r w:rsidRPr="007101FE">
              <w:rPr>
                <w:i/>
                <w:iCs/>
                <w:sz w:val="18"/>
                <w:szCs w:val="18"/>
                <w:lang w:val="ru-RU"/>
              </w:rPr>
              <w:t>2015 г.: 40 из 98 обследованных стран заявили о наличии нормативно-правовой базы по обеспечению доступности ИКТ для лиц с ограниченными возможностями</w:t>
            </w:r>
          </w:p>
        </w:tc>
        <w:tc>
          <w:tcPr>
            <w:tcW w:w="2884" w:type="dxa"/>
          </w:tcPr>
          <w:p w:rsidR="000234D7" w:rsidRPr="007101FE" w:rsidRDefault="00514396" w:rsidP="00F07265">
            <w:pPr>
              <w:spacing w:before="30" w:after="3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 xml:space="preserve">Данные </w:t>
            </w:r>
            <w:r w:rsidR="00796102" w:rsidRPr="007101FE">
              <w:rPr>
                <w:sz w:val="18"/>
                <w:szCs w:val="18"/>
                <w:lang w:val="ru-RU"/>
              </w:rPr>
              <w:t>МСЭ-D</w:t>
            </w:r>
            <w:r w:rsidR="000234D7" w:rsidRPr="007101FE">
              <w:rPr>
                <w:sz w:val="18"/>
                <w:szCs w:val="18"/>
                <w:lang w:val="ru-RU"/>
              </w:rPr>
              <w:t xml:space="preserve"> (</w:t>
            </w:r>
            <w:r w:rsidR="00796102" w:rsidRPr="007101FE">
              <w:rPr>
                <w:sz w:val="18"/>
                <w:szCs w:val="18"/>
                <w:lang w:val="ru-RU"/>
              </w:rPr>
              <w:t>Обследование по вопросам регулирования</w:t>
            </w:r>
            <w:r w:rsidRPr="007101FE">
              <w:rPr>
                <w:sz w:val="18"/>
                <w:szCs w:val="18"/>
                <w:lang w:val="ru-RU"/>
              </w:rPr>
              <w:t>)</w:t>
            </w:r>
          </w:p>
        </w:tc>
      </w:tr>
    </w:tbl>
    <w:p w:rsidR="000234D7" w:rsidRPr="007101FE" w:rsidRDefault="000234D7" w:rsidP="00DE6DE4">
      <w:pPr>
        <w:rPr>
          <w:lang w:val="ru-RU"/>
        </w:rPr>
      </w:pPr>
    </w:p>
    <w:tbl>
      <w:tblPr>
        <w:tblStyle w:val="GridTable4-Accent11"/>
        <w:tblW w:w="14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20" w:firstRow="1" w:lastRow="0" w:firstColumn="0" w:lastColumn="0" w:noHBand="1" w:noVBand="1"/>
      </w:tblPr>
      <w:tblGrid>
        <w:gridCol w:w="8784"/>
        <w:gridCol w:w="1445"/>
        <w:gridCol w:w="1446"/>
        <w:gridCol w:w="1446"/>
        <w:gridCol w:w="1446"/>
      </w:tblGrid>
      <w:tr w:rsidR="000234D7" w:rsidRPr="004C277B" w:rsidTr="00DE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675E8F" w:rsidP="000A684D">
            <w:pPr>
              <w:spacing w:before="80" w:after="80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8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34D7" w:rsidRPr="007101FE" w:rsidRDefault="003F790B" w:rsidP="008B2A3C">
            <w:pPr>
              <w:pageBreakBefore/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Финансовые ресурсы</w:t>
            </w:r>
            <w:r w:rsidR="000234D7" w:rsidRPr="007101FE">
              <w:rPr>
                <w:rStyle w:val="FootnoteReference"/>
                <w:b w:val="0"/>
                <w:bCs w:val="0"/>
                <w:szCs w:val="16"/>
                <w:lang w:val="ru-RU"/>
              </w:rPr>
              <w:footnoteReference w:id="6"/>
            </w:r>
            <w:r w:rsidR="000234D7" w:rsidRPr="007101FE">
              <w:rPr>
                <w:sz w:val="18"/>
                <w:szCs w:val="18"/>
                <w:lang w:val="ru-RU"/>
              </w:rPr>
              <w:t xml:space="preserve"> 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(</w:t>
            </w:r>
            <w:r w:rsidR="00675E8F" w:rsidRPr="007101FE">
              <w:rPr>
                <w:b w:val="0"/>
                <w:bCs w:val="0"/>
                <w:sz w:val="18"/>
                <w:szCs w:val="18"/>
                <w:lang w:val="ru-RU"/>
              </w:rPr>
              <w:t>в тыс. швейцарских франков</w:t>
            </w:r>
            <w:r w:rsidR="000234D7" w:rsidRPr="007101FE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33266" w:rsidRPr="007101FE" w:rsidTr="00DE6DE4">
        <w:tc>
          <w:tcPr>
            <w:tcW w:w="8784" w:type="dxa"/>
          </w:tcPr>
          <w:p w:rsidR="00833266" w:rsidRPr="007101FE" w:rsidRDefault="00833266" w:rsidP="00833266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445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201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9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CE4318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1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446" w:type="dxa"/>
          </w:tcPr>
          <w:p w:rsidR="00833266" w:rsidRPr="007101FE" w:rsidRDefault="00833266" w:rsidP="00833266">
            <w:pPr>
              <w:spacing w:before="40" w:after="4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</w:t>
            </w:r>
            <w:r w:rsidR="00CE4318"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022</w:t>
            </w: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г.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I.5-1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sz w:val="18"/>
                <w:szCs w:val="18"/>
                <w:lang w:val="ru-RU"/>
              </w:rPr>
              <w:t xml:space="preserve"> Отчеты, руководящие указания и контрольные перечни по вопросам доступности электросвязи/ИКТ</w:t>
            </w:r>
          </w:p>
        </w:tc>
        <w:tc>
          <w:tcPr>
            <w:tcW w:w="1445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395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412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414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382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5C66C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I.5-2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sz w:val="18"/>
                <w:szCs w:val="18"/>
                <w:lang w:val="ru-RU"/>
              </w:rPr>
              <w:t xml:space="preserve"> Мобилизация ресурсов и специальных технических знаний, например, способствуя расширению участия лиц с ограниченными возможностями </w:t>
            </w:r>
            <w:r w:rsidR="005C66C0" w:rsidRPr="007101FE">
              <w:rPr>
                <w:sz w:val="18"/>
                <w:szCs w:val="18"/>
                <w:lang w:val="ru-RU"/>
              </w:rPr>
              <w:t>(...)</w:t>
            </w:r>
          </w:p>
        </w:tc>
        <w:tc>
          <w:tcPr>
            <w:tcW w:w="1445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66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74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76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I.5-3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Pr="007101FE">
              <w:rPr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445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44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38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39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42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I.5-4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:</w:t>
            </w:r>
            <w:r w:rsidRPr="007101FE">
              <w:rPr>
                <w:sz w:val="18"/>
                <w:szCs w:val="18"/>
                <w:lang w:val="ru-RU"/>
              </w:rPr>
              <w:t xml:space="preserve"> Информационно-пропагандистские мероприятия как на уровне ООН, так и на региональном и национальном уровнях</w:t>
            </w:r>
          </w:p>
        </w:tc>
        <w:tc>
          <w:tcPr>
            <w:tcW w:w="1445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47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73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46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Распределение затрат на Полномочную конференцию и виды деятельности Совета (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ПК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 xml:space="preserve">, </w:t>
            </w:r>
            <w:r w:rsidRPr="007101FE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  <w:t>Совет/РГС</w:t>
            </w:r>
            <w:r w:rsidRPr="007101FE">
              <w:rPr>
                <w:rFonts w:eastAsia="Calibr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1445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17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21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sz w:val="18"/>
                <w:szCs w:val="18"/>
                <w:lang w:val="ru-RU"/>
              </w:rPr>
              <w:t>33</w:t>
            </w:r>
          </w:p>
        </w:tc>
      </w:tr>
      <w:tr w:rsidR="00CE4318" w:rsidRPr="007101FE" w:rsidTr="00DE6DE4">
        <w:tc>
          <w:tcPr>
            <w:tcW w:w="8784" w:type="dxa"/>
          </w:tcPr>
          <w:p w:rsidR="00CE4318" w:rsidRPr="007101FE" w:rsidRDefault="00CE4318" w:rsidP="00CE4318">
            <w:pPr>
              <w:spacing w:before="40" w:after="4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  <w:t>Всего для Задачи I.5</w:t>
            </w:r>
          </w:p>
        </w:tc>
        <w:tc>
          <w:tcPr>
            <w:tcW w:w="1445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595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589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622</w:t>
            </w:r>
          </w:p>
        </w:tc>
        <w:tc>
          <w:tcPr>
            <w:tcW w:w="1446" w:type="dxa"/>
            <w:vAlign w:val="center"/>
          </w:tcPr>
          <w:p w:rsidR="00CE4318" w:rsidRPr="007101FE" w:rsidRDefault="00CE4318" w:rsidP="00CE4318">
            <w:pPr>
              <w:spacing w:before="40" w:after="40"/>
              <w:ind w:right="284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576</w:t>
            </w:r>
          </w:p>
        </w:tc>
      </w:tr>
    </w:tbl>
    <w:p w:rsidR="00DE6DE4" w:rsidRPr="007101FE" w:rsidRDefault="00DE6D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Times New Roman Bold"/>
          <w:b/>
          <w:sz w:val="26"/>
          <w:lang w:val="ru-RU"/>
        </w:rPr>
      </w:pPr>
      <w:r w:rsidRPr="007101FE">
        <w:rPr>
          <w:lang w:val="ru-RU"/>
        </w:rPr>
        <w:br w:type="page"/>
      </w:r>
    </w:p>
    <w:p w:rsidR="000234D7" w:rsidRPr="007101FE" w:rsidRDefault="005C66C0" w:rsidP="00395F0D">
      <w:pPr>
        <w:pStyle w:val="Heading1"/>
        <w:spacing w:before="240"/>
        <w:rPr>
          <w:lang w:val="ru-RU"/>
        </w:rPr>
      </w:pPr>
      <w:r w:rsidRPr="007101FE">
        <w:rPr>
          <w:lang w:val="ru-RU"/>
        </w:rPr>
        <w:t>6</w:t>
      </w:r>
      <w:r w:rsidR="00951CF8" w:rsidRPr="007101FE">
        <w:rPr>
          <w:lang w:val="ru-RU"/>
        </w:rPr>
        <w:tab/>
      </w:r>
      <w:r w:rsidR="00906344" w:rsidRPr="007101FE">
        <w:rPr>
          <w:lang w:val="ru-RU"/>
        </w:rPr>
        <w:t>Выполнение Оперативного плана</w:t>
      </w:r>
    </w:p>
    <w:p w:rsidR="009E74C0" w:rsidRPr="007101FE" w:rsidRDefault="00906344" w:rsidP="005C66C0">
      <w:pPr>
        <w:rPr>
          <w:lang w:val="ru-RU"/>
        </w:rPr>
      </w:pPr>
      <w:r w:rsidRPr="007101FE">
        <w:rPr>
          <w:lang w:val="ru-RU"/>
        </w:rPr>
        <w:t>Достижение намеченных результатов деятельности</w:t>
      </w:r>
      <w:r w:rsidR="00B65265" w:rsidRPr="007101FE">
        <w:rPr>
          <w:lang w:val="ru-RU"/>
        </w:rPr>
        <w:t xml:space="preserve"> и предоставление вспомогательных услуг</w:t>
      </w:r>
      <w:r w:rsidRPr="007101FE">
        <w:rPr>
          <w:lang w:val="ru-RU"/>
        </w:rPr>
        <w:t xml:space="preserve"> </w:t>
      </w:r>
      <w:r w:rsidR="002458C2" w:rsidRPr="007101FE">
        <w:rPr>
          <w:lang w:val="ru-RU"/>
        </w:rPr>
        <w:t>буду</w:t>
      </w:r>
      <w:r w:rsidRPr="007101FE">
        <w:rPr>
          <w:lang w:val="ru-RU"/>
        </w:rPr>
        <w:t xml:space="preserve">т обеспечиваться </w:t>
      </w:r>
      <w:r w:rsidR="00B65265" w:rsidRPr="007101FE">
        <w:rPr>
          <w:lang w:val="ru-RU"/>
        </w:rPr>
        <w:t>ответственными</w:t>
      </w:r>
      <w:r w:rsidRPr="007101FE">
        <w:rPr>
          <w:lang w:val="ru-RU"/>
        </w:rPr>
        <w:t xml:space="preserve"> департаментами </w:t>
      </w:r>
      <w:r w:rsidR="005C66C0" w:rsidRPr="007101FE">
        <w:rPr>
          <w:lang w:val="ru-RU"/>
        </w:rPr>
        <w:t>ГС</w:t>
      </w:r>
      <w:r w:rsidRPr="007101FE">
        <w:rPr>
          <w:lang w:val="ru-RU"/>
        </w:rPr>
        <w:t xml:space="preserve">, которые осуществляют деятельность </w:t>
      </w:r>
      <w:r w:rsidR="00B65265" w:rsidRPr="007101FE">
        <w:rPr>
          <w:lang w:val="ru-RU"/>
        </w:rPr>
        <w:t>в рамках</w:t>
      </w:r>
      <w:r w:rsidRPr="007101FE">
        <w:rPr>
          <w:lang w:val="ru-RU"/>
        </w:rPr>
        <w:t xml:space="preserve"> внутренни</w:t>
      </w:r>
      <w:r w:rsidR="00B65265" w:rsidRPr="007101FE">
        <w:rPr>
          <w:lang w:val="ru-RU"/>
        </w:rPr>
        <w:t>х</w:t>
      </w:r>
      <w:r w:rsidRPr="007101FE">
        <w:rPr>
          <w:lang w:val="ru-RU"/>
        </w:rPr>
        <w:t xml:space="preserve"> план</w:t>
      </w:r>
      <w:r w:rsidR="00B65265" w:rsidRPr="007101FE">
        <w:rPr>
          <w:lang w:val="ru-RU"/>
        </w:rPr>
        <w:t>ов</w:t>
      </w:r>
      <w:r w:rsidRPr="007101FE">
        <w:rPr>
          <w:lang w:val="ru-RU"/>
        </w:rPr>
        <w:t xml:space="preserve"> работы каждого департамента</w:t>
      </w:r>
      <w:r w:rsidR="00B65265" w:rsidRPr="007101FE">
        <w:rPr>
          <w:lang w:val="ru-RU"/>
        </w:rPr>
        <w:t xml:space="preserve"> и в соответствии с соглашениями об уровне обслуживания (для предоставления внутренних услуг)</w:t>
      </w:r>
      <w:r w:rsidR="00BF456F" w:rsidRPr="007101FE">
        <w:rPr>
          <w:lang w:val="ru-RU"/>
        </w:rPr>
        <w:t xml:space="preserve">; в выполнении настоящего </w:t>
      </w:r>
      <w:r w:rsidR="005B2E45" w:rsidRPr="007101FE">
        <w:rPr>
          <w:lang w:val="ru-RU"/>
        </w:rPr>
        <w:t xml:space="preserve">Оперативного </w:t>
      </w:r>
      <w:r w:rsidR="00BF456F" w:rsidRPr="007101FE">
        <w:rPr>
          <w:lang w:val="ru-RU"/>
        </w:rPr>
        <w:t>плана примут участие региональные отделения</w:t>
      </w:r>
      <w:r w:rsidR="00B65265" w:rsidRPr="007101FE">
        <w:rPr>
          <w:lang w:val="ru-RU"/>
        </w:rPr>
        <w:t xml:space="preserve">. Достижение намеченных результатов деятельности и предоставление вспомогательных услуг </w:t>
      </w:r>
      <w:r w:rsidR="005418D5" w:rsidRPr="007101FE">
        <w:rPr>
          <w:lang w:val="ru-RU"/>
        </w:rPr>
        <w:t>планируются, контролируются и оцениваю</w:t>
      </w:r>
      <w:r w:rsidR="00B65265" w:rsidRPr="007101FE">
        <w:rPr>
          <w:lang w:val="ru-RU"/>
        </w:rPr>
        <w:t>тся руководством МСЭ</w:t>
      </w:r>
      <w:r w:rsidRPr="007101FE">
        <w:rPr>
          <w:lang w:val="ru-RU"/>
        </w:rPr>
        <w:t xml:space="preserve">, с тем чтобы увязать персональную аттестацию </w:t>
      </w:r>
      <w:r w:rsidR="00B65265" w:rsidRPr="007101FE">
        <w:rPr>
          <w:lang w:val="ru-RU"/>
        </w:rPr>
        <w:t>сотрудников</w:t>
      </w:r>
      <w:r w:rsidRPr="007101FE">
        <w:rPr>
          <w:lang w:val="ru-RU"/>
        </w:rPr>
        <w:t xml:space="preserve"> с задачами Стратегического плана МСЭ. В ежегодном отчете о выполнении Стратегического плана </w:t>
      </w:r>
      <w:r w:rsidR="00796102" w:rsidRPr="007101FE">
        <w:rPr>
          <w:lang w:val="ru-RU"/>
        </w:rPr>
        <w:t xml:space="preserve">сообщается о </w:t>
      </w:r>
      <w:r w:rsidRPr="007101FE">
        <w:rPr>
          <w:lang w:val="ru-RU"/>
        </w:rPr>
        <w:t>прогресс</w:t>
      </w:r>
      <w:r w:rsidR="00796102" w:rsidRPr="007101FE">
        <w:rPr>
          <w:lang w:val="ru-RU"/>
        </w:rPr>
        <w:t>е</w:t>
      </w:r>
      <w:r w:rsidRPr="007101FE">
        <w:rPr>
          <w:lang w:val="ru-RU"/>
        </w:rPr>
        <w:t xml:space="preserve">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определ</w:t>
      </w:r>
      <w:r w:rsidR="00B65265" w:rsidRPr="007101FE">
        <w:rPr>
          <w:lang w:val="ru-RU"/>
        </w:rPr>
        <w:t>яет риски</w:t>
      </w:r>
      <w:r w:rsidRPr="007101FE">
        <w:rPr>
          <w:lang w:val="ru-RU"/>
        </w:rPr>
        <w:t>,</w:t>
      </w:r>
      <w:r w:rsidR="00B65265" w:rsidRPr="007101FE">
        <w:rPr>
          <w:lang w:val="ru-RU"/>
        </w:rPr>
        <w:t xml:space="preserve"> проводит их</w:t>
      </w:r>
      <w:r w:rsidRPr="007101FE">
        <w:rPr>
          <w:lang w:val="ru-RU"/>
        </w:rPr>
        <w:t xml:space="preserve"> оценку и управл</w:t>
      </w:r>
      <w:r w:rsidR="00B65265" w:rsidRPr="007101FE">
        <w:rPr>
          <w:lang w:val="ru-RU"/>
        </w:rPr>
        <w:t>яет рисками</w:t>
      </w:r>
      <w:r w:rsidRPr="007101FE">
        <w:rPr>
          <w:lang w:val="ru-RU"/>
        </w:rPr>
        <w:t>, связанными с достижением соответствующих намеченных результатов деятельности и предоставлением вспомогательных услуг</w:t>
      </w:r>
      <w:r w:rsidR="00395F0D" w:rsidRPr="007101FE">
        <w:rPr>
          <w:lang w:val="ru-RU"/>
        </w:rPr>
        <w:t>.</w:t>
      </w:r>
    </w:p>
    <w:p w:rsidR="00951CF8" w:rsidRPr="007101FE" w:rsidRDefault="00906344" w:rsidP="00395F0D">
      <w:pPr>
        <w:pStyle w:val="AnnexNo"/>
        <w:pageBreakBefore/>
        <w:spacing w:before="0" w:after="0"/>
        <w:rPr>
          <w:lang w:val="ru-RU"/>
        </w:rPr>
      </w:pPr>
      <w:r w:rsidRPr="007101FE">
        <w:rPr>
          <w:lang w:val="ru-RU"/>
        </w:rPr>
        <w:t>Приложение</w:t>
      </w:r>
      <w:r w:rsidR="00951CF8" w:rsidRPr="007101FE">
        <w:rPr>
          <w:lang w:val="ru-RU"/>
        </w:rPr>
        <w:t xml:space="preserve"> 1</w:t>
      </w:r>
    </w:p>
    <w:p w:rsidR="000234D7" w:rsidRPr="007101FE" w:rsidRDefault="00906344" w:rsidP="009E7D4A">
      <w:pPr>
        <w:pStyle w:val="Annextitle"/>
        <w:spacing w:before="120" w:after="240"/>
        <w:rPr>
          <w:lang w:val="ru-RU"/>
        </w:rPr>
      </w:pPr>
      <w:r w:rsidRPr="007101FE">
        <w:rPr>
          <w:lang w:val="ru-RU"/>
        </w:rPr>
        <w:t>Распределение ресурсов на межсекторальные задачи и стратегические цели МСЭ</w:t>
      </w:r>
    </w:p>
    <w:tbl>
      <w:tblPr>
        <w:tblW w:w="14586" w:type="dxa"/>
        <w:tblInd w:w="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1"/>
        <w:gridCol w:w="1275"/>
        <w:gridCol w:w="1134"/>
        <w:gridCol w:w="1276"/>
        <w:gridCol w:w="1278"/>
        <w:gridCol w:w="504"/>
        <w:gridCol w:w="896"/>
        <w:gridCol w:w="980"/>
        <w:gridCol w:w="1176"/>
        <w:gridCol w:w="1162"/>
        <w:gridCol w:w="181"/>
        <w:gridCol w:w="793"/>
        <w:gridCol w:w="793"/>
        <w:gridCol w:w="793"/>
        <w:gridCol w:w="794"/>
      </w:tblGrid>
      <w:tr w:rsidR="00575EE0" w:rsidRPr="007101FE" w:rsidTr="00DE6DE4">
        <w:tc>
          <w:tcPr>
            <w:tcW w:w="155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C66C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Межсекторальные задачи МСЭ на </w:t>
            </w:r>
            <w:r w:rsidR="00BF57B3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2</w:t>
            </w: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01</w:t>
            </w:r>
            <w:r w:rsidR="005C66C0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9</w:t>
            </w: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27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13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ГС/прямые затраты</w:t>
            </w:r>
          </w:p>
        </w:tc>
        <w:tc>
          <w:tcPr>
            <w:tcW w:w="1276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перераспре</w:t>
            </w:r>
            <w:r w:rsidR="00032213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 xml:space="preserve">деленные </w:t>
            </w:r>
            <w:r w:rsidR="00032213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br/>
            </w: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от ГС</w:t>
            </w:r>
          </w:p>
        </w:tc>
        <w:tc>
          <w:tcPr>
            <w:tcW w:w="127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Затраты, распреде</w:t>
            </w:r>
            <w:r w:rsidR="00032213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-</w:t>
            </w: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ленные Бюро</w:t>
            </w: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580067" w:rsidRPr="007101FE" w:rsidRDefault="00580067" w:rsidP="00575EE0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1: Рост</w:t>
            </w: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2: Открытость</w:t>
            </w: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3: Устойчивость</w:t>
            </w: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4: Инновации и партнерство</w:t>
            </w:r>
          </w:p>
        </w:tc>
        <w:tc>
          <w:tcPr>
            <w:tcW w:w="18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jc w:val="center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2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3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0067" w:rsidRPr="007101FE" w:rsidRDefault="00580067" w:rsidP="00575EE0">
            <w:pPr>
              <w:spacing w:before="40" w:after="40"/>
              <w:ind w:left="-57" w:right="-57"/>
              <w:jc w:val="center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Цель 4</w:t>
            </w:r>
          </w:p>
        </w:tc>
      </w:tr>
      <w:tr w:rsidR="005C66C0" w:rsidRPr="007101FE" w:rsidTr="00DE6DE4"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I.1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3 462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581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2 849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50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sz w:val="18"/>
                <w:szCs w:val="18"/>
                <w:lang w:val="ru-RU"/>
              </w:rPr>
              <w:t>Перераспределение</w:t>
            </w: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519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519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519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1 904</w:t>
            </w:r>
          </w:p>
        </w:tc>
      </w:tr>
      <w:tr w:rsidR="005C66C0" w:rsidRPr="007101FE" w:rsidTr="00DE6DE4"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I.2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2 356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485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1 868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55%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353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353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353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1 296</w:t>
            </w:r>
          </w:p>
        </w:tc>
      </w:tr>
      <w:tr w:rsidR="005C66C0" w:rsidRPr="007101FE" w:rsidTr="00DE6DE4"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2 774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2 054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277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1 942</w:t>
            </w:r>
          </w:p>
        </w:tc>
      </w:tr>
      <w:tr w:rsidR="005C66C0" w:rsidRPr="007101FE" w:rsidTr="00DE6DE4"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I.4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1 453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1 414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726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726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</w:t>
            </w:r>
          </w:p>
        </w:tc>
      </w:tr>
      <w:tr w:rsidR="005C66C0" w:rsidRPr="007101FE" w:rsidTr="00DE6DE4">
        <w:tc>
          <w:tcPr>
            <w:tcW w:w="155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I.5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595</w:t>
            </w:r>
          </w:p>
        </w:tc>
        <w:tc>
          <w:tcPr>
            <w:tcW w:w="11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369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175</w:t>
            </w:r>
          </w:p>
        </w:tc>
        <w:tc>
          <w:tcPr>
            <w:tcW w:w="50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jc w:val="center"/>
              <w:rPr>
                <w:rFonts w:eastAsiaTheme="minorEastAsia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98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1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81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595</w:t>
            </w:r>
          </w:p>
        </w:tc>
        <w:tc>
          <w:tcPr>
            <w:tcW w:w="79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9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7101FE">
              <w:rPr>
                <w:sz w:val="18"/>
                <w:szCs w:val="18"/>
                <w:lang w:val="ru-RU"/>
              </w:rPr>
              <w:t>0</w:t>
            </w:r>
          </w:p>
        </w:tc>
      </w:tr>
      <w:tr w:rsidR="005C66C0" w:rsidRPr="007101FE" w:rsidTr="00DE6DE4">
        <w:tc>
          <w:tcPr>
            <w:tcW w:w="1551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75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10 640</w:t>
            </w:r>
          </w:p>
        </w:tc>
        <w:tc>
          <w:tcPr>
            <w:tcW w:w="113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tabs>
                <w:tab w:val="clear" w:pos="794"/>
              </w:tabs>
              <w:spacing w:before="60" w:after="60"/>
              <w:ind w:right="284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</w:p>
        </w:tc>
        <w:tc>
          <w:tcPr>
            <w:tcW w:w="50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89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76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162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181" w:type="dxa"/>
            <w:shd w:val="clear" w:color="auto" w:fill="4F81BD" w:themeFill="accent1"/>
            <w:tcMar>
              <w:left w:w="57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rFonts w:eastAsiaTheme="minorEastAsia"/>
                <w:color w:val="FFFFFF" w:themeColor="background1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1 150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2 471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1 877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66C0" w:rsidRPr="007101FE" w:rsidRDefault="005C66C0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5 142</w:t>
            </w:r>
          </w:p>
        </w:tc>
      </w:tr>
      <w:tr w:rsidR="00665C2B" w:rsidRPr="007101FE" w:rsidTr="00DE6DE4">
        <w:tc>
          <w:tcPr>
            <w:tcW w:w="11413" w:type="dxa"/>
            <w:gridSpan w:val="11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7101FE" w:rsidRDefault="00665C2B" w:rsidP="00665C2B">
            <w:pPr>
              <w:spacing w:before="60" w:after="60"/>
              <w:ind w:firstLine="501"/>
              <w:rPr>
                <w:rFonts w:eastAsiaTheme="minorEastAsia"/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7101FE" w:rsidRDefault="005C66C0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10,8</w:t>
            </w:r>
            <w:r w:rsidR="00665C2B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7101FE" w:rsidRDefault="005C66C0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23,2</w:t>
            </w:r>
            <w:r w:rsidR="00665C2B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%</w:t>
            </w:r>
          </w:p>
        </w:tc>
        <w:tc>
          <w:tcPr>
            <w:tcW w:w="793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7101FE" w:rsidRDefault="005C66C0" w:rsidP="00665C2B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17,6</w:t>
            </w:r>
            <w:r w:rsidR="00665C2B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%</w:t>
            </w:r>
          </w:p>
        </w:tc>
        <w:tc>
          <w:tcPr>
            <w:tcW w:w="794" w:type="dxa"/>
            <w:shd w:val="clear" w:color="auto" w:fill="4F81BD" w:themeFill="accent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65C2B" w:rsidRPr="007101FE" w:rsidRDefault="00665C2B" w:rsidP="005C66C0">
            <w:pPr>
              <w:spacing w:before="60" w:after="60"/>
              <w:ind w:right="113"/>
              <w:jc w:val="right"/>
              <w:rPr>
                <w:b/>
                <w:bCs/>
                <w:color w:val="FFFFFF"/>
                <w:sz w:val="18"/>
                <w:szCs w:val="18"/>
                <w:lang w:val="ru-RU"/>
              </w:rPr>
            </w:pP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48,</w:t>
            </w:r>
            <w:r w:rsidR="005C66C0"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3</w:t>
            </w:r>
            <w:r w:rsidRPr="007101FE">
              <w:rPr>
                <w:b/>
                <w:bCs/>
                <w:color w:val="FFFFFF"/>
                <w:sz w:val="18"/>
                <w:szCs w:val="18"/>
                <w:lang w:val="ru-RU"/>
              </w:rPr>
              <w:t>%</w:t>
            </w:r>
          </w:p>
        </w:tc>
      </w:tr>
    </w:tbl>
    <w:p w:rsidR="005C66C0" w:rsidRPr="007101FE" w:rsidRDefault="005C66C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7101FE">
        <w:rPr>
          <w:lang w:val="ru-RU"/>
        </w:rPr>
        <w:br w:type="page"/>
      </w:r>
    </w:p>
    <w:p w:rsidR="000D2D21" w:rsidRPr="007101FE" w:rsidRDefault="00E65E84" w:rsidP="000D2D21">
      <w:pPr>
        <w:pStyle w:val="AnnexNo"/>
        <w:spacing w:before="0" w:after="0"/>
        <w:rPr>
          <w:lang w:val="ru-RU"/>
        </w:rPr>
      </w:pPr>
      <w:r w:rsidRPr="007101FE">
        <w:rPr>
          <w:lang w:val="ru-RU"/>
        </w:rPr>
        <w:t>Приложение</w:t>
      </w:r>
      <w:r w:rsidR="000D2D21" w:rsidRPr="007101FE">
        <w:rPr>
          <w:lang w:val="ru-RU"/>
        </w:rPr>
        <w:t xml:space="preserve"> 2</w:t>
      </w:r>
    </w:p>
    <w:p w:rsidR="00424E7C" w:rsidRPr="007101FE" w:rsidRDefault="00323F60" w:rsidP="00424E7C">
      <w:pPr>
        <w:pStyle w:val="Annextitle"/>
        <w:spacing w:before="120" w:after="240"/>
        <w:rPr>
          <w:lang w:val="ru-RU"/>
        </w:rPr>
      </w:pPr>
      <w:r w:rsidRPr="007101FE">
        <w:rPr>
          <w:lang w:val="ru-RU"/>
        </w:rPr>
        <w:t>Р</w:t>
      </w:r>
      <w:r w:rsidR="00E65E84" w:rsidRPr="007101FE">
        <w:rPr>
          <w:lang w:val="ru-RU"/>
        </w:rPr>
        <w:t>аспределение ресурсов вспомогательных услуг Генерального секретариата на задачи и стратегические цели МСЭ</w:t>
      </w:r>
    </w:p>
    <w:p w:rsidR="00424E7C" w:rsidRPr="007101FE" w:rsidRDefault="00424E7C" w:rsidP="008E247B">
      <w:pPr>
        <w:pStyle w:val="Annexref"/>
        <w:keepNext w:val="0"/>
        <w:keepLines w:val="0"/>
        <w:spacing w:before="0" w:after="60"/>
        <w:jc w:val="left"/>
        <w:rPr>
          <w:sz w:val="18"/>
          <w:szCs w:val="18"/>
          <w:lang w:val="ru-RU"/>
        </w:rPr>
      </w:pPr>
      <w:r w:rsidRPr="007101FE">
        <w:rPr>
          <w:sz w:val="18"/>
          <w:szCs w:val="18"/>
          <w:lang w:val="ru-RU"/>
        </w:rPr>
        <w:t>На 201</w:t>
      </w:r>
      <w:r w:rsidR="005C66C0" w:rsidRPr="007101FE">
        <w:rPr>
          <w:sz w:val="18"/>
          <w:szCs w:val="18"/>
          <w:lang w:val="ru-RU"/>
        </w:rPr>
        <w:t>9</w:t>
      </w:r>
      <w:r w:rsidRPr="007101FE">
        <w:rPr>
          <w:sz w:val="18"/>
          <w:szCs w:val="18"/>
          <w:lang w:val="ru-RU"/>
        </w:rPr>
        <w:t xml:space="preserve"> год:</w:t>
      </w:r>
    </w:p>
    <w:tbl>
      <w:tblPr>
        <w:tblStyle w:val="TableGrid"/>
        <w:tblW w:w="1466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462"/>
        <w:gridCol w:w="553"/>
        <w:gridCol w:w="554"/>
        <w:gridCol w:w="554"/>
        <w:gridCol w:w="554"/>
        <w:gridCol w:w="553"/>
        <w:gridCol w:w="554"/>
        <w:gridCol w:w="554"/>
        <w:gridCol w:w="554"/>
        <w:gridCol w:w="554"/>
        <w:gridCol w:w="477"/>
        <w:gridCol w:w="642"/>
        <w:gridCol w:w="140"/>
        <w:gridCol w:w="616"/>
        <w:gridCol w:w="616"/>
        <w:gridCol w:w="602"/>
        <w:gridCol w:w="602"/>
      </w:tblGrid>
      <w:tr w:rsidR="00530D3A" w:rsidRPr="007101FE" w:rsidTr="004B546E">
        <w:tc>
          <w:tcPr>
            <w:tcW w:w="1555" w:type="dxa"/>
            <w:shd w:val="clear" w:color="auto" w:fill="4F81BD" w:themeFill="accent1"/>
            <w:vAlign w:val="center"/>
          </w:tcPr>
          <w:p w:rsidR="000D2D21" w:rsidRPr="007101FE" w:rsidRDefault="000D2D21" w:rsidP="000D2D21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bookmarkStart w:id="6" w:name="OLE_LINK1"/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Вспомогательные затраты ГС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R.2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R.3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T.1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T.2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T.3</w:t>
            </w:r>
          </w:p>
        </w:tc>
        <w:tc>
          <w:tcPr>
            <w:tcW w:w="56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T.4</w:t>
            </w:r>
          </w:p>
        </w:tc>
        <w:tc>
          <w:tcPr>
            <w:tcW w:w="462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T.5</w:t>
            </w:r>
          </w:p>
        </w:tc>
        <w:tc>
          <w:tcPr>
            <w:tcW w:w="553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D.4</w:t>
            </w:r>
          </w:p>
        </w:tc>
        <w:tc>
          <w:tcPr>
            <w:tcW w:w="553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D.5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I.1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I.2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I.3</w:t>
            </w:r>
          </w:p>
        </w:tc>
        <w:tc>
          <w:tcPr>
            <w:tcW w:w="554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I.4</w:t>
            </w:r>
          </w:p>
        </w:tc>
        <w:tc>
          <w:tcPr>
            <w:tcW w:w="477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I.5</w:t>
            </w:r>
          </w:p>
        </w:tc>
        <w:tc>
          <w:tcPr>
            <w:tcW w:w="642" w:type="dxa"/>
            <w:shd w:val="clear" w:color="auto" w:fill="4F81BD" w:themeFill="accent1"/>
            <w:vAlign w:val="center"/>
          </w:tcPr>
          <w:p w:rsidR="000D2D21" w:rsidRPr="007101FE" w:rsidRDefault="00B965A3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40" w:type="dxa"/>
            <w:shd w:val="clear" w:color="auto" w:fill="4F81BD" w:themeFill="accent1"/>
            <w:vAlign w:val="center"/>
          </w:tcPr>
          <w:p w:rsidR="000D2D21" w:rsidRPr="007101FE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7101FE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616" w:type="dxa"/>
            <w:shd w:val="clear" w:color="auto" w:fill="4F81BD" w:themeFill="accent1"/>
            <w:vAlign w:val="center"/>
          </w:tcPr>
          <w:p w:rsidR="000D2D21" w:rsidRPr="007101FE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7101FE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602" w:type="dxa"/>
            <w:shd w:val="clear" w:color="auto" w:fill="4F81BD" w:themeFill="accent1"/>
            <w:vAlign w:val="center"/>
          </w:tcPr>
          <w:p w:rsidR="000D2D21" w:rsidRPr="007101FE" w:rsidRDefault="000D2D21" w:rsidP="000D2D21">
            <w:pPr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Цель 4</w:t>
            </w:r>
          </w:p>
        </w:tc>
      </w:tr>
      <w:tr w:rsidR="0094769B" w:rsidRPr="007101FE" w:rsidTr="004B546E">
        <w:tc>
          <w:tcPr>
            <w:tcW w:w="1555" w:type="dxa"/>
          </w:tcPr>
          <w:p w:rsidR="0094769B" w:rsidRPr="007101FE" w:rsidRDefault="006E7B39" w:rsidP="006E7B39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Стоимость документации</w:t>
            </w:r>
          </w:p>
        </w:tc>
        <w:tc>
          <w:tcPr>
            <w:tcW w:w="567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5 286</w:t>
            </w:r>
          </w:p>
        </w:tc>
        <w:tc>
          <w:tcPr>
            <w:tcW w:w="567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2 397</w:t>
            </w:r>
          </w:p>
        </w:tc>
        <w:tc>
          <w:tcPr>
            <w:tcW w:w="567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1 581</w:t>
            </w:r>
          </w:p>
        </w:tc>
        <w:tc>
          <w:tcPr>
            <w:tcW w:w="567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174</w:t>
            </w:r>
          </w:p>
        </w:tc>
        <w:tc>
          <w:tcPr>
            <w:tcW w:w="567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701</w:t>
            </w:r>
          </w:p>
        </w:tc>
        <w:tc>
          <w:tcPr>
            <w:tcW w:w="567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567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726</w:t>
            </w:r>
          </w:p>
        </w:tc>
        <w:tc>
          <w:tcPr>
            <w:tcW w:w="462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553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1 193</w:t>
            </w:r>
          </w:p>
        </w:tc>
        <w:tc>
          <w:tcPr>
            <w:tcW w:w="554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702</w:t>
            </w:r>
          </w:p>
        </w:tc>
        <w:tc>
          <w:tcPr>
            <w:tcW w:w="554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266</w:t>
            </w:r>
          </w:p>
        </w:tc>
        <w:tc>
          <w:tcPr>
            <w:tcW w:w="554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578</w:t>
            </w:r>
          </w:p>
        </w:tc>
        <w:tc>
          <w:tcPr>
            <w:tcW w:w="553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554" w:type="dxa"/>
            <w:vAlign w:val="bottom"/>
          </w:tcPr>
          <w:p w:rsidR="0094769B" w:rsidRPr="007101FE" w:rsidRDefault="005C66C0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310</w:t>
            </w:r>
          </w:p>
        </w:tc>
        <w:tc>
          <w:tcPr>
            <w:tcW w:w="554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348</w:t>
            </w:r>
          </w:p>
        </w:tc>
        <w:tc>
          <w:tcPr>
            <w:tcW w:w="554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360</w:t>
            </w:r>
          </w:p>
        </w:tc>
        <w:tc>
          <w:tcPr>
            <w:tcW w:w="554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477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64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14 724</w:t>
            </w:r>
          </w:p>
        </w:tc>
        <w:tc>
          <w:tcPr>
            <w:tcW w:w="140" w:type="dxa"/>
            <w:shd w:val="clear" w:color="auto" w:fill="4F81BD" w:themeFill="accent1"/>
            <w:vAlign w:val="bottom"/>
          </w:tcPr>
          <w:p w:rsidR="0094769B" w:rsidRPr="007101FE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5 034</w:t>
            </w:r>
          </w:p>
        </w:tc>
        <w:tc>
          <w:tcPr>
            <w:tcW w:w="616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6 927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1 268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1 495</w:t>
            </w:r>
          </w:p>
        </w:tc>
      </w:tr>
      <w:tr w:rsidR="0094769B" w:rsidRPr="007101FE" w:rsidTr="004B546E">
        <w:tc>
          <w:tcPr>
            <w:tcW w:w="1555" w:type="dxa"/>
          </w:tcPr>
          <w:p w:rsidR="0094769B" w:rsidRPr="007101FE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Административные</w:t>
            </w:r>
            <w:r w:rsidR="00BA0FFE" w:rsidRPr="007101FE">
              <w:rPr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56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11 846</w:t>
            </w:r>
          </w:p>
        </w:tc>
        <w:tc>
          <w:tcPr>
            <w:tcW w:w="56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2 099</w:t>
            </w:r>
          </w:p>
        </w:tc>
        <w:tc>
          <w:tcPr>
            <w:tcW w:w="56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3 895</w:t>
            </w:r>
          </w:p>
        </w:tc>
        <w:tc>
          <w:tcPr>
            <w:tcW w:w="56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4 129</w:t>
            </w:r>
          </w:p>
        </w:tc>
        <w:tc>
          <w:tcPr>
            <w:tcW w:w="56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1 889</w:t>
            </w:r>
          </w:p>
        </w:tc>
        <w:tc>
          <w:tcPr>
            <w:tcW w:w="56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1 042</w:t>
            </w:r>
          </w:p>
        </w:tc>
        <w:tc>
          <w:tcPr>
            <w:tcW w:w="56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1 379</w:t>
            </w:r>
          </w:p>
        </w:tc>
        <w:tc>
          <w:tcPr>
            <w:tcW w:w="462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288</w:t>
            </w:r>
          </w:p>
        </w:tc>
        <w:tc>
          <w:tcPr>
            <w:tcW w:w="553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2 779</w:t>
            </w:r>
          </w:p>
        </w:tc>
        <w:tc>
          <w:tcPr>
            <w:tcW w:w="554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5 363</w:t>
            </w:r>
          </w:p>
        </w:tc>
        <w:tc>
          <w:tcPr>
            <w:tcW w:w="554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2 882</w:t>
            </w:r>
          </w:p>
        </w:tc>
        <w:tc>
          <w:tcPr>
            <w:tcW w:w="554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5 701</w:t>
            </w:r>
          </w:p>
        </w:tc>
        <w:tc>
          <w:tcPr>
            <w:tcW w:w="553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1 684</w:t>
            </w:r>
          </w:p>
        </w:tc>
        <w:tc>
          <w:tcPr>
            <w:tcW w:w="554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976</w:t>
            </w:r>
          </w:p>
        </w:tc>
        <w:tc>
          <w:tcPr>
            <w:tcW w:w="554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630</w:t>
            </w:r>
          </w:p>
        </w:tc>
        <w:tc>
          <w:tcPr>
            <w:tcW w:w="554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713</w:t>
            </w:r>
          </w:p>
        </w:tc>
        <w:tc>
          <w:tcPr>
            <w:tcW w:w="554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479</w:t>
            </w:r>
          </w:p>
        </w:tc>
        <w:tc>
          <w:tcPr>
            <w:tcW w:w="477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183</w:t>
            </w:r>
          </w:p>
        </w:tc>
        <w:tc>
          <w:tcPr>
            <w:tcW w:w="642" w:type="dxa"/>
            <w:vAlign w:val="bottom"/>
          </w:tcPr>
          <w:p w:rsidR="0094769B" w:rsidRPr="007101FE" w:rsidRDefault="00861632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47 957</w:t>
            </w:r>
          </w:p>
        </w:tc>
        <w:tc>
          <w:tcPr>
            <w:tcW w:w="140" w:type="dxa"/>
            <w:shd w:val="clear" w:color="auto" w:fill="4F81BD" w:themeFill="accent1"/>
            <w:vAlign w:val="bottom"/>
          </w:tcPr>
          <w:p w:rsidR="0094769B" w:rsidRPr="007101FE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7101FE" w:rsidRDefault="007D0A3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17</w:t>
            </w:r>
            <w:r w:rsidR="0047781A" w:rsidRPr="007101FE">
              <w:rPr>
                <w:sz w:val="16"/>
                <w:szCs w:val="16"/>
                <w:lang w:val="ru-RU"/>
              </w:rPr>
              <w:t xml:space="preserve"> 004</w:t>
            </w:r>
          </w:p>
        </w:tc>
        <w:tc>
          <w:tcPr>
            <w:tcW w:w="616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21 481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5 512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3 960</w:t>
            </w:r>
          </w:p>
        </w:tc>
      </w:tr>
      <w:tr w:rsidR="0094769B" w:rsidRPr="007101FE" w:rsidTr="004B546E">
        <w:tc>
          <w:tcPr>
            <w:tcW w:w="1555" w:type="dxa"/>
          </w:tcPr>
          <w:p w:rsidR="0094769B" w:rsidRPr="007101FE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4 518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801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1 486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1 575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720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398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526</w:t>
            </w:r>
          </w:p>
        </w:tc>
        <w:tc>
          <w:tcPr>
            <w:tcW w:w="462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110</w:t>
            </w:r>
          </w:p>
        </w:tc>
        <w:tc>
          <w:tcPr>
            <w:tcW w:w="553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1 060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2 045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1 099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2 174</w:t>
            </w:r>
          </w:p>
        </w:tc>
        <w:tc>
          <w:tcPr>
            <w:tcW w:w="553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642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372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240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272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183</w:t>
            </w:r>
          </w:p>
        </w:tc>
        <w:tc>
          <w:tcPr>
            <w:tcW w:w="47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642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18 292</w:t>
            </w:r>
          </w:p>
        </w:tc>
        <w:tc>
          <w:tcPr>
            <w:tcW w:w="140" w:type="dxa"/>
            <w:shd w:val="clear" w:color="auto" w:fill="4F81BD" w:themeFill="accent1"/>
            <w:vAlign w:val="bottom"/>
          </w:tcPr>
          <w:p w:rsidR="0094769B" w:rsidRPr="007101FE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6 486</w:t>
            </w:r>
          </w:p>
        </w:tc>
        <w:tc>
          <w:tcPr>
            <w:tcW w:w="616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8 193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2 103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1 510</w:t>
            </w:r>
          </w:p>
        </w:tc>
      </w:tr>
      <w:tr w:rsidR="0094769B" w:rsidRPr="007101FE" w:rsidTr="004B546E">
        <w:tc>
          <w:tcPr>
            <w:tcW w:w="1555" w:type="dxa"/>
          </w:tcPr>
          <w:p w:rsidR="0094769B" w:rsidRPr="007101FE" w:rsidRDefault="0094769B" w:rsidP="0094769B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Межсекторальные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533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116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554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167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462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56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302</w:t>
            </w:r>
          </w:p>
        </w:tc>
        <w:tc>
          <w:tcPr>
            <w:tcW w:w="462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257</w:t>
            </w:r>
          </w:p>
        </w:tc>
        <w:tc>
          <w:tcPr>
            <w:tcW w:w="553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182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679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218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363</w:t>
            </w:r>
          </w:p>
        </w:tc>
        <w:tc>
          <w:tcPr>
            <w:tcW w:w="553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151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1 488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991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1 061</w:t>
            </w:r>
          </w:p>
        </w:tc>
        <w:tc>
          <w:tcPr>
            <w:tcW w:w="554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746</w:t>
            </w:r>
          </w:p>
        </w:tc>
        <w:tc>
          <w:tcPr>
            <w:tcW w:w="477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114</w:t>
            </w:r>
          </w:p>
        </w:tc>
        <w:tc>
          <w:tcPr>
            <w:tcW w:w="642" w:type="dxa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8 421</w:t>
            </w:r>
          </w:p>
        </w:tc>
        <w:tc>
          <w:tcPr>
            <w:tcW w:w="140" w:type="dxa"/>
            <w:shd w:val="clear" w:color="auto" w:fill="4F81BD" w:themeFill="accent1"/>
            <w:vAlign w:val="bottom"/>
          </w:tcPr>
          <w:p w:rsidR="0094769B" w:rsidRPr="007101FE" w:rsidRDefault="0094769B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1 886</w:t>
            </w:r>
          </w:p>
        </w:tc>
        <w:tc>
          <w:tcPr>
            <w:tcW w:w="616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2 984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1 211</w:t>
            </w:r>
          </w:p>
        </w:tc>
        <w:tc>
          <w:tcPr>
            <w:tcW w:w="602" w:type="dxa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sz w:val="16"/>
                <w:szCs w:val="16"/>
                <w:lang w:val="ru-RU"/>
              </w:rPr>
            </w:pPr>
            <w:r w:rsidRPr="007101FE">
              <w:rPr>
                <w:sz w:val="16"/>
                <w:szCs w:val="16"/>
                <w:lang w:val="ru-RU"/>
              </w:rPr>
              <w:t>2 341</w:t>
            </w:r>
          </w:p>
        </w:tc>
      </w:tr>
      <w:tr w:rsidR="0094769B" w:rsidRPr="007101FE" w:rsidTr="004B546E">
        <w:tc>
          <w:tcPr>
            <w:tcW w:w="1555" w:type="dxa"/>
            <w:shd w:val="clear" w:color="auto" w:fill="4F81BD" w:themeFill="accent1"/>
          </w:tcPr>
          <w:p w:rsidR="0094769B" w:rsidRPr="007101FE" w:rsidRDefault="0094769B" w:rsidP="0094769B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22 183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5 413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7 516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6 045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3 771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1 500</w:t>
            </w:r>
          </w:p>
        </w:tc>
        <w:tc>
          <w:tcPr>
            <w:tcW w:w="56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2 933</w:t>
            </w:r>
          </w:p>
        </w:tc>
        <w:tc>
          <w:tcPr>
            <w:tcW w:w="462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663</w:t>
            </w:r>
          </w:p>
        </w:tc>
        <w:tc>
          <w:tcPr>
            <w:tcW w:w="553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5 215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8 789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4 466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8 816</w:t>
            </w:r>
          </w:p>
        </w:tc>
        <w:tc>
          <w:tcPr>
            <w:tcW w:w="553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2 533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3 146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2 209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2 405</w:t>
            </w:r>
          </w:p>
        </w:tc>
        <w:tc>
          <w:tcPr>
            <w:tcW w:w="554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1 420</w:t>
            </w:r>
          </w:p>
        </w:tc>
        <w:tc>
          <w:tcPr>
            <w:tcW w:w="477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372</w:t>
            </w:r>
          </w:p>
        </w:tc>
        <w:tc>
          <w:tcPr>
            <w:tcW w:w="642" w:type="dxa"/>
            <w:shd w:val="clear" w:color="auto" w:fill="4F81BD" w:themeFill="accent1"/>
            <w:vAlign w:val="bottom"/>
          </w:tcPr>
          <w:p w:rsidR="0094769B" w:rsidRPr="007101FE" w:rsidRDefault="0078169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89 393</w:t>
            </w:r>
          </w:p>
        </w:tc>
        <w:tc>
          <w:tcPr>
            <w:tcW w:w="140" w:type="dxa"/>
            <w:shd w:val="clear" w:color="auto" w:fill="4F81BD" w:themeFill="accent1"/>
            <w:vAlign w:val="bottom"/>
          </w:tcPr>
          <w:p w:rsidR="0094769B" w:rsidRPr="007101FE" w:rsidRDefault="0094769B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30 410</w:t>
            </w:r>
          </w:p>
        </w:tc>
        <w:tc>
          <w:tcPr>
            <w:tcW w:w="616" w:type="dxa"/>
            <w:shd w:val="clear" w:color="auto" w:fill="4F81BD" w:themeFill="accent1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39 585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10 093</w:t>
            </w:r>
          </w:p>
        </w:tc>
        <w:tc>
          <w:tcPr>
            <w:tcW w:w="602" w:type="dxa"/>
            <w:shd w:val="clear" w:color="auto" w:fill="4F81BD" w:themeFill="accent1"/>
            <w:vAlign w:val="bottom"/>
          </w:tcPr>
          <w:p w:rsidR="0094769B" w:rsidRPr="007101FE" w:rsidRDefault="0047781A" w:rsidP="0094769B">
            <w:pPr>
              <w:spacing w:before="40" w:after="40"/>
              <w:jc w:val="right"/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</w:pPr>
            <w:r w:rsidRPr="007101FE">
              <w:rPr>
                <w:b/>
                <w:bCs/>
                <w:color w:val="FFFFFF" w:themeColor="background1"/>
                <w:sz w:val="16"/>
                <w:szCs w:val="16"/>
                <w:lang w:val="ru-RU"/>
              </w:rPr>
              <w:t>9 305</w:t>
            </w:r>
          </w:p>
        </w:tc>
      </w:tr>
    </w:tbl>
    <w:bookmarkEnd w:id="6"/>
    <w:p w:rsidR="000234D7" w:rsidRPr="007101FE" w:rsidRDefault="00323F60" w:rsidP="005C66C0">
      <w:pPr>
        <w:spacing w:before="240"/>
        <w:rPr>
          <w:lang w:val="ru-RU"/>
        </w:rPr>
      </w:pPr>
      <w:r w:rsidRPr="007101FE">
        <w:rPr>
          <w:lang w:val="ru-RU"/>
        </w:rPr>
        <w:t xml:space="preserve">В данной краткой версии распределения ресурсов от Генерального секретариата: </w:t>
      </w:r>
      <w:r w:rsidR="00B965A3" w:rsidRPr="007101FE">
        <w:rPr>
          <w:lang w:val="ru-RU"/>
        </w:rPr>
        <w:t xml:space="preserve">затраты </w:t>
      </w:r>
      <w:r w:rsidRPr="007101FE">
        <w:rPr>
          <w:lang w:val="ru-RU"/>
        </w:rPr>
        <w:t>на документацию включают затраты C&amp;P на письменный перевод, набор текста и репрографию;</w:t>
      </w:r>
      <w:r w:rsidR="005C66C0" w:rsidRPr="007101FE">
        <w:rPr>
          <w:lang w:val="ru-RU"/>
        </w:rPr>
        <w:t xml:space="preserve"> </w:t>
      </w:r>
      <w:r w:rsidR="00B965A3" w:rsidRPr="007101FE">
        <w:rPr>
          <w:lang w:val="ru-RU"/>
        </w:rPr>
        <w:t xml:space="preserve">затраты </w:t>
      </w:r>
      <w:r w:rsidRPr="007101FE">
        <w:rPr>
          <w:lang w:val="ru-RU"/>
        </w:rPr>
        <w:t>на административные услуги включают</w:t>
      </w:r>
      <w:r w:rsidR="000234D7" w:rsidRPr="007101FE">
        <w:rPr>
          <w:lang w:val="ru-RU"/>
        </w:rPr>
        <w:t xml:space="preserve"> </w:t>
      </w:r>
      <w:r w:rsidRPr="007101FE">
        <w:rPr>
          <w:lang w:val="ru-RU"/>
        </w:rPr>
        <w:t xml:space="preserve">затраты </w:t>
      </w:r>
      <w:r w:rsidR="000234D7" w:rsidRPr="007101FE">
        <w:rPr>
          <w:lang w:val="ru-RU"/>
        </w:rPr>
        <w:t xml:space="preserve">SGO, </w:t>
      </w:r>
      <w:r w:rsidR="00B965A3" w:rsidRPr="007101FE">
        <w:rPr>
          <w:lang w:val="ru-RU"/>
        </w:rPr>
        <w:t xml:space="preserve">юридического </w:t>
      </w:r>
      <w:r w:rsidRPr="007101FE">
        <w:rPr>
          <w:lang w:val="ru-RU"/>
        </w:rPr>
        <w:t>отдела</w:t>
      </w:r>
      <w:r w:rsidR="000234D7" w:rsidRPr="007101FE">
        <w:rPr>
          <w:lang w:val="ru-RU"/>
        </w:rPr>
        <w:t xml:space="preserve">, </w:t>
      </w:r>
      <w:r w:rsidR="00B965A3" w:rsidRPr="007101FE">
        <w:rPr>
          <w:lang w:val="ru-RU"/>
        </w:rPr>
        <w:t xml:space="preserve">подразделения </w:t>
      </w:r>
      <w:r w:rsidRPr="007101FE">
        <w:rPr>
          <w:lang w:val="ru-RU"/>
        </w:rPr>
        <w:t>аудита</w:t>
      </w:r>
      <w:r w:rsidR="000234D7" w:rsidRPr="007101FE">
        <w:rPr>
          <w:lang w:val="ru-RU"/>
        </w:rPr>
        <w:t xml:space="preserve">, IMAC, </w:t>
      </w:r>
      <w:r w:rsidRPr="007101FE">
        <w:rPr>
          <w:lang w:val="ru-RU"/>
        </w:rPr>
        <w:t>Управления по вопросам этики</w:t>
      </w:r>
      <w:r w:rsidR="000234D7" w:rsidRPr="007101FE">
        <w:rPr>
          <w:lang w:val="ru-RU"/>
        </w:rPr>
        <w:t xml:space="preserve">, </w:t>
      </w:r>
      <w:r w:rsidRPr="007101FE">
        <w:rPr>
          <w:lang w:val="ru-RU"/>
        </w:rPr>
        <w:t>Отдела безопасности</w:t>
      </w:r>
      <w:r w:rsidR="000234D7" w:rsidRPr="007101FE">
        <w:rPr>
          <w:lang w:val="ru-RU"/>
        </w:rPr>
        <w:t xml:space="preserve">, </w:t>
      </w:r>
      <w:r w:rsidRPr="007101FE">
        <w:rPr>
          <w:lang w:val="ru-RU"/>
        </w:rPr>
        <w:t>части</w:t>
      </w:r>
      <w:r w:rsidR="000234D7" w:rsidRPr="007101FE">
        <w:rPr>
          <w:lang w:val="ru-RU"/>
        </w:rPr>
        <w:t xml:space="preserve"> HRMD, FRMD, IS</w:t>
      </w:r>
      <w:r w:rsidRPr="007101FE">
        <w:rPr>
          <w:lang w:val="ru-RU"/>
        </w:rPr>
        <w:t>, за исключением Отдела конференций, АСХ</w:t>
      </w:r>
      <w:r w:rsidR="005418D5" w:rsidRPr="007101FE">
        <w:rPr>
          <w:lang w:val="ru-RU"/>
        </w:rPr>
        <w:t>И</w:t>
      </w:r>
      <w:r w:rsidR="000234D7" w:rsidRPr="007101FE">
        <w:rPr>
          <w:lang w:val="ru-RU"/>
        </w:rPr>
        <w:t xml:space="preserve">, 50% </w:t>
      </w:r>
      <w:r w:rsidRPr="007101FE">
        <w:rPr>
          <w:lang w:val="ru-RU"/>
        </w:rPr>
        <w:t xml:space="preserve">затрат на эксплуатацию зданий и </w:t>
      </w:r>
      <w:r w:rsidR="00B965A3" w:rsidRPr="007101FE">
        <w:rPr>
          <w:lang w:val="ru-RU"/>
        </w:rPr>
        <w:t>50% </w:t>
      </w:r>
      <w:r w:rsidRPr="007101FE">
        <w:rPr>
          <w:lang w:val="ru-RU"/>
        </w:rPr>
        <w:t>затрат на ИКТ</w:t>
      </w:r>
      <w:r w:rsidR="000234D7" w:rsidRPr="007101FE">
        <w:rPr>
          <w:lang w:val="ru-RU"/>
        </w:rPr>
        <w:t>;</w:t>
      </w:r>
      <w:r w:rsidR="005C66C0" w:rsidRPr="007101FE">
        <w:rPr>
          <w:lang w:val="ru-RU"/>
        </w:rPr>
        <w:t xml:space="preserve"> </w:t>
      </w:r>
      <w:r w:rsidR="00B965A3" w:rsidRPr="007101FE">
        <w:rPr>
          <w:lang w:val="ru-RU"/>
        </w:rPr>
        <w:t xml:space="preserve">затраты </w:t>
      </w:r>
      <w:r w:rsidR="00013C4A" w:rsidRPr="007101FE">
        <w:rPr>
          <w:lang w:val="ru-RU"/>
        </w:rPr>
        <w:t>на в</w:t>
      </w:r>
      <w:r w:rsidR="00657FAF" w:rsidRPr="007101FE">
        <w:rPr>
          <w:lang w:val="ru-RU"/>
        </w:rPr>
        <w:t xml:space="preserve">спомогательные услуги включают </w:t>
      </w:r>
      <w:r w:rsidR="00013C4A" w:rsidRPr="007101FE">
        <w:rPr>
          <w:lang w:val="ru-RU"/>
        </w:rPr>
        <w:t>затраты</w:t>
      </w:r>
      <w:r w:rsidR="000234D7" w:rsidRPr="007101FE">
        <w:rPr>
          <w:lang w:val="ru-RU"/>
        </w:rPr>
        <w:t xml:space="preserve"> C&amp;P, </w:t>
      </w:r>
      <w:r w:rsidR="00013C4A" w:rsidRPr="007101FE">
        <w:rPr>
          <w:lang w:val="ru-RU"/>
        </w:rPr>
        <w:t>части</w:t>
      </w:r>
      <w:r w:rsidR="000234D7" w:rsidRPr="007101FE">
        <w:rPr>
          <w:lang w:val="ru-RU"/>
        </w:rPr>
        <w:t xml:space="preserve"> HRMD, </w:t>
      </w:r>
      <w:r w:rsidR="00013C4A" w:rsidRPr="007101FE">
        <w:rPr>
          <w:lang w:val="ru-RU"/>
        </w:rPr>
        <w:t xml:space="preserve">поддержку </w:t>
      </w:r>
      <w:r w:rsidR="000234D7" w:rsidRPr="007101FE">
        <w:rPr>
          <w:lang w:val="ru-RU"/>
        </w:rPr>
        <w:t xml:space="preserve">IS </w:t>
      </w:r>
      <w:r w:rsidR="00013C4A" w:rsidRPr="007101FE">
        <w:rPr>
          <w:lang w:val="ru-RU"/>
        </w:rPr>
        <w:t>для конференций</w:t>
      </w:r>
      <w:r w:rsidR="000234D7" w:rsidRPr="007101FE">
        <w:rPr>
          <w:lang w:val="ru-RU"/>
        </w:rPr>
        <w:t xml:space="preserve">, 50% </w:t>
      </w:r>
      <w:r w:rsidR="00013C4A" w:rsidRPr="007101FE">
        <w:rPr>
          <w:lang w:val="ru-RU"/>
        </w:rPr>
        <w:t xml:space="preserve">затрат на эксплуатацию зданий и </w:t>
      </w:r>
      <w:r w:rsidR="000234D7" w:rsidRPr="007101FE">
        <w:rPr>
          <w:lang w:val="ru-RU"/>
        </w:rPr>
        <w:t xml:space="preserve">50% </w:t>
      </w:r>
      <w:r w:rsidR="00013C4A" w:rsidRPr="007101FE">
        <w:rPr>
          <w:lang w:val="ru-RU"/>
        </w:rPr>
        <w:t>затрат на ИКТ</w:t>
      </w:r>
      <w:r w:rsidR="000234D7" w:rsidRPr="007101FE">
        <w:rPr>
          <w:lang w:val="ru-RU"/>
        </w:rPr>
        <w:t>;</w:t>
      </w:r>
      <w:r w:rsidR="005C66C0" w:rsidRPr="007101FE">
        <w:rPr>
          <w:lang w:val="ru-RU"/>
        </w:rPr>
        <w:t xml:space="preserve"> </w:t>
      </w:r>
      <w:r w:rsidR="00B965A3" w:rsidRPr="007101FE">
        <w:rPr>
          <w:lang w:val="ru-RU"/>
        </w:rPr>
        <w:t xml:space="preserve">межсекторальные </w:t>
      </w:r>
      <w:r w:rsidR="00013C4A" w:rsidRPr="007101FE">
        <w:rPr>
          <w:lang w:val="ru-RU"/>
        </w:rPr>
        <w:t>затраты включают затраты</w:t>
      </w:r>
      <w:r w:rsidR="000234D7" w:rsidRPr="007101FE">
        <w:rPr>
          <w:lang w:val="ru-RU"/>
        </w:rPr>
        <w:t xml:space="preserve"> SPM</w:t>
      </w:r>
      <w:r w:rsidR="00013C4A" w:rsidRPr="007101FE">
        <w:rPr>
          <w:lang w:val="ru-RU"/>
        </w:rPr>
        <w:t xml:space="preserve">. </w:t>
      </w:r>
    </w:p>
    <w:p w:rsidR="000234D7" w:rsidRPr="007101FE" w:rsidRDefault="00013C4A" w:rsidP="005C66C0">
      <w:pPr>
        <w:rPr>
          <w:lang w:val="ru-RU"/>
        </w:rPr>
      </w:pPr>
      <w:r w:rsidRPr="007101FE">
        <w:rPr>
          <w:lang w:val="ru-RU"/>
        </w:rPr>
        <w:t xml:space="preserve">Статьи, включенные в полный список в разделе </w:t>
      </w:r>
      <w:r w:rsidR="005C66C0" w:rsidRPr="007101FE">
        <w:rPr>
          <w:lang w:val="ru-RU"/>
        </w:rPr>
        <w:t>2</w:t>
      </w:r>
      <w:r w:rsidR="000234D7" w:rsidRPr="007101FE">
        <w:rPr>
          <w:lang w:val="ru-RU"/>
        </w:rPr>
        <w:t>.</w:t>
      </w:r>
      <w:r w:rsidR="005C66C0" w:rsidRPr="007101FE">
        <w:rPr>
          <w:lang w:val="ru-RU"/>
        </w:rPr>
        <w:t>2</w:t>
      </w:r>
      <w:r w:rsidRPr="007101FE">
        <w:rPr>
          <w:lang w:val="ru-RU"/>
        </w:rPr>
        <w:t>, соответствуют следующим четырем категориям</w:t>
      </w:r>
      <w:r w:rsidR="000234D7" w:rsidRPr="007101FE">
        <w:rPr>
          <w:lang w:val="ru-RU"/>
        </w:rPr>
        <w:t>:</w:t>
      </w:r>
      <w:r w:rsidR="005C66C0" w:rsidRPr="007101FE">
        <w:rPr>
          <w:lang w:val="ru-RU"/>
        </w:rPr>
        <w:t xml:space="preserve"> </w:t>
      </w:r>
      <w:r w:rsidR="00B965A3" w:rsidRPr="007101FE">
        <w:rPr>
          <w:lang w:val="ru-RU"/>
        </w:rPr>
        <w:t xml:space="preserve">затраты </w:t>
      </w:r>
      <w:r w:rsidRPr="007101FE">
        <w:rPr>
          <w:lang w:val="ru-RU"/>
        </w:rPr>
        <w:t>на документацию</w:t>
      </w:r>
      <w:r w:rsidR="000234D7" w:rsidRPr="007101FE">
        <w:rPr>
          <w:lang w:val="ru-RU"/>
        </w:rPr>
        <w:t xml:space="preserve">: </w:t>
      </w:r>
      <w:r w:rsidRPr="007101FE">
        <w:rPr>
          <w:lang w:val="ru-RU"/>
        </w:rPr>
        <w:t>часть</w:t>
      </w:r>
      <w:r w:rsidR="000234D7" w:rsidRPr="007101FE">
        <w:rPr>
          <w:lang w:val="ru-RU"/>
        </w:rPr>
        <w:t xml:space="preserve"> S.2;</w:t>
      </w:r>
      <w:r w:rsidR="005C66C0" w:rsidRPr="007101FE">
        <w:rPr>
          <w:lang w:val="ru-RU"/>
        </w:rPr>
        <w:t xml:space="preserve"> </w:t>
      </w:r>
      <w:r w:rsidR="00B965A3" w:rsidRPr="007101FE">
        <w:rPr>
          <w:lang w:val="ru-RU"/>
        </w:rPr>
        <w:t xml:space="preserve">административные </w:t>
      </w:r>
      <w:r w:rsidRPr="007101FE">
        <w:rPr>
          <w:lang w:val="ru-RU"/>
        </w:rPr>
        <w:t>услуги</w:t>
      </w:r>
      <w:r w:rsidR="000234D7" w:rsidRPr="007101FE">
        <w:rPr>
          <w:lang w:val="ru-RU"/>
        </w:rPr>
        <w:t xml:space="preserve">: S.1, </w:t>
      </w:r>
      <w:r w:rsidRPr="007101FE">
        <w:rPr>
          <w:lang w:val="ru-RU"/>
        </w:rPr>
        <w:t>часть</w:t>
      </w:r>
      <w:r w:rsidR="000234D7" w:rsidRPr="007101FE">
        <w:rPr>
          <w:lang w:val="ru-RU"/>
        </w:rPr>
        <w:t xml:space="preserve"> S.4 </w:t>
      </w:r>
      <w:r w:rsidRPr="007101FE">
        <w:rPr>
          <w:lang w:val="ru-RU"/>
        </w:rPr>
        <w:t>минус доля затрат на ИКТ, S.5, S.6 минус доля затрат на эксплуатацию зданий</w:t>
      </w:r>
      <w:r w:rsidR="000234D7" w:rsidRPr="007101FE">
        <w:rPr>
          <w:lang w:val="ru-RU"/>
        </w:rPr>
        <w:t xml:space="preserve">, S.7, S.8 </w:t>
      </w:r>
      <w:r w:rsidRPr="007101FE">
        <w:rPr>
          <w:lang w:val="ru-RU"/>
        </w:rPr>
        <w:t>и</w:t>
      </w:r>
      <w:r w:rsidR="000234D7" w:rsidRPr="007101FE">
        <w:rPr>
          <w:lang w:val="ru-RU"/>
        </w:rPr>
        <w:t xml:space="preserve"> S.9;</w:t>
      </w:r>
      <w:r w:rsidR="005C66C0" w:rsidRPr="007101FE">
        <w:rPr>
          <w:lang w:val="ru-RU"/>
        </w:rPr>
        <w:t xml:space="preserve"> </w:t>
      </w:r>
      <w:r w:rsidR="00B965A3" w:rsidRPr="007101FE">
        <w:rPr>
          <w:lang w:val="ru-RU"/>
        </w:rPr>
        <w:t xml:space="preserve">вспомогательные </w:t>
      </w:r>
      <w:r w:rsidRPr="007101FE">
        <w:rPr>
          <w:lang w:val="ru-RU"/>
        </w:rPr>
        <w:t>услуги</w:t>
      </w:r>
      <w:r w:rsidR="000234D7" w:rsidRPr="007101FE">
        <w:rPr>
          <w:lang w:val="ru-RU"/>
        </w:rPr>
        <w:t xml:space="preserve">: S.2, S.3, </w:t>
      </w:r>
      <w:r w:rsidRPr="007101FE">
        <w:rPr>
          <w:lang w:val="ru-RU"/>
        </w:rPr>
        <w:t xml:space="preserve">доля затрат на ИКТ в </w:t>
      </w:r>
      <w:r w:rsidR="000234D7" w:rsidRPr="007101FE">
        <w:rPr>
          <w:lang w:val="ru-RU"/>
        </w:rPr>
        <w:t>S.</w:t>
      </w:r>
      <w:r w:rsidRPr="007101FE">
        <w:rPr>
          <w:lang w:val="ru-RU"/>
        </w:rPr>
        <w:t>4</w:t>
      </w:r>
      <w:r w:rsidR="000234D7" w:rsidRPr="007101FE">
        <w:rPr>
          <w:lang w:val="ru-RU"/>
        </w:rPr>
        <w:t xml:space="preserve">, </w:t>
      </w:r>
      <w:r w:rsidRPr="007101FE">
        <w:rPr>
          <w:lang w:val="ru-RU"/>
        </w:rPr>
        <w:t>а также доля затрат на оборудование в зданиях в</w:t>
      </w:r>
      <w:r w:rsidR="000234D7" w:rsidRPr="007101FE">
        <w:rPr>
          <w:lang w:val="ru-RU"/>
        </w:rPr>
        <w:t xml:space="preserve"> S.6;</w:t>
      </w:r>
      <w:r w:rsidR="005C66C0" w:rsidRPr="007101FE">
        <w:rPr>
          <w:lang w:val="ru-RU"/>
        </w:rPr>
        <w:t xml:space="preserve"> </w:t>
      </w:r>
      <w:r w:rsidR="00B965A3" w:rsidRPr="007101FE">
        <w:rPr>
          <w:lang w:val="ru-RU"/>
        </w:rPr>
        <w:t xml:space="preserve">межсекторальные </w:t>
      </w:r>
      <w:r w:rsidRPr="007101FE">
        <w:rPr>
          <w:lang w:val="ru-RU"/>
        </w:rPr>
        <w:t>затраты</w:t>
      </w:r>
      <w:r w:rsidR="000234D7" w:rsidRPr="007101FE">
        <w:rPr>
          <w:lang w:val="ru-RU"/>
        </w:rPr>
        <w:t>: S.10, S.11, S.12, S.13, S.14, S.15</w:t>
      </w:r>
      <w:r w:rsidRPr="007101FE">
        <w:rPr>
          <w:lang w:val="ru-RU"/>
        </w:rPr>
        <w:t xml:space="preserve"> и</w:t>
      </w:r>
      <w:r w:rsidR="000234D7" w:rsidRPr="007101FE">
        <w:rPr>
          <w:lang w:val="ru-RU"/>
        </w:rPr>
        <w:t xml:space="preserve"> S.16.</w:t>
      </w:r>
    </w:p>
    <w:p w:rsidR="00243FA7" w:rsidRPr="007101FE" w:rsidRDefault="00243FA7" w:rsidP="00B965A3">
      <w:pPr>
        <w:spacing w:before="480"/>
        <w:jc w:val="center"/>
        <w:rPr>
          <w:lang w:val="ru-RU"/>
        </w:rPr>
      </w:pPr>
      <w:r w:rsidRPr="007101FE">
        <w:rPr>
          <w:lang w:val="ru-RU"/>
        </w:rPr>
        <w:t>______________</w:t>
      </w:r>
    </w:p>
    <w:sectPr w:rsidR="00243FA7" w:rsidRPr="007101FE" w:rsidSect="00D16A89">
      <w:headerReference w:type="default" r:id="rId18"/>
      <w:footerReference w:type="default" r:id="rId19"/>
      <w:footerReference w:type="first" r:id="rId20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2C" w:rsidRDefault="0066342C">
      <w:r>
        <w:separator/>
      </w:r>
    </w:p>
  </w:endnote>
  <w:endnote w:type="continuationSeparator" w:id="0">
    <w:p w:rsidR="0066342C" w:rsidRDefault="0066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2C" w:rsidRDefault="0066342C" w:rsidP="00CF5B1E">
    <w:pPr>
      <w:spacing w:after="120"/>
      <w:jc w:val="center"/>
    </w:pPr>
    <w:r w:rsidRPr="001934ED">
      <w:t xml:space="preserve">• </w:t>
    </w:r>
    <w:hyperlink r:id="rId1" w:history="1">
      <w:r w:rsidRPr="001934ED">
        <w:rPr>
          <w:rStyle w:val="Hyperlink"/>
        </w:rPr>
        <w:t>http://www.itu.int/council</w:t>
      </w:r>
    </w:hyperlink>
    <w:r w:rsidRPr="001934ED">
      <w:t xml:space="preserve"> •</w:t>
    </w:r>
  </w:p>
  <w:p w:rsidR="0066342C" w:rsidRPr="00C91BB2" w:rsidRDefault="0066342C" w:rsidP="00C91BB2">
    <w:pPr>
      <w:pStyle w:val="Footer"/>
      <w:rPr>
        <w:lang w:val="fr-CH"/>
      </w:rPr>
    </w:pPr>
    <w:r w:rsidRPr="00C91BB2">
      <w:fldChar w:fldCharType="begin"/>
    </w:r>
    <w:r w:rsidRPr="00C91BB2">
      <w:rPr>
        <w:lang w:val="fr-CH"/>
      </w:rPr>
      <w:instrText xml:space="preserve"> FILENAME \p  \* MERGEFORMAT </w:instrText>
    </w:r>
    <w:r w:rsidRPr="00C91BB2">
      <w:fldChar w:fldCharType="separate"/>
    </w:r>
    <w:r w:rsidR="00266266">
      <w:rPr>
        <w:lang w:val="fr-CH"/>
      </w:rPr>
      <w:t>P:\RUS\SG\CONSEIL\C18\000\031R.docx</w:t>
    </w:r>
    <w:r w:rsidRPr="00C91BB2">
      <w:fldChar w:fldCharType="end"/>
    </w:r>
    <w:r w:rsidRPr="00C91BB2">
      <w:rPr>
        <w:lang w:val="fr-CH"/>
      </w:rPr>
      <w:t xml:space="preserve"> (425105)</w:t>
    </w:r>
    <w:r w:rsidRPr="00C91BB2">
      <w:rPr>
        <w:lang w:val="fr-CH"/>
      </w:rPr>
      <w:tab/>
    </w:r>
    <w:r w:rsidRPr="00C91BB2">
      <w:fldChar w:fldCharType="begin"/>
    </w:r>
    <w:r w:rsidRPr="00C91BB2">
      <w:instrText xml:space="preserve"> SAVEDATE \@ DD.MM.YY </w:instrText>
    </w:r>
    <w:r w:rsidRPr="00C91BB2">
      <w:fldChar w:fldCharType="separate"/>
    </w:r>
    <w:r w:rsidR="004C277B">
      <w:t>13.03.18</w:t>
    </w:r>
    <w:r w:rsidRPr="00C91BB2">
      <w:fldChar w:fldCharType="end"/>
    </w:r>
    <w:r w:rsidRPr="00C91BB2">
      <w:rPr>
        <w:lang w:val="fr-CH"/>
      </w:rPr>
      <w:tab/>
    </w:r>
    <w:r w:rsidRPr="00C91BB2">
      <w:fldChar w:fldCharType="begin"/>
    </w:r>
    <w:r w:rsidRPr="00C91BB2">
      <w:instrText xml:space="preserve"> PRINTDATE \@ DD.MM.YY </w:instrText>
    </w:r>
    <w:r w:rsidRPr="00C91BB2">
      <w:fldChar w:fldCharType="separate"/>
    </w:r>
    <w:r w:rsidR="00266266">
      <w:t>20.04.17</w:t>
    </w:r>
    <w:r w:rsidRPr="00C91BB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2C" w:rsidRPr="00C91BB2" w:rsidRDefault="0066342C" w:rsidP="00C91BB2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fr-CH"/>
      </w:rPr>
    </w:pPr>
    <w:r w:rsidRPr="00C91BB2">
      <w:fldChar w:fldCharType="begin"/>
    </w:r>
    <w:r w:rsidRPr="00C91BB2">
      <w:rPr>
        <w:lang w:val="fr-CH"/>
      </w:rPr>
      <w:instrText xml:space="preserve"> FILENAME \p  \* MERGEFORMAT </w:instrText>
    </w:r>
    <w:r w:rsidRPr="00C91BB2">
      <w:fldChar w:fldCharType="separate"/>
    </w:r>
    <w:r w:rsidR="00266266">
      <w:rPr>
        <w:lang w:val="fr-CH"/>
      </w:rPr>
      <w:t>P:\RUS\SG\CONSEIL\C18\000\031R.docx</w:t>
    </w:r>
    <w:r w:rsidRPr="00C91BB2">
      <w:fldChar w:fldCharType="end"/>
    </w:r>
    <w:r w:rsidRPr="00C91BB2">
      <w:rPr>
        <w:lang w:val="fr-CH"/>
      </w:rPr>
      <w:t xml:space="preserve"> (425105)</w:t>
    </w:r>
    <w:r w:rsidRPr="00C91BB2">
      <w:rPr>
        <w:lang w:val="fr-CH"/>
      </w:rPr>
      <w:tab/>
    </w:r>
    <w:r w:rsidRPr="00C91BB2">
      <w:fldChar w:fldCharType="begin"/>
    </w:r>
    <w:r w:rsidRPr="00C91BB2">
      <w:instrText xml:space="preserve"> SAVEDATE \@ DD.MM.YY </w:instrText>
    </w:r>
    <w:r w:rsidRPr="00C91BB2">
      <w:fldChar w:fldCharType="separate"/>
    </w:r>
    <w:r w:rsidR="004C277B">
      <w:t>13.03.18</w:t>
    </w:r>
    <w:r w:rsidRPr="00C91BB2">
      <w:fldChar w:fldCharType="end"/>
    </w:r>
    <w:r w:rsidRPr="00C91BB2">
      <w:rPr>
        <w:lang w:val="fr-CH"/>
      </w:rPr>
      <w:tab/>
    </w:r>
    <w:r w:rsidRPr="00C91BB2">
      <w:fldChar w:fldCharType="begin"/>
    </w:r>
    <w:r w:rsidRPr="00C91BB2">
      <w:instrText xml:space="preserve"> PRINTDATE \@ DD.MM.YY </w:instrText>
    </w:r>
    <w:r w:rsidRPr="00C91BB2">
      <w:fldChar w:fldCharType="separate"/>
    </w:r>
    <w:r w:rsidR="00266266">
      <w:t>20.04.17</w:t>
    </w:r>
    <w:r w:rsidRPr="00C91BB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2C" w:rsidRPr="00C91BB2" w:rsidRDefault="0066342C" w:rsidP="00C91BB2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lang w:val="fr-CH"/>
      </w:rPr>
    </w:pPr>
    <w:r w:rsidRPr="00C91BB2">
      <w:fldChar w:fldCharType="begin"/>
    </w:r>
    <w:r w:rsidRPr="00C91BB2">
      <w:rPr>
        <w:lang w:val="fr-CH"/>
      </w:rPr>
      <w:instrText xml:space="preserve"> FILENAME \p  \* MERGEFORMAT </w:instrText>
    </w:r>
    <w:r w:rsidRPr="00C91BB2">
      <w:fldChar w:fldCharType="separate"/>
    </w:r>
    <w:r w:rsidR="00266266">
      <w:rPr>
        <w:lang w:val="fr-CH"/>
      </w:rPr>
      <w:t>P:\RUS\SG\CONSEIL\C18\000\031R.docx</w:t>
    </w:r>
    <w:r w:rsidRPr="00C91BB2">
      <w:fldChar w:fldCharType="end"/>
    </w:r>
    <w:r w:rsidRPr="00C91BB2">
      <w:rPr>
        <w:lang w:val="fr-CH"/>
      </w:rPr>
      <w:t xml:space="preserve"> (425105)</w:t>
    </w:r>
    <w:r w:rsidRPr="00C91BB2">
      <w:rPr>
        <w:lang w:val="fr-CH"/>
      </w:rPr>
      <w:tab/>
    </w:r>
    <w:r w:rsidRPr="00C91BB2">
      <w:fldChar w:fldCharType="begin"/>
    </w:r>
    <w:r w:rsidRPr="00C91BB2">
      <w:instrText xml:space="preserve"> SAVEDATE \@ DD.MM.YY </w:instrText>
    </w:r>
    <w:r w:rsidRPr="00C91BB2">
      <w:fldChar w:fldCharType="separate"/>
    </w:r>
    <w:r w:rsidR="004C277B">
      <w:t>13.03.18</w:t>
    </w:r>
    <w:r w:rsidRPr="00C91BB2">
      <w:fldChar w:fldCharType="end"/>
    </w:r>
    <w:r w:rsidRPr="00C91BB2">
      <w:rPr>
        <w:lang w:val="fr-CH"/>
      </w:rPr>
      <w:tab/>
    </w:r>
    <w:r w:rsidRPr="00C91BB2">
      <w:fldChar w:fldCharType="begin"/>
    </w:r>
    <w:r w:rsidRPr="00C91BB2">
      <w:instrText xml:space="preserve"> PRINTDATE \@ DD.MM.YY </w:instrText>
    </w:r>
    <w:r w:rsidRPr="00C91BB2">
      <w:fldChar w:fldCharType="separate"/>
    </w:r>
    <w:r w:rsidR="00266266">
      <w:t>20.04.17</w:t>
    </w:r>
    <w:r w:rsidRPr="00C91BB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2C" w:rsidRDefault="0066342C">
      <w:r>
        <w:t>____________________</w:t>
      </w:r>
    </w:p>
  </w:footnote>
  <w:footnote w:type="continuationSeparator" w:id="0">
    <w:p w:rsidR="0066342C" w:rsidRDefault="0066342C">
      <w:r>
        <w:continuationSeparator/>
      </w:r>
    </w:p>
  </w:footnote>
  <w:footnote w:id="1">
    <w:p w:rsidR="0066342C" w:rsidRPr="006B160D" w:rsidRDefault="0066342C" w:rsidP="002662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95ADF">
        <w:rPr>
          <w:lang w:val="ru-RU"/>
        </w:rPr>
        <w:t xml:space="preserve"> </w:t>
      </w:r>
      <w:r>
        <w:rPr>
          <w:lang w:val="ru-RU"/>
        </w:rPr>
        <w:tab/>
        <w:t xml:space="preserve">Подробная информация представлена в разделе 7 Документа </w:t>
      </w:r>
      <w:hyperlink r:id="rId1" w:history="1">
        <w:r w:rsidRPr="009F7700">
          <w:rPr>
            <w:rStyle w:val="Hyperlink"/>
            <w:lang w:val="en-US"/>
          </w:rPr>
          <w:t>C</w:t>
        </w:r>
        <w:r w:rsidRPr="00390DC4">
          <w:rPr>
            <w:rStyle w:val="Hyperlink"/>
            <w:lang w:val="ru-RU"/>
          </w:rPr>
          <w:t>18/35</w:t>
        </w:r>
      </w:hyperlink>
      <w:r>
        <w:rPr>
          <w:lang w:val="ru-RU"/>
        </w:rPr>
        <w:t xml:space="preserve"> "Средство</w:t>
      </w:r>
      <w:r w:rsidRPr="00AA02FF">
        <w:rPr>
          <w:lang w:val="ru-RU"/>
        </w:rPr>
        <w:t xml:space="preserve"> достижения целей E.2: Обеспечить инфраструктуры для проведения эффективных и доступных конференций, собраний, получения документации, публикаций и информации</w:t>
      </w:r>
      <w:r>
        <w:rPr>
          <w:lang w:val="ru-RU"/>
        </w:rPr>
        <w:t>".</w:t>
      </w:r>
    </w:p>
  </w:footnote>
  <w:footnote w:id="2">
    <w:p w:rsidR="0066342C" w:rsidRPr="00B53E32" w:rsidRDefault="0066342C" w:rsidP="00E615F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22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Распределение ресурсов на последующие годы может изменяться в соответствии с решениями высшего руководства. </w:t>
      </w:r>
    </w:p>
  </w:footnote>
  <w:footnote w:id="3">
    <w:p w:rsidR="0066342C" w:rsidRPr="00CE696F" w:rsidRDefault="0066342C" w:rsidP="00131052">
      <w:pPr>
        <w:pStyle w:val="FootnoteText"/>
        <w:rPr>
          <w:lang w:val="ru-RU"/>
        </w:rPr>
      </w:pPr>
      <w:r w:rsidRPr="00993FA6">
        <w:rPr>
          <w:rStyle w:val="FootnoteReference"/>
        </w:rPr>
        <w:footnoteRef/>
      </w:r>
      <w:r>
        <w:rPr>
          <w:lang w:val="ru-RU"/>
        </w:rPr>
        <w:tab/>
        <w:t>Внебюджетные</w:t>
      </w:r>
      <w:r w:rsidRPr="00CE696F">
        <w:rPr>
          <w:lang w:val="ru-RU"/>
        </w:rPr>
        <w:t xml:space="preserve"> </w:t>
      </w:r>
      <w:r>
        <w:rPr>
          <w:lang w:val="ru-RU"/>
        </w:rPr>
        <w:t>ресурсы</w:t>
      </w:r>
      <w:r w:rsidRPr="00CE696F">
        <w:rPr>
          <w:lang w:val="ru-RU"/>
        </w:rPr>
        <w:t xml:space="preserve"> </w:t>
      </w:r>
      <w:r w:rsidRPr="00993FA6">
        <w:rPr>
          <w:lang w:val="en-US"/>
        </w:rPr>
        <w:t>Telecom</w:t>
      </w:r>
      <w:r w:rsidRPr="00CE696F">
        <w:rPr>
          <w:lang w:val="ru-RU"/>
        </w:rPr>
        <w:t xml:space="preserve"> </w:t>
      </w:r>
      <w:r>
        <w:rPr>
          <w:lang w:val="ru-RU"/>
        </w:rPr>
        <w:t>и</w:t>
      </w:r>
      <w:r w:rsidRPr="00CE696F">
        <w:rPr>
          <w:lang w:val="ru-RU"/>
        </w:rPr>
        <w:t xml:space="preserve"> </w:t>
      </w:r>
      <w:r>
        <w:rPr>
          <w:lang w:val="ru-RU"/>
        </w:rPr>
        <w:t>ВВУИО</w:t>
      </w:r>
      <w:r w:rsidRPr="00CE696F">
        <w:rPr>
          <w:lang w:val="ru-RU"/>
        </w:rPr>
        <w:t xml:space="preserve"> </w:t>
      </w:r>
      <w:r>
        <w:rPr>
          <w:lang w:val="ru-RU"/>
        </w:rPr>
        <w:t>не</w:t>
      </w:r>
      <w:r w:rsidRPr="00CE696F">
        <w:rPr>
          <w:lang w:val="ru-RU"/>
        </w:rPr>
        <w:t xml:space="preserve"> </w:t>
      </w:r>
      <w:r>
        <w:rPr>
          <w:lang w:val="ru-RU"/>
        </w:rPr>
        <w:t>включены</w:t>
      </w:r>
      <w:r w:rsidRPr="00CE696F">
        <w:rPr>
          <w:lang w:val="ru-RU"/>
        </w:rPr>
        <w:t>.</w:t>
      </w:r>
    </w:p>
  </w:footnote>
  <w:footnote w:id="4">
    <w:p w:rsidR="0066342C" w:rsidRPr="00CE696F" w:rsidRDefault="0066342C" w:rsidP="00E615F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22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руководства.</w:t>
      </w:r>
    </w:p>
  </w:footnote>
  <w:footnote w:id="5">
    <w:p w:rsidR="0066342C" w:rsidRPr="0013618C" w:rsidRDefault="0066342C" w:rsidP="00FA0B7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22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  <w:footnote w:id="6">
    <w:p w:rsidR="0066342C" w:rsidRPr="0013618C" w:rsidRDefault="0066342C" w:rsidP="00BF57B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</w:r>
      <w:r>
        <w:rPr>
          <w:szCs w:val="18"/>
          <w:lang w:val="ru-RU"/>
        </w:rPr>
        <w:t>Оценки на 2020−</w:t>
      </w:r>
      <w:r w:rsidRPr="00CE696F">
        <w:rPr>
          <w:szCs w:val="18"/>
          <w:lang w:val="ru-RU"/>
        </w:rPr>
        <w:t>20</w:t>
      </w:r>
      <w:r>
        <w:rPr>
          <w:szCs w:val="18"/>
          <w:lang w:val="ru-RU"/>
        </w:rPr>
        <w:t>22 годы</w:t>
      </w:r>
      <w:r w:rsidRPr="00CE696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Распределение ресурсов на последующие годы может изменяться в соответствии с решениями высшего руководства</w:t>
      </w:r>
      <w:r w:rsidRPr="0013618C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2C" w:rsidRDefault="0066342C" w:rsidP="00243FA7">
    <w:pPr>
      <w:pStyle w:val="Header"/>
    </w:pPr>
    <w:r>
      <w:fldChar w:fldCharType="begin"/>
    </w:r>
    <w:r>
      <w:instrText>PAGE</w:instrText>
    </w:r>
    <w:r>
      <w:fldChar w:fldCharType="separate"/>
    </w:r>
    <w:r w:rsidR="004C277B">
      <w:rPr>
        <w:noProof/>
      </w:rPr>
      <w:t>2</w:t>
    </w:r>
    <w:r>
      <w:rPr>
        <w:noProof/>
      </w:rPr>
      <w:fldChar w:fldCharType="end"/>
    </w:r>
  </w:p>
  <w:p w:rsidR="0066342C" w:rsidRDefault="0066342C" w:rsidP="00C91BB2">
    <w:pPr>
      <w:pStyle w:val="Header"/>
    </w:pPr>
    <w:r>
      <w:t>C1</w:t>
    </w:r>
    <w:r>
      <w:rPr>
        <w:lang w:val="ru-RU"/>
      </w:rPr>
      <w:t>8</w:t>
    </w:r>
    <w:r>
      <w:t>/</w:t>
    </w:r>
    <w:r>
      <w:rPr>
        <w:lang w:val="en-GB"/>
      </w:rPr>
      <w:t>31</w:t>
    </w:r>
    <w: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42C" w:rsidRDefault="0066342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4C277B">
      <w:rPr>
        <w:noProof/>
      </w:rPr>
      <w:t>17</w:t>
    </w:r>
    <w:r>
      <w:rPr>
        <w:noProof/>
      </w:rPr>
      <w:fldChar w:fldCharType="end"/>
    </w:r>
  </w:p>
  <w:p w:rsidR="0066342C" w:rsidRDefault="0066342C" w:rsidP="00C91BB2">
    <w:pPr>
      <w:pStyle w:val="Header"/>
    </w:pPr>
    <w:r>
      <w:t>C1</w:t>
    </w:r>
    <w:r>
      <w:rPr>
        <w:lang w:val="ru-RU"/>
      </w:rPr>
      <w:t>8</w:t>
    </w:r>
    <w:r>
      <w:t>/</w:t>
    </w:r>
    <w:r>
      <w:rPr>
        <w:lang w:val="ru-RU"/>
      </w:rPr>
      <w:t>3</w:t>
    </w:r>
    <w:r>
      <w:t>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5"/>
  </w:num>
  <w:num w:numId="5">
    <w:abstractNumId w:val="13"/>
  </w:num>
  <w:num w:numId="6">
    <w:abstractNumId w:val="20"/>
  </w:num>
  <w:num w:numId="7">
    <w:abstractNumId w:val="18"/>
  </w:num>
  <w:num w:numId="8">
    <w:abstractNumId w:val="24"/>
  </w:num>
  <w:num w:numId="9">
    <w:abstractNumId w:val="9"/>
  </w:num>
  <w:num w:numId="10">
    <w:abstractNumId w:val="10"/>
  </w:num>
  <w:num w:numId="11">
    <w:abstractNumId w:val="7"/>
  </w:num>
  <w:num w:numId="12">
    <w:abstractNumId w:val="26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3"/>
  </w:num>
  <w:num w:numId="18">
    <w:abstractNumId w:val="16"/>
  </w:num>
  <w:num w:numId="19">
    <w:abstractNumId w:val="4"/>
  </w:num>
  <w:num w:numId="20">
    <w:abstractNumId w:val="11"/>
  </w:num>
  <w:num w:numId="21">
    <w:abstractNumId w:val="27"/>
  </w:num>
  <w:num w:numId="22">
    <w:abstractNumId w:val="2"/>
  </w:num>
  <w:num w:numId="23">
    <w:abstractNumId w:val="21"/>
  </w:num>
  <w:num w:numId="24">
    <w:abstractNumId w:val="22"/>
  </w:num>
  <w:num w:numId="25">
    <w:abstractNumId w:val="28"/>
  </w:num>
  <w:num w:numId="26">
    <w:abstractNumId w:val="17"/>
  </w:num>
  <w:num w:numId="27">
    <w:abstractNumId w:val="12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70"/>
    <w:rsid w:val="00002236"/>
    <w:rsid w:val="00007067"/>
    <w:rsid w:val="00013C4A"/>
    <w:rsid w:val="0001750A"/>
    <w:rsid w:val="0002183E"/>
    <w:rsid w:val="000234D7"/>
    <w:rsid w:val="0003145B"/>
    <w:rsid w:val="00031FD8"/>
    <w:rsid w:val="00032213"/>
    <w:rsid w:val="00034A83"/>
    <w:rsid w:val="00036DC7"/>
    <w:rsid w:val="0003708F"/>
    <w:rsid w:val="000463FF"/>
    <w:rsid w:val="000511C7"/>
    <w:rsid w:val="0005127B"/>
    <w:rsid w:val="000515B4"/>
    <w:rsid w:val="000569B4"/>
    <w:rsid w:val="00075823"/>
    <w:rsid w:val="00080E82"/>
    <w:rsid w:val="0008617E"/>
    <w:rsid w:val="00096571"/>
    <w:rsid w:val="000A684D"/>
    <w:rsid w:val="000B494F"/>
    <w:rsid w:val="000C1906"/>
    <w:rsid w:val="000D1F39"/>
    <w:rsid w:val="000D2D21"/>
    <w:rsid w:val="000D7297"/>
    <w:rsid w:val="000E568E"/>
    <w:rsid w:val="00104DDE"/>
    <w:rsid w:val="00107E3F"/>
    <w:rsid w:val="00111438"/>
    <w:rsid w:val="00113F6E"/>
    <w:rsid w:val="001236F5"/>
    <w:rsid w:val="001239F4"/>
    <w:rsid w:val="00127FA3"/>
    <w:rsid w:val="00131052"/>
    <w:rsid w:val="001312D8"/>
    <w:rsid w:val="0013618C"/>
    <w:rsid w:val="0014209D"/>
    <w:rsid w:val="0014734F"/>
    <w:rsid w:val="0015024A"/>
    <w:rsid w:val="00150F0C"/>
    <w:rsid w:val="00154278"/>
    <w:rsid w:val="00156EE9"/>
    <w:rsid w:val="0015710D"/>
    <w:rsid w:val="00163A32"/>
    <w:rsid w:val="0016569F"/>
    <w:rsid w:val="001757E7"/>
    <w:rsid w:val="00175A48"/>
    <w:rsid w:val="00192B41"/>
    <w:rsid w:val="00193E0E"/>
    <w:rsid w:val="00195AAC"/>
    <w:rsid w:val="001A4F20"/>
    <w:rsid w:val="001B16C2"/>
    <w:rsid w:val="001B3D26"/>
    <w:rsid w:val="001B7B09"/>
    <w:rsid w:val="001C050F"/>
    <w:rsid w:val="001C599C"/>
    <w:rsid w:val="001C7B3F"/>
    <w:rsid w:val="001D27F3"/>
    <w:rsid w:val="001E5F1A"/>
    <w:rsid w:val="001E6719"/>
    <w:rsid w:val="001E6E2C"/>
    <w:rsid w:val="001F5A0D"/>
    <w:rsid w:val="001F725C"/>
    <w:rsid w:val="001F73F8"/>
    <w:rsid w:val="002041F0"/>
    <w:rsid w:val="00212825"/>
    <w:rsid w:val="00225368"/>
    <w:rsid w:val="00227FF0"/>
    <w:rsid w:val="00243FA7"/>
    <w:rsid w:val="002458C2"/>
    <w:rsid w:val="00251571"/>
    <w:rsid w:val="002517E5"/>
    <w:rsid w:val="00264280"/>
    <w:rsid w:val="00266266"/>
    <w:rsid w:val="0027582C"/>
    <w:rsid w:val="00282B8B"/>
    <w:rsid w:val="002900E4"/>
    <w:rsid w:val="00291EB6"/>
    <w:rsid w:val="00293A28"/>
    <w:rsid w:val="002B3B57"/>
    <w:rsid w:val="002B3E66"/>
    <w:rsid w:val="002C0725"/>
    <w:rsid w:val="002C10CE"/>
    <w:rsid w:val="002C695D"/>
    <w:rsid w:val="002C75A6"/>
    <w:rsid w:val="002D2F57"/>
    <w:rsid w:val="002D48C5"/>
    <w:rsid w:val="002E2EF0"/>
    <w:rsid w:val="002E4A14"/>
    <w:rsid w:val="002E52BC"/>
    <w:rsid w:val="002F06B3"/>
    <w:rsid w:val="002F620E"/>
    <w:rsid w:val="00302693"/>
    <w:rsid w:val="00302C6E"/>
    <w:rsid w:val="003140BD"/>
    <w:rsid w:val="00323F60"/>
    <w:rsid w:val="003244E4"/>
    <w:rsid w:val="00325552"/>
    <w:rsid w:val="0033038F"/>
    <w:rsid w:val="00380038"/>
    <w:rsid w:val="00384DCD"/>
    <w:rsid w:val="00385712"/>
    <w:rsid w:val="00390DC4"/>
    <w:rsid w:val="00395A65"/>
    <w:rsid w:val="00395F0D"/>
    <w:rsid w:val="003B2891"/>
    <w:rsid w:val="003B3288"/>
    <w:rsid w:val="003C101F"/>
    <w:rsid w:val="003C3A90"/>
    <w:rsid w:val="003C738F"/>
    <w:rsid w:val="003D0A08"/>
    <w:rsid w:val="003F099E"/>
    <w:rsid w:val="003F235E"/>
    <w:rsid w:val="003F790B"/>
    <w:rsid w:val="0040209D"/>
    <w:rsid w:val="004023E0"/>
    <w:rsid w:val="004034FB"/>
    <w:rsid w:val="00403DD8"/>
    <w:rsid w:val="00405612"/>
    <w:rsid w:val="00405622"/>
    <w:rsid w:val="0042217E"/>
    <w:rsid w:val="00424E7C"/>
    <w:rsid w:val="004345D8"/>
    <w:rsid w:val="004358C6"/>
    <w:rsid w:val="0044749E"/>
    <w:rsid w:val="004513A5"/>
    <w:rsid w:val="0045686C"/>
    <w:rsid w:val="0046210C"/>
    <w:rsid w:val="004654D2"/>
    <w:rsid w:val="00466839"/>
    <w:rsid w:val="0047328C"/>
    <w:rsid w:val="00473FBC"/>
    <w:rsid w:val="0047781A"/>
    <w:rsid w:val="004819EA"/>
    <w:rsid w:val="004918C4"/>
    <w:rsid w:val="004A12F8"/>
    <w:rsid w:val="004A45B5"/>
    <w:rsid w:val="004B43C6"/>
    <w:rsid w:val="004B546E"/>
    <w:rsid w:val="004B7ED5"/>
    <w:rsid w:val="004C277B"/>
    <w:rsid w:val="004D0129"/>
    <w:rsid w:val="004E0FFE"/>
    <w:rsid w:val="004E6CED"/>
    <w:rsid w:val="004F3445"/>
    <w:rsid w:val="00512473"/>
    <w:rsid w:val="00514396"/>
    <w:rsid w:val="0051703E"/>
    <w:rsid w:val="00520300"/>
    <w:rsid w:val="00530D3A"/>
    <w:rsid w:val="005362DD"/>
    <w:rsid w:val="00536C30"/>
    <w:rsid w:val="005418D5"/>
    <w:rsid w:val="00546B6E"/>
    <w:rsid w:val="00547AE2"/>
    <w:rsid w:val="00555C8E"/>
    <w:rsid w:val="0055695C"/>
    <w:rsid w:val="00556ED6"/>
    <w:rsid w:val="00575EE0"/>
    <w:rsid w:val="00580067"/>
    <w:rsid w:val="00584A0E"/>
    <w:rsid w:val="005A1FFC"/>
    <w:rsid w:val="005A64D5"/>
    <w:rsid w:val="005B2E45"/>
    <w:rsid w:val="005C0127"/>
    <w:rsid w:val="005C0F30"/>
    <w:rsid w:val="005C66C0"/>
    <w:rsid w:val="005E37F3"/>
    <w:rsid w:val="005F68F4"/>
    <w:rsid w:val="00601994"/>
    <w:rsid w:val="0060589B"/>
    <w:rsid w:val="006118EC"/>
    <w:rsid w:val="0062570D"/>
    <w:rsid w:val="00633455"/>
    <w:rsid w:val="00642AB1"/>
    <w:rsid w:val="00650443"/>
    <w:rsid w:val="00657FAF"/>
    <w:rsid w:val="00661A0F"/>
    <w:rsid w:val="0066342C"/>
    <w:rsid w:val="00665C2B"/>
    <w:rsid w:val="00675E8F"/>
    <w:rsid w:val="0068199D"/>
    <w:rsid w:val="00682156"/>
    <w:rsid w:val="00683C70"/>
    <w:rsid w:val="00695ADF"/>
    <w:rsid w:val="006A02E4"/>
    <w:rsid w:val="006A3A61"/>
    <w:rsid w:val="006A4F14"/>
    <w:rsid w:val="006B160D"/>
    <w:rsid w:val="006B1666"/>
    <w:rsid w:val="006C4B43"/>
    <w:rsid w:val="006C7E86"/>
    <w:rsid w:val="006D331D"/>
    <w:rsid w:val="006E2D42"/>
    <w:rsid w:val="006E7B39"/>
    <w:rsid w:val="006E7BE4"/>
    <w:rsid w:val="00703676"/>
    <w:rsid w:val="00705EFD"/>
    <w:rsid w:val="00707304"/>
    <w:rsid w:val="007101FE"/>
    <w:rsid w:val="0071429B"/>
    <w:rsid w:val="007143EE"/>
    <w:rsid w:val="007208E5"/>
    <w:rsid w:val="00724448"/>
    <w:rsid w:val="00727F95"/>
    <w:rsid w:val="00731E95"/>
    <w:rsid w:val="00732269"/>
    <w:rsid w:val="0075033B"/>
    <w:rsid w:val="00751ED9"/>
    <w:rsid w:val="007542AF"/>
    <w:rsid w:val="00757171"/>
    <w:rsid w:val="007739B5"/>
    <w:rsid w:val="0078169A"/>
    <w:rsid w:val="0078269E"/>
    <w:rsid w:val="00783DBF"/>
    <w:rsid w:val="00785ABD"/>
    <w:rsid w:val="00786CBE"/>
    <w:rsid w:val="00795EF9"/>
    <w:rsid w:val="00796102"/>
    <w:rsid w:val="007A2DD4"/>
    <w:rsid w:val="007A573E"/>
    <w:rsid w:val="007A7983"/>
    <w:rsid w:val="007B0D1D"/>
    <w:rsid w:val="007C2A4B"/>
    <w:rsid w:val="007C3D82"/>
    <w:rsid w:val="007C6B9A"/>
    <w:rsid w:val="007D0A3B"/>
    <w:rsid w:val="007D38B5"/>
    <w:rsid w:val="007E070F"/>
    <w:rsid w:val="007E0E6F"/>
    <w:rsid w:val="007E62A9"/>
    <w:rsid w:val="007E7EA0"/>
    <w:rsid w:val="007F3CBD"/>
    <w:rsid w:val="00801B77"/>
    <w:rsid w:val="008023E0"/>
    <w:rsid w:val="008034CD"/>
    <w:rsid w:val="00803C02"/>
    <w:rsid w:val="00807255"/>
    <w:rsid w:val="0081023E"/>
    <w:rsid w:val="0081053A"/>
    <w:rsid w:val="00813184"/>
    <w:rsid w:val="008173AA"/>
    <w:rsid w:val="008260E4"/>
    <w:rsid w:val="00833266"/>
    <w:rsid w:val="00840A14"/>
    <w:rsid w:val="00861632"/>
    <w:rsid w:val="008645E8"/>
    <w:rsid w:val="008656FB"/>
    <w:rsid w:val="00887286"/>
    <w:rsid w:val="00896932"/>
    <w:rsid w:val="008B2A3C"/>
    <w:rsid w:val="008B7089"/>
    <w:rsid w:val="008C1273"/>
    <w:rsid w:val="008C3F21"/>
    <w:rsid w:val="008D2D7B"/>
    <w:rsid w:val="008E0737"/>
    <w:rsid w:val="008E247B"/>
    <w:rsid w:val="008F7C2C"/>
    <w:rsid w:val="00902F89"/>
    <w:rsid w:val="00903597"/>
    <w:rsid w:val="00906344"/>
    <w:rsid w:val="0091182C"/>
    <w:rsid w:val="00913D65"/>
    <w:rsid w:val="00916AF0"/>
    <w:rsid w:val="00917724"/>
    <w:rsid w:val="00921A1C"/>
    <w:rsid w:val="00932177"/>
    <w:rsid w:val="00932FF9"/>
    <w:rsid w:val="00937309"/>
    <w:rsid w:val="00940E96"/>
    <w:rsid w:val="00940EB8"/>
    <w:rsid w:val="0094112C"/>
    <w:rsid w:val="009433AC"/>
    <w:rsid w:val="0094769B"/>
    <w:rsid w:val="00951CF8"/>
    <w:rsid w:val="00953D03"/>
    <w:rsid w:val="00963780"/>
    <w:rsid w:val="00964A3B"/>
    <w:rsid w:val="009728FE"/>
    <w:rsid w:val="0097382F"/>
    <w:rsid w:val="009834D7"/>
    <w:rsid w:val="009912C7"/>
    <w:rsid w:val="009930A2"/>
    <w:rsid w:val="009936C1"/>
    <w:rsid w:val="0099531A"/>
    <w:rsid w:val="00996EFE"/>
    <w:rsid w:val="009A39D7"/>
    <w:rsid w:val="009B0BAE"/>
    <w:rsid w:val="009C5634"/>
    <w:rsid w:val="009D23A7"/>
    <w:rsid w:val="009D570D"/>
    <w:rsid w:val="009E1CD8"/>
    <w:rsid w:val="009E2DBC"/>
    <w:rsid w:val="009E38E1"/>
    <w:rsid w:val="009E3EAA"/>
    <w:rsid w:val="009E74C0"/>
    <w:rsid w:val="009E7D4A"/>
    <w:rsid w:val="009F12CC"/>
    <w:rsid w:val="009F2BCA"/>
    <w:rsid w:val="009F62AB"/>
    <w:rsid w:val="009F6FA8"/>
    <w:rsid w:val="00A04DA3"/>
    <w:rsid w:val="00A07F4A"/>
    <w:rsid w:val="00A10FD3"/>
    <w:rsid w:val="00A24459"/>
    <w:rsid w:val="00A26A7B"/>
    <w:rsid w:val="00A31F81"/>
    <w:rsid w:val="00A338FD"/>
    <w:rsid w:val="00A43DF1"/>
    <w:rsid w:val="00A43FD4"/>
    <w:rsid w:val="00A44EE3"/>
    <w:rsid w:val="00A4762E"/>
    <w:rsid w:val="00A517DC"/>
    <w:rsid w:val="00A52AD9"/>
    <w:rsid w:val="00A52DAA"/>
    <w:rsid w:val="00A53D21"/>
    <w:rsid w:val="00A607D6"/>
    <w:rsid w:val="00A71773"/>
    <w:rsid w:val="00A86BF5"/>
    <w:rsid w:val="00A93184"/>
    <w:rsid w:val="00A94E67"/>
    <w:rsid w:val="00A97B03"/>
    <w:rsid w:val="00AA03A6"/>
    <w:rsid w:val="00AA182A"/>
    <w:rsid w:val="00AC199D"/>
    <w:rsid w:val="00AD0798"/>
    <w:rsid w:val="00AD2ED4"/>
    <w:rsid w:val="00AD6437"/>
    <w:rsid w:val="00AE08ED"/>
    <w:rsid w:val="00AE2C85"/>
    <w:rsid w:val="00AE3C31"/>
    <w:rsid w:val="00AE5B77"/>
    <w:rsid w:val="00AF35D1"/>
    <w:rsid w:val="00AF4F37"/>
    <w:rsid w:val="00B062B4"/>
    <w:rsid w:val="00B14179"/>
    <w:rsid w:val="00B176A7"/>
    <w:rsid w:val="00B17B3B"/>
    <w:rsid w:val="00B23FDC"/>
    <w:rsid w:val="00B337AC"/>
    <w:rsid w:val="00B368D7"/>
    <w:rsid w:val="00B53E32"/>
    <w:rsid w:val="00B54D71"/>
    <w:rsid w:val="00B555D8"/>
    <w:rsid w:val="00B569E2"/>
    <w:rsid w:val="00B632CF"/>
    <w:rsid w:val="00B63557"/>
    <w:rsid w:val="00B63EF2"/>
    <w:rsid w:val="00B65265"/>
    <w:rsid w:val="00B7196E"/>
    <w:rsid w:val="00B83BF6"/>
    <w:rsid w:val="00B85496"/>
    <w:rsid w:val="00B876C2"/>
    <w:rsid w:val="00B90BFF"/>
    <w:rsid w:val="00B965A3"/>
    <w:rsid w:val="00BA0FFE"/>
    <w:rsid w:val="00BA6A14"/>
    <w:rsid w:val="00BB0A0B"/>
    <w:rsid w:val="00BB582B"/>
    <w:rsid w:val="00BC0D39"/>
    <w:rsid w:val="00BC7BC0"/>
    <w:rsid w:val="00BD2897"/>
    <w:rsid w:val="00BD57B7"/>
    <w:rsid w:val="00BE63E2"/>
    <w:rsid w:val="00BE7440"/>
    <w:rsid w:val="00BF456F"/>
    <w:rsid w:val="00BF57B3"/>
    <w:rsid w:val="00BF6E0D"/>
    <w:rsid w:val="00C0387A"/>
    <w:rsid w:val="00C21893"/>
    <w:rsid w:val="00C4412A"/>
    <w:rsid w:val="00C45E16"/>
    <w:rsid w:val="00C479DD"/>
    <w:rsid w:val="00C60645"/>
    <w:rsid w:val="00C619B6"/>
    <w:rsid w:val="00C82D25"/>
    <w:rsid w:val="00C865CD"/>
    <w:rsid w:val="00C866C4"/>
    <w:rsid w:val="00C91BB2"/>
    <w:rsid w:val="00C95647"/>
    <w:rsid w:val="00CB06AB"/>
    <w:rsid w:val="00CB07CD"/>
    <w:rsid w:val="00CB2473"/>
    <w:rsid w:val="00CD40ED"/>
    <w:rsid w:val="00CD54A6"/>
    <w:rsid w:val="00CD5BF7"/>
    <w:rsid w:val="00CD6F29"/>
    <w:rsid w:val="00CE006A"/>
    <w:rsid w:val="00CE4318"/>
    <w:rsid w:val="00CE696F"/>
    <w:rsid w:val="00CF4568"/>
    <w:rsid w:val="00CF5B1E"/>
    <w:rsid w:val="00CF629C"/>
    <w:rsid w:val="00CF70DE"/>
    <w:rsid w:val="00D06180"/>
    <w:rsid w:val="00D16A89"/>
    <w:rsid w:val="00D24A38"/>
    <w:rsid w:val="00D43D8C"/>
    <w:rsid w:val="00D468E5"/>
    <w:rsid w:val="00D52C05"/>
    <w:rsid w:val="00D73963"/>
    <w:rsid w:val="00D751EC"/>
    <w:rsid w:val="00D771C1"/>
    <w:rsid w:val="00D83456"/>
    <w:rsid w:val="00D84FC4"/>
    <w:rsid w:val="00D85CA1"/>
    <w:rsid w:val="00D86706"/>
    <w:rsid w:val="00D879EB"/>
    <w:rsid w:val="00D92EEA"/>
    <w:rsid w:val="00DA5D4E"/>
    <w:rsid w:val="00DB30A2"/>
    <w:rsid w:val="00DB3B3E"/>
    <w:rsid w:val="00DC4E4E"/>
    <w:rsid w:val="00DC7192"/>
    <w:rsid w:val="00DD04DA"/>
    <w:rsid w:val="00DD137B"/>
    <w:rsid w:val="00DD4BF0"/>
    <w:rsid w:val="00DE0EAE"/>
    <w:rsid w:val="00DE6DE4"/>
    <w:rsid w:val="00DF0F3A"/>
    <w:rsid w:val="00DF375E"/>
    <w:rsid w:val="00DF41F6"/>
    <w:rsid w:val="00DF6514"/>
    <w:rsid w:val="00E12B3D"/>
    <w:rsid w:val="00E13408"/>
    <w:rsid w:val="00E176BA"/>
    <w:rsid w:val="00E21CB6"/>
    <w:rsid w:val="00E22411"/>
    <w:rsid w:val="00E24B62"/>
    <w:rsid w:val="00E318DF"/>
    <w:rsid w:val="00E408BE"/>
    <w:rsid w:val="00E423EC"/>
    <w:rsid w:val="00E42F91"/>
    <w:rsid w:val="00E50987"/>
    <w:rsid w:val="00E55246"/>
    <w:rsid w:val="00E615F8"/>
    <w:rsid w:val="00E6234C"/>
    <w:rsid w:val="00E65E84"/>
    <w:rsid w:val="00E751A0"/>
    <w:rsid w:val="00E90715"/>
    <w:rsid w:val="00E90971"/>
    <w:rsid w:val="00E97DB5"/>
    <w:rsid w:val="00EA74BA"/>
    <w:rsid w:val="00EB2DAE"/>
    <w:rsid w:val="00EC33F3"/>
    <w:rsid w:val="00EC3E20"/>
    <w:rsid w:val="00EC54DE"/>
    <w:rsid w:val="00EC6BC5"/>
    <w:rsid w:val="00ED3AB0"/>
    <w:rsid w:val="00ED517D"/>
    <w:rsid w:val="00EE236B"/>
    <w:rsid w:val="00EF0A8C"/>
    <w:rsid w:val="00EF17E7"/>
    <w:rsid w:val="00EF3A2E"/>
    <w:rsid w:val="00F03F50"/>
    <w:rsid w:val="00F07265"/>
    <w:rsid w:val="00F11617"/>
    <w:rsid w:val="00F215D1"/>
    <w:rsid w:val="00F23835"/>
    <w:rsid w:val="00F27799"/>
    <w:rsid w:val="00F308C4"/>
    <w:rsid w:val="00F32511"/>
    <w:rsid w:val="00F35898"/>
    <w:rsid w:val="00F36735"/>
    <w:rsid w:val="00F4108D"/>
    <w:rsid w:val="00F43B43"/>
    <w:rsid w:val="00F5225B"/>
    <w:rsid w:val="00F57CCE"/>
    <w:rsid w:val="00F61B17"/>
    <w:rsid w:val="00F64FC4"/>
    <w:rsid w:val="00F83F8D"/>
    <w:rsid w:val="00FA0B7B"/>
    <w:rsid w:val="00FA2776"/>
    <w:rsid w:val="00FA46D3"/>
    <w:rsid w:val="00FB7F06"/>
    <w:rsid w:val="00FC4C58"/>
    <w:rsid w:val="00FC5036"/>
    <w:rsid w:val="00FE2E9F"/>
    <w:rsid w:val="00FE5701"/>
    <w:rsid w:val="00FE6B5D"/>
    <w:rsid w:val="00FF0F42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79398BC7-1E1C-4322-939A-B1EB4251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1BB2"/>
    <w:pPr>
      <w:keepNext/>
      <w:keepLines/>
      <w:spacing w:before="480"/>
      <w:ind w:left="794" w:hanging="794"/>
      <w:outlineLvl w:val="0"/>
    </w:pPr>
    <w:rPr>
      <w:rFonts w:cs="Times New Roman Bold"/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661A0F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A07F4A"/>
    <w:rPr>
      <w:rFonts w:ascii="Calibri" w:hAnsi="Calibri"/>
      <w:position w:val="4"/>
      <w:sz w:val="16"/>
    </w:rPr>
  </w:style>
  <w:style w:type="paragraph" w:styleId="FootnoteText">
    <w:name w:val="footnote text"/>
    <w:basedOn w:val="Normal"/>
    <w:link w:val="FootnoteTextChar"/>
    <w:rsid w:val="0094112C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D16A8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61A0F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2DD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4034F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91BB2"/>
    <w:rPr>
      <w:rFonts w:ascii="Calibri" w:hAnsi="Calibri" w:cs="Times New Roman Bold"/>
      <w:b/>
      <w:sz w:val="2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234D7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customStyle="1" w:styleId="HeaderChar">
    <w:name w:val="Header Char"/>
    <w:basedOn w:val="DefaultParagraphFont"/>
    <w:link w:val="Header"/>
    <w:rsid w:val="000234D7"/>
    <w:rPr>
      <w:rFonts w:ascii="Calibri" w:hAnsi="Calibri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4D7"/>
    <w:rPr>
      <w:rFonts w:ascii="Calibri" w:hAnsi="Calibri"/>
      <w:caps/>
      <w:noProof/>
      <w:sz w:val="16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0234D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234D7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61A0F"/>
    <w:rPr>
      <w:rFonts w:ascii="Calibri" w:hAnsi="Calibri"/>
      <w:b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0234D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4D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4D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234D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234D7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0234D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0234D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0234D7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4D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4D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234D7"/>
    <w:rPr>
      <w:rFonts w:ascii="Tahoma" w:hAnsi="Tahoma" w:cs="Tahoma"/>
      <w:sz w:val="16"/>
      <w:szCs w:val="16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0234D7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0234D7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0234D7"/>
    <w:rPr>
      <w:rFonts w:ascii="Times New Roman Bold" w:hAnsi="Times New Roman Bold"/>
      <w:i/>
      <w:sz w:val="22"/>
      <w:lang w:val="en-GB" w:eastAsia="en-US"/>
    </w:rPr>
  </w:style>
  <w:style w:type="table" w:customStyle="1" w:styleId="PlainTable21">
    <w:name w:val="Plain Table 21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94112C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234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0234D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E006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7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608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hyperlink" Target="https://www.itu.int/md/S18-CL-C-0035/en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32/en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S18-CL-C-003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8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Operational%20planning\Elaboration%202016-2019\drafts\All-ITU-R-T_Allocation_of_resources_rev14112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Operational%20planning\ISTF-SOP%202015\LATEST%20VERSION%20OPs\All-ITU-R-T-D_Allocation_of_resources_rev1503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accent1"/>
                </a:solidFill>
                <a:latin typeface="+mn-lt"/>
              </a:rPr>
              <a:t>Запланированное распределение ресурсов по средствам достижения целей</a:t>
            </a:r>
            <a:endParaRPr lang="en-US" sz="1100" b="1">
              <a:solidFill>
                <a:schemeClr val="accent1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4277696464412537"/>
          <c:y val="3.89505365883318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331511502238689E-2"/>
          <c:y val="0.21663332623962545"/>
          <c:w val="0.84358854887711199"/>
          <c:h val="0.77251655629139071"/>
        </c:manualLayout>
      </c:layout>
      <c:pie3DChart>
        <c:varyColors val="1"/>
        <c:ser>
          <c:idx val="4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8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36,6%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50,9%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3302181416339509E-2"/>
                  <c:y val="9.214647010183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8600581406542083E-3"/>
                  <c:y val="2.54523929189702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8827858842038098E-2"/>
                  <c:y val="9.78322246143073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enablers'!$G$1:$G$5</c:f>
              <c:numCache>
                <c:formatCode>0%</c:formatCode>
                <c:ptCount val="5"/>
                <c:pt idx="0">
                  <c:v>0.36580000000000001</c:v>
                </c:pt>
                <c:pt idx="1">
                  <c:v>0.51539999999999997</c:v>
                </c:pt>
                <c:pt idx="2">
                  <c:v>2.9100000000000001E-2</c:v>
                </c:pt>
                <c:pt idx="3">
                  <c:v>3.7400000000000003E-2</c:v>
                </c:pt>
                <c:pt idx="4">
                  <c:v>5.2200000000000003E-2</c:v>
                </c:pt>
              </c:numCache>
            </c:numRef>
          </c:val>
        </c:ser>
        <c:ser>
          <c:idx val="5"/>
          <c:order val="1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ser>
          <c:idx val="6"/>
          <c:order val="2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enablers'!$F$3:$F$5</c:f>
              <c:numCache>
                <c:formatCode>_(* #,##0_);_(* \(#,##0\);_(* "-"_);_(@_)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7"/>
          <c:order val="3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ser>
          <c:idx val="2"/>
          <c:order val="4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enablers'!$F$3:$F$5</c:f>
              <c:numCache>
                <c:formatCode>_(* #,##0_);_(* \(#,##0\);_(* "-"_);_(@_)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5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ser>
          <c:idx val="0"/>
          <c:order val="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enablers'!$F$3:$F$5</c:f>
              <c:numCache>
                <c:formatCode>_(* #,##0_);_(* \(#,##0\);_(* "-"_);_(@_)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7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'GS enablers'!$A$1:$A$5</c:f>
              <c:strCache>
                <c:ptCount val="5"/>
                <c:pt idx="0">
                  <c:v>E.1</c:v>
                </c:pt>
                <c:pt idx="1">
                  <c:v>E.2</c:v>
                </c:pt>
                <c:pt idx="2">
                  <c:v>E.3</c:v>
                </c:pt>
                <c:pt idx="3">
                  <c:v>E.4</c:v>
                </c:pt>
                <c:pt idx="4">
                  <c:v>E.5</c:v>
                </c:pt>
              </c:strCache>
            </c:strRef>
          </c:cat>
          <c:val>
            <c:numRef>
              <c:f>'GS enablers'!$G$3:$G$5</c:f>
              <c:numCache>
                <c:formatCode>0%</c:formatCode>
                <c:ptCount val="3"/>
                <c:pt idx="0">
                  <c:v>2.9100000000000001E-2</c:v>
                </c:pt>
                <c:pt idx="1">
                  <c:v>3.7400000000000003E-2</c:v>
                </c:pt>
                <c:pt idx="2">
                  <c:v>5.2200000000000003E-2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372193897218782"/>
          <c:y val="0.3195703186108359"/>
          <c:w val="7.6945011503191732E-2"/>
          <c:h val="0.3991276752657573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chemeClr val="accent1"/>
                </a:solidFill>
                <a:latin typeface="+mn-lt"/>
              </a:rPr>
              <a:t>Запланированное распределение ресурсов по задачам </a:t>
            </a:r>
          </a:p>
        </c:rich>
      </c:tx>
      <c:layout>
        <c:manualLayout>
          <c:xMode val="edge"/>
          <c:yMode val="edge"/>
          <c:x val="0.12259011373578303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8"/>
          <c:order val="0"/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32,5%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22,1%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26,1%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13,7%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5662073490813598E-2"/>
                  <c:y val="0.1465029892096821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all!$E$19:$E$23</c:f>
              <c:numCache>
                <c:formatCode>_(* #,##0_);_(* \(#,##0\);_(* "-"_);_(@_)</c:formatCode>
                <c:ptCount val="5"/>
                <c:pt idx="0">
                  <c:v>2847</c:v>
                </c:pt>
                <c:pt idx="1">
                  <c:v>2284</c:v>
                </c:pt>
                <c:pt idx="2">
                  <c:v>2850</c:v>
                </c:pt>
                <c:pt idx="3">
                  <c:v>1481</c:v>
                </c:pt>
                <c:pt idx="4">
                  <c:v>652</c:v>
                </c:pt>
              </c:numCache>
            </c:numRef>
          </c:val>
        </c:ser>
        <c:ser>
          <c:idx val="9"/>
          <c:order val="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10"/>
          <c:order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1"/>
          <c:order val="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12"/>
          <c:order val="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3"/>
          <c:order val="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14"/>
          <c:order val="6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5"/>
          <c:order val="7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4"/>
          <c:order val="8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5"/>
          <c:order val="9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6"/>
          <c:order val="1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7"/>
          <c:order val="1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2"/>
          <c:order val="1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3"/>
          <c:order val="1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0"/>
          <c:order val="1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"/>
          <c:order val="1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all!$C$19:$C$23</c:f>
              <c:strCache>
                <c:ptCount val="5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562007874015733"/>
          <c:y val="0.32341280256634586"/>
          <c:w val="0.17160214348206473"/>
          <c:h val="0.3906277340332458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B7F0-E10A-44D0-9A29-70841DF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17</Pages>
  <Words>3936</Words>
  <Characters>26240</Characters>
  <Application>Microsoft Office Word</Application>
  <DocSecurity>4</DocSecurity>
  <Lines>218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four-year operational plan for the General Secretariat for 2018-2021</vt:lpstr>
    </vt:vector>
  </TitlesOfParts>
  <Manager>General Secretariat - Pool</Manager>
  <Company>International Telecommunication Union (ITU)</Company>
  <LinksUpToDate>false</LinksUpToDate>
  <CharactersWithSpaces>30116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operational plan for the General Secretariat</dc:title>
  <dc:subject>Council 2017</dc:subject>
  <dc:creator>Stepanova, Nina</dc:creator>
  <cp:keywords>C2018, C18</cp:keywords>
  <dc:description/>
  <cp:lastModifiedBy>Janin</cp:lastModifiedBy>
  <cp:revision>2</cp:revision>
  <cp:lastPrinted>2017-04-20T07:14:00Z</cp:lastPrinted>
  <dcterms:created xsi:type="dcterms:W3CDTF">2018-03-14T12:36:00Z</dcterms:created>
  <dcterms:modified xsi:type="dcterms:W3CDTF">2018-03-14T12:36:00Z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