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66462" w:rsidRPr="00813E5E" w14:paraId="4A141FDF" w14:textId="77777777">
        <w:trPr>
          <w:cantSplit/>
        </w:trPr>
        <w:tc>
          <w:tcPr>
            <w:tcW w:w="6911" w:type="dxa"/>
          </w:tcPr>
          <w:p w14:paraId="7483DE6E" w14:textId="77777777" w:rsidR="00B66462" w:rsidRPr="00813E5E" w:rsidRDefault="00B66462" w:rsidP="00374E43">
            <w:pPr>
              <w:spacing w:before="360" w:after="48" w:line="240" w:lineRule="atLeast"/>
              <w:rPr>
                <w:position w:val="6"/>
              </w:rPr>
            </w:pPr>
            <w:r w:rsidRPr="00B66462">
              <w:rPr>
                <w:b/>
                <w:bCs/>
                <w:position w:val="6"/>
                <w:sz w:val="30"/>
                <w:szCs w:val="30"/>
                <w:lang w:val="fr-CH"/>
              </w:rPr>
              <w:t>Council 201</w:t>
            </w:r>
            <w:r w:rsidR="00374E43">
              <w:rPr>
                <w:b/>
                <w:bCs/>
                <w:position w:val="6"/>
                <w:sz w:val="30"/>
                <w:szCs w:val="30"/>
                <w:lang w:val="fr-CH"/>
              </w:rPr>
              <w:t>8</w:t>
            </w:r>
            <w:r w:rsidRPr="00B66462">
              <w:rPr>
                <w:rFonts w:cs="Times"/>
                <w:b/>
                <w:position w:val="6"/>
                <w:sz w:val="26"/>
                <w:szCs w:val="26"/>
                <w:lang w:val="en-US"/>
              </w:rPr>
              <w:br/>
            </w:r>
            <w:r w:rsidRPr="00B66462">
              <w:rPr>
                <w:b/>
                <w:bCs/>
                <w:position w:val="6"/>
                <w:szCs w:val="24"/>
                <w:lang w:val="fr-CH"/>
              </w:rPr>
              <w:t>Geneva, 1</w:t>
            </w:r>
            <w:r w:rsidR="00374E43">
              <w:rPr>
                <w:b/>
                <w:bCs/>
                <w:position w:val="6"/>
                <w:szCs w:val="24"/>
                <w:lang w:val="fr-CH"/>
              </w:rPr>
              <w:t>7</w:t>
            </w:r>
            <w:r w:rsidRPr="00B66462">
              <w:rPr>
                <w:b/>
                <w:bCs/>
                <w:position w:val="6"/>
                <w:szCs w:val="24"/>
                <w:lang w:val="fr-CH"/>
              </w:rPr>
              <w:t>-2</w:t>
            </w:r>
            <w:r w:rsidR="00374E43">
              <w:rPr>
                <w:b/>
                <w:bCs/>
                <w:position w:val="6"/>
                <w:szCs w:val="24"/>
                <w:lang w:val="fr-CH"/>
              </w:rPr>
              <w:t>7</w:t>
            </w:r>
            <w:r w:rsidRPr="00B66462">
              <w:rPr>
                <w:b/>
                <w:bCs/>
                <w:position w:val="6"/>
                <w:szCs w:val="24"/>
                <w:lang w:val="fr-CH"/>
              </w:rPr>
              <w:t xml:space="preserve"> </w:t>
            </w:r>
            <w:r w:rsidR="00374E43">
              <w:rPr>
                <w:b/>
                <w:bCs/>
                <w:position w:val="6"/>
                <w:szCs w:val="24"/>
                <w:lang w:val="fr-CH"/>
              </w:rPr>
              <w:t>April</w:t>
            </w:r>
            <w:r w:rsidRPr="00B66462">
              <w:rPr>
                <w:b/>
                <w:bCs/>
                <w:position w:val="6"/>
                <w:szCs w:val="24"/>
                <w:lang w:val="fr-CH"/>
              </w:rPr>
              <w:t xml:space="preserve"> 201</w:t>
            </w:r>
            <w:r w:rsidR="00374E43">
              <w:rPr>
                <w:b/>
                <w:bCs/>
                <w:position w:val="6"/>
                <w:szCs w:val="24"/>
                <w:lang w:val="fr-CH"/>
              </w:rPr>
              <w:t>8</w:t>
            </w:r>
          </w:p>
        </w:tc>
        <w:tc>
          <w:tcPr>
            <w:tcW w:w="3120" w:type="dxa"/>
          </w:tcPr>
          <w:p w14:paraId="01F90A7D" w14:textId="77777777" w:rsidR="00B66462" w:rsidRPr="00813E5E" w:rsidRDefault="00B66462" w:rsidP="00B66462">
            <w:pPr>
              <w:spacing w:before="0" w:line="240" w:lineRule="atLeast"/>
              <w:jc w:val="right"/>
            </w:pPr>
            <w:bookmarkStart w:id="0" w:name="ditulogo"/>
            <w:bookmarkEnd w:id="0"/>
            <w:r w:rsidRPr="00F21593">
              <w:rPr>
                <w:rFonts w:ascii="Verdana" w:hAnsi="Verdana"/>
                <w:noProof/>
                <w:color w:val="FFFFFF"/>
                <w:sz w:val="26"/>
                <w:szCs w:val="26"/>
                <w:lang w:val="en-US" w:eastAsia="zh-CN"/>
              </w:rPr>
              <w:drawing>
                <wp:inline distT="0" distB="0" distL="0" distR="0" wp14:anchorId="40B22CCC" wp14:editId="0E6D778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B66462" w:rsidRPr="00813E5E" w14:paraId="1BED08E3" w14:textId="77777777">
        <w:trPr>
          <w:cantSplit/>
        </w:trPr>
        <w:tc>
          <w:tcPr>
            <w:tcW w:w="6911" w:type="dxa"/>
            <w:tcBorders>
              <w:bottom w:val="single" w:sz="12" w:space="0" w:color="auto"/>
            </w:tcBorders>
          </w:tcPr>
          <w:p w14:paraId="01178C47" w14:textId="77777777" w:rsidR="00B66462" w:rsidRPr="00813E5E" w:rsidRDefault="00B66462" w:rsidP="00B54A5C">
            <w:pPr>
              <w:spacing w:before="0" w:line="240" w:lineRule="atLeast"/>
              <w:rPr>
                <w:b/>
                <w:smallCaps/>
                <w:szCs w:val="24"/>
              </w:rPr>
            </w:pPr>
          </w:p>
        </w:tc>
        <w:tc>
          <w:tcPr>
            <w:tcW w:w="3120" w:type="dxa"/>
            <w:tcBorders>
              <w:bottom w:val="single" w:sz="12" w:space="0" w:color="auto"/>
            </w:tcBorders>
          </w:tcPr>
          <w:p w14:paraId="7F6D373D" w14:textId="77777777" w:rsidR="00B66462" w:rsidRPr="00813E5E" w:rsidRDefault="00B66462" w:rsidP="00B54A5C">
            <w:pPr>
              <w:spacing w:before="0" w:line="240" w:lineRule="atLeast"/>
              <w:rPr>
                <w:szCs w:val="24"/>
              </w:rPr>
            </w:pPr>
          </w:p>
        </w:tc>
      </w:tr>
      <w:tr w:rsidR="00B66462" w:rsidRPr="00813E5E" w14:paraId="3F2AA0A4" w14:textId="77777777">
        <w:trPr>
          <w:cantSplit/>
        </w:trPr>
        <w:tc>
          <w:tcPr>
            <w:tcW w:w="6911" w:type="dxa"/>
            <w:tcBorders>
              <w:top w:val="single" w:sz="12" w:space="0" w:color="auto"/>
            </w:tcBorders>
          </w:tcPr>
          <w:p w14:paraId="6F7AB6DE" w14:textId="77777777" w:rsidR="00B66462" w:rsidRPr="00813E5E" w:rsidRDefault="00B66462" w:rsidP="00B54A5C">
            <w:pPr>
              <w:spacing w:before="0" w:line="240" w:lineRule="atLeast"/>
              <w:rPr>
                <w:b/>
                <w:smallCaps/>
                <w:szCs w:val="24"/>
              </w:rPr>
            </w:pPr>
          </w:p>
        </w:tc>
        <w:tc>
          <w:tcPr>
            <w:tcW w:w="3120" w:type="dxa"/>
            <w:tcBorders>
              <w:top w:val="single" w:sz="12" w:space="0" w:color="auto"/>
            </w:tcBorders>
          </w:tcPr>
          <w:p w14:paraId="51C64AA6" w14:textId="77777777" w:rsidR="00B66462" w:rsidRPr="00813E5E" w:rsidRDefault="00B66462" w:rsidP="00B54A5C">
            <w:pPr>
              <w:spacing w:before="0" w:line="240" w:lineRule="atLeast"/>
              <w:rPr>
                <w:szCs w:val="24"/>
              </w:rPr>
            </w:pPr>
          </w:p>
        </w:tc>
      </w:tr>
      <w:tr w:rsidR="00B66462" w:rsidRPr="00813E5E" w14:paraId="1060FC7E" w14:textId="77777777">
        <w:trPr>
          <w:cantSplit/>
          <w:trHeight w:val="23"/>
        </w:trPr>
        <w:tc>
          <w:tcPr>
            <w:tcW w:w="6911" w:type="dxa"/>
            <w:vMerge w:val="restart"/>
          </w:tcPr>
          <w:p w14:paraId="6161815A" w14:textId="77777777" w:rsidR="00B66462" w:rsidRPr="00B66462" w:rsidRDefault="00B66462" w:rsidP="00B54A5C">
            <w:pPr>
              <w:tabs>
                <w:tab w:val="left" w:pos="851"/>
              </w:tabs>
              <w:spacing w:before="0" w:line="240" w:lineRule="atLeast"/>
              <w:rPr>
                <w:b/>
              </w:rPr>
            </w:pPr>
            <w:bookmarkStart w:id="1" w:name="dmeeting" w:colFirst="0" w:colLast="0"/>
            <w:bookmarkStart w:id="2" w:name="dnum" w:colFirst="1" w:colLast="1"/>
            <w:r>
              <w:rPr>
                <w:b/>
              </w:rPr>
              <w:t xml:space="preserve">Agenda item: </w:t>
            </w:r>
            <w:r w:rsidR="00374E43">
              <w:rPr>
                <w:b/>
              </w:rPr>
              <w:t>ADM</w:t>
            </w:r>
            <w:r w:rsidR="00C80851">
              <w:rPr>
                <w:b/>
              </w:rPr>
              <w:t xml:space="preserve"> 9</w:t>
            </w:r>
          </w:p>
        </w:tc>
        <w:tc>
          <w:tcPr>
            <w:tcW w:w="3120" w:type="dxa"/>
          </w:tcPr>
          <w:p w14:paraId="74AC485D" w14:textId="77777777" w:rsidR="00B66462" w:rsidRPr="00B66462" w:rsidRDefault="00B66462" w:rsidP="00B54A5C">
            <w:pPr>
              <w:tabs>
                <w:tab w:val="left" w:pos="851"/>
              </w:tabs>
              <w:spacing w:before="0" w:line="240" w:lineRule="atLeast"/>
              <w:rPr>
                <w:b/>
              </w:rPr>
            </w:pPr>
            <w:r>
              <w:rPr>
                <w:b/>
              </w:rPr>
              <w:t xml:space="preserve">Document </w:t>
            </w:r>
            <w:r w:rsidR="00126B06">
              <w:rPr>
                <w:b/>
              </w:rPr>
              <w:t>C18</w:t>
            </w:r>
            <w:r>
              <w:rPr>
                <w:b/>
              </w:rPr>
              <w:t>/</w:t>
            </w:r>
            <w:r w:rsidR="00C80851">
              <w:rPr>
                <w:b/>
              </w:rPr>
              <w:t>39</w:t>
            </w:r>
            <w:r>
              <w:rPr>
                <w:b/>
              </w:rPr>
              <w:t>-E</w:t>
            </w:r>
          </w:p>
        </w:tc>
      </w:tr>
      <w:tr w:rsidR="00B66462" w:rsidRPr="00813E5E" w14:paraId="69F06146" w14:textId="77777777">
        <w:trPr>
          <w:cantSplit/>
          <w:trHeight w:val="23"/>
        </w:trPr>
        <w:tc>
          <w:tcPr>
            <w:tcW w:w="6911" w:type="dxa"/>
            <w:vMerge/>
          </w:tcPr>
          <w:p w14:paraId="73C3260B" w14:textId="77777777" w:rsidR="00B66462" w:rsidRPr="00813E5E" w:rsidRDefault="00B66462" w:rsidP="00B54A5C">
            <w:pPr>
              <w:tabs>
                <w:tab w:val="left" w:pos="851"/>
              </w:tabs>
              <w:spacing w:before="0" w:line="240" w:lineRule="atLeast"/>
              <w:rPr>
                <w:b/>
              </w:rPr>
            </w:pPr>
            <w:bookmarkStart w:id="3" w:name="ddate" w:colFirst="1" w:colLast="1"/>
            <w:bookmarkEnd w:id="1"/>
            <w:bookmarkEnd w:id="2"/>
          </w:p>
        </w:tc>
        <w:tc>
          <w:tcPr>
            <w:tcW w:w="3120" w:type="dxa"/>
          </w:tcPr>
          <w:p w14:paraId="20975DA6" w14:textId="3E81B18E" w:rsidR="00B66462" w:rsidRPr="00B66462" w:rsidRDefault="00660B8B" w:rsidP="00B54A5C">
            <w:pPr>
              <w:tabs>
                <w:tab w:val="left" w:pos="993"/>
              </w:tabs>
              <w:spacing w:before="0"/>
              <w:rPr>
                <w:b/>
              </w:rPr>
            </w:pPr>
            <w:r>
              <w:rPr>
                <w:b/>
              </w:rPr>
              <w:t>8</w:t>
            </w:r>
            <w:r w:rsidR="00307A37">
              <w:rPr>
                <w:b/>
              </w:rPr>
              <w:t xml:space="preserve"> March</w:t>
            </w:r>
            <w:r w:rsidR="000835F5">
              <w:rPr>
                <w:b/>
              </w:rPr>
              <w:t xml:space="preserve"> 2018</w:t>
            </w:r>
          </w:p>
        </w:tc>
      </w:tr>
      <w:tr w:rsidR="00B66462" w:rsidRPr="00813E5E" w14:paraId="4F1617AC" w14:textId="77777777">
        <w:trPr>
          <w:cantSplit/>
          <w:trHeight w:val="23"/>
        </w:trPr>
        <w:tc>
          <w:tcPr>
            <w:tcW w:w="6911" w:type="dxa"/>
            <w:vMerge/>
          </w:tcPr>
          <w:p w14:paraId="45D0AE92" w14:textId="77777777" w:rsidR="00B66462" w:rsidRPr="00813E5E" w:rsidRDefault="00B66462" w:rsidP="00B54A5C">
            <w:pPr>
              <w:tabs>
                <w:tab w:val="left" w:pos="851"/>
              </w:tabs>
              <w:spacing w:before="0" w:line="240" w:lineRule="atLeast"/>
              <w:rPr>
                <w:b/>
              </w:rPr>
            </w:pPr>
            <w:bookmarkStart w:id="4" w:name="dorlang" w:colFirst="1" w:colLast="1"/>
            <w:bookmarkEnd w:id="3"/>
          </w:p>
        </w:tc>
        <w:tc>
          <w:tcPr>
            <w:tcW w:w="3120" w:type="dxa"/>
          </w:tcPr>
          <w:p w14:paraId="71C5DF58" w14:textId="77777777" w:rsidR="00B66462" w:rsidRPr="00B66462" w:rsidRDefault="00B66462" w:rsidP="00B54A5C">
            <w:pPr>
              <w:tabs>
                <w:tab w:val="left" w:pos="993"/>
              </w:tabs>
              <w:spacing w:before="0"/>
              <w:rPr>
                <w:b/>
              </w:rPr>
            </w:pPr>
            <w:r>
              <w:rPr>
                <w:b/>
              </w:rPr>
              <w:t>Original: English</w:t>
            </w:r>
          </w:p>
        </w:tc>
      </w:tr>
      <w:tr w:rsidR="00B66462" w:rsidRPr="00813E5E" w14:paraId="44EC688C" w14:textId="77777777">
        <w:trPr>
          <w:cantSplit/>
        </w:trPr>
        <w:tc>
          <w:tcPr>
            <w:tcW w:w="10031" w:type="dxa"/>
            <w:gridSpan w:val="2"/>
          </w:tcPr>
          <w:p w14:paraId="1D97001F" w14:textId="77777777" w:rsidR="00B66462" w:rsidRPr="00813E5E" w:rsidRDefault="00B66462" w:rsidP="002B2955">
            <w:pPr>
              <w:pStyle w:val="Source"/>
              <w:framePr w:hSpace="0" w:wrap="auto" w:hAnchor="text" w:yAlign="inline"/>
            </w:pPr>
            <w:bookmarkStart w:id="5" w:name="dsource" w:colFirst="0" w:colLast="0"/>
            <w:bookmarkEnd w:id="4"/>
            <w:r>
              <w:t>Report by the Secretary-General</w:t>
            </w:r>
          </w:p>
        </w:tc>
      </w:tr>
      <w:tr w:rsidR="00B66462" w:rsidRPr="00813E5E" w14:paraId="3AF60933" w14:textId="77777777">
        <w:trPr>
          <w:cantSplit/>
        </w:trPr>
        <w:tc>
          <w:tcPr>
            <w:tcW w:w="10031" w:type="dxa"/>
            <w:gridSpan w:val="2"/>
          </w:tcPr>
          <w:p w14:paraId="3C73A10B" w14:textId="77777777" w:rsidR="00B66462" w:rsidRPr="00813E5E" w:rsidRDefault="00B66462" w:rsidP="002B2955">
            <w:pPr>
              <w:pStyle w:val="Title1"/>
              <w:framePr w:hSpace="0" w:wrap="auto" w:hAnchor="text" w:yAlign="inline"/>
            </w:pPr>
            <w:bookmarkStart w:id="6" w:name="dtitle1" w:colFirst="0" w:colLast="0"/>
            <w:bookmarkEnd w:id="5"/>
            <w:r>
              <w:t xml:space="preserve">IMPLEMENTATION STATUS AND PLAN OF THE JIU RECOMMENDATIONS FROM THE </w:t>
            </w:r>
            <w:r w:rsidR="00584200">
              <w:t>“</w:t>
            </w:r>
            <w:r>
              <w:t>REVIEW OF MANAGEMENT AND ADMINISTRATION IN THE ITU</w:t>
            </w:r>
            <w:r w:rsidR="00584200">
              <w:t>”</w:t>
            </w:r>
          </w:p>
        </w:tc>
      </w:tr>
      <w:bookmarkEnd w:id="6"/>
    </w:tbl>
    <w:p w14:paraId="0BCBBA14" w14:textId="77777777" w:rsidR="00B66462" w:rsidRPr="00813E5E" w:rsidRDefault="00B6646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66462" w:rsidRPr="00813E5E" w14:paraId="71BA9753"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1AE4EDC" w14:textId="77777777" w:rsidR="00B66462" w:rsidRPr="00813E5E" w:rsidRDefault="00B66462" w:rsidP="00B54A5C">
            <w:pPr>
              <w:pStyle w:val="Headingb"/>
              <w:spacing w:before="120" w:after="120"/>
            </w:pPr>
            <w:r w:rsidRPr="00813E5E">
              <w:t>Summary</w:t>
            </w:r>
          </w:p>
          <w:p w14:paraId="37140D3D" w14:textId="77777777" w:rsidR="00B66462" w:rsidRDefault="00B66462" w:rsidP="00B54A5C">
            <w:pPr>
              <w:spacing w:after="120"/>
              <w:jc w:val="both"/>
            </w:pPr>
            <w:r>
              <w:t xml:space="preserve">The Joint Inspection Unit of the United Nations System included in its Programme of Work for 2015 a </w:t>
            </w:r>
            <w:r w:rsidR="00584200">
              <w:t>“</w:t>
            </w:r>
            <w:r>
              <w:t>Review of management and administration in the International Telecommunication Union (ITU)</w:t>
            </w:r>
            <w:r w:rsidR="00584200">
              <w:t>”</w:t>
            </w:r>
            <w:r>
              <w:t>. The report of this Review (JIU/REP/2016/1) served to contrib</w:t>
            </w:r>
            <w:r w:rsidR="00584200">
              <w:t>ute to the ongoing work of the s</w:t>
            </w:r>
            <w:r>
              <w:t>ecretariat in further improving and streamlining its administrative and management processes.</w:t>
            </w:r>
          </w:p>
          <w:p w14:paraId="174CA34C" w14:textId="77777777" w:rsidR="00B66462" w:rsidRPr="00813E5E" w:rsidRDefault="00B66462" w:rsidP="00B54A5C">
            <w:pPr>
              <w:spacing w:after="120"/>
              <w:jc w:val="both"/>
            </w:pPr>
            <w:r>
              <w:t>This document presents the status and plan for the implementation of the JIU ITU Review recommendations.</w:t>
            </w:r>
          </w:p>
          <w:p w14:paraId="72214EAF" w14:textId="77777777" w:rsidR="00B66462" w:rsidRPr="00813E5E" w:rsidRDefault="00B66462" w:rsidP="00B54A5C">
            <w:pPr>
              <w:pStyle w:val="Headingb"/>
              <w:spacing w:before="120" w:after="120"/>
              <w:jc w:val="both"/>
            </w:pPr>
            <w:r w:rsidRPr="00813E5E">
              <w:t>Action required</w:t>
            </w:r>
          </w:p>
          <w:p w14:paraId="02D472A2" w14:textId="77777777" w:rsidR="00B66462" w:rsidRPr="00813E5E" w:rsidRDefault="00B66462" w:rsidP="00B54A5C">
            <w:pPr>
              <w:tabs>
                <w:tab w:val="left" w:pos="0"/>
              </w:tabs>
              <w:snapToGrid w:val="0"/>
              <w:spacing w:after="120"/>
              <w:jc w:val="both"/>
            </w:pPr>
            <w:r w:rsidRPr="00DC30A3">
              <w:rPr>
                <w:rFonts w:asciiTheme="minorHAnsi" w:hAnsiTheme="minorHAnsi" w:cstheme="majorBidi"/>
                <w:bCs/>
              </w:rPr>
              <w:t xml:space="preserve">The </w:t>
            </w:r>
            <w:r>
              <w:rPr>
                <w:rFonts w:asciiTheme="minorHAnsi" w:hAnsiTheme="minorHAnsi" w:cstheme="majorBidi"/>
                <w:bCs/>
              </w:rPr>
              <w:t>Council</w:t>
            </w:r>
            <w:r w:rsidRPr="00DC30A3">
              <w:rPr>
                <w:rFonts w:asciiTheme="minorHAnsi" w:hAnsiTheme="minorHAnsi" w:cstheme="majorBidi"/>
                <w:bCs/>
              </w:rPr>
              <w:t xml:space="preserve"> is invited to </w:t>
            </w:r>
            <w:r w:rsidRPr="00DC30A3">
              <w:rPr>
                <w:rFonts w:asciiTheme="minorHAnsi" w:hAnsiTheme="minorHAnsi" w:cstheme="majorBidi"/>
                <w:b/>
              </w:rPr>
              <w:t>take note</w:t>
            </w:r>
            <w:r w:rsidRPr="00DC30A3">
              <w:rPr>
                <w:rFonts w:asciiTheme="minorHAnsi" w:hAnsiTheme="minorHAnsi" w:cstheme="majorBidi"/>
                <w:bCs/>
              </w:rPr>
              <w:t xml:space="preserve"> of the </w:t>
            </w:r>
            <w:r>
              <w:rPr>
                <w:rFonts w:asciiTheme="minorHAnsi" w:hAnsiTheme="minorHAnsi" w:cstheme="majorBidi"/>
                <w:bCs/>
              </w:rPr>
              <w:t xml:space="preserve">implementation </w:t>
            </w:r>
            <w:r w:rsidRPr="00DC30A3">
              <w:rPr>
                <w:rFonts w:asciiTheme="minorHAnsi" w:hAnsiTheme="minorHAnsi" w:cstheme="majorBidi"/>
                <w:bCs/>
              </w:rPr>
              <w:t xml:space="preserve">status </w:t>
            </w:r>
            <w:r>
              <w:rPr>
                <w:rFonts w:asciiTheme="minorHAnsi" w:hAnsiTheme="minorHAnsi" w:cstheme="majorBidi"/>
                <w:bCs/>
              </w:rPr>
              <w:t xml:space="preserve">and plan </w:t>
            </w:r>
            <w:r w:rsidRPr="00DC30A3">
              <w:rPr>
                <w:rFonts w:asciiTheme="minorHAnsi" w:hAnsiTheme="minorHAnsi" w:cstheme="majorBidi"/>
                <w:bCs/>
              </w:rPr>
              <w:t>of the JIU</w:t>
            </w:r>
            <w:r>
              <w:rPr>
                <w:rFonts w:asciiTheme="minorHAnsi" w:hAnsiTheme="minorHAnsi" w:cstheme="majorBidi"/>
                <w:bCs/>
              </w:rPr>
              <w:t xml:space="preserve"> </w:t>
            </w:r>
            <w:r w:rsidRPr="00DC30A3">
              <w:rPr>
                <w:rFonts w:asciiTheme="minorHAnsi" w:hAnsiTheme="minorHAnsi" w:cstheme="majorBidi"/>
                <w:bCs/>
              </w:rPr>
              <w:t xml:space="preserve">recommendations from the </w:t>
            </w:r>
            <w:r w:rsidR="00584200">
              <w:rPr>
                <w:rFonts w:asciiTheme="minorHAnsi" w:hAnsiTheme="minorHAnsi" w:cstheme="majorBidi"/>
                <w:bCs/>
              </w:rPr>
              <w:t>“</w:t>
            </w:r>
            <w:r w:rsidRPr="00DC30A3">
              <w:rPr>
                <w:rFonts w:asciiTheme="minorHAnsi" w:hAnsiTheme="minorHAnsi" w:cstheme="majorBidi"/>
                <w:bCs/>
              </w:rPr>
              <w:t>Review of management and administration in the ITU</w:t>
            </w:r>
            <w:r w:rsidR="00584200">
              <w:rPr>
                <w:rFonts w:asciiTheme="minorHAnsi" w:hAnsiTheme="minorHAnsi" w:cstheme="majorBidi"/>
                <w:bCs/>
              </w:rPr>
              <w:t>”</w:t>
            </w:r>
            <w:r>
              <w:rPr>
                <w:rFonts w:asciiTheme="minorHAnsi" w:hAnsiTheme="minorHAnsi" w:cstheme="majorBidi"/>
                <w:bCs/>
              </w:rPr>
              <w:t>.</w:t>
            </w:r>
          </w:p>
          <w:p w14:paraId="2B3E696D" w14:textId="77777777" w:rsidR="00B66462" w:rsidRPr="00813E5E" w:rsidRDefault="00B66462" w:rsidP="00B54A5C">
            <w:pPr>
              <w:pStyle w:val="Table"/>
              <w:keepNext w:val="0"/>
              <w:spacing w:before="120"/>
              <w:rPr>
                <w:rFonts w:ascii="Calibri" w:hAnsi="Calibri"/>
                <w:caps w:val="0"/>
                <w:sz w:val="22"/>
              </w:rPr>
            </w:pPr>
            <w:r w:rsidRPr="00813E5E">
              <w:rPr>
                <w:rFonts w:ascii="Calibri" w:hAnsi="Calibri"/>
                <w:caps w:val="0"/>
                <w:sz w:val="22"/>
              </w:rPr>
              <w:t>____________</w:t>
            </w:r>
          </w:p>
          <w:p w14:paraId="145F3366" w14:textId="77777777" w:rsidR="00B66462" w:rsidRPr="00813E5E" w:rsidRDefault="00B66462" w:rsidP="00B54A5C">
            <w:pPr>
              <w:pStyle w:val="Headingb"/>
              <w:spacing w:before="120" w:after="120"/>
            </w:pPr>
            <w:r w:rsidRPr="00813E5E">
              <w:t>References</w:t>
            </w:r>
          </w:p>
          <w:p w14:paraId="23438E66" w14:textId="77777777" w:rsidR="00B66462" w:rsidRPr="00813E5E" w:rsidRDefault="00B66462" w:rsidP="00B54A5C">
            <w:pPr>
              <w:spacing w:after="120"/>
              <w:rPr>
                <w:i/>
                <w:iCs/>
              </w:rPr>
            </w:pPr>
            <w:r w:rsidRPr="00B66462">
              <w:rPr>
                <w:i/>
                <w:iCs/>
              </w:rPr>
              <w:t xml:space="preserve">JIU review of management and </w:t>
            </w:r>
            <w:r>
              <w:rPr>
                <w:i/>
                <w:iCs/>
              </w:rPr>
              <w:t>administration in the ITU (</w:t>
            </w:r>
            <w:hyperlink r:id="rId12" w:history="1">
              <w:r w:rsidRPr="00B66462">
                <w:rPr>
                  <w:rStyle w:val="Hyperlink"/>
                  <w:i/>
                  <w:iCs/>
                </w:rPr>
                <w:t>JIU/REP/2016/1</w:t>
              </w:r>
            </w:hyperlink>
            <w:r>
              <w:rPr>
                <w:i/>
                <w:iCs/>
              </w:rPr>
              <w:t>); Council documents</w:t>
            </w:r>
            <w:r w:rsidRPr="00B66462">
              <w:rPr>
                <w:i/>
                <w:iCs/>
              </w:rPr>
              <w:t xml:space="preserve"> </w:t>
            </w:r>
            <w:hyperlink r:id="rId13" w:history="1">
              <w:r w:rsidR="00374E43" w:rsidRPr="00374E43">
                <w:rPr>
                  <w:rStyle w:val="Hyperlink"/>
                  <w:i/>
                  <w:iCs/>
                </w:rPr>
                <w:t>C17/4</w:t>
              </w:r>
              <w:r w:rsidR="00374E43">
                <w:rPr>
                  <w:rStyle w:val="Hyperlink"/>
                  <w:i/>
                  <w:iCs/>
                </w:rPr>
                <w:t>9</w:t>
              </w:r>
            </w:hyperlink>
            <w:r w:rsidR="00374E43">
              <w:rPr>
                <w:i/>
                <w:iCs/>
              </w:rPr>
              <w:t xml:space="preserve">, </w:t>
            </w:r>
            <w:hyperlink r:id="rId14" w:history="1">
              <w:r w:rsidRPr="00B66462">
                <w:rPr>
                  <w:rStyle w:val="Hyperlink"/>
                  <w:i/>
                  <w:iCs/>
                </w:rPr>
                <w:t>C16/67</w:t>
              </w:r>
            </w:hyperlink>
            <w:r w:rsidRPr="00B66462">
              <w:rPr>
                <w:i/>
                <w:iCs/>
              </w:rPr>
              <w:t xml:space="preserve">, </w:t>
            </w:r>
            <w:r>
              <w:rPr>
                <w:i/>
                <w:iCs/>
              </w:rPr>
              <w:t>and</w:t>
            </w:r>
            <w:r w:rsidRPr="00B66462">
              <w:rPr>
                <w:i/>
                <w:iCs/>
              </w:rPr>
              <w:t xml:space="preserve"> </w:t>
            </w:r>
            <w:hyperlink r:id="rId15" w:history="1">
              <w:r w:rsidRPr="00B66462">
                <w:rPr>
                  <w:rStyle w:val="Hyperlink"/>
                  <w:i/>
                  <w:iCs/>
                </w:rPr>
                <w:t>C16/49</w:t>
              </w:r>
            </w:hyperlink>
          </w:p>
        </w:tc>
      </w:tr>
    </w:tbl>
    <w:p w14:paraId="1E4C34CE" w14:textId="77777777" w:rsidR="00B66462" w:rsidRDefault="00B66462" w:rsidP="00866F3A">
      <w:pPr>
        <w:pStyle w:val="Heading1"/>
      </w:pPr>
      <w:bookmarkStart w:id="7" w:name="dstart"/>
      <w:bookmarkStart w:id="8" w:name="dbreak"/>
      <w:bookmarkEnd w:id="7"/>
      <w:bookmarkEnd w:id="8"/>
      <w:r>
        <w:t>1.</w:t>
      </w:r>
      <w:r>
        <w:tab/>
        <w:t>Background</w:t>
      </w:r>
    </w:p>
    <w:p w14:paraId="6C927ACE" w14:textId="77777777" w:rsidR="00B66462" w:rsidRPr="00866F3A" w:rsidRDefault="00B66462" w:rsidP="00C71650">
      <w:pPr>
        <w:tabs>
          <w:tab w:val="clear" w:pos="567"/>
          <w:tab w:val="clear" w:pos="1134"/>
          <w:tab w:val="clear" w:pos="1701"/>
          <w:tab w:val="clear" w:pos="2268"/>
          <w:tab w:val="clear" w:pos="2835"/>
        </w:tabs>
        <w:snapToGrid w:val="0"/>
        <w:spacing w:after="120"/>
        <w:jc w:val="both"/>
        <w:rPr>
          <w:rFonts w:asciiTheme="minorHAnsi" w:hAnsiTheme="minorHAnsi" w:cstheme="majorBidi"/>
          <w:bCs/>
          <w:szCs w:val="24"/>
        </w:rPr>
      </w:pPr>
      <w:r w:rsidRPr="00866F3A">
        <w:rPr>
          <w:rFonts w:asciiTheme="minorHAnsi" w:hAnsiTheme="minorHAnsi" w:cstheme="majorBidi"/>
          <w:bCs/>
          <w:szCs w:val="24"/>
        </w:rPr>
        <w:t>1.1</w:t>
      </w:r>
      <w:r w:rsidRPr="00866F3A">
        <w:rPr>
          <w:rFonts w:asciiTheme="minorHAnsi" w:hAnsiTheme="minorHAnsi" w:cstheme="majorBidi"/>
          <w:bCs/>
          <w:szCs w:val="24"/>
        </w:rPr>
        <w:tab/>
        <w:t xml:space="preserve">The Joint Inspection Unit </w:t>
      </w:r>
      <w:r w:rsidR="00584200" w:rsidRPr="00866F3A">
        <w:rPr>
          <w:rFonts w:asciiTheme="minorHAnsi" w:hAnsiTheme="minorHAnsi" w:cstheme="majorBidi"/>
          <w:bCs/>
          <w:szCs w:val="24"/>
        </w:rPr>
        <w:t xml:space="preserve">(JIU) </w:t>
      </w:r>
      <w:r w:rsidRPr="00866F3A">
        <w:rPr>
          <w:rFonts w:asciiTheme="minorHAnsi" w:hAnsiTheme="minorHAnsi" w:cstheme="majorBidi"/>
          <w:bCs/>
          <w:szCs w:val="24"/>
        </w:rPr>
        <w:t xml:space="preserve">of the United Nations System included in its Programme of Work for 2015 a </w:t>
      </w:r>
      <w:r w:rsidR="00584200" w:rsidRPr="00866F3A">
        <w:rPr>
          <w:rFonts w:asciiTheme="minorHAnsi" w:hAnsiTheme="minorHAnsi" w:cstheme="majorBidi"/>
          <w:bCs/>
          <w:szCs w:val="24"/>
        </w:rPr>
        <w:t>“</w:t>
      </w:r>
      <w:r w:rsidRPr="00866F3A">
        <w:rPr>
          <w:rFonts w:asciiTheme="minorHAnsi" w:hAnsiTheme="minorHAnsi" w:cstheme="majorBidi"/>
          <w:bCs/>
          <w:szCs w:val="24"/>
        </w:rPr>
        <w:t>Review of management and administration in the International Telecommunication Union (ITU)</w:t>
      </w:r>
      <w:r w:rsidR="00584200" w:rsidRPr="00866F3A">
        <w:rPr>
          <w:rFonts w:asciiTheme="minorHAnsi" w:hAnsiTheme="minorHAnsi" w:cstheme="majorBidi"/>
          <w:bCs/>
          <w:szCs w:val="24"/>
        </w:rPr>
        <w:t>”</w:t>
      </w:r>
      <w:r w:rsidRPr="00866F3A">
        <w:rPr>
          <w:rFonts w:asciiTheme="minorHAnsi" w:hAnsiTheme="minorHAnsi" w:cstheme="majorBidi"/>
          <w:bCs/>
          <w:szCs w:val="24"/>
        </w:rPr>
        <w:t>. The scope of the review primarily focused on issues such as governance, executive management, organizational structure, strategic planning, financial management, human resources management, information and communication technology management</w:t>
      </w:r>
      <w:r w:rsidR="00584200" w:rsidRPr="00866F3A">
        <w:rPr>
          <w:rFonts w:asciiTheme="minorHAnsi" w:hAnsiTheme="minorHAnsi" w:cstheme="majorBidi"/>
          <w:bCs/>
          <w:szCs w:val="24"/>
        </w:rPr>
        <w:t>,</w:t>
      </w:r>
      <w:r w:rsidRPr="00866F3A">
        <w:rPr>
          <w:rFonts w:asciiTheme="minorHAnsi" w:hAnsiTheme="minorHAnsi" w:cstheme="majorBidi"/>
          <w:bCs/>
          <w:szCs w:val="24"/>
        </w:rPr>
        <w:t xml:space="preserve"> and oversight mechanisms. Additional corporate functions identified as relevant have been added as appropriate.</w:t>
      </w:r>
      <w:r w:rsidR="00C71650" w:rsidRPr="00866F3A">
        <w:rPr>
          <w:rFonts w:asciiTheme="minorHAnsi" w:hAnsiTheme="minorHAnsi" w:cstheme="majorBidi"/>
          <w:bCs/>
          <w:szCs w:val="24"/>
        </w:rPr>
        <w:t xml:space="preserve"> </w:t>
      </w:r>
      <w:r w:rsidRPr="00866F3A">
        <w:rPr>
          <w:rFonts w:asciiTheme="minorHAnsi" w:hAnsiTheme="minorHAnsi" w:cstheme="majorBidi"/>
          <w:bCs/>
          <w:szCs w:val="24"/>
        </w:rPr>
        <w:t>The f</w:t>
      </w:r>
      <w:r w:rsidR="00822ACC" w:rsidRPr="00866F3A">
        <w:rPr>
          <w:rFonts w:asciiTheme="minorHAnsi" w:hAnsiTheme="minorHAnsi" w:cstheme="majorBidi"/>
          <w:bCs/>
          <w:szCs w:val="24"/>
        </w:rPr>
        <w:t>ull JIU report can be found in d</w:t>
      </w:r>
      <w:r w:rsidRPr="00866F3A">
        <w:rPr>
          <w:rFonts w:asciiTheme="minorHAnsi" w:hAnsiTheme="minorHAnsi" w:cstheme="majorBidi"/>
          <w:bCs/>
          <w:szCs w:val="24"/>
        </w:rPr>
        <w:t xml:space="preserve">ocument </w:t>
      </w:r>
      <w:hyperlink r:id="rId16" w:history="1">
        <w:r w:rsidRPr="00866F3A">
          <w:rPr>
            <w:rStyle w:val="Hyperlink"/>
            <w:rFonts w:asciiTheme="minorHAnsi" w:hAnsiTheme="minorHAnsi" w:cstheme="majorBidi"/>
            <w:bCs/>
            <w:szCs w:val="24"/>
          </w:rPr>
          <w:t>C16/49</w:t>
        </w:r>
      </w:hyperlink>
      <w:r w:rsidRPr="00866F3A">
        <w:rPr>
          <w:rFonts w:asciiTheme="minorHAnsi" w:hAnsiTheme="minorHAnsi" w:cstheme="majorBidi"/>
          <w:bCs/>
          <w:szCs w:val="24"/>
        </w:rPr>
        <w:t>.</w:t>
      </w:r>
    </w:p>
    <w:p w14:paraId="4A7E24F9" w14:textId="77777777" w:rsidR="00C71650" w:rsidRPr="00866F3A" w:rsidRDefault="00B66462" w:rsidP="00C71650">
      <w:pPr>
        <w:keepNext/>
        <w:keepLines/>
        <w:tabs>
          <w:tab w:val="clear" w:pos="567"/>
          <w:tab w:val="clear" w:pos="1134"/>
          <w:tab w:val="clear" w:pos="1701"/>
          <w:tab w:val="clear" w:pos="2268"/>
          <w:tab w:val="clear" w:pos="2835"/>
        </w:tabs>
        <w:snapToGrid w:val="0"/>
        <w:spacing w:after="120"/>
        <w:jc w:val="both"/>
        <w:rPr>
          <w:rFonts w:asciiTheme="minorHAnsi" w:hAnsiTheme="minorHAnsi" w:cstheme="majorBidi"/>
          <w:bCs/>
          <w:szCs w:val="24"/>
        </w:rPr>
      </w:pPr>
      <w:r w:rsidRPr="00866F3A">
        <w:rPr>
          <w:rFonts w:asciiTheme="minorHAnsi" w:hAnsiTheme="minorHAnsi" w:cstheme="majorBidi"/>
          <w:bCs/>
          <w:szCs w:val="24"/>
        </w:rPr>
        <w:lastRenderedPageBreak/>
        <w:t>1.2</w:t>
      </w:r>
      <w:r w:rsidRPr="00866F3A">
        <w:rPr>
          <w:rFonts w:asciiTheme="minorHAnsi" w:hAnsiTheme="minorHAnsi" w:cstheme="majorBidi"/>
          <w:bCs/>
          <w:szCs w:val="24"/>
        </w:rPr>
        <w:tab/>
        <w:t>The ITU Secretary-General accepted the formal and informal recommendations made by the JIU and addressed to the ITU secretariat, and considered that they would contribute to the process of continuous improvement and to further strengthening of ITU’s administrative and management processes. He expressed the commitment of the ITU secretariat to implement the recommendations within the timescales proposed. However</w:t>
      </w:r>
      <w:r w:rsidR="00822ACC" w:rsidRPr="00866F3A">
        <w:rPr>
          <w:rFonts w:asciiTheme="minorHAnsi" w:hAnsiTheme="minorHAnsi" w:cstheme="majorBidi"/>
          <w:bCs/>
          <w:szCs w:val="24"/>
        </w:rPr>
        <w:t>,</w:t>
      </w:r>
      <w:r w:rsidRPr="00866F3A">
        <w:rPr>
          <w:rFonts w:asciiTheme="minorHAnsi" w:hAnsiTheme="minorHAnsi" w:cstheme="majorBidi"/>
          <w:bCs/>
          <w:szCs w:val="24"/>
        </w:rPr>
        <w:t xml:space="preserve"> full implementation of some recommendations might depend on available resources.</w:t>
      </w:r>
    </w:p>
    <w:p w14:paraId="645D5346" w14:textId="77777777" w:rsidR="00B66462" w:rsidRPr="00866F3A" w:rsidRDefault="00C71650" w:rsidP="00C71650">
      <w:pPr>
        <w:keepNext/>
        <w:keepLines/>
        <w:tabs>
          <w:tab w:val="clear" w:pos="567"/>
          <w:tab w:val="clear" w:pos="1134"/>
          <w:tab w:val="clear" w:pos="1701"/>
          <w:tab w:val="clear" w:pos="2268"/>
          <w:tab w:val="clear" w:pos="2835"/>
        </w:tabs>
        <w:snapToGrid w:val="0"/>
        <w:spacing w:after="120"/>
        <w:jc w:val="both"/>
        <w:rPr>
          <w:rFonts w:asciiTheme="minorHAnsi" w:hAnsiTheme="minorHAnsi" w:cstheme="majorBidi"/>
          <w:bCs/>
          <w:szCs w:val="24"/>
        </w:rPr>
      </w:pPr>
      <w:r w:rsidRPr="00866F3A">
        <w:rPr>
          <w:rFonts w:asciiTheme="minorHAnsi" w:hAnsiTheme="minorHAnsi" w:cstheme="majorBidi"/>
          <w:bCs/>
          <w:szCs w:val="24"/>
        </w:rPr>
        <w:t>1.3</w:t>
      </w:r>
      <w:r w:rsidRPr="00866F3A">
        <w:rPr>
          <w:rFonts w:asciiTheme="minorHAnsi" w:hAnsiTheme="minorHAnsi" w:cstheme="majorBidi"/>
          <w:bCs/>
          <w:szCs w:val="24"/>
        </w:rPr>
        <w:tab/>
      </w:r>
      <w:r w:rsidR="00453135" w:rsidRPr="00866F3A">
        <w:rPr>
          <w:rFonts w:asciiTheme="minorHAnsi" w:hAnsiTheme="minorHAnsi" w:cstheme="majorBidi"/>
          <w:bCs/>
          <w:szCs w:val="24"/>
        </w:rPr>
        <w:t xml:space="preserve">The first </w:t>
      </w:r>
      <w:r w:rsidRPr="00866F3A">
        <w:rPr>
          <w:rFonts w:asciiTheme="minorHAnsi" w:hAnsiTheme="minorHAnsi" w:cstheme="majorBidi"/>
          <w:bCs/>
          <w:szCs w:val="24"/>
        </w:rPr>
        <w:t xml:space="preserve">report on the </w:t>
      </w:r>
      <w:r w:rsidR="00453135" w:rsidRPr="00866F3A">
        <w:rPr>
          <w:rFonts w:asciiTheme="minorHAnsi" w:hAnsiTheme="minorHAnsi" w:cstheme="majorBidi"/>
          <w:bCs/>
          <w:szCs w:val="24"/>
        </w:rPr>
        <w:t>status of implementation was presented to</w:t>
      </w:r>
      <w:r w:rsidR="003C4958" w:rsidRPr="00866F3A">
        <w:rPr>
          <w:rFonts w:asciiTheme="minorHAnsi" w:hAnsiTheme="minorHAnsi" w:cstheme="majorBidi"/>
          <w:bCs/>
          <w:szCs w:val="24"/>
        </w:rPr>
        <w:t xml:space="preserve"> the</w:t>
      </w:r>
      <w:r w:rsidR="00453135" w:rsidRPr="00866F3A">
        <w:rPr>
          <w:rFonts w:asciiTheme="minorHAnsi" w:hAnsiTheme="minorHAnsi" w:cstheme="majorBidi"/>
          <w:bCs/>
          <w:szCs w:val="24"/>
        </w:rPr>
        <w:t xml:space="preserve"> Council in 2017 (</w:t>
      </w:r>
      <w:hyperlink r:id="rId17" w:history="1">
        <w:r w:rsidR="00453135" w:rsidRPr="00866F3A">
          <w:rPr>
            <w:rStyle w:val="Hyperlink"/>
            <w:rFonts w:asciiTheme="minorHAnsi" w:hAnsiTheme="minorHAnsi" w:cstheme="majorBidi"/>
            <w:bCs/>
            <w:szCs w:val="24"/>
          </w:rPr>
          <w:t>C17/49</w:t>
        </w:r>
      </w:hyperlink>
      <w:r w:rsidR="00453135" w:rsidRPr="00866F3A">
        <w:rPr>
          <w:rFonts w:asciiTheme="minorHAnsi" w:hAnsiTheme="minorHAnsi" w:cstheme="majorBidi"/>
          <w:bCs/>
          <w:szCs w:val="24"/>
        </w:rPr>
        <w:t>).</w:t>
      </w:r>
    </w:p>
    <w:p w14:paraId="6B509711" w14:textId="77777777" w:rsidR="00B66462" w:rsidRPr="00866F3A" w:rsidRDefault="00B66462" w:rsidP="00866F3A">
      <w:pPr>
        <w:pStyle w:val="Heading1"/>
      </w:pPr>
      <w:r w:rsidRPr="00866F3A">
        <w:t>2.</w:t>
      </w:r>
      <w:r w:rsidRPr="00866F3A">
        <w:tab/>
        <w:t>Overall status of JIU Review Recommendations</w:t>
      </w:r>
    </w:p>
    <w:p w14:paraId="0DC063EF" w14:textId="77777777" w:rsidR="00B66462" w:rsidRDefault="0062172A" w:rsidP="00B66462">
      <w:pPr>
        <w:tabs>
          <w:tab w:val="left" w:pos="0"/>
        </w:tabs>
        <w:jc w:val="center"/>
        <w:rPr>
          <w:rFonts w:asciiTheme="minorHAnsi" w:hAnsiTheme="minorHAnsi" w:cstheme="majorBidi"/>
          <w:bCs/>
          <w:sz w:val="22"/>
          <w:szCs w:val="22"/>
        </w:rPr>
      </w:pPr>
      <w:r w:rsidRPr="0062172A">
        <w:rPr>
          <w:noProof/>
          <w:lang w:val="en-US" w:eastAsia="zh-CN"/>
        </w:rPr>
        <w:drawing>
          <wp:inline distT="0" distB="0" distL="0" distR="0" wp14:anchorId="188F8C0D" wp14:editId="55FC9AEC">
            <wp:extent cx="4636135" cy="23336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558" b="7895"/>
                    <a:stretch/>
                  </pic:blipFill>
                  <pic:spPr bwMode="auto">
                    <a:xfrm>
                      <a:off x="0" y="0"/>
                      <a:ext cx="4636800" cy="2333948"/>
                    </a:xfrm>
                    <a:prstGeom prst="rect">
                      <a:avLst/>
                    </a:prstGeom>
                    <a:noFill/>
                    <a:ln>
                      <a:noFill/>
                    </a:ln>
                    <a:extLst>
                      <a:ext uri="{53640926-AAD7-44D8-BBD7-CCE9431645EC}">
                        <a14:shadowObscured xmlns:a14="http://schemas.microsoft.com/office/drawing/2010/main"/>
                      </a:ext>
                    </a:extLst>
                  </pic:spPr>
                </pic:pic>
              </a:graphicData>
            </a:graphic>
          </wp:inline>
        </w:drawing>
      </w:r>
    </w:p>
    <w:p w14:paraId="28C68BF0" w14:textId="08034039" w:rsidR="00B66462" w:rsidRPr="00866F3A" w:rsidRDefault="00B66462" w:rsidP="00BA5423">
      <w:pPr>
        <w:tabs>
          <w:tab w:val="clear" w:pos="567"/>
          <w:tab w:val="clear" w:pos="1134"/>
          <w:tab w:val="clear" w:pos="1701"/>
          <w:tab w:val="clear" w:pos="2268"/>
          <w:tab w:val="clear" w:pos="2835"/>
        </w:tabs>
        <w:snapToGrid w:val="0"/>
        <w:spacing w:after="120"/>
        <w:jc w:val="both"/>
        <w:rPr>
          <w:rFonts w:asciiTheme="minorHAnsi" w:hAnsiTheme="minorHAnsi" w:cstheme="majorBidi"/>
          <w:bCs/>
          <w:szCs w:val="24"/>
        </w:rPr>
      </w:pPr>
      <w:r w:rsidRPr="00866F3A">
        <w:rPr>
          <w:rFonts w:asciiTheme="minorHAnsi" w:hAnsiTheme="minorHAnsi" w:cstheme="majorBidi"/>
          <w:bCs/>
          <w:szCs w:val="24"/>
        </w:rPr>
        <w:t>2.1</w:t>
      </w:r>
      <w:r w:rsidRPr="00866F3A">
        <w:rPr>
          <w:rFonts w:asciiTheme="minorHAnsi" w:hAnsiTheme="minorHAnsi" w:cstheme="majorBidi"/>
          <w:bCs/>
          <w:szCs w:val="24"/>
        </w:rPr>
        <w:tab/>
        <w:t xml:space="preserve">Out of the </w:t>
      </w:r>
      <w:r w:rsidRPr="00866F3A">
        <w:rPr>
          <w:rFonts w:asciiTheme="minorHAnsi" w:hAnsiTheme="minorHAnsi" w:cstheme="majorBidi"/>
          <w:b/>
          <w:szCs w:val="24"/>
        </w:rPr>
        <w:t>11 formal Recommendations</w:t>
      </w:r>
      <w:r w:rsidRPr="00866F3A">
        <w:rPr>
          <w:rFonts w:asciiTheme="minorHAnsi" w:hAnsiTheme="minorHAnsi" w:cstheme="majorBidi"/>
          <w:bCs/>
          <w:szCs w:val="24"/>
        </w:rPr>
        <w:t xml:space="preserve"> addressed to the</w:t>
      </w:r>
      <w:r w:rsidR="00584200" w:rsidRPr="00866F3A">
        <w:rPr>
          <w:rFonts w:asciiTheme="minorHAnsi" w:hAnsiTheme="minorHAnsi" w:cstheme="majorBidi"/>
          <w:bCs/>
          <w:szCs w:val="24"/>
        </w:rPr>
        <w:t xml:space="preserve"> ITU s</w:t>
      </w:r>
      <w:r w:rsidRPr="00866F3A">
        <w:rPr>
          <w:rFonts w:asciiTheme="minorHAnsi" w:hAnsiTheme="minorHAnsi" w:cstheme="majorBidi"/>
          <w:bCs/>
          <w:szCs w:val="24"/>
        </w:rPr>
        <w:t>ecretariat,</w:t>
      </w:r>
      <w:r w:rsidR="00BA5423" w:rsidRPr="00866F3A">
        <w:rPr>
          <w:rFonts w:asciiTheme="minorHAnsi" w:hAnsiTheme="minorHAnsi" w:cstheme="majorBidi"/>
          <w:bCs/>
          <w:szCs w:val="24"/>
        </w:rPr>
        <w:t xml:space="preserve"> </w:t>
      </w:r>
      <w:r w:rsidR="00BA5423" w:rsidRPr="00866F3A">
        <w:rPr>
          <w:rFonts w:asciiTheme="minorHAnsi" w:hAnsiTheme="minorHAnsi" w:cstheme="majorBidi"/>
          <w:b/>
          <w:szCs w:val="24"/>
        </w:rPr>
        <w:t>all</w:t>
      </w:r>
      <w:r w:rsidRPr="00866F3A">
        <w:rPr>
          <w:rFonts w:asciiTheme="minorHAnsi" w:hAnsiTheme="minorHAnsi" w:cstheme="majorBidi"/>
          <w:b/>
          <w:szCs w:val="24"/>
        </w:rPr>
        <w:t xml:space="preserve"> </w:t>
      </w:r>
      <w:r w:rsidR="00BA5423" w:rsidRPr="00866F3A">
        <w:rPr>
          <w:rFonts w:asciiTheme="minorHAnsi" w:hAnsiTheme="minorHAnsi" w:cstheme="majorBidi"/>
          <w:b/>
          <w:szCs w:val="24"/>
        </w:rPr>
        <w:t xml:space="preserve">of them </w:t>
      </w:r>
      <w:r w:rsidRPr="00866F3A">
        <w:rPr>
          <w:rFonts w:asciiTheme="minorHAnsi" w:hAnsiTheme="minorHAnsi" w:cstheme="majorBidi"/>
          <w:b/>
          <w:szCs w:val="24"/>
        </w:rPr>
        <w:t>have been implemented</w:t>
      </w:r>
      <w:r w:rsidRPr="00866F3A">
        <w:rPr>
          <w:rFonts w:asciiTheme="minorHAnsi" w:hAnsiTheme="minorHAnsi" w:cstheme="majorBidi"/>
          <w:bCs/>
          <w:szCs w:val="24"/>
        </w:rPr>
        <w:t xml:space="preserve"> (detailed information is presented in Annex I).</w:t>
      </w:r>
    </w:p>
    <w:p w14:paraId="63F32DEF" w14:textId="77777777" w:rsidR="00B66462" w:rsidRPr="00866F3A" w:rsidRDefault="00B66462" w:rsidP="002B2955">
      <w:pPr>
        <w:tabs>
          <w:tab w:val="clear" w:pos="567"/>
          <w:tab w:val="clear" w:pos="1134"/>
          <w:tab w:val="clear" w:pos="1701"/>
          <w:tab w:val="clear" w:pos="2268"/>
          <w:tab w:val="clear" w:pos="2835"/>
        </w:tabs>
        <w:snapToGrid w:val="0"/>
        <w:spacing w:after="120"/>
        <w:jc w:val="both"/>
        <w:rPr>
          <w:rFonts w:asciiTheme="minorHAnsi" w:hAnsiTheme="minorHAnsi" w:cstheme="majorBidi"/>
          <w:bCs/>
          <w:szCs w:val="24"/>
        </w:rPr>
      </w:pPr>
      <w:r w:rsidRPr="00866F3A">
        <w:rPr>
          <w:rFonts w:asciiTheme="minorHAnsi" w:hAnsiTheme="minorHAnsi" w:cstheme="majorBidi"/>
          <w:bCs/>
          <w:szCs w:val="24"/>
        </w:rPr>
        <w:t>2.2</w:t>
      </w:r>
      <w:r w:rsidRPr="00866F3A">
        <w:rPr>
          <w:rFonts w:asciiTheme="minorHAnsi" w:hAnsiTheme="minorHAnsi" w:cstheme="majorBidi"/>
          <w:bCs/>
          <w:szCs w:val="24"/>
        </w:rPr>
        <w:tab/>
        <w:t>The Recommendation addressed to the ITU governing bodies is for consideration by PP-18.</w:t>
      </w:r>
    </w:p>
    <w:p w14:paraId="03360910" w14:textId="77777777" w:rsidR="00B66462" w:rsidRDefault="00173BFC" w:rsidP="00B66462">
      <w:pPr>
        <w:tabs>
          <w:tab w:val="left" w:pos="0"/>
        </w:tabs>
        <w:jc w:val="center"/>
        <w:rPr>
          <w:rFonts w:asciiTheme="minorHAnsi" w:hAnsiTheme="minorHAnsi" w:cstheme="majorBidi"/>
          <w:bCs/>
          <w:sz w:val="22"/>
          <w:szCs w:val="22"/>
        </w:rPr>
      </w:pPr>
      <w:r w:rsidRPr="00173BFC">
        <w:rPr>
          <w:noProof/>
          <w:lang w:val="en-US" w:eastAsia="zh-CN"/>
        </w:rPr>
        <w:drawing>
          <wp:inline distT="0" distB="0" distL="0" distR="0" wp14:anchorId="56D04585" wp14:editId="0F07EDD7">
            <wp:extent cx="5733415" cy="32766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3565" b="2095"/>
                    <a:stretch/>
                  </pic:blipFill>
                  <pic:spPr bwMode="auto">
                    <a:xfrm>
                      <a:off x="0" y="0"/>
                      <a:ext cx="5734800" cy="3277392"/>
                    </a:xfrm>
                    <a:prstGeom prst="rect">
                      <a:avLst/>
                    </a:prstGeom>
                    <a:noFill/>
                    <a:ln>
                      <a:noFill/>
                    </a:ln>
                    <a:extLst>
                      <a:ext uri="{53640926-AAD7-44D8-BBD7-CCE9431645EC}">
                        <a14:shadowObscured xmlns:a14="http://schemas.microsoft.com/office/drawing/2010/main"/>
                      </a:ext>
                    </a:extLst>
                  </pic:spPr>
                </pic:pic>
              </a:graphicData>
            </a:graphic>
          </wp:inline>
        </w:drawing>
      </w:r>
    </w:p>
    <w:p w14:paraId="4B06591E" w14:textId="389EE3B2" w:rsidR="00B66462" w:rsidRPr="00866F3A" w:rsidRDefault="00B66462" w:rsidP="00382F69">
      <w:pPr>
        <w:keepNext/>
        <w:keepLines/>
        <w:tabs>
          <w:tab w:val="clear" w:pos="567"/>
          <w:tab w:val="clear" w:pos="1134"/>
          <w:tab w:val="clear" w:pos="1701"/>
          <w:tab w:val="clear" w:pos="2268"/>
          <w:tab w:val="clear" w:pos="2835"/>
        </w:tabs>
        <w:jc w:val="both"/>
        <w:rPr>
          <w:rFonts w:asciiTheme="minorHAnsi" w:hAnsiTheme="minorHAnsi" w:cstheme="majorBidi"/>
          <w:bCs/>
          <w:szCs w:val="24"/>
        </w:rPr>
      </w:pPr>
      <w:r w:rsidRPr="00866F3A">
        <w:rPr>
          <w:rFonts w:asciiTheme="minorHAnsi" w:hAnsiTheme="minorHAnsi" w:cstheme="majorBidi"/>
          <w:bCs/>
          <w:szCs w:val="24"/>
        </w:rPr>
        <w:lastRenderedPageBreak/>
        <w:t>2.</w:t>
      </w:r>
      <w:r w:rsidR="00382F69">
        <w:rPr>
          <w:rFonts w:asciiTheme="minorHAnsi" w:hAnsiTheme="minorHAnsi" w:cstheme="majorBidi"/>
          <w:bCs/>
          <w:szCs w:val="24"/>
        </w:rPr>
        <w:t>3</w:t>
      </w:r>
      <w:r w:rsidRPr="00866F3A">
        <w:rPr>
          <w:rFonts w:asciiTheme="minorHAnsi" w:hAnsiTheme="minorHAnsi" w:cstheme="majorBidi"/>
          <w:bCs/>
          <w:szCs w:val="24"/>
        </w:rPr>
        <w:tab/>
        <w:t xml:space="preserve">Out of the </w:t>
      </w:r>
      <w:r w:rsidRPr="00866F3A">
        <w:rPr>
          <w:rFonts w:asciiTheme="minorHAnsi" w:hAnsiTheme="minorHAnsi" w:cstheme="majorBidi"/>
          <w:b/>
          <w:szCs w:val="24"/>
        </w:rPr>
        <w:t xml:space="preserve">47 formal and informal recommendations </w:t>
      </w:r>
      <w:r w:rsidRPr="00866F3A">
        <w:rPr>
          <w:rFonts w:asciiTheme="minorHAnsi" w:hAnsiTheme="minorHAnsi" w:cstheme="majorBidi"/>
          <w:bCs/>
          <w:szCs w:val="24"/>
        </w:rPr>
        <w:t xml:space="preserve">in total, </w:t>
      </w:r>
      <w:r w:rsidR="00BA5423" w:rsidRPr="00866F3A">
        <w:rPr>
          <w:rFonts w:asciiTheme="minorHAnsi" w:hAnsiTheme="minorHAnsi" w:cstheme="majorBidi"/>
          <w:b/>
          <w:szCs w:val="24"/>
        </w:rPr>
        <w:t>3</w:t>
      </w:r>
      <w:r w:rsidR="00173BFC" w:rsidRPr="00866F3A">
        <w:rPr>
          <w:rFonts w:asciiTheme="minorHAnsi" w:hAnsiTheme="minorHAnsi" w:cstheme="majorBidi"/>
          <w:b/>
          <w:szCs w:val="24"/>
        </w:rPr>
        <w:t>8</w:t>
      </w:r>
      <w:r w:rsidR="00BA5423" w:rsidRPr="00866F3A">
        <w:rPr>
          <w:rFonts w:asciiTheme="minorHAnsi" w:hAnsiTheme="minorHAnsi" w:cstheme="majorBidi"/>
          <w:b/>
          <w:szCs w:val="24"/>
        </w:rPr>
        <w:t xml:space="preserve"> </w:t>
      </w:r>
      <w:r w:rsidRPr="00866F3A">
        <w:rPr>
          <w:rFonts w:asciiTheme="minorHAnsi" w:hAnsiTheme="minorHAnsi" w:cstheme="majorBidi"/>
          <w:b/>
          <w:szCs w:val="24"/>
        </w:rPr>
        <w:t>have been implemented</w:t>
      </w:r>
      <w:r w:rsidRPr="00866F3A">
        <w:rPr>
          <w:rFonts w:asciiTheme="minorHAnsi" w:hAnsiTheme="minorHAnsi" w:cstheme="majorBidi"/>
          <w:bCs/>
          <w:szCs w:val="24"/>
        </w:rPr>
        <w:t xml:space="preserve">, </w:t>
      </w:r>
      <w:proofErr w:type="gramStart"/>
      <w:r w:rsidR="00173BFC" w:rsidRPr="00866F3A">
        <w:rPr>
          <w:rFonts w:asciiTheme="minorHAnsi" w:hAnsiTheme="minorHAnsi" w:cstheme="majorBidi"/>
          <w:b/>
          <w:szCs w:val="24"/>
        </w:rPr>
        <w:t>6</w:t>
      </w:r>
      <w:proofErr w:type="gramEnd"/>
      <w:r w:rsidR="00BA5423" w:rsidRPr="00866F3A">
        <w:rPr>
          <w:rFonts w:asciiTheme="minorHAnsi" w:hAnsiTheme="minorHAnsi" w:cstheme="majorBidi"/>
          <w:b/>
          <w:szCs w:val="24"/>
        </w:rPr>
        <w:t xml:space="preserve"> </w:t>
      </w:r>
      <w:r w:rsidRPr="00866F3A">
        <w:rPr>
          <w:rFonts w:asciiTheme="minorHAnsi" w:hAnsiTheme="minorHAnsi" w:cstheme="majorBidi"/>
          <w:b/>
          <w:szCs w:val="24"/>
        </w:rPr>
        <w:t>are on track for implementation</w:t>
      </w:r>
      <w:r w:rsidRPr="00866F3A">
        <w:rPr>
          <w:rFonts w:asciiTheme="minorHAnsi" w:hAnsiTheme="minorHAnsi" w:cstheme="majorBidi"/>
          <w:bCs/>
          <w:szCs w:val="24"/>
        </w:rPr>
        <w:t xml:space="preserve"> (as per the plan provided in the Annexes)</w:t>
      </w:r>
      <w:r w:rsidR="00584200" w:rsidRPr="00866F3A">
        <w:rPr>
          <w:rFonts w:asciiTheme="minorHAnsi" w:hAnsiTheme="minorHAnsi" w:cstheme="majorBidi"/>
          <w:bCs/>
          <w:szCs w:val="24"/>
        </w:rPr>
        <w:t>,</w:t>
      </w:r>
      <w:r w:rsidRPr="00866F3A">
        <w:rPr>
          <w:rFonts w:asciiTheme="minorHAnsi" w:hAnsiTheme="minorHAnsi" w:cstheme="majorBidi"/>
          <w:bCs/>
          <w:szCs w:val="24"/>
        </w:rPr>
        <w:t xml:space="preserve"> and </w:t>
      </w:r>
      <w:r w:rsidR="00822ACC" w:rsidRPr="00866F3A">
        <w:rPr>
          <w:rFonts w:asciiTheme="minorHAnsi" w:hAnsiTheme="minorHAnsi" w:cstheme="majorBidi"/>
          <w:bCs/>
          <w:szCs w:val="24"/>
        </w:rPr>
        <w:t>three</w:t>
      </w:r>
      <w:r w:rsidRPr="00866F3A">
        <w:rPr>
          <w:rFonts w:asciiTheme="minorHAnsi" w:hAnsiTheme="minorHAnsi" w:cstheme="majorBidi"/>
          <w:bCs/>
          <w:szCs w:val="24"/>
        </w:rPr>
        <w:t xml:space="preserve"> recommendations </w:t>
      </w:r>
      <w:r w:rsidR="00BA5423" w:rsidRPr="00866F3A">
        <w:rPr>
          <w:rFonts w:asciiTheme="minorHAnsi" w:hAnsiTheme="minorHAnsi" w:cstheme="majorBidi"/>
          <w:bCs/>
          <w:szCs w:val="24"/>
        </w:rPr>
        <w:t xml:space="preserve">that </w:t>
      </w:r>
      <w:r w:rsidR="004E627B" w:rsidRPr="00866F3A">
        <w:rPr>
          <w:rFonts w:asciiTheme="minorHAnsi" w:hAnsiTheme="minorHAnsi" w:cstheme="majorBidi"/>
          <w:bCs/>
          <w:szCs w:val="24"/>
        </w:rPr>
        <w:t xml:space="preserve">have been </w:t>
      </w:r>
      <w:r w:rsidRPr="00866F3A">
        <w:rPr>
          <w:rFonts w:asciiTheme="minorHAnsi" w:hAnsiTheme="minorHAnsi" w:cstheme="majorBidi"/>
          <w:bCs/>
          <w:szCs w:val="24"/>
        </w:rPr>
        <w:t>addressed to the ITU governing bodies</w:t>
      </w:r>
      <w:r w:rsidR="004E627B" w:rsidRPr="00866F3A">
        <w:rPr>
          <w:rFonts w:asciiTheme="minorHAnsi" w:hAnsiTheme="minorHAnsi" w:cstheme="majorBidi"/>
          <w:bCs/>
          <w:szCs w:val="24"/>
        </w:rPr>
        <w:t xml:space="preserve"> </w:t>
      </w:r>
      <w:r w:rsidR="00BA5423" w:rsidRPr="00866F3A">
        <w:rPr>
          <w:rFonts w:asciiTheme="minorHAnsi" w:hAnsiTheme="minorHAnsi" w:cstheme="majorBidi"/>
          <w:bCs/>
          <w:szCs w:val="24"/>
        </w:rPr>
        <w:t xml:space="preserve">are </w:t>
      </w:r>
      <w:r w:rsidR="004E627B" w:rsidRPr="00866F3A">
        <w:rPr>
          <w:rFonts w:asciiTheme="minorHAnsi" w:hAnsiTheme="minorHAnsi" w:cstheme="majorBidi"/>
          <w:bCs/>
          <w:szCs w:val="24"/>
        </w:rPr>
        <w:t>for consideration</w:t>
      </w:r>
      <w:r w:rsidR="00866F3A">
        <w:rPr>
          <w:rFonts w:asciiTheme="minorHAnsi" w:hAnsiTheme="minorHAnsi" w:cstheme="majorBidi"/>
          <w:bCs/>
          <w:szCs w:val="24"/>
        </w:rPr>
        <w:t xml:space="preserve"> by PP</w:t>
      </w:r>
      <w:r w:rsidR="00866F3A">
        <w:rPr>
          <w:rFonts w:asciiTheme="minorHAnsi" w:hAnsiTheme="minorHAnsi" w:cstheme="majorBidi"/>
          <w:bCs/>
          <w:szCs w:val="24"/>
        </w:rPr>
        <w:noBreakHyphen/>
      </w:r>
      <w:r w:rsidR="00BA5423" w:rsidRPr="00866F3A">
        <w:rPr>
          <w:rFonts w:asciiTheme="minorHAnsi" w:hAnsiTheme="minorHAnsi" w:cstheme="majorBidi"/>
          <w:bCs/>
          <w:szCs w:val="24"/>
        </w:rPr>
        <w:t>18</w:t>
      </w:r>
      <w:r w:rsidRPr="00866F3A">
        <w:rPr>
          <w:rFonts w:asciiTheme="minorHAnsi" w:hAnsiTheme="minorHAnsi" w:cstheme="majorBidi"/>
          <w:bCs/>
          <w:szCs w:val="24"/>
        </w:rPr>
        <w:t>.</w:t>
      </w:r>
    </w:p>
    <w:p w14:paraId="60B2121E" w14:textId="73AEC6F1" w:rsidR="00866F3A" w:rsidRDefault="00B66462" w:rsidP="00382F69">
      <w:pPr>
        <w:tabs>
          <w:tab w:val="clear" w:pos="567"/>
          <w:tab w:val="clear" w:pos="1134"/>
          <w:tab w:val="clear" w:pos="1701"/>
          <w:tab w:val="clear" w:pos="2268"/>
          <w:tab w:val="clear" w:pos="2835"/>
        </w:tabs>
        <w:jc w:val="both"/>
        <w:rPr>
          <w:rFonts w:asciiTheme="minorHAnsi" w:hAnsiTheme="minorHAnsi" w:cstheme="majorBidi"/>
          <w:bCs/>
          <w:szCs w:val="24"/>
        </w:rPr>
      </w:pPr>
      <w:r w:rsidRPr="00866F3A">
        <w:rPr>
          <w:rFonts w:asciiTheme="minorHAnsi" w:hAnsiTheme="minorHAnsi" w:cstheme="majorBidi"/>
          <w:bCs/>
          <w:szCs w:val="24"/>
        </w:rPr>
        <w:t>2.</w:t>
      </w:r>
      <w:r w:rsidR="00382F69">
        <w:rPr>
          <w:rFonts w:asciiTheme="minorHAnsi" w:hAnsiTheme="minorHAnsi" w:cstheme="majorBidi"/>
          <w:bCs/>
          <w:szCs w:val="24"/>
        </w:rPr>
        <w:t>4</w:t>
      </w:r>
      <w:bookmarkStart w:id="9" w:name="_GoBack"/>
      <w:bookmarkEnd w:id="9"/>
      <w:r w:rsidRPr="00866F3A">
        <w:rPr>
          <w:rFonts w:asciiTheme="minorHAnsi" w:hAnsiTheme="minorHAnsi" w:cstheme="majorBidi"/>
          <w:bCs/>
          <w:szCs w:val="24"/>
        </w:rPr>
        <w:tab/>
        <w:t>Annexes I and II show detailed information on the status and plan for the implementation of formal and informal recommendations.</w:t>
      </w:r>
    </w:p>
    <w:p w14:paraId="4D95B77B" w14:textId="59DBC211" w:rsidR="00B66462" w:rsidRPr="00866F3A" w:rsidRDefault="00B66462" w:rsidP="002B2955">
      <w:pPr>
        <w:tabs>
          <w:tab w:val="clear" w:pos="567"/>
          <w:tab w:val="clear" w:pos="1134"/>
          <w:tab w:val="clear" w:pos="1701"/>
          <w:tab w:val="clear" w:pos="2268"/>
          <w:tab w:val="clear" w:pos="2835"/>
        </w:tabs>
        <w:jc w:val="both"/>
        <w:rPr>
          <w:rFonts w:asciiTheme="minorHAnsi" w:hAnsiTheme="minorHAnsi" w:cstheme="majorBidi"/>
          <w:bCs/>
          <w:szCs w:val="24"/>
        </w:rPr>
        <w:sectPr w:rsidR="00B66462" w:rsidRPr="00866F3A" w:rsidSect="00126B06">
          <w:headerReference w:type="default" r:id="rId20"/>
          <w:footerReference w:type="default" r:id="rId21"/>
          <w:footerReference w:type="first" r:id="rId22"/>
          <w:pgSz w:w="11907" w:h="16834"/>
          <w:pgMar w:top="1247" w:right="1077" w:bottom="1247" w:left="1077" w:header="720" w:footer="720" w:gutter="0"/>
          <w:paperSrc w:first="7" w:other="7"/>
          <w:cols w:space="720"/>
          <w:titlePg/>
        </w:sectPr>
      </w:pPr>
    </w:p>
    <w:p w14:paraId="03ACC387" w14:textId="77777777" w:rsidR="00B66462" w:rsidRPr="00EC5B9B" w:rsidRDefault="00B66462" w:rsidP="00B66462">
      <w:pPr>
        <w:tabs>
          <w:tab w:val="left" w:pos="0"/>
        </w:tabs>
        <w:spacing w:before="0"/>
        <w:jc w:val="both"/>
        <w:rPr>
          <w:rFonts w:asciiTheme="minorHAnsi" w:hAnsiTheme="minorHAnsi" w:cstheme="majorBidi"/>
          <w:b/>
        </w:rPr>
      </w:pPr>
      <w:r>
        <w:rPr>
          <w:rFonts w:asciiTheme="minorHAnsi" w:hAnsiTheme="minorHAnsi" w:cstheme="majorBidi"/>
          <w:b/>
        </w:rPr>
        <w:lastRenderedPageBreak/>
        <w:t>Annex 1 - S</w:t>
      </w:r>
      <w:r w:rsidRPr="00EC5B9B">
        <w:rPr>
          <w:rFonts w:asciiTheme="minorHAnsi" w:hAnsiTheme="minorHAnsi" w:cstheme="majorBidi"/>
          <w:b/>
        </w:rPr>
        <w:t xml:space="preserve">tatus </w:t>
      </w:r>
      <w:r>
        <w:rPr>
          <w:rFonts w:asciiTheme="minorHAnsi" w:hAnsiTheme="minorHAnsi" w:cstheme="majorBidi"/>
          <w:b/>
        </w:rPr>
        <w:t xml:space="preserve">of the Formal JIU </w:t>
      </w:r>
      <w:r w:rsidRPr="00EC5B9B">
        <w:rPr>
          <w:rFonts w:asciiTheme="minorHAnsi" w:hAnsiTheme="minorHAnsi" w:cstheme="majorBidi"/>
          <w:b/>
        </w:rPr>
        <w:t>Recommendations</w:t>
      </w:r>
    </w:p>
    <w:tbl>
      <w:tblPr>
        <w:tblW w:w="14738" w:type="dxa"/>
        <w:jc w:val="center"/>
        <w:tblLayout w:type="fixed"/>
        <w:tblLook w:val="04A0" w:firstRow="1" w:lastRow="0" w:firstColumn="1" w:lastColumn="0" w:noHBand="0" w:noVBand="1"/>
      </w:tblPr>
      <w:tblGrid>
        <w:gridCol w:w="3397"/>
        <w:gridCol w:w="856"/>
        <w:gridCol w:w="4389"/>
        <w:gridCol w:w="1139"/>
        <w:gridCol w:w="3544"/>
        <w:gridCol w:w="1413"/>
      </w:tblGrid>
      <w:tr w:rsidR="00B66462" w:rsidRPr="00B66462" w14:paraId="30729166" w14:textId="77777777" w:rsidTr="00483D3F">
        <w:trPr>
          <w:tblHeader/>
          <w:jc w:val="center"/>
        </w:trPr>
        <w:tc>
          <w:tcPr>
            <w:tcW w:w="3397" w:type="dxa"/>
            <w:tcBorders>
              <w:top w:val="single" w:sz="4" w:space="0" w:color="5B9BD5"/>
              <w:left w:val="nil"/>
              <w:bottom w:val="single" w:sz="4" w:space="0" w:color="auto"/>
              <w:right w:val="nil"/>
            </w:tcBorders>
            <w:shd w:val="clear" w:color="5B9BD5" w:fill="5B9BD5"/>
            <w:hideMark/>
          </w:tcPr>
          <w:p w14:paraId="15D5BD5B" w14:textId="77777777"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Formal Recommendation</w:t>
            </w:r>
          </w:p>
        </w:tc>
        <w:tc>
          <w:tcPr>
            <w:tcW w:w="856" w:type="dxa"/>
            <w:tcBorders>
              <w:top w:val="single" w:sz="4" w:space="0" w:color="5B9BD5"/>
              <w:left w:val="nil"/>
              <w:bottom w:val="single" w:sz="4" w:space="0" w:color="auto"/>
              <w:right w:val="nil"/>
            </w:tcBorders>
            <w:shd w:val="clear" w:color="5B9BD5" w:fill="5B9BD5"/>
            <w:hideMark/>
          </w:tcPr>
          <w:p w14:paraId="43CDFF16" w14:textId="77777777"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Owner</w:t>
            </w:r>
          </w:p>
        </w:tc>
        <w:tc>
          <w:tcPr>
            <w:tcW w:w="4389" w:type="dxa"/>
            <w:tcBorders>
              <w:top w:val="single" w:sz="4" w:space="0" w:color="5B9BD5"/>
              <w:left w:val="nil"/>
              <w:bottom w:val="single" w:sz="4" w:space="0" w:color="auto"/>
              <w:right w:val="nil"/>
            </w:tcBorders>
            <w:shd w:val="clear" w:color="5B9BD5" w:fill="5B9BD5"/>
            <w:hideMark/>
          </w:tcPr>
          <w:p w14:paraId="50BFBD37" w14:textId="77777777"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Response from secretariat (March 2016)</w:t>
            </w:r>
          </w:p>
        </w:tc>
        <w:tc>
          <w:tcPr>
            <w:tcW w:w="1139" w:type="dxa"/>
            <w:tcBorders>
              <w:top w:val="single" w:sz="4" w:space="0" w:color="5B9BD5"/>
              <w:left w:val="nil"/>
              <w:bottom w:val="single" w:sz="4" w:space="0" w:color="auto"/>
              <w:right w:val="nil"/>
            </w:tcBorders>
            <w:shd w:val="clear" w:color="5B9BD5" w:fill="5B9BD5"/>
            <w:hideMark/>
          </w:tcPr>
          <w:p w14:paraId="66CAD918" w14:textId="77777777"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Milestone</w:t>
            </w:r>
          </w:p>
        </w:tc>
        <w:tc>
          <w:tcPr>
            <w:tcW w:w="3544" w:type="dxa"/>
            <w:tcBorders>
              <w:top w:val="single" w:sz="4" w:space="0" w:color="5B9BD5"/>
              <w:left w:val="nil"/>
              <w:bottom w:val="single" w:sz="4" w:space="0" w:color="auto"/>
              <w:right w:val="nil"/>
            </w:tcBorders>
            <w:shd w:val="clear" w:color="5B9BD5" w:fill="5B9BD5"/>
            <w:hideMark/>
          </w:tcPr>
          <w:p w14:paraId="0EF76010" w14:textId="77777777"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Current progress</w:t>
            </w:r>
          </w:p>
        </w:tc>
        <w:tc>
          <w:tcPr>
            <w:tcW w:w="1413" w:type="dxa"/>
            <w:tcBorders>
              <w:top w:val="single" w:sz="4" w:space="0" w:color="5B9BD5"/>
              <w:left w:val="nil"/>
              <w:bottom w:val="single" w:sz="4" w:space="0" w:color="auto"/>
              <w:right w:val="nil"/>
            </w:tcBorders>
            <w:shd w:val="clear" w:color="5B9BD5" w:fill="5B9BD5"/>
            <w:hideMark/>
          </w:tcPr>
          <w:p w14:paraId="432D0055" w14:textId="77777777"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Status</w:t>
            </w:r>
          </w:p>
        </w:tc>
      </w:tr>
      <w:tr w:rsidR="00B66462" w:rsidRPr="00B66462" w14:paraId="35CCAD3D" w14:textId="77777777" w:rsidTr="00483D3F">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3640CBB3"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b/>
                <w:bCs/>
                <w:color w:val="000000"/>
                <w:sz w:val="20"/>
                <w:lang w:eastAsia="zh-CN"/>
              </w:rPr>
              <w:t>Rec. 1</w:t>
            </w:r>
            <w:r w:rsidRPr="00B66462">
              <w:rPr>
                <w:rFonts w:asciiTheme="minorHAnsi" w:hAnsiTheme="minorHAnsi"/>
                <w:color w:val="000000"/>
                <w:sz w:val="20"/>
                <w:lang w:eastAsia="zh-CN"/>
              </w:rPr>
              <w:t xml:space="preserve"> The Secretary-General should review the framework of the management committees to ensure synergy and complementarity and avoid duplication in their mandates, notably by updating the existing, or creating new, terms of reference as necessary.</w:t>
            </w:r>
          </w:p>
        </w:tc>
        <w:tc>
          <w:tcPr>
            <w:tcW w:w="856" w:type="dxa"/>
            <w:tcBorders>
              <w:top w:val="single" w:sz="4" w:space="0" w:color="auto"/>
              <w:left w:val="nil"/>
              <w:bottom w:val="single" w:sz="4" w:space="0" w:color="auto"/>
              <w:right w:val="single" w:sz="4" w:space="0" w:color="auto"/>
            </w:tcBorders>
            <w:shd w:val="clear" w:color="auto" w:fill="auto"/>
            <w:noWrap/>
            <w:hideMark/>
          </w:tcPr>
          <w:p w14:paraId="6ED35D1A"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MCG</w:t>
            </w:r>
          </w:p>
        </w:tc>
        <w:tc>
          <w:tcPr>
            <w:tcW w:w="4389" w:type="dxa"/>
            <w:tcBorders>
              <w:top w:val="single" w:sz="4" w:space="0" w:color="auto"/>
              <w:left w:val="nil"/>
              <w:bottom w:val="single" w:sz="4" w:space="0" w:color="auto"/>
              <w:right w:val="single" w:sz="4" w:space="0" w:color="auto"/>
            </w:tcBorders>
            <w:shd w:val="clear" w:color="auto" w:fill="auto"/>
            <w:hideMark/>
          </w:tcPr>
          <w:p w14:paraId="3DA7AECC"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framework and the terms of reference for the management committees will be reviewed to ensure synergy and complementarity and avoid duplication in their mandates</w:t>
            </w:r>
            <w:r w:rsidR="00CC65A5">
              <w:rPr>
                <w:rFonts w:asciiTheme="minorHAnsi" w:hAnsiTheme="minorHAnsi"/>
                <w:color w:val="000000"/>
                <w:sz w:val="20"/>
                <w:lang w:eastAsia="zh-CN"/>
              </w:rPr>
              <w:t>.</w:t>
            </w:r>
          </w:p>
        </w:tc>
        <w:tc>
          <w:tcPr>
            <w:tcW w:w="1139" w:type="dxa"/>
            <w:tcBorders>
              <w:top w:val="single" w:sz="4" w:space="0" w:color="auto"/>
              <w:left w:val="nil"/>
              <w:bottom w:val="single" w:sz="4" w:space="0" w:color="auto"/>
              <w:right w:val="single" w:sz="4" w:space="0" w:color="auto"/>
            </w:tcBorders>
            <w:shd w:val="clear" w:color="auto" w:fill="auto"/>
            <w:noWrap/>
            <w:hideMark/>
          </w:tcPr>
          <w:p w14:paraId="64E9A7CA"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Council 2017</w:t>
            </w:r>
          </w:p>
        </w:tc>
        <w:tc>
          <w:tcPr>
            <w:tcW w:w="3544" w:type="dxa"/>
            <w:tcBorders>
              <w:top w:val="single" w:sz="4" w:space="0" w:color="auto"/>
              <w:left w:val="nil"/>
              <w:bottom w:val="single" w:sz="4" w:space="0" w:color="auto"/>
              <w:right w:val="single" w:sz="4" w:space="0" w:color="auto"/>
            </w:tcBorders>
            <w:shd w:val="clear" w:color="auto" w:fill="auto"/>
            <w:hideMark/>
          </w:tcPr>
          <w:p w14:paraId="72D6EEDC"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framework of the management committees has been reviewed, and new terms of reference have been established and approved where needed, i.e. in the case of the Inter-</w:t>
            </w:r>
            <w:r w:rsidRPr="002B2955">
              <w:rPr>
                <w:rFonts w:asciiTheme="minorHAnsi" w:hAnsiTheme="minorHAnsi"/>
                <w:color w:val="000000"/>
                <w:spacing w:val="4"/>
                <w:sz w:val="20"/>
                <w:lang w:eastAsia="zh-CN"/>
              </w:rPr>
              <w:t>Sectoral Coordination Task Force</w:t>
            </w:r>
            <w:r w:rsidRPr="00B66462">
              <w:rPr>
                <w:rFonts w:asciiTheme="minorHAnsi" w:hAnsiTheme="minorHAnsi"/>
                <w:color w:val="000000"/>
                <w:sz w:val="20"/>
                <w:lang w:eastAsia="zh-CN"/>
              </w:rPr>
              <w:t xml:space="preserve"> (ISC-TF).</w:t>
            </w:r>
          </w:p>
        </w:tc>
        <w:tc>
          <w:tcPr>
            <w:tcW w:w="1413" w:type="dxa"/>
            <w:tcBorders>
              <w:top w:val="single" w:sz="4" w:space="0" w:color="auto"/>
              <w:left w:val="nil"/>
              <w:bottom w:val="single" w:sz="4" w:space="0" w:color="auto"/>
              <w:right w:val="single" w:sz="4" w:space="0" w:color="auto"/>
            </w:tcBorders>
            <w:shd w:val="clear" w:color="auto" w:fill="auto"/>
            <w:hideMark/>
          </w:tcPr>
          <w:p w14:paraId="3A965F24" w14:textId="77777777"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r>
      <w:tr w:rsidR="00B66462" w:rsidRPr="00B66462" w14:paraId="63E38319" w14:textId="77777777" w:rsidTr="00483D3F">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081EC9BE"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b/>
                <w:bCs/>
                <w:color w:val="000000"/>
                <w:sz w:val="20"/>
                <w:lang w:eastAsia="zh-CN"/>
              </w:rPr>
              <w:t>Rec. 2</w:t>
            </w:r>
            <w:r w:rsidRPr="00B66462">
              <w:rPr>
                <w:rFonts w:asciiTheme="minorHAnsi" w:hAnsiTheme="minorHAnsi"/>
                <w:color w:val="000000"/>
                <w:sz w:val="20"/>
                <w:lang w:eastAsia="zh-CN"/>
              </w:rPr>
              <w:t xml:space="preserve"> The Secretary-General should conduct an in-depth analysis of the efficiency and the effectiveness of the management functions and administrative support services in all components of the Union, taking into account the specificities and needs of each Sector, and report the results and proposals to the Council in the context of the elaboration of the 2018-2019 budget of the Union.</w:t>
            </w:r>
          </w:p>
        </w:tc>
        <w:tc>
          <w:tcPr>
            <w:tcW w:w="856" w:type="dxa"/>
            <w:tcBorders>
              <w:top w:val="single" w:sz="4" w:space="0" w:color="auto"/>
              <w:left w:val="nil"/>
              <w:bottom w:val="single" w:sz="4" w:space="0" w:color="auto"/>
              <w:right w:val="single" w:sz="4" w:space="0" w:color="auto"/>
            </w:tcBorders>
            <w:shd w:val="clear" w:color="auto" w:fill="auto"/>
            <w:hideMark/>
          </w:tcPr>
          <w:p w14:paraId="202E2391"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Annex 2 Task Force</w:t>
            </w:r>
          </w:p>
        </w:tc>
        <w:tc>
          <w:tcPr>
            <w:tcW w:w="4389" w:type="dxa"/>
            <w:tcBorders>
              <w:top w:val="single" w:sz="4" w:space="0" w:color="auto"/>
              <w:left w:val="nil"/>
              <w:bottom w:val="single" w:sz="4" w:space="0" w:color="auto"/>
              <w:right w:val="single" w:sz="4" w:space="0" w:color="auto"/>
            </w:tcBorders>
            <w:shd w:val="clear" w:color="auto" w:fill="auto"/>
            <w:hideMark/>
          </w:tcPr>
          <w:p w14:paraId="2517253A" w14:textId="77777777" w:rsidR="00B66462" w:rsidRPr="00B66462" w:rsidRDefault="00B66462" w:rsidP="002B2955">
            <w:pPr>
              <w:spacing w:after="120"/>
              <w:rPr>
                <w:rFonts w:asciiTheme="minorHAnsi" w:hAnsiTheme="minorHAnsi"/>
                <w:color w:val="000000"/>
                <w:sz w:val="20"/>
                <w:lang w:eastAsia="zh-CN"/>
              </w:rPr>
            </w:pPr>
            <w:r w:rsidRPr="00B66462">
              <w:rPr>
                <w:rFonts w:asciiTheme="minorHAnsi" w:hAnsiTheme="minorHAnsi"/>
                <w:color w:val="000000"/>
                <w:sz w:val="20"/>
                <w:lang w:eastAsia="zh-CN"/>
              </w:rPr>
              <w:t xml:space="preserve">A Project Team under the chairmanship of the Deputy Secretary-General with participation of the Bureaux and General Secretariat </w:t>
            </w:r>
            <w:r w:rsidR="002B2955">
              <w:rPr>
                <w:rFonts w:asciiTheme="minorHAnsi" w:hAnsiTheme="minorHAnsi"/>
                <w:color w:val="000000"/>
                <w:sz w:val="20"/>
                <w:lang w:eastAsia="zh-CN"/>
              </w:rPr>
              <w:t>d</w:t>
            </w:r>
            <w:r w:rsidRPr="00B66462">
              <w:rPr>
                <w:rFonts w:asciiTheme="minorHAnsi" w:hAnsiTheme="minorHAnsi"/>
                <w:color w:val="000000"/>
                <w:sz w:val="20"/>
                <w:lang w:eastAsia="zh-CN"/>
              </w:rPr>
              <w:t>epartments will conduct an in-depth analysis of the efficiency and the effectiveness of management functions and administrative support services in all components of the Union, with a view to simplifying them and converting them to electronic work processes, eliminating any overlap and duplication of tasks, taking into account the specificities and needs of each Sector. The results and proposals will be reported to the Council in the context of the elaboration of the ITU budget for the biennium 2018-2019</w:t>
            </w:r>
            <w:r w:rsidR="00CC65A5">
              <w:rPr>
                <w:rFonts w:asciiTheme="minorHAnsi" w:hAnsiTheme="minorHAnsi"/>
                <w:color w:val="000000"/>
                <w:sz w:val="20"/>
                <w:lang w:eastAsia="zh-CN"/>
              </w:rPr>
              <w:t>.</w:t>
            </w:r>
          </w:p>
        </w:tc>
        <w:tc>
          <w:tcPr>
            <w:tcW w:w="1139" w:type="dxa"/>
            <w:tcBorders>
              <w:top w:val="single" w:sz="4" w:space="0" w:color="auto"/>
              <w:left w:val="nil"/>
              <w:bottom w:val="single" w:sz="4" w:space="0" w:color="auto"/>
              <w:right w:val="single" w:sz="4" w:space="0" w:color="auto"/>
            </w:tcBorders>
            <w:shd w:val="clear" w:color="auto" w:fill="auto"/>
            <w:hideMark/>
          </w:tcPr>
          <w:p w14:paraId="03FBFAB7" w14:textId="77777777"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CWG-FHR, Council 2017</w:t>
            </w:r>
          </w:p>
        </w:tc>
        <w:tc>
          <w:tcPr>
            <w:tcW w:w="3544" w:type="dxa"/>
            <w:tcBorders>
              <w:top w:val="single" w:sz="4" w:space="0" w:color="auto"/>
              <w:left w:val="nil"/>
              <w:bottom w:val="single" w:sz="4" w:space="0" w:color="auto"/>
              <w:right w:val="single" w:sz="4" w:space="0" w:color="auto"/>
            </w:tcBorders>
            <w:shd w:val="clear" w:color="auto" w:fill="auto"/>
            <w:hideMark/>
          </w:tcPr>
          <w:p w14:paraId="74CDED62" w14:textId="77777777"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The results and proposals were discussed at CWG-FHR and are reported to the Council in the context of the elaboration of the ITU budget for the biennium 2018-2019:</w:t>
            </w:r>
          </w:p>
          <w:p w14:paraId="1B18BD91" w14:textId="77777777" w:rsidR="00B66462" w:rsidRPr="00B66462" w:rsidRDefault="00B66462" w:rsidP="00B66462">
            <w:pPr>
              <w:pStyle w:val="ListParagraph"/>
              <w:numPr>
                <w:ilvl w:val="0"/>
                <w:numId w:val="2"/>
              </w:numPr>
              <w:spacing w:after="0" w:line="240" w:lineRule="auto"/>
              <w:ind w:left="175" w:hanging="165"/>
              <w:rPr>
                <w:rFonts w:eastAsia="Times New Roman"/>
                <w:sz w:val="20"/>
                <w:szCs w:val="20"/>
                <w:lang w:eastAsia="zh-CN"/>
              </w:rPr>
            </w:pPr>
            <w:r w:rsidRPr="00B66462">
              <w:rPr>
                <w:rFonts w:eastAsia="Times New Roman"/>
                <w:sz w:val="20"/>
                <w:szCs w:val="20"/>
                <w:lang w:eastAsia="zh-CN"/>
              </w:rPr>
              <w:t xml:space="preserve">Doc </w:t>
            </w:r>
            <w:hyperlink r:id="rId23" w:history="1">
              <w:r w:rsidRPr="002B2955">
                <w:rPr>
                  <w:rStyle w:val="Hyperlink"/>
                  <w:rFonts w:eastAsia="Times New Roman"/>
                  <w:sz w:val="20"/>
                  <w:szCs w:val="20"/>
                  <w:lang w:eastAsia="zh-CN"/>
                </w:rPr>
                <w:t>C17/45</w:t>
              </w:r>
            </w:hyperlink>
            <w:r w:rsidRPr="00B66462">
              <w:rPr>
                <w:rFonts w:eastAsia="Times New Roman"/>
                <w:sz w:val="20"/>
                <w:szCs w:val="20"/>
                <w:lang w:eastAsia="zh-CN"/>
              </w:rPr>
              <w:t xml:space="preserve"> on efficiency measures</w:t>
            </w:r>
          </w:p>
          <w:p w14:paraId="1F2D2BFC" w14:textId="77777777" w:rsidR="00B66462" w:rsidRPr="00B66462" w:rsidRDefault="00B66462" w:rsidP="00B66462">
            <w:pPr>
              <w:pStyle w:val="ListParagraph"/>
              <w:numPr>
                <w:ilvl w:val="0"/>
                <w:numId w:val="2"/>
              </w:numPr>
              <w:spacing w:after="0" w:line="240" w:lineRule="auto"/>
              <w:ind w:left="175" w:hanging="165"/>
              <w:rPr>
                <w:rFonts w:eastAsia="Times New Roman"/>
                <w:sz w:val="20"/>
                <w:szCs w:val="20"/>
                <w:lang w:eastAsia="zh-CN"/>
              </w:rPr>
            </w:pPr>
            <w:r w:rsidRPr="00B66462">
              <w:rPr>
                <w:rFonts w:eastAsia="Times New Roman"/>
                <w:sz w:val="20"/>
                <w:szCs w:val="20"/>
                <w:lang w:eastAsia="zh-CN"/>
              </w:rPr>
              <w:t xml:space="preserve">Doc </w:t>
            </w:r>
            <w:hyperlink r:id="rId24" w:history="1">
              <w:r w:rsidRPr="002B2955">
                <w:rPr>
                  <w:rStyle w:val="Hyperlink"/>
                  <w:rFonts w:eastAsia="Times New Roman"/>
                  <w:sz w:val="20"/>
                  <w:szCs w:val="20"/>
                  <w:lang w:eastAsia="zh-CN"/>
                </w:rPr>
                <w:t>C17/10</w:t>
              </w:r>
            </w:hyperlink>
            <w:r w:rsidRPr="00B66462">
              <w:rPr>
                <w:rFonts w:eastAsia="Times New Roman"/>
                <w:sz w:val="20"/>
                <w:szCs w:val="20"/>
                <w:lang w:eastAsia="zh-CN"/>
              </w:rPr>
              <w:t xml:space="preserve"> (Draft budget of the Union for 2018-2019)</w:t>
            </w:r>
            <w:r w:rsidR="00CC65A5">
              <w:rPr>
                <w:rFonts w:eastAsia="Times New Roman"/>
                <w:sz w:val="20"/>
                <w:szCs w:val="20"/>
                <w:lang w:eastAsia="zh-CN"/>
              </w:rPr>
              <w:t>.</w:t>
            </w:r>
          </w:p>
        </w:tc>
        <w:tc>
          <w:tcPr>
            <w:tcW w:w="1413" w:type="dxa"/>
            <w:tcBorders>
              <w:top w:val="single" w:sz="4" w:space="0" w:color="auto"/>
              <w:left w:val="nil"/>
              <w:bottom w:val="single" w:sz="4" w:space="0" w:color="auto"/>
              <w:right w:val="single" w:sz="4" w:space="0" w:color="auto"/>
            </w:tcBorders>
            <w:shd w:val="clear" w:color="auto" w:fill="auto"/>
            <w:hideMark/>
          </w:tcPr>
          <w:p w14:paraId="22FD20E4" w14:textId="77777777" w:rsidR="00B66462" w:rsidRPr="00B66462" w:rsidRDefault="00B66462" w:rsidP="002B2955">
            <w:pPr>
              <w:rPr>
                <w:rFonts w:asciiTheme="minorHAnsi" w:hAnsiTheme="minorHAnsi"/>
                <w:sz w:val="20"/>
                <w:lang w:eastAsia="zh-CN"/>
              </w:rPr>
            </w:pPr>
            <w:r w:rsidRPr="00B66462">
              <w:rPr>
                <w:rFonts w:asciiTheme="minorHAnsi" w:hAnsiTheme="minorHAnsi"/>
                <w:b/>
                <w:bCs/>
                <w:sz w:val="20"/>
                <w:lang w:eastAsia="zh-CN"/>
              </w:rPr>
              <w:t>Implemented</w:t>
            </w:r>
          </w:p>
        </w:tc>
      </w:tr>
      <w:tr w:rsidR="00B66462" w:rsidRPr="00B66462" w14:paraId="287ED6E2" w14:textId="77777777" w:rsidTr="00483D3F">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2A293FBC"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b/>
                <w:bCs/>
                <w:color w:val="000000"/>
                <w:sz w:val="20"/>
                <w:lang w:eastAsia="zh-CN"/>
              </w:rPr>
              <w:t>Rec. 3</w:t>
            </w:r>
            <w:r w:rsidRPr="00B66462">
              <w:rPr>
                <w:rFonts w:asciiTheme="minorHAnsi" w:hAnsiTheme="minorHAnsi"/>
                <w:color w:val="000000"/>
                <w:sz w:val="20"/>
                <w:lang w:eastAsia="zh-CN"/>
              </w:rPr>
              <w:t xml:space="preserve"> The Secretary-General should finalize and present for endorsement by the Council at its 2017 session, a coordination and cooperation strategy in areas of mutual interest to the General Secretariat and the three Sectors as requested by Member States in Resolution 191 (Busan, 2014), and report annually to the Council on its implementation.</w:t>
            </w:r>
          </w:p>
        </w:tc>
        <w:tc>
          <w:tcPr>
            <w:tcW w:w="856" w:type="dxa"/>
            <w:tcBorders>
              <w:top w:val="single" w:sz="4" w:space="0" w:color="auto"/>
              <w:left w:val="nil"/>
              <w:bottom w:val="single" w:sz="4" w:space="0" w:color="auto"/>
              <w:right w:val="single" w:sz="4" w:space="0" w:color="auto"/>
            </w:tcBorders>
            <w:shd w:val="clear" w:color="auto" w:fill="auto"/>
            <w:noWrap/>
            <w:hideMark/>
          </w:tcPr>
          <w:p w14:paraId="0B7EC71F"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ISC-TF</w:t>
            </w:r>
          </w:p>
        </w:tc>
        <w:tc>
          <w:tcPr>
            <w:tcW w:w="4389" w:type="dxa"/>
            <w:tcBorders>
              <w:top w:val="single" w:sz="4" w:space="0" w:color="auto"/>
              <w:left w:val="nil"/>
              <w:bottom w:val="single" w:sz="4" w:space="0" w:color="auto"/>
              <w:right w:val="single" w:sz="4" w:space="0" w:color="auto"/>
            </w:tcBorders>
            <w:shd w:val="clear" w:color="auto" w:fill="auto"/>
            <w:hideMark/>
          </w:tcPr>
          <w:p w14:paraId="19A9B01A" w14:textId="77777777" w:rsidR="00B66462" w:rsidRPr="00B66462" w:rsidRDefault="00B66462" w:rsidP="002B2955">
            <w:pPr>
              <w:rPr>
                <w:rFonts w:asciiTheme="minorHAnsi" w:hAnsiTheme="minorHAnsi"/>
                <w:color w:val="000000"/>
                <w:sz w:val="20"/>
                <w:lang w:eastAsia="zh-CN"/>
              </w:rPr>
            </w:pPr>
            <w:r w:rsidRPr="002B2955">
              <w:rPr>
                <w:rFonts w:asciiTheme="minorHAnsi" w:hAnsiTheme="minorHAnsi"/>
                <w:color w:val="000000"/>
                <w:spacing w:val="-4"/>
                <w:sz w:val="20"/>
                <w:lang w:eastAsia="zh-CN"/>
              </w:rPr>
              <w:t>The Inter-Sectoral Coordination Task Force</w:t>
            </w:r>
            <w:r w:rsidRPr="00B66462">
              <w:rPr>
                <w:rFonts w:asciiTheme="minorHAnsi" w:hAnsiTheme="minorHAnsi"/>
                <w:color w:val="000000"/>
                <w:sz w:val="20"/>
                <w:lang w:eastAsia="zh-CN"/>
              </w:rPr>
              <w:t xml:space="preserve"> (ISC-TF) facilitates the coordination and collaboration among the three Bureaux and the General Secretariat, with a view to avoid duplication of effort and optimize the use of resources. The Secretary-General will finalize and present a comprehensive coordination and cooperation strategy</w:t>
            </w:r>
            <w:r w:rsidR="00CC65A5">
              <w:rPr>
                <w:rFonts w:asciiTheme="minorHAnsi" w:hAnsiTheme="minorHAnsi"/>
                <w:color w:val="000000"/>
                <w:sz w:val="20"/>
                <w:lang w:eastAsia="zh-CN"/>
              </w:rPr>
              <w:t>.</w:t>
            </w:r>
          </w:p>
        </w:tc>
        <w:tc>
          <w:tcPr>
            <w:tcW w:w="1139" w:type="dxa"/>
            <w:tcBorders>
              <w:top w:val="single" w:sz="4" w:space="0" w:color="auto"/>
              <w:left w:val="nil"/>
              <w:bottom w:val="single" w:sz="4" w:space="0" w:color="auto"/>
              <w:right w:val="single" w:sz="4" w:space="0" w:color="auto"/>
            </w:tcBorders>
            <w:shd w:val="clear" w:color="auto" w:fill="auto"/>
            <w:noWrap/>
            <w:hideMark/>
          </w:tcPr>
          <w:p w14:paraId="1DD5A5FF" w14:textId="77777777"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Council 2017</w:t>
            </w:r>
          </w:p>
        </w:tc>
        <w:tc>
          <w:tcPr>
            <w:tcW w:w="3544" w:type="dxa"/>
            <w:tcBorders>
              <w:top w:val="single" w:sz="4" w:space="0" w:color="auto"/>
              <w:left w:val="nil"/>
              <w:bottom w:val="single" w:sz="4" w:space="0" w:color="auto"/>
              <w:right w:val="single" w:sz="4" w:space="0" w:color="auto"/>
            </w:tcBorders>
            <w:shd w:val="clear" w:color="auto" w:fill="auto"/>
            <w:hideMark/>
          </w:tcPr>
          <w:p w14:paraId="284DE53B" w14:textId="77777777" w:rsidR="00B66462" w:rsidRPr="00B66462" w:rsidRDefault="00B66462" w:rsidP="00CC65A5">
            <w:pPr>
              <w:rPr>
                <w:rFonts w:asciiTheme="minorHAnsi" w:hAnsiTheme="minorHAnsi"/>
                <w:sz w:val="20"/>
                <w:lang w:eastAsia="zh-CN"/>
              </w:rPr>
            </w:pPr>
            <w:r w:rsidRPr="00B66462">
              <w:rPr>
                <w:rFonts w:asciiTheme="minorHAnsi" w:hAnsiTheme="minorHAnsi"/>
                <w:sz w:val="20"/>
                <w:lang w:eastAsia="zh-CN"/>
              </w:rPr>
              <w:t xml:space="preserve">The Inter-Sectoral Coordination Task Force (ISC-TF), officially established by Service Order No. 16/13, facilitates the coordination and collaboration among the three Bureaux and the General Secretariat, with a view to avoid duplication of effort and optimize the use of resources. A </w:t>
            </w:r>
            <w:r w:rsidR="00CC65A5">
              <w:rPr>
                <w:rFonts w:asciiTheme="minorHAnsi" w:hAnsiTheme="minorHAnsi"/>
                <w:sz w:val="20"/>
                <w:lang w:eastAsia="zh-CN"/>
              </w:rPr>
              <w:t>r</w:t>
            </w:r>
            <w:r w:rsidRPr="00B66462">
              <w:rPr>
                <w:rFonts w:asciiTheme="minorHAnsi" w:hAnsiTheme="minorHAnsi"/>
                <w:sz w:val="20"/>
                <w:lang w:eastAsia="zh-CN"/>
              </w:rPr>
              <w:t>eport on the implementation of Res.</w:t>
            </w:r>
            <w:r w:rsidR="00CC65A5">
              <w:rPr>
                <w:rFonts w:asciiTheme="minorHAnsi" w:hAnsiTheme="minorHAnsi"/>
                <w:sz w:val="20"/>
                <w:lang w:eastAsia="zh-CN"/>
              </w:rPr>
              <w:t xml:space="preserve"> </w:t>
            </w:r>
            <w:r w:rsidRPr="00B66462">
              <w:rPr>
                <w:rFonts w:asciiTheme="minorHAnsi" w:hAnsiTheme="minorHAnsi"/>
                <w:sz w:val="20"/>
                <w:lang w:eastAsia="zh-CN"/>
              </w:rPr>
              <w:t xml:space="preserve">191 (Strategy for the coordination of efforts among the three Sectors of the Union) is submitted on an annual basis to </w:t>
            </w:r>
            <w:r w:rsidR="003C4958">
              <w:rPr>
                <w:rFonts w:asciiTheme="minorHAnsi" w:hAnsiTheme="minorHAnsi"/>
                <w:sz w:val="20"/>
                <w:lang w:eastAsia="zh-CN"/>
              </w:rPr>
              <w:t xml:space="preserve">the </w:t>
            </w:r>
            <w:r w:rsidRPr="00B66462">
              <w:rPr>
                <w:rFonts w:asciiTheme="minorHAnsi" w:hAnsiTheme="minorHAnsi"/>
                <w:sz w:val="20"/>
                <w:lang w:eastAsia="zh-CN"/>
              </w:rPr>
              <w:t xml:space="preserve">Council (Doc </w:t>
            </w:r>
            <w:hyperlink r:id="rId25" w:history="1">
              <w:r w:rsidRPr="00B66462">
                <w:rPr>
                  <w:rStyle w:val="Hyperlink"/>
                  <w:rFonts w:asciiTheme="minorHAnsi" w:hAnsiTheme="minorHAnsi"/>
                  <w:sz w:val="20"/>
                  <w:lang w:eastAsia="zh-CN"/>
                </w:rPr>
                <w:t>C17/38</w:t>
              </w:r>
            </w:hyperlink>
            <w:r w:rsidRPr="00B66462">
              <w:rPr>
                <w:rFonts w:asciiTheme="minorHAnsi" w:hAnsiTheme="minorHAnsi"/>
                <w:sz w:val="20"/>
                <w:lang w:eastAsia="zh-CN"/>
              </w:rPr>
              <w:t>).</w:t>
            </w:r>
          </w:p>
        </w:tc>
        <w:tc>
          <w:tcPr>
            <w:tcW w:w="1413" w:type="dxa"/>
            <w:tcBorders>
              <w:top w:val="single" w:sz="4" w:space="0" w:color="auto"/>
              <w:left w:val="nil"/>
              <w:bottom w:val="single" w:sz="4" w:space="0" w:color="auto"/>
              <w:right w:val="single" w:sz="4" w:space="0" w:color="auto"/>
            </w:tcBorders>
            <w:shd w:val="clear" w:color="auto" w:fill="auto"/>
            <w:hideMark/>
          </w:tcPr>
          <w:p w14:paraId="4F5FC7BF" w14:textId="77777777"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r>
      <w:tr w:rsidR="00B66462" w:rsidRPr="00B66462" w14:paraId="4BE0604D" w14:textId="77777777" w:rsidTr="00483D3F">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2506768B" w14:textId="77777777"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b/>
                <w:bCs/>
                <w:color w:val="000000"/>
                <w:sz w:val="20"/>
                <w:lang w:eastAsia="zh-CN"/>
              </w:rPr>
              <w:lastRenderedPageBreak/>
              <w:t>Rec. 4</w:t>
            </w:r>
            <w:r w:rsidRPr="00B66462">
              <w:rPr>
                <w:rFonts w:asciiTheme="minorHAnsi" w:hAnsiTheme="minorHAnsi"/>
                <w:color w:val="000000"/>
                <w:sz w:val="20"/>
                <w:lang w:eastAsia="zh-CN"/>
              </w:rPr>
              <w:t xml:space="preserve"> The Secretary-General should further develop and consolidate the core elements of accountability into a stand-alone ITU Accountability Framework and present it to the Council at its 2017 session and report annually on its implementation.</w:t>
            </w:r>
          </w:p>
        </w:tc>
        <w:tc>
          <w:tcPr>
            <w:tcW w:w="856" w:type="dxa"/>
            <w:tcBorders>
              <w:top w:val="single" w:sz="4" w:space="0" w:color="auto"/>
              <w:left w:val="nil"/>
              <w:bottom w:val="single" w:sz="4" w:space="0" w:color="auto"/>
              <w:right w:val="single" w:sz="4" w:space="0" w:color="auto"/>
            </w:tcBorders>
            <w:shd w:val="clear" w:color="auto" w:fill="auto"/>
            <w:noWrap/>
            <w:hideMark/>
          </w:tcPr>
          <w:p w14:paraId="03FE6F31" w14:textId="77777777"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FRMD</w:t>
            </w:r>
          </w:p>
        </w:tc>
        <w:tc>
          <w:tcPr>
            <w:tcW w:w="4389" w:type="dxa"/>
            <w:tcBorders>
              <w:top w:val="single" w:sz="4" w:space="0" w:color="auto"/>
              <w:left w:val="nil"/>
              <w:bottom w:val="single" w:sz="4" w:space="0" w:color="auto"/>
              <w:right w:val="single" w:sz="4" w:space="0" w:color="auto"/>
            </w:tcBorders>
            <w:shd w:val="clear" w:color="auto" w:fill="auto"/>
          </w:tcPr>
          <w:p w14:paraId="52FC6339" w14:textId="77777777"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An Accountability Framework is a statement defining the organization’s commitments, that is, its aims, standards and procedures and how it ensures that it is accountable to its membership. In this regard, the Secretariat will develop the guiding principles of an Accountability Framework in collaboration with the membership. The way in which ITU’s priorities are set, how its budget is approved, its resources mobilized and accounted for, and its performance monitored, evaluated, and reported, should show that the Union can be relied on to fulfil its mandate</w:t>
            </w:r>
            <w:r w:rsidR="00CC65A5">
              <w:rPr>
                <w:rFonts w:asciiTheme="minorHAnsi" w:hAnsiTheme="minorHAnsi"/>
                <w:color w:val="000000"/>
                <w:sz w:val="20"/>
                <w:lang w:eastAsia="zh-CN"/>
              </w:rPr>
              <w:t>.</w:t>
            </w:r>
          </w:p>
        </w:tc>
        <w:tc>
          <w:tcPr>
            <w:tcW w:w="1139" w:type="dxa"/>
            <w:tcBorders>
              <w:top w:val="single" w:sz="4" w:space="0" w:color="auto"/>
              <w:left w:val="nil"/>
              <w:bottom w:val="single" w:sz="4" w:space="0" w:color="auto"/>
              <w:right w:val="single" w:sz="4" w:space="0" w:color="auto"/>
            </w:tcBorders>
            <w:shd w:val="clear" w:color="auto" w:fill="auto"/>
            <w:hideMark/>
          </w:tcPr>
          <w:p w14:paraId="377752EE" w14:textId="77777777"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CWG-FHR, Council 2017</w:t>
            </w:r>
          </w:p>
        </w:tc>
        <w:tc>
          <w:tcPr>
            <w:tcW w:w="3544" w:type="dxa"/>
            <w:tcBorders>
              <w:top w:val="single" w:sz="4" w:space="0" w:color="auto"/>
              <w:left w:val="nil"/>
              <w:bottom w:val="single" w:sz="4" w:space="0" w:color="auto"/>
              <w:right w:val="single" w:sz="4" w:space="0" w:color="auto"/>
            </w:tcBorders>
            <w:shd w:val="clear" w:color="auto" w:fill="auto"/>
          </w:tcPr>
          <w:p w14:paraId="77B54A67" w14:textId="77777777"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FRMD coordinated the elaboration of the draft Accountability Framework for ITU. The document has been reviewed by ISC-TF and presented to the CWG-FHR.</w:t>
            </w:r>
          </w:p>
          <w:p w14:paraId="00F43860" w14:textId="77777777" w:rsidR="00B66462" w:rsidRPr="00B66462" w:rsidRDefault="00B66462" w:rsidP="001206BA">
            <w:pPr>
              <w:spacing w:before="60"/>
              <w:rPr>
                <w:rFonts w:asciiTheme="minorHAnsi" w:hAnsiTheme="minorHAnsi"/>
                <w:sz w:val="20"/>
                <w:lang w:eastAsia="zh-CN"/>
              </w:rPr>
            </w:pPr>
            <w:r w:rsidRPr="00B66462">
              <w:rPr>
                <w:rFonts w:asciiTheme="minorHAnsi" w:hAnsiTheme="minorHAnsi"/>
                <w:color w:val="000000"/>
                <w:sz w:val="20"/>
                <w:lang w:eastAsia="zh-CN"/>
              </w:rPr>
              <w:t xml:space="preserve">Doc. </w:t>
            </w:r>
            <w:hyperlink r:id="rId26" w:history="1">
              <w:r w:rsidRPr="002B2955">
                <w:rPr>
                  <w:rStyle w:val="Hyperlink"/>
                  <w:rFonts w:asciiTheme="minorHAnsi" w:hAnsiTheme="minorHAnsi"/>
                  <w:sz w:val="20"/>
                  <w:lang w:eastAsia="zh-CN"/>
                </w:rPr>
                <w:t>C17/64</w:t>
              </w:r>
            </w:hyperlink>
            <w:r w:rsidRPr="00B66462">
              <w:rPr>
                <w:rFonts w:asciiTheme="minorHAnsi" w:hAnsiTheme="minorHAnsi"/>
                <w:color w:val="000000"/>
                <w:sz w:val="20"/>
                <w:lang w:eastAsia="zh-CN"/>
              </w:rPr>
              <w:t xml:space="preserve"> introduces the ITU Accountability and Transparency Framework.</w:t>
            </w:r>
          </w:p>
        </w:tc>
        <w:tc>
          <w:tcPr>
            <w:tcW w:w="1413" w:type="dxa"/>
            <w:tcBorders>
              <w:top w:val="single" w:sz="4" w:space="0" w:color="auto"/>
              <w:left w:val="nil"/>
              <w:bottom w:val="single" w:sz="4" w:space="0" w:color="auto"/>
              <w:right w:val="single" w:sz="4" w:space="0" w:color="auto"/>
            </w:tcBorders>
            <w:shd w:val="clear" w:color="auto" w:fill="auto"/>
            <w:hideMark/>
          </w:tcPr>
          <w:p w14:paraId="34235E2B" w14:textId="77777777"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r>
      <w:tr w:rsidR="00B66462" w:rsidRPr="00B66462" w14:paraId="7CEE66F1" w14:textId="77777777" w:rsidTr="00483D3F">
        <w:trPr>
          <w:trHeight w:val="1973"/>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9DB56A7" w14:textId="77777777"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b/>
                <w:bCs/>
                <w:color w:val="000000"/>
                <w:sz w:val="20"/>
                <w:lang w:eastAsia="zh-CN"/>
              </w:rPr>
              <w:t>Rec. 5</w:t>
            </w:r>
            <w:r w:rsidRPr="00B66462">
              <w:rPr>
                <w:rFonts w:asciiTheme="minorHAnsi" w:hAnsiTheme="minorHAnsi"/>
                <w:color w:val="000000"/>
                <w:sz w:val="20"/>
                <w:lang w:eastAsia="zh-CN"/>
              </w:rPr>
              <w:t xml:space="preserve"> The Secretary-General should develop a comprehensive plan to improve the stability and the predictability of the financial base of the Union, integrating options for increasing revenues and cost-saving proposals, and present it to the Council at its 2017 session.</w:t>
            </w:r>
          </w:p>
        </w:tc>
        <w:tc>
          <w:tcPr>
            <w:tcW w:w="856" w:type="dxa"/>
            <w:tcBorders>
              <w:top w:val="single" w:sz="4" w:space="0" w:color="auto"/>
              <w:left w:val="nil"/>
              <w:bottom w:val="single" w:sz="4" w:space="0" w:color="auto"/>
              <w:right w:val="single" w:sz="4" w:space="0" w:color="auto"/>
            </w:tcBorders>
            <w:shd w:val="clear" w:color="auto" w:fill="auto"/>
            <w:noWrap/>
            <w:hideMark/>
          </w:tcPr>
          <w:p w14:paraId="6E9843BE" w14:textId="77777777"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FRMD</w:t>
            </w:r>
          </w:p>
        </w:tc>
        <w:tc>
          <w:tcPr>
            <w:tcW w:w="4389" w:type="dxa"/>
            <w:tcBorders>
              <w:top w:val="single" w:sz="4" w:space="0" w:color="auto"/>
              <w:left w:val="nil"/>
              <w:bottom w:val="single" w:sz="4" w:space="0" w:color="auto"/>
              <w:right w:val="single" w:sz="4" w:space="0" w:color="auto"/>
            </w:tcBorders>
            <w:shd w:val="clear" w:color="auto" w:fill="auto"/>
          </w:tcPr>
          <w:p w14:paraId="626BD29F" w14:textId="77777777"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The Union has taken numerous measures over the years in improving its long-term financial stability and predictability of its financial bases. Council 2014 has established the ASHI fund as of 1 January 2014. PP-14 through its Decision 5 invited the Member States to announce their provisional class of contribution’ two years prior to the four-year Financial Plan period. Also the Decision 5 suggests the measures for reducing expenses of the Union. Resolution 158 acknowledged the need to increase the revenue of the Union by developing new financial mechanisms which could include new products, revising cost-recovery revenues and increasing the amo</w:t>
            </w:r>
            <w:r w:rsidR="00A302F3">
              <w:rPr>
                <w:rFonts w:asciiTheme="minorHAnsi" w:hAnsiTheme="minorHAnsi"/>
                <w:color w:val="000000"/>
                <w:sz w:val="20"/>
                <w:lang w:eastAsia="zh-CN"/>
              </w:rPr>
              <w:t>unt of contributory units. The s</w:t>
            </w:r>
            <w:r w:rsidRPr="00B66462">
              <w:rPr>
                <w:rFonts w:asciiTheme="minorHAnsi" w:hAnsiTheme="minorHAnsi"/>
                <w:color w:val="000000"/>
                <w:sz w:val="20"/>
                <w:lang w:eastAsia="zh-CN"/>
              </w:rPr>
              <w:t>ecretariat will develop a comprehensive plan that will include these efforts and future efforts.</w:t>
            </w:r>
          </w:p>
        </w:tc>
        <w:tc>
          <w:tcPr>
            <w:tcW w:w="1139" w:type="dxa"/>
            <w:tcBorders>
              <w:top w:val="single" w:sz="4" w:space="0" w:color="auto"/>
              <w:left w:val="nil"/>
              <w:bottom w:val="single" w:sz="4" w:space="0" w:color="auto"/>
              <w:right w:val="single" w:sz="4" w:space="0" w:color="auto"/>
            </w:tcBorders>
            <w:shd w:val="clear" w:color="auto" w:fill="auto"/>
            <w:hideMark/>
          </w:tcPr>
          <w:p w14:paraId="5D7C0EAD" w14:textId="77777777"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CWG-FHR</w:t>
            </w:r>
          </w:p>
          <w:p w14:paraId="7B4BF8C8" w14:textId="77777777"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Council 2017</w:t>
            </w:r>
          </w:p>
        </w:tc>
        <w:tc>
          <w:tcPr>
            <w:tcW w:w="3544" w:type="dxa"/>
            <w:tcBorders>
              <w:top w:val="single" w:sz="4" w:space="0" w:color="auto"/>
              <w:left w:val="nil"/>
              <w:bottom w:val="single" w:sz="4" w:space="0" w:color="auto"/>
              <w:right w:val="single" w:sz="4" w:space="0" w:color="auto"/>
            </w:tcBorders>
            <w:shd w:val="clear" w:color="auto" w:fill="auto"/>
            <w:hideMark/>
          </w:tcPr>
          <w:p w14:paraId="2C940D1D" w14:textId="77777777"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 xml:space="preserve">The </w:t>
            </w:r>
            <w:r w:rsidRPr="00B66462">
              <w:rPr>
                <w:rFonts w:asciiTheme="minorHAnsi" w:hAnsiTheme="minorHAnsi"/>
                <w:color w:val="000000"/>
                <w:sz w:val="20"/>
                <w:lang w:eastAsia="zh-CN"/>
              </w:rPr>
              <w:t xml:space="preserve">comprehensive plan to improve the stability and the predictability of the financial base of the Union was discussed at the CWG-FHR is presented to C17 (Doc. </w:t>
            </w:r>
            <w:hyperlink r:id="rId27" w:history="1">
              <w:r w:rsidRPr="002B2955">
                <w:rPr>
                  <w:rStyle w:val="Hyperlink"/>
                  <w:rFonts w:asciiTheme="minorHAnsi" w:hAnsiTheme="minorHAnsi"/>
                  <w:sz w:val="20"/>
                  <w:lang w:eastAsia="zh-CN"/>
                </w:rPr>
                <w:t>C17/67</w:t>
              </w:r>
            </w:hyperlink>
            <w:r w:rsidRPr="00B66462">
              <w:rPr>
                <w:rFonts w:asciiTheme="minorHAnsi" w:hAnsiTheme="minorHAnsi"/>
                <w:color w:val="000000"/>
                <w:sz w:val="20"/>
                <w:lang w:eastAsia="zh-CN"/>
              </w:rPr>
              <w:t>).</w:t>
            </w:r>
          </w:p>
        </w:tc>
        <w:tc>
          <w:tcPr>
            <w:tcW w:w="1413" w:type="dxa"/>
            <w:tcBorders>
              <w:top w:val="single" w:sz="4" w:space="0" w:color="auto"/>
              <w:left w:val="nil"/>
              <w:bottom w:val="single" w:sz="4" w:space="0" w:color="auto"/>
              <w:right w:val="single" w:sz="4" w:space="0" w:color="auto"/>
            </w:tcBorders>
            <w:shd w:val="clear" w:color="auto" w:fill="auto"/>
            <w:hideMark/>
          </w:tcPr>
          <w:p w14:paraId="46C7E023" w14:textId="77777777"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r>
      <w:tr w:rsidR="00B66462" w:rsidRPr="00B66462" w14:paraId="1D4F0970" w14:textId="77777777" w:rsidTr="00483D3F">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60F02FA6" w14:textId="77777777"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b/>
                <w:bCs/>
                <w:color w:val="000000"/>
                <w:sz w:val="20"/>
                <w:lang w:eastAsia="zh-CN"/>
              </w:rPr>
              <w:t>Rec. 6</w:t>
            </w:r>
            <w:r w:rsidRPr="00B66462">
              <w:rPr>
                <w:rFonts w:asciiTheme="minorHAnsi" w:hAnsiTheme="minorHAnsi"/>
                <w:color w:val="000000"/>
                <w:sz w:val="20"/>
                <w:lang w:eastAsia="zh-CN"/>
              </w:rPr>
              <w:t xml:space="preserve"> The Secretary-General should finalize and present to the Council at its 2017 session, </w:t>
            </w:r>
            <w:r w:rsidRPr="001206BA">
              <w:rPr>
                <w:rFonts w:asciiTheme="minorHAnsi" w:hAnsiTheme="minorHAnsi"/>
                <w:color w:val="000000"/>
                <w:spacing w:val="-2"/>
                <w:sz w:val="20"/>
                <w:lang w:eastAsia="zh-CN"/>
              </w:rPr>
              <w:t>and regularly update thereafter, a Risk Management Policy comprising all the elements of a systematic and comprehensive corporate risk management framework, and report annually to the Council on its implementation.</w:t>
            </w:r>
          </w:p>
        </w:tc>
        <w:tc>
          <w:tcPr>
            <w:tcW w:w="856" w:type="dxa"/>
            <w:tcBorders>
              <w:top w:val="single" w:sz="4" w:space="0" w:color="auto"/>
              <w:left w:val="nil"/>
              <w:bottom w:val="single" w:sz="4" w:space="0" w:color="auto"/>
              <w:right w:val="single" w:sz="4" w:space="0" w:color="auto"/>
            </w:tcBorders>
            <w:shd w:val="clear" w:color="auto" w:fill="auto"/>
            <w:noWrap/>
            <w:hideMark/>
          </w:tcPr>
          <w:p w14:paraId="7960D622" w14:textId="77777777"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SPM</w:t>
            </w:r>
          </w:p>
        </w:tc>
        <w:tc>
          <w:tcPr>
            <w:tcW w:w="4389" w:type="dxa"/>
            <w:tcBorders>
              <w:top w:val="single" w:sz="4" w:space="0" w:color="auto"/>
              <w:left w:val="nil"/>
              <w:bottom w:val="single" w:sz="4" w:space="0" w:color="auto"/>
              <w:right w:val="single" w:sz="4" w:space="0" w:color="auto"/>
            </w:tcBorders>
            <w:shd w:val="clear" w:color="auto" w:fill="auto"/>
            <w:hideMark/>
          </w:tcPr>
          <w:p w14:paraId="1303C699" w14:textId="77777777" w:rsidR="00B66462" w:rsidRPr="00B66462" w:rsidRDefault="00B66462" w:rsidP="00CC65A5">
            <w:pPr>
              <w:spacing w:before="60"/>
              <w:rPr>
                <w:rFonts w:asciiTheme="minorHAnsi" w:hAnsiTheme="minorHAnsi"/>
                <w:color w:val="000000"/>
                <w:sz w:val="20"/>
                <w:lang w:eastAsia="zh-CN"/>
              </w:rPr>
            </w:pPr>
            <w:r w:rsidRPr="00B66462">
              <w:rPr>
                <w:rFonts w:asciiTheme="minorHAnsi" w:hAnsiTheme="minorHAnsi"/>
                <w:color w:val="000000"/>
                <w:sz w:val="20"/>
                <w:lang w:eastAsia="zh-CN"/>
              </w:rPr>
              <w:t>Following related IMAC Recommendations, the implementation of a systematic risk management mechanism is ongoing. Latest progress update was presented in Document CWG-FHR 6/11</w:t>
            </w:r>
            <w:r w:rsidR="00CC65A5">
              <w:rPr>
                <w:rFonts w:asciiTheme="minorHAnsi" w:hAnsiTheme="minorHAnsi"/>
                <w:color w:val="000000"/>
                <w:sz w:val="20"/>
                <w:lang w:eastAsia="zh-CN"/>
              </w:rPr>
              <w:t>.</w:t>
            </w:r>
          </w:p>
        </w:tc>
        <w:tc>
          <w:tcPr>
            <w:tcW w:w="1139" w:type="dxa"/>
            <w:tcBorders>
              <w:top w:val="single" w:sz="4" w:space="0" w:color="auto"/>
              <w:left w:val="nil"/>
              <w:bottom w:val="single" w:sz="4" w:space="0" w:color="auto"/>
              <w:right w:val="single" w:sz="4" w:space="0" w:color="auto"/>
            </w:tcBorders>
            <w:shd w:val="clear" w:color="auto" w:fill="auto"/>
            <w:hideMark/>
          </w:tcPr>
          <w:p w14:paraId="12E692F5" w14:textId="77777777"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Meetings of the IMAC, CWG-FHR, Council 2017</w:t>
            </w:r>
          </w:p>
        </w:tc>
        <w:tc>
          <w:tcPr>
            <w:tcW w:w="3544" w:type="dxa"/>
            <w:tcBorders>
              <w:top w:val="single" w:sz="4" w:space="0" w:color="auto"/>
              <w:left w:val="nil"/>
              <w:bottom w:val="single" w:sz="4" w:space="0" w:color="auto"/>
              <w:right w:val="single" w:sz="4" w:space="0" w:color="auto"/>
            </w:tcBorders>
            <w:shd w:val="clear" w:color="auto" w:fill="auto"/>
            <w:hideMark/>
          </w:tcPr>
          <w:p w14:paraId="32A07D66" w14:textId="77777777" w:rsidR="00B66462" w:rsidRPr="00B66462" w:rsidRDefault="00B66462" w:rsidP="002B2955">
            <w:pPr>
              <w:spacing w:before="60"/>
              <w:rPr>
                <w:rFonts w:asciiTheme="minorHAnsi" w:hAnsiTheme="minorHAnsi"/>
                <w:sz w:val="20"/>
                <w:lang w:eastAsia="zh-CN"/>
              </w:rPr>
            </w:pPr>
            <w:r w:rsidRPr="00B66462">
              <w:rPr>
                <w:rFonts w:asciiTheme="minorHAnsi" w:hAnsiTheme="minorHAnsi"/>
                <w:sz w:val="20"/>
                <w:lang w:eastAsia="zh-CN"/>
              </w:rPr>
              <w:t xml:space="preserve">The draft ITU Risk management policy, and the Risk appetite statement have been elaborated by the working group, following recommendations by IMAC. Documents were reviewed by the CWG-FHR and are presented to C17 (Doc. </w:t>
            </w:r>
            <w:hyperlink r:id="rId28" w:history="1">
              <w:r w:rsidRPr="002B2955">
                <w:rPr>
                  <w:rStyle w:val="Hyperlink"/>
                  <w:rFonts w:asciiTheme="minorHAnsi" w:hAnsiTheme="minorHAnsi"/>
                  <w:sz w:val="20"/>
                  <w:lang w:eastAsia="zh-CN"/>
                </w:rPr>
                <w:t>C17/</w:t>
              </w:r>
              <w:r w:rsidR="002B2955" w:rsidRPr="002B2955">
                <w:rPr>
                  <w:rStyle w:val="Hyperlink"/>
                  <w:rFonts w:asciiTheme="minorHAnsi" w:hAnsiTheme="minorHAnsi"/>
                  <w:sz w:val="20"/>
                  <w:lang w:eastAsia="zh-CN"/>
                </w:rPr>
                <w:t>73</w:t>
              </w:r>
            </w:hyperlink>
            <w:r w:rsidRPr="002B2955">
              <w:rPr>
                <w:rFonts w:asciiTheme="minorHAnsi" w:hAnsiTheme="minorHAnsi"/>
                <w:sz w:val="20"/>
                <w:lang w:eastAsia="zh-CN"/>
              </w:rPr>
              <w:t xml:space="preserve"> and Doc. </w:t>
            </w:r>
            <w:hyperlink r:id="rId29" w:history="1">
              <w:r w:rsidRPr="002B2955">
                <w:rPr>
                  <w:rStyle w:val="Hyperlink"/>
                  <w:rFonts w:asciiTheme="minorHAnsi" w:hAnsiTheme="minorHAnsi"/>
                  <w:sz w:val="20"/>
                  <w:lang w:eastAsia="zh-CN"/>
                </w:rPr>
                <w:t>C17/</w:t>
              </w:r>
              <w:r w:rsidR="002B2955" w:rsidRPr="002B2955">
                <w:rPr>
                  <w:rStyle w:val="Hyperlink"/>
                  <w:rFonts w:asciiTheme="minorHAnsi" w:hAnsiTheme="minorHAnsi"/>
                  <w:sz w:val="20"/>
                  <w:lang w:eastAsia="zh-CN"/>
                </w:rPr>
                <w:t>74</w:t>
              </w:r>
            </w:hyperlink>
            <w:r w:rsidRPr="002B2955">
              <w:rPr>
                <w:rFonts w:asciiTheme="minorHAnsi" w:hAnsiTheme="minorHAnsi"/>
                <w:sz w:val="20"/>
                <w:lang w:eastAsia="zh-CN"/>
              </w:rPr>
              <w:t>).</w:t>
            </w:r>
          </w:p>
        </w:tc>
        <w:tc>
          <w:tcPr>
            <w:tcW w:w="1413" w:type="dxa"/>
            <w:tcBorders>
              <w:top w:val="single" w:sz="4" w:space="0" w:color="auto"/>
              <w:left w:val="nil"/>
              <w:bottom w:val="single" w:sz="4" w:space="0" w:color="auto"/>
              <w:right w:val="single" w:sz="4" w:space="0" w:color="auto"/>
            </w:tcBorders>
            <w:shd w:val="clear" w:color="auto" w:fill="auto"/>
            <w:hideMark/>
          </w:tcPr>
          <w:p w14:paraId="51F774F7" w14:textId="77777777"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r>
      <w:tr w:rsidR="00B66462" w:rsidRPr="00B66462" w14:paraId="27E34840" w14:textId="77777777" w:rsidTr="00483D3F">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C29E221"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b/>
                <w:bCs/>
                <w:color w:val="000000"/>
                <w:sz w:val="20"/>
                <w:lang w:eastAsia="zh-CN"/>
              </w:rPr>
              <w:lastRenderedPageBreak/>
              <w:t>Rec. 7</w:t>
            </w:r>
            <w:r w:rsidRPr="00B66462">
              <w:rPr>
                <w:rFonts w:asciiTheme="minorHAnsi" w:hAnsiTheme="minorHAnsi"/>
                <w:color w:val="000000"/>
                <w:sz w:val="20"/>
                <w:lang w:eastAsia="zh-CN"/>
              </w:rPr>
              <w:t xml:space="preserve"> The Secretary-General should develop and present to the Council at its 2017 session an action plan, with specific targets, indicative timelines and monitoring measures, aimed at improving the geographical diversity of staff in the Professional and higher categories within each of the components of the Union, and report annually to the Council on its implementation.</w:t>
            </w:r>
          </w:p>
        </w:tc>
        <w:tc>
          <w:tcPr>
            <w:tcW w:w="856" w:type="dxa"/>
            <w:tcBorders>
              <w:top w:val="single" w:sz="4" w:space="0" w:color="auto"/>
              <w:left w:val="nil"/>
              <w:bottom w:val="single" w:sz="4" w:space="0" w:color="auto"/>
              <w:right w:val="single" w:sz="4" w:space="0" w:color="auto"/>
            </w:tcBorders>
            <w:shd w:val="clear" w:color="auto" w:fill="auto"/>
            <w:noWrap/>
            <w:hideMark/>
          </w:tcPr>
          <w:p w14:paraId="6DD50106"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4389" w:type="dxa"/>
            <w:tcBorders>
              <w:top w:val="single" w:sz="4" w:space="0" w:color="auto"/>
              <w:left w:val="nil"/>
              <w:bottom w:val="single" w:sz="4" w:space="0" w:color="auto"/>
              <w:right w:val="single" w:sz="4" w:space="0" w:color="auto"/>
            </w:tcBorders>
            <w:shd w:val="clear" w:color="auto" w:fill="auto"/>
            <w:hideMark/>
          </w:tcPr>
          <w:p w14:paraId="1F9538E5" w14:textId="77777777" w:rsidR="00B66462" w:rsidRPr="00B66462" w:rsidRDefault="00CC65A5" w:rsidP="002B2955">
            <w:pPr>
              <w:rPr>
                <w:rFonts w:asciiTheme="minorHAnsi" w:hAnsiTheme="minorHAnsi"/>
                <w:color w:val="000000"/>
                <w:sz w:val="20"/>
                <w:lang w:eastAsia="zh-CN"/>
              </w:rPr>
            </w:pPr>
            <w:r>
              <w:rPr>
                <w:rFonts w:asciiTheme="minorHAnsi" w:hAnsiTheme="minorHAnsi"/>
                <w:color w:val="000000"/>
                <w:sz w:val="20"/>
                <w:lang w:eastAsia="zh-CN"/>
              </w:rPr>
              <w:t>The ITU m</w:t>
            </w:r>
            <w:r w:rsidR="00B66462" w:rsidRPr="00B66462">
              <w:rPr>
                <w:rFonts w:asciiTheme="minorHAnsi" w:hAnsiTheme="minorHAnsi"/>
                <w:color w:val="000000"/>
                <w:sz w:val="20"/>
                <w:lang w:eastAsia="zh-CN"/>
              </w:rPr>
              <w:t>anagement is fully committed to work in this area, through the implementation of concrete and positive actions. An action plan</w:t>
            </w:r>
            <w:r w:rsidR="00A302F3">
              <w:rPr>
                <w:rFonts w:asciiTheme="minorHAnsi" w:hAnsiTheme="minorHAnsi"/>
                <w:color w:val="000000"/>
                <w:sz w:val="20"/>
                <w:lang w:eastAsia="zh-CN"/>
              </w:rPr>
              <w:t xml:space="preserve"> will be presented to Council-</w:t>
            </w:r>
            <w:r w:rsidR="00B66462" w:rsidRPr="00B66462">
              <w:rPr>
                <w:rFonts w:asciiTheme="minorHAnsi" w:hAnsiTheme="minorHAnsi"/>
                <w:color w:val="000000"/>
                <w:sz w:val="20"/>
                <w:lang w:eastAsia="zh-CN"/>
              </w:rPr>
              <w:t>17 aimed at improving geographical representation in the Professional category and above. However, the impact of a possible decision to be taken by the ITU Council regarding the UNGA decision to increase the mandatory age of separation at 65 as from 1.1.2018 for all staff in service on that date needs to be evaluated, as it will considerably reduce the room for manoeuvre in this area</w:t>
            </w:r>
          </w:p>
        </w:tc>
        <w:tc>
          <w:tcPr>
            <w:tcW w:w="1139" w:type="dxa"/>
            <w:tcBorders>
              <w:top w:val="single" w:sz="4" w:space="0" w:color="auto"/>
              <w:left w:val="nil"/>
              <w:bottom w:val="single" w:sz="4" w:space="0" w:color="auto"/>
              <w:right w:val="single" w:sz="4" w:space="0" w:color="auto"/>
            </w:tcBorders>
            <w:shd w:val="clear" w:color="auto" w:fill="auto"/>
            <w:hideMark/>
          </w:tcPr>
          <w:p w14:paraId="3AB46A74" w14:textId="77777777"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Council 2017</w:t>
            </w:r>
          </w:p>
        </w:tc>
        <w:tc>
          <w:tcPr>
            <w:tcW w:w="3544" w:type="dxa"/>
            <w:tcBorders>
              <w:top w:val="single" w:sz="4" w:space="0" w:color="auto"/>
              <w:left w:val="nil"/>
              <w:bottom w:val="single" w:sz="4" w:space="0" w:color="auto"/>
              <w:right w:val="single" w:sz="4" w:space="0" w:color="auto"/>
            </w:tcBorders>
            <w:shd w:val="clear" w:color="auto" w:fill="auto"/>
            <w:hideMark/>
          </w:tcPr>
          <w:p w14:paraId="3664C5FF" w14:textId="77777777"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 xml:space="preserve">Addressed by the </w:t>
            </w:r>
            <w:r w:rsidR="00584200">
              <w:rPr>
                <w:rFonts w:asciiTheme="minorHAnsi" w:hAnsiTheme="minorHAnsi"/>
                <w:sz w:val="20"/>
                <w:lang w:eastAsia="zh-CN"/>
              </w:rPr>
              <w:t>“</w:t>
            </w:r>
            <w:r w:rsidRPr="00B66462">
              <w:rPr>
                <w:rFonts w:asciiTheme="minorHAnsi" w:hAnsiTheme="minorHAnsi"/>
                <w:sz w:val="20"/>
                <w:lang w:eastAsia="zh-CN"/>
              </w:rPr>
              <w:t>Progress report on the implementation of t</w:t>
            </w:r>
            <w:r w:rsidR="00A302F3">
              <w:rPr>
                <w:rFonts w:asciiTheme="minorHAnsi" w:hAnsiTheme="minorHAnsi"/>
                <w:sz w:val="20"/>
                <w:lang w:eastAsia="zh-CN"/>
              </w:rPr>
              <w:t>he HR Strategic Plan and of Resolution</w:t>
            </w:r>
            <w:r w:rsidRPr="00B66462">
              <w:rPr>
                <w:rFonts w:asciiTheme="minorHAnsi" w:hAnsiTheme="minorHAnsi"/>
                <w:sz w:val="20"/>
                <w:lang w:eastAsia="zh-CN"/>
              </w:rPr>
              <w:t xml:space="preserve"> 48 (Rev. Busan</w:t>
            </w:r>
            <w:r w:rsidR="00A302F3">
              <w:rPr>
                <w:rFonts w:asciiTheme="minorHAnsi" w:hAnsiTheme="minorHAnsi"/>
                <w:sz w:val="20"/>
                <w:lang w:eastAsia="zh-CN"/>
              </w:rPr>
              <w:t>, 2014</w:t>
            </w:r>
            <w:r w:rsidRPr="00B66462">
              <w:rPr>
                <w:rFonts w:asciiTheme="minorHAnsi" w:hAnsiTheme="minorHAnsi"/>
                <w:sz w:val="20"/>
                <w:lang w:eastAsia="zh-CN"/>
              </w:rPr>
              <w:t>)</w:t>
            </w:r>
            <w:r w:rsidR="00584200">
              <w:rPr>
                <w:rFonts w:asciiTheme="minorHAnsi" w:hAnsiTheme="minorHAnsi"/>
                <w:sz w:val="20"/>
                <w:lang w:eastAsia="zh-CN"/>
              </w:rPr>
              <w:t>”</w:t>
            </w:r>
            <w:r w:rsidRPr="00B66462">
              <w:rPr>
                <w:rFonts w:asciiTheme="minorHAnsi" w:hAnsiTheme="minorHAnsi"/>
                <w:sz w:val="20"/>
                <w:lang w:eastAsia="zh-CN"/>
              </w:rPr>
              <w:t xml:space="preserve"> (</w:t>
            </w:r>
            <w:r w:rsidRPr="00B66462">
              <w:rPr>
                <w:rFonts w:asciiTheme="minorHAnsi" w:hAnsiTheme="minorHAnsi"/>
                <w:color w:val="000000"/>
                <w:sz w:val="20"/>
                <w:lang w:eastAsia="zh-CN"/>
              </w:rPr>
              <w:t xml:space="preserve">Doc. </w:t>
            </w:r>
            <w:hyperlink r:id="rId30" w:history="1">
              <w:r w:rsidRPr="002B2955">
                <w:rPr>
                  <w:rStyle w:val="Hyperlink"/>
                  <w:rFonts w:asciiTheme="minorHAnsi" w:hAnsiTheme="minorHAnsi"/>
                  <w:sz w:val="20"/>
                  <w:lang w:eastAsia="zh-CN"/>
                </w:rPr>
                <w:t>C17/53</w:t>
              </w:r>
            </w:hyperlink>
            <w:r w:rsidRPr="00B66462">
              <w:rPr>
                <w:rFonts w:asciiTheme="minorHAnsi" w:hAnsiTheme="minorHAnsi"/>
                <w:color w:val="000000"/>
                <w:sz w:val="20"/>
                <w:lang w:eastAsia="zh-CN"/>
              </w:rPr>
              <w:t>).</w:t>
            </w:r>
          </w:p>
        </w:tc>
        <w:tc>
          <w:tcPr>
            <w:tcW w:w="1413" w:type="dxa"/>
            <w:tcBorders>
              <w:top w:val="single" w:sz="4" w:space="0" w:color="auto"/>
              <w:left w:val="nil"/>
              <w:bottom w:val="single" w:sz="4" w:space="0" w:color="auto"/>
              <w:right w:val="single" w:sz="4" w:space="0" w:color="auto"/>
            </w:tcBorders>
            <w:shd w:val="clear" w:color="auto" w:fill="auto"/>
            <w:hideMark/>
          </w:tcPr>
          <w:p w14:paraId="530CAA04" w14:textId="77777777"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r>
      <w:tr w:rsidR="00B66462" w:rsidRPr="00B66462" w14:paraId="1406770D" w14:textId="77777777" w:rsidTr="00483D3F">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55578F33"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b/>
                <w:bCs/>
                <w:color w:val="000000"/>
                <w:sz w:val="20"/>
                <w:lang w:eastAsia="zh-CN"/>
              </w:rPr>
              <w:t>Rec. 8</w:t>
            </w:r>
            <w:r w:rsidRPr="00B66462">
              <w:rPr>
                <w:rFonts w:asciiTheme="minorHAnsi" w:hAnsiTheme="minorHAnsi"/>
                <w:color w:val="000000"/>
                <w:sz w:val="20"/>
                <w:lang w:eastAsia="zh-CN"/>
              </w:rPr>
              <w:t xml:space="preserve"> The Secretary-General should present to the Council for endorsement at its 2017 session an action plan to complement the Gender Equality and Mainstreaming Policy, with specific targets, indicative timelines and monitoring measures to improve gender balance, especially at senior management level, within each component of the Union, and report annually to the Council on its implementation.</w:t>
            </w:r>
          </w:p>
        </w:tc>
        <w:tc>
          <w:tcPr>
            <w:tcW w:w="856" w:type="dxa"/>
            <w:tcBorders>
              <w:top w:val="single" w:sz="4" w:space="0" w:color="auto"/>
              <w:left w:val="nil"/>
              <w:bottom w:val="single" w:sz="4" w:space="0" w:color="auto"/>
              <w:right w:val="single" w:sz="4" w:space="0" w:color="auto"/>
            </w:tcBorders>
            <w:shd w:val="clear" w:color="auto" w:fill="auto"/>
            <w:noWrap/>
            <w:hideMark/>
          </w:tcPr>
          <w:p w14:paraId="1B1D6A1A"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4389" w:type="dxa"/>
            <w:tcBorders>
              <w:top w:val="single" w:sz="4" w:space="0" w:color="auto"/>
              <w:left w:val="nil"/>
              <w:bottom w:val="single" w:sz="4" w:space="0" w:color="auto"/>
              <w:right w:val="single" w:sz="4" w:space="0" w:color="auto"/>
            </w:tcBorders>
            <w:shd w:val="clear" w:color="auto" w:fill="auto"/>
            <w:hideMark/>
          </w:tcPr>
          <w:p w14:paraId="527C215D"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ITU Management is fully committed to work in this area, through the implementation of concrete and positive actions. An action plan</w:t>
            </w:r>
            <w:r w:rsidR="00A302F3">
              <w:rPr>
                <w:rFonts w:asciiTheme="minorHAnsi" w:hAnsiTheme="minorHAnsi"/>
                <w:color w:val="000000"/>
                <w:sz w:val="20"/>
                <w:lang w:eastAsia="zh-CN"/>
              </w:rPr>
              <w:t xml:space="preserve"> will be presented to Council-</w:t>
            </w:r>
            <w:r w:rsidRPr="00B66462">
              <w:rPr>
                <w:rFonts w:asciiTheme="minorHAnsi" w:hAnsiTheme="minorHAnsi"/>
                <w:color w:val="000000"/>
                <w:sz w:val="20"/>
                <w:lang w:eastAsia="zh-CN"/>
              </w:rPr>
              <w:t>17 aimed at improving gender balance, especially at senior management level. However, the impact of a possible decision to be taken by the ITU Council regarding the UNGA decision to increase the mandatory age of separation at 65 as from 1.1.2018 for all staff in service on that date needs to be evaluated, as it will considerably reduce the room for manoeuvre in this area</w:t>
            </w:r>
          </w:p>
        </w:tc>
        <w:tc>
          <w:tcPr>
            <w:tcW w:w="1139" w:type="dxa"/>
            <w:tcBorders>
              <w:top w:val="single" w:sz="4" w:space="0" w:color="auto"/>
              <w:left w:val="nil"/>
              <w:bottom w:val="single" w:sz="4" w:space="0" w:color="auto"/>
              <w:right w:val="single" w:sz="4" w:space="0" w:color="auto"/>
            </w:tcBorders>
            <w:shd w:val="clear" w:color="auto" w:fill="auto"/>
            <w:hideMark/>
          </w:tcPr>
          <w:p w14:paraId="7F18D648" w14:textId="77777777"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Council 2017</w:t>
            </w:r>
          </w:p>
        </w:tc>
        <w:tc>
          <w:tcPr>
            <w:tcW w:w="3544" w:type="dxa"/>
            <w:tcBorders>
              <w:top w:val="single" w:sz="4" w:space="0" w:color="auto"/>
              <w:left w:val="nil"/>
              <w:bottom w:val="single" w:sz="4" w:space="0" w:color="auto"/>
              <w:right w:val="single" w:sz="4" w:space="0" w:color="auto"/>
            </w:tcBorders>
            <w:shd w:val="clear" w:color="auto" w:fill="auto"/>
            <w:hideMark/>
          </w:tcPr>
          <w:p w14:paraId="76E17EC4" w14:textId="77777777"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 xml:space="preserve">Addressed by the </w:t>
            </w:r>
            <w:r w:rsidR="00584200">
              <w:rPr>
                <w:rFonts w:asciiTheme="minorHAnsi" w:hAnsiTheme="minorHAnsi"/>
                <w:sz w:val="20"/>
                <w:lang w:eastAsia="zh-CN"/>
              </w:rPr>
              <w:t>“</w:t>
            </w:r>
            <w:r w:rsidRPr="00B66462">
              <w:rPr>
                <w:rFonts w:asciiTheme="minorHAnsi" w:hAnsiTheme="minorHAnsi"/>
                <w:sz w:val="20"/>
                <w:lang w:eastAsia="zh-CN"/>
              </w:rPr>
              <w:t>Progress report on the implementation of the HR Strategic P</w:t>
            </w:r>
            <w:r w:rsidR="00A302F3">
              <w:rPr>
                <w:rFonts w:asciiTheme="minorHAnsi" w:hAnsiTheme="minorHAnsi"/>
                <w:sz w:val="20"/>
                <w:lang w:eastAsia="zh-CN"/>
              </w:rPr>
              <w:t>lan and of Resolution</w:t>
            </w:r>
            <w:r w:rsidRPr="00B66462">
              <w:rPr>
                <w:rFonts w:asciiTheme="minorHAnsi" w:hAnsiTheme="minorHAnsi"/>
                <w:sz w:val="20"/>
                <w:lang w:eastAsia="zh-CN"/>
              </w:rPr>
              <w:t xml:space="preserve"> 48 (Rev. Busan</w:t>
            </w:r>
            <w:r w:rsidR="00A302F3">
              <w:rPr>
                <w:rFonts w:asciiTheme="minorHAnsi" w:hAnsiTheme="minorHAnsi"/>
                <w:sz w:val="20"/>
                <w:lang w:eastAsia="zh-CN"/>
              </w:rPr>
              <w:t>, 2014</w:t>
            </w:r>
            <w:r w:rsidRPr="00B66462">
              <w:rPr>
                <w:rFonts w:asciiTheme="minorHAnsi" w:hAnsiTheme="minorHAnsi"/>
                <w:sz w:val="20"/>
                <w:lang w:eastAsia="zh-CN"/>
              </w:rPr>
              <w:t>)</w:t>
            </w:r>
            <w:r w:rsidR="00584200">
              <w:rPr>
                <w:rFonts w:asciiTheme="minorHAnsi" w:hAnsiTheme="minorHAnsi"/>
                <w:sz w:val="20"/>
                <w:lang w:eastAsia="zh-CN"/>
              </w:rPr>
              <w:t>”</w:t>
            </w:r>
            <w:r w:rsidRPr="00B66462">
              <w:rPr>
                <w:rFonts w:asciiTheme="minorHAnsi" w:hAnsiTheme="minorHAnsi"/>
                <w:sz w:val="20"/>
                <w:lang w:eastAsia="zh-CN"/>
              </w:rPr>
              <w:t xml:space="preserve"> (</w:t>
            </w:r>
            <w:r w:rsidRPr="00B66462">
              <w:rPr>
                <w:rFonts w:asciiTheme="minorHAnsi" w:hAnsiTheme="minorHAnsi"/>
                <w:color w:val="000000"/>
                <w:sz w:val="20"/>
                <w:lang w:eastAsia="zh-CN"/>
              </w:rPr>
              <w:t xml:space="preserve">Doc. </w:t>
            </w:r>
            <w:hyperlink r:id="rId31" w:history="1">
              <w:r w:rsidRPr="002B2955">
                <w:rPr>
                  <w:rStyle w:val="Hyperlink"/>
                  <w:rFonts w:asciiTheme="minorHAnsi" w:hAnsiTheme="minorHAnsi"/>
                  <w:sz w:val="20"/>
                  <w:lang w:eastAsia="zh-CN"/>
                </w:rPr>
                <w:t>C17/53</w:t>
              </w:r>
            </w:hyperlink>
            <w:r w:rsidRPr="00B66462">
              <w:rPr>
                <w:rFonts w:asciiTheme="minorHAnsi" w:hAnsiTheme="minorHAnsi"/>
                <w:color w:val="000000"/>
                <w:sz w:val="20"/>
                <w:lang w:eastAsia="zh-CN"/>
              </w:rPr>
              <w:t>).</w:t>
            </w:r>
          </w:p>
        </w:tc>
        <w:tc>
          <w:tcPr>
            <w:tcW w:w="1413" w:type="dxa"/>
            <w:tcBorders>
              <w:top w:val="single" w:sz="4" w:space="0" w:color="auto"/>
              <w:left w:val="nil"/>
              <w:bottom w:val="single" w:sz="4" w:space="0" w:color="auto"/>
              <w:right w:val="single" w:sz="4" w:space="0" w:color="auto"/>
            </w:tcBorders>
            <w:shd w:val="clear" w:color="auto" w:fill="auto"/>
            <w:hideMark/>
          </w:tcPr>
          <w:p w14:paraId="43C913B9" w14:textId="77777777"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r>
      <w:tr w:rsidR="00B66462" w:rsidRPr="00B66462" w14:paraId="23F8293B" w14:textId="77777777" w:rsidTr="00483D3F">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5711F534"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b/>
                <w:bCs/>
                <w:color w:val="000000"/>
                <w:sz w:val="20"/>
                <w:lang w:eastAsia="zh-CN"/>
              </w:rPr>
              <w:t>Rec. 9</w:t>
            </w:r>
            <w:r w:rsidRPr="00B66462">
              <w:rPr>
                <w:rFonts w:asciiTheme="minorHAnsi" w:hAnsiTheme="minorHAnsi"/>
                <w:color w:val="000000"/>
                <w:sz w:val="20"/>
                <w:lang w:eastAsia="zh-CN"/>
              </w:rPr>
              <w:t xml:space="preserve"> The Secretary-General should develop and present to the Council for endorsement at its 2017 session a comprehensive policy on the use of non-staff personnel and provide to the Council an annual consolidated and analytical report on its implementation within each component of the Union</w:t>
            </w:r>
          </w:p>
        </w:tc>
        <w:tc>
          <w:tcPr>
            <w:tcW w:w="856" w:type="dxa"/>
            <w:tcBorders>
              <w:top w:val="single" w:sz="4" w:space="0" w:color="auto"/>
              <w:left w:val="nil"/>
              <w:bottom w:val="single" w:sz="4" w:space="0" w:color="auto"/>
              <w:right w:val="single" w:sz="4" w:space="0" w:color="auto"/>
            </w:tcBorders>
            <w:shd w:val="clear" w:color="auto" w:fill="auto"/>
            <w:noWrap/>
            <w:hideMark/>
          </w:tcPr>
          <w:p w14:paraId="66F8B0AB"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4389" w:type="dxa"/>
            <w:tcBorders>
              <w:top w:val="single" w:sz="4" w:space="0" w:color="auto"/>
              <w:left w:val="nil"/>
              <w:bottom w:val="single" w:sz="4" w:space="0" w:color="auto"/>
              <w:right w:val="single" w:sz="4" w:space="0" w:color="auto"/>
            </w:tcBorders>
            <w:shd w:val="clear" w:color="auto" w:fill="auto"/>
            <w:hideMark/>
          </w:tcPr>
          <w:p w14:paraId="6D9E75B9" w14:textId="77777777" w:rsidR="00B66462" w:rsidRPr="00B66462" w:rsidRDefault="00B66462" w:rsidP="004D2EE1">
            <w:pPr>
              <w:rPr>
                <w:rFonts w:asciiTheme="minorHAnsi" w:hAnsiTheme="minorHAnsi"/>
                <w:color w:val="000000"/>
                <w:sz w:val="20"/>
                <w:lang w:eastAsia="zh-CN"/>
              </w:rPr>
            </w:pPr>
            <w:r w:rsidRPr="00B66462">
              <w:rPr>
                <w:rFonts w:asciiTheme="minorHAnsi" w:hAnsiTheme="minorHAnsi"/>
                <w:color w:val="000000"/>
                <w:sz w:val="20"/>
                <w:lang w:eastAsia="zh-CN"/>
              </w:rPr>
              <w:t xml:space="preserve">The HR Strategic plan for the period 2010-2015 established, in its para 24 that </w:t>
            </w:r>
            <w:r w:rsidR="00584200">
              <w:rPr>
                <w:rFonts w:asciiTheme="minorHAnsi" w:hAnsiTheme="minorHAnsi"/>
                <w:color w:val="000000"/>
                <w:sz w:val="20"/>
                <w:lang w:eastAsia="zh-CN"/>
              </w:rPr>
              <w:t>“</w:t>
            </w:r>
            <w:r w:rsidRPr="00B66462">
              <w:rPr>
                <w:rFonts w:asciiTheme="minorHAnsi" w:hAnsiTheme="minorHAnsi"/>
                <w:color w:val="000000"/>
                <w:sz w:val="20"/>
                <w:lang w:eastAsia="zh-CN"/>
              </w:rPr>
              <w:t xml:space="preserve">some specific contractual arrangements, such as contracts for retirees (United Nations system and national), national experts/consultants and national </w:t>
            </w:r>
            <w:r w:rsidRPr="004D2EE1">
              <w:rPr>
                <w:rFonts w:asciiTheme="minorHAnsi" w:hAnsiTheme="minorHAnsi"/>
                <w:color w:val="000000"/>
                <w:spacing w:val="-2"/>
                <w:sz w:val="20"/>
                <w:lang w:eastAsia="zh-CN"/>
              </w:rPr>
              <w:t>professional officers, need to be further reviewed and clarified</w:t>
            </w:r>
            <w:r w:rsidR="00584200" w:rsidRPr="004D2EE1">
              <w:rPr>
                <w:rFonts w:asciiTheme="minorHAnsi" w:hAnsiTheme="minorHAnsi"/>
                <w:color w:val="000000"/>
                <w:spacing w:val="-2"/>
                <w:sz w:val="20"/>
                <w:lang w:eastAsia="zh-CN"/>
              </w:rPr>
              <w:t>”</w:t>
            </w:r>
            <w:r w:rsidRPr="004D2EE1">
              <w:rPr>
                <w:rFonts w:asciiTheme="minorHAnsi" w:hAnsiTheme="minorHAnsi"/>
                <w:color w:val="000000"/>
                <w:spacing w:val="-2"/>
                <w:sz w:val="20"/>
                <w:lang w:eastAsia="zh-CN"/>
              </w:rPr>
              <w:t>. Temporary arrangements</w:t>
            </w:r>
            <w:r w:rsidRPr="00B66462">
              <w:rPr>
                <w:rFonts w:asciiTheme="minorHAnsi" w:hAnsiTheme="minorHAnsi"/>
                <w:color w:val="000000"/>
                <w:sz w:val="20"/>
                <w:lang w:eastAsia="zh-CN"/>
              </w:rPr>
              <w:t xml:space="preserve"> had been established in 2010 taking into account the regulations and practices existing in other organizations of the UN Common system. A comprehensive evaluation of the situation with a view to establishing a new regulatory framework</w:t>
            </w:r>
            <w:r w:rsidR="00A302F3">
              <w:rPr>
                <w:rFonts w:asciiTheme="minorHAnsi" w:hAnsiTheme="minorHAnsi"/>
                <w:color w:val="000000"/>
                <w:sz w:val="20"/>
                <w:lang w:eastAsia="zh-CN"/>
              </w:rPr>
              <w:t xml:space="preserve"> </w:t>
            </w:r>
            <w:r w:rsidR="00A302F3" w:rsidRPr="004D2EE1">
              <w:rPr>
                <w:rFonts w:asciiTheme="minorHAnsi" w:hAnsiTheme="minorHAnsi"/>
                <w:color w:val="000000"/>
                <w:spacing w:val="-4"/>
                <w:sz w:val="20"/>
                <w:lang w:eastAsia="zh-CN"/>
              </w:rPr>
              <w:t>will be presented to the 2017 s</w:t>
            </w:r>
            <w:r w:rsidRPr="004D2EE1">
              <w:rPr>
                <w:rFonts w:asciiTheme="minorHAnsi" w:hAnsiTheme="minorHAnsi"/>
                <w:color w:val="000000"/>
                <w:spacing w:val="-4"/>
                <w:sz w:val="20"/>
                <w:lang w:eastAsia="zh-CN"/>
              </w:rPr>
              <w:t xml:space="preserve">ession of </w:t>
            </w:r>
            <w:r w:rsidR="00A302F3" w:rsidRPr="004D2EE1">
              <w:rPr>
                <w:rFonts w:asciiTheme="minorHAnsi" w:hAnsiTheme="minorHAnsi"/>
                <w:color w:val="000000"/>
                <w:spacing w:val="-4"/>
                <w:sz w:val="20"/>
                <w:lang w:eastAsia="zh-CN"/>
              </w:rPr>
              <w:t xml:space="preserve">the </w:t>
            </w:r>
            <w:r w:rsidRPr="004D2EE1">
              <w:rPr>
                <w:rFonts w:asciiTheme="minorHAnsi" w:hAnsiTheme="minorHAnsi"/>
                <w:color w:val="000000"/>
                <w:spacing w:val="-4"/>
                <w:sz w:val="20"/>
                <w:lang w:eastAsia="zh-CN"/>
              </w:rPr>
              <w:t>Council.</w:t>
            </w:r>
            <w:r w:rsidRPr="00B66462">
              <w:rPr>
                <w:rFonts w:asciiTheme="minorHAnsi" w:hAnsiTheme="minorHAnsi"/>
                <w:color w:val="000000"/>
                <w:sz w:val="20"/>
                <w:lang w:eastAsia="zh-CN"/>
              </w:rPr>
              <w:t xml:space="preserve"> </w:t>
            </w:r>
            <w:r w:rsidRPr="004D2EE1">
              <w:rPr>
                <w:rFonts w:asciiTheme="minorHAnsi" w:hAnsiTheme="minorHAnsi"/>
                <w:color w:val="000000"/>
                <w:spacing w:val="-2"/>
                <w:sz w:val="20"/>
                <w:lang w:eastAsia="zh-CN"/>
              </w:rPr>
              <w:lastRenderedPageBreak/>
              <w:t xml:space="preserve">Previous recommendations already established by the JIU in its Report JIU/REP/2014/8 on the use of non-staff personnel and related contractual modalities in the </w:t>
            </w:r>
            <w:r w:rsidR="004D2EE1">
              <w:rPr>
                <w:rFonts w:asciiTheme="minorHAnsi" w:hAnsiTheme="minorHAnsi"/>
                <w:color w:val="000000"/>
                <w:spacing w:val="-2"/>
                <w:sz w:val="20"/>
                <w:lang w:eastAsia="zh-CN"/>
              </w:rPr>
              <w:t>UN</w:t>
            </w:r>
            <w:r w:rsidRPr="004D2EE1">
              <w:rPr>
                <w:rFonts w:asciiTheme="minorHAnsi" w:hAnsiTheme="minorHAnsi"/>
                <w:color w:val="000000"/>
                <w:spacing w:val="-2"/>
                <w:sz w:val="20"/>
                <w:lang w:eastAsia="zh-CN"/>
              </w:rPr>
              <w:t xml:space="preserve"> system organization should also be taken into consideration</w:t>
            </w:r>
            <w:r w:rsidR="00CC65A5" w:rsidRPr="004D2EE1">
              <w:rPr>
                <w:rFonts w:asciiTheme="minorHAnsi" w:hAnsiTheme="minorHAnsi"/>
                <w:color w:val="000000"/>
                <w:spacing w:val="-2"/>
                <w:sz w:val="20"/>
                <w:lang w:eastAsia="zh-CN"/>
              </w:rPr>
              <w:t>.</w:t>
            </w:r>
          </w:p>
        </w:tc>
        <w:tc>
          <w:tcPr>
            <w:tcW w:w="1139" w:type="dxa"/>
            <w:tcBorders>
              <w:top w:val="single" w:sz="4" w:space="0" w:color="auto"/>
              <w:left w:val="nil"/>
              <w:bottom w:val="single" w:sz="4" w:space="0" w:color="auto"/>
              <w:right w:val="single" w:sz="4" w:space="0" w:color="auto"/>
            </w:tcBorders>
            <w:shd w:val="clear" w:color="auto" w:fill="auto"/>
            <w:hideMark/>
          </w:tcPr>
          <w:p w14:paraId="73171FBB" w14:textId="77777777"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lastRenderedPageBreak/>
              <w:t>Council 2017</w:t>
            </w:r>
          </w:p>
        </w:tc>
        <w:tc>
          <w:tcPr>
            <w:tcW w:w="3544" w:type="dxa"/>
            <w:tcBorders>
              <w:top w:val="single" w:sz="4" w:space="0" w:color="auto"/>
              <w:left w:val="nil"/>
              <w:bottom w:val="single" w:sz="4" w:space="0" w:color="auto"/>
              <w:right w:val="single" w:sz="4" w:space="0" w:color="auto"/>
            </w:tcBorders>
            <w:shd w:val="clear" w:color="auto" w:fill="auto"/>
            <w:hideMark/>
          </w:tcPr>
          <w:p w14:paraId="59294DEE" w14:textId="77777777"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 xml:space="preserve">Addressed by the </w:t>
            </w:r>
            <w:r w:rsidR="00584200">
              <w:rPr>
                <w:rFonts w:asciiTheme="minorHAnsi" w:hAnsiTheme="minorHAnsi"/>
                <w:sz w:val="20"/>
                <w:lang w:eastAsia="zh-CN"/>
              </w:rPr>
              <w:t>“</w:t>
            </w:r>
            <w:r w:rsidRPr="00B66462">
              <w:rPr>
                <w:rFonts w:asciiTheme="minorHAnsi" w:hAnsiTheme="minorHAnsi"/>
                <w:sz w:val="20"/>
                <w:lang w:eastAsia="zh-CN"/>
              </w:rPr>
              <w:t>Progress report on the implementation of t</w:t>
            </w:r>
            <w:r w:rsidR="00A302F3">
              <w:rPr>
                <w:rFonts w:asciiTheme="minorHAnsi" w:hAnsiTheme="minorHAnsi"/>
                <w:sz w:val="20"/>
                <w:lang w:eastAsia="zh-CN"/>
              </w:rPr>
              <w:t>he HR Strategic Plan and of Resolution</w:t>
            </w:r>
            <w:r w:rsidRPr="00B66462">
              <w:rPr>
                <w:rFonts w:asciiTheme="minorHAnsi" w:hAnsiTheme="minorHAnsi"/>
                <w:sz w:val="20"/>
                <w:lang w:eastAsia="zh-CN"/>
              </w:rPr>
              <w:t xml:space="preserve"> 48 (Rev. Busan</w:t>
            </w:r>
            <w:r w:rsidR="00A302F3">
              <w:rPr>
                <w:rFonts w:asciiTheme="minorHAnsi" w:hAnsiTheme="minorHAnsi"/>
                <w:sz w:val="20"/>
                <w:lang w:eastAsia="zh-CN"/>
              </w:rPr>
              <w:t>, 2014</w:t>
            </w:r>
            <w:r w:rsidRPr="00B66462">
              <w:rPr>
                <w:rFonts w:asciiTheme="minorHAnsi" w:hAnsiTheme="minorHAnsi"/>
                <w:sz w:val="20"/>
                <w:lang w:eastAsia="zh-CN"/>
              </w:rPr>
              <w:t>)</w:t>
            </w:r>
            <w:r w:rsidR="00584200">
              <w:rPr>
                <w:rFonts w:asciiTheme="minorHAnsi" w:hAnsiTheme="minorHAnsi"/>
                <w:sz w:val="20"/>
                <w:lang w:eastAsia="zh-CN"/>
              </w:rPr>
              <w:t>”</w:t>
            </w:r>
            <w:r w:rsidRPr="00B66462">
              <w:rPr>
                <w:rFonts w:asciiTheme="minorHAnsi" w:hAnsiTheme="minorHAnsi"/>
                <w:sz w:val="20"/>
                <w:lang w:eastAsia="zh-CN"/>
              </w:rPr>
              <w:t xml:space="preserve"> (</w:t>
            </w:r>
            <w:r w:rsidRPr="00B66462">
              <w:rPr>
                <w:rFonts w:asciiTheme="minorHAnsi" w:hAnsiTheme="minorHAnsi"/>
                <w:color w:val="000000"/>
                <w:sz w:val="20"/>
                <w:lang w:eastAsia="zh-CN"/>
              </w:rPr>
              <w:t xml:space="preserve">Doc. </w:t>
            </w:r>
            <w:hyperlink r:id="rId32" w:history="1">
              <w:r w:rsidRPr="002B2955">
                <w:rPr>
                  <w:rStyle w:val="Hyperlink"/>
                  <w:rFonts w:asciiTheme="minorHAnsi" w:hAnsiTheme="minorHAnsi"/>
                  <w:sz w:val="20"/>
                  <w:lang w:eastAsia="zh-CN"/>
                </w:rPr>
                <w:t>C17/53</w:t>
              </w:r>
            </w:hyperlink>
            <w:r w:rsidRPr="00B66462">
              <w:rPr>
                <w:rFonts w:asciiTheme="minorHAnsi" w:hAnsiTheme="minorHAnsi"/>
                <w:color w:val="000000"/>
                <w:sz w:val="20"/>
                <w:lang w:eastAsia="zh-CN"/>
              </w:rPr>
              <w:t>).</w:t>
            </w:r>
          </w:p>
        </w:tc>
        <w:tc>
          <w:tcPr>
            <w:tcW w:w="1413" w:type="dxa"/>
            <w:tcBorders>
              <w:top w:val="single" w:sz="4" w:space="0" w:color="auto"/>
              <w:left w:val="nil"/>
              <w:bottom w:val="single" w:sz="4" w:space="0" w:color="auto"/>
              <w:right w:val="single" w:sz="4" w:space="0" w:color="auto"/>
            </w:tcBorders>
            <w:shd w:val="clear" w:color="auto" w:fill="auto"/>
            <w:hideMark/>
          </w:tcPr>
          <w:p w14:paraId="209F8D30" w14:textId="77777777"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r>
      <w:tr w:rsidR="00B66462" w:rsidRPr="00521B3D" w14:paraId="768F6F20" w14:textId="77777777" w:rsidTr="00483D3F">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02527828" w14:textId="77777777" w:rsidR="00B66462" w:rsidRPr="00521B3D" w:rsidRDefault="00B66462" w:rsidP="004D2EE1">
            <w:pPr>
              <w:spacing w:before="40"/>
              <w:rPr>
                <w:rFonts w:asciiTheme="minorHAnsi" w:hAnsiTheme="minorHAnsi"/>
                <w:color w:val="000000"/>
                <w:sz w:val="20"/>
                <w:lang w:eastAsia="zh-CN"/>
              </w:rPr>
            </w:pPr>
            <w:r w:rsidRPr="00521B3D">
              <w:rPr>
                <w:rFonts w:asciiTheme="minorHAnsi" w:hAnsiTheme="minorHAnsi"/>
                <w:b/>
                <w:bCs/>
                <w:color w:val="000000"/>
                <w:sz w:val="20"/>
                <w:lang w:eastAsia="zh-CN"/>
              </w:rPr>
              <w:t>Rec. 10</w:t>
            </w:r>
            <w:r w:rsidRPr="00521B3D">
              <w:rPr>
                <w:rFonts w:asciiTheme="minorHAnsi" w:hAnsiTheme="minorHAnsi"/>
                <w:color w:val="000000"/>
                <w:sz w:val="20"/>
                <w:lang w:eastAsia="zh-CN"/>
              </w:rPr>
              <w:t xml:space="preserve"> The Secretary-General should ensure that all human resources processes such as recruitment, appointment and promotion are covered by formal procedures included in the regulatory framework and are consolidated into a comprehensive HR handbook.</w:t>
            </w:r>
          </w:p>
        </w:tc>
        <w:tc>
          <w:tcPr>
            <w:tcW w:w="856" w:type="dxa"/>
            <w:tcBorders>
              <w:top w:val="single" w:sz="4" w:space="0" w:color="auto"/>
              <w:left w:val="nil"/>
              <w:bottom w:val="single" w:sz="4" w:space="0" w:color="auto"/>
              <w:right w:val="single" w:sz="4" w:space="0" w:color="auto"/>
            </w:tcBorders>
            <w:shd w:val="clear" w:color="auto" w:fill="auto"/>
            <w:noWrap/>
            <w:hideMark/>
          </w:tcPr>
          <w:p w14:paraId="30D84117" w14:textId="77777777" w:rsidR="00B66462" w:rsidRPr="00521B3D" w:rsidRDefault="00B66462" w:rsidP="004D2EE1">
            <w:pPr>
              <w:spacing w:before="40"/>
              <w:jc w:val="center"/>
              <w:rPr>
                <w:rFonts w:asciiTheme="minorHAnsi" w:hAnsiTheme="minorHAnsi"/>
                <w:color w:val="000000"/>
                <w:sz w:val="20"/>
                <w:lang w:eastAsia="zh-CN"/>
              </w:rPr>
            </w:pPr>
            <w:r w:rsidRPr="00521B3D">
              <w:rPr>
                <w:rFonts w:asciiTheme="minorHAnsi" w:hAnsiTheme="minorHAnsi"/>
                <w:color w:val="000000"/>
                <w:sz w:val="20"/>
                <w:lang w:eastAsia="zh-CN"/>
              </w:rPr>
              <w:t>HRMD</w:t>
            </w:r>
          </w:p>
        </w:tc>
        <w:tc>
          <w:tcPr>
            <w:tcW w:w="4389" w:type="dxa"/>
            <w:tcBorders>
              <w:top w:val="single" w:sz="4" w:space="0" w:color="auto"/>
              <w:left w:val="nil"/>
              <w:bottom w:val="single" w:sz="4" w:space="0" w:color="auto"/>
              <w:right w:val="single" w:sz="4" w:space="0" w:color="auto"/>
            </w:tcBorders>
            <w:shd w:val="clear" w:color="auto" w:fill="auto"/>
            <w:hideMark/>
          </w:tcPr>
          <w:p w14:paraId="7345EFCA" w14:textId="77777777" w:rsidR="00B66462" w:rsidRPr="00521B3D" w:rsidRDefault="00B66462" w:rsidP="004D2EE1">
            <w:pPr>
              <w:spacing w:before="40"/>
              <w:rPr>
                <w:rFonts w:asciiTheme="minorHAnsi" w:hAnsiTheme="minorHAnsi"/>
                <w:color w:val="000000"/>
                <w:sz w:val="20"/>
                <w:lang w:eastAsia="zh-CN"/>
              </w:rPr>
            </w:pPr>
            <w:r w:rsidRPr="00521B3D">
              <w:rPr>
                <w:rFonts w:asciiTheme="minorHAnsi" w:hAnsiTheme="minorHAnsi"/>
                <w:color w:val="000000"/>
                <w:sz w:val="20"/>
                <w:lang w:eastAsia="zh-CN"/>
              </w:rPr>
              <w:t>The Secretary-General should ensure that human resources processes, such as recruitment, appointment</w:t>
            </w:r>
            <w:r w:rsidR="00CC65A5" w:rsidRPr="00521B3D">
              <w:rPr>
                <w:rFonts w:asciiTheme="minorHAnsi" w:hAnsiTheme="minorHAnsi"/>
                <w:color w:val="000000"/>
                <w:sz w:val="20"/>
                <w:lang w:eastAsia="zh-CN"/>
              </w:rPr>
              <w:t>,</w:t>
            </w:r>
            <w:r w:rsidRPr="00521B3D">
              <w:rPr>
                <w:rFonts w:asciiTheme="minorHAnsi" w:hAnsiTheme="minorHAnsi"/>
                <w:color w:val="000000"/>
                <w:sz w:val="20"/>
                <w:lang w:eastAsia="zh-CN"/>
              </w:rPr>
              <w:t xml:space="preserve"> and promotion, are covered by formal procedures included in the regulatory framework and are consolidated by the end of 2017 into a comprehensive human resources handbook</w:t>
            </w:r>
            <w:r w:rsidR="00CC65A5" w:rsidRPr="00521B3D">
              <w:rPr>
                <w:rFonts w:asciiTheme="minorHAnsi" w:hAnsiTheme="minorHAnsi"/>
                <w:color w:val="000000"/>
                <w:sz w:val="20"/>
                <w:lang w:eastAsia="zh-CN"/>
              </w:rPr>
              <w:t>.</w:t>
            </w:r>
          </w:p>
        </w:tc>
        <w:tc>
          <w:tcPr>
            <w:tcW w:w="1139" w:type="dxa"/>
            <w:tcBorders>
              <w:top w:val="single" w:sz="4" w:space="0" w:color="auto"/>
              <w:left w:val="nil"/>
              <w:bottom w:val="single" w:sz="4" w:space="0" w:color="auto"/>
              <w:right w:val="single" w:sz="4" w:space="0" w:color="auto"/>
            </w:tcBorders>
            <w:shd w:val="clear" w:color="auto" w:fill="auto"/>
            <w:noWrap/>
            <w:hideMark/>
          </w:tcPr>
          <w:p w14:paraId="5D0D0075" w14:textId="77777777" w:rsidR="000450B7" w:rsidRPr="00521B3D" w:rsidRDefault="000450B7" w:rsidP="00521B3D">
            <w:pPr>
              <w:spacing w:before="40"/>
              <w:rPr>
                <w:rFonts w:asciiTheme="minorHAnsi" w:hAnsiTheme="minorHAnsi"/>
                <w:color w:val="000000"/>
                <w:sz w:val="20"/>
                <w:lang w:eastAsia="zh-CN"/>
              </w:rPr>
            </w:pPr>
            <w:r w:rsidRPr="00521B3D">
              <w:rPr>
                <w:rFonts w:asciiTheme="minorHAnsi" w:hAnsiTheme="minorHAnsi"/>
                <w:color w:val="000000"/>
                <w:sz w:val="20"/>
                <w:lang w:eastAsia="zh-CN"/>
              </w:rPr>
              <w:t>Council 2018</w:t>
            </w:r>
          </w:p>
        </w:tc>
        <w:tc>
          <w:tcPr>
            <w:tcW w:w="3544" w:type="dxa"/>
            <w:tcBorders>
              <w:top w:val="single" w:sz="4" w:space="0" w:color="auto"/>
              <w:left w:val="nil"/>
              <w:bottom w:val="single" w:sz="4" w:space="0" w:color="auto"/>
              <w:right w:val="single" w:sz="4" w:space="0" w:color="auto"/>
            </w:tcBorders>
            <w:shd w:val="clear" w:color="auto" w:fill="auto"/>
            <w:noWrap/>
            <w:hideMark/>
          </w:tcPr>
          <w:p w14:paraId="56D76DE1" w14:textId="46A6AC69" w:rsidR="00B66462" w:rsidRPr="00521B3D" w:rsidRDefault="0001322F" w:rsidP="00521B3D">
            <w:pPr>
              <w:spacing w:before="40"/>
              <w:rPr>
                <w:rFonts w:asciiTheme="minorHAnsi" w:hAnsiTheme="minorHAnsi"/>
                <w:color w:val="000000"/>
                <w:sz w:val="20"/>
                <w:lang w:eastAsia="zh-CN"/>
              </w:rPr>
            </w:pPr>
            <w:r w:rsidRPr="00521B3D">
              <w:rPr>
                <w:rFonts w:asciiTheme="minorHAnsi" w:hAnsiTheme="minorHAnsi"/>
                <w:sz w:val="20"/>
                <w:lang w:eastAsia="zh-CN"/>
              </w:rPr>
              <w:t xml:space="preserve">The implementation of the new compensation package for Staff in the P/D category required that the corresponding regulatory framework be revised and adapted (see section 4 of </w:t>
            </w:r>
            <w:r w:rsidRPr="00521B3D">
              <w:rPr>
                <w:rFonts w:asciiTheme="minorHAnsi" w:hAnsiTheme="minorHAnsi"/>
                <w:color w:val="000000"/>
                <w:sz w:val="20"/>
                <w:lang w:eastAsia="zh-CN"/>
              </w:rPr>
              <w:t xml:space="preserve">Doc. </w:t>
            </w:r>
            <w:hyperlink r:id="rId33" w:history="1">
              <w:r w:rsidRPr="00521B3D">
                <w:rPr>
                  <w:rStyle w:val="Hyperlink"/>
                  <w:rFonts w:asciiTheme="minorHAnsi" w:hAnsiTheme="minorHAnsi"/>
                  <w:sz w:val="20"/>
                  <w:lang w:eastAsia="zh-CN"/>
                </w:rPr>
                <w:t>C17/53</w:t>
              </w:r>
            </w:hyperlink>
            <w:r w:rsidRPr="00521B3D">
              <w:rPr>
                <w:rFonts w:asciiTheme="minorHAnsi" w:hAnsiTheme="minorHAnsi"/>
                <w:sz w:val="20"/>
                <w:lang w:eastAsia="zh-CN"/>
              </w:rPr>
              <w:t>). The</w:t>
            </w:r>
            <w:r w:rsidR="00F92CB7" w:rsidRPr="00521B3D">
              <w:rPr>
                <w:rFonts w:asciiTheme="minorHAnsi" w:hAnsiTheme="minorHAnsi"/>
                <w:sz w:val="20"/>
                <w:lang w:eastAsia="zh-CN"/>
              </w:rPr>
              <w:t xml:space="preserve"> Regulations and Rules</w:t>
            </w:r>
            <w:r w:rsidR="00521B3D">
              <w:rPr>
                <w:rFonts w:asciiTheme="minorHAnsi" w:hAnsiTheme="minorHAnsi"/>
                <w:sz w:val="20"/>
                <w:lang w:eastAsia="zh-CN"/>
              </w:rPr>
              <w:t xml:space="preserve"> applicable to staff and Elected Officials</w:t>
            </w:r>
            <w:r w:rsidRPr="00521B3D">
              <w:rPr>
                <w:rFonts w:asciiTheme="minorHAnsi" w:hAnsiTheme="minorHAnsi"/>
                <w:sz w:val="20"/>
                <w:lang w:eastAsia="zh-CN"/>
              </w:rPr>
              <w:t xml:space="preserve">, together with the existing services orders, office memoranda, information circulars, guidelines, and all other existing texts dealing with human resources administration and management </w:t>
            </w:r>
            <w:r w:rsidR="00521B3D">
              <w:rPr>
                <w:rFonts w:asciiTheme="minorHAnsi" w:hAnsiTheme="minorHAnsi"/>
                <w:sz w:val="20"/>
                <w:lang w:eastAsia="zh-CN"/>
              </w:rPr>
              <w:t>have</w:t>
            </w:r>
            <w:r w:rsidR="00521B3D" w:rsidRPr="00521B3D">
              <w:rPr>
                <w:rFonts w:asciiTheme="minorHAnsi" w:hAnsiTheme="minorHAnsi"/>
                <w:sz w:val="20"/>
                <w:lang w:eastAsia="zh-CN"/>
              </w:rPr>
              <w:t xml:space="preserve"> </w:t>
            </w:r>
            <w:r w:rsidR="00521B3D">
              <w:rPr>
                <w:rFonts w:asciiTheme="minorHAnsi" w:hAnsiTheme="minorHAnsi"/>
                <w:sz w:val="20"/>
                <w:lang w:eastAsia="zh-CN"/>
              </w:rPr>
              <w:t>been</w:t>
            </w:r>
            <w:r w:rsidR="00521B3D" w:rsidRPr="00521B3D">
              <w:rPr>
                <w:rFonts w:asciiTheme="minorHAnsi" w:hAnsiTheme="minorHAnsi"/>
                <w:sz w:val="20"/>
                <w:lang w:eastAsia="zh-CN"/>
              </w:rPr>
              <w:t xml:space="preserve"> </w:t>
            </w:r>
            <w:r w:rsidRPr="00521B3D">
              <w:rPr>
                <w:rFonts w:asciiTheme="minorHAnsi" w:hAnsiTheme="minorHAnsi"/>
                <w:sz w:val="20"/>
                <w:lang w:eastAsia="zh-CN"/>
              </w:rPr>
              <w:t xml:space="preserve">collected in a compendium, and complemented by additional practical guidelines, as necessary. This </w:t>
            </w:r>
            <w:r w:rsidR="001C4F6D" w:rsidRPr="00521B3D">
              <w:rPr>
                <w:rFonts w:asciiTheme="minorHAnsi" w:hAnsiTheme="minorHAnsi"/>
                <w:sz w:val="20"/>
                <w:lang w:eastAsia="zh-CN"/>
              </w:rPr>
              <w:t xml:space="preserve">is used </w:t>
            </w:r>
            <w:r w:rsidRPr="00521B3D">
              <w:rPr>
                <w:rFonts w:asciiTheme="minorHAnsi" w:hAnsiTheme="minorHAnsi"/>
                <w:sz w:val="20"/>
                <w:lang w:eastAsia="zh-CN"/>
              </w:rPr>
              <w:t xml:space="preserve">as </w:t>
            </w:r>
            <w:r w:rsidR="00521B3D">
              <w:rPr>
                <w:rFonts w:asciiTheme="minorHAnsi" w:hAnsiTheme="minorHAnsi"/>
                <w:sz w:val="20"/>
                <w:lang w:eastAsia="zh-CN"/>
              </w:rPr>
              <w:t>the</w:t>
            </w:r>
            <w:r w:rsidR="00521B3D" w:rsidRPr="00521B3D">
              <w:rPr>
                <w:rFonts w:asciiTheme="minorHAnsi" w:hAnsiTheme="minorHAnsi"/>
                <w:sz w:val="20"/>
                <w:lang w:eastAsia="zh-CN"/>
              </w:rPr>
              <w:t xml:space="preserve"> </w:t>
            </w:r>
            <w:r w:rsidRPr="00521B3D">
              <w:rPr>
                <w:rFonts w:asciiTheme="minorHAnsi" w:hAnsiTheme="minorHAnsi"/>
                <w:sz w:val="20"/>
                <w:lang w:eastAsia="zh-CN"/>
              </w:rPr>
              <w:t xml:space="preserve">foundation for </w:t>
            </w:r>
            <w:r w:rsidR="001C4F6D" w:rsidRPr="00521B3D">
              <w:rPr>
                <w:rFonts w:asciiTheme="minorHAnsi" w:hAnsiTheme="minorHAnsi"/>
                <w:sz w:val="20"/>
                <w:lang w:eastAsia="zh-CN"/>
              </w:rPr>
              <w:t xml:space="preserve">developing </w:t>
            </w:r>
            <w:r w:rsidRPr="00521B3D">
              <w:rPr>
                <w:rFonts w:asciiTheme="minorHAnsi" w:hAnsiTheme="minorHAnsi"/>
                <w:sz w:val="20"/>
                <w:lang w:eastAsia="zh-CN"/>
              </w:rPr>
              <w:t>the HR handbook referred to in the JIU recommendation.</w:t>
            </w:r>
          </w:p>
        </w:tc>
        <w:tc>
          <w:tcPr>
            <w:tcW w:w="1413" w:type="dxa"/>
            <w:tcBorders>
              <w:top w:val="single" w:sz="4" w:space="0" w:color="auto"/>
              <w:left w:val="nil"/>
              <w:bottom w:val="single" w:sz="4" w:space="0" w:color="auto"/>
              <w:right w:val="single" w:sz="4" w:space="0" w:color="auto"/>
            </w:tcBorders>
            <w:shd w:val="clear" w:color="auto" w:fill="auto"/>
            <w:hideMark/>
          </w:tcPr>
          <w:p w14:paraId="219F47BA" w14:textId="0857F6B0" w:rsidR="000450B7" w:rsidRPr="00521B3D" w:rsidRDefault="00F92CB7" w:rsidP="00C16F9F">
            <w:pPr>
              <w:spacing w:before="40"/>
              <w:rPr>
                <w:rFonts w:asciiTheme="minorHAnsi" w:hAnsiTheme="minorHAnsi"/>
                <w:b/>
                <w:bCs/>
                <w:color w:val="000000"/>
                <w:sz w:val="20"/>
                <w:lang w:eastAsia="zh-CN"/>
              </w:rPr>
            </w:pPr>
            <w:r w:rsidRPr="00521B3D">
              <w:rPr>
                <w:rFonts w:asciiTheme="minorHAnsi" w:hAnsiTheme="minorHAnsi"/>
                <w:b/>
                <w:bCs/>
                <w:color w:val="000000"/>
                <w:sz w:val="20"/>
                <w:lang w:eastAsia="zh-CN"/>
              </w:rPr>
              <w:t>Implemented</w:t>
            </w:r>
          </w:p>
        </w:tc>
      </w:tr>
      <w:tr w:rsidR="00B66462" w:rsidRPr="00B66462" w14:paraId="351BF80A" w14:textId="77777777" w:rsidTr="00483D3F">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7A7268B"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b/>
                <w:bCs/>
                <w:color w:val="000000"/>
                <w:sz w:val="20"/>
                <w:lang w:eastAsia="zh-CN"/>
              </w:rPr>
              <w:t>Rec 11</w:t>
            </w:r>
            <w:r w:rsidRPr="00B66462">
              <w:rPr>
                <w:rFonts w:asciiTheme="minorHAnsi" w:hAnsiTheme="minorHAnsi"/>
                <w:color w:val="000000"/>
                <w:sz w:val="20"/>
                <w:lang w:eastAsia="zh-CN"/>
              </w:rPr>
              <w:t xml:space="preserve"> The Secretary-General should present to the Council for endorsement at its 2017 session an updated version of the Information Technology and Information Management Strategy, encompassing all dimensions of information management and report annually to the Council on its implementation.</w:t>
            </w:r>
          </w:p>
        </w:tc>
        <w:tc>
          <w:tcPr>
            <w:tcW w:w="856" w:type="dxa"/>
            <w:tcBorders>
              <w:top w:val="single" w:sz="4" w:space="0" w:color="auto"/>
              <w:left w:val="nil"/>
              <w:bottom w:val="single" w:sz="4" w:space="0" w:color="auto"/>
              <w:right w:val="single" w:sz="4" w:space="0" w:color="auto"/>
            </w:tcBorders>
            <w:shd w:val="clear" w:color="auto" w:fill="auto"/>
            <w:noWrap/>
            <w:hideMark/>
          </w:tcPr>
          <w:p w14:paraId="627E8F84"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ISD</w:t>
            </w:r>
          </w:p>
        </w:tc>
        <w:tc>
          <w:tcPr>
            <w:tcW w:w="4389" w:type="dxa"/>
            <w:tcBorders>
              <w:top w:val="single" w:sz="4" w:space="0" w:color="auto"/>
              <w:left w:val="nil"/>
              <w:bottom w:val="single" w:sz="4" w:space="0" w:color="auto"/>
              <w:right w:val="single" w:sz="4" w:space="0" w:color="auto"/>
            </w:tcBorders>
            <w:shd w:val="clear" w:color="auto" w:fill="auto"/>
            <w:hideMark/>
          </w:tcPr>
          <w:p w14:paraId="2C549FE2"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 xml:space="preserve">While the IT &amp; IM strategy is an internal tool primarily for the executive management, the Secretary-General will present an updated strategy including the dimension of information management to </w:t>
            </w:r>
            <w:r w:rsidR="00452F2C">
              <w:rPr>
                <w:rFonts w:asciiTheme="minorHAnsi" w:hAnsiTheme="minorHAnsi"/>
                <w:color w:val="000000"/>
                <w:sz w:val="20"/>
                <w:lang w:eastAsia="zh-CN"/>
              </w:rPr>
              <w:t xml:space="preserve">the </w:t>
            </w:r>
            <w:r w:rsidRPr="00B66462">
              <w:rPr>
                <w:rFonts w:asciiTheme="minorHAnsi" w:hAnsiTheme="minorHAnsi"/>
                <w:color w:val="000000"/>
                <w:sz w:val="20"/>
                <w:lang w:eastAsia="zh-CN"/>
              </w:rPr>
              <w:t>Council for appropriate consideration</w:t>
            </w:r>
            <w:r w:rsidR="00CC65A5">
              <w:rPr>
                <w:rFonts w:asciiTheme="minorHAnsi" w:hAnsiTheme="minorHAnsi"/>
                <w:color w:val="000000"/>
                <w:sz w:val="20"/>
                <w:lang w:eastAsia="zh-CN"/>
              </w:rPr>
              <w:t>.</w:t>
            </w:r>
          </w:p>
        </w:tc>
        <w:tc>
          <w:tcPr>
            <w:tcW w:w="1139" w:type="dxa"/>
            <w:tcBorders>
              <w:top w:val="single" w:sz="4" w:space="0" w:color="auto"/>
              <w:left w:val="nil"/>
              <w:bottom w:val="single" w:sz="4" w:space="0" w:color="auto"/>
              <w:right w:val="single" w:sz="4" w:space="0" w:color="auto"/>
            </w:tcBorders>
            <w:shd w:val="clear" w:color="auto" w:fill="auto"/>
            <w:hideMark/>
          </w:tcPr>
          <w:p w14:paraId="45866E47" w14:textId="77777777"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Council 2017</w:t>
            </w:r>
          </w:p>
        </w:tc>
        <w:tc>
          <w:tcPr>
            <w:tcW w:w="3544" w:type="dxa"/>
            <w:tcBorders>
              <w:top w:val="single" w:sz="4" w:space="0" w:color="auto"/>
              <w:left w:val="nil"/>
              <w:bottom w:val="single" w:sz="4" w:space="0" w:color="auto"/>
              <w:right w:val="single" w:sz="4" w:space="0" w:color="auto"/>
            </w:tcBorders>
            <w:shd w:val="clear" w:color="auto" w:fill="auto"/>
            <w:hideMark/>
          </w:tcPr>
          <w:p w14:paraId="51417714" w14:textId="77777777" w:rsidR="00B66462" w:rsidRPr="00B66462" w:rsidRDefault="00B66462" w:rsidP="002B2955">
            <w:pPr>
              <w:rPr>
                <w:rFonts w:asciiTheme="minorHAnsi" w:hAnsiTheme="minorHAnsi"/>
                <w:sz w:val="20"/>
                <w:lang w:eastAsia="zh-CN"/>
              </w:rPr>
            </w:pPr>
            <w:r w:rsidRPr="00B66462">
              <w:rPr>
                <w:rFonts w:asciiTheme="minorHAnsi" w:hAnsiTheme="minorHAnsi"/>
                <w:color w:val="000000"/>
                <w:sz w:val="20"/>
                <w:lang w:eastAsia="zh-CN"/>
              </w:rPr>
              <w:t xml:space="preserve">The Information Technology and Information Management Strategy is presented to C17 (Doc. </w:t>
            </w:r>
            <w:hyperlink r:id="rId34" w:history="1">
              <w:r w:rsidRPr="002B2955">
                <w:rPr>
                  <w:rStyle w:val="Hyperlink"/>
                  <w:rFonts w:asciiTheme="minorHAnsi" w:hAnsiTheme="minorHAnsi"/>
                  <w:sz w:val="20"/>
                  <w:lang w:eastAsia="zh-CN"/>
                </w:rPr>
                <w:t>C17/20</w:t>
              </w:r>
            </w:hyperlink>
            <w:r w:rsidRPr="00B66462">
              <w:rPr>
                <w:rFonts w:asciiTheme="minorHAnsi" w:hAnsiTheme="minorHAnsi"/>
                <w:color w:val="000000"/>
                <w:sz w:val="20"/>
                <w:lang w:eastAsia="zh-CN"/>
              </w:rPr>
              <w:t>).</w:t>
            </w:r>
          </w:p>
        </w:tc>
        <w:tc>
          <w:tcPr>
            <w:tcW w:w="1413" w:type="dxa"/>
            <w:tcBorders>
              <w:top w:val="single" w:sz="4" w:space="0" w:color="auto"/>
              <w:left w:val="nil"/>
              <w:bottom w:val="single" w:sz="4" w:space="0" w:color="auto"/>
              <w:right w:val="single" w:sz="4" w:space="0" w:color="auto"/>
            </w:tcBorders>
            <w:shd w:val="clear" w:color="auto" w:fill="auto"/>
            <w:hideMark/>
          </w:tcPr>
          <w:p w14:paraId="57821993" w14:textId="77777777"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r>
      <w:tr w:rsidR="00B66462" w:rsidRPr="00B66462" w14:paraId="6CB0B8B8" w14:textId="77777777" w:rsidTr="00483D3F">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0D077718"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b/>
                <w:bCs/>
                <w:color w:val="000000"/>
                <w:sz w:val="20"/>
                <w:lang w:eastAsia="zh-CN"/>
              </w:rPr>
              <w:t>Rec. 12</w:t>
            </w:r>
            <w:r w:rsidRPr="00B66462">
              <w:rPr>
                <w:rFonts w:asciiTheme="minorHAnsi" w:hAnsiTheme="minorHAnsi"/>
                <w:color w:val="000000"/>
                <w:sz w:val="20"/>
                <w:lang w:eastAsia="zh-CN"/>
              </w:rPr>
              <w:t xml:space="preserve"> The 2018 Plenipotentiary Conference should ensure that the role of the regional presence in achieving </w:t>
            </w:r>
            <w:r w:rsidR="00584200">
              <w:rPr>
                <w:rFonts w:asciiTheme="minorHAnsi" w:hAnsiTheme="minorHAnsi"/>
                <w:color w:val="000000"/>
                <w:sz w:val="20"/>
                <w:lang w:eastAsia="zh-CN"/>
              </w:rPr>
              <w:t>“</w:t>
            </w:r>
            <w:r w:rsidRPr="00B66462">
              <w:rPr>
                <w:rFonts w:asciiTheme="minorHAnsi" w:hAnsiTheme="minorHAnsi"/>
                <w:color w:val="000000"/>
                <w:sz w:val="20"/>
                <w:lang w:eastAsia="zh-CN"/>
              </w:rPr>
              <w:t>One ITU</w:t>
            </w:r>
            <w:r w:rsidR="00584200">
              <w:rPr>
                <w:rFonts w:asciiTheme="minorHAnsi" w:hAnsiTheme="minorHAnsi"/>
                <w:color w:val="000000"/>
                <w:sz w:val="20"/>
                <w:lang w:eastAsia="zh-CN"/>
              </w:rPr>
              <w:t>”</w:t>
            </w:r>
            <w:r w:rsidRPr="00B66462">
              <w:rPr>
                <w:rFonts w:asciiTheme="minorHAnsi" w:hAnsiTheme="minorHAnsi"/>
                <w:color w:val="000000"/>
                <w:sz w:val="20"/>
                <w:lang w:eastAsia="zh-CN"/>
              </w:rPr>
              <w:t xml:space="preserve"> is mainstreamed in the Strategic Plan of the Union, and </w:t>
            </w:r>
            <w:r w:rsidRPr="00B66462">
              <w:rPr>
                <w:rFonts w:asciiTheme="minorHAnsi" w:hAnsiTheme="minorHAnsi"/>
                <w:color w:val="000000"/>
                <w:sz w:val="20"/>
                <w:lang w:eastAsia="zh-CN"/>
              </w:rPr>
              <w:lastRenderedPageBreak/>
              <w:t>the Council should ensure that this role is appropriately cascaded down into the operational plans of each Sector.</w:t>
            </w:r>
          </w:p>
        </w:tc>
        <w:tc>
          <w:tcPr>
            <w:tcW w:w="856" w:type="dxa"/>
            <w:tcBorders>
              <w:top w:val="single" w:sz="4" w:space="0" w:color="auto"/>
              <w:left w:val="nil"/>
              <w:bottom w:val="single" w:sz="4" w:space="0" w:color="auto"/>
              <w:right w:val="single" w:sz="4" w:space="0" w:color="auto"/>
            </w:tcBorders>
            <w:shd w:val="clear" w:color="auto" w:fill="auto"/>
            <w:noWrap/>
            <w:hideMark/>
          </w:tcPr>
          <w:p w14:paraId="727096ED"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lastRenderedPageBreak/>
              <w:t>Council</w:t>
            </w:r>
          </w:p>
        </w:tc>
        <w:tc>
          <w:tcPr>
            <w:tcW w:w="4389" w:type="dxa"/>
            <w:tcBorders>
              <w:top w:val="single" w:sz="4" w:space="0" w:color="auto"/>
              <w:left w:val="nil"/>
              <w:bottom w:val="single" w:sz="4" w:space="0" w:color="auto"/>
              <w:right w:val="single" w:sz="4" w:space="0" w:color="auto"/>
            </w:tcBorders>
            <w:shd w:val="clear" w:color="auto" w:fill="auto"/>
            <w:hideMark/>
          </w:tcPr>
          <w:p w14:paraId="645AFFAD"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recommendation is addressed to the ITU Member States</w:t>
            </w:r>
            <w:r w:rsidR="00CC65A5">
              <w:rPr>
                <w:rFonts w:asciiTheme="minorHAnsi" w:hAnsiTheme="minorHAnsi"/>
                <w:color w:val="000000"/>
                <w:sz w:val="20"/>
                <w:lang w:eastAsia="zh-CN"/>
              </w:rPr>
              <w:t>.</w:t>
            </w:r>
          </w:p>
        </w:tc>
        <w:tc>
          <w:tcPr>
            <w:tcW w:w="1139" w:type="dxa"/>
            <w:tcBorders>
              <w:top w:val="single" w:sz="4" w:space="0" w:color="auto"/>
              <w:left w:val="nil"/>
              <w:bottom w:val="single" w:sz="4" w:space="0" w:color="auto"/>
              <w:right w:val="single" w:sz="4" w:space="0" w:color="auto"/>
            </w:tcBorders>
            <w:shd w:val="clear" w:color="auto" w:fill="auto"/>
            <w:noWrap/>
            <w:hideMark/>
          </w:tcPr>
          <w:p w14:paraId="120F7A2D"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PP-18</w:t>
            </w:r>
          </w:p>
        </w:tc>
        <w:tc>
          <w:tcPr>
            <w:tcW w:w="3544" w:type="dxa"/>
            <w:tcBorders>
              <w:top w:val="single" w:sz="4" w:space="0" w:color="auto"/>
              <w:left w:val="nil"/>
              <w:bottom w:val="single" w:sz="4" w:space="0" w:color="auto"/>
              <w:right w:val="single" w:sz="4" w:space="0" w:color="auto"/>
            </w:tcBorders>
            <w:shd w:val="clear" w:color="auto" w:fill="auto"/>
            <w:hideMark/>
          </w:tcPr>
          <w:p w14:paraId="76CEBA28" w14:textId="77777777"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 xml:space="preserve">Recommendation to be considered by </w:t>
            </w:r>
            <w:r w:rsidR="00A302F3">
              <w:rPr>
                <w:rFonts w:asciiTheme="minorHAnsi" w:hAnsiTheme="minorHAnsi"/>
                <w:sz w:val="20"/>
                <w:lang w:eastAsia="zh-CN"/>
              </w:rPr>
              <w:t xml:space="preserve">the </w:t>
            </w:r>
            <w:r w:rsidRPr="00B66462">
              <w:rPr>
                <w:rFonts w:asciiTheme="minorHAnsi" w:hAnsiTheme="minorHAnsi"/>
                <w:sz w:val="20"/>
                <w:lang w:eastAsia="zh-CN"/>
              </w:rPr>
              <w:t>Council and the 2018 Plenipotentiary Conference.</w:t>
            </w:r>
          </w:p>
        </w:tc>
        <w:tc>
          <w:tcPr>
            <w:tcW w:w="1413" w:type="dxa"/>
            <w:tcBorders>
              <w:top w:val="single" w:sz="4" w:space="0" w:color="auto"/>
              <w:left w:val="nil"/>
              <w:bottom w:val="single" w:sz="4" w:space="0" w:color="auto"/>
              <w:right w:val="single" w:sz="4" w:space="0" w:color="auto"/>
            </w:tcBorders>
            <w:shd w:val="clear" w:color="auto" w:fill="auto"/>
            <w:hideMark/>
          </w:tcPr>
          <w:p w14:paraId="73C87801" w14:textId="77777777" w:rsidR="00B66462" w:rsidRPr="00B66462" w:rsidRDefault="00E0190A" w:rsidP="002B2955">
            <w:pPr>
              <w:rPr>
                <w:rFonts w:asciiTheme="minorHAnsi" w:hAnsiTheme="minorHAnsi"/>
                <w:b/>
                <w:bCs/>
                <w:sz w:val="20"/>
                <w:lang w:eastAsia="zh-CN"/>
              </w:rPr>
            </w:pPr>
            <w:r>
              <w:rPr>
                <w:rFonts w:asciiTheme="minorHAnsi" w:hAnsiTheme="minorHAnsi"/>
                <w:b/>
                <w:bCs/>
                <w:sz w:val="20"/>
                <w:lang w:eastAsia="zh-CN"/>
              </w:rPr>
              <w:t>For consideration by PP-18</w:t>
            </w:r>
          </w:p>
        </w:tc>
      </w:tr>
    </w:tbl>
    <w:p w14:paraId="52AB5C82" w14:textId="77777777" w:rsidR="00B66462" w:rsidRDefault="00B66462" w:rsidP="00B66462">
      <w:pPr>
        <w:rPr>
          <w:rFonts w:asciiTheme="majorBidi" w:hAnsiTheme="majorBidi" w:cstheme="majorBidi"/>
          <w:bCs/>
        </w:rPr>
      </w:pPr>
      <w:r>
        <w:rPr>
          <w:rFonts w:asciiTheme="majorBidi" w:hAnsiTheme="majorBidi" w:cstheme="majorBidi"/>
          <w:bCs/>
        </w:rPr>
        <w:br w:type="page"/>
      </w:r>
    </w:p>
    <w:p w14:paraId="1308D633" w14:textId="77777777" w:rsidR="00B66462" w:rsidRDefault="00B66462" w:rsidP="00B66462">
      <w:pPr>
        <w:tabs>
          <w:tab w:val="left" w:pos="0"/>
        </w:tabs>
        <w:rPr>
          <w:rFonts w:asciiTheme="minorHAnsi" w:hAnsiTheme="minorHAnsi" w:cstheme="majorBidi"/>
          <w:b/>
        </w:rPr>
      </w:pPr>
      <w:r>
        <w:rPr>
          <w:rFonts w:asciiTheme="minorHAnsi" w:hAnsiTheme="minorHAnsi" w:cstheme="majorBidi"/>
          <w:b/>
        </w:rPr>
        <w:lastRenderedPageBreak/>
        <w:t>Annex II: Implementation S</w:t>
      </w:r>
      <w:r w:rsidRPr="00EC5B9B">
        <w:rPr>
          <w:rFonts w:asciiTheme="minorHAnsi" w:hAnsiTheme="minorHAnsi" w:cstheme="majorBidi"/>
          <w:b/>
        </w:rPr>
        <w:t xml:space="preserve">tatus </w:t>
      </w:r>
      <w:r>
        <w:rPr>
          <w:rFonts w:asciiTheme="minorHAnsi" w:hAnsiTheme="minorHAnsi" w:cstheme="majorBidi"/>
          <w:b/>
        </w:rPr>
        <w:t xml:space="preserve">and Plan for the Informal JIU </w:t>
      </w:r>
      <w:r w:rsidRPr="00EC5B9B">
        <w:rPr>
          <w:rFonts w:asciiTheme="minorHAnsi" w:hAnsiTheme="minorHAnsi" w:cstheme="majorBidi"/>
          <w:b/>
        </w:rPr>
        <w:t>Recommendations</w:t>
      </w:r>
    </w:p>
    <w:tbl>
      <w:tblPr>
        <w:tblW w:w="14878" w:type="dxa"/>
        <w:jc w:val="center"/>
        <w:tblLook w:val="04A0" w:firstRow="1" w:lastRow="0" w:firstColumn="1" w:lastColumn="0" w:noHBand="0" w:noVBand="1"/>
      </w:tblPr>
      <w:tblGrid>
        <w:gridCol w:w="521"/>
        <w:gridCol w:w="5003"/>
        <w:gridCol w:w="850"/>
        <w:gridCol w:w="5387"/>
        <w:gridCol w:w="1417"/>
        <w:gridCol w:w="1700"/>
      </w:tblGrid>
      <w:tr w:rsidR="00B66462" w:rsidRPr="00B66462" w14:paraId="0E00BF1E" w14:textId="77777777" w:rsidTr="00776509">
        <w:trPr>
          <w:tblHeader/>
          <w:jc w:val="center"/>
        </w:trPr>
        <w:tc>
          <w:tcPr>
            <w:tcW w:w="521" w:type="dxa"/>
            <w:tcBorders>
              <w:top w:val="single" w:sz="4" w:space="0" w:color="5B9BD5"/>
              <w:left w:val="single" w:sz="4" w:space="0" w:color="5B9BD5"/>
              <w:bottom w:val="single" w:sz="4" w:space="0" w:color="auto"/>
              <w:right w:val="nil"/>
            </w:tcBorders>
            <w:shd w:val="clear" w:color="5B9BD5" w:fill="5B9BD5"/>
            <w:hideMark/>
          </w:tcPr>
          <w:p w14:paraId="550E1660" w14:textId="77777777" w:rsidR="00B66462" w:rsidRPr="00B66462" w:rsidRDefault="00B66462" w:rsidP="002B2955">
            <w:pPr>
              <w:jc w:val="center"/>
              <w:rPr>
                <w:rFonts w:asciiTheme="minorHAnsi" w:hAnsiTheme="minorHAnsi" w:cs="Arial"/>
                <w:b/>
                <w:bCs/>
                <w:color w:val="FFFFFF"/>
                <w:sz w:val="20"/>
                <w:lang w:eastAsia="zh-CN"/>
              </w:rPr>
            </w:pPr>
            <w:r w:rsidRPr="00B66462">
              <w:rPr>
                <w:rFonts w:asciiTheme="minorHAnsi" w:hAnsiTheme="minorHAnsi" w:cs="Arial"/>
                <w:b/>
                <w:bCs/>
                <w:color w:val="FFFFFF"/>
                <w:sz w:val="20"/>
                <w:lang w:eastAsia="zh-CN"/>
              </w:rPr>
              <w:t>§</w:t>
            </w:r>
          </w:p>
        </w:tc>
        <w:tc>
          <w:tcPr>
            <w:tcW w:w="5003" w:type="dxa"/>
            <w:tcBorders>
              <w:top w:val="single" w:sz="4" w:space="0" w:color="5B9BD5"/>
              <w:left w:val="nil"/>
              <w:bottom w:val="single" w:sz="4" w:space="0" w:color="auto"/>
              <w:right w:val="nil"/>
            </w:tcBorders>
            <w:shd w:val="clear" w:color="5B9BD5" w:fill="5B9BD5"/>
            <w:hideMark/>
          </w:tcPr>
          <w:p w14:paraId="187D5564" w14:textId="77777777"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Recommendation</w:t>
            </w:r>
          </w:p>
        </w:tc>
        <w:tc>
          <w:tcPr>
            <w:tcW w:w="850" w:type="dxa"/>
            <w:tcBorders>
              <w:top w:val="single" w:sz="4" w:space="0" w:color="5B9BD5"/>
              <w:left w:val="nil"/>
              <w:bottom w:val="single" w:sz="4" w:space="0" w:color="auto"/>
              <w:right w:val="nil"/>
            </w:tcBorders>
            <w:shd w:val="clear" w:color="5B9BD5" w:fill="5B9BD5"/>
            <w:hideMark/>
          </w:tcPr>
          <w:p w14:paraId="1B41A21D" w14:textId="77777777"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Owner</w:t>
            </w:r>
          </w:p>
        </w:tc>
        <w:tc>
          <w:tcPr>
            <w:tcW w:w="5387" w:type="dxa"/>
            <w:tcBorders>
              <w:top w:val="single" w:sz="4" w:space="0" w:color="5B9BD5"/>
              <w:left w:val="nil"/>
              <w:bottom w:val="single" w:sz="4" w:space="0" w:color="auto"/>
              <w:right w:val="nil"/>
            </w:tcBorders>
            <w:shd w:val="clear" w:color="5B9BD5" w:fill="5B9BD5"/>
            <w:hideMark/>
          </w:tcPr>
          <w:p w14:paraId="3FF502A2" w14:textId="77777777"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Current progress</w:t>
            </w:r>
          </w:p>
        </w:tc>
        <w:tc>
          <w:tcPr>
            <w:tcW w:w="1417" w:type="dxa"/>
            <w:tcBorders>
              <w:top w:val="single" w:sz="4" w:space="0" w:color="5B9BD5"/>
              <w:left w:val="nil"/>
              <w:bottom w:val="single" w:sz="4" w:space="0" w:color="auto"/>
              <w:right w:val="nil"/>
            </w:tcBorders>
            <w:shd w:val="clear" w:color="5B9BD5" w:fill="5B9BD5"/>
            <w:hideMark/>
          </w:tcPr>
          <w:p w14:paraId="3572E15C" w14:textId="77777777"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Status</w:t>
            </w:r>
          </w:p>
        </w:tc>
        <w:tc>
          <w:tcPr>
            <w:tcW w:w="1700" w:type="dxa"/>
            <w:tcBorders>
              <w:top w:val="single" w:sz="4" w:space="0" w:color="5B9BD5"/>
              <w:left w:val="nil"/>
              <w:bottom w:val="single" w:sz="4" w:space="0" w:color="auto"/>
              <w:right w:val="nil"/>
            </w:tcBorders>
            <w:shd w:val="clear" w:color="5B9BD5" w:fill="5B9BD5"/>
          </w:tcPr>
          <w:p w14:paraId="133C5E77" w14:textId="77777777"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Estimated date of implementation</w:t>
            </w:r>
          </w:p>
        </w:tc>
      </w:tr>
      <w:tr w:rsidR="00B66462" w:rsidRPr="00B66462" w14:paraId="205E1F59"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4DB0AB1A" w14:textId="77777777"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23</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0DA0F00C" w14:textId="77777777"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The Inspectors call for further measures to ensure equal applicability of the Basic Instruments to the whole membership</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225A98A" w14:textId="77777777"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Council</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9E60147" w14:textId="77777777" w:rsidR="00B66462" w:rsidRPr="00B66462" w:rsidRDefault="00E0190A" w:rsidP="00483D3F">
            <w:pPr>
              <w:spacing w:before="60"/>
              <w:rPr>
                <w:rFonts w:asciiTheme="minorHAnsi" w:hAnsiTheme="minorHAnsi"/>
                <w:sz w:val="20"/>
                <w:lang w:eastAsia="zh-CN"/>
              </w:rPr>
            </w:pPr>
            <w:r>
              <w:rPr>
                <w:rFonts w:asciiTheme="minorHAnsi" w:hAnsiTheme="minorHAnsi"/>
                <w:sz w:val="20"/>
                <w:lang w:eastAsia="zh-CN"/>
              </w:rPr>
              <w:t>Recommendation t</w:t>
            </w:r>
            <w:r w:rsidRPr="00483D3F">
              <w:rPr>
                <w:rFonts w:asciiTheme="minorHAnsi" w:hAnsiTheme="minorHAnsi"/>
                <w:sz w:val="20"/>
                <w:lang w:eastAsia="zh-CN"/>
              </w:rPr>
              <w:t xml:space="preserve">ransmitted to </w:t>
            </w:r>
            <w:r w:rsidR="003C4958">
              <w:rPr>
                <w:rFonts w:asciiTheme="minorHAnsi" w:hAnsiTheme="minorHAnsi"/>
                <w:sz w:val="20"/>
                <w:lang w:eastAsia="zh-CN"/>
              </w:rPr>
              <w:t xml:space="preserve">the </w:t>
            </w:r>
            <w:r w:rsidRPr="00483D3F">
              <w:rPr>
                <w:rFonts w:asciiTheme="minorHAnsi" w:hAnsiTheme="minorHAnsi"/>
                <w:sz w:val="20"/>
                <w:lang w:eastAsia="zh-CN"/>
              </w:rPr>
              <w:t>Council.</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7CBDB3A" w14:textId="77777777" w:rsidR="00B66462" w:rsidRPr="00483D3F" w:rsidRDefault="00B66462" w:rsidP="001206BA">
            <w:pPr>
              <w:spacing w:before="60"/>
              <w:rPr>
                <w:rFonts w:asciiTheme="minorHAnsi" w:hAnsiTheme="minorHAnsi"/>
                <w:b/>
                <w:bCs/>
                <w:sz w:val="20"/>
                <w:lang w:eastAsia="zh-CN"/>
              </w:rPr>
            </w:pPr>
            <w:r w:rsidRPr="00483D3F">
              <w:rPr>
                <w:rFonts w:asciiTheme="minorHAnsi" w:hAnsiTheme="minorHAnsi"/>
                <w:b/>
                <w:bCs/>
                <w:sz w:val="20"/>
                <w:lang w:eastAsia="zh-CN"/>
              </w:rPr>
              <w:t>Under consideration</w:t>
            </w:r>
            <w:r w:rsidR="000C0DC6" w:rsidRPr="00483D3F">
              <w:rPr>
                <w:rFonts w:asciiTheme="minorHAnsi" w:hAnsiTheme="minorHAnsi"/>
                <w:b/>
                <w:bCs/>
                <w:sz w:val="20"/>
                <w:lang w:eastAsia="zh-CN"/>
              </w:rPr>
              <w:t xml:space="preserve"> by Member States</w:t>
            </w:r>
          </w:p>
        </w:tc>
        <w:tc>
          <w:tcPr>
            <w:tcW w:w="1700" w:type="dxa"/>
            <w:tcBorders>
              <w:top w:val="single" w:sz="4" w:space="0" w:color="auto"/>
              <w:left w:val="single" w:sz="4" w:space="0" w:color="auto"/>
              <w:bottom w:val="single" w:sz="4" w:space="0" w:color="auto"/>
              <w:right w:val="single" w:sz="4" w:space="0" w:color="auto"/>
            </w:tcBorders>
          </w:tcPr>
          <w:p w14:paraId="62A6497D" w14:textId="77777777" w:rsidR="00B66462" w:rsidRPr="00B66462" w:rsidRDefault="00E0190A" w:rsidP="001206BA">
            <w:pPr>
              <w:spacing w:before="60"/>
              <w:rPr>
                <w:rFonts w:asciiTheme="minorHAnsi" w:hAnsiTheme="minorHAnsi"/>
                <w:sz w:val="20"/>
                <w:lang w:eastAsia="zh-CN"/>
              </w:rPr>
            </w:pPr>
            <w:r w:rsidRPr="00E0190A">
              <w:rPr>
                <w:rFonts w:asciiTheme="minorHAnsi" w:hAnsiTheme="minorHAnsi"/>
                <w:sz w:val="20"/>
                <w:lang w:eastAsia="zh-CN"/>
              </w:rPr>
              <w:t>For consideration by PP-18</w:t>
            </w:r>
          </w:p>
        </w:tc>
      </w:tr>
      <w:tr w:rsidR="00B66462" w:rsidRPr="00B66462" w14:paraId="4A326D51"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55E55220" w14:textId="77777777"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24</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598C89B0" w14:textId="77777777"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The Inspectors stress that coordination is of crucial importance for the Union. It has to be consistently enhanced and monitored both by Member States and management and requires strong mechanisms of implementation and follow-up</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F8B0CA2" w14:textId="77777777" w:rsidR="00B66462" w:rsidRPr="00B66462" w:rsidRDefault="00A302F3" w:rsidP="001206BA">
            <w:pPr>
              <w:spacing w:before="60"/>
              <w:jc w:val="center"/>
              <w:rPr>
                <w:rFonts w:asciiTheme="minorHAnsi" w:hAnsiTheme="minorHAnsi"/>
                <w:color w:val="000000"/>
                <w:sz w:val="20"/>
                <w:lang w:eastAsia="zh-CN"/>
              </w:rPr>
            </w:pPr>
            <w:r>
              <w:rPr>
                <w:rFonts w:asciiTheme="minorHAnsi" w:hAnsiTheme="minorHAnsi"/>
                <w:color w:val="000000"/>
                <w:sz w:val="20"/>
                <w:lang w:eastAsia="zh-CN"/>
              </w:rPr>
              <w:t xml:space="preserve">Council / </w:t>
            </w:r>
            <w:proofErr w:type="spellStart"/>
            <w:r w:rsidR="00B66462" w:rsidRPr="00B66462">
              <w:rPr>
                <w:rFonts w:asciiTheme="minorHAnsi" w:hAnsiTheme="minorHAnsi"/>
                <w:color w:val="000000"/>
                <w:sz w:val="20"/>
                <w:lang w:eastAsia="zh-CN"/>
              </w:rPr>
              <w:t>CoCo</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470B20B" w14:textId="77777777"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Report on Res.191 (Strategy for the coordination of efforts among the three Sectors of the Union) is submitted on an annual basis to</w:t>
            </w:r>
            <w:r w:rsidR="003C4958">
              <w:rPr>
                <w:rFonts w:asciiTheme="minorHAnsi" w:hAnsiTheme="minorHAnsi"/>
                <w:sz w:val="20"/>
                <w:lang w:eastAsia="zh-CN"/>
              </w:rPr>
              <w:t xml:space="preserve"> the</w:t>
            </w:r>
            <w:r w:rsidRPr="00B66462">
              <w:rPr>
                <w:rFonts w:asciiTheme="minorHAnsi" w:hAnsiTheme="minorHAnsi"/>
                <w:sz w:val="20"/>
                <w:lang w:eastAsia="zh-CN"/>
              </w:rPr>
              <w:t xml:space="preserve"> Council. The Inter-Sectoral Coordination Task Force (ISC-TF) has been established by Service Order No. 16/13, facilitating coordination and collaboration among the three Bureaux and the General Secretariat.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26B07F8" w14:textId="77777777" w:rsidR="00B66462" w:rsidRPr="00483D3F" w:rsidRDefault="00B66462" w:rsidP="001206BA">
            <w:pPr>
              <w:spacing w:before="60"/>
              <w:rPr>
                <w:rFonts w:asciiTheme="minorHAnsi" w:hAnsiTheme="minorHAnsi"/>
                <w:b/>
                <w:bCs/>
                <w:sz w:val="20"/>
                <w:lang w:eastAsia="zh-CN"/>
              </w:rPr>
            </w:pPr>
            <w:r w:rsidRPr="00483D3F">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1F1D82DF" w14:textId="77777777"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N/A</w:t>
            </w:r>
          </w:p>
        </w:tc>
      </w:tr>
      <w:tr w:rsidR="00B66462" w:rsidRPr="00B66462" w14:paraId="7E426DD9"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0B98A122" w14:textId="77777777"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28</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796A4D9F" w14:textId="77777777"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The Inspectors invite the various governing bodies of the Union to initiate a careful review and assessment of the number and length of ITU events, their procedures and documentation, with the objective of identifying areas where rationalization can be envisaged, and to draw up recommendations for putting in place cost-effective measures that may result in significant potential savings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E30B668" w14:textId="77777777"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Council</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DD2B87B" w14:textId="77777777" w:rsidR="00B66462" w:rsidRPr="00483D3F" w:rsidRDefault="00483D3F" w:rsidP="00B63E96">
            <w:pPr>
              <w:spacing w:before="60"/>
              <w:rPr>
                <w:rFonts w:asciiTheme="minorHAnsi" w:hAnsiTheme="minorHAnsi"/>
                <w:sz w:val="20"/>
                <w:lang w:eastAsia="zh-CN"/>
              </w:rPr>
            </w:pPr>
            <w:r w:rsidRPr="00483D3F">
              <w:rPr>
                <w:rFonts w:asciiTheme="minorHAnsi" w:hAnsiTheme="minorHAnsi"/>
                <w:sz w:val="20"/>
                <w:lang w:eastAsia="zh-CN"/>
              </w:rPr>
              <w:t>T</w:t>
            </w:r>
            <w:r w:rsidR="00B66462" w:rsidRPr="00483D3F">
              <w:rPr>
                <w:rFonts w:asciiTheme="minorHAnsi" w:hAnsiTheme="minorHAnsi"/>
                <w:sz w:val="20"/>
                <w:lang w:eastAsia="zh-CN"/>
              </w:rPr>
              <w:t xml:space="preserve">ransmitted to </w:t>
            </w:r>
            <w:r w:rsidR="003C4958">
              <w:rPr>
                <w:rFonts w:asciiTheme="minorHAnsi" w:hAnsiTheme="minorHAnsi"/>
                <w:sz w:val="20"/>
                <w:lang w:eastAsia="zh-CN"/>
              </w:rPr>
              <w:t xml:space="preserve">the </w:t>
            </w:r>
            <w:r w:rsidR="00B66462" w:rsidRPr="00483D3F">
              <w:rPr>
                <w:rFonts w:asciiTheme="minorHAnsi" w:hAnsiTheme="minorHAnsi"/>
                <w:sz w:val="20"/>
                <w:lang w:eastAsia="zh-CN"/>
              </w:rPr>
              <w:t>Council</w:t>
            </w:r>
            <w:r w:rsidR="00B63E96">
              <w:rPr>
                <w:rFonts w:asciiTheme="minorHAnsi" w:hAnsiTheme="minorHAnsi"/>
                <w:sz w:val="20"/>
                <w:lang w:eastAsia="zh-CN"/>
              </w:rPr>
              <w:t xml:space="preserve"> and discussed by Council 2017.</w:t>
            </w:r>
          </w:p>
          <w:p w14:paraId="07FC148A" w14:textId="77777777" w:rsidR="00B66462" w:rsidRPr="00483D3F" w:rsidRDefault="00E0190A" w:rsidP="00E0190A">
            <w:pPr>
              <w:spacing w:before="60"/>
              <w:rPr>
                <w:rFonts w:asciiTheme="minorHAnsi" w:hAnsiTheme="minorHAnsi"/>
                <w:sz w:val="20"/>
                <w:lang w:eastAsia="zh-CN"/>
              </w:rPr>
            </w:pPr>
            <w:r>
              <w:rPr>
                <w:rFonts w:asciiTheme="minorHAnsi" w:hAnsiTheme="minorHAnsi"/>
                <w:sz w:val="20"/>
                <w:lang w:eastAsia="zh-CN"/>
              </w:rPr>
              <w:t xml:space="preserve">The </w:t>
            </w:r>
            <w:r w:rsidR="00B66462" w:rsidRPr="00483D3F">
              <w:rPr>
                <w:rFonts w:asciiTheme="minorHAnsi" w:hAnsiTheme="minorHAnsi"/>
                <w:sz w:val="20"/>
                <w:lang w:eastAsia="zh-CN"/>
              </w:rPr>
              <w:t xml:space="preserve">secretariat </w:t>
            </w:r>
            <w:r>
              <w:rPr>
                <w:rFonts w:asciiTheme="minorHAnsi" w:hAnsiTheme="minorHAnsi"/>
                <w:sz w:val="20"/>
                <w:lang w:eastAsia="zh-CN"/>
              </w:rPr>
              <w:t xml:space="preserve">is </w:t>
            </w:r>
            <w:r w:rsidR="00B66462" w:rsidRPr="00483D3F">
              <w:rPr>
                <w:rFonts w:asciiTheme="minorHAnsi" w:hAnsiTheme="minorHAnsi"/>
                <w:sz w:val="20"/>
                <w:lang w:eastAsia="zh-CN"/>
              </w:rPr>
              <w:t>review</w:t>
            </w:r>
            <w:r>
              <w:rPr>
                <w:rFonts w:asciiTheme="minorHAnsi" w:hAnsiTheme="minorHAnsi"/>
                <w:sz w:val="20"/>
                <w:lang w:eastAsia="zh-CN"/>
              </w:rPr>
              <w:t>ing</w:t>
            </w:r>
            <w:r w:rsidR="00B66462" w:rsidRPr="00483D3F">
              <w:rPr>
                <w:rFonts w:asciiTheme="minorHAnsi" w:hAnsiTheme="minorHAnsi"/>
                <w:sz w:val="20"/>
                <w:lang w:eastAsia="zh-CN"/>
              </w:rPr>
              <w:t xml:space="preserve"> and assess</w:t>
            </w:r>
            <w:r>
              <w:rPr>
                <w:rFonts w:asciiTheme="minorHAnsi" w:hAnsiTheme="minorHAnsi"/>
                <w:sz w:val="20"/>
                <w:lang w:eastAsia="zh-CN"/>
              </w:rPr>
              <w:t>ing</w:t>
            </w:r>
            <w:r w:rsidR="00B66462" w:rsidRPr="00483D3F">
              <w:rPr>
                <w:rFonts w:asciiTheme="minorHAnsi" w:hAnsiTheme="minorHAnsi"/>
                <w:sz w:val="20"/>
                <w:lang w:eastAsia="zh-CN"/>
              </w:rPr>
              <w:t xml:space="preserve"> the length of each event and consider possible cost effective measures.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CAC9B0B" w14:textId="77777777" w:rsidR="00B66462" w:rsidRPr="00483D3F" w:rsidRDefault="00B66462" w:rsidP="001206BA">
            <w:pPr>
              <w:spacing w:before="60"/>
              <w:rPr>
                <w:rFonts w:asciiTheme="minorHAnsi" w:hAnsiTheme="minorHAnsi"/>
                <w:b/>
                <w:bCs/>
                <w:sz w:val="20"/>
                <w:lang w:eastAsia="zh-CN"/>
              </w:rPr>
            </w:pPr>
            <w:r w:rsidRPr="00483D3F">
              <w:rPr>
                <w:rFonts w:asciiTheme="minorHAnsi" w:hAnsiTheme="minorHAnsi"/>
                <w:b/>
                <w:bCs/>
                <w:sz w:val="20"/>
                <w:lang w:eastAsia="zh-CN"/>
              </w:rPr>
              <w:t>In progress</w:t>
            </w:r>
          </w:p>
        </w:tc>
        <w:tc>
          <w:tcPr>
            <w:tcW w:w="1700" w:type="dxa"/>
            <w:tcBorders>
              <w:top w:val="single" w:sz="4" w:space="0" w:color="auto"/>
              <w:left w:val="single" w:sz="4" w:space="0" w:color="auto"/>
              <w:bottom w:val="single" w:sz="4" w:space="0" w:color="auto"/>
              <w:right w:val="single" w:sz="4" w:space="0" w:color="auto"/>
            </w:tcBorders>
          </w:tcPr>
          <w:p w14:paraId="34C4D594" w14:textId="77777777" w:rsidR="00B66462" w:rsidRPr="00B66462" w:rsidRDefault="00E0190A" w:rsidP="001206BA">
            <w:pPr>
              <w:spacing w:before="60"/>
              <w:rPr>
                <w:rFonts w:asciiTheme="minorHAnsi" w:hAnsiTheme="minorHAnsi"/>
                <w:sz w:val="20"/>
                <w:lang w:eastAsia="zh-CN"/>
              </w:rPr>
            </w:pPr>
            <w:r w:rsidRPr="00E0190A">
              <w:rPr>
                <w:rFonts w:asciiTheme="minorHAnsi" w:hAnsiTheme="minorHAnsi"/>
                <w:sz w:val="20"/>
                <w:lang w:eastAsia="zh-CN"/>
              </w:rPr>
              <w:t>For consideration by PP-18</w:t>
            </w:r>
          </w:p>
        </w:tc>
      </w:tr>
      <w:tr w:rsidR="00B66462" w:rsidRPr="00B66462" w14:paraId="5A73DFBD"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557D0AED" w14:textId="77777777"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30</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391911EC" w14:textId="77777777"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 xml:space="preserve">The Inspectors encourage the Member States to recognize the importance of assessing whether the current set-up of the Union remains </w:t>
            </w:r>
            <w:r w:rsidR="00584200">
              <w:rPr>
                <w:rFonts w:asciiTheme="minorHAnsi" w:hAnsiTheme="minorHAnsi"/>
                <w:color w:val="000000"/>
                <w:sz w:val="20"/>
                <w:lang w:eastAsia="zh-CN"/>
              </w:rPr>
              <w:t>“</w:t>
            </w:r>
            <w:r w:rsidRPr="00B66462">
              <w:rPr>
                <w:rFonts w:asciiTheme="minorHAnsi" w:hAnsiTheme="minorHAnsi"/>
                <w:color w:val="000000"/>
                <w:sz w:val="20"/>
                <w:lang w:eastAsia="zh-CN"/>
              </w:rPr>
              <w:t>fit-for-purpose</w:t>
            </w:r>
            <w:r w:rsidR="00584200">
              <w:rPr>
                <w:rFonts w:asciiTheme="minorHAnsi" w:hAnsiTheme="minorHAnsi"/>
                <w:color w:val="000000"/>
                <w:sz w:val="20"/>
                <w:lang w:eastAsia="zh-CN"/>
              </w:rPr>
              <w:t>”</w:t>
            </w:r>
            <w:r w:rsidRPr="00B66462">
              <w:rPr>
                <w:rFonts w:asciiTheme="minorHAnsi" w:hAnsiTheme="minorHAnsi"/>
                <w:color w:val="000000"/>
                <w:sz w:val="20"/>
                <w:lang w:eastAsia="zh-CN"/>
              </w:rPr>
              <w:t xml:space="preserve"> to successfully implement its mandates in the long run from a holistic and cost-effective perspective.</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1D14CD3" w14:textId="77777777"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Council</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57CF613" w14:textId="77777777" w:rsidR="00B66462" w:rsidRPr="00483D3F" w:rsidRDefault="00E0190A" w:rsidP="00E0190A">
            <w:pPr>
              <w:spacing w:before="60"/>
              <w:rPr>
                <w:rFonts w:asciiTheme="minorHAnsi" w:hAnsiTheme="minorHAnsi"/>
                <w:sz w:val="20"/>
                <w:lang w:eastAsia="zh-CN"/>
              </w:rPr>
            </w:pPr>
            <w:r>
              <w:rPr>
                <w:rFonts w:asciiTheme="minorHAnsi" w:hAnsiTheme="minorHAnsi"/>
                <w:sz w:val="20"/>
                <w:lang w:eastAsia="zh-CN"/>
              </w:rPr>
              <w:t>Recommendation t</w:t>
            </w:r>
            <w:r w:rsidR="000C0DC6" w:rsidRPr="00483D3F">
              <w:rPr>
                <w:rFonts w:asciiTheme="minorHAnsi" w:hAnsiTheme="minorHAnsi"/>
                <w:sz w:val="20"/>
                <w:lang w:eastAsia="zh-CN"/>
              </w:rPr>
              <w:t xml:space="preserve">ransmitted to </w:t>
            </w:r>
            <w:r w:rsidR="003C4958">
              <w:rPr>
                <w:rFonts w:asciiTheme="minorHAnsi" w:hAnsiTheme="minorHAnsi"/>
                <w:sz w:val="20"/>
                <w:lang w:eastAsia="zh-CN"/>
              </w:rPr>
              <w:t xml:space="preserve">the </w:t>
            </w:r>
            <w:r w:rsidR="000C0DC6" w:rsidRPr="00483D3F">
              <w:rPr>
                <w:rFonts w:asciiTheme="minorHAnsi" w:hAnsiTheme="minorHAnsi"/>
                <w:sz w:val="20"/>
                <w:lang w:eastAsia="zh-CN"/>
              </w:rPr>
              <w:t>Council</w:t>
            </w:r>
            <w:r w:rsidR="00CC65A5" w:rsidRPr="00483D3F">
              <w:rPr>
                <w:rFonts w:asciiTheme="minorHAnsi" w:hAnsiTheme="minorHAnsi"/>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5F8EBF4" w14:textId="77777777" w:rsidR="00B66462" w:rsidRPr="00483D3F" w:rsidRDefault="00B66462" w:rsidP="001206BA">
            <w:pPr>
              <w:spacing w:before="60"/>
              <w:rPr>
                <w:rFonts w:asciiTheme="minorHAnsi" w:hAnsiTheme="minorHAnsi"/>
                <w:b/>
                <w:bCs/>
                <w:sz w:val="20"/>
                <w:lang w:eastAsia="zh-CN"/>
              </w:rPr>
            </w:pPr>
            <w:r w:rsidRPr="00483D3F">
              <w:rPr>
                <w:rFonts w:asciiTheme="minorHAnsi" w:hAnsiTheme="minorHAnsi"/>
                <w:b/>
                <w:bCs/>
                <w:sz w:val="20"/>
                <w:lang w:eastAsia="zh-CN"/>
              </w:rPr>
              <w:t>Under consideration</w:t>
            </w:r>
            <w:r w:rsidR="000C0DC6" w:rsidRPr="00483D3F">
              <w:rPr>
                <w:rFonts w:asciiTheme="minorHAnsi" w:hAnsiTheme="minorHAnsi"/>
                <w:b/>
                <w:bCs/>
                <w:sz w:val="20"/>
                <w:lang w:eastAsia="zh-CN"/>
              </w:rPr>
              <w:t xml:space="preserve"> by Member States</w:t>
            </w:r>
          </w:p>
        </w:tc>
        <w:tc>
          <w:tcPr>
            <w:tcW w:w="1700" w:type="dxa"/>
            <w:tcBorders>
              <w:top w:val="single" w:sz="4" w:space="0" w:color="auto"/>
              <w:left w:val="single" w:sz="4" w:space="0" w:color="auto"/>
              <w:bottom w:val="single" w:sz="4" w:space="0" w:color="auto"/>
              <w:right w:val="single" w:sz="4" w:space="0" w:color="auto"/>
            </w:tcBorders>
          </w:tcPr>
          <w:p w14:paraId="7980BA31" w14:textId="77777777" w:rsidR="00B66462" w:rsidRPr="00B66462" w:rsidRDefault="00E0190A" w:rsidP="001206BA">
            <w:pPr>
              <w:spacing w:before="60"/>
              <w:rPr>
                <w:rFonts w:asciiTheme="minorHAnsi" w:hAnsiTheme="minorHAnsi"/>
                <w:sz w:val="20"/>
                <w:lang w:eastAsia="zh-CN"/>
              </w:rPr>
            </w:pPr>
            <w:r w:rsidRPr="00E0190A">
              <w:rPr>
                <w:rFonts w:asciiTheme="minorHAnsi" w:hAnsiTheme="minorHAnsi"/>
                <w:sz w:val="20"/>
                <w:lang w:eastAsia="zh-CN"/>
              </w:rPr>
              <w:t>For consideration by PP-18</w:t>
            </w:r>
          </w:p>
        </w:tc>
      </w:tr>
      <w:tr w:rsidR="00B66462" w:rsidRPr="00B66462" w14:paraId="1269907E"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2A5B2BE7" w14:textId="77777777"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34</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06B01962" w14:textId="77777777"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Equitable geographical and gender-balanced representation is a cornerstone principle of United Nations system organizations. The Inspectors suggest that increased attention be given to these aspects when elections are held at the Plenipotentiary Conference, as foreseen by article 9 of the Constitution</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CCA7DA0" w14:textId="77777777"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Council</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F421F5D" w14:textId="77777777" w:rsidR="00E0190A" w:rsidRDefault="00B66462" w:rsidP="00E0190A">
            <w:pPr>
              <w:spacing w:before="60"/>
              <w:rPr>
                <w:rFonts w:asciiTheme="minorHAnsi" w:hAnsiTheme="minorHAnsi"/>
                <w:sz w:val="20"/>
                <w:lang w:eastAsia="zh-CN"/>
              </w:rPr>
            </w:pPr>
            <w:r w:rsidRPr="00B66462">
              <w:rPr>
                <w:rFonts w:asciiTheme="minorHAnsi" w:hAnsiTheme="minorHAnsi"/>
                <w:sz w:val="20"/>
                <w:lang w:eastAsia="zh-CN"/>
              </w:rPr>
              <w:t>Actions to be undertaken as a preparation of PP-18</w:t>
            </w:r>
            <w:r w:rsidR="00E0190A">
              <w:rPr>
                <w:rFonts w:asciiTheme="minorHAnsi" w:hAnsiTheme="minorHAnsi"/>
                <w:sz w:val="20"/>
                <w:lang w:eastAsia="zh-CN"/>
              </w:rPr>
              <w:t>.</w:t>
            </w:r>
          </w:p>
          <w:p w14:paraId="56BA347C" w14:textId="77777777" w:rsidR="00B66462" w:rsidRPr="00B66462" w:rsidRDefault="00B66462" w:rsidP="00E0190A">
            <w:pPr>
              <w:spacing w:before="60"/>
              <w:rPr>
                <w:rFonts w:asciiTheme="minorHAnsi" w:hAnsiTheme="minorHAnsi"/>
                <w:sz w:val="20"/>
                <w:lang w:eastAsia="zh-CN"/>
              </w:rPr>
            </w:pPr>
            <w:r w:rsidRPr="00E0190A">
              <w:rPr>
                <w:rFonts w:asciiTheme="minorHAnsi" w:hAnsiTheme="minorHAnsi"/>
                <w:sz w:val="20"/>
                <w:lang w:eastAsia="zh-CN"/>
              </w:rPr>
              <w:t>It is the intention of the secretariat to increase attention to equitable geographical and gender-balanced representation in t</w:t>
            </w:r>
            <w:r w:rsidR="00E0190A" w:rsidRPr="00E0190A">
              <w:rPr>
                <w:rFonts w:asciiTheme="minorHAnsi" w:hAnsiTheme="minorHAnsi"/>
                <w:sz w:val="20"/>
                <w:lang w:eastAsia="zh-CN"/>
              </w:rPr>
              <w:t>he context of PP-18 preparation</w:t>
            </w:r>
            <w:r w:rsidR="00CC65A5" w:rsidRPr="00E0190A">
              <w:rPr>
                <w:rFonts w:asciiTheme="minorHAnsi" w:hAnsiTheme="minorHAnsi"/>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07C6312" w14:textId="77777777" w:rsidR="00B66462" w:rsidRPr="00B66462" w:rsidRDefault="00B66462" w:rsidP="001206BA">
            <w:pPr>
              <w:spacing w:before="60"/>
              <w:rPr>
                <w:rFonts w:asciiTheme="minorHAnsi" w:hAnsiTheme="minorHAnsi"/>
                <w:b/>
                <w:bCs/>
                <w:sz w:val="20"/>
                <w:lang w:eastAsia="zh-CN"/>
              </w:rPr>
            </w:pPr>
            <w:r w:rsidRPr="00B66462">
              <w:rPr>
                <w:rFonts w:asciiTheme="minorHAnsi" w:hAnsiTheme="minorHAnsi"/>
                <w:b/>
                <w:bCs/>
                <w:sz w:val="20"/>
                <w:lang w:eastAsia="zh-CN"/>
              </w:rPr>
              <w:t>In progress</w:t>
            </w:r>
          </w:p>
        </w:tc>
        <w:tc>
          <w:tcPr>
            <w:tcW w:w="1700" w:type="dxa"/>
            <w:tcBorders>
              <w:top w:val="single" w:sz="4" w:space="0" w:color="auto"/>
              <w:left w:val="single" w:sz="4" w:space="0" w:color="auto"/>
              <w:bottom w:val="single" w:sz="4" w:space="0" w:color="auto"/>
              <w:right w:val="single" w:sz="4" w:space="0" w:color="auto"/>
            </w:tcBorders>
          </w:tcPr>
          <w:p w14:paraId="7EF18433" w14:textId="77777777" w:rsidR="00B66462" w:rsidRPr="00B66462" w:rsidRDefault="00E0190A" w:rsidP="001206BA">
            <w:pPr>
              <w:spacing w:before="60"/>
              <w:rPr>
                <w:rFonts w:asciiTheme="minorHAnsi" w:hAnsiTheme="minorHAnsi"/>
                <w:sz w:val="20"/>
                <w:lang w:eastAsia="zh-CN"/>
              </w:rPr>
            </w:pPr>
            <w:r w:rsidRPr="00E0190A">
              <w:rPr>
                <w:rFonts w:asciiTheme="minorHAnsi" w:hAnsiTheme="minorHAnsi"/>
                <w:sz w:val="20"/>
                <w:lang w:eastAsia="zh-CN"/>
              </w:rPr>
              <w:t>For consideration by PP-18</w:t>
            </w:r>
          </w:p>
        </w:tc>
      </w:tr>
      <w:tr w:rsidR="00B66462" w:rsidRPr="00B66462" w14:paraId="00E02C91"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76D8DDE7" w14:textId="77777777"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39</w:t>
            </w:r>
          </w:p>
        </w:tc>
        <w:tc>
          <w:tcPr>
            <w:tcW w:w="5003" w:type="dxa"/>
            <w:tcBorders>
              <w:top w:val="single" w:sz="4" w:space="0" w:color="auto"/>
              <w:left w:val="single" w:sz="4" w:space="0" w:color="auto"/>
              <w:bottom w:val="single" w:sz="4" w:space="0" w:color="auto"/>
              <w:right w:val="single" w:sz="4" w:space="0" w:color="auto"/>
            </w:tcBorders>
            <w:shd w:val="clear" w:color="000000" w:fill="FFFFFF"/>
            <w:hideMark/>
          </w:tcPr>
          <w:p w14:paraId="78C5E698" w14:textId="77777777"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In the view of the Inspectors, the Coordination Committee should be a high-level forum where a clear vision and strategic positioning for the entire Union should be defined and a strong internal management culture be developed and maintained</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14:paraId="5B2C42D6" w14:textId="77777777" w:rsidR="00B66462" w:rsidRPr="00B66462" w:rsidRDefault="00B66462" w:rsidP="001206BA">
            <w:pPr>
              <w:spacing w:before="60"/>
              <w:jc w:val="center"/>
              <w:rPr>
                <w:rFonts w:asciiTheme="minorHAnsi" w:hAnsiTheme="minorHAnsi"/>
                <w:color w:val="000000"/>
                <w:sz w:val="20"/>
                <w:lang w:eastAsia="zh-CN"/>
              </w:rPr>
            </w:pPr>
            <w:proofErr w:type="spellStart"/>
            <w:r w:rsidRPr="00B66462">
              <w:rPr>
                <w:rFonts w:asciiTheme="minorHAnsi" w:hAnsiTheme="minorHAnsi"/>
                <w:color w:val="000000"/>
                <w:sz w:val="20"/>
                <w:lang w:eastAsia="zh-CN"/>
              </w:rPr>
              <w:t>CoCo</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14:paraId="4C0D020E" w14:textId="77777777" w:rsidR="00B66462" w:rsidRPr="00B66462" w:rsidRDefault="00B66462" w:rsidP="00483D3F">
            <w:pPr>
              <w:spacing w:before="60"/>
              <w:rPr>
                <w:rFonts w:asciiTheme="minorHAnsi" w:hAnsiTheme="minorHAnsi"/>
                <w:color w:val="000000"/>
                <w:sz w:val="20"/>
                <w:lang w:eastAsia="zh-CN"/>
              </w:rPr>
            </w:pPr>
            <w:r w:rsidRPr="00B66462">
              <w:rPr>
                <w:rFonts w:asciiTheme="minorHAnsi" w:hAnsiTheme="minorHAnsi"/>
                <w:color w:val="000000"/>
                <w:sz w:val="20"/>
                <w:lang w:eastAsia="zh-CN"/>
              </w:rPr>
              <w:t>SPM ha</w:t>
            </w:r>
            <w:r w:rsidR="000C0DC6">
              <w:rPr>
                <w:rFonts w:asciiTheme="minorHAnsi" w:hAnsiTheme="minorHAnsi"/>
                <w:color w:val="000000"/>
                <w:sz w:val="20"/>
                <w:lang w:eastAsia="zh-CN"/>
              </w:rPr>
              <w:t>d</w:t>
            </w:r>
            <w:r w:rsidRPr="00B66462">
              <w:rPr>
                <w:rFonts w:asciiTheme="minorHAnsi" w:hAnsiTheme="minorHAnsi"/>
                <w:color w:val="000000"/>
                <w:sz w:val="20"/>
                <w:lang w:eastAsia="zh-CN"/>
              </w:rPr>
              <w:t xml:space="preserve"> been requested to present strategic issues to </w:t>
            </w:r>
            <w:r w:rsidR="000C0DC6">
              <w:rPr>
                <w:rFonts w:asciiTheme="minorHAnsi" w:hAnsiTheme="minorHAnsi"/>
                <w:color w:val="000000"/>
                <w:sz w:val="20"/>
                <w:lang w:eastAsia="zh-CN"/>
              </w:rPr>
              <w:t>the Coordination Committee</w:t>
            </w:r>
            <w:r w:rsidR="000C0DC6" w:rsidRPr="00B66462">
              <w:rPr>
                <w:rFonts w:asciiTheme="minorHAnsi" w:hAnsiTheme="minorHAnsi"/>
                <w:color w:val="000000"/>
                <w:sz w:val="20"/>
                <w:lang w:eastAsia="zh-CN"/>
              </w:rPr>
              <w:t xml:space="preserve"> </w:t>
            </w:r>
            <w:r w:rsidRPr="00B66462">
              <w:rPr>
                <w:rFonts w:asciiTheme="minorHAnsi" w:hAnsiTheme="minorHAnsi"/>
                <w:color w:val="000000"/>
                <w:sz w:val="20"/>
                <w:lang w:eastAsia="zh-CN"/>
              </w:rPr>
              <w:t>for discussion after consultation with the Bureaux.</w:t>
            </w:r>
            <w:r w:rsidR="00483D3F">
              <w:rPr>
                <w:rFonts w:asciiTheme="minorHAnsi" w:hAnsiTheme="minorHAnsi"/>
                <w:color w:val="000000"/>
                <w:sz w:val="20"/>
                <w:lang w:eastAsia="zh-CN"/>
              </w:rPr>
              <w:t xml:space="preserve"> </w:t>
            </w:r>
            <w:r w:rsidR="00374E43" w:rsidRPr="00374E43">
              <w:rPr>
                <w:rFonts w:asciiTheme="minorHAnsi" w:hAnsiTheme="minorHAnsi"/>
                <w:color w:val="000000"/>
                <w:sz w:val="20"/>
                <w:lang w:eastAsia="zh-CN"/>
              </w:rPr>
              <w:t xml:space="preserve">Strategic issues are </w:t>
            </w:r>
            <w:r w:rsidR="00483D3F">
              <w:rPr>
                <w:rFonts w:asciiTheme="minorHAnsi" w:hAnsiTheme="minorHAnsi"/>
                <w:color w:val="000000"/>
                <w:sz w:val="20"/>
                <w:lang w:eastAsia="zh-CN"/>
              </w:rPr>
              <w:t xml:space="preserve">being </w:t>
            </w:r>
            <w:r w:rsidR="00374E43" w:rsidRPr="00374E43">
              <w:rPr>
                <w:rFonts w:asciiTheme="minorHAnsi" w:hAnsiTheme="minorHAnsi"/>
                <w:color w:val="000000"/>
                <w:sz w:val="20"/>
                <w:lang w:eastAsia="zh-CN"/>
              </w:rPr>
              <w:t xml:space="preserve">regularly discussed at </w:t>
            </w:r>
            <w:proofErr w:type="spellStart"/>
            <w:r w:rsidR="00374E43" w:rsidRPr="00374E43">
              <w:rPr>
                <w:rFonts w:asciiTheme="minorHAnsi" w:hAnsiTheme="minorHAnsi"/>
                <w:color w:val="000000"/>
                <w:sz w:val="20"/>
                <w:lang w:eastAsia="zh-CN"/>
              </w:rPr>
              <w:t>CoCo</w:t>
            </w:r>
            <w:proofErr w:type="spellEnd"/>
            <w:r w:rsidR="00374E43" w:rsidRPr="00374E43">
              <w:rPr>
                <w:rFonts w:asciiTheme="minorHAnsi" w:hAnsiTheme="minorHAnsi"/>
                <w:color w:val="000000"/>
                <w:sz w:val="20"/>
                <w:lang w:eastAsia="zh-CN"/>
              </w:rPr>
              <w:t xml:space="preserve"> (</w:t>
            </w:r>
            <w:r w:rsidR="00766DA5">
              <w:rPr>
                <w:rFonts w:asciiTheme="minorHAnsi" w:hAnsiTheme="minorHAnsi"/>
                <w:color w:val="000000"/>
                <w:sz w:val="20"/>
                <w:lang w:eastAsia="zh-CN"/>
              </w:rPr>
              <w:t xml:space="preserve">summary records of the Coordination Committee are available at: </w:t>
            </w:r>
            <w:hyperlink r:id="rId35" w:history="1">
              <w:r w:rsidR="00766DA5" w:rsidRPr="006643CB">
                <w:rPr>
                  <w:rStyle w:val="Hyperlink"/>
                  <w:rFonts w:asciiTheme="minorHAnsi" w:hAnsiTheme="minorHAnsi"/>
                  <w:sz w:val="20"/>
                  <w:lang w:eastAsia="zh-CN"/>
                </w:rPr>
                <w:t>http://www.itu.int/en/council/Pages/coco.aspx</w:t>
              </w:r>
            </w:hyperlink>
            <w:r w:rsidR="00766DA5">
              <w:rPr>
                <w:rFonts w:asciiTheme="minorHAnsi" w:hAnsiTheme="minorHAnsi"/>
                <w:color w:val="000000"/>
                <w:sz w:val="20"/>
                <w:lang w:eastAsia="zh-CN"/>
              </w:rPr>
              <w:t xml:space="preserve"> </w:t>
            </w:r>
            <w:r w:rsidR="00374E43" w:rsidRPr="00374E43">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A14A5A9" w14:textId="77777777" w:rsidR="00B66462" w:rsidRPr="00B66462" w:rsidRDefault="00374E43" w:rsidP="001206BA">
            <w:pPr>
              <w:spacing w:before="60"/>
              <w:rPr>
                <w:rFonts w:asciiTheme="minorHAnsi" w:hAnsiTheme="minorHAnsi"/>
                <w:b/>
                <w:bCs/>
                <w:color w:val="000000" w:themeColor="text1"/>
                <w:sz w:val="20"/>
                <w:lang w:eastAsia="zh-CN"/>
              </w:rPr>
            </w:pPr>
            <w:r>
              <w:rPr>
                <w:rFonts w:asciiTheme="minorHAnsi" w:hAnsiTheme="minorHAnsi"/>
                <w:b/>
                <w:bCs/>
                <w:color w:val="000000" w:themeColor="text1"/>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7523FE50" w14:textId="77777777" w:rsidR="00B66462" w:rsidRPr="00B66462" w:rsidRDefault="000C0DC6" w:rsidP="00374E43">
            <w:pPr>
              <w:spacing w:before="60"/>
              <w:rPr>
                <w:rFonts w:asciiTheme="minorHAnsi" w:hAnsiTheme="minorHAnsi"/>
                <w:color w:val="000000"/>
                <w:sz w:val="20"/>
                <w:lang w:eastAsia="zh-CN"/>
              </w:rPr>
            </w:pPr>
            <w:r>
              <w:rPr>
                <w:rFonts w:asciiTheme="minorHAnsi" w:hAnsiTheme="minorHAnsi"/>
                <w:color w:val="000000"/>
                <w:sz w:val="20"/>
                <w:lang w:eastAsia="zh-CN"/>
              </w:rPr>
              <w:t>N/A</w:t>
            </w:r>
          </w:p>
        </w:tc>
      </w:tr>
      <w:tr w:rsidR="00B66462" w:rsidRPr="00B66462" w14:paraId="11D7F07B"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331A6090" w14:textId="77777777"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lastRenderedPageBreak/>
              <w:t>60</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15F73C66" w14:textId="77777777"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In the Inspectors’ opinion, it is important to detail the functions of the ISC-TF in order to differentiate it from existing bodies entrusted with coordination responsibilities. This would help to further enhance its impact and enable it to expand its activities to other areas, in the context of the corporate coordination and cooperation strategy which is to be developed</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8D4C9FE" w14:textId="77777777" w:rsidR="00B66462" w:rsidRPr="00B66462" w:rsidRDefault="00B66462" w:rsidP="001206BA">
            <w:pPr>
              <w:spacing w:before="60"/>
              <w:jc w:val="center"/>
              <w:rPr>
                <w:rFonts w:asciiTheme="minorHAnsi" w:hAnsiTheme="minorHAnsi"/>
                <w:color w:val="000000"/>
                <w:sz w:val="20"/>
                <w:lang w:eastAsia="zh-CN"/>
              </w:rPr>
            </w:pPr>
            <w:proofErr w:type="spellStart"/>
            <w:r w:rsidRPr="00B66462">
              <w:rPr>
                <w:rFonts w:asciiTheme="minorHAnsi" w:hAnsiTheme="minorHAnsi"/>
                <w:color w:val="000000"/>
                <w:sz w:val="20"/>
                <w:lang w:eastAsia="zh-CN"/>
              </w:rPr>
              <w:t>CoCo</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655E88F" w14:textId="77777777"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ISC-TF Terms of Reference were finalized, reviewed and approved by the Coordination Committee (</w:t>
            </w:r>
            <w:proofErr w:type="spellStart"/>
            <w:r w:rsidRPr="00B66462">
              <w:rPr>
                <w:rFonts w:asciiTheme="minorHAnsi" w:hAnsiTheme="minorHAnsi"/>
                <w:sz w:val="20"/>
                <w:lang w:eastAsia="zh-CN"/>
              </w:rPr>
              <w:t>CoCo</w:t>
            </w:r>
            <w:proofErr w:type="spellEnd"/>
            <w:r w:rsidRPr="00B66462">
              <w:rPr>
                <w:rFonts w:asciiTheme="minorHAnsi" w:hAnsiTheme="minorHAnsi"/>
                <w:sz w:val="20"/>
                <w:lang w:eastAsia="zh-CN"/>
              </w:rPr>
              <w:t>), and established by Service Order No. 16/13.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8C7787C" w14:textId="77777777" w:rsidR="00B66462" w:rsidRPr="00B66462" w:rsidRDefault="00B66462" w:rsidP="001206BA">
            <w:pPr>
              <w:spacing w:before="60"/>
              <w:rPr>
                <w:rFonts w:asciiTheme="minorHAnsi" w:hAnsiTheme="minorHAnsi"/>
                <w:b/>
                <w:bCs/>
                <w:color w:val="000000" w:themeColor="text1"/>
                <w:sz w:val="20"/>
                <w:lang w:eastAsia="zh-CN"/>
              </w:rPr>
            </w:pPr>
            <w:r w:rsidRPr="00B66462">
              <w:rPr>
                <w:rFonts w:asciiTheme="minorHAnsi" w:hAnsiTheme="minorHAnsi"/>
                <w:b/>
                <w:bCs/>
                <w:color w:val="000000" w:themeColor="text1"/>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27661247" w14:textId="77777777"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N/A</w:t>
            </w:r>
          </w:p>
        </w:tc>
      </w:tr>
      <w:tr w:rsidR="00B66462" w:rsidRPr="00B66462" w14:paraId="24181275"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24316B7D" w14:textId="77777777"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68</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16F554DB"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believe that each component of the Union should reassess its internal communication mechanisms in order to ensure that appropriate decisions and information are not only shared with stakeholders but also cascaded down to mid-level management and the operational levels in a consistent manner to ensure alignment and coordination across ITU</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CC5231C"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MCG</w:t>
            </w:r>
          </w:p>
        </w:tc>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14:paraId="11E0C2F0" w14:textId="77777777" w:rsidR="00B66462" w:rsidRPr="00B66462" w:rsidRDefault="00B66462">
            <w:pPr>
              <w:rPr>
                <w:rFonts w:asciiTheme="minorHAnsi" w:hAnsiTheme="minorHAnsi"/>
                <w:color w:val="000000"/>
                <w:sz w:val="20"/>
                <w:lang w:eastAsia="zh-CN"/>
              </w:rPr>
            </w:pPr>
            <w:r w:rsidRPr="00B66462">
              <w:rPr>
                <w:rFonts w:asciiTheme="minorHAnsi" w:hAnsiTheme="minorHAnsi"/>
                <w:color w:val="000000"/>
                <w:sz w:val="20"/>
                <w:lang w:eastAsia="zh-CN"/>
              </w:rPr>
              <w:t>MCG discussion</w:t>
            </w:r>
            <w:r w:rsidR="00766DA5">
              <w:rPr>
                <w:rFonts w:asciiTheme="minorHAnsi" w:hAnsiTheme="minorHAnsi"/>
                <w:color w:val="000000"/>
                <w:sz w:val="20"/>
                <w:lang w:eastAsia="zh-CN"/>
              </w:rPr>
              <w:t>s</w:t>
            </w:r>
            <w:r w:rsidRPr="00B66462">
              <w:rPr>
                <w:rFonts w:asciiTheme="minorHAnsi" w:hAnsiTheme="minorHAnsi"/>
                <w:color w:val="000000"/>
                <w:sz w:val="20"/>
                <w:lang w:eastAsia="zh-CN"/>
              </w:rPr>
              <w:t xml:space="preserve"> and decisions </w:t>
            </w:r>
            <w:r w:rsidR="000C0DC6">
              <w:rPr>
                <w:rFonts w:asciiTheme="minorHAnsi" w:hAnsiTheme="minorHAnsi"/>
                <w:color w:val="000000"/>
                <w:sz w:val="20"/>
                <w:lang w:eastAsia="zh-CN"/>
              </w:rPr>
              <w:t>are</w:t>
            </w:r>
            <w:r w:rsidRPr="00B66462">
              <w:rPr>
                <w:rFonts w:asciiTheme="minorHAnsi" w:hAnsiTheme="minorHAnsi"/>
                <w:color w:val="000000"/>
                <w:sz w:val="20"/>
                <w:lang w:eastAsia="zh-CN"/>
              </w:rPr>
              <w:t xml:space="preserve"> disseminated to all management levels</w:t>
            </w:r>
            <w:r w:rsidR="000C0DC6">
              <w:rPr>
                <w:rFonts w:asciiTheme="minorHAnsi" w:hAnsiTheme="minorHAnsi"/>
                <w:color w:val="000000"/>
                <w:sz w:val="20"/>
                <w:lang w:eastAsia="zh-CN"/>
              </w:rPr>
              <w:t xml:space="preserve"> (</w:t>
            </w:r>
            <w:r w:rsidR="00766DA5">
              <w:rPr>
                <w:rFonts w:asciiTheme="minorHAnsi" w:hAnsiTheme="minorHAnsi"/>
                <w:color w:val="000000"/>
                <w:sz w:val="20"/>
                <w:lang w:eastAsia="zh-CN"/>
              </w:rPr>
              <w:t xml:space="preserve">summary records </w:t>
            </w:r>
            <w:r w:rsidR="000C0DC6">
              <w:rPr>
                <w:rFonts w:asciiTheme="minorHAnsi" w:hAnsiTheme="minorHAnsi"/>
                <w:color w:val="000000"/>
                <w:sz w:val="20"/>
                <w:lang w:eastAsia="zh-CN"/>
              </w:rPr>
              <w:t xml:space="preserve">of the MCG meetings </w:t>
            </w:r>
            <w:r w:rsidR="00766DA5">
              <w:rPr>
                <w:rFonts w:asciiTheme="minorHAnsi" w:hAnsiTheme="minorHAnsi"/>
                <w:color w:val="000000"/>
                <w:sz w:val="20"/>
                <w:lang w:eastAsia="zh-CN"/>
              </w:rPr>
              <w:t xml:space="preserve">are available </w:t>
            </w:r>
            <w:r w:rsidR="000C0DC6">
              <w:rPr>
                <w:rFonts w:asciiTheme="minorHAnsi" w:hAnsiTheme="minorHAnsi"/>
                <w:color w:val="000000"/>
                <w:sz w:val="20"/>
                <w:lang w:eastAsia="zh-CN"/>
              </w:rPr>
              <w:t>at:</w:t>
            </w:r>
            <w:r w:rsidR="00374E43">
              <w:rPr>
                <w:rFonts w:asciiTheme="minorHAnsi" w:hAnsiTheme="minorHAnsi"/>
                <w:color w:val="000000"/>
                <w:sz w:val="20"/>
                <w:lang w:eastAsia="zh-CN"/>
              </w:rPr>
              <w:t xml:space="preserve"> </w:t>
            </w:r>
            <w:hyperlink r:id="rId36" w:history="1">
              <w:r w:rsidR="00766DA5" w:rsidRPr="006643CB">
                <w:rPr>
                  <w:rStyle w:val="Hyperlink"/>
                  <w:rFonts w:asciiTheme="minorHAnsi" w:hAnsiTheme="minorHAnsi"/>
                  <w:sz w:val="20"/>
                  <w:lang w:eastAsia="zh-CN"/>
                </w:rPr>
                <w:t>http://www.itu.int/en/council/Pages/mcg.aspx</w:t>
              </w:r>
            </w:hyperlink>
            <w:r w:rsidR="000C0DC6">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6A33BE3" w14:textId="77777777" w:rsidR="00B66462" w:rsidRPr="00B66462" w:rsidRDefault="00374E43" w:rsidP="002B2955">
            <w:pPr>
              <w:rPr>
                <w:rFonts w:asciiTheme="minorHAnsi" w:hAnsiTheme="minorHAnsi"/>
                <w:b/>
                <w:bCs/>
                <w:color w:val="000000" w:themeColor="text1"/>
                <w:sz w:val="20"/>
                <w:lang w:eastAsia="zh-CN"/>
              </w:rPr>
            </w:pPr>
            <w:r>
              <w:rPr>
                <w:rFonts w:asciiTheme="minorHAnsi" w:hAnsiTheme="minorHAnsi"/>
                <w:b/>
                <w:bCs/>
                <w:color w:val="000000" w:themeColor="text1"/>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6F3D7756" w14:textId="77777777" w:rsidR="00B66462" w:rsidRPr="00B66462" w:rsidRDefault="000C0DC6" w:rsidP="002B2955">
            <w:pPr>
              <w:rPr>
                <w:rFonts w:asciiTheme="minorHAnsi" w:hAnsiTheme="minorHAnsi"/>
                <w:sz w:val="20"/>
                <w:lang w:eastAsia="zh-CN"/>
              </w:rPr>
            </w:pPr>
            <w:r>
              <w:rPr>
                <w:rFonts w:asciiTheme="minorHAnsi" w:hAnsiTheme="minorHAnsi"/>
                <w:sz w:val="20"/>
                <w:lang w:eastAsia="zh-CN"/>
              </w:rPr>
              <w:t>N/A</w:t>
            </w:r>
          </w:p>
        </w:tc>
      </w:tr>
      <w:tr w:rsidR="00B66462" w:rsidRPr="00B66462" w14:paraId="0267F23A"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4A88E1DA" w14:textId="77777777"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69</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004D4FC0"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ITU management should conduct staff surveys at regular intervals and use the results as an internal communication and management tool</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0F92D47"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24ABCEE"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 xml:space="preserve">Ongoing process: </w:t>
            </w:r>
            <w:r w:rsidR="00CC65A5">
              <w:rPr>
                <w:rFonts w:asciiTheme="minorHAnsi" w:hAnsiTheme="minorHAnsi"/>
                <w:color w:val="000000"/>
                <w:sz w:val="20"/>
                <w:lang w:eastAsia="zh-CN"/>
              </w:rPr>
              <w:t>One staff survey regarding the h</w:t>
            </w:r>
            <w:r w:rsidRPr="00B66462">
              <w:rPr>
                <w:rFonts w:asciiTheme="minorHAnsi" w:hAnsiTheme="minorHAnsi"/>
                <w:color w:val="000000"/>
                <w:sz w:val="20"/>
                <w:lang w:eastAsia="zh-CN"/>
              </w:rPr>
              <w:t>ealth insurance plan has been launched. A second one is under preparation.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83EF144" w14:textId="77777777" w:rsidR="00B66462" w:rsidRPr="00B66462" w:rsidRDefault="00B66462" w:rsidP="002B2955">
            <w:pPr>
              <w:rPr>
                <w:rFonts w:asciiTheme="minorHAnsi" w:hAnsiTheme="minorHAnsi"/>
                <w:b/>
                <w:bCs/>
                <w:color w:val="000000" w:themeColor="text1"/>
                <w:sz w:val="20"/>
                <w:lang w:eastAsia="zh-CN"/>
              </w:rPr>
            </w:pPr>
            <w:r w:rsidRPr="00B66462">
              <w:rPr>
                <w:rFonts w:asciiTheme="minorHAnsi" w:hAnsiTheme="minorHAnsi"/>
                <w:b/>
                <w:bCs/>
                <w:color w:val="000000" w:themeColor="text1"/>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51BAB2BE" w14:textId="77777777"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N/A</w:t>
            </w:r>
          </w:p>
        </w:tc>
      </w:tr>
      <w:tr w:rsidR="00B66462" w:rsidRPr="00B66462" w14:paraId="473079BC"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68C44E52" w14:textId="77777777"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73</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4DFD82EC"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call for further refinement of these indicators that would enable Member States and ITU management to enhance monitoring capacities and help clarify various aspects of the financial situation of the Union</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1946E21"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FRMD</w:t>
            </w:r>
          </w:p>
        </w:tc>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14:paraId="0651AC07"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sz w:val="20"/>
              </w:rPr>
              <w:t>The key indicators are presented in the Financial Operating Report since 2015. Each year the key indicators will be reviewed, updated and included in the financial operating report</w:t>
            </w:r>
            <w:r w:rsidR="00CC65A5">
              <w:rPr>
                <w:rFonts w:asciiTheme="minorHAnsi" w:hAnsiTheme="minorHAnsi"/>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6413953" w14:textId="77777777" w:rsidR="00B66462" w:rsidRPr="00B66462" w:rsidRDefault="00B66462" w:rsidP="002B2955">
            <w:pPr>
              <w:rPr>
                <w:rFonts w:asciiTheme="minorHAnsi" w:hAnsiTheme="minorHAnsi"/>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0F40E226" w14:textId="77777777"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N/A</w:t>
            </w:r>
          </w:p>
        </w:tc>
      </w:tr>
      <w:tr w:rsidR="00B66462" w:rsidRPr="00B66462" w14:paraId="0FF043E5"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29BB0866" w14:textId="77777777"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92</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073E0880"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These reporting modalities should be enhanced to provide reliable and timely detailed quantitative data, as well as specific information on the actions taken with respect to the contributions. Such reporting would be more transparent and in line with article 34 of the Convention and may contribute in attracting additional funding</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1D8C900"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FRMD</w:t>
            </w:r>
          </w:p>
        </w:tc>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14:paraId="24A3EF2D" w14:textId="77777777" w:rsidR="00B66462" w:rsidRPr="00B66462" w:rsidRDefault="00B66462" w:rsidP="00CC65A5">
            <w:pPr>
              <w:rPr>
                <w:rFonts w:asciiTheme="minorHAnsi" w:hAnsiTheme="minorHAnsi"/>
                <w:color w:val="000000"/>
                <w:sz w:val="20"/>
                <w:lang w:eastAsia="zh-CN"/>
              </w:rPr>
            </w:pPr>
            <w:r w:rsidRPr="00B66462">
              <w:rPr>
                <w:rFonts w:asciiTheme="minorHAnsi" w:hAnsiTheme="minorHAnsi"/>
                <w:color w:val="000000"/>
                <w:sz w:val="20"/>
                <w:lang w:eastAsia="zh-CN"/>
              </w:rPr>
              <w:t xml:space="preserve">The annexes of the financial operating </w:t>
            </w:r>
            <w:r w:rsidR="00CC65A5">
              <w:rPr>
                <w:rFonts w:asciiTheme="minorHAnsi" w:hAnsiTheme="minorHAnsi"/>
                <w:color w:val="000000"/>
                <w:sz w:val="20"/>
                <w:lang w:eastAsia="zh-CN"/>
              </w:rPr>
              <w:t>report presented to the Council</w:t>
            </w:r>
            <w:r w:rsidRPr="00B66462">
              <w:rPr>
                <w:rFonts w:asciiTheme="minorHAnsi" w:hAnsiTheme="minorHAnsi"/>
                <w:color w:val="000000"/>
                <w:sz w:val="20"/>
                <w:lang w:eastAsia="zh-CN"/>
              </w:rPr>
              <w:t xml:space="preserve"> show a very detailed financial information on each ext</w:t>
            </w:r>
            <w:r w:rsidR="00CC65A5">
              <w:rPr>
                <w:rFonts w:asciiTheme="minorHAnsi" w:hAnsiTheme="minorHAnsi"/>
                <w:color w:val="000000"/>
                <w:sz w:val="20"/>
                <w:lang w:eastAsia="zh-CN"/>
              </w:rPr>
              <w:t>ra budgetary contributions. In a</w:t>
            </w:r>
            <w:r w:rsidRPr="00B66462">
              <w:rPr>
                <w:rFonts w:asciiTheme="minorHAnsi" w:hAnsiTheme="minorHAnsi"/>
                <w:color w:val="000000"/>
                <w:sz w:val="20"/>
                <w:lang w:eastAsia="zh-CN"/>
              </w:rPr>
              <w:t>ddi</w:t>
            </w:r>
            <w:r w:rsidR="00CC65A5">
              <w:rPr>
                <w:rFonts w:asciiTheme="minorHAnsi" w:hAnsiTheme="minorHAnsi"/>
                <w:color w:val="000000"/>
                <w:sz w:val="20"/>
                <w:lang w:eastAsia="zh-CN"/>
              </w:rPr>
              <w:t>tion the BDT also presented as an i</w:t>
            </w:r>
            <w:r w:rsidRPr="00B66462">
              <w:rPr>
                <w:rFonts w:asciiTheme="minorHAnsi" w:hAnsiTheme="minorHAnsi"/>
                <w:color w:val="000000"/>
                <w:sz w:val="20"/>
                <w:lang w:eastAsia="zh-CN"/>
              </w:rPr>
              <w:t xml:space="preserve">nfo </w:t>
            </w:r>
            <w:r w:rsidR="00CC65A5">
              <w:rPr>
                <w:rFonts w:asciiTheme="minorHAnsi" w:hAnsiTheme="minorHAnsi"/>
                <w:color w:val="000000"/>
                <w:sz w:val="20"/>
                <w:lang w:eastAsia="zh-CN"/>
              </w:rPr>
              <w:t>d</w:t>
            </w:r>
            <w:r w:rsidRPr="00B66462">
              <w:rPr>
                <w:rFonts w:asciiTheme="minorHAnsi" w:hAnsiTheme="minorHAnsi"/>
                <w:color w:val="000000"/>
                <w:sz w:val="20"/>
                <w:lang w:eastAsia="zh-CN"/>
              </w:rPr>
              <w:t>oc. a situation of all the agreement signed, amounts raised and objectives of the agreements.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01B53A9" w14:textId="77777777"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73654AB7" w14:textId="77777777"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N/A</w:t>
            </w:r>
          </w:p>
        </w:tc>
      </w:tr>
      <w:tr w:rsidR="00B66462" w:rsidRPr="00B66462" w14:paraId="71B21DFC"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0F6973F2" w14:textId="77777777" w:rsidR="00B66462" w:rsidRPr="00521B3D" w:rsidRDefault="00B66462" w:rsidP="002B2955">
            <w:pPr>
              <w:jc w:val="center"/>
              <w:rPr>
                <w:rFonts w:asciiTheme="minorHAnsi" w:hAnsiTheme="minorHAnsi"/>
                <w:b/>
                <w:bCs/>
                <w:color w:val="000000"/>
                <w:sz w:val="20"/>
                <w:lang w:eastAsia="zh-CN"/>
              </w:rPr>
            </w:pPr>
            <w:r w:rsidRPr="00521B3D">
              <w:rPr>
                <w:rFonts w:asciiTheme="minorHAnsi" w:hAnsiTheme="minorHAnsi"/>
                <w:b/>
                <w:bCs/>
                <w:color w:val="000000"/>
                <w:sz w:val="20"/>
                <w:lang w:eastAsia="zh-CN"/>
              </w:rPr>
              <w:t>94</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5B91D6E4" w14:textId="77777777" w:rsidR="00B66462" w:rsidRPr="00521B3D" w:rsidRDefault="00B66462" w:rsidP="002B2955">
            <w:pPr>
              <w:rPr>
                <w:rFonts w:asciiTheme="minorHAnsi" w:hAnsiTheme="minorHAnsi"/>
                <w:color w:val="000000"/>
                <w:sz w:val="20"/>
                <w:lang w:eastAsia="zh-CN"/>
              </w:rPr>
            </w:pPr>
            <w:r w:rsidRPr="00521B3D">
              <w:rPr>
                <w:rFonts w:asciiTheme="minorHAnsi" w:hAnsiTheme="minorHAnsi"/>
                <w:color w:val="000000"/>
                <w:sz w:val="20"/>
                <w:lang w:eastAsia="zh-CN"/>
              </w:rPr>
              <w:t>In the opinion of the Inspectors, the current efforts would benefit from an established Corporate Resource Mobilization Strategy outlining the objectives of fundraising for the Union and its components, as indicated in a recent JIU report.</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4EDC9B7" w14:textId="77777777" w:rsidR="00B66462" w:rsidRPr="00521B3D" w:rsidRDefault="00B66462" w:rsidP="002B2955">
            <w:pPr>
              <w:jc w:val="center"/>
              <w:rPr>
                <w:rFonts w:asciiTheme="minorHAnsi" w:hAnsiTheme="minorHAnsi"/>
                <w:color w:val="000000"/>
                <w:sz w:val="20"/>
                <w:lang w:eastAsia="zh-CN"/>
              </w:rPr>
            </w:pPr>
            <w:proofErr w:type="spellStart"/>
            <w:r w:rsidRPr="00521B3D">
              <w:rPr>
                <w:rFonts w:asciiTheme="minorHAnsi" w:hAnsiTheme="minorHAnsi"/>
                <w:color w:val="000000"/>
                <w:sz w:val="20"/>
                <w:lang w:eastAsia="zh-CN"/>
              </w:rPr>
              <w:t>CoCo</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1601FA3" w14:textId="66743D4D" w:rsidR="00B66462" w:rsidRPr="00521B3D" w:rsidRDefault="007A099B" w:rsidP="005B543E">
            <w:pPr>
              <w:rPr>
                <w:rFonts w:asciiTheme="minorHAnsi" w:hAnsiTheme="minorHAnsi"/>
                <w:sz w:val="20"/>
                <w:lang w:eastAsia="zh-CN"/>
              </w:rPr>
            </w:pPr>
            <w:r w:rsidRPr="007A099B">
              <w:rPr>
                <w:rFonts w:asciiTheme="minorHAnsi" w:hAnsiTheme="minorHAnsi"/>
                <w:sz w:val="20"/>
                <w:lang w:eastAsia="zh-CN"/>
              </w:rPr>
              <w:t xml:space="preserve">The </w:t>
            </w:r>
            <w:r w:rsidR="006B3985">
              <w:rPr>
                <w:rFonts w:asciiTheme="minorHAnsi" w:hAnsiTheme="minorHAnsi"/>
                <w:sz w:val="20"/>
                <w:lang w:eastAsia="zh-CN"/>
              </w:rPr>
              <w:t xml:space="preserve">“Strategic Framework for ITU </w:t>
            </w:r>
            <w:r w:rsidRPr="007A099B">
              <w:rPr>
                <w:rFonts w:asciiTheme="minorHAnsi" w:hAnsiTheme="minorHAnsi"/>
                <w:sz w:val="20"/>
                <w:lang w:eastAsia="zh-CN"/>
              </w:rPr>
              <w:t>Resource Mobilization</w:t>
            </w:r>
            <w:r w:rsidR="006B3985">
              <w:rPr>
                <w:rFonts w:asciiTheme="minorHAnsi" w:hAnsiTheme="minorHAnsi"/>
                <w:sz w:val="20"/>
                <w:lang w:eastAsia="zh-CN"/>
              </w:rPr>
              <w:t>”</w:t>
            </w:r>
            <w:r w:rsidR="005B543E">
              <w:rPr>
                <w:rFonts w:asciiTheme="minorHAnsi" w:hAnsiTheme="minorHAnsi"/>
                <w:sz w:val="20"/>
                <w:lang w:eastAsia="zh-CN"/>
              </w:rPr>
              <w:t xml:space="preserve"> ha</w:t>
            </w:r>
            <w:r w:rsidRPr="007A099B">
              <w:rPr>
                <w:rFonts w:asciiTheme="minorHAnsi" w:hAnsiTheme="minorHAnsi"/>
                <w:sz w:val="20"/>
                <w:lang w:eastAsia="zh-CN"/>
              </w:rPr>
              <w:t>s be</w:t>
            </w:r>
            <w:r w:rsidR="005B543E">
              <w:rPr>
                <w:rFonts w:asciiTheme="minorHAnsi" w:hAnsiTheme="minorHAnsi"/>
                <w:sz w:val="20"/>
                <w:lang w:eastAsia="zh-CN"/>
              </w:rPr>
              <w:t xml:space="preserve">en developed prior to the </w:t>
            </w:r>
            <w:r w:rsidRPr="007A099B">
              <w:rPr>
                <w:rFonts w:asciiTheme="minorHAnsi" w:hAnsiTheme="minorHAnsi"/>
                <w:sz w:val="20"/>
                <w:lang w:eastAsia="zh-CN"/>
              </w:rPr>
              <w:t>2018 Session of Council</w:t>
            </w:r>
            <w:r w:rsidR="00B66462" w:rsidRPr="00521B3D">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FAA85DB" w14:textId="5BD521E2" w:rsidR="00B66462" w:rsidRPr="00521B3D" w:rsidRDefault="0062172A" w:rsidP="00C16F9F">
            <w:pPr>
              <w:rPr>
                <w:rFonts w:asciiTheme="minorHAnsi" w:hAnsiTheme="minorHAnsi"/>
                <w:b/>
                <w:bCs/>
                <w:sz w:val="20"/>
                <w:lang w:eastAsia="zh-CN"/>
              </w:rPr>
            </w:pPr>
            <w:r w:rsidRPr="00521B3D">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5BDE1400" w14:textId="77777777" w:rsidR="00B66462" w:rsidRPr="00521B3D" w:rsidRDefault="00B66462" w:rsidP="002B2955">
            <w:pPr>
              <w:rPr>
                <w:rFonts w:asciiTheme="minorHAnsi" w:hAnsiTheme="minorHAnsi"/>
                <w:sz w:val="20"/>
                <w:lang w:eastAsia="zh-CN"/>
              </w:rPr>
            </w:pPr>
            <w:r w:rsidRPr="00521B3D">
              <w:rPr>
                <w:rFonts w:asciiTheme="minorHAnsi" w:hAnsiTheme="minorHAnsi"/>
                <w:sz w:val="20"/>
                <w:lang w:eastAsia="zh-CN"/>
              </w:rPr>
              <w:t>Council 2018</w:t>
            </w:r>
          </w:p>
        </w:tc>
      </w:tr>
      <w:tr w:rsidR="00B66462" w:rsidRPr="00B66462" w14:paraId="1BFFB30A"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59355284" w14:textId="77777777"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lastRenderedPageBreak/>
              <w:t>103</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6DAB8976"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encourage Member States to participate actively in the work of the CWG SPFP since the elaboration of the strategic plan is an opportunity to provide vision and guide the work of each component of the Union from a strategic perspective</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8C56934"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Council</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7861DB1C" w14:textId="77777777" w:rsidR="00B66462" w:rsidRPr="00B66462" w:rsidRDefault="00483D3F" w:rsidP="000450B7">
            <w:pPr>
              <w:rPr>
                <w:rFonts w:asciiTheme="minorHAnsi" w:hAnsiTheme="minorHAnsi"/>
                <w:sz w:val="20"/>
                <w:lang w:eastAsia="zh-CN"/>
              </w:rPr>
            </w:pPr>
            <w:r>
              <w:rPr>
                <w:rFonts w:asciiTheme="minorHAnsi" w:hAnsiTheme="minorHAnsi"/>
                <w:sz w:val="20"/>
                <w:lang w:eastAsia="zh-CN"/>
              </w:rPr>
              <w:t>The Council Working Group on Strategic and Financial Plans (CWG-SFP)</w:t>
            </w:r>
            <w:r w:rsidR="00B66462" w:rsidRPr="00B66462">
              <w:rPr>
                <w:rFonts w:asciiTheme="minorHAnsi" w:hAnsiTheme="minorHAnsi"/>
                <w:sz w:val="20"/>
                <w:lang w:eastAsia="zh-CN"/>
              </w:rPr>
              <w:t xml:space="preserve"> </w:t>
            </w:r>
            <w:r>
              <w:rPr>
                <w:rFonts w:asciiTheme="minorHAnsi" w:hAnsiTheme="minorHAnsi"/>
                <w:sz w:val="20"/>
                <w:lang w:eastAsia="zh-CN"/>
              </w:rPr>
              <w:t>was</w:t>
            </w:r>
            <w:r w:rsidR="00B66462" w:rsidRPr="00B66462">
              <w:rPr>
                <w:rFonts w:asciiTheme="minorHAnsi" w:hAnsiTheme="minorHAnsi"/>
                <w:sz w:val="20"/>
                <w:lang w:eastAsia="zh-CN"/>
              </w:rPr>
              <w:t xml:space="preserve"> </w:t>
            </w:r>
            <w:r w:rsidR="00CC65A5">
              <w:rPr>
                <w:rFonts w:asciiTheme="minorHAnsi" w:hAnsiTheme="minorHAnsi"/>
                <w:sz w:val="20"/>
                <w:lang w:eastAsia="zh-CN"/>
              </w:rPr>
              <w:t xml:space="preserve">established </w:t>
            </w:r>
            <w:r>
              <w:rPr>
                <w:rFonts w:asciiTheme="minorHAnsi" w:hAnsiTheme="minorHAnsi"/>
                <w:sz w:val="20"/>
                <w:lang w:eastAsia="zh-CN"/>
              </w:rPr>
              <w:t xml:space="preserve">by </w:t>
            </w:r>
            <w:r w:rsidR="00CC65A5">
              <w:rPr>
                <w:rFonts w:asciiTheme="minorHAnsi" w:hAnsiTheme="minorHAnsi"/>
                <w:sz w:val="20"/>
                <w:lang w:eastAsia="zh-CN"/>
              </w:rPr>
              <w:t>C</w:t>
            </w:r>
            <w:r>
              <w:rPr>
                <w:rFonts w:asciiTheme="minorHAnsi" w:hAnsiTheme="minorHAnsi"/>
                <w:sz w:val="20"/>
                <w:lang w:eastAsia="zh-CN"/>
              </w:rPr>
              <w:t>ouncil-</w:t>
            </w:r>
            <w:r w:rsidR="00CC65A5">
              <w:rPr>
                <w:rFonts w:asciiTheme="minorHAnsi" w:hAnsiTheme="minorHAnsi"/>
                <w:sz w:val="20"/>
                <w:lang w:eastAsia="zh-CN"/>
              </w:rPr>
              <w:t xml:space="preserve">17. </w:t>
            </w:r>
            <w:r>
              <w:rPr>
                <w:rFonts w:asciiTheme="minorHAnsi" w:hAnsiTheme="minorHAnsi"/>
                <w:sz w:val="20"/>
                <w:lang w:eastAsia="zh-CN"/>
              </w:rPr>
              <w:t xml:space="preserve">The </w:t>
            </w:r>
            <w:r w:rsidR="00B66462" w:rsidRPr="00B66462">
              <w:rPr>
                <w:rFonts w:asciiTheme="minorHAnsi" w:hAnsiTheme="minorHAnsi"/>
                <w:sz w:val="20"/>
                <w:lang w:eastAsia="zh-CN"/>
              </w:rPr>
              <w:t xml:space="preserve">process </w:t>
            </w:r>
            <w:r>
              <w:rPr>
                <w:rFonts w:asciiTheme="minorHAnsi" w:hAnsiTheme="minorHAnsi"/>
                <w:sz w:val="20"/>
                <w:lang w:eastAsia="zh-CN"/>
              </w:rPr>
              <w:t xml:space="preserve">being followed encourages wide participation and </w:t>
            </w:r>
            <w:r w:rsidR="00B66462" w:rsidRPr="00B66462">
              <w:rPr>
                <w:rFonts w:asciiTheme="minorHAnsi" w:hAnsiTheme="minorHAnsi"/>
                <w:sz w:val="20"/>
                <w:lang w:eastAsia="zh-CN"/>
              </w:rPr>
              <w:t>contributions</w:t>
            </w:r>
            <w:r>
              <w:rPr>
                <w:rFonts w:asciiTheme="minorHAnsi" w:hAnsiTheme="minorHAnsi"/>
                <w:sz w:val="20"/>
                <w:lang w:eastAsia="zh-CN"/>
              </w:rPr>
              <w:t xml:space="preserve">, including </w:t>
            </w:r>
            <w:r w:rsidR="00B66462" w:rsidRPr="00B66462">
              <w:rPr>
                <w:rFonts w:asciiTheme="minorHAnsi" w:hAnsiTheme="minorHAnsi"/>
                <w:sz w:val="20"/>
                <w:lang w:eastAsia="zh-CN"/>
              </w:rPr>
              <w:t xml:space="preserve">open </w:t>
            </w:r>
            <w:r>
              <w:rPr>
                <w:rFonts w:asciiTheme="minorHAnsi" w:hAnsiTheme="minorHAnsi"/>
                <w:sz w:val="20"/>
                <w:lang w:eastAsia="zh-CN"/>
              </w:rPr>
              <w:t xml:space="preserve">and public </w:t>
            </w:r>
            <w:r w:rsidR="00B66462" w:rsidRPr="00B66462">
              <w:rPr>
                <w:rFonts w:asciiTheme="minorHAnsi" w:hAnsiTheme="minorHAnsi"/>
                <w:sz w:val="20"/>
                <w:lang w:eastAsia="zh-CN"/>
              </w:rPr>
              <w:t xml:space="preserve">consultations, </w:t>
            </w:r>
            <w:r>
              <w:rPr>
                <w:rFonts w:asciiTheme="minorHAnsi" w:hAnsiTheme="minorHAnsi"/>
                <w:sz w:val="20"/>
                <w:lang w:eastAsia="zh-CN"/>
              </w:rPr>
              <w:t xml:space="preserve">and </w:t>
            </w:r>
            <w:r w:rsidR="00B66462" w:rsidRPr="00B66462">
              <w:rPr>
                <w:rFonts w:asciiTheme="minorHAnsi" w:hAnsiTheme="minorHAnsi"/>
                <w:sz w:val="20"/>
                <w:lang w:eastAsia="zh-CN"/>
              </w:rPr>
              <w:t xml:space="preserve">Member States </w:t>
            </w:r>
            <w:r w:rsidR="000450B7">
              <w:rPr>
                <w:rFonts w:asciiTheme="minorHAnsi" w:hAnsiTheme="minorHAnsi"/>
                <w:sz w:val="20"/>
                <w:lang w:eastAsia="zh-CN"/>
              </w:rPr>
              <w:t xml:space="preserve">actively participate in the </w:t>
            </w:r>
            <w:r w:rsidR="00B66462" w:rsidRPr="00B66462">
              <w:rPr>
                <w:rFonts w:asciiTheme="minorHAnsi" w:hAnsiTheme="minorHAnsi"/>
                <w:sz w:val="20"/>
                <w:lang w:eastAsia="zh-CN"/>
              </w:rPr>
              <w:t>meetings of the group.</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D1FBE9A" w14:textId="77777777" w:rsidR="00B66462" w:rsidRPr="00B66462" w:rsidRDefault="00374E43" w:rsidP="002B2955">
            <w:pPr>
              <w:rPr>
                <w:rFonts w:asciiTheme="minorHAnsi" w:hAnsiTheme="minorHAnsi"/>
                <w:b/>
                <w:bCs/>
                <w:sz w:val="20"/>
                <w:lang w:eastAsia="zh-CN"/>
              </w:rPr>
            </w:pPr>
            <w:r>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25DFF67C" w14:textId="77777777" w:rsidR="00B66462" w:rsidRPr="00B66462" w:rsidRDefault="000C0DC6" w:rsidP="002B2955">
            <w:pPr>
              <w:rPr>
                <w:rFonts w:asciiTheme="minorHAnsi" w:hAnsiTheme="minorHAnsi"/>
                <w:sz w:val="20"/>
                <w:lang w:eastAsia="zh-CN"/>
              </w:rPr>
            </w:pPr>
            <w:r>
              <w:rPr>
                <w:rFonts w:asciiTheme="minorHAnsi" w:hAnsiTheme="minorHAnsi"/>
                <w:sz w:val="20"/>
                <w:lang w:eastAsia="zh-CN"/>
              </w:rPr>
              <w:t>N/A</w:t>
            </w:r>
          </w:p>
        </w:tc>
      </w:tr>
      <w:tr w:rsidR="00B66462" w:rsidRPr="00B66462" w14:paraId="3A85FE8F"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3B843EC1" w14:textId="77777777"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108</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5B684DD3"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ITU management needs to critically analyse the key performance indicators and reassess whether they accurately measure the results of the work of the organization and its components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B7E7E14" w14:textId="77777777" w:rsidR="00B66462" w:rsidRPr="00B66462" w:rsidRDefault="00B66462" w:rsidP="002B2955">
            <w:pPr>
              <w:jc w:val="center"/>
              <w:rPr>
                <w:rFonts w:asciiTheme="minorHAnsi" w:hAnsiTheme="minorHAnsi"/>
                <w:color w:val="000000"/>
                <w:sz w:val="20"/>
                <w:lang w:eastAsia="zh-CN"/>
              </w:rPr>
            </w:pPr>
            <w:proofErr w:type="spellStart"/>
            <w:r w:rsidRPr="00B66462">
              <w:rPr>
                <w:rFonts w:asciiTheme="minorHAnsi" w:hAnsiTheme="minorHAnsi"/>
                <w:color w:val="000000"/>
                <w:sz w:val="20"/>
                <w:lang w:eastAsia="zh-CN"/>
              </w:rPr>
              <w:t>CoCo</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EB7AAB8" w14:textId="32B70671" w:rsidR="00B66462" w:rsidRPr="00B66462" w:rsidRDefault="00B66462" w:rsidP="00B82FC0">
            <w:pPr>
              <w:rPr>
                <w:rFonts w:asciiTheme="minorHAnsi" w:hAnsiTheme="minorHAnsi"/>
                <w:sz w:val="20"/>
                <w:lang w:eastAsia="zh-CN"/>
              </w:rPr>
            </w:pPr>
            <w:r w:rsidRPr="00B66462">
              <w:rPr>
                <w:rFonts w:asciiTheme="minorHAnsi" w:hAnsiTheme="minorHAnsi"/>
                <w:sz w:val="20"/>
                <w:lang w:eastAsia="zh-CN"/>
              </w:rPr>
              <w:t xml:space="preserve">Reassessment of the KPIs will be conducted </w:t>
            </w:r>
            <w:r w:rsidR="00B82FC0">
              <w:rPr>
                <w:rFonts w:asciiTheme="minorHAnsi" w:hAnsiTheme="minorHAnsi"/>
                <w:sz w:val="20"/>
                <w:lang w:eastAsia="zh-CN"/>
              </w:rPr>
              <w:t xml:space="preserve">following the process of elaboration and adoption </w:t>
            </w:r>
            <w:r w:rsidR="00B82FC0" w:rsidRPr="00B66462">
              <w:rPr>
                <w:rFonts w:asciiTheme="minorHAnsi" w:hAnsiTheme="minorHAnsi"/>
                <w:sz w:val="20"/>
                <w:lang w:eastAsia="zh-CN"/>
              </w:rPr>
              <w:t xml:space="preserve">of the new Strategic Plan for the Union </w:t>
            </w:r>
            <w:r w:rsidR="00B82FC0">
              <w:rPr>
                <w:rFonts w:asciiTheme="minorHAnsi" w:hAnsiTheme="minorHAnsi"/>
                <w:sz w:val="20"/>
                <w:lang w:eastAsia="zh-CN"/>
              </w:rPr>
              <w:t xml:space="preserve">and </w:t>
            </w:r>
            <w:r w:rsidRPr="00B66462">
              <w:rPr>
                <w:rFonts w:asciiTheme="minorHAnsi" w:hAnsiTheme="minorHAnsi"/>
                <w:sz w:val="20"/>
                <w:lang w:eastAsia="zh-CN"/>
              </w:rPr>
              <w:t xml:space="preserve">the </w:t>
            </w:r>
            <w:r w:rsidR="00B82FC0">
              <w:rPr>
                <w:rFonts w:asciiTheme="minorHAnsi" w:hAnsiTheme="minorHAnsi"/>
                <w:sz w:val="20"/>
                <w:lang w:eastAsia="zh-CN"/>
              </w:rPr>
              <w:t xml:space="preserve">subsequent </w:t>
            </w:r>
            <w:r w:rsidRPr="00B66462">
              <w:rPr>
                <w:rFonts w:asciiTheme="minorHAnsi" w:hAnsiTheme="minorHAnsi"/>
                <w:sz w:val="20"/>
                <w:lang w:eastAsia="zh-CN"/>
              </w:rPr>
              <w:t>Operational Planning process.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71D2C6F" w14:textId="77777777"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In progress</w:t>
            </w:r>
          </w:p>
        </w:tc>
        <w:tc>
          <w:tcPr>
            <w:tcW w:w="1700" w:type="dxa"/>
            <w:tcBorders>
              <w:top w:val="single" w:sz="4" w:space="0" w:color="auto"/>
              <w:left w:val="single" w:sz="4" w:space="0" w:color="auto"/>
              <w:bottom w:val="single" w:sz="4" w:space="0" w:color="auto"/>
              <w:right w:val="single" w:sz="4" w:space="0" w:color="auto"/>
            </w:tcBorders>
          </w:tcPr>
          <w:p w14:paraId="353E8520" w14:textId="77777777"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PP-18</w:t>
            </w:r>
          </w:p>
        </w:tc>
      </w:tr>
      <w:tr w:rsidR="00B66462" w:rsidRPr="00B66462" w14:paraId="731911DC"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418376EF" w14:textId="77777777"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109</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6B76977F"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stress the need for Member States to closely follow the reporting of each component of the Union, by engaging in a thorough review of the implementation of the strategic plan at the Council.</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F9ED9D3"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Council</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C1742B4" w14:textId="77777777" w:rsidR="00B66462" w:rsidRPr="00B66462" w:rsidRDefault="00B66462" w:rsidP="007869AF">
            <w:pPr>
              <w:rPr>
                <w:rFonts w:asciiTheme="minorHAnsi" w:hAnsiTheme="minorHAnsi"/>
                <w:sz w:val="20"/>
                <w:lang w:eastAsia="zh-CN"/>
              </w:rPr>
            </w:pPr>
            <w:r w:rsidRPr="00B66462">
              <w:rPr>
                <w:rFonts w:asciiTheme="minorHAnsi" w:hAnsiTheme="minorHAnsi"/>
                <w:sz w:val="20"/>
                <w:lang w:eastAsia="zh-CN"/>
              </w:rPr>
              <w:t>Doc.</w:t>
            </w:r>
            <w:r w:rsidR="007869AF">
              <w:rPr>
                <w:rFonts w:asciiTheme="minorHAnsi" w:hAnsiTheme="minorHAnsi"/>
                <w:sz w:val="20"/>
                <w:lang w:eastAsia="zh-CN"/>
              </w:rPr>
              <w:t xml:space="preserve"> </w:t>
            </w:r>
            <w:r w:rsidRPr="00B66462">
              <w:rPr>
                <w:rFonts w:asciiTheme="minorHAnsi" w:hAnsiTheme="minorHAnsi"/>
                <w:sz w:val="20"/>
                <w:lang w:eastAsia="zh-CN"/>
              </w:rPr>
              <w:t xml:space="preserve">35 (ITU annual progress report) and its website version includes reporting of all components of the Union. The report is reviewed by </w:t>
            </w:r>
            <w:r w:rsidR="00A302F3">
              <w:rPr>
                <w:rFonts w:asciiTheme="minorHAnsi" w:hAnsiTheme="minorHAnsi"/>
                <w:sz w:val="20"/>
                <w:lang w:eastAsia="zh-CN"/>
              </w:rPr>
              <w:t xml:space="preserve">the </w:t>
            </w:r>
            <w:r w:rsidRPr="00B66462">
              <w:rPr>
                <w:rFonts w:asciiTheme="minorHAnsi" w:hAnsiTheme="minorHAnsi"/>
                <w:sz w:val="20"/>
                <w:lang w:eastAsia="zh-CN"/>
              </w:rPr>
              <w:t>Council. (</w:t>
            </w:r>
            <w:hyperlink r:id="rId37" w:history="1">
              <w:r w:rsidRPr="002B2955">
                <w:rPr>
                  <w:rStyle w:val="Hyperlink"/>
                  <w:rFonts w:asciiTheme="minorHAnsi" w:hAnsiTheme="minorHAnsi"/>
                  <w:sz w:val="20"/>
                  <w:lang w:eastAsia="zh-CN"/>
                </w:rPr>
                <w:t>C17/35</w:t>
              </w:r>
            </w:hyperlink>
            <w:r w:rsidRPr="00B66462">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366BF12" w14:textId="77777777"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07BCDA8D" w14:textId="77777777"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N/A</w:t>
            </w:r>
          </w:p>
        </w:tc>
      </w:tr>
      <w:tr w:rsidR="00B66462" w:rsidRPr="00B66462" w14:paraId="6F5E295F"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23CF1F6F" w14:textId="77777777"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116</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5BF59833"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stress it is imperative that governing bodies exercise their role in overseeing an effective risk management process</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7DCC32D"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Council / CWG-FHR</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B388FB4" w14:textId="77777777"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 xml:space="preserve">CWG-FHR includes Risk management as part of its mandate, while IMAC has an advisory role in the process. </w:t>
            </w:r>
            <w:r w:rsidR="00A302F3">
              <w:rPr>
                <w:rFonts w:asciiTheme="minorHAnsi" w:hAnsiTheme="minorHAnsi"/>
                <w:sz w:val="20"/>
                <w:lang w:eastAsia="zh-CN"/>
              </w:rPr>
              <w:t xml:space="preserve">The </w:t>
            </w:r>
            <w:r w:rsidRPr="00B66462">
              <w:rPr>
                <w:rFonts w:asciiTheme="minorHAnsi" w:hAnsiTheme="minorHAnsi"/>
                <w:sz w:val="20"/>
                <w:lang w:eastAsia="zh-CN"/>
              </w:rPr>
              <w:t xml:space="preserve">Council reviews the risk registers through the Operational Plans, while the ITU Risk management policy and Risk appetite statement are presented to </w:t>
            </w:r>
            <w:r w:rsidR="00A302F3">
              <w:rPr>
                <w:rFonts w:asciiTheme="minorHAnsi" w:hAnsiTheme="minorHAnsi"/>
                <w:sz w:val="20"/>
                <w:lang w:eastAsia="zh-CN"/>
              </w:rPr>
              <w:t xml:space="preserve">the </w:t>
            </w:r>
            <w:r w:rsidRPr="00B66462">
              <w:rPr>
                <w:rFonts w:asciiTheme="minorHAnsi" w:hAnsiTheme="minorHAnsi"/>
                <w:sz w:val="20"/>
                <w:lang w:eastAsia="zh-CN"/>
              </w:rPr>
              <w:t>Council (see Rec.6 above).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3EDDE0E" w14:textId="77777777"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076CAE0F" w14:textId="77777777"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N/A</w:t>
            </w:r>
          </w:p>
        </w:tc>
      </w:tr>
      <w:tr w:rsidR="00B66462" w:rsidRPr="00B66462" w14:paraId="276F2347"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0A661CFF" w14:textId="77777777"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118</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0A73234E"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found, however, that the reports were too descriptive; they encourage ITU management to further enhance the qualitative analysis to be presented to the Member States.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E1E1171"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14:paraId="62901F66"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sz w:val="20"/>
                <w:lang w:eastAsia="zh-CN"/>
              </w:rPr>
              <w:t xml:space="preserve">Addressed by the </w:t>
            </w:r>
            <w:r w:rsidR="00584200">
              <w:rPr>
                <w:rFonts w:asciiTheme="minorHAnsi" w:hAnsiTheme="minorHAnsi"/>
                <w:sz w:val="20"/>
                <w:lang w:eastAsia="zh-CN"/>
              </w:rPr>
              <w:t>“</w:t>
            </w:r>
            <w:r w:rsidRPr="00B66462">
              <w:rPr>
                <w:rFonts w:asciiTheme="minorHAnsi" w:hAnsiTheme="minorHAnsi"/>
                <w:sz w:val="20"/>
                <w:lang w:eastAsia="zh-CN"/>
              </w:rPr>
              <w:t>Progress report on the implementation of t</w:t>
            </w:r>
            <w:r w:rsidR="00A302F3">
              <w:rPr>
                <w:rFonts w:asciiTheme="minorHAnsi" w:hAnsiTheme="minorHAnsi"/>
                <w:sz w:val="20"/>
                <w:lang w:eastAsia="zh-CN"/>
              </w:rPr>
              <w:t>he HR Strategic Plan and of Resolution</w:t>
            </w:r>
            <w:r w:rsidRPr="00B66462">
              <w:rPr>
                <w:rFonts w:asciiTheme="minorHAnsi" w:hAnsiTheme="minorHAnsi"/>
                <w:sz w:val="20"/>
                <w:lang w:eastAsia="zh-CN"/>
              </w:rPr>
              <w:t xml:space="preserve"> 48 (Rev. Busan</w:t>
            </w:r>
            <w:r w:rsidR="00A302F3">
              <w:rPr>
                <w:rFonts w:asciiTheme="minorHAnsi" w:hAnsiTheme="minorHAnsi"/>
                <w:sz w:val="20"/>
                <w:lang w:eastAsia="zh-CN"/>
              </w:rPr>
              <w:t>, 2014</w:t>
            </w:r>
            <w:r w:rsidRPr="00B66462">
              <w:rPr>
                <w:rFonts w:asciiTheme="minorHAnsi" w:hAnsiTheme="minorHAnsi"/>
                <w:sz w:val="20"/>
                <w:lang w:eastAsia="zh-CN"/>
              </w:rPr>
              <w:t>)</w:t>
            </w:r>
            <w:r w:rsidR="00584200">
              <w:rPr>
                <w:rFonts w:asciiTheme="minorHAnsi" w:hAnsiTheme="minorHAnsi"/>
                <w:sz w:val="20"/>
                <w:lang w:eastAsia="zh-CN"/>
              </w:rPr>
              <w:t>”</w:t>
            </w:r>
            <w:r w:rsidRPr="00B66462">
              <w:rPr>
                <w:rFonts w:asciiTheme="minorHAnsi" w:hAnsiTheme="minorHAnsi"/>
                <w:sz w:val="20"/>
                <w:lang w:eastAsia="zh-CN"/>
              </w:rPr>
              <w:t xml:space="preserve"> (</w:t>
            </w:r>
            <w:r w:rsidRPr="00B66462">
              <w:rPr>
                <w:rFonts w:asciiTheme="minorHAnsi" w:hAnsiTheme="minorHAnsi"/>
                <w:color w:val="000000"/>
                <w:sz w:val="20"/>
                <w:lang w:eastAsia="zh-CN"/>
              </w:rPr>
              <w:t xml:space="preserve">Doc. </w:t>
            </w:r>
            <w:hyperlink r:id="rId38" w:history="1">
              <w:r w:rsidRPr="002B2955">
                <w:rPr>
                  <w:rStyle w:val="Hyperlink"/>
                  <w:rFonts w:asciiTheme="minorHAnsi" w:hAnsiTheme="minorHAnsi"/>
                  <w:sz w:val="20"/>
                  <w:lang w:eastAsia="zh-CN"/>
                </w:rPr>
                <w:t>C17/53</w:t>
              </w:r>
            </w:hyperlink>
            <w:r w:rsidRPr="00B66462">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E1175EE" w14:textId="77777777"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0EE5F831"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N/A</w:t>
            </w:r>
          </w:p>
        </w:tc>
      </w:tr>
      <w:tr w:rsidR="00B66462" w:rsidRPr="00B66462" w14:paraId="6B11D2BF"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6DA92C76" w14:textId="77777777" w:rsidR="00B66462" w:rsidRPr="00C16F9F" w:rsidRDefault="00B66462" w:rsidP="002B2955">
            <w:pPr>
              <w:jc w:val="center"/>
              <w:rPr>
                <w:rFonts w:asciiTheme="minorHAnsi" w:hAnsiTheme="minorHAnsi"/>
                <w:b/>
                <w:bCs/>
                <w:color w:val="000000"/>
                <w:sz w:val="20"/>
                <w:lang w:eastAsia="zh-CN"/>
              </w:rPr>
            </w:pPr>
            <w:r w:rsidRPr="00C16F9F">
              <w:rPr>
                <w:rFonts w:asciiTheme="minorHAnsi" w:hAnsiTheme="minorHAnsi"/>
                <w:b/>
                <w:bCs/>
                <w:color w:val="000000"/>
                <w:sz w:val="20"/>
                <w:lang w:eastAsia="zh-CN"/>
              </w:rPr>
              <w:t>138</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0E1BAAA0" w14:textId="77777777" w:rsidR="00B66462" w:rsidRPr="00C16F9F" w:rsidRDefault="00B66462" w:rsidP="002B2955">
            <w:pPr>
              <w:rPr>
                <w:rFonts w:asciiTheme="minorHAnsi" w:hAnsiTheme="minorHAnsi"/>
                <w:color w:val="000000"/>
                <w:sz w:val="20"/>
                <w:lang w:eastAsia="zh-CN"/>
              </w:rPr>
            </w:pPr>
            <w:r w:rsidRPr="00C16F9F">
              <w:rPr>
                <w:rFonts w:asciiTheme="minorHAnsi" w:hAnsiTheme="minorHAnsi"/>
                <w:color w:val="000000"/>
                <w:sz w:val="20"/>
                <w:lang w:eastAsia="zh-CN"/>
              </w:rPr>
              <w:t>The Inspectors recommend that an in-depth evaluation be made of the implementation of the current plan, in order to use relevant findings and conclusions as an important input for preparing the next human resources strategic plan.</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66D6410" w14:textId="77777777" w:rsidR="00B66462" w:rsidRPr="00C16F9F" w:rsidRDefault="00B66462" w:rsidP="002B2955">
            <w:pPr>
              <w:jc w:val="center"/>
              <w:rPr>
                <w:rFonts w:asciiTheme="minorHAnsi" w:hAnsiTheme="minorHAnsi"/>
                <w:color w:val="000000"/>
                <w:sz w:val="20"/>
                <w:lang w:eastAsia="zh-CN"/>
              </w:rPr>
            </w:pPr>
            <w:r w:rsidRPr="00C16F9F">
              <w:rPr>
                <w:rFonts w:asciiTheme="minorHAnsi" w:hAnsiTheme="minorHAnsi"/>
                <w:color w:val="000000"/>
                <w:sz w:val="20"/>
                <w:lang w:eastAsia="zh-CN"/>
              </w:rPr>
              <w:t>HRMD</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DA48C89" w14:textId="4A6DEA89" w:rsidR="001C4F6D" w:rsidRPr="00C16F9F" w:rsidRDefault="00C16F9F" w:rsidP="00C16F9F">
            <w:pPr>
              <w:rPr>
                <w:rFonts w:asciiTheme="minorHAnsi" w:hAnsiTheme="minorHAnsi"/>
                <w:color w:val="000000"/>
                <w:sz w:val="20"/>
                <w:lang w:eastAsia="zh-CN"/>
              </w:rPr>
            </w:pPr>
            <w:r w:rsidRPr="00C16F9F">
              <w:rPr>
                <w:rFonts w:asciiTheme="minorHAnsi" w:hAnsiTheme="minorHAnsi"/>
                <w:color w:val="000000"/>
                <w:sz w:val="20"/>
                <w:lang w:eastAsia="zh-CN"/>
              </w:rPr>
              <w:t xml:space="preserve">The evaluation of the implementation of </w:t>
            </w:r>
            <w:r>
              <w:rPr>
                <w:rFonts w:asciiTheme="minorHAnsi" w:hAnsiTheme="minorHAnsi"/>
                <w:color w:val="000000"/>
                <w:sz w:val="20"/>
                <w:lang w:eastAsia="zh-CN"/>
              </w:rPr>
              <w:t xml:space="preserve">the </w:t>
            </w:r>
            <w:r w:rsidRPr="00C16F9F">
              <w:rPr>
                <w:rFonts w:asciiTheme="minorHAnsi" w:hAnsiTheme="minorHAnsi"/>
                <w:color w:val="000000"/>
                <w:sz w:val="20"/>
                <w:lang w:eastAsia="zh-CN"/>
              </w:rPr>
              <w:t xml:space="preserve">plan is </w:t>
            </w:r>
            <w:r>
              <w:rPr>
                <w:rFonts w:asciiTheme="minorHAnsi" w:hAnsiTheme="minorHAnsi"/>
                <w:color w:val="000000"/>
                <w:sz w:val="20"/>
                <w:lang w:eastAsia="zh-CN"/>
              </w:rPr>
              <w:t xml:space="preserve">considered </w:t>
            </w:r>
            <w:r w:rsidRPr="00C16F9F">
              <w:rPr>
                <w:rFonts w:asciiTheme="minorHAnsi" w:hAnsiTheme="minorHAnsi"/>
                <w:color w:val="000000"/>
                <w:sz w:val="20"/>
                <w:lang w:eastAsia="zh-CN"/>
              </w:rPr>
              <w:t>in the annual report to Council</w:t>
            </w:r>
            <w:r>
              <w:rPr>
                <w:rFonts w:asciiTheme="minorHAnsi" w:hAnsiTheme="minorHAnsi"/>
                <w:color w:val="000000"/>
                <w:sz w:val="20"/>
                <w:lang w:eastAsia="zh-CN"/>
              </w:rPr>
              <w:t xml:space="preserve"> </w:t>
            </w:r>
            <w:r w:rsidRPr="00C16F9F">
              <w:rPr>
                <w:rFonts w:asciiTheme="minorHAnsi" w:hAnsiTheme="minorHAnsi"/>
                <w:color w:val="000000"/>
                <w:sz w:val="20"/>
                <w:lang w:eastAsia="zh-CN"/>
              </w:rPr>
              <w:t>“Progress report on the implementation of the HR Strategic Plan and of Resolution 48 (Rev. Busan, 2014)</w:t>
            </w:r>
            <w:r>
              <w:rPr>
                <w:rFonts w:asciiTheme="minorHAnsi" w:hAnsiTheme="minorHAnsi"/>
                <w:color w:val="000000"/>
                <w:sz w:val="20"/>
                <w:lang w:eastAsia="zh-CN"/>
              </w:rPr>
              <w:t>”</w:t>
            </w:r>
            <w:r w:rsidRPr="00C16F9F">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CB02BA0" w14:textId="187F54EA" w:rsidR="00B66462" w:rsidRPr="00C16F9F" w:rsidRDefault="001C4F6D" w:rsidP="00C16F9F">
            <w:pPr>
              <w:rPr>
                <w:rFonts w:asciiTheme="minorHAnsi" w:hAnsiTheme="minorHAnsi"/>
                <w:b/>
                <w:bCs/>
                <w:sz w:val="20"/>
                <w:lang w:eastAsia="zh-CN"/>
              </w:rPr>
            </w:pPr>
            <w:r w:rsidRPr="00C16F9F">
              <w:rPr>
                <w:rFonts w:asciiTheme="minorHAnsi" w:hAnsiTheme="minorHAnsi"/>
                <w:b/>
                <w:bCs/>
                <w:sz w:val="20"/>
                <w:lang w:eastAsia="zh-CN"/>
              </w:rPr>
              <w:t>I</w:t>
            </w:r>
            <w:r w:rsidR="00C820D5" w:rsidRPr="00C16F9F">
              <w:rPr>
                <w:rFonts w:asciiTheme="minorHAnsi" w:hAnsiTheme="minorHAnsi"/>
                <w:b/>
                <w:bCs/>
                <w:sz w:val="20"/>
                <w:lang w:eastAsia="zh-CN"/>
              </w:rPr>
              <w:t>m</w:t>
            </w:r>
            <w:r w:rsidRPr="00C16F9F">
              <w:rPr>
                <w:rFonts w:asciiTheme="minorHAnsi" w:hAnsiTheme="minorHAnsi"/>
                <w:b/>
                <w:bCs/>
                <w:sz w:val="20"/>
                <w:lang w:eastAsia="zh-CN"/>
              </w:rPr>
              <w:t xml:space="preserve">plemented </w:t>
            </w:r>
          </w:p>
        </w:tc>
        <w:tc>
          <w:tcPr>
            <w:tcW w:w="1700" w:type="dxa"/>
            <w:tcBorders>
              <w:top w:val="single" w:sz="4" w:space="0" w:color="auto"/>
              <w:left w:val="single" w:sz="4" w:space="0" w:color="auto"/>
              <w:bottom w:val="single" w:sz="4" w:space="0" w:color="auto"/>
              <w:right w:val="single" w:sz="4" w:space="0" w:color="auto"/>
            </w:tcBorders>
          </w:tcPr>
          <w:p w14:paraId="3D867A62" w14:textId="77777777" w:rsidR="00B66462" w:rsidRPr="00A64CE6" w:rsidRDefault="00B66462" w:rsidP="002B2955">
            <w:pPr>
              <w:rPr>
                <w:rFonts w:asciiTheme="minorHAnsi" w:hAnsiTheme="minorHAnsi"/>
                <w:sz w:val="20"/>
                <w:lang w:eastAsia="zh-CN"/>
              </w:rPr>
            </w:pPr>
            <w:r w:rsidRPr="00C16F9F">
              <w:rPr>
                <w:rFonts w:asciiTheme="minorHAnsi" w:hAnsiTheme="minorHAnsi"/>
                <w:sz w:val="20"/>
                <w:lang w:eastAsia="zh-CN"/>
              </w:rPr>
              <w:t>Council 2018</w:t>
            </w:r>
          </w:p>
        </w:tc>
      </w:tr>
      <w:tr w:rsidR="00B66462" w:rsidRPr="00B66462" w14:paraId="0451376A"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25CEDEBA" w14:textId="77777777"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145</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0C434A6F"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call upon ITU management to finalize and implement the principles outlining the appraisal system, building on existing internal initiatives such as the revamping of the ITU competency framework and the mainstreaming of results-based management</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C8B3508"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37E29EE"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new system implementation project was launched in January 2017.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A1B67E1" w14:textId="77777777"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786CE319" w14:textId="77777777" w:rsidR="00B66462" w:rsidRPr="00A64CE6" w:rsidRDefault="00B66462" w:rsidP="002B2955">
            <w:pPr>
              <w:rPr>
                <w:rFonts w:asciiTheme="minorHAnsi" w:hAnsiTheme="minorHAnsi"/>
                <w:sz w:val="20"/>
                <w:lang w:eastAsia="zh-CN"/>
              </w:rPr>
            </w:pPr>
            <w:r w:rsidRPr="00A64CE6">
              <w:rPr>
                <w:rFonts w:asciiTheme="minorHAnsi" w:hAnsiTheme="minorHAnsi"/>
                <w:sz w:val="20"/>
                <w:lang w:eastAsia="zh-CN"/>
              </w:rPr>
              <w:t>N/A</w:t>
            </w:r>
          </w:p>
        </w:tc>
      </w:tr>
      <w:tr w:rsidR="00B66462" w:rsidRPr="00B66462" w14:paraId="75EEE18D"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3AC77E67" w14:textId="77777777" w:rsidR="00B66462" w:rsidRPr="00DB5235" w:rsidRDefault="00B66462" w:rsidP="002B2955">
            <w:pPr>
              <w:jc w:val="center"/>
              <w:rPr>
                <w:rFonts w:asciiTheme="minorHAnsi" w:hAnsiTheme="minorHAnsi"/>
                <w:b/>
                <w:bCs/>
                <w:color w:val="000000"/>
                <w:sz w:val="20"/>
                <w:lang w:eastAsia="zh-CN"/>
              </w:rPr>
            </w:pPr>
            <w:r w:rsidRPr="00DB5235">
              <w:rPr>
                <w:rFonts w:asciiTheme="minorHAnsi" w:hAnsiTheme="minorHAnsi"/>
                <w:b/>
                <w:bCs/>
                <w:color w:val="000000"/>
                <w:sz w:val="20"/>
                <w:lang w:eastAsia="zh-CN"/>
              </w:rPr>
              <w:lastRenderedPageBreak/>
              <w:t>149</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1249054B" w14:textId="77777777" w:rsidR="00B66462" w:rsidRPr="00DB5235" w:rsidRDefault="00B66462" w:rsidP="002B2955">
            <w:pPr>
              <w:rPr>
                <w:rFonts w:asciiTheme="minorHAnsi" w:hAnsiTheme="minorHAnsi"/>
                <w:color w:val="000000"/>
                <w:sz w:val="20"/>
                <w:lang w:eastAsia="zh-CN"/>
              </w:rPr>
            </w:pPr>
            <w:r w:rsidRPr="00DB5235">
              <w:rPr>
                <w:rFonts w:asciiTheme="minorHAnsi" w:hAnsiTheme="minorHAnsi"/>
                <w:color w:val="000000"/>
                <w:sz w:val="20"/>
                <w:lang w:eastAsia="zh-CN"/>
              </w:rPr>
              <w:t>In the opinion of the Inspectors, ITU management should develop a set of criteria better defining the rationales for internal versus external recruitment processes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65CD9DA" w14:textId="77777777" w:rsidR="00B66462" w:rsidRPr="00DB5235" w:rsidRDefault="00B66462" w:rsidP="002B2955">
            <w:pPr>
              <w:jc w:val="center"/>
              <w:rPr>
                <w:rFonts w:asciiTheme="minorHAnsi" w:hAnsiTheme="minorHAnsi"/>
                <w:color w:val="000000"/>
                <w:sz w:val="20"/>
                <w:lang w:eastAsia="zh-CN"/>
              </w:rPr>
            </w:pPr>
            <w:r w:rsidRPr="00DB5235">
              <w:rPr>
                <w:rFonts w:asciiTheme="minorHAnsi" w:hAnsiTheme="minorHAnsi"/>
                <w:color w:val="000000"/>
                <w:sz w:val="20"/>
                <w:lang w:eastAsia="zh-CN"/>
              </w:rPr>
              <w:t>HRMD</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31E3E3D" w14:textId="67E94915" w:rsidR="00B66462" w:rsidRPr="00DB5235" w:rsidRDefault="00DB5235" w:rsidP="002B2955">
            <w:pPr>
              <w:rPr>
                <w:rFonts w:asciiTheme="minorHAnsi" w:hAnsiTheme="minorHAnsi"/>
                <w:color w:val="000000"/>
                <w:sz w:val="20"/>
                <w:lang w:eastAsia="zh-CN"/>
              </w:rPr>
            </w:pPr>
            <w:r w:rsidRPr="00DB5235">
              <w:rPr>
                <w:rFonts w:asciiTheme="minorHAnsi" w:hAnsiTheme="minorHAnsi"/>
                <w:color w:val="000000"/>
                <w:sz w:val="20"/>
                <w:lang w:eastAsia="zh-CN"/>
              </w:rPr>
              <w:t>A set of criteria for internal versus external recruitment processes have been identified, as part of the overall review of the recruitment process</w:t>
            </w:r>
            <w:proofErr w:type="gramStart"/>
            <w:r w:rsidRPr="00DB5235">
              <w:rPr>
                <w:rFonts w:asciiTheme="minorHAnsi" w:hAnsiTheme="minorHAnsi"/>
                <w:color w:val="000000"/>
                <w:sz w:val="20"/>
                <w:lang w:eastAsia="zh-CN"/>
              </w:rPr>
              <w:t>.</w:t>
            </w:r>
            <w:r w:rsidR="00B66462" w:rsidRPr="00DB5235">
              <w:rPr>
                <w:rFonts w:asciiTheme="minorHAnsi" w:hAnsiTheme="minorHAnsi"/>
                <w:color w:val="000000"/>
                <w:sz w:val="20"/>
                <w:lang w:eastAsia="zh-CN"/>
              </w:rPr>
              <w:t>.</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A466CEC" w14:textId="46F307B8" w:rsidR="00B66462" w:rsidRPr="00DB5235" w:rsidRDefault="00975FAB" w:rsidP="002B2955">
            <w:pPr>
              <w:rPr>
                <w:rFonts w:asciiTheme="minorHAnsi" w:hAnsiTheme="minorHAnsi"/>
                <w:b/>
                <w:bCs/>
                <w:sz w:val="20"/>
                <w:lang w:eastAsia="zh-CN"/>
              </w:rPr>
            </w:pPr>
            <w:r w:rsidRPr="00DB5235">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3ACD6D82" w14:textId="1939515C" w:rsidR="00B66462" w:rsidRPr="00DB5235" w:rsidRDefault="0040150C" w:rsidP="002B2955">
            <w:pPr>
              <w:rPr>
                <w:rFonts w:asciiTheme="minorHAnsi" w:hAnsiTheme="minorHAnsi"/>
                <w:sz w:val="20"/>
                <w:lang w:eastAsia="zh-CN"/>
              </w:rPr>
            </w:pPr>
            <w:r w:rsidRPr="00DB5235">
              <w:rPr>
                <w:rFonts w:asciiTheme="minorHAnsi" w:hAnsiTheme="minorHAnsi"/>
                <w:sz w:val="20"/>
                <w:lang w:eastAsia="zh-CN"/>
              </w:rPr>
              <w:t>Council 2018</w:t>
            </w:r>
          </w:p>
        </w:tc>
      </w:tr>
      <w:tr w:rsidR="00B66462" w:rsidRPr="00B66462" w14:paraId="54AD689F"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684FC971" w14:textId="77777777" w:rsidR="00B66462" w:rsidRPr="00A6272C" w:rsidRDefault="00B66462" w:rsidP="002B2955">
            <w:pPr>
              <w:jc w:val="center"/>
              <w:rPr>
                <w:rFonts w:asciiTheme="minorHAnsi" w:hAnsiTheme="minorHAnsi"/>
                <w:b/>
                <w:bCs/>
                <w:color w:val="000000"/>
                <w:sz w:val="20"/>
                <w:lang w:eastAsia="zh-CN"/>
              </w:rPr>
            </w:pPr>
            <w:r w:rsidRPr="00A6272C">
              <w:rPr>
                <w:rFonts w:asciiTheme="minorHAnsi" w:hAnsiTheme="minorHAnsi"/>
                <w:b/>
                <w:bCs/>
                <w:color w:val="000000"/>
                <w:sz w:val="20"/>
                <w:lang w:eastAsia="zh-CN"/>
              </w:rPr>
              <w:t>151</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57EFF18E" w14:textId="77777777" w:rsidR="00B66462" w:rsidRPr="00A6272C" w:rsidRDefault="00B66462" w:rsidP="002B2955">
            <w:pPr>
              <w:rPr>
                <w:rFonts w:asciiTheme="minorHAnsi" w:hAnsiTheme="minorHAnsi"/>
                <w:color w:val="000000"/>
                <w:sz w:val="20"/>
                <w:lang w:eastAsia="zh-CN"/>
              </w:rPr>
            </w:pPr>
            <w:r w:rsidRPr="00A6272C">
              <w:rPr>
                <w:rFonts w:asciiTheme="minorHAnsi" w:hAnsiTheme="minorHAnsi"/>
                <w:color w:val="000000"/>
                <w:sz w:val="20"/>
                <w:lang w:eastAsia="zh-CN"/>
              </w:rPr>
              <w:t>The Secretary-General should develop and promulgate an organization wide learning and development policy and present it to the 2017 session of the Council for endorsement</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B12B7F1" w14:textId="77777777" w:rsidR="00B66462" w:rsidRPr="00A6272C" w:rsidRDefault="00B66462" w:rsidP="002B2955">
            <w:pPr>
              <w:jc w:val="center"/>
              <w:rPr>
                <w:rFonts w:asciiTheme="minorHAnsi" w:hAnsiTheme="minorHAnsi"/>
                <w:color w:val="000000"/>
                <w:sz w:val="20"/>
                <w:lang w:eastAsia="zh-CN"/>
              </w:rPr>
            </w:pPr>
            <w:r w:rsidRPr="00A6272C">
              <w:rPr>
                <w:rFonts w:asciiTheme="minorHAnsi" w:hAnsiTheme="minorHAnsi"/>
                <w:color w:val="000000"/>
                <w:sz w:val="20"/>
                <w:lang w:eastAsia="zh-CN"/>
              </w:rPr>
              <w:t>HRMD</w:t>
            </w:r>
          </w:p>
        </w:tc>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14:paraId="08276CD9" w14:textId="581525AA" w:rsidR="00B66462" w:rsidRPr="00A6272C" w:rsidRDefault="00A6272C" w:rsidP="00A6272C">
            <w:pPr>
              <w:rPr>
                <w:rFonts w:asciiTheme="minorHAnsi" w:hAnsiTheme="minorHAnsi"/>
                <w:color w:val="000000"/>
                <w:sz w:val="20"/>
                <w:lang w:eastAsia="zh-CN"/>
              </w:rPr>
            </w:pPr>
            <w:r w:rsidRPr="00A6272C">
              <w:rPr>
                <w:rFonts w:asciiTheme="minorHAnsi" w:hAnsiTheme="minorHAnsi"/>
                <w:sz w:val="20"/>
                <w:lang w:eastAsia="zh-CN"/>
              </w:rPr>
              <w:t>The new policy approach has been established taking into account inputs from the Bureau</w:t>
            </w:r>
            <w:r>
              <w:rPr>
                <w:rFonts w:asciiTheme="minorHAnsi" w:hAnsiTheme="minorHAnsi"/>
                <w:sz w:val="20"/>
                <w:lang w:eastAsia="zh-CN"/>
              </w:rPr>
              <w:t>x</w:t>
            </w:r>
            <w:r w:rsidRPr="00A6272C">
              <w:rPr>
                <w:rFonts w:asciiTheme="minorHAnsi" w:hAnsiTheme="minorHAnsi"/>
                <w:sz w:val="20"/>
                <w:lang w:eastAsia="zh-CN"/>
              </w:rPr>
              <w:t xml:space="preserve"> and GS Department</w:t>
            </w:r>
            <w:r>
              <w:rPr>
                <w:rFonts w:asciiTheme="minorHAnsi" w:hAnsiTheme="minorHAnsi"/>
                <w:sz w:val="20"/>
                <w:lang w:eastAsia="zh-CN"/>
              </w:rPr>
              <w:t>s</w:t>
            </w:r>
            <w:r w:rsidRPr="00A6272C">
              <w:rPr>
                <w:rFonts w:asciiTheme="minorHAnsi" w:hAnsiTheme="minorHAnsi"/>
                <w:sz w:val="20"/>
                <w:lang w:eastAsia="zh-CN"/>
              </w:rPr>
              <w:t>. A 2018 annual learning plan has been established based on learning needs assessment results and by allocating available resources to the implementation of the required learning programmes. ITU learning and development principles, including equitable distribution of opportunities across the organization and strategic linkage between staff and organizational priorities are being applied, in line also with the performance management policy approach.</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B878191" w14:textId="22C2F4AC" w:rsidR="00B66462" w:rsidRPr="00A6272C" w:rsidRDefault="00C820D5" w:rsidP="00C16F9F">
            <w:pPr>
              <w:rPr>
                <w:rFonts w:asciiTheme="minorHAnsi" w:hAnsiTheme="minorHAnsi"/>
                <w:b/>
                <w:bCs/>
                <w:sz w:val="20"/>
                <w:lang w:eastAsia="zh-CN"/>
              </w:rPr>
            </w:pPr>
            <w:r w:rsidRPr="00A6272C">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4882957B" w14:textId="77777777" w:rsidR="00B66462" w:rsidRPr="00A64CE6" w:rsidRDefault="00B66462" w:rsidP="002B2955">
            <w:pPr>
              <w:rPr>
                <w:rFonts w:asciiTheme="minorHAnsi" w:hAnsiTheme="minorHAnsi"/>
                <w:sz w:val="20"/>
                <w:lang w:eastAsia="zh-CN"/>
              </w:rPr>
            </w:pPr>
            <w:r w:rsidRPr="00A6272C">
              <w:rPr>
                <w:rFonts w:asciiTheme="minorHAnsi" w:hAnsiTheme="minorHAnsi"/>
                <w:sz w:val="20"/>
                <w:lang w:eastAsia="zh-CN"/>
              </w:rPr>
              <w:t>Council 2018</w:t>
            </w:r>
          </w:p>
        </w:tc>
      </w:tr>
      <w:tr w:rsidR="00B66462" w:rsidRPr="00B66462" w14:paraId="03FE1466"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1B938CE8" w14:textId="77777777" w:rsidR="00B66462" w:rsidRPr="00A6272C" w:rsidRDefault="00B66462" w:rsidP="002B2955">
            <w:pPr>
              <w:jc w:val="center"/>
              <w:rPr>
                <w:rFonts w:asciiTheme="minorHAnsi" w:hAnsiTheme="minorHAnsi"/>
                <w:b/>
                <w:bCs/>
                <w:color w:val="000000"/>
                <w:sz w:val="20"/>
                <w:lang w:eastAsia="zh-CN"/>
              </w:rPr>
            </w:pPr>
            <w:r w:rsidRPr="00A6272C">
              <w:rPr>
                <w:rFonts w:asciiTheme="minorHAnsi" w:hAnsiTheme="minorHAnsi"/>
                <w:b/>
                <w:bCs/>
                <w:color w:val="000000"/>
                <w:sz w:val="20"/>
                <w:lang w:eastAsia="zh-CN"/>
              </w:rPr>
              <w:t>152</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06915E67" w14:textId="77777777" w:rsidR="00B66462" w:rsidRPr="00A6272C" w:rsidRDefault="00B66462" w:rsidP="002B2955">
            <w:pPr>
              <w:rPr>
                <w:rFonts w:asciiTheme="minorHAnsi" w:hAnsiTheme="minorHAnsi"/>
                <w:color w:val="000000"/>
                <w:sz w:val="20"/>
                <w:lang w:eastAsia="zh-CN"/>
              </w:rPr>
            </w:pPr>
            <w:r w:rsidRPr="00A6272C">
              <w:rPr>
                <w:rFonts w:asciiTheme="minorHAnsi" w:hAnsiTheme="minorHAnsi"/>
                <w:color w:val="000000"/>
                <w:sz w:val="20"/>
                <w:lang w:eastAsia="zh-CN"/>
              </w:rPr>
              <w:t>The Inspectors recommend establishing a programme of mandatory training for all staff members based on corporate requirements, therefore creating a common basis of skills and competencies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1DF38CA" w14:textId="77777777" w:rsidR="00B66462" w:rsidRPr="00A6272C" w:rsidRDefault="00B66462" w:rsidP="002B2955">
            <w:pPr>
              <w:jc w:val="center"/>
              <w:rPr>
                <w:rFonts w:asciiTheme="minorHAnsi" w:hAnsiTheme="minorHAnsi"/>
                <w:color w:val="000000"/>
                <w:sz w:val="20"/>
                <w:lang w:eastAsia="zh-CN"/>
              </w:rPr>
            </w:pPr>
            <w:r w:rsidRPr="00A6272C">
              <w:rPr>
                <w:rFonts w:asciiTheme="minorHAnsi" w:hAnsiTheme="minorHAnsi"/>
                <w:color w:val="000000"/>
                <w:sz w:val="20"/>
                <w:lang w:eastAsia="zh-CN"/>
              </w:rPr>
              <w:t>HRMD</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3B9246AB" w14:textId="1908ABFD" w:rsidR="00B66462" w:rsidRPr="00A6272C" w:rsidRDefault="00A6272C" w:rsidP="00A6272C">
            <w:pPr>
              <w:rPr>
                <w:rFonts w:asciiTheme="minorHAnsi" w:hAnsiTheme="minorHAnsi"/>
                <w:color w:val="000000"/>
                <w:sz w:val="20"/>
                <w:lang w:eastAsia="zh-CN"/>
              </w:rPr>
            </w:pPr>
            <w:r w:rsidRPr="00A6272C">
              <w:rPr>
                <w:rFonts w:asciiTheme="minorHAnsi" w:hAnsiTheme="minorHAnsi"/>
                <w:color w:val="000000"/>
                <w:sz w:val="20"/>
                <w:lang w:eastAsia="zh-CN"/>
              </w:rPr>
              <w:t>As a result of a consultative approach between the Human Resources Management Department (HRMD) and the sectors - i.e., Bureau</w:t>
            </w:r>
            <w:r>
              <w:rPr>
                <w:rFonts w:asciiTheme="minorHAnsi" w:hAnsiTheme="minorHAnsi"/>
                <w:color w:val="000000"/>
                <w:sz w:val="20"/>
                <w:lang w:eastAsia="zh-CN"/>
              </w:rPr>
              <w:t>x</w:t>
            </w:r>
            <w:r w:rsidRPr="00A6272C">
              <w:rPr>
                <w:rFonts w:asciiTheme="minorHAnsi" w:hAnsiTheme="minorHAnsi"/>
                <w:color w:val="000000"/>
                <w:sz w:val="20"/>
                <w:lang w:eastAsia="zh-CN"/>
              </w:rPr>
              <w:t xml:space="preserve"> and GS Department</w:t>
            </w:r>
            <w:r>
              <w:rPr>
                <w:rFonts w:asciiTheme="minorHAnsi" w:hAnsiTheme="minorHAnsi"/>
                <w:color w:val="000000"/>
                <w:sz w:val="20"/>
                <w:lang w:eastAsia="zh-CN"/>
              </w:rPr>
              <w:t>s</w:t>
            </w:r>
            <w:r w:rsidRPr="00A6272C">
              <w:rPr>
                <w:rFonts w:asciiTheme="minorHAnsi" w:hAnsiTheme="minorHAnsi"/>
                <w:color w:val="000000"/>
                <w:sz w:val="20"/>
                <w:lang w:eastAsia="zh-CN"/>
              </w:rPr>
              <w:t xml:space="preserve">; and in line with best practices of other United Nations Common (UN) System, ITU has established the concept of mandatory training, defining the required core competencies for ITU </w:t>
            </w:r>
            <w:proofErr w:type="gramStart"/>
            <w:r w:rsidRPr="00A6272C">
              <w:rPr>
                <w:rFonts w:asciiTheme="minorHAnsi" w:hAnsiTheme="minorHAnsi"/>
                <w:color w:val="000000"/>
                <w:sz w:val="20"/>
                <w:lang w:eastAsia="zh-CN"/>
              </w:rPr>
              <w:t>staff  through</w:t>
            </w:r>
            <w:proofErr w:type="gramEnd"/>
            <w:r w:rsidRPr="00A6272C">
              <w:rPr>
                <w:rFonts w:asciiTheme="minorHAnsi" w:hAnsiTheme="minorHAnsi"/>
                <w:color w:val="000000"/>
                <w:sz w:val="20"/>
                <w:lang w:eastAsia="zh-CN"/>
              </w:rPr>
              <w:t xml:space="preserve"> trainings. A number of mandatory courses have </w:t>
            </w:r>
            <w:proofErr w:type="gramStart"/>
            <w:r w:rsidRPr="00A6272C">
              <w:rPr>
                <w:rFonts w:asciiTheme="minorHAnsi" w:hAnsiTheme="minorHAnsi"/>
                <w:color w:val="000000"/>
                <w:sz w:val="20"/>
                <w:lang w:eastAsia="zh-CN"/>
              </w:rPr>
              <w:t>been  communicated</w:t>
            </w:r>
            <w:proofErr w:type="gramEnd"/>
            <w:r w:rsidRPr="00A6272C">
              <w:rPr>
                <w:rFonts w:asciiTheme="minorHAnsi" w:hAnsiTheme="minorHAnsi"/>
                <w:color w:val="000000"/>
                <w:sz w:val="20"/>
                <w:lang w:eastAsia="zh-CN"/>
              </w:rPr>
              <w:t xml:space="preserve"> to ITU staff, including “I Know Gender” and “Cyber Security”</w:t>
            </w:r>
            <w:r w:rsidR="00B66462" w:rsidRPr="00A6272C">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5ADEB2E" w14:textId="2C313EA1" w:rsidR="00B66462" w:rsidRPr="00A6272C" w:rsidRDefault="001C4F6D" w:rsidP="00C16F9F">
            <w:pPr>
              <w:rPr>
                <w:rFonts w:asciiTheme="minorHAnsi" w:hAnsiTheme="minorHAnsi"/>
                <w:b/>
                <w:bCs/>
                <w:sz w:val="20"/>
                <w:lang w:eastAsia="zh-CN"/>
              </w:rPr>
            </w:pPr>
            <w:r w:rsidRPr="00A6272C">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2C24347B" w14:textId="77777777" w:rsidR="00B66462" w:rsidRPr="00A64CE6" w:rsidRDefault="00B66462" w:rsidP="002B2955">
            <w:pPr>
              <w:rPr>
                <w:rFonts w:asciiTheme="minorHAnsi" w:hAnsiTheme="minorHAnsi"/>
                <w:sz w:val="20"/>
                <w:lang w:eastAsia="zh-CN"/>
              </w:rPr>
            </w:pPr>
            <w:r w:rsidRPr="00A64CE6">
              <w:rPr>
                <w:rFonts w:asciiTheme="minorHAnsi" w:hAnsiTheme="minorHAnsi"/>
                <w:sz w:val="20"/>
                <w:lang w:eastAsia="zh-CN"/>
              </w:rPr>
              <w:t>Council 2018</w:t>
            </w:r>
          </w:p>
        </w:tc>
      </w:tr>
      <w:tr w:rsidR="00B66462" w:rsidRPr="00B66462" w14:paraId="6CCFAD3B"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45614BFF" w14:textId="77777777"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157</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40AD3F4B"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urge ITU management to expedite the regularization of the ethics function and welcome the signing of a memorandum of understanding with the World Meteorological Organization to establish a shared Ethics Officer for both organizations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161E8ED"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14:paraId="3431AD48" w14:textId="77777777" w:rsidR="00B66462" w:rsidRPr="00B66462" w:rsidRDefault="00B66462" w:rsidP="007869AF">
            <w:pPr>
              <w:rPr>
                <w:rFonts w:asciiTheme="minorHAnsi" w:hAnsiTheme="minorHAnsi"/>
                <w:color w:val="000000"/>
                <w:sz w:val="20"/>
                <w:lang w:eastAsia="zh-CN"/>
              </w:rPr>
            </w:pPr>
            <w:r w:rsidRPr="00B66462">
              <w:rPr>
                <w:rFonts w:asciiTheme="minorHAnsi" w:hAnsiTheme="minorHAnsi"/>
                <w:color w:val="000000"/>
                <w:sz w:val="20"/>
                <w:lang w:eastAsia="zh-CN"/>
              </w:rPr>
              <w:t>Entry on duties on 1 November 2016.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0D16D2F" w14:textId="77777777"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2D568F99" w14:textId="77777777" w:rsidR="00B66462" w:rsidRPr="00B66462" w:rsidRDefault="00B66462" w:rsidP="002B2955">
            <w:pPr>
              <w:rPr>
                <w:rFonts w:asciiTheme="minorHAnsi" w:hAnsiTheme="minorHAnsi"/>
                <w:color w:val="2F75B5"/>
                <w:sz w:val="20"/>
                <w:lang w:eastAsia="zh-CN"/>
              </w:rPr>
            </w:pPr>
            <w:r w:rsidRPr="00B66462">
              <w:rPr>
                <w:rFonts w:asciiTheme="minorHAnsi" w:hAnsiTheme="minorHAnsi"/>
                <w:sz w:val="20"/>
                <w:lang w:eastAsia="zh-CN"/>
              </w:rPr>
              <w:t>N/A</w:t>
            </w:r>
          </w:p>
        </w:tc>
      </w:tr>
      <w:tr w:rsidR="00B66462" w:rsidRPr="00B66462" w14:paraId="602B26ED"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7635A9AA" w14:textId="77777777"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161</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03BADB11"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believe that ITU would benefit from a strengthened and more visible mediation function favouring a first resort to informal settlement over formal administration of justice mechanisms for conflict resolution</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272DBD7"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14:paraId="7B689793" w14:textId="77777777" w:rsidR="00B66462" w:rsidRPr="00B66462" w:rsidRDefault="00B66462" w:rsidP="002B2955">
            <w:pPr>
              <w:rPr>
                <w:rFonts w:asciiTheme="minorHAnsi" w:hAnsiTheme="minorHAnsi"/>
                <w:color w:val="000000"/>
                <w:sz w:val="20"/>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68BE5C0" w14:textId="77777777"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6FF9E09F" w14:textId="77777777" w:rsidR="00B66462" w:rsidRPr="00B66462" w:rsidRDefault="00B66462" w:rsidP="002B2955">
            <w:pPr>
              <w:rPr>
                <w:rFonts w:asciiTheme="minorHAnsi" w:hAnsiTheme="minorHAnsi"/>
                <w:color w:val="2F75B5"/>
                <w:sz w:val="20"/>
                <w:lang w:eastAsia="zh-CN"/>
              </w:rPr>
            </w:pPr>
            <w:r w:rsidRPr="00B66462">
              <w:rPr>
                <w:rFonts w:asciiTheme="minorHAnsi" w:hAnsiTheme="minorHAnsi"/>
                <w:sz w:val="20"/>
                <w:lang w:eastAsia="zh-CN"/>
              </w:rPr>
              <w:t>N/A</w:t>
            </w:r>
          </w:p>
        </w:tc>
      </w:tr>
      <w:tr w:rsidR="00B66462" w:rsidRPr="00B66462" w14:paraId="1371E134"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728132FA" w14:textId="77777777"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165</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618D9BB3"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 xml:space="preserve">Considering the fact that such projects are of a strategic nature, the Inspectors suggest that this expertise be brought within the framework of the ICTC through </w:t>
            </w:r>
            <w:r w:rsidRPr="00B66462">
              <w:rPr>
                <w:rFonts w:asciiTheme="minorHAnsi" w:hAnsiTheme="minorHAnsi"/>
                <w:color w:val="000000"/>
                <w:sz w:val="20"/>
                <w:lang w:eastAsia="zh-CN"/>
              </w:rPr>
              <w:lastRenderedPageBreak/>
              <w:t>dedicated working groups (as foreseen in its terms of reference) in order to enhance coherence in ICT governance</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09B1E09"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lastRenderedPageBreak/>
              <w:t>ISD</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9DC0A59" w14:textId="77777777" w:rsidR="00B66462" w:rsidRPr="00B66462" w:rsidRDefault="007869AF" w:rsidP="002B2955">
            <w:pPr>
              <w:rPr>
                <w:rFonts w:asciiTheme="minorHAnsi" w:hAnsiTheme="minorHAnsi"/>
                <w:sz w:val="20"/>
                <w:lang w:eastAsia="zh-CN"/>
              </w:rPr>
            </w:pPr>
            <w:r>
              <w:rPr>
                <w:rFonts w:asciiTheme="minorHAnsi" w:hAnsiTheme="minorHAnsi"/>
                <w:color w:val="000000"/>
                <w:sz w:val="20"/>
                <w:lang w:eastAsia="zh-CN"/>
              </w:rPr>
              <w:t>For major p</w:t>
            </w:r>
            <w:r w:rsidR="00B66462" w:rsidRPr="00B66462">
              <w:rPr>
                <w:rFonts w:asciiTheme="minorHAnsi" w:hAnsiTheme="minorHAnsi"/>
                <w:color w:val="000000"/>
                <w:sz w:val="20"/>
                <w:lang w:eastAsia="zh-CN"/>
              </w:rPr>
              <w:t xml:space="preserve">rojects a dedicated PM office with a steering committee has been established. Regular progress and </w:t>
            </w:r>
            <w:r w:rsidR="00B66462" w:rsidRPr="00B66462">
              <w:rPr>
                <w:rFonts w:asciiTheme="minorHAnsi" w:hAnsiTheme="minorHAnsi"/>
                <w:color w:val="000000"/>
                <w:sz w:val="20"/>
                <w:lang w:eastAsia="zh-CN"/>
              </w:rPr>
              <w:lastRenderedPageBreak/>
              <w:t>performance reports are being presented to the ICTC during the implementation process.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985D251" w14:textId="77777777"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lastRenderedPageBreak/>
              <w:t xml:space="preserve">Implemented </w:t>
            </w:r>
          </w:p>
        </w:tc>
        <w:tc>
          <w:tcPr>
            <w:tcW w:w="1700" w:type="dxa"/>
            <w:tcBorders>
              <w:top w:val="single" w:sz="4" w:space="0" w:color="auto"/>
              <w:left w:val="single" w:sz="4" w:space="0" w:color="auto"/>
              <w:bottom w:val="single" w:sz="4" w:space="0" w:color="auto"/>
              <w:right w:val="single" w:sz="4" w:space="0" w:color="auto"/>
            </w:tcBorders>
          </w:tcPr>
          <w:p w14:paraId="1DE27366" w14:textId="77777777"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N/A</w:t>
            </w:r>
          </w:p>
        </w:tc>
      </w:tr>
      <w:tr w:rsidR="00B66462" w:rsidRPr="00B66462" w14:paraId="35E16CDA"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12D956DE" w14:textId="77777777"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165</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36E6475C"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also invite ITU management to provide detailed reporting to the Member States on the overall project management, bearing in mind that such corporate projects require significant investment over several years.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B4C5D8D"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ISD</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7BADCED9"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sz w:val="20"/>
                <w:lang w:eastAsia="zh-CN"/>
              </w:rPr>
              <w:t>This is alr</w:t>
            </w:r>
            <w:r w:rsidR="00A302F3">
              <w:rPr>
                <w:rFonts w:asciiTheme="minorHAnsi" w:hAnsiTheme="minorHAnsi"/>
                <w:sz w:val="20"/>
                <w:lang w:eastAsia="zh-CN"/>
              </w:rPr>
              <w:t>eady taking place for Council-</w:t>
            </w:r>
            <w:r w:rsidRPr="00B66462">
              <w:rPr>
                <w:rFonts w:asciiTheme="minorHAnsi" w:hAnsiTheme="minorHAnsi"/>
                <w:sz w:val="20"/>
                <w:lang w:eastAsia="zh-CN"/>
              </w:rPr>
              <w:t>17 and the several project reports are being presented (TIES, Security modernization project, ORMS, Security enhancements). Next year those reports may be including the Document on the Activities of the Union instead of in separate documents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5E558DC" w14:textId="77777777"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5A8EDDD7" w14:textId="77777777"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N/A</w:t>
            </w:r>
          </w:p>
        </w:tc>
      </w:tr>
      <w:tr w:rsidR="00B66462" w:rsidRPr="00B66462" w14:paraId="1F1FD040"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2419C8AE" w14:textId="77777777"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176</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0C347AC1"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encourage ITU management to review its Internal Audit Charter and the corresponding Financial Regulations and Financial Rules pertaining to internal audit on a more regular basis, i.e., at least every three to five years; moreover, they believe that the Charter should be presented to and approved by the Council</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455F2C9"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IAU</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04FFD76" w14:textId="77777777" w:rsidR="00B66462" w:rsidRPr="00B66462" w:rsidRDefault="00A302F3" w:rsidP="002B2955">
            <w:pPr>
              <w:rPr>
                <w:rFonts w:asciiTheme="minorHAnsi" w:hAnsiTheme="minorHAnsi"/>
                <w:color w:val="000000"/>
                <w:sz w:val="20"/>
                <w:lang w:eastAsia="zh-CN"/>
              </w:rPr>
            </w:pPr>
            <w:r>
              <w:rPr>
                <w:rFonts w:asciiTheme="minorHAnsi" w:hAnsiTheme="minorHAnsi"/>
                <w:color w:val="000000"/>
                <w:sz w:val="20"/>
                <w:lang w:eastAsia="zh-CN"/>
              </w:rPr>
              <w:t>It is the intention of the s</w:t>
            </w:r>
            <w:r w:rsidR="00B66462" w:rsidRPr="00B66462">
              <w:rPr>
                <w:rFonts w:asciiTheme="minorHAnsi" w:hAnsiTheme="minorHAnsi"/>
                <w:color w:val="000000"/>
                <w:sz w:val="20"/>
                <w:lang w:eastAsia="zh-CN"/>
              </w:rPr>
              <w:t>ecretariat to review the Internal Audit Charter every five years in order to comply with the Internal Auditing Standards. In a previous review, the proposed Internal Audit Charter was submitted to the IMAC for its consideration and subsequently approved by the Secretary-General. This mechanism is considered to be in line with the Internal Auditing Standard 1000 and with the terms of reference of the IMAC (as a subsidiary body of the ITU Council).</w:t>
            </w:r>
            <w:r w:rsidR="00374E43">
              <w:rPr>
                <w:rFonts w:asciiTheme="minorHAnsi" w:hAnsiTheme="minorHAnsi"/>
                <w:color w:val="000000"/>
                <w:sz w:val="20"/>
                <w:lang w:eastAsia="zh-CN"/>
              </w:rPr>
              <w:t xml:space="preserve"> </w:t>
            </w:r>
            <w:r w:rsidR="00374E43" w:rsidRPr="00374E43">
              <w:rPr>
                <w:rFonts w:asciiTheme="minorHAnsi" w:hAnsiTheme="minorHAnsi"/>
                <w:color w:val="000000"/>
                <w:sz w:val="20"/>
                <w:lang w:eastAsia="zh-CN"/>
              </w:rPr>
              <w:t>Council 2017 has adopted the approach that the updated charter would be presented to and approved by the Council as of its next review.</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7BB55B0" w14:textId="77777777"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In progress</w:t>
            </w:r>
          </w:p>
        </w:tc>
        <w:tc>
          <w:tcPr>
            <w:tcW w:w="1700" w:type="dxa"/>
            <w:tcBorders>
              <w:top w:val="single" w:sz="4" w:space="0" w:color="auto"/>
              <w:left w:val="single" w:sz="4" w:space="0" w:color="auto"/>
              <w:bottom w:val="single" w:sz="4" w:space="0" w:color="auto"/>
              <w:right w:val="single" w:sz="4" w:space="0" w:color="auto"/>
            </w:tcBorders>
          </w:tcPr>
          <w:p w14:paraId="08D2EECC"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30-Jun-</w:t>
            </w:r>
            <w:r w:rsidR="00A302F3">
              <w:rPr>
                <w:rFonts w:asciiTheme="minorHAnsi" w:hAnsiTheme="minorHAnsi"/>
                <w:color w:val="000000"/>
                <w:sz w:val="20"/>
                <w:lang w:eastAsia="zh-CN"/>
              </w:rPr>
              <w:t>20</w:t>
            </w:r>
            <w:r w:rsidRPr="00B66462">
              <w:rPr>
                <w:rFonts w:asciiTheme="minorHAnsi" w:hAnsiTheme="minorHAnsi"/>
                <w:color w:val="000000"/>
                <w:sz w:val="20"/>
                <w:lang w:eastAsia="zh-CN"/>
              </w:rPr>
              <w:t>18</w:t>
            </w:r>
          </w:p>
        </w:tc>
      </w:tr>
      <w:tr w:rsidR="00B66462" w:rsidRPr="00B66462" w14:paraId="4FA9EF0F"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2284DF81" w14:textId="77777777"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177</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5E7F2304"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encourage ITU management to conduct such an independent assessment on a regular basis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E6F3169"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IAU</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AC764A2" w14:textId="77777777" w:rsidR="00B66462" w:rsidRPr="00B66462" w:rsidRDefault="00A302F3" w:rsidP="002B2955">
            <w:pPr>
              <w:rPr>
                <w:rFonts w:asciiTheme="minorHAnsi" w:hAnsiTheme="minorHAnsi"/>
                <w:color w:val="000000"/>
                <w:sz w:val="20"/>
                <w:lang w:eastAsia="zh-CN"/>
              </w:rPr>
            </w:pPr>
            <w:r>
              <w:rPr>
                <w:rFonts w:asciiTheme="minorHAnsi" w:hAnsiTheme="minorHAnsi"/>
                <w:color w:val="000000"/>
                <w:sz w:val="20"/>
                <w:lang w:eastAsia="zh-CN"/>
              </w:rPr>
              <w:t>It is the intention of the s</w:t>
            </w:r>
            <w:r w:rsidR="00B66462" w:rsidRPr="00B66462">
              <w:rPr>
                <w:rFonts w:asciiTheme="minorHAnsi" w:hAnsiTheme="minorHAnsi"/>
                <w:color w:val="000000"/>
                <w:sz w:val="20"/>
                <w:lang w:eastAsia="zh-CN"/>
              </w:rPr>
              <w:t>ecretariat to conduct the independent assessment every five years in order to comply with Internal Auditing Standard 1300.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E6C6C5F" w14:textId="77777777"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In progress</w:t>
            </w:r>
          </w:p>
        </w:tc>
        <w:tc>
          <w:tcPr>
            <w:tcW w:w="1700" w:type="dxa"/>
            <w:tcBorders>
              <w:top w:val="single" w:sz="4" w:space="0" w:color="auto"/>
              <w:left w:val="single" w:sz="4" w:space="0" w:color="auto"/>
              <w:bottom w:val="single" w:sz="4" w:space="0" w:color="auto"/>
              <w:right w:val="single" w:sz="4" w:space="0" w:color="auto"/>
            </w:tcBorders>
          </w:tcPr>
          <w:p w14:paraId="50866A54"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31-Dec-2019</w:t>
            </w:r>
          </w:p>
        </w:tc>
      </w:tr>
      <w:tr w:rsidR="00B66462" w:rsidRPr="00B66462" w14:paraId="2E796B41"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4544E46C" w14:textId="77777777" w:rsidR="00B66462" w:rsidRPr="00B66462" w:rsidRDefault="00B66462" w:rsidP="001206BA">
            <w:pPr>
              <w:keepNext/>
              <w:keepLines/>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178</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7EFBD221" w14:textId="77777777" w:rsidR="00B66462" w:rsidRPr="00B66462" w:rsidRDefault="00B66462" w:rsidP="001206BA">
            <w:pPr>
              <w:keepNext/>
              <w:keepLines/>
              <w:rPr>
                <w:rFonts w:asciiTheme="minorHAnsi" w:hAnsiTheme="minorHAnsi"/>
                <w:color w:val="000000"/>
                <w:sz w:val="20"/>
                <w:lang w:eastAsia="zh-CN"/>
              </w:rPr>
            </w:pPr>
            <w:r w:rsidRPr="00B66462">
              <w:rPr>
                <w:rFonts w:asciiTheme="minorHAnsi" w:hAnsiTheme="minorHAnsi"/>
                <w:color w:val="000000"/>
                <w:sz w:val="20"/>
                <w:lang w:eastAsia="zh-CN"/>
              </w:rPr>
              <w:t>The Inspectors believe that the Secretary-General should strengthen the overall capacity of the Internal Audit Unit with a view to enable it to increase its coverage of the critical and major risks faced by the Union, as recommended by IMAC and the external auditor</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DB94675" w14:textId="77777777" w:rsidR="00B66462" w:rsidRPr="00B66462" w:rsidRDefault="00B66462" w:rsidP="001206BA">
            <w:pPr>
              <w:keepNext/>
              <w:keepLines/>
              <w:jc w:val="center"/>
              <w:rPr>
                <w:rFonts w:asciiTheme="minorHAnsi" w:hAnsiTheme="minorHAnsi"/>
                <w:color w:val="000000"/>
                <w:sz w:val="20"/>
                <w:lang w:eastAsia="zh-CN"/>
              </w:rPr>
            </w:pPr>
            <w:r w:rsidRPr="00B66462">
              <w:rPr>
                <w:rFonts w:asciiTheme="minorHAnsi" w:hAnsiTheme="minorHAnsi"/>
                <w:color w:val="000000"/>
                <w:sz w:val="20"/>
                <w:lang w:eastAsia="zh-CN"/>
              </w:rPr>
              <w:t>IAU</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67D0C3C1" w14:textId="77777777" w:rsidR="00B66462" w:rsidRPr="00B66462" w:rsidRDefault="00B66462" w:rsidP="001206BA">
            <w:pPr>
              <w:keepNext/>
              <w:keepLines/>
              <w:rPr>
                <w:rFonts w:asciiTheme="minorHAnsi" w:hAnsiTheme="minorHAnsi"/>
                <w:color w:val="000000"/>
                <w:sz w:val="20"/>
                <w:lang w:eastAsia="zh-CN"/>
              </w:rPr>
            </w:pPr>
            <w:r w:rsidRPr="00B66462">
              <w:rPr>
                <w:rFonts w:asciiTheme="minorHAnsi" w:hAnsiTheme="minorHAnsi"/>
                <w:color w:val="000000"/>
                <w:sz w:val="20"/>
                <w:lang w:eastAsia="zh-CN"/>
              </w:rPr>
              <w:t xml:space="preserve">The Secretary-General is, within the budgetary constraints of the Union, very mindful to maintain the Internal Audit Unit at a strong and effective level to fulfil its mandate. The Secretary-General benchmarked the ITU Internal Audit Unit against the Annex V tables of the JIU’s report 2016/8 </w:t>
            </w:r>
            <w:r w:rsidR="00584200">
              <w:rPr>
                <w:rFonts w:asciiTheme="minorHAnsi" w:hAnsiTheme="minorHAnsi"/>
                <w:color w:val="000000"/>
                <w:sz w:val="20"/>
                <w:lang w:eastAsia="zh-CN"/>
              </w:rPr>
              <w:t>“</w:t>
            </w:r>
            <w:r w:rsidRPr="00B66462">
              <w:rPr>
                <w:rFonts w:asciiTheme="minorHAnsi" w:hAnsiTheme="minorHAnsi"/>
                <w:color w:val="000000"/>
                <w:sz w:val="20"/>
                <w:lang w:eastAsia="zh-CN"/>
              </w:rPr>
              <w:t>State of the Internal Audit function in the UN System</w:t>
            </w:r>
            <w:r w:rsidR="00584200">
              <w:rPr>
                <w:rFonts w:asciiTheme="minorHAnsi" w:hAnsiTheme="minorHAnsi"/>
                <w:color w:val="000000"/>
                <w:sz w:val="20"/>
                <w:lang w:eastAsia="zh-CN"/>
              </w:rPr>
              <w:t>”</w:t>
            </w:r>
            <w:r w:rsidRPr="00B66462">
              <w:rPr>
                <w:rFonts w:asciiTheme="minorHAnsi" w:hAnsiTheme="minorHAnsi"/>
                <w:color w:val="000000"/>
                <w:sz w:val="20"/>
                <w:lang w:eastAsia="zh-CN"/>
              </w:rPr>
              <w:t xml:space="preserve"> and found that the IT</w:t>
            </w:r>
            <w:r w:rsidR="007869AF">
              <w:rPr>
                <w:rFonts w:asciiTheme="minorHAnsi" w:hAnsiTheme="minorHAnsi"/>
                <w:color w:val="000000"/>
                <w:sz w:val="20"/>
                <w:lang w:eastAsia="zh-CN"/>
              </w:rPr>
              <w:t>U is at par (compared to other o</w:t>
            </w:r>
            <w:r w:rsidRPr="00B66462">
              <w:rPr>
                <w:rFonts w:asciiTheme="minorHAnsi" w:hAnsiTheme="minorHAnsi"/>
                <w:color w:val="000000"/>
                <w:sz w:val="20"/>
                <w:lang w:eastAsia="zh-CN"/>
              </w:rPr>
              <w:t>rganizations). IMAC also discusses the resources of IA at each of its meetings and makes recommendations to the SG when appropriate.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EF2A75E" w14:textId="77777777" w:rsidR="00B66462" w:rsidRPr="00B66462" w:rsidRDefault="00B66462" w:rsidP="001206BA">
            <w:pPr>
              <w:keepNext/>
              <w:keepLines/>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4E0B9C56" w14:textId="77777777" w:rsidR="00B66462" w:rsidRPr="00B66462" w:rsidRDefault="00B66462" w:rsidP="001206BA">
            <w:pPr>
              <w:keepNext/>
              <w:keepLines/>
              <w:rPr>
                <w:rFonts w:asciiTheme="minorHAnsi" w:hAnsiTheme="minorHAnsi"/>
                <w:color w:val="000000"/>
                <w:sz w:val="20"/>
                <w:lang w:eastAsia="zh-CN"/>
              </w:rPr>
            </w:pPr>
            <w:r w:rsidRPr="00B66462">
              <w:rPr>
                <w:rFonts w:asciiTheme="minorHAnsi" w:hAnsiTheme="minorHAnsi"/>
                <w:color w:val="000000"/>
                <w:sz w:val="20"/>
                <w:lang w:eastAsia="zh-CN"/>
              </w:rPr>
              <w:t>Q1 2017</w:t>
            </w:r>
          </w:p>
        </w:tc>
      </w:tr>
      <w:tr w:rsidR="00B66462" w:rsidRPr="00B66462" w14:paraId="7E1E0C25"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0314788E" w14:textId="77777777"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179</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43618E31" w14:textId="77777777"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 xml:space="preserve">The Inspectors are aware of the financial implications, but believe that the institutionalization of an evaluation function is a way to contribute to strategic direction setting, learning and knowledge-sharing within all the </w:t>
            </w:r>
            <w:r w:rsidRPr="00B66462">
              <w:rPr>
                <w:rFonts w:asciiTheme="minorHAnsi" w:hAnsiTheme="minorHAnsi"/>
                <w:color w:val="000000"/>
                <w:sz w:val="20"/>
                <w:lang w:eastAsia="zh-CN"/>
              </w:rPr>
              <w:lastRenderedPageBreak/>
              <w:t>components of the Union, provided that it is equipped with professional expertise and sufficient capacity</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098C6E5" w14:textId="77777777"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lastRenderedPageBreak/>
              <w:t>MCG</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013088C" w14:textId="0B2D6B4A" w:rsidR="00B66462" w:rsidRPr="00B66462" w:rsidRDefault="000C6D74" w:rsidP="000C6D74">
            <w:pPr>
              <w:rPr>
                <w:rFonts w:asciiTheme="minorHAnsi" w:hAnsiTheme="minorHAnsi"/>
                <w:sz w:val="20"/>
                <w:lang w:eastAsia="zh-CN"/>
              </w:rPr>
            </w:pPr>
            <w:r w:rsidRPr="000C6D74">
              <w:rPr>
                <w:rFonts w:asciiTheme="minorHAnsi" w:hAnsiTheme="minorHAnsi"/>
                <w:sz w:val="20"/>
                <w:lang w:eastAsia="zh-CN"/>
              </w:rPr>
              <w:t xml:space="preserve">In Q2 2017, a feasibility study on the evaluation function at ITU was submitted to ITU management and IMAC for its consideration. Taking account of IMAC views the proposed evaluation policy and guidelines have been provisionally </w:t>
            </w:r>
            <w:r w:rsidRPr="000C6D74">
              <w:rPr>
                <w:rFonts w:asciiTheme="minorHAnsi" w:hAnsiTheme="minorHAnsi"/>
                <w:sz w:val="20"/>
                <w:lang w:eastAsia="zh-CN"/>
              </w:rPr>
              <w:lastRenderedPageBreak/>
              <w:t>adopted by the Secretary-General and will be the framework for a trial included in the 2018 Internal Audit work plan.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53BB609" w14:textId="77777777"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lastRenderedPageBreak/>
              <w:t>In progress</w:t>
            </w:r>
          </w:p>
        </w:tc>
        <w:tc>
          <w:tcPr>
            <w:tcW w:w="1700" w:type="dxa"/>
            <w:tcBorders>
              <w:top w:val="single" w:sz="4" w:space="0" w:color="auto"/>
              <w:left w:val="single" w:sz="4" w:space="0" w:color="auto"/>
              <w:bottom w:val="single" w:sz="4" w:space="0" w:color="auto"/>
              <w:right w:val="single" w:sz="4" w:space="0" w:color="auto"/>
            </w:tcBorders>
          </w:tcPr>
          <w:p w14:paraId="5EC31C35" w14:textId="77777777" w:rsidR="00B66462" w:rsidRPr="00B66462" w:rsidRDefault="00942A57" w:rsidP="002B2955">
            <w:pPr>
              <w:rPr>
                <w:rFonts w:asciiTheme="minorHAnsi" w:hAnsiTheme="minorHAnsi"/>
                <w:color w:val="000000"/>
                <w:sz w:val="20"/>
                <w:lang w:eastAsia="zh-CN"/>
              </w:rPr>
            </w:pPr>
            <w:r>
              <w:rPr>
                <w:rFonts w:asciiTheme="minorHAnsi" w:hAnsiTheme="minorHAnsi"/>
                <w:color w:val="000000"/>
                <w:sz w:val="20"/>
                <w:lang w:eastAsia="zh-CN"/>
              </w:rPr>
              <w:t>Q4 2018</w:t>
            </w:r>
          </w:p>
        </w:tc>
      </w:tr>
      <w:tr w:rsidR="00B66462" w:rsidRPr="00B66462" w14:paraId="0240ECAD"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61C4E10C" w14:textId="77777777" w:rsidR="00B66462" w:rsidRPr="00A57750" w:rsidRDefault="00B66462" w:rsidP="002B2955">
            <w:pPr>
              <w:jc w:val="center"/>
              <w:rPr>
                <w:rFonts w:asciiTheme="minorHAnsi" w:hAnsiTheme="minorHAnsi"/>
                <w:b/>
                <w:bCs/>
                <w:color w:val="000000"/>
                <w:sz w:val="20"/>
                <w:lang w:eastAsia="zh-CN"/>
              </w:rPr>
            </w:pPr>
            <w:r w:rsidRPr="00A57750">
              <w:rPr>
                <w:rFonts w:asciiTheme="minorHAnsi" w:hAnsiTheme="minorHAnsi"/>
                <w:b/>
                <w:bCs/>
                <w:color w:val="000000"/>
                <w:sz w:val="20"/>
                <w:lang w:eastAsia="zh-CN"/>
              </w:rPr>
              <w:t>180</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58FA8211" w14:textId="77777777" w:rsidR="00B66462" w:rsidRPr="00A57750" w:rsidRDefault="00B66462" w:rsidP="002B2955">
            <w:pPr>
              <w:rPr>
                <w:rFonts w:asciiTheme="minorHAnsi" w:hAnsiTheme="minorHAnsi"/>
                <w:color w:val="000000"/>
                <w:sz w:val="20"/>
                <w:lang w:eastAsia="zh-CN"/>
              </w:rPr>
            </w:pPr>
            <w:r w:rsidRPr="00A57750">
              <w:rPr>
                <w:rFonts w:asciiTheme="minorHAnsi" w:hAnsiTheme="minorHAnsi"/>
                <w:color w:val="000000"/>
                <w:sz w:val="20"/>
                <w:lang w:eastAsia="zh-CN"/>
              </w:rPr>
              <w:t>The Inspectors believe that ITU management should develop its investigation framework (policy and procedures) and consider suitable options to ensure that investigations are conducted by professional investigators.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D5CB7EB" w14:textId="77777777" w:rsidR="00B66462" w:rsidRPr="00A57750" w:rsidRDefault="00B66462" w:rsidP="002B2955">
            <w:pPr>
              <w:jc w:val="center"/>
              <w:rPr>
                <w:rFonts w:asciiTheme="minorHAnsi" w:hAnsiTheme="minorHAnsi"/>
                <w:color w:val="000000"/>
                <w:sz w:val="20"/>
                <w:lang w:eastAsia="zh-CN"/>
              </w:rPr>
            </w:pPr>
            <w:r w:rsidRPr="00A57750">
              <w:rPr>
                <w:rFonts w:asciiTheme="minorHAnsi" w:hAnsiTheme="minorHAnsi"/>
                <w:color w:val="000000"/>
                <w:sz w:val="20"/>
                <w:lang w:eastAsia="zh-CN"/>
              </w:rPr>
              <w:t>MCG</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90881E0" w14:textId="10B26E09" w:rsidR="00B66462" w:rsidRPr="00A57750" w:rsidRDefault="00A57750" w:rsidP="002B2955">
            <w:pPr>
              <w:rPr>
                <w:rFonts w:asciiTheme="minorHAnsi" w:hAnsiTheme="minorHAnsi"/>
                <w:sz w:val="20"/>
                <w:lang w:eastAsia="zh-CN"/>
              </w:rPr>
            </w:pPr>
            <w:r w:rsidRPr="00A57750">
              <w:rPr>
                <w:rFonts w:asciiTheme="minorHAnsi" w:hAnsiTheme="minorHAnsi"/>
                <w:sz w:val="20"/>
                <w:lang w:eastAsia="zh-CN"/>
              </w:rPr>
              <w:t xml:space="preserve">The final draft of the investigation guidelines were approved by the Secretary-General. These guidelines, together with the Policy against fraud and other proscribed practices, are in the process of being issued as a Service Order (ITU wide application) and will constitute the framework referred to by the Inspectors, including the identification </w:t>
            </w:r>
            <w:proofErr w:type="gramStart"/>
            <w:r w:rsidRPr="00A57750">
              <w:rPr>
                <w:rFonts w:asciiTheme="minorHAnsi" w:hAnsiTheme="minorHAnsi"/>
                <w:sz w:val="20"/>
                <w:lang w:eastAsia="zh-CN"/>
              </w:rPr>
              <w:t>of  professional</w:t>
            </w:r>
            <w:proofErr w:type="gramEnd"/>
            <w:r w:rsidRPr="00A57750">
              <w:rPr>
                <w:rFonts w:asciiTheme="minorHAnsi" w:hAnsiTheme="minorHAnsi"/>
                <w:sz w:val="20"/>
                <w:lang w:eastAsia="zh-CN"/>
              </w:rPr>
              <w:t xml:space="preserve"> investigators, as appropriate</w:t>
            </w:r>
            <w:r w:rsidR="00B66462" w:rsidRPr="00A57750">
              <w:rPr>
                <w:rFonts w:asciiTheme="minorHAnsi" w:hAnsiTheme="minorHAnsi"/>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66B1723" w14:textId="3FCE0CE2" w:rsidR="00B66462" w:rsidRPr="00A57750" w:rsidRDefault="008D3A68" w:rsidP="008D3A68">
            <w:pPr>
              <w:rPr>
                <w:rFonts w:asciiTheme="minorHAnsi" w:hAnsiTheme="minorHAnsi"/>
                <w:b/>
                <w:bCs/>
                <w:sz w:val="20"/>
                <w:lang w:eastAsia="zh-CN"/>
              </w:rPr>
            </w:pPr>
            <w:r w:rsidRPr="00975FAB">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75636C5C" w14:textId="77777777" w:rsidR="00B66462" w:rsidRPr="00A57750" w:rsidRDefault="00B66462" w:rsidP="002B2955">
            <w:pPr>
              <w:rPr>
                <w:rFonts w:asciiTheme="minorHAnsi" w:hAnsiTheme="minorHAnsi"/>
                <w:color w:val="2F75B5"/>
                <w:sz w:val="20"/>
                <w:lang w:eastAsia="zh-CN"/>
              </w:rPr>
            </w:pPr>
            <w:r w:rsidRPr="00A57750">
              <w:rPr>
                <w:rFonts w:asciiTheme="minorHAnsi" w:hAnsiTheme="minorHAnsi"/>
                <w:sz w:val="20"/>
                <w:lang w:eastAsia="zh-CN"/>
              </w:rPr>
              <w:t>Council 2018</w:t>
            </w:r>
          </w:p>
        </w:tc>
      </w:tr>
      <w:tr w:rsidR="00B66462" w:rsidRPr="00B66462" w14:paraId="4FA9DABA"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0FC46804" w14:textId="77777777" w:rsidR="00B66462" w:rsidRPr="00B66462" w:rsidRDefault="00B66462" w:rsidP="001206BA">
            <w:pPr>
              <w:keepNext/>
              <w:keepLines/>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188</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7CD719A6" w14:textId="77777777" w:rsidR="00B66462" w:rsidRPr="00B66462" w:rsidRDefault="00B66462" w:rsidP="001206BA">
            <w:pPr>
              <w:keepNext/>
              <w:keepLines/>
              <w:spacing w:before="60"/>
              <w:rPr>
                <w:rFonts w:asciiTheme="minorHAnsi" w:hAnsiTheme="minorHAnsi"/>
                <w:color w:val="000000"/>
                <w:sz w:val="20"/>
                <w:lang w:eastAsia="zh-CN"/>
              </w:rPr>
            </w:pPr>
            <w:r w:rsidRPr="00B66462">
              <w:rPr>
                <w:rFonts w:asciiTheme="minorHAnsi" w:hAnsiTheme="minorHAnsi"/>
                <w:color w:val="000000"/>
                <w:sz w:val="20"/>
                <w:lang w:eastAsia="zh-CN"/>
              </w:rPr>
              <w:t>These positive developments should be followed by the institutionalization of a formal mechanism to ensure the proper consideration of JIU reports and their recommendations by the governing bodies, together with comments prepared by ITU management on recommendations addressed to the governing bodies and those addressed to the Secretary-General. This would place ITU in line with the provisions of the JIU statute and numerous resolutions of the United Nations General Assembly</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2FFEEFD" w14:textId="77777777" w:rsidR="00B66462" w:rsidRPr="00B66462" w:rsidRDefault="00B66462" w:rsidP="001206BA">
            <w:pPr>
              <w:keepNext/>
              <w:keepLines/>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DSG</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F803927" w14:textId="77777777" w:rsidR="00B66462" w:rsidRPr="00B66462" w:rsidRDefault="00B66462" w:rsidP="001206BA">
            <w:pPr>
              <w:keepNext/>
              <w:keepLines/>
              <w:spacing w:before="60"/>
              <w:rPr>
                <w:rFonts w:asciiTheme="minorHAnsi" w:hAnsiTheme="minorHAnsi"/>
                <w:sz w:val="20"/>
                <w:lang w:eastAsia="zh-CN"/>
              </w:rPr>
            </w:pPr>
            <w:r w:rsidRPr="00B66462">
              <w:rPr>
                <w:rFonts w:asciiTheme="minorHAnsi" w:hAnsiTheme="minorHAnsi"/>
                <w:sz w:val="20"/>
                <w:lang w:eastAsia="zh-CN"/>
              </w:rPr>
              <w:t>A proposal for the proper consideration of the JIU Reports and Recommendations by the governing bodies has been presented and endorsed by the</w:t>
            </w:r>
            <w:r w:rsidR="007869AF">
              <w:rPr>
                <w:rFonts w:asciiTheme="minorHAnsi" w:hAnsiTheme="minorHAnsi"/>
                <w:sz w:val="20"/>
                <w:lang w:eastAsia="zh-CN"/>
              </w:rPr>
              <w:t xml:space="preserve"> CWG-FHR, which is responsible f</w:t>
            </w:r>
            <w:r w:rsidRPr="00B66462">
              <w:rPr>
                <w:rFonts w:asciiTheme="minorHAnsi" w:hAnsiTheme="minorHAnsi"/>
                <w:sz w:val="20"/>
                <w:lang w:eastAsia="zh-CN"/>
              </w:rPr>
              <w:t>o</w:t>
            </w:r>
            <w:r w:rsidR="007869AF">
              <w:rPr>
                <w:rFonts w:asciiTheme="minorHAnsi" w:hAnsiTheme="minorHAnsi"/>
                <w:sz w:val="20"/>
                <w:lang w:eastAsia="zh-CN"/>
              </w:rPr>
              <w:t>r</w:t>
            </w:r>
            <w:r w:rsidRPr="00B66462">
              <w:rPr>
                <w:rFonts w:asciiTheme="minorHAnsi" w:hAnsiTheme="minorHAnsi"/>
                <w:sz w:val="20"/>
                <w:lang w:eastAsia="zh-CN"/>
              </w:rPr>
              <w:t xml:space="preserve"> deal</w:t>
            </w:r>
            <w:r w:rsidR="007869AF">
              <w:rPr>
                <w:rFonts w:asciiTheme="minorHAnsi" w:hAnsiTheme="minorHAnsi"/>
                <w:sz w:val="20"/>
                <w:lang w:eastAsia="zh-CN"/>
              </w:rPr>
              <w:t>ing</w:t>
            </w:r>
            <w:r w:rsidRPr="00B66462">
              <w:rPr>
                <w:rFonts w:asciiTheme="minorHAnsi" w:hAnsiTheme="minorHAnsi"/>
                <w:sz w:val="20"/>
                <w:lang w:eastAsia="zh-CN"/>
              </w:rPr>
              <w:t xml:space="preserve"> with the JIU-related issues. The internal mechanism that reviews all the new JIU Reports and prepares ITU management recommendations on how to address them is coordinated by the ISC-TF, which submits the responses to the MCG for endorsement and then to the ITU governing bodies.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51D4D75" w14:textId="77777777" w:rsidR="00B66462" w:rsidRPr="00B66462" w:rsidRDefault="00B66462" w:rsidP="001206BA">
            <w:pPr>
              <w:keepNext/>
              <w:keepLines/>
              <w:spacing w:before="60"/>
              <w:rPr>
                <w:rFonts w:asciiTheme="minorHAnsi" w:hAnsiTheme="minorHAnsi"/>
                <w:b/>
                <w:bCs/>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10315580" w14:textId="77777777" w:rsidR="00B66462" w:rsidRPr="00B66462" w:rsidRDefault="00B66462" w:rsidP="001206BA">
            <w:pPr>
              <w:keepNext/>
              <w:keepLines/>
              <w:spacing w:before="60"/>
              <w:rPr>
                <w:rFonts w:asciiTheme="minorHAnsi" w:hAnsiTheme="minorHAnsi"/>
                <w:sz w:val="20"/>
                <w:lang w:eastAsia="zh-CN"/>
              </w:rPr>
            </w:pPr>
            <w:r w:rsidRPr="00B66462">
              <w:rPr>
                <w:rFonts w:asciiTheme="minorHAnsi" w:hAnsiTheme="minorHAnsi"/>
                <w:sz w:val="20"/>
                <w:lang w:eastAsia="zh-CN"/>
              </w:rPr>
              <w:t>N/A</w:t>
            </w:r>
          </w:p>
        </w:tc>
      </w:tr>
      <w:tr w:rsidR="00B66462" w:rsidRPr="00B66462" w14:paraId="3F74527C"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4238F97F" w14:textId="77777777"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191</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1EC85481" w14:textId="77777777"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The Inspectors believe that the annual reporting by the Internal Audit Unit should become more analytical on its findings and conclusions. Another possible improvement would be to produce a consolidated analysis of subjects covered by recommendations issued by the various oversight bodies that could draw attention to systemic issues and ensure implementation of these recommendations in a holistic manner and serve as a dynamic management tool</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65EAAC4" w14:textId="77777777"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IAU</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78C9C2C5" w14:textId="77777777" w:rsidR="00B66462" w:rsidRPr="00B66462" w:rsidRDefault="00B66462" w:rsidP="006D5DDF">
            <w:pPr>
              <w:spacing w:before="60"/>
              <w:rPr>
                <w:rFonts w:asciiTheme="minorHAnsi" w:hAnsiTheme="minorHAnsi"/>
                <w:color w:val="000000"/>
                <w:sz w:val="20"/>
                <w:lang w:eastAsia="zh-CN"/>
              </w:rPr>
            </w:pPr>
            <w:r w:rsidRPr="00B66462">
              <w:rPr>
                <w:rFonts w:asciiTheme="minorHAnsi" w:hAnsiTheme="minorHAnsi"/>
                <w:color w:val="000000"/>
                <w:sz w:val="20"/>
                <w:lang w:eastAsia="zh-CN"/>
              </w:rPr>
              <w:t xml:space="preserve">This was done for the </w:t>
            </w:r>
            <w:r w:rsidR="00770A8A">
              <w:rPr>
                <w:rFonts w:asciiTheme="minorHAnsi" w:hAnsiTheme="minorHAnsi"/>
                <w:color w:val="000000"/>
                <w:sz w:val="20"/>
                <w:lang w:eastAsia="zh-CN"/>
              </w:rPr>
              <w:t>r</w:t>
            </w:r>
            <w:r w:rsidRPr="00B66462">
              <w:rPr>
                <w:rFonts w:asciiTheme="minorHAnsi" w:hAnsiTheme="minorHAnsi"/>
                <w:color w:val="000000"/>
                <w:sz w:val="20"/>
                <w:lang w:eastAsia="zh-CN"/>
              </w:rPr>
              <w:t xml:space="preserve">eport to Council 2016 insofar that it was possible based on the audit reports of the previous years. Some findings may not be sufficiently recurrent to be representative. It </w:t>
            </w:r>
            <w:r w:rsidR="006D5DDF">
              <w:rPr>
                <w:rFonts w:asciiTheme="minorHAnsi" w:hAnsiTheme="minorHAnsi"/>
                <w:color w:val="000000"/>
                <w:sz w:val="20"/>
                <w:lang w:eastAsia="zh-CN"/>
              </w:rPr>
              <w:t>wa</w:t>
            </w:r>
            <w:r w:rsidRPr="00B66462">
              <w:rPr>
                <w:rFonts w:asciiTheme="minorHAnsi" w:hAnsiTheme="minorHAnsi"/>
                <w:color w:val="000000"/>
                <w:sz w:val="20"/>
                <w:lang w:eastAsia="zh-CN"/>
              </w:rPr>
              <w:t>s again considered for the report to Council</w:t>
            </w:r>
            <w:r w:rsidR="00770A8A">
              <w:rPr>
                <w:rFonts w:asciiTheme="minorHAnsi" w:hAnsiTheme="minorHAnsi"/>
                <w:color w:val="000000"/>
                <w:sz w:val="20"/>
                <w:lang w:eastAsia="zh-CN"/>
              </w:rPr>
              <w:t>-17</w:t>
            </w:r>
            <w:r w:rsidRPr="00B66462">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F41E7CA" w14:textId="77777777" w:rsidR="00B66462" w:rsidRPr="00B66462" w:rsidRDefault="00B66462" w:rsidP="001206BA">
            <w:pPr>
              <w:spacing w:before="60"/>
              <w:rPr>
                <w:rFonts w:asciiTheme="minorHAnsi" w:hAnsiTheme="minorHAnsi"/>
                <w:b/>
                <w:bCs/>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4E6623B2" w14:textId="77777777" w:rsidR="00B66462" w:rsidRPr="00B66462" w:rsidRDefault="006D5DDF" w:rsidP="001206BA">
            <w:pPr>
              <w:spacing w:before="60"/>
              <w:rPr>
                <w:rFonts w:asciiTheme="minorHAnsi" w:hAnsiTheme="minorHAnsi"/>
                <w:color w:val="000000"/>
                <w:sz w:val="20"/>
                <w:lang w:eastAsia="zh-CN"/>
              </w:rPr>
            </w:pPr>
            <w:r>
              <w:rPr>
                <w:rFonts w:asciiTheme="minorHAnsi" w:hAnsiTheme="minorHAnsi"/>
                <w:color w:val="000000"/>
                <w:sz w:val="20"/>
                <w:lang w:eastAsia="zh-CN"/>
              </w:rPr>
              <w:t>N/A</w:t>
            </w:r>
          </w:p>
        </w:tc>
      </w:tr>
      <w:tr w:rsidR="00B66462" w:rsidRPr="00B66462" w14:paraId="7A065206"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6C8D2B52" w14:textId="77777777"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195</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7EC3E58B" w14:textId="77777777"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 xml:space="preserve">In the opinion of the Inspectors, the recommendation made in the 2009 JIU report to the Council </w:t>
            </w:r>
            <w:r w:rsidR="00584200">
              <w:rPr>
                <w:rFonts w:asciiTheme="minorHAnsi" w:hAnsiTheme="minorHAnsi"/>
                <w:color w:val="000000"/>
                <w:sz w:val="20"/>
                <w:lang w:eastAsia="zh-CN"/>
              </w:rPr>
              <w:t>“</w:t>
            </w:r>
            <w:r w:rsidRPr="00B66462">
              <w:rPr>
                <w:rFonts w:asciiTheme="minorHAnsi" w:hAnsiTheme="minorHAnsi"/>
                <w:color w:val="000000"/>
                <w:sz w:val="20"/>
                <w:lang w:eastAsia="zh-CN"/>
              </w:rPr>
              <w:t>to approve a consolidated and clearly formulated mandate for the ITU regional presence with specific objectives for the regional offices</w:t>
            </w:r>
            <w:r w:rsidR="00584200">
              <w:rPr>
                <w:rFonts w:asciiTheme="minorHAnsi" w:hAnsiTheme="minorHAnsi"/>
                <w:color w:val="000000"/>
                <w:sz w:val="20"/>
                <w:lang w:eastAsia="zh-CN"/>
              </w:rPr>
              <w:t>”</w:t>
            </w:r>
            <w:r w:rsidRPr="00B66462">
              <w:rPr>
                <w:rFonts w:asciiTheme="minorHAnsi" w:hAnsiTheme="minorHAnsi"/>
                <w:color w:val="000000"/>
                <w:sz w:val="20"/>
                <w:lang w:eastAsia="zh-CN"/>
              </w:rPr>
              <w:t xml:space="preserve"> remains relevant. ITU management should formalize specific terms of reference for each Regional and Area Office that would clarify their respective roles and functions, taking into account the specificities of their </w:t>
            </w:r>
            <w:r w:rsidRPr="00B66462">
              <w:rPr>
                <w:rFonts w:asciiTheme="minorHAnsi" w:hAnsiTheme="minorHAnsi"/>
                <w:color w:val="000000"/>
                <w:sz w:val="20"/>
                <w:lang w:eastAsia="zh-CN"/>
              </w:rPr>
              <w:lastRenderedPageBreak/>
              <w:t>regions, the regional initiatives, priorities and conditions of operations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C49EFF8" w14:textId="77777777" w:rsidR="00B66462" w:rsidRPr="00B66462" w:rsidRDefault="00B66462" w:rsidP="001206BA">
            <w:pPr>
              <w:spacing w:before="60"/>
              <w:jc w:val="center"/>
              <w:rPr>
                <w:rFonts w:asciiTheme="minorHAnsi" w:hAnsiTheme="minorHAnsi"/>
                <w:color w:val="000000"/>
                <w:sz w:val="20"/>
                <w:lang w:eastAsia="zh-CN"/>
              </w:rPr>
            </w:pPr>
            <w:proofErr w:type="spellStart"/>
            <w:r w:rsidRPr="00B66462">
              <w:rPr>
                <w:rFonts w:asciiTheme="minorHAnsi" w:hAnsiTheme="minorHAnsi"/>
                <w:color w:val="000000"/>
                <w:sz w:val="20"/>
                <w:lang w:eastAsia="zh-CN"/>
              </w:rPr>
              <w:lastRenderedPageBreak/>
              <w:t>CoCo</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7B87DB46" w14:textId="77777777"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The regional presence is part of the delivery mechanism like all other departments in the HQs in the new framework of Result-based management. The setting of the objectives would be taken at global level.</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5F418FF" w14:textId="77777777" w:rsidR="00B66462" w:rsidRPr="00B66462" w:rsidRDefault="00B66462" w:rsidP="001206BA">
            <w:pPr>
              <w:spacing w:before="60"/>
              <w:rPr>
                <w:rFonts w:asciiTheme="minorHAnsi" w:hAnsiTheme="minorHAnsi"/>
                <w:b/>
                <w:bCs/>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206FBF30" w14:textId="77777777" w:rsidR="00B66462" w:rsidRPr="00B66462" w:rsidRDefault="00B66462" w:rsidP="001206BA">
            <w:pPr>
              <w:spacing w:before="60"/>
              <w:rPr>
                <w:rFonts w:asciiTheme="minorHAnsi" w:hAnsiTheme="minorHAnsi"/>
                <w:color w:val="2F75B5"/>
                <w:sz w:val="20"/>
                <w:lang w:eastAsia="zh-CN"/>
              </w:rPr>
            </w:pPr>
            <w:r w:rsidRPr="00B66462">
              <w:rPr>
                <w:rFonts w:asciiTheme="minorHAnsi" w:hAnsiTheme="minorHAnsi"/>
                <w:sz w:val="20"/>
                <w:lang w:eastAsia="zh-CN"/>
              </w:rPr>
              <w:t>N/A</w:t>
            </w:r>
          </w:p>
        </w:tc>
      </w:tr>
      <w:tr w:rsidR="00B66462" w:rsidRPr="00B66462" w14:paraId="194FBD34" w14:textId="77777777" w:rsidTr="00776509">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5F85BC38" w14:textId="77777777"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197</w:t>
            </w:r>
          </w:p>
        </w:tc>
        <w:tc>
          <w:tcPr>
            <w:tcW w:w="5003" w:type="dxa"/>
            <w:tcBorders>
              <w:top w:val="single" w:sz="4" w:space="0" w:color="auto"/>
              <w:left w:val="single" w:sz="4" w:space="0" w:color="auto"/>
              <w:bottom w:val="single" w:sz="4" w:space="0" w:color="auto"/>
              <w:right w:val="single" w:sz="4" w:space="0" w:color="auto"/>
            </w:tcBorders>
            <w:shd w:val="clear" w:color="auto" w:fill="auto"/>
            <w:hideMark/>
          </w:tcPr>
          <w:p w14:paraId="28929CEB" w14:textId="77777777"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The Inspectors believe that further analysis of the achievements and challenges faced by respective offices should be presented to the stakeholders by ITU management in order to fully identify the lessons learned and the existing good practices to be shared across the regional presence. This would help to better demonstrate the role played by the regional presence and help to raise awareness and support from ITU membership</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B9A9E6B" w14:textId="77777777" w:rsidR="00B66462" w:rsidRPr="00B66462" w:rsidRDefault="00B66462" w:rsidP="001206BA">
            <w:pPr>
              <w:spacing w:before="60"/>
              <w:jc w:val="center"/>
              <w:rPr>
                <w:rFonts w:asciiTheme="minorHAnsi" w:hAnsiTheme="minorHAnsi"/>
                <w:color w:val="000000"/>
                <w:sz w:val="20"/>
                <w:lang w:eastAsia="zh-CN"/>
              </w:rPr>
            </w:pPr>
            <w:proofErr w:type="spellStart"/>
            <w:r w:rsidRPr="00B66462">
              <w:rPr>
                <w:rFonts w:asciiTheme="minorHAnsi" w:hAnsiTheme="minorHAnsi"/>
                <w:color w:val="000000"/>
                <w:sz w:val="20"/>
                <w:lang w:eastAsia="zh-CN"/>
              </w:rPr>
              <w:t>CoCo</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5BC2772" w14:textId="77777777"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 xml:space="preserve">Reports are regularly being submitted to </w:t>
            </w:r>
            <w:r w:rsidR="00770A8A">
              <w:rPr>
                <w:rFonts w:asciiTheme="minorHAnsi" w:hAnsiTheme="minorHAnsi"/>
                <w:color w:val="000000"/>
                <w:sz w:val="20"/>
                <w:lang w:eastAsia="zh-CN"/>
              </w:rPr>
              <w:t xml:space="preserve">the </w:t>
            </w:r>
            <w:r w:rsidRPr="00B66462">
              <w:rPr>
                <w:rFonts w:asciiTheme="minorHAnsi" w:hAnsiTheme="minorHAnsi"/>
                <w:color w:val="000000"/>
                <w:sz w:val="20"/>
                <w:lang w:eastAsia="zh-CN"/>
              </w:rPr>
              <w:t>Council on Resolution 25.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E41F935" w14:textId="77777777" w:rsidR="00B66462" w:rsidRPr="00B66462" w:rsidRDefault="00B66462" w:rsidP="001206BA">
            <w:pPr>
              <w:spacing w:before="60"/>
              <w:rPr>
                <w:rFonts w:asciiTheme="minorHAnsi" w:hAnsiTheme="minorHAnsi"/>
                <w:b/>
                <w:bCs/>
                <w:sz w:val="20"/>
                <w:lang w:eastAsia="zh-CN"/>
              </w:rPr>
            </w:pPr>
            <w:r w:rsidRPr="00B66462">
              <w:rPr>
                <w:rFonts w:asciiTheme="minorHAnsi" w:hAnsiTheme="minorHAnsi"/>
                <w:b/>
                <w:bCs/>
                <w:sz w:val="20"/>
                <w:lang w:eastAsia="zh-CN"/>
              </w:rPr>
              <w:t>Implemented</w:t>
            </w:r>
          </w:p>
        </w:tc>
        <w:tc>
          <w:tcPr>
            <w:tcW w:w="1700" w:type="dxa"/>
            <w:tcBorders>
              <w:top w:val="single" w:sz="4" w:space="0" w:color="auto"/>
              <w:left w:val="single" w:sz="4" w:space="0" w:color="auto"/>
              <w:bottom w:val="single" w:sz="4" w:space="0" w:color="auto"/>
              <w:right w:val="single" w:sz="4" w:space="0" w:color="auto"/>
            </w:tcBorders>
          </w:tcPr>
          <w:p w14:paraId="74025A51" w14:textId="77777777" w:rsidR="00B66462" w:rsidRPr="00B66462" w:rsidRDefault="00B66462" w:rsidP="001206BA">
            <w:pPr>
              <w:spacing w:before="60"/>
              <w:rPr>
                <w:rFonts w:asciiTheme="minorHAnsi" w:hAnsiTheme="minorHAnsi"/>
                <w:color w:val="2F75B5"/>
                <w:sz w:val="20"/>
                <w:lang w:eastAsia="zh-CN"/>
              </w:rPr>
            </w:pPr>
            <w:r w:rsidRPr="00B66462">
              <w:rPr>
                <w:rFonts w:asciiTheme="minorHAnsi" w:hAnsiTheme="minorHAnsi"/>
                <w:sz w:val="20"/>
                <w:lang w:eastAsia="zh-CN"/>
              </w:rPr>
              <w:t>N/A</w:t>
            </w:r>
          </w:p>
        </w:tc>
      </w:tr>
    </w:tbl>
    <w:p w14:paraId="231A3D66" w14:textId="77777777" w:rsidR="00264425" w:rsidRPr="00B66462" w:rsidRDefault="001206BA" w:rsidP="00B54A5C">
      <w:pPr>
        <w:spacing w:before="840"/>
        <w:jc w:val="center"/>
        <w:rPr>
          <w:lang w:val="en-US"/>
        </w:rPr>
      </w:pPr>
      <w:r>
        <w:rPr>
          <w:lang w:val="en-US"/>
        </w:rPr>
        <w:t>_______________</w:t>
      </w:r>
      <w:r w:rsidR="00B54A5C">
        <w:rPr>
          <w:lang w:val="en-US"/>
        </w:rPr>
        <w:t>_____</w:t>
      </w:r>
    </w:p>
    <w:sectPr w:rsidR="00264425" w:rsidRPr="00B66462" w:rsidSect="00B54A5C">
      <w:headerReference w:type="default" r:id="rId39"/>
      <w:headerReference w:type="first" r:id="rId40"/>
      <w:footerReference w:type="first" r:id="rId41"/>
      <w:pgSz w:w="16834" w:h="11907" w:orient="landscape" w:code="9"/>
      <w:pgMar w:top="1021" w:right="1077" w:bottom="964" w:left="1077" w:header="567"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64BDB" w14:textId="77777777" w:rsidR="00D94070" w:rsidRDefault="00D94070">
      <w:r>
        <w:separator/>
      </w:r>
    </w:p>
  </w:endnote>
  <w:endnote w:type="continuationSeparator" w:id="0">
    <w:p w14:paraId="1799E3B7" w14:textId="77777777" w:rsidR="00D94070" w:rsidRDefault="00D9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4EB8C" w14:textId="0B05E3FE" w:rsidR="00521B3D" w:rsidRPr="00B66462" w:rsidRDefault="00521B3D" w:rsidP="00483D3F">
    <w:pPr>
      <w:pStyle w:val="Footer"/>
      <w:tabs>
        <w:tab w:val="left" w:pos="3330"/>
      </w:tabs>
      <w:rPr>
        <w:color w:val="D9D9D9" w:themeColor="background1" w:themeShade="D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C51EC" w14:textId="77777777" w:rsidR="00521B3D" w:rsidRDefault="00521B3D">
    <w:pPr>
      <w:spacing w:after="120"/>
      <w:jc w:val="center"/>
    </w:pPr>
    <w:r>
      <w:t xml:space="preserve">• </w:t>
    </w:r>
    <w:hyperlink r:id="rId1" w:history="1">
      <w:r>
        <w:rPr>
          <w:rStyle w:val="Hyperlink"/>
        </w:rPr>
        <w:t>http://www.itu.int/council</w:t>
      </w:r>
    </w:hyperlink>
    <w:r>
      <w:t xml:space="preserve"> •</w:t>
    </w:r>
  </w:p>
  <w:p w14:paraId="74BFB0C9" w14:textId="3CDC91C7" w:rsidR="00521B3D" w:rsidRPr="002B2955" w:rsidRDefault="00521B3D">
    <w:pPr>
      <w:pStyle w:val="Footer"/>
      <w:rPr>
        <w:color w:val="D9D9D9" w:themeColor="background1" w:themeShade="D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9A0FB" w14:textId="74D15E00" w:rsidR="00521B3D" w:rsidRPr="00B66462" w:rsidRDefault="00521B3D">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575EE" w14:textId="77777777" w:rsidR="00D94070" w:rsidRDefault="00D94070">
      <w:r>
        <w:t>____________________</w:t>
      </w:r>
    </w:p>
  </w:footnote>
  <w:footnote w:type="continuationSeparator" w:id="0">
    <w:p w14:paraId="3D277849" w14:textId="77777777" w:rsidR="00D94070" w:rsidRDefault="00D94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792D6" w14:textId="77777777" w:rsidR="00521B3D" w:rsidRDefault="00521B3D" w:rsidP="00CE433C">
    <w:pPr>
      <w:pStyle w:val="Header"/>
    </w:pPr>
    <w:r>
      <w:fldChar w:fldCharType="begin"/>
    </w:r>
    <w:r>
      <w:instrText>PAGE</w:instrText>
    </w:r>
    <w:r>
      <w:fldChar w:fldCharType="separate"/>
    </w:r>
    <w:r w:rsidR="00382F69">
      <w:rPr>
        <w:noProof/>
      </w:rPr>
      <w:t>2</w:t>
    </w:r>
    <w:r>
      <w:rPr>
        <w:noProof/>
      </w:rPr>
      <w:fldChar w:fldCharType="end"/>
    </w:r>
  </w:p>
  <w:p w14:paraId="3FE8E818" w14:textId="77777777" w:rsidR="00521B3D" w:rsidRDefault="00521B3D" w:rsidP="00C80851">
    <w:pPr>
      <w:pStyle w:val="Header"/>
      <w:spacing w:after="120"/>
    </w:pPr>
    <w:r>
      <w:t>C18/39-E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FB78B" w14:textId="77777777" w:rsidR="00521B3D" w:rsidRDefault="00521B3D" w:rsidP="00483D3F">
    <w:pPr>
      <w:pStyle w:val="Header"/>
    </w:pPr>
    <w:r>
      <w:fldChar w:fldCharType="begin"/>
    </w:r>
    <w:r>
      <w:instrText>PAGE</w:instrText>
    </w:r>
    <w:r>
      <w:fldChar w:fldCharType="separate"/>
    </w:r>
    <w:r w:rsidR="00382F69">
      <w:rPr>
        <w:noProof/>
      </w:rPr>
      <w:t>15</w:t>
    </w:r>
    <w:r>
      <w:rPr>
        <w:noProof/>
      </w:rPr>
      <w:fldChar w:fldCharType="end"/>
    </w:r>
  </w:p>
  <w:p w14:paraId="79413B77" w14:textId="77777777" w:rsidR="00521B3D" w:rsidRPr="00483D3F" w:rsidRDefault="00521B3D" w:rsidP="00B54A5C">
    <w:pPr>
      <w:pStyle w:val="Header"/>
      <w:spacing w:after="120"/>
    </w:pPr>
    <w:r>
      <w:t>C18/39-E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C98F0" w14:textId="77777777" w:rsidR="00521B3D" w:rsidRDefault="00521B3D" w:rsidP="001206BA">
    <w:pPr>
      <w:pStyle w:val="Header"/>
    </w:pPr>
    <w:r>
      <w:fldChar w:fldCharType="begin"/>
    </w:r>
    <w:r>
      <w:instrText>PAGE</w:instrText>
    </w:r>
    <w:r>
      <w:fldChar w:fldCharType="separate"/>
    </w:r>
    <w:r w:rsidR="00382F69">
      <w:rPr>
        <w:noProof/>
      </w:rPr>
      <w:t>4</w:t>
    </w:r>
    <w:r>
      <w:rPr>
        <w:noProof/>
      </w:rPr>
      <w:fldChar w:fldCharType="end"/>
    </w:r>
  </w:p>
  <w:p w14:paraId="54C40B59" w14:textId="77777777" w:rsidR="00521B3D" w:rsidRDefault="00521B3D" w:rsidP="00B54A5C">
    <w:pPr>
      <w:pStyle w:val="Header"/>
      <w:spacing w:after="120"/>
    </w:pPr>
    <w:r>
      <w:t>C18/39-E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A829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FEEB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88A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3438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8C7A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3ECA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025A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AE2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541F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EE78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83B9B"/>
    <w:multiLevelType w:val="hybridMultilevel"/>
    <w:tmpl w:val="DB086BC6"/>
    <w:lvl w:ilvl="0" w:tplc="9D347A3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62"/>
    <w:rsid w:val="0001322F"/>
    <w:rsid w:val="000210D4"/>
    <w:rsid w:val="000450B7"/>
    <w:rsid w:val="00050C5A"/>
    <w:rsid w:val="00056E9B"/>
    <w:rsid w:val="00063016"/>
    <w:rsid w:val="00066795"/>
    <w:rsid w:val="00076AF6"/>
    <w:rsid w:val="00077F0D"/>
    <w:rsid w:val="000835F5"/>
    <w:rsid w:val="00085CF2"/>
    <w:rsid w:val="000A37CC"/>
    <w:rsid w:val="000B1705"/>
    <w:rsid w:val="000C0DC6"/>
    <w:rsid w:val="000C6D74"/>
    <w:rsid w:val="000D75B2"/>
    <w:rsid w:val="001121F5"/>
    <w:rsid w:val="001206BA"/>
    <w:rsid w:val="00126B06"/>
    <w:rsid w:val="001400DC"/>
    <w:rsid w:val="00140CE1"/>
    <w:rsid w:val="0015678A"/>
    <w:rsid w:val="00173BFC"/>
    <w:rsid w:val="0017539C"/>
    <w:rsid w:val="00175AC2"/>
    <w:rsid w:val="0017609F"/>
    <w:rsid w:val="00185846"/>
    <w:rsid w:val="001C4F6D"/>
    <w:rsid w:val="001C628E"/>
    <w:rsid w:val="001E0F7B"/>
    <w:rsid w:val="00200A2E"/>
    <w:rsid w:val="002119FD"/>
    <w:rsid w:val="002130E0"/>
    <w:rsid w:val="00264425"/>
    <w:rsid w:val="00265875"/>
    <w:rsid w:val="0027303B"/>
    <w:rsid w:val="0028109B"/>
    <w:rsid w:val="002B1F58"/>
    <w:rsid w:val="002B2955"/>
    <w:rsid w:val="002C1C7A"/>
    <w:rsid w:val="0030160F"/>
    <w:rsid w:val="00307A37"/>
    <w:rsid w:val="00322D0D"/>
    <w:rsid w:val="00327F38"/>
    <w:rsid w:val="00374E43"/>
    <w:rsid w:val="00382F69"/>
    <w:rsid w:val="003942D4"/>
    <w:rsid w:val="003958A8"/>
    <w:rsid w:val="003C2533"/>
    <w:rsid w:val="003C4958"/>
    <w:rsid w:val="0040150C"/>
    <w:rsid w:val="0040435A"/>
    <w:rsid w:val="00404BAC"/>
    <w:rsid w:val="00416A24"/>
    <w:rsid w:val="0042207C"/>
    <w:rsid w:val="00431D9E"/>
    <w:rsid w:val="00433CE8"/>
    <w:rsid w:val="00434A5C"/>
    <w:rsid w:val="00445536"/>
    <w:rsid w:val="00452F2C"/>
    <w:rsid w:val="00453135"/>
    <w:rsid w:val="004544D9"/>
    <w:rsid w:val="00483D3F"/>
    <w:rsid w:val="004857A4"/>
    <w:rsid w:val="00490E72"/>
    <w:rsid w:val="00491157"/>
    <w:rsid w:val="004921C8"/>
    <w:rsid w:val="004D1851"/>
    <w:rsid w:val="004D2EE1"/>
    <w:rsid w:val="004D599D"/>
    <w:rsid w:val="004E2EA5"/>
    <w:rsid w:val="004E3AEB"/>
    <w:rsid w:val="004E627B"/>
    <w:rsid w:val="0050223C"/>
    <w:rsid w:val="00521B3D"/>
    <w:rsid w:val="005243FF"/>
    <w:rsid w:val="00564FBC"/>
    <w:rsid w:val="00582442"/>
    <w:rsid w:val="00582B80"/>
    <w:rsid w:val="00584200"/>
    <w:rsid w:val="005B543E"/>
    <w:rsid w:val="0062172A"/>
    <w:rsid w:val="0064737F"/>
    <w:rsid w:val="006535F1"/>
    <w:rsid w:val="0065557D"/>
    <w:rsid w:val="00660B8B"/>
    <w:rsid w:val="00662984"/>
    <w:rsid w:val="0067027E"/>
    <w:rsid w:val="006716BB"/>
    <w:rsid w:val="00684AD2"/>
    <w:rsid w:val="00695460"/>
    <w:rsid w:val="006B3985"/>
    <w:rsid w:val="006B6680"/>
    <w:rsid w:val="006B6DCC"/>
    <w:rsid w:val="006D5DDF"/>
    <w:rsid w:val="00702DEF"/>
    <w:rsid w:val="00706861"/>
    <w:rsid w:val="0075051B"/>
    <w:rsid w:val="00766DA5"/>
    <w:rsid w:val="00770A8A"/>
    <w:rsid w:val="00776509"/>
    <w:rsid w:val="007869AF"/>
    <w:rsid w:val="00794D34"/>
    <w:rsid w:val="007A099B"/>
    <w:rsid w:val="007D59A2"/>
    <w:rsid w:val="00813E5E"/>
    <w:rsid w:val="00822ACC"/>
    <w:rsid w:val="0083581B"/>
    <w:rsid w:val="00864AFF"/>
    <w:rsid w:val="00866F3A"/>
    <w:rsid w:val="008B4A6A"/>
    <w:rsid w:val="008C7E27"/>
    <w:rsid w:val="008D3A68"/>
    <w:rsid w:val="0090465F"/>
    <w:rsid w:val="009173EF"/>
    <w:rsid w:val="00932906"/>
    <w:rsid w:val="00933F4A"/>
    <w:rsid w:val="0094257B"/>
    <w:rsid w:val="00942A57"/>
    <w:rsid w:val="00961B0B"/>
    <w:rsid w:val="009747F5"/>
    <w:rsid w:val="00975FAB"/>
    <w:rsid w:val="009B38C3"/>
    <w:rsid w:val="009E17BD"/>
    <w:rsid w:val="00A04CEC"/>
    <w:rsid w:val="00A27F92"/>
    <w:rsid w:val="00A302F3"/>
    <w:rsid w:val="00A309CA"/>
    <w:rsid w:val="00A32257"/>
    <w:rsid w:val="00A36D20"/>
    <w:rsid w:val="00A55622"/>
    <w:rsid w:val="00A57750"/>
    <w:rsid w:val="00A6272C"/>
    <w:rsid w:val="00A64CE6"/>
    <w:rsid w:val="00A83502"/>
    <w:rsid w:val="00AD15B3"/>
    <w:rsid w:val="00AF6E49"/>
    <w:rsid w:val="00B039A6"/>
    <w:rsid w:val="00B04A67"/>
    <w:rsid w:val="00B0583C"/>
    <w:rsid w:val="00B40A81"/>
    <w:rsid w:val="00B44910"/>
    <w:rsid w:val="00B54A5C"/>
    <w:rsid w:val="00B63E96"/>
    <w:rsid w:val="00B66462"/>
    <w:rsid w:val="00B72267"/>
    <w:rsid w:val="00B76EB6"/>
    <w:rsid w:val="00B7737B"/>
    <w:rsid w:val="00B824C8"/>
    <w:rsid w:val="00B82FC0"/>
    <w:rsid w:val="00BA5423"/>
    <w:rsid w:val="00BC251A"/>
    <w:rsid w:val="00BD032B"/>
    <w:rsid w:val="00BE2640"/>
    <w:rsid w:val="00BE745F"/>
    <w:rsid w:val="00BF487E"/>
    <w:rsid w:val="00C01189"/>
    <w:rsid w:val="00C16F9F"/>
    <w:rsid w:val="00C374DE"/>
    <w:rsid w:val="00C47AD4"/>
    <w:rsid w:val="00C52D81"/>
    <w:rsid w:val="00C55198"/>
    <w:rsid w:val="00C678AB"/>
    <w:rsid w:val="00C71650"/>
    <w:rsid w:val="00C80851"/>
    <w:rsid w:val="00C820D5"/>
    <w:rsid w:val="00CA6393"/>
    <w:rsid w:val="00CB18FF"/>
    <w:rsid w:val="00CC65A5"/>
    <w:rsid w:val="00CD0C08"/>
    <w:rsid w:val="00CE03FB"/>
    <w:rsid w:val="00CE433C"/>
    <w:rsid w:val="00CF33F3"/>
    <w:rsid w:val="00D06183"/>
    <w:rsid w:val="00D22C42"/>
    <w:rsid w:val="00D46308"/>
    <w:rsid w:val="00D65041"/>
    <w:rsid w:val="00D87229"/>
    <w:rsid w:val="00D94070"/>
    <w:rsid w:val="00DB384B"/>
    <w:rsid w:val="00DB5235"/>
    <w:rsid w:val="00E0190A"/>
    <w:rsid w:val="00E10E80"/>
    <w:rsid w:val="00E124F0"/>
    <w:rsid w:val="00E16B02"/>
    <w:rsid w:val="00E17FF6"/>
    <w:rsid w:val="00E40FF4"/>
    <w:rsid w:val="00E60F04"/>
    <w:rsid w:val="00E73244"/>
    <w:rsid w:val="00E82F74"/>
    <w:rsid w:val="00E854E4"/>
    <w:rsid w:val="00EB0D6F"/>
    <w:rsid w:val="00EB2232"/>
    <w:rsid w:val="00EC5337"/>
    <w:rsid w:val="00EF51DC"/>
    <w:rsid w:val="00F04CCA"/>
    <w:rsid w:val="00F2150A"/>
    <w:rsid w:val="00F231D8"/>
    <w:rsid w:val="00F46C5F"/>
    <w:rsid w:val="00F8087F"/>
    <w:rsid w:val="00F92CB7"/>
    <w:rsid w:val="00F94A63"/>
    <w:rsid w:val="00FA1C28"/>
    <w:rsid w:val="00FB010D"/>
    <w:rsid w:val="00FB7596"/>
    <w:rsid w:val="00FE4077"/>
    <w:rsid w:val="00FE77D2"/>
    <w:rsid w:val="00FF3A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73DEB7"/>
  <w15:docId w15:val="{16C66645-1D3D-48BC-B08B-8D71F2F1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B2955"/>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B66462"/>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erChar">
    <w:name w:val="Header Char"/>
    <w:basedOn w:val="DefaultParagraphFont"/>
    <w:link w:val="Header"/>
    <w:uiPriority w:val="99"/>
    <w:locked/>
    <w:rsid w:val="00B66462"/>
    <w:rPr>
      <w:rFonts w:ascii="Calibri" w:hAnsi="Calibri"/>
      <w:sz w:val="18"/>
      <w:lang w:val="en-GB" w:eastAsia="en-US"/>
    </w:rPr>
  </w:style>
  <w:style w:type="paragraph" w:styleId="ListParagraph">
    <w:name w:val="List Paragraph"/>
    <w:basedOn w:val="Normal"/>
    <w:uiPriority w:val="34"/>
    <w:qFormat/>
    <w:rsid w:val="00B66462"/>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paragraph" w:styleId="BalloonText">
    <w:name w:val="Balloon Text"/>
    <w:basedOn w:val="Normal"/>
    <w:link w:val="BalloonTextChar"/>
    <w:semiHidden/>
    <w:unhideWhenUsed/>
    <w:rsid w:val="00374E4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74E4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7-CL-C-0049/en" TargetMode="External"/><Relationship Id="rId18" Type="http://schemas.openxmlformats.org/officeDocument/2006/relationships/image" Target="media/image2.emf"/><Relationship Id="rId26" Type="http://schemas.openxmlformats.org/officeDocument/2006/relationships/hyperlink" Target="https://www.itu.int/md/S17-CL-C-0064/en"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itu.int/md/S17-CL-C-0020/en"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njiu.org/en/reports-notes/JIU%20Products/JIU_REP_2016_1_English.pdf" TargetMode="External"/><Relationship Id="rId17" Type="http://schemas.openxmlformats.org/officeDocument/2006/relationships/hyperlink" Target="https://www.itu.int/md/S17-CL-C-0049/en" TargetMode="External"/><Relationship Id="rId25" Type="http://schemas.openxmlformats.org/officeDocument/2006/relationships/hyperlink" Target="https://www.itu.int/md/S17-CL-C-0038/en" TargetMode="External"/><Relationship Id="rId33" Type="http://schemas.openxmlformats.org/officeDocument/2006/relationships/hyperlink" Target="https://www.itu.int/md/S17-CL-C-0053/en" TargetMode="External"/><Relationship Id="rId38" Type="http://schemas.openxmlformats.org/officeDocument/2006/relationships/hyperlink" Target="https://www.itu.int/md/S17-CL-C-0053/en" TargetMode="External"/><Relationship Id="rId2" Type="http://schemas.openxmlformats.org/officeDocument/2006/relationships/customXml" Target="../customXml/item2.xml"/><Relationship Id="rId16" Type="http://schemas.openxmlformats.org/officeDocument/2006/relationships/hyperlink" Target="https://www.itu.int/md/S16-CL-C-0049/en" TargetMode="External"/><Relationship Id="rId20" Type="http://schemas.openxmlformats.org/officeDocument/2006/relationships/header" Target="header1.xml"/><Relationship Id="rId29" Type="http://schemas.openxmlformats.org/officeDocument/2006/relationships/hyperlink" Target="https://www.itu.int/md/S17-CL-C-0074/en"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S17-CL-C-0010/en" TargetMode="External"/><Relationship Id="rId32" Type="http://schemas.openxmlformats.org/officeDocument/2006/relationships/hyperlink" Target="https://www.itu.int/md/S17-CL-C-0053/en" TargetMode="External"/><Relationship Id="rId37" Type="http://schemas.openxmlformats.org/officeDocument/2006/relationships/hyperlink" Target="https://www.itu.int/md/S17-CL-C-0035/en"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tu.int/md/S16-CL-C-0049/en" TargetMode="External"/><Relationship Id="rId23" Type="http://schemas.openxmlformats.org/officeDocument/2006/relationships/hyperlink" Target="https://www.itu.int/md/S17-CL-C-0045/en" TargetMode="External"/><Relationship Id="rId28" Type="http://schemas.openxmlformats.org/officeDocument/2006/relationships/hyperlink" Target="https://www.itu.int/md/S17-CL-C-0073/en" TargetMode="External"/><Relationship Id="rId36" Type="http://schemas.openxmlformats.org/officeDocument/2006/relationships/hyperlink" Target="http://www.itu.int/en/council/Pages/mcg.aspx" TargetMode="Externa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hyperlink" Target="https://www.itu.int/md/S17-CL-C-005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6-CL-C-0067/en" TargetMode="External"/><Relationship Id="rId22" Type="http://schemas.openxmlformats.org/officeDocument/2006/relationships/footer" Target="footer2.xml"/><Relationship Id="rId27" Type="http://schemas.openxmlformats.org/officeDocument/2006/relationships/hyperlink" Target="https://www.itu.int/md/S17-CL-C-0067/en" TargetMode="External"/><Relationship Id="rId30" Type="http://schemas.openxmlformats.org/officeDocument/2006/relationships/hyperlink" Target="https://www.itu.int/md/S17-CL-C-0053/en" TargetMode="External"/><Relationship Id="rId35" Type="http://schemas.openxmlformats.org/officeDocument/2006/relationships/hyperlink" Target="http://www.itu.int/en/council/Pages/coco.aspx"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FC721-E683-47E3-9004-8B1F8356222B}">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terms/"/>
    <ds:schemaRef ds:uri="f413e73c-0d45-446a-a106-728708596ba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D3B9B73-2EF5-47BF-8D4D-7E8513AE4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DFAE4-C1C9-4C06-9E9D-5D0179C086C0}">
  <ds:schemaRefs>
    <ds:schemaRef ds:uri="http://schemas.microsoft.com/sharepoint/v3/contenttype/forms"/>
  </ds:schemaRefs>
</ds:datastoreItem>
</file>

<file path=customXml/itemProps4.xml><?xml version="1.0" encoding="utf-8"?>
<ds:datastoreItem xmlns:ds="http://schemas.openxmlformats.org/officeDocument/2006/customXml" ds:itemID="{D1E082A7-E648-4F55-8C95-26216F50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5118</Words>
  <Characters>30259</Characters>
  <Application>Microsoft Office Word</Application>
  <DocSecurity>4</DocSecurity>
  <Lines>252</Lines>
  <Paragraphs>70</Paragraphs>
  <ScaleCrop>false</ScaleCrop>
  <HeadingPairs>
    <vt:vector size="2" baseType="variant">
      <vt:variant>
        <vt:lpstr>Title</vt:lpstr>
      </vt:variant>
      <vt:variant>
        <vt:i4>1</vt:i4>
      </vt:variant>
    </vt:vector>
  </HeadingPairs>
  <TitlesOfParts>
    <vt:vector size="1" baseType="lpstr">
      <vt:lpstr>Implementation status and plan of the JIU recommendations from the “Review of management and administration in the ITU”</vt:lpstr>
    </vt:vector>
  </TitlesOfParts>
  <Manager>General Secretariat - Pool</Manager>
  <Company>International Telecommunication Union (ITU)</Company>
  <LinksUpToDate>false</LinksUpToDate>
  <CharactersWithSpaces>35307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status and plan of the JIU recommendations from the “Review of management and administration in the ITU”</dc:title>
  <dc:subject>Council 2018</dc:subject>
  <dc:creator>Brouard, Ricarda</dc:creator>
  <cp:keywords>C2018, C18</cp:keywords>
  <dc:description/>
  <cp:lastModifiedBy>Brouard, Ricarda</cp:lastModifiedBy>
  <cp:revision>2</cp:revision>
  <cp:lastPrinted>2000-07-18T13:30:00Z</cp:lastPrinted>
  <dcterms:created xsi:type="dcterms:W3CDTF">2018-03-29T08:53:00Z</dcterms:created>
  <dcterms:modified xsi:type="dcterms:W3CDTF">2018-03-29T08:53:00Z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