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DD066D" w14:paraId="0E2E221B" w14:textId="77777777">
        <w:trPr>
          <w:cantSplit/>
        </w:trPr>
        <w:tc>
          <w:tcPr>
            <w:tcW w:w="6912" w:type="dxa"/>
          </w:tcPr>
          <w:p w14:paraId="7E748FD0" w14:textId="033A5CD5" w:rsidR="00520F36" w:rsidRPr="00DD066D" w:rsidRDefault="00520F36" w:rsidP="00BD6831">
            <w:pPr>
              <w:spacing w:before="360"/>
            </w:pPr>
            <w:r w:rsidRPr="00DD066D">
              <w:rPr>
                <w:b/>
                <w:bCs/>
                <w:sz w:val="30"/>
                <w:szCs w:val="30"/>
              </w:rPr>
              <w:t>Conseil</w:t>
            </w:r>
            <w:r w:rsidR="0018444B">
              <w:rPr>
                <w:b/>
                <w:bCs/>
                <w:sz w:val="30"/>
                <w:szCs w:val="30"/>
              </w:rPr>
              <w:t> </w:t>
            </w:r>
            <w:r w:rsidRPr="00DD066D">
              <w:rPr>
                <w:b/>
                <w:bCs/>
                <w:sz w:val="30"/>
                <w:szCs w:val="30"/>
              </w:rPr>
              <w:t>201</w:t>
            </w:r>
            <w:r w:rsidR="003C3FAE" w:rsidRPr="00DD066D">
              <w:rPr>
                <w:b/>
                <w:bCs/>
                <w:sz w:val="30"/>
                <w:szCs w:val="30"/>
              </w:rPr>
              <w:t>8</w:t>
            </w:r>
            <w:r w:rsidRPr="00DD066D">
              <w:rPr>
                <w:rFonts w:ascii="Verdana" w:hAnsi="Verdana"/>
                <w:b/>
                <w:bCs/>
                <w:sz w:val="26"/>
                <w:szCs w:val="26"/>
              </w:rPr>
              <w:br/>
            </w:r>
            <w:r w:rsidR="00E01D10" w:rsidRPr="00DD066D">
              <w:rPr>
                <w:b/>
                <w:bCs/>
                <w:position w:val="6"/>
              </w:rPr>
              <w:t>Dernière s</w:t>
            </w:r>
            <w:r w:rsidR="00835C61" w:rsidRPr="00DD066D">
              <w:rPr>
                <w:b/>
                <w:bCs/>
                <w:position w:val="6"/>
              </w:rPr>
              <w:t>éance, Duba</w:t>
            </w:r>
            <w:r w:rsidR="00BD6831">
              <w:rPr>
                <w:b/>
                <w:bCs/>
                <w:position w:val="6"/>
              </w:rPr>
              <w:t>ï</w:t>
            </w:r>
            <w:r w:rsidR="00835C61" w:rsidRPr="00DD066D">
              <w:rPr>
                <w:b/>
                <w:bCs/>
                <w:position w:val="6"/>
              </w:rPr>
              <w:t>, 27</w:t>
            </w:r>
            <w:r w:rsidR="0018444B">
              <w:rPr>
                <w:b/>
                <w:bCs/>
                <w:position w:val="6"/>
              </w:rPr>
              <w:t> </w:t>
            </w:r>
            <w:r w:rsidR="00835C61" w:rsidRPr="00DD066D">
              <w:rPr>
                <w:b/>
                <w:bCs/>
                <w:position w:val="6"/>
              </w:rPr>
              <w:t>octobre</w:t>
            </w:r>
            <w:r w:rsidR="0018444B">
              <w:rPr>
                <w:b/>
                <w:bCs/>
                <w:position w:val="6"/>
              </w:rPr>
              <w:t> </w:t>
            </w:r>
            <w:r w:rsidR="00EE464D" w:rsidRPr="00DD066D">
              <w:rPr>
                <w:b/>
                <w:bCs/>
                <w:position w:val="6"/>
              </w:rPr>
              <w:t>2018</w:t>
            </w:r>
          </w:p>
        </w:tc>
        <w:tc>
          <w:tcPr>
            <w:tcW w:w="3261" w:type="dxa"/>
          </w:tcPr>
          <w:p w14:paraId="58BE0E0E" w14:textId="77777777" w:rsidR="00520F36" w:rsidRPr="00DD066D" w:rsidRDefault="00520F36" w:rsidP="00B53AD7">
            <w:pPr>
              <w:spacing w:before="0"/>
              <w:jc w:val="right"/>
            </w:pPr>
            <w:bookmarkStart w:id="0" w:name="ditulogo"/>
            <w:bookmarkEnd w:id="0"/>
            <w:r w:rsidRPr="00DD066D">
              <w:rPr>
                <w:rFonts w:cstheme="minorHAnsi"/>
                <w:b/>
                <w:bCs/>
                <w:noProof/>
                <w:lang w:val="en-US" w:eastAsia="zh-CN"/>
              </w:rPr>
              <w:drawing>
                <wp:inline distT="0" distB="0" distL="0" distR="0" wp14:anchorId="699E164D" wp14:editId="70CA74D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DD066D" w14:paraId="5F8CD45B" w14:textId="77777777" w:rsidTr="00C10DF7">
        <w:trPr>
          <w:cantSplit/>
          <w:trHeight w:val="20"/>
        </w:trPr>
        <w:tc>
          <w:tcPr>
            <w:tcW w:w="6912" w:type="dxa"/>
            <w:tcBorders>
              <w:bottom w:val="single" w:sz="12" w:space="0" w:color="auto"/>
            </w:tcBorders>
            <w:vAlign w:val="center"/>
          </w:tcPr>
          <w:p w14:paraId="1ADF1252" w14:textId="77777777" w:rsidR="00520F36" w:rsidRPr="00DD066D" w:rsidRDefault="00520F36" w:rsidP="00B53AD7">
            <w:pPr>
              <w:spacing w:before="0"/>
              <w:rPr>
                <w:b/>
                <w:bCs/>
                <w:sz w:val="26"/>
                <w:szCs w:val="26"/>
              </w:rPr>
            </w:pPr>
          </w:p>
        </w:tc>
        <w:tc>
          <w:tcPr>
            <w:tcW w:w="3261" w:type="dxa"/>
            <w:tcBorders>
              <w:bottom w:val="single" w:sz="12" w:space="0" w:color="auto"/>
            </w:tcBorders>
          </w:tcPr>
          <w:p w14:paraId="7ACE8337" w14:textId="77777777" w:rsidR="00520F36" w:rsidRPr="00DD066D" w:rsidRDefault="00520F36" w:rsidP="00B53AD7">
            <w:pPr>
              <w:spacing w:before="0"/>
              <w:rPr>
                <w:b/>
                <w:bCs/>
              </w:rPr>
            </w:pPr>
          </w:p>
        </w:tc>
      </w:tr>
      <w:tr w:rsidR="00520F36" w:rsidRPr="00DD066D" w14:paraId="7FEFAB49" w14:textId="77777777">
        <w:trPr>
          <w:cantSplit/>
          <w:trHeight w:val="20"/>
        </w:trPr>
        <w:tc>
          <w:tcPr>
            <w:tcW w:w="6912" w:type="dxa"/>
            <w:tcBorders>
              <w:top w:val="single" w:sz="12" w:space="0" w:color="auto"/>
            </w:tcBorders>
          </w:tcPr>
          <w:p w14:paraId="38BB9F2B" w14:textId="77777777" w:rsidR="00520F36" w:rsidRPr="00DD066D" w:rsidRDefault="00520F36" w:rsidP="00B53AD7">
            <w:pPr>
              <w:spacing w:before="0"/>
              <w:rPr>
                <w:smallCaps/>
                <w:sz w:val="22"/>
              </w:rPr>
            </w:pPr>
          </w:p>
        </w:tc>
        <w:tc>
          <w:tcPr>
            <w:tcW w:w="3261" w:type="dxa"/>
            <w:tcBorders>
              <w:top w:val="single" w:sz="12" w:space="0" w:color="auto"/>
            </w:tcBorders>
          </w:tcPr>
          <w:p w14:paraId="10D614FB" w14:textId="77777777" w:rsidR="00520F36" w:rsidRPr="00DD066D" w:rsidRDefault="00520F36" w:rsidP="00B53AD7">
            <w:pPr>
              <w:spacing w:before="0"/>
              <w:rPr>
                <w:b/>
                <w:bCs/>
              </w:rPr>
            </w:pPr>
          </w:p>
        </w:tc>
      </w:tr>
      <w:tr w:rsidR="00520F36" w:rsidRPr="00DD066D" w14:paraId="5950C823" w14:textId="77777777">
        <w:trPr>
          <w:cantSplit/>
          <w:trHeight w:val="20"/>
        </w:trPr>
        <w:tc>
          <w:tcPr>
            <w:tcW w:w="6912" w:type="dxa"/>
            <w:vMerge w:val="restart"/>
          </w:tcPr>
          <w:p w14:paraId="288B0203" w14:textId="16AE04AD" w:rsidR="00520F36" w:rsidRPr="00DD066D" w:rsidRDefault="00E01D10" w:rsidP="0018444B">
            <w:pPr>
              <w:spacing w:before="0"/>
              <w:rPr>
                <w:rFonts w:cs="Times"/>
                <w:b/>
                <w:bCs/>
                <w:szCs w:val="24"/>
              </w:rPr>
            </w:pPr>
            <w:bookmarkStart w:id="1" w:name="dnum" w:colFirst="1" w:colLast="1"/>
            <w:bookmarkStart w:id="2" w:name="dmeeting" w:colFirst="0" w:colLast="0"/>
            <w:r w:rsidRPr="00DD066D">
              <w:rPr>
                <w:rFonts w:cs="Times"/>
                <w:b/>
                <w:bCs/>
                <w:szCs w:val="24"/>
              </w:rPr>
              <w:t>Point de l</w:t>
            </w:r>
            <w:r w:rsidR="001B30ED">
              <w:rPr>
                <w:rFonts w:cs="Times"/>
                <w:b/>
                <w:bCs/>
                <w:szCs w:val="24"/>
              </w:rPr>
              <w:t>'</w:t>
            </w:r>
            <w:r w:rsidRPr="00DD066D">
              <w:rPr>
                <w:rFonts w:cs="Times"/>
                <w:b/>
                <w:bCs/>
                <w:szCs w:val="24"/>
              </w:rPr>
              <w:t>ordre du jour: ADM</w:t>
            </w:r>
            <w:r w:rsidR="0018444B">
              <w:rPr>
                <w:rFonts w:cs="Times"/>
                <w:b/>
                <w:bCs/>
                <w:szCs w:val="24"/>
              </w:rPr>
              <w:t> </w:t>
            </w:r>
            <w:r w:rsidRPr="00DD066D">
              <w:rPr>
                <w:rFonts w:cs="Times"/>
                <w:b/>
                <w:bCs/>
                <w:szCs w:val="24"/>
              </w:rPr>
              <w:t>10</w:t>
            </w:r>
          </w:p>
        </w:tc>
        <w:tc>
          <w:tcPr>
            <w:tcW w:w="3261" w:type="dxa"/>
          </w:tcPr>
          <w:p w14:paraId="77D8F58B" w14:textId="4FB1F50D" w:rsidR="00520F36" w:rsidRPr="00DD066D" w:rsidRDefault="00520F36" w:rsidP="0018444B">
            <w:pPr>
              <w:spacing w:before="0"/>
              <w:rPr>
                <w:b/>
                <w:bCs/>
              </w:rPr>
            </w:pPr>
            <w:r w:rsidRPr="00DD066D">
              <w:rPr>
                <w:b/>
                <w:bCs/>
              </w:rPr>
              <w:t>Document</w:t>
            </w:r>
            <w:r w:rsidR="0018444B">
              <w:rPr>
                <w:b/>
                <w:bCs/>
              </w:rPr>
              <w:t> </w:t>
            </w:r>
            <w:r w:rsidRPr="00DD066D">
              <w:rPr>
                <w:b/>
                <w:bCs/>
              </w:rPr>
              <w:t>C1</w:t>
            </w:r>
            <w:r w:rsidR="003C3FAE" w:rsidRPr="00DD066D">
              <w:rPr>
                <w:b/>
                <w:bCs/>
              </w:rPr>
              <w:t>8</w:t>
            </w:r>
            <w:r w:rsidRPr="00DD066D">
              <w:rPr>
                <w:b/>
                <w:bCs/>
              </w:rPr>
              <w:t>/</w:t>
            </w:r>
            <w:r w:rsidR="00EE464D" w:rsidRPr="00DD066D">
              <w:rPr>
                <w:b/>
                <w:bCs/>
              </w:rPr>
              <w:t>40</w:t>
            </w:r>
            <w:r w:rsidRPr="00DD066D">
              <w:rPr>
                <w:b/>
                <w:bCs/>
              </w:rPr>
              <w:t>-F</w:t>
            </w:r>
          </w:p>
        </w:tc>
      </w:tr>
      <w:tr w:rsidR="00520F36" w:rsidRPr="00DD066D" w14:paraId="49D65F2D" w14:textId="77777777">
        <w:trPr>
          <w:cantSplit/>
          <w:trHeight w:val="20"/>
        </w:trPr>
        <w:tc>
          <w:tcPr>
            <w:tcW w:w="6912" w:type="dxa"/>
            <w:vMerge/>
          </w:tcPr>
          <w:p w14:paraId="0B1ABD43" w14:textId="77777777" w:rsidR="00520F36" w:rsidRPr="00DD066D" w:rsidRDefault="00520F36" w:rsidP="00B53AD7">
            <w:pPr>
              <w:shd w:val="solid" w:color="FFFFFF" w:fill="FFFFFF"/>
              <w:spacing w:before="180"/>
              <w:rPr>
                <w:smallCaps/>
              </w:rPr>
            </w:pPr>
            <w:bookmarkStart w:id="3" w:name="ddate" w:colFirst="1" w:colLast="1"/>
            <w:bookmarkEnd w:id="1"/>
            <w:bookmarkEnd w:id="2"/>
          </w:p>
        </w:tc>
        <w:tc>
          <w:tcPr>
            <w:tcW w:w="3261" w:type="dxa"/>
          </w:tcPr>
          <w:p w14:paraId="1BDB5EF3" w14:textId="13814760" w:rsidR="00520F36" w:rsidRPr="00DD066D" w:rsidRDefault="00EE464D" w:rsidP="0018444B">
            <w:pPr>
              <w:spacing w:before="0"/>
              <w:rPr>
                <w:b/>
                <w:bCs/>
              </w:rPr>
            </w:pPr>
            <w:r w:rsidRPr="00DD066D">
              <w:rPr>
                <w:b/>
                <w:bCs/>
              </w:rPr>
              <w:t>23</w:t>
            </w:r>
            <w:r w:rsidR="0018444B">
              <w:rPr>
                <w:b/>
                <w:bCs/>
              </w:rPr>
              <w:t> </w:t>
            </w:r>
            <w:r w:rsidRPr="00DD066D">
              <w:rPr>
                <w:b/>
                <w:bCs/>
              </w:rPr>
              <w:t>juillet</w:t>
            </w:r>
            <w:r w:rsidR="0018444B">
              <w:rPr>
                <w:b/>
                <w:bCs/>
              </w:rPr>
              <w:t> </w:t>
            </w:r>
            <w:r w:rsidR="00520F36" w:rsidRPr="00DD066D">
              <w:rPr>
                <w:b/>
                <w:bCs/>
              </w:rPr>
              <w:t>201</w:t>
            </w:r>
            <w:r w:rsidR="003C3FAE" w:rsidRPr="00DD066D">
              <w:rPr>
                <w:b/>
                <w:bCs/>
              </w:rPr>
              <w:t>8</w:t>
            </w:r>
          </w:p>
        </w:tc>
      </w:tr>
      <w:tr w:rsidR="00520F36" w:rsidRPr="00DD066D" w14:paraId="47790095" w14:textId="77777777" w:rsidTr="00BA2C8E">
        <w:trPr>
          <w:cantSplit/>
          <w:trHeight w:val="353"/>
        </w:trPr>
        <w:tc>
          <w:tcPr>
            <w:tcW w:w="6912" w:type="dxa"/>
            <w:vMerge/>
          </w:tcPr>
          <w:p w14:paraId="400E2574" w14:textId="77777777" w:rsidR="00520F36" w:rsidRPr="00DD066D" w:rsidRDefault="00520F36" w:rsidP="00B53AD7">
            <w:pPr>
              <w:shd w:val="solid" w:color="FFFFFF" w:fill="FFFFFF"/>
              <w:spacing w:before="180"/>
              <w:rPr>
                <w:smallCaps/>
              </w:rPr>
            </w:pPr>
            <w:bookmarkStart w:id="4" w:name="dorlang" w:colFirst="1" w:colLast="1"/>
            <w:bookmarkEnd w:id="3"/>
          </w:p>
        </w:tc>
        <w:tc>
          <w:tcPr>
            <w:tcW w:w="3261" w:type="dxa"/>
          </w:tcPr>
          <w:p w14:paraId="79BFA063" w14:textId="77777777" w:rsidR="00520F36" w:rsidRPr="00DD066D" w:rsidRDefault="00520F36" w:rsidP="00B53AD7">
            <w:pPr>
              <w:spacing w:before="0"/>
              <w:rPr>
                <w:b/>
                <w:bCs/>
              </w:rPr>
            </w:pPr>
            <w:r w:rsidRPr="00DD066D">
              <w:rPr>
                <w:b/>
                <w:bCs/>
              </w:rPr>
              <w:t>Original: anglais</w:t>
            </w:r>
          </w:p>
        </w:tc>
      </w:tr>
      <w:tr w:rsidR="00520F36" w:rsidRPr="00DD066D" w14:paraId="22E1D22E" w14:textId="77777777">
        <w:trPr>
          <w:cantSplit/>
        </w:trPr>
        <w:tc>
          <w:tcPr>
            <w:tcW w:w="10173" w:type="dxa"/>
            <w:gridSpan w:val="2"/>
          </w:tcPr>
          <w:p w14:paraId="08182F78" w14:textId="77777777" w:rsidR="00520F36" w:rsidRPr="00DD066D" w:rsidRDefault="00EE464D" w:rsidP="00B53AD7">
            <w:pPr>
              <w:pStyle w:val="Source"/>
            </w:pPr>
            <w:bookmarkStart w:id="5" w:name="dsource" w:colFirst="0" w:colLast="0"/>
            <w:bookmarkEnd w:id="4"/>
            <w:r w:rsidRPr="00DD066D">
              <w:t>Rapport du Secrétaire général</w:t>
            </w:r>
          </w:p>
        </w:tc>
      </w:tr>
      <w:tr w:rsidR="00520F36" w:rsidRPr="00DD066D" w14:paraId="27EE2580" w14:textId="77777777">
        <w:trPr>
          <w:cantSplit/>
        </w:trPr>
        <w:tc>
          <w:tcPr>
            <w:tcW w:w="10173" w:type="dxa"/>
            <w:gridSpan w:val="2"/>
          </w:tcPr>
          <w:p w14:paraId="4C490268" w14:textId="7A7BC308" w:rsidR="00520F36" w:rsidRPr="00DD066D" w:rsidRDefault="00EE464D" w:rsidP="008F3D3C">
            <w:pPr>
              <w:pStyle w:val="Title1"/>
            </w:pPr>
            <w:bookmarkStart w:id="6" w:name="dtitle1" w:colFirst="0" w:colLast="0"/>
            <w:bookmarkEnd w:id="5"/>
            <w:r w:rsidRPr="00DD066D">
              <w:t>VÉRIFICATION EXTÉRIEURE DES COMPTES DE L</w:t>
            </w:r>
            <w:r w:rsidR="001B30ED">
              <w:t>'</w:t>
            </w:r>
            <w:r w:rsidRPr="00DD066D">
              <w:t>UNION</w:t>
            </w:r>
          </w:p>
        </w:tc>
      </w:tr>
      <w:bookmarkEnd w:id="6"/>
    </w:tbl>
    <w:p w14:paraId="7621718B" w14:textId="77777777" w:rsidR="00520F36" w:rsidRPr="00DD066D" w:rsidRDefault="00520F36" w:rsidP="00B53AD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DD066D" w14:paraId="536844B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C0DDDB9" w14:textId="77777777" w:rsidR="00520F36" w:rsidRPr="00DD066D" w:rsidRDefault="00520F36" w:rsidP="00B53AD7">
            <w:pPr>
              <w:pStyle w:val="Headingb"/>
            </w:pPr>
            <w:bookmarkStart w:id="7" w:name="_Toc522684904"/>
            <w:bookmarkStart w:id="8" w:name="_Toc522685279"/>
            <w:r w:rsidRPr="00DD066D">
              <w:t>Résumé</w:t>
            </w:r>
            <w:bookmarkEnd w:id="7"/>
            <w:bookmarkEnd w:id="8"/>
          </w:p>
          <w:p w14:paraId="3B0008B4" w14:textId="1275BFEB" w:rsidR="00520F36" w:rsidRPr="00DD066D" w:rsidRDefault="00EE464D" w:rsidP="00B53AD7">
            <w:r w:rsidRPr="00DD066D">
              <w:t>Le rapport du Vérificateur extérieur des comptes porte sur la vérification des états financiers pour l</w:t>
            </w:r>
            <w:r w:rsidR="001B30ED">
              <w:t>'</w:t>
            </w:r>
            <w:r w:rsidRPr="00DD066D">
              <w:t>exercice</w:t>
            </w:r>
            <w:r w:rsidR="0018444B">
              <w:t> </w:t>
            </w:r>
            <w:r w:rsidRPr="00DD066D">
              <w:t>2017.</w:t>
            </w:r>
          </w:p>
          <w:p w14:paraId="0B5ABD08" w14:textId="77777777" w:rsidR="00520F36" w:rsidRPr="00DD066D" w:rsidRDefault="00520F36" w:rsidP="00B53AD7">
            <w:pPr>
              <w:pStyle w:val="Headingb"/>
            </w:pPr>
            <w:bookmarkStart w:id="9" w:name="_Toc522684905"/>
            <w:bookmarkStart w:id="10" w:name="_Toc522685280"/>
            <w:r w:rsidRPr="00DD066D">
              <w:t>Suite à donner</w:t>
            </w:r>
            <w:bookmarkEnd w:id="9"/>
            <w:bookmarkEnd w:id="10"/>
          </w:p>
          <w:p w14:paraId="33129501" w14:textId="5EEC2878" w:rsidR="00520F36" w:rsidRPr="00DD066D" w:rsidRDefault="00EE464D" w:rsidP="00B53AD7">
            <w:r w:rsidRPr="00DD066D">
              <w:t>Le Conseil est invité à examiner le rapport du Vérificateur extérieur des comptes pour l</w:t>
            </w:r>
            <w:r w:rsidR="001B30ED">
              <w:t>'</w:t>
            </w:r>
            <w:r w:rsidRPr="00DD066D">
              <w:t>exercice</w:t>
            </w:r>
            <w:r w:rsidR="0018444B">
              <w:t> </w:t>
            </w:r>
            <w:r w:rsidRPr="00DD066D">
              <w:t xml:space="preserve">2017 et à </w:t>
            </w:r>
            <w:r w:rsidRPr="00DD066D">
              <w:rPr>
                <w:b/>
                <w:bCs/>
              </w:rPr>
              <w:t>approuver</w:t>
            </w:r>
            <w:r w:rsidRPr="00DD066D">
              <w:t xml:space="preserve"> les comptes tels qu</w:t>
            </w:r>
            <w:r w:rsidR="001B30ED">
              <w:t>'</w:t>
            </w:r>
            <w:r w:rsidRPr="00DD066D">
              <w:t>ils ont été vérifiés.</w:t>
            </w:r>
          </w:p>
          <w:p w14:paraId="6AEB0A92" w14:textId="77777777" w:rsidR="00520F36" w:rsidRPr="00DD066D" w:rsidRDefault="00520F36" w:rsidP="00B53AD7">
            <w:pPr>
              <w:pStyle w:val="Table"/>
              <w:keepNext w:val="0"/>
              <w:spacing w:before="0" w:after="0"/>
              <w:rPr>
                <w:rFonts w:ascii="Calibri" w:hAnsi="Calibri"/>
                <w:caps w:val="0"/>
                <w:sz w:val="22"/>
                <w:lang w:val="fr-FR"/>
              </w:rPr>
            </w:pPr>
            <w:r w:rsidRPr="00DD066D">
              <w:rPr>
                <w:rFonts w:ascii="Calibri" w:hAnsi="Calibri"/>
                <w:caps w:val="0"/>
                <w:sz w:val="22"/>
                <w:lang w:val="fr-FR"/>
              </w:rPr>
              <w:t>____________</w:t>
            </w:r>
          </w:p>
          <w:p w14:paraId="5601809E" w14:textId="77777777" w:rsidR="00520F36" w:rsidRPr="00DD066D" w:rsidRDefault="00520F36" w:rsidP="00B53AD7">
            <w:pPr>
              <w:pStyle w:val="Headingb"/>
            </w:pPr>
            <w:bookmarkStart w:id="11" w:name="_Toc522684906"/>
            <w:bookmarkStart w:id="12" w:name="_Toc522685281"/>
            <w:r w:rsidRPr="00DD066D">
              <w:t>Références</w:t>
            </w:r>
            <w:bookmarkEnd w:id="11"/>
            <w:bookmarkEnd w:id="12"/>
          </w:p>
          <w:p w14:paraId="088AE462" w14:textId="6573BC41" w:rsidR="00520F36" w:rsidRPr="00DD066D" w:rsidRDefault="00B21487" w:rsidP="001B30ED">
            <w:pPr>
              <w:spacing w:after="160"/>
              <w:rPr>
                <w:i/>
                <w:iCs/>
              </w:rPr>
            </w:pPr>
            <w:hyperlink r:id="rId9" w:history="1">
              <w:r w:rsidR="001B30ED">
                <w:rPr>
                  <w:rStyle w:val="Hyperlink"/>
                  <w:i/>
                  <w:iCs/>
                </w:rPr>
                <w:t>Règlement financier (é</w:t>
              </w:r>
              <w:r w:rsidR="001B30ED" w:rsidRPr="00BE5605">
                <w:rPr>
                  <w:rStyle w:val="Hyperlink"/>
                  <w:i/>
                  <w:iCs/>
                </w:rPr>
                <w:t>dition de 2010)</w:t>
              </w:r>
            </w:hyperlink>
            <w:r w:rsidR="00EE464D" w:rsidRPr="00DD066D">
              <w:rPr>
                <w:i/>
                <w:iCs/>
              </w:rPr>
              <w:t>: Article</w:t>
            </w:r>
            <w:r w:rsidR="0018444B">
              <w:rPr>
                <w:i/>
                <w:iCs/>
              </w:rPr>
              <w:t> </w:t>
            </w:r>
            <w:r w:rsidR="00EE464D" w:rsidRPr="00DD066D">
              <w:rPr>
                <w:i/>
                <w:iCs/>
              </w:rPr>
              <w:t>28 et mandat additionnel</w:t>
            </w:r>
          </w:p>
        </w:tc>
      </w:tr>
    </w:tbl>
    <w:p w14:paraId="75A0CE0C" w14:textId="77777777" w:rsidR="00EE464D" w:rsidRPr="00DD066D" w:rsidRDefault="00EE464D" w:rsidP="00B53AD7"/>
    <w:p w14:paraId="350DA735" w14:textId="77777777" w:rsidR="00EE464D" w:rsidRPr="00DD066D" w:rsidRDefault="00EE464D" w:rsidP="00B53AD7">
      <w:pPr>
        <w:sectPr w:rsidR="00EE464D" w:rsidRPr="00DD066D" w:rsidSect="001B30ED">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pPr>
    </w:p>
    <w:p w14:paraId="67D4780A" w14:textId="77777777" w:rsidR="00EE464D" w:rsidRPr="00DD066D" w:rsidRDefault="00EE464D" w:rsidP="00B53AD7">
      <w:pPr>
        <w:spacing w:before="0"/>
        <w:ind w:left="-284" w:right="-2" w:firstLine="284"/>
        <w:jc w:val="center"/>
        <w:rPr>
          <w:rFonts w:ascii="Kunstler Script" w:hAnsi="Kunstler Script"/>
          <w:sz w:val="72"/>
          <w:szCs w:val="72"/>
        </w:rPr>
      </w:pPr>
      <w:r w:rsidRPr="00DD066D">
        <w:rPr>
          <w:noProof/>
          <w:lang w:val="en-US" w:eastAsia="zh-CN"/>
        </w:rPr>
        <w:lastRenderedPageBreak/>
        <w:drawing>
          <wp:inline distT="0" distB="0" distL="0" distR="0" wp14:anchorId="21F15963" wp14:editId="42FEF96A">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DD066D">
        <w:br/>
      </w:r>
      <w:r w:rsidRPr="00DD066D">
        <w:rPr>
          <w:rFonts w:ascii="Kunstler Script" w:hAnsi="Kunstler Script"/>
          <w:sz w:val="72"/>
          <w:szCs w:val="72"/>
        </w:rPr>
        <w:t>Corte dei conti</w:t>
      </w:r>
    </w:p>
    <w:p w14:paraId="1AE491F2" w14:textId="77777777" w:rsidR="001B30ED" w:rsidRPr="001B30ED" w:rsidRDefault="00EE464D" w:rsidP="001B30ED">
      <w:pPr>
        <w:spacing w:before="1440"/>
        <w:ind w:left="-284" w:firstLine="284"/>
        <w:jc w:val="center"/>
        <w:rPr>
          <w:sz w:val="32"/>
          <w:szCs w:val="32"/>
        </w:rPr>
      </w:pPr>
      <w:r w:rsidRPr="001B30ED">
        <w:rPr>
          <w:sz w:val="32"/>
          <w:szCs w:val="32"/>
        </w:rPr>
        <w:t>RAPPORT DU VÉRIFICATEUR EXTÉRIEUR DES COMPTES</w:t>
      </w:r>
    </w:p>
    <w:p w14:paraId="749EFF18" w14:textId="77777777" w:rsidR="001B30ED" w:rsidRPr="001B30ED" w:rsidRDefault="00EE464D" w:rsidP="001B30ED">
      <w:pPr>
        <w:spacing w:before="1440"/>
        <w:ind w:left="-284" w:firstLine="284"/>
        <w:jc w:val="center"/>
        <w:rPr>
          <w:b/>
          <w:sz w:val="28"/>
          <w:szCs w:val="28"/>
        </w:rPr>
      </w:pPr>
      <w:r w:rsidRPr="001B30ED">
        <w:rPr>
          <w:b/>
          <w:sz w:val="28"/>
          <w:szCs w:val="28"/>
        </w:rPr>
        <w:t xml:space="preserve">UNION INTERNATIONALE DES TÉLÉCOMMUNICATIONS </w:t>
      </w:r>
      <w:r w:rsidRPr="001B30ED">
        <w:rPr>
          <w:b/>
          <w:sz w:val="28"/>
          <w:szCs w:val="28"/>
        </w:rPr>
        <w:br/>
        <w:t>(UIT)</w:t>
      </w:r>
    </w:p>
    <w:p w14:paraId="7B564EFF" w14:textId="12AD333C" w:rsidR="00EE464D" w:rsidRPr="001B30ED" w:rsidRDefault="00EE464D" w:rsidP="001B30ED">
      <w:pPr>
        <w:spacing w:before="1440"/>
        <w:ind w:left="-284" w:firstLine="284"/>
        <w:jc w:val="center"/>
        <w:rPr>
          <w:b/>
          <w:sz w:val="28"/>
          <w:szCs w:val="28"/>
        </w:rPr>
      </w:pPr>
      <w:r w:rsidRPr="001B30ED">
        <w:rPr>
          <w:b/>
          <w:bCs/>
          <w:sz w:val="28"/>
          <w:szCs w:val="28"/>
        </w:rPr>
        <w:t>Vérification des états financiers pour l</w:t>
      </w:r>
      <w:r w:rsidR="001B30ED" w:rsidRPr="001B30ED">
        <w:rPr>
          <w:b/>
          <w:bCs/>
          <w:sz w:val="28"/>
          <w:szCs w:val="28"/>
        </w:rPr>
        <w:t>'</w:t>
      </w:r>
      <w:r w:rsidRPr="001B30ED">
        <w:rPr>
          <w:b/>
          <w:bCs/>
          <w:sz w:val="28"/>
          <w:szCs w:val="28"/>
        </w:rPr>
        <w:t>exercice</w:t>
      </w:r>
      <w:r w:rsidR="0018444B" w:rsidRPr="001B30ED">
        <w:rPr>
          <w:b/>
          <w:bCs/>
          <w:sz w:val="28"/>
          <w:szCs w:val="28"/>
        </w:rPr>
        <w:t> </w:t>
      </w:r>
      <w:r w:rsidRPr="001B30ED">
        <w:rPr>
          <w:b/>
          <w:sz w:val="28"/>
          <w:szCs w:val="28"/>
        </w:rPr>
        <w:t>2017</w:t>
      </w:r>
    </w:p>
    <w:p w14:paraId="02DFFEC5" w14:textId="34E48293" w:rsidR="00EE464D" w:rsidRDefault="00EE464D" w:rsidP="001B30ED">
      <w:pPr>
        <w:spacing w:before="3120"/>
        <w:ind w:left="-284" w:firstLine="284"/>
        <w:jc w:val="center"/>
        <w:rPr>
          <w:b/>
        </w:rPr>
      </w:pPr>
      <w:r w:rsidRPr="00DD066D">
        <w:rPr>
          <w:b/>
        </w:rPr>
        <w:t>22</w:t>
      </w:r>
      <w:r w:rsidR="0018444B">
        <w:rPr>
          <w:b/>
        </w:rPr>
        <w:t> </w:t>
      </w:r>
      <w:r w:rsidRPr="00DD066D">
        <w:rPr>
          <w:b/>
        </w:rPr>
        <w:t>juin</w:t>
      </w:r>
      <w:r w:rsidR="0018444B">
        <w:rPr>
          <w:b/>
        </w:rPr>
        <w:t> </w:t>
      </w:r>
      <w:r w:rsidRPr="00DD066D">
        <w:rPr>
          <w:b/>
        </w:rPr>
        <w:t>2018</w:t>
      </w:r>
    </w:p>
    <w:p w14:paraId="39DFDADE" w14:textId="77777777" w:rsidR="001B30ED" w:rsidRPr="00DD066D" w:rsidRDefault="001B30ED" w:rsidP="001B30ED"/>
    <w:p w14:paraId="54A98497" w14:textId="77777777" w:rsidR="001F515A" w:rsidRDefault="001F515A">
      <w:pPr>
        <w:tabs>
          <w:tab w:val="clear" w:pos="567"/>
          <w:tab w:val="clear" w:pos="1134"/>
          <w:tab w:val="clear" w:pos="1701"/>
          <w:tab w:val="clear" w:pos="2268"/>
          <w:tab w:val="clear" w:pos="2835"/>
        </w:tabs>
        <w:overflowPunct/>
        <w:autoSpaceDE/>
        <w:autoSpaceDN/>
        <w:adjustRightInd/>
        <w:spacing w:before="0"/>
        <w:textAlignment w:val="auto"/>
      </w:pPr>
      <w:r>
        <w:br w:type="page"/>
      </w:r>
    </w:p>
    <w:p w14:paraId="12DF4221" w14:textId="77777777" w:rsidR="001B30ED" w:rsidRPr="00E62632" w:rsidRDefault="001B30ED" w:rsidP="001B30ED">
      <w:pPr>
        <w:jc w:val="center"/>
        <w:rPr>
          <w:b/>
        </w:rPr>
      </w:pPr>
      <w:r w:rsidRPr="00E62632">
        <w:rPr>
          <w:b/>
        </w:rPr>
        <w:t>TABLE DES MATIÈRES</w:t>
      </w:r>
    </w:p>
    <w:p w14:paraId="4A5F00FB" w14:textId="73F86B2D" w:rsidR="00E62632" w:rsidRPr="00E62632" w:rsidRDefault="00E62632" w:rsidP="00E62632">
      <w:pPr>
        <w:pStyle w:val="TOC1"/>
        <w:spacing w:before="360"/>
        <w:rPr>
          <w:rFonts w:asciiTheme="minorHAnsi" w:eastAsiaTheme="minorEastAsia" w:hAnsiTheme="minorHAnsi" w:cstheme="minorBidi"/>
          <w:noProof/>
          <w:sz w:val="22"/>
          <w:szCs w:val="22"/>
          <w:lang w:val="fr-CH" w:eastAsia="zh-CN"/>
        </w:rPr>
      </w:pPr>
      <w:r w:rsidRPr="00E62632">
        <w:fldChar w:fldCharType="begin"/>
      </w:r>
      <w:r w:rsidRPr="00E62632">
        <w:instrText xml:space="preserve"> TOC \o "1-3" \h \z \u </w:instrText>
      </w:r>
      <w:r w:rsidRPr="00E62632">
        <w:fldChar w:fldCharType="separate"/>
      </w:r>
      <w:hyperlink w:anchor="_Toc522685282" w:history="1">
        <w:r w:rsidRPr="00E62632">
          <w:rPr>
            <w:rStyle w:val="Hyperlink"/>
            <w:noProof/>
          </w:rPr>
          <w:t>INTRODUCTION</w:t>
        </w:r>
        <w:r w:rsidRPr="00E62632">
          <w:rPr>
            <w:noProof/>
            <w:webHidden/>
          </w:rPr>
          <w:tab/>
        </w:r>
        <w:r w:rsidRPr="00E62632">
          <w:rPr>
            <w:noProof/>
            <w:webHidden/>
          </w:rPr>
          <w:tab/>
        </w:r>
        <w:r w:rsidRPr="00E62632">
          <w:rPr>
            <w:noProof/>
            <w:webHidden/>
          </w:rPr>
          <w:fldChar w:fldCharType="begin"/>
        </w:r>
        <w:r w:rsidRPr="00E62632">
          <w:rPr>
            <w:noProof/>
            <w:webHidden/>
          </w:rPr>
          <w:instrText xml:space="preserve"> PAGEREF _Toc522685282 \h </w:instrText>
        </w:r>
        <w:r w:rsidRPr="00E62632">
          <w:rPr>
            <w:noProof/>
            <w:webHidden/>
          </w:rPr>
        </w:r>
        <w:r w:rsidRPr="00E62632">
          <w:rPr>
            <w:noProof/>
            <w:webHidden/>
          </w:rPr>
          <w:fldChar w:fldCharType="separate"/>
        </w:r>
        <w:r w:rsidR="00BD6831">
          <w:rPr>
            <w:noProof/>
            <w:webHidden/>
          </w:rPr>
          <w:t>6</w:t>
        </w:r>
        <w:r w:rsidRPr="00E62632">
          <w:rPr>
            <w:noProof/>
            <w:webHidden/>
          </w:rPr>
          <w:fldChar w:fldCharType="end"/>
        </w:r>
      </w:hyperlink>
    </w:p>
    <w:p w14:paraId="39B58CC1" w14:textId="1C348281"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83" w:history="1">
        <w:r w:rsidR="00E62632" w:rsidRPr="00E62632">
          <w:rPr>
            <w:rStyle w:val="Hyperlink"/>
            <w:noProof/>
          </w:rPr>
          <w:t>ATTESTATION DE VÉRIFICATION</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_Toc522685283 \h </w:instrText>
        </w:r>
        <w:r w:rsidR="00E62632" w:rsidRPr="00E62632">
          <w:rPr>
            <w:noProof/>
            <w:webHidden/>
          </w:rPr>
        </w:r>
        <w:r w:rsidR="00E62632" w:rsidRPr="00E62632">
          <w:rPr>
            <w:noProof/>
            <w:webHidden/>
          </w:rPr>
          <w:fldChar w:fldCharType="separate"/>
        </w:r>
        <w:r w:rsidR="00BD6831">
          <w:rPr>
            <w:noProof/>
            <w:webHidden/>
          </w:rPr>
          <w:t>8</w:t>
        </w:r>
        <w:r w:rsidR="00E62632" w:rsidRPr="00E62632">
          <w:rPr>
            <w:noProof/>
            <w:webHidden/>
          </w:rPr>
          <w:fldChar w:fldCharType="end"/>
        </w:r>
      </w:hyperlink>
    </w:p>
    <w:p w14:paraId="276D0868" w14:textId="257F4ABC"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89" w:history="1">
        <w:r w:rsidR="00E62632" w:rsidRPr="00E62632">
          <w:rPr>
            <w:rStyle w:val="Hyperlink"/>
            <w:noProof/>
          </w:rPr>
          <w:t>STRUCTURE DES ÉTATS COMPTABLES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_Toc522685289 \h </w:instrText>
        </w:r>
        <w:r w:rsidR="00E62632" w:rsidRPr="00E62632">
          <w:rPr>
            <w:noProof/>
            <w:webHidden/>
          </w:rPr>
        </w:r>
        <w:r w:rsidR="00E62632" w:rsidRPr="00E62632">
          <w:rPr>
            <w:noProof/>
            <w:webHidden/>
          </w:rPr>
          <w:fldChar w:fldCharType="separate"/>
        </w:r>
        <w:r w:rsidR="00BD6831">
          <w:rPr>
            <w:noProof/>
            <w:webHidden/>
          </w:rPr>
          <w:t>11</w:t>
        </w:r>
        <w:r w:rsidR="00E62632" w:rsidRPr="00E62632">
          <w:rPr>
            <w:noProof/>
            <w:webHidden/>
          </w:rPr>
          <w:fldChar w:fldCharType="end"/>
        </w:r>
      </w:hyperlink>
    </w:p>
    <w:p w14:paraId="1CE84F15" w14:textId="1F62C6CC"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0" w:history="1">
        <w:r w:rsidR="00E62632" w:rsidRPr="00E62632">
          <w:rPr>
            <w:rStyle w:val="Hyperlink"/>
            <w:noProof/>
          </w:rPr>
          <w:t>ETAT DE LA SITUATION FINANCIÈRE 2017</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_Toc522685290 \h </w:instrText>
        </w:r>
        <w:r w:rsidR="00E62632" w:rsidRPr="00E62632">
          <w:rPr>
            <w:noProof/>
            <w:webHidden/>
          </w:rPr>
        </w:r>
        <w:r w:rsidR="00E62632" w:rsidRPr="00E62632">
          <w:rPr>
            <w:noProof/>
            <w:webHidden/>
          </w:rPr>
          <w:fldChar w:fldCharType="separate"/>
        </w:r>
        <w:r w:rsidR="00BD6831">
          <w:rPr>
            <w:noProof/>
            <w:webHidden/>
          </w:rPr>
          <w:t>11</w:t>
        </w:r>
        <w:r w:rsidR="00E62632" w:rsidRPr="00E62632">
          <w:rPr>
            <w:noProof/>
            <w:webHidden/>
          </w:rPr>
          <w:fldChar w:fldCharType="end"/>
        </w:r>
      </w:hyperlink>
    </w:p>
    <w:p w14:paraId="172E8F2E" w14:textId="30959603"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1" w:history="1">
        <w:r w:rsidR="00E62632" w:rsidRPr="00E62632">
          <w:rPr>
            <w:rStyle w:val="Hyperlink"/>
            <w:noProof/>
          </w:rPr>
          <w:t>ACTIFS</w:t>
        </w:r>
        <w:r w:rsidR="00E62632" w:rsidRPr="00E62632">
          <w:rPr>
            <w:noProof/>
            <w:webHidden/>
          </w:rPr>
          <w:tab/>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_Toc522685291 \h </w:instrText>
        </w:r>
        <w:r w:rsidR="00E62632" w:rsidRPr="00E62632">
          <w:rPr>
            <w:noProof/>
            <w:webHidden/>
          </w:rPr>
        </w:r>
        <w:r w:rsidR="00E62632" w:rsidRPr="00E62632">
          <w:rPr>
            <w:noProof/>
            <w:webHidden/>
          </w:rPr>
          <w:fldChar w:fldCharType="separate"/>
        </w:r>
        <w:r w:rsidR="00BD6831">
          <w:rPr>
            <w:noProof/>
            <w:webHidden/>
          </w:rPr>
          <w:t>11</w:t>
        </w:r>
        <w:r w:rsidR="00E62632" w:rsidRPr="00E62632">
          <w:rPr>
            <w:noProof/>
            <w:webHidden/>
          </w:rPr>
          <w:fldChar w:fldCharType="end"/>
        </w:r>
      </w:hyperlink>
    </w:p>
    <w:p w14:paraId="7037942D" w14:textId="75A8B20D"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2" w:history="1">
        <w:r w:rsidR="00E62632" w:rsidRPr="00E62632">
          <w:rPr>
            <w:rStyle w:val="Hyperlink"/>
            <w:noProof/>
          </w:rPr>
          <w:t>Actifs courants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_Toc522685292 \h </w:instrText>
        </w:r>
        <w:r w:rsidR="00E62632" w:rsidRPr="00E62632">
          <w:rPr>
            <w:noProof/>
            <w:webHidden/>
          </w:rPr>
        </w:r>
        <w:r w:rsidR="00E62632" w:rsidRPr="00E62632">
          <w:rPr>
            <w:noProof/>
            <w:webHidden/>
          </w:rPr>
          <w:fldChar w:fldCharType="separate"/>
        </w:r>
        <w:r w:rsidR="00BD6831">
          <w:rPr>
            <w:noProof/>
            <w:webHidden/>
          </w:rPr>
          <w:t>11</w:t>
        </w:r>
        <w:r w:rsidR="00E62632" w:rsidRPr="00E62632">
          <w:rPr>
            <w:noProof/>
            <w:webHidden/>
          </w:rPr>
          <w:fldChar w:fldCharType="end"/>
        </w:r>
      </w:hyperlink>
    </w:p>
    <w:p w14:paraId="1F3C7298" w14:textId="63C38911"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3" w:history="1">
        <w:r w:rsidR="00E62632" w:rsidRPr="00E62632">
          <w:rPr>
            <w:rStyle w:val="Hyperlink"/>
            <w:noProof/>
          </w:rPr>
          <w:t>Trésorerie et équivalents de trésorerie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_Toc522685293 \h </w:instrText>
        </w:r>
        <w:r w:rsidR="00E62632" w:rsidRPr="00E62632">
          <w:rPr>
            <w:noProof/>
            <w:webHidden/>
          </w:rPr>
        </w:r>
        <w:r w:rsidR="00E62632" w:rsidRPr="00E62632">
          <w:rPr>
            <w:noProof/>
            <w:webHidden/>
          </w:rPr>
          <w:fldChar w:fldCharType="separate"/>
        </w:r>
        <w:r w:rsidR="00BD6831">
          <w:rPr>
            <w:noProof/>
            <w:webHidden/>
          </w:rPr>
          <w:t>11</w:t>
        </w:r>
        <w:r w:rsidR="00E62632" w:rsidRPr="00E62632">
          <w:rPr>
            <w:noProof/>
            <w:webHidden/>
          </w:rPr>
          <w:fldChar w:fldCharType="end"/>
        </w:r>
      </w:hyperlink>
    </w:p>
    <w:p w14:paraId="6D04E897" w14:textId="5F6E4430"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4" w:history="1">
        <w:r w:rsidR="00E62632" w:rsidRPr="00E62632">
          <w:rPr>
            <w:rStyle w:val="Hyperlink"/>
            <w:noProof/>
          </w:rPr>
          <w:t>Mise à jour des listes des signatures autorisées dans le cas d'une banque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_Toc522685294 \h </w:instrText>
        </w:r>
        <w:r w:rsidR="00E62632" w:rsidRPr="00E62632">
          <w:rPr>
            <w:noProof/>
            <w:webHidden/>
          </w:rPr>
        </w:r>
        <w:r w:rsidR="00E62632" w:rsidRPr="00E62632">
          <w:rPr>
            <w:noProof/>
            <w:webHidden/>
          </w:rPr>
          <w:fldChar w:fldCharType="separate"/>
        </w:r>
        <w:r w:rsidR="00BD6831">
          <w:rPr>
            <w:noProof/>
            <w:webHidden/>
          </w:rPr>
          <w:t>12</w:t>
        </w:r>
        <w:r w:rsidR="00E62632" w:rsidRPr="00E62632">
          <w:rPr>
            <w:noProof/>
            <w:webHidden/>
          </w:rPr>
          <w:fldChar w:fldCharType="end"/>
        </w:r>
      </w:hyperlink>
    </w:p>
    <w:p w14:paraId="705BCB9C" w14:textId="243ADEAC"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5" w:history="1">
        <w:r w:rsidR="00E62632" w:rsidRPr="00E62632">
          <w:rPr>
            <w:rStyle w:val="Hyperlink"/>
            <w:noProof/>
          </w:rPr>
          <w:t>Placements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_Toc522685295 \h </w:instrText>
        </w:r>
        <w:r w:rsidR="00E62632" w:rsidRPr="00E62632">
          <w:rPr>
            <w:noProof/>
            <w:webHidden/>
          </w:rPr>
        </w:r>
        <w:r w:rsidR="00E62632" w:rsidRPr="00E62632">
          <w:rPr>
            <w:noProof/>
            <w:webHidden/>
          </w:rPr>
          <w:fldChar w:fldCharType="separate"/>
        </w:r>
        <w:r w:rsidR="00BD6831">
          <w:rPr>
            <w:noProof/>
            <w:webHidden/>
          </w:rPr>
          <w:t>12</w:t>
        </w:r>
        <w:r w:rsidR="00E62632" w:rsidRPr="00E62632">
          <w:rPr>
            <w:noProof/>
            <w:webHidden/>
          </w:rPr>
          <w:fldChar w:fldCharType="end"/>
        </w:r>
      </w:hyperlink>
    </w:p>
    <w:p w14:paraId="0C9F0919" w14:textId="3D6476CF"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6" w:history="1">
        <w:r w:rsidR="00E62632" w:rsidRPr="00E62632">
          <w:rPr>
            <w:rStyle w:val="Hyperlink"/>
            <w:noProof/>
          </w:rPr>
          <w:t>Créances</w:t>
        </w:r>
        <w:r w:rsidR="00E62632" w:rsidRPr="00E62632">
          <w:rPr>
            <w:noProof/>
            <w:webHidden/>
          </w:rPr>
          <w:tab/>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_Toc522685296 \h </w:instrText>
        </w:r>
        <w:r w:rsidR="00E62632" w:rsidRPr="00E62632">
          <w:rPr>
            <w:noProof/>
            <w:webHidden/>
          </w:rPr>
        </w:r>
        <w:r w:rsidR="00E62632" w:rsidRPr="00E62632">
          <w:rPr>
            <w:noProof/>
            <w:webHidden/>
          </w:rPr>
          <w:fldChar w:fldCharType="separate"/>
        </w:r>
        <w:r w:rsidR="00BD6831">
          <w:rPr>
            <w:noProof/>
            <w:webHidden/>
          </w:rPr>
          <w:t>12</w:t>
        </w:r>
        <w:r w:rsidR="00E62632" w:rsidRPr="00E62632">
          <w:rPr>
            <w:noProof/>
            <w:webHidden/>
          </w:rPr>
          <w:fldChar w:fldCharType="end"/>
        </w:r>
      </w:hyperlink>
    </w:p>
    <w:p w14:paraId="4C2CCD70" w14:textId="522EB4F2"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7" w:history="1">
        <w:r w:rsidR="00E62632" w:rsidRPr="00E62632">
          <w:rPr>
            <w:rStyle w:val="Hyperlink"/>
            <w:noProof/>
          </w:rPr>
          <w:t>Autres créances courantes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_Toc522685297 \h </w:instrText>
        </w:r>
        <w:r w:rsidR="00E62632" w:rsidRPr="00E62632">
          <w:rPr>
            <w:noProof/>
            <w:webHidden/>
          </w:rPr>
        </w:r>
        <w:r w:rsidR="00E62632" w:rsidRPr="00E62632">
          <w:rPr>
            <w:noProof/>
            <w:webHidden/>
          </w:rPr>
          <w:fldChar w:fldCharType="separate"/>
        </w:r>
        <w:r w:rsidR="00BD6831">
          <w:rPr>
            <w:noProof/>
            <w:webHidden/>
          </w:rPr>
          <w:t>13</w:t>
        </w:r>
        <w:r w:rsidR="00E62632" w:rsidRPr="00E62632">
          <w:rPr>
            <w:noProof/>
            <w:webHidden/>
          </w:rPr>
          <w:fldChar w:fldCharType="end"/>
        </w:r>
      </w:hyperlink>
    </w:p>
    <w:p w14:paraId="6DD214DB" w14:textId="16907BC0"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8" w:history="1">
        <w:r w:rsidR="00E62632" w:rsidRPr="00E62632">
          <w:rPr>
            <w:rStyle w:val="Hyperlink"/>
            <w:noProof/>
          </w:rPr>
          <w:t>Stocks</w:t>
        </w:r>
        <w:r w:rsidR="00E62632" w:rsidRPr="00E62632">
          <w:rPr>
            <w:noProof/>
            <w:webHidden/>
          </w:rPr>
          <w:tab/>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_Toc522685298 \h </w:instrText>
        </w:r>
        <w:r w:rsidR="00E62632" w:rsidRPr="00E62632">
          <w:rPr>
            <w:noProof/>
            <w:webHidden/>
          </w:rPr>
        </w:r>
        <w:r w:rsidR="00E62632" w:rsidRPr="00E62632">
          <w:rPr>
            <w:noProof/>
            <w:webHidden/>
          </w:rPr>
          <w:fldChar w:fldCharType="separate"/>
        </w:r>
        <w:r w:rsidR="00BD6831">
          <w:rPr>
            <w:noProof/>
            <w:webHidden/>
          </w:rPr>
          <w:t>13</w:t>
        </w:r>
        <w:r w:rsidR="00E62632" w:rsidRPr="00E62632">
          <w:rPr>
            <w:noProof/>
            <w:webHidden/>
          </w:rPr>
          <w:fldChar w:fldCharType="end"/>
        </w:r>
      </w:hyperlink>
    </w:p>
    <w:p w14:paraId="2F77073A" w14:textId="3FE8302B"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299" w:history="1">
        <w:r w:rsidR="00E62632" w:rsidRPr="00E62632">
          <w:rPr>
            <w:rStyle w:val="Hyperlink"/>
            <w:noProof/>
          </w:rPr>
          <w:t>Actifs non courants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_Toc522685299 \h </w:instrText>
        </w:r>
        <w:r w:rsidR="00E62632" w:rsidRPr="00E62632">
          <w:rPr>
            <w:noProof/>
            <w:webHidden/>
          </w:rPr>
        </w:r>
        <w:r w:rsidR="00E62632" w:rsidRPr="00E62632">
          <w:rPr>
            <w:noProof/>
            <w:webHidden/>
          </w:rPr>
          <w:fldChar w:fldCharType="separate"/>
        </w:r>
        <w:r w:rsidR="00BD6831">
          <w:rPr>
            <w:noProof/>
            <w:webHidden/>
          </w:rPr>
          <w:t>13</w:t>
        </w:r>
        <w:r w:rsidR="00E62632" w:rsidRPr="00E62632">
          <w:rPr>
            <w:noProof/>
            <w:webHidden/>
          </w:rPr>
          <w:fldChar w:fldCharType="end"/>
        </w:r>
      </w:hyperlink>
    </w:p>
    <w:p w14:paraId="045D04AE" w14:textId="498CBD09"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0" w:history="1">
        <w:r w:rsidR="00E62632" w:rsidRPr="00E62632">
          <w:rPr>
            <w:rStyle w:val="Hyperlink"/>
            <w:noProof/>
          </w:rPr>
          <w:t>Immobilisations corporelles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_Toc522685300 \h </w:instrText>
        </w:r>
        <w:r w:rsidR="00E62632" w:rsidRPr="00E62632">
          <w:rPr>
            <w:noProof/>
            <w:webHidden/>
          </w:rPr>
        </w:r>
        <w:r w:rsidR="00E62632" w:rsidRPr="00E62632">
          <w:rPr>
            <w:noProof/>
            <w:webHidden/>
          </w:rPr>
          <w:fldChar w:fldCharType="separate"/>
        </w:r>
        <w:r w:rsidR="00BD6831">
          <w:rPr>
            <w:noProof/>
            <w:webHidden/>
          </w:rPr>
          <w:t>13</w:t>
        </w:r>
        <w:r w:rsidR="00E62632" w:rsidRPr="00E62632">
          <w:rPr>
            <w:noProof/>
            <w:webHidden/>
          </w:rPr>
          <w:fldChar w:fldCharType="end"/>
        </w:r>
      </w:hyperlink>
    </w:p>
    <w:p w14:paraId="7F893B0F" w14:textId="373CCCD3"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1" w:history="1">
        <w:r w:rsidR="00E62632" w:rsidRPr="00E62632">
          <w:rPr>
            <w:rStyle w:val="Hyperlink"/>
            <w:noProof/>
          </w:rPr>
          <w:t>Locaux du siège de l'Union</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_Toc522685301 \h </w:instrText>
        </w:r>
        <w:r w:rsidR="00E62632" w:rsidRPr="00E62632">
          <w:rPr>
            <w:noProof/>
            <w:webHidden/>
          </w:rPr>
        </w:r>
        <w:r w:rsidR="00E62632" w:rsidRPr="00E62632">
          <w:rPr>
            <w:noProof/>
            <w:webHidden/>
          </w:rPr>
          <w:fldChar w:fldCharType="separate"/>
        </w:r>
        <w:r w:rsidR="00BD6831">
          <w:rPr>
            <w:noProof/>
            <w:webHidden/>
          </w:rPr>
          <w:t>15</w:t>
        </w:r>
        <w:r w:rsidR="00E62632" w:rsidRPr="00E62632">
          <w:rPr>
            <w:noProof/>
            <w:webHidden/>
          </w:rPr>
          <w:fldChar w:fldCharType="end"/>
        </w:r>
      </w:hyperlink>
    </w:p>
    <w:p w14:paraId="4EABA2F6" w14:textId="328A8A3A" w:rsidR="00E62632" w:rsidRPr="00E62632" w:rsidRDefault="00B21487" w:rsidP="00956C43">
      <w:pPr>
        <w:pStyle w:val="TOC3"/>
        <w:spacing w:before="240"/>
        <w:rPr>
          <w:rFonts w:asciiTheme="minorHAnsi" w:eastAsiaTheme="minorEastAsia" w:hAnsiTheme="minorHAnsi" w:cstheme="minorBidi"/>
          <w:noProof/>
          <w:sz w:val="22"/>
          <w:szCs w:val="22"/>
          <w:lang w:val="fr-CH" w:eastAsia="zh-CN"/>
        </w:rPr>
      </w:pPr>
      <w:hyperlink w:anchor="_Toc522685302" w:history="1">
        <w:r w:rsidR="00E62632" w:rsidRPr="00E62632">
          <w:rPr>
            <w:rStyle w:val="Hyperlink"/>
            <w:noProof/>
          </w:rPr>
          <w:t>Le registre des actifs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_Toc522685302 \h </w:instrText>
        </w:r>
        <w:r w:rsidR="00E62632" w:rsidRPr="00E62632">
          <w:rPr>
            <w:noProof/>
            <w:webHidden/>
          </w:rPr>
        </w:r>
        <w:r w:rsidR="00E62632" w:rsidRPr="00E62632">
          <w:rPr>
            <w:noProof/>
            <w:webHidden/>
          </w:rPr>
          <w:fldChar w:fldCharType="separate"/>
        </w:r>
        <w:r w:rsidR="00BD6831">
          <w:rPr>
            <w:noProof/>
            <w:webHidden/>
          </w:rPr>
          <w:t>15</w:t>
        </w:r>
        <w:r w:rsidR="00E62632" w:rsidRPr="00E62632">
          <w:rPr>
            <w:noProof/>
            <w:webHidden/>
          </w:rPr>
          <w:fldChar w:fldCharType="end"/>
        </w:r>
      </w:hyperlink>
    </w:p>
    <w:p w14:paraId="2997A297" w14:textId="07E5A92B"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3" w:history="1">
        <w:r w:rsidR="00E62632" w:rsidRPr="00E62632">
          <w:rPr>
            <w:rStyle w:val="Hyperlink"/>
            <w:noProof/>
          </w:rPr>
          <w:t>Immobilisations incorporelles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_Toc522685303 \h </w:instrText>
        </w:r>
        <w:r w:rsidR="00E62632" w:rsidRPr="00E62632">
          <w:rPr>
            <w:noProof/>
            <w:webHidden/>
          </w:rPr>
        </w:r>
        <w:r w:rsidR="00E62632" w:rsidRPr="00E62632">
          <w:rPr>
            <w:noProof/>
            <w:webHidden/>
          </w:rPr>
          <w:fldChar w:fldCharType="separate"/>
        </w:r>
        <w:r w:rsidR="00BD6831">
          <w:rPr>
            <w:noProof/>
            <w:webHidden/>
          </w:rPr>
          <w:t>15</w:t>
        </w:r>
        <w:r w:rsidR="00E62632" w:rsidRPr="00E62632">
          <w:rPr>
            <w:noProof/>
            <w:webHidden/>
          </w:rPr>
          <w:fldChar w:fldCharType="end"/>
        </w:r>
      </w:hyperlink>
    </w:p>
    <w:p w14:paraId="394551EC" w14:textId="1EE7A649"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4" w:history="1">
        <w:r w:rsidR="00E62632" w:rsidRPr="00E62632">
          <w:rPr>
            <w:rStyle w:val="Hyperlink"/>
            <w:noProof/>
          </w:rPr>
          <w:t>PASSIFS</w:t>
        </w:r>
        <w:r w:rsidR="00E62632" w:rsidRPr="00E62632">
          <w:rPr>
            <w:noProof/>
            <w:webHidden/>
          </w:rPr>
          <w:tab/>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_Toc522685304 \h </w:instrText>
        </w:r>
        <w:r w:rsidR="00E62632" w:rsidRPr="00E62632">
          <w:rPr>
            <w:noProof/>
            <w:webHidden/>
          </w:rPr>
        </w:r>
        <w:r w:rsidR="00E62632" w:rsidRPr="00E62632">
          <w:rPr>
            <w:noProof/>
            <w:webHidden/>
          </w:rPr>
          <w:fldChar w:fldCharType="separate"/>
        </w:r>
        <w:r w:rsidR="00BD6831">
          <w:rPr>
            <w:noProof/>
            <w:webHidden/>
          </w:rPr>
          <w:t>16</w:t>
        </w:r>
        <w:r w:rsidR="00E62632" w:rsidRPr="00E62632">
          <w:rPr>
            <w:noProof/>
            <w:webHidden/>
          </w:rPr>
          <w:fldChar w:fldCharType="end"/>
        </w:r>
      </w:hyperlink>
    </w:p>
    <w:p w14:paraId="3364A71F" w14:textId="37E2FA03"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5" w:history="1">
        <w:r w:rsidR="00E62632" w:rsidRPr="00E62632">
          <w:rPr>
            <w:rStyle w:val="Hyperlink"/>
            <w:noProof/>
          </w:rPr>
          <w:t>Passifs courants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_Toc522685305 \h </w:instrText>
        </w:r>
        <w:r w:rsidR="00E62632" w:rsidRPr="00E62632">
          <w:rPr>
            <w:noProof/>
            <w:webHidden/>
          </w:rPr>
        </w:r>
        <w:r w:rsidR="00E62632" w:rsidRPr="00E62632">
          <w:rPr>
            <w:noProof/>
            <w:webHidden/>
          </w:rPr>
          <w:fldChar w:fldCharType="separate"/>
        </w:r>
        <w:r w:rsidR="00BD6831">
          <w:rPr>
            <w:noProof/>
            <w:webHidden/>
          </w:rPr>
          <w:t>16</w:t>
        </w:r>
        <w:r w:rsidR="00E62632" w:rsidRPr="00E62632">
          <w:rPr>
            <w:noProof/>
            <w:webHidden/>
          </w:rPr>
          <w:fldChar w:fldCharType="end"/>
        </w:r>
      </w:hyperlink>
    </w:p>
    <w:p w14:paraId="376C28AE" w14:textId="199E2779"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6" w:history="1">
        <w:r w:rsidR="00E62632" w:rsidRPr="00E62632">
          <w:rPr>
            <w:rStyle w:val="Hyperlink"/>
            <w:noProof/>
          </w:rPr>
          <w:t>Fournisseurs et autres créanciers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_Toc522685306 \h </w:instrText>
        </w:r>
        <w:r w:rsidR="00E62632" w:rsidRPr="00E62632">
          <w:rPr>
            <w:noProof/>
            <w:webHidden/>
          </w:rPr>
        </w:r>
        <w:r w:rsidR="00E62632" w:rsidRPr="00E62632">
          <w:rPr>
            <w:noProof/>
            <w:webHidden/>
          </w:rPr>
          <w:fldChar w:fldCharType="separate"/>
        </w:r>
        <w:r w:rsidR="00BD6831">
          <w:rPr>
            <w:noProof/>
            <w:webHidden/>
          </w:rPr>
          <w:t>16</w:t>
        </w:r>
        <w:r w:rsidR="00E62632" w:rsidRPr="00E62632">
          <w:rPr>
            <w:noProof/>
            <w:webHidden/>
          </w:rPr>
          <w:fldChar w:fldCharType="end"/>
        </w:r>
      </w:hyperlink>
    </w:p>
    <w:p w14:paraId="4B615B93" w14:textId="635D1363"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7" w:history="1">
        <w:r w:rsidR="00E62632" w:rsidRPr="00E62632">
          <w:rPr>
            <w:rStyle w:val="Hyperlink"/>
            <w:noProof/>
          </w:rPr>
          <w:t>Produits différés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_Toc522685307 \h </w:instrText>
        </w:r>
        <w:r w:rsidR="00E62632" w:rsidRPr="00E62632">
          <w:rPr>
            <w:noProof/>
            <w:webHidden/>
          </w:rPr>
        </w:r>
        <w:r w:rsidR="00E62632" w:rsidRPr="00E62632">
          <w:rPr>
            <w:noProof/>
            <w:webHidden/>
          </w:rPr>
          <w:fldChar w:fldCharType="separate"/>
        </w:r>
        <w:r w:rsidR="00BD6831">
          <w:rPr>
            <w:noProof/>
            <w:webHidden/>
          </w:rPr>
          <w:t>16</w:t>
        </w:r>
        <w:r w:rsidR="00E62632" w:rsidRPr="00E62632">
          <w:rPr>
            <w:noProof/>
            <w:webHidden/>
          </w:rPr>
          <w:fldChar w:fldCharType="end"/>
        </w:r>
      </w:hyperlink>
    </w:p>
    <w:p w14:paraId="7102F15D" w14:textId="04BDB348"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8" w:history="1">
        <w:r w:rsidR="00E62632" w:rsidRPr="00E62632">
          <w:rPr>
            <w:rStyle w:val="Hyperlink"/>
            <w:noProof/>
          </w:rPr>
          <w:t>Provisions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_Toc522685308 \h </w:instrText>
        </w:r>
        <w:r w:rsidR="00E62632" w:rsidRPr="00E62632">
          <w:rPr>
            <w:noProof/>
            <w:webHidden/>
          </w:rPr>
        </w:r>
        <w:r w:rsidR="00E62632" w:rsidRPr="00E62632">
          <w:rPr>
            <w:noProof/>
            <w:webHidden/>
          </w:rPr>
          <w:fldChar w:fldCharType="separate"/>
        </w:r>
        <w:r w:rsidR="00BD6831">
          <w:rPr>
            <w:noProof/>
            <w:webHidden/>
          </w:rPr>
          <w:t>16</w:t>
        </w:r>
        <w:r w:rsidR="00E62632" w:rsidRPr="00E62632">
          <w:rPr>
            <w:noProof/>
            <w:webHidden/>
          </w:rPr>
          <w:fldChar w:fldCharType="end"/>
        </w:r>
      </w:hyperlink>
    </w:p>
    <w:p w14:paraId="18F26A42" w14:textId="7C937D5C"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09" w:history="1">
        <w:r w:rsidR="00E62632" w:rsidRPr="00E62632">
          <w:rPr>
            <w:rStyle w:val="Hyperlink"/>
            <w:noProof/>
          </w:rPr>
          <w:t>Emprunts et dettes financières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_Toc522685309 \h </w:instrText>
        </w:r>
        <w:r w:rsidR="00E62632" w:rsidRPr="00E62632">
          <w:rPr>
            <w:noProof/>
            <w:webHidden/>
          </w:rPr>
        </w:r>
        <w:r w:rsidR="00E62632" w:rsidRPr="00E62632">
          <w:rPr>
            <w:noProof/>
            <w:webHidden/>
          </w:rPr>
          <w:fldChar w:fldCharType="separate"/>
        </w:r>
        <w:r w:rsidR="00BD6831">
          <w:rPr>
            <w:noProof/>
            <w:webHidden/>
          </w:rPr>
          <w:t>17</w:t>
        </w:r>
        <w:r w:rsidR="00E62632" w:rsidRPr="00E62632">
          <w:rPr>
            <w:noProof/>
            <w:webHidden/>
          </w:rPr>
          <w:fldChar w:fldCharType="end"/>
        </w:r>
      </w:hyperlink>
    </w:p>
    <w:p w14:paraId="26E327FE" w14:textId="413D3911"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0" w:history="1">
        <w:r w:rsidR="00E62632" w:rsidRPr="00E62632">
          <w:rPr>
            <w:rStyle w:val="Hyperlink"/>
            <w:noProof/>
          </w:rPr>
          <w:t>Autres passifs courants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_Toc522685310 \h </w:instrText>
        </w:r>
        <w:r w:rsidR="00E62632" w:rsidRPr="00E62632">
          <w:rPr>
            <w:noProof/>
            <w:webHidden/>
          </w:rPr>
        </w:r>
        <w:r w:rsidR="00E62632" w:rsidRPr="00E62632">
          <w:rPr>
            <w:noProof/>
            <w:webHidden/>
          </w:rPr>
          <w:fldChar w:fldCharType="separate"/>
        </w:r>
        <w:r w:rsidR="00BD6831">
          <w:rPr>
            <w:noProof/>
            <w:webHidden/>
          </w:rPr>
          <w:t>17</w:t>
        </w:r>
        <w:r w:rsidR="00E62632" w:rsidRPr="00E62632">
          <w:rPr>
            <w:noProof/>
            <w:webHidden/>
          </w:rPr>
          <w:fldChar w:fldCharType="end"/>
        </w:r>
      </w:hyperlink>
    </w:p>
    <w:p w14:paraId="7381EFB8" w14:textId="64C32ABF"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1" w:history="1">
        <w:r w:rsidR="00E62632" w:rsidRPr="00E62632">
          <w:rPr>
            <w:rStyle w:val="Hyperlink"/>
            <w:noProof/>
          </w:rPr>
          <w:t>Passifs non courants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_Toc522685311 \h </w:instrText>
        </w:r>
        <w:r w:rsidR="00E62632" w:rsidRPr="00E62632">
          <w:rPr>
            <w:noProof/>
            <w:webHidden/>
          </w:rPr>
        </w:r>
        <w:r w:rsidR="00E62632" w:rsidRPr="00E62632">
          <w:rPr>
            <w:noProof/>
            <w:webHidden/>
          </w:rPr>
          <w:fldChar w:fldCharType="separate"/>
        </w:r>
        <w:r w:rsidR="00BD6831">
          <w:rPr>
            <w:noProof/>
            <w:webHidden/>
          </w:rPr>
          <w:t>17</w:t>
        </w:r>
        <w:r w:rsidR="00E62632" w:rsidRPr="00E62632">
          <w:rPr>
            <w:noProof/>
            <w:webHidden/>
          </w:rPr>
          <w:fldChar w:fldCharType="end"/>
        </w:r>
      </w:hyperlink>
    </w:p>
    <w:p w14:paraId="5AD66BBD" w14:textId="2E4BDEF8"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2" w:history="1">
        <w:r w:rsidR="00E62632" w:rsidRPr="00E62632">
          <w:rPr>
            <w:rStyle w:val="Hyperlink"/>
            <w:noProof/>
          </w:rPr>
          <w:t>Récapitulatif des avantages du personnel</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_Toc522685312 \h </w:instrText>
        </w:r>
        <w:r w:rsidR="00E62632" w:rsidRPr="00E62632">
          <w:rPr>
            <w:noProof/>
            <w:webHidden/>
          </w:rPr>
        </w:r>
        <w:r w:rsidR="00E62632" w:rsidRPr="00E62632">
          <w:rPr>
            <w:noProof/>
            <w:webHidden/>
          </w:rPr>
          <w:fldChar w:fldCharType="separate"/>
        </w:r>
        <w:r w:rsidR="00BD6831">
          <w:rPr>
            <w:noProof/>
            <w:webHidden/>
          </w:rPr>
          <w:t>17</w:t>
        </w:r>
        <w:r w:rsidR="00E62632" w:rsidRPr="00E62632">
          <w:rPr>
            <w:noProof/>
            <w:webHidden/>
          </w:rPr>
          <w:fldChar w:fldCharType="end"/>
        </w:r>
      </w:hyperlink>
    </w:p>
    <w:p w14:paraId="6EF02246" w14:textId="2FB5940E"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3" w:history="1">
        <w:r w:rsidR="00E62632" w:rsidRPr="00E62632">
          <w:rPr>
            <w:rStyle w:val="Hyperlink"/>
            <w:noProof/>
          </w:rPr>
          <w:t>Avantages du personnel à long terme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_Toc522685313 \h </w:instrText>
        </w:r>
        <w:r w:rsidR="00E62632" w:rsidRPr="00E62632">
          <w:rPr>
            <w:noProof/>
            <w:webHidden/>
          </w:rPr>
        </w:r>
        <w:r w:rsidR="00E62632" w:rsidRPr="00E62632">
          <w:rPr>
            <w:noProof/>
            <w:webHidden/>
          </w:rPr>
          <w:fldChar w:fldCharType="separate"/>
        </w:r>
        <w:r w:rsidR="00BD6831">
          <w:rPr>
            <w:noProof/>
            <w:webHidden/>
          </w:rPr>
          <w:t>18</w:t>
        </w:r>
        <w:r w:rsidR="00E62632" w:rsidRPr="00E62632">
          <w:rPr>
            <w:noProof/>
            <w:webHidden/>
          </w:rPr>
          <w:fldChar w:fldCharType="end"/>
        </w:r>
      </w:hyperlink>
    </w:p>
    <w:p w14:paraId="0D5FD7DC" w14:textId="63FDAD42"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4" w:history="1">
        <w:r w:rsidR="00E62632" w:rsidRPr="00E62632">
          <w:rPr>
            <w:rStyle w:val="Hyperlink"/>
            <w:noProof/>
          </w:rPr>
          <w:t>Avantages du personnel: primes d'installation et de rapatriement</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_Toc522685314 \h </w:instrText>
        </w:r>
        <w:r w:rsidR="00E62632" w:rsidRPr="00E62632">
          <w:rPr>
            <w:noProof/>
            <w:webHidden/>
          </w:rPr>
        </w:r>
        <w:r w:rsidR="00E62632" w:rsidRPr="00E62632">
          <w:rPr>
            <w:noProof/>
            <w:webHidden/>
          </w:rPr>
          <w:fldChar w:fldCharType="separate"/>
        </w:r>
        <w:r w:rsidR="00BD6831">
          <w:rPr>
            <w:noProof/>
            <w:webHidden/>
          </w:rPr>
          <w:t>18</w:t>
        </w:r>
        <w:r w:rsidR="00E62632" w:rsidRPr="00E62632">
          <w:rPr>
            <w:noProof/>
            <w:webHidden/>
          </w:rPr>
          <w:fldChar w:fldCharType="end"/>
        </w:r>
      </w:hyperlink>
    </w:p>
    <w:p w14:paraId="30E8D349" w14:textId="15ECA475"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5" w:history="1">
        <w:r w:rsidR="00E62632" w:rsidRPr="00E62632">
          <w:rPr>
            <w:rStyle w:val="Hyperlink"/>
            <w:noProof/>
          </w:rPr>
          <w:t>Avantages du personnel: assurance maladie après la cessation de service (ASHI)</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_Toc522685315 \h </w:instrText>
        </w:r>
        <w:r w:rsidR="00E62632" w:rsidRPr="00E62632">
          <w:rPr>
            <w:noProof/>
            <w:webHidden/>
          </w:rPr>
        </w:r>
        <w:r w:rsidR="00E62632" w:rsidRPr="00E62632">
          <w:rPr>
            <w:noProof/>
            <w:webHidden/>
          </w:rPr>
          <w:fldChar w:fldCharType="separate"/>
        </w:r>
        <w:r w:rsidR="00BD6831">
          <w:rPr>
            <w:noProof/>
            <w:webHidden/>
          </w:rPr>
          <w:t>18</w:t>
        </w:r>
        <w:r w:rsidR="00E62632" w:rsidRPr="00E62632">
          <w:rPr>
            <w:noProof/>
            <w:webHidden/>
          </w:rPr>
          <w:fldChar w:fldCharType="end"/>
        </w:r>
      </w:hyperlink>
    </w:p>
    <w:p w14:paraId="6EFE727B" w14:textId="326DCA10"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6" w:history="1">
        <w:r w:rsidR="00E62632" w:rsidRPr="00E62632">
          <w:rPr>
            <w:rStyle w:val="Hyperlink"/>
            <w:noProof/>
          </w:rPr>
          <w:t>L'actif net négatif est imputable aux passifs actuariels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_Toc522685316 \h </w:instrText>
        </w:r>
        <w:r w:rsidR="00E62632" w:rsidRPr="00E62632">
          <w:rPr>
            <w:noProof/>
            <w:webHidden/>
          </w:rPr>
        </w:r>
        <w:r w:rsidR="00E62632" w:rsidRPr="00E62632">
          <w:rPr>
            <w:noProof/>
            <w:webHidden/>
          </w:rPr>
          <w:fldChar w:fldCharType="separate"/>
        </w:r>
        <w:r w:rsidR="00BD6831">
          <w:rPr>
            <w:noProof/>
            <w:webHidden/>
          </w:rPr>
          <w:t>19</w:t>
        </w:r>
        <w:r w:rsidR="00E62632" w:rsidRPr="00E62632">
          <w:rPr>
            <w:noProof/>
            <w:webHidden/>
          </w:rPr>
          <w:fldChar w:fldCharType="end"/>
        </w:r>
      </w:hyperlink>
    </w:p>
    <w:p w14:paraId="327AC628" w14:textId="38ED8C13"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7" w:history="1">
        <w:r w:rsidR="00E62632" w:rsidRPr="00E62632">
          <w:rPr>
            <w:rStyle w:val="Hyperlink"/>
            <w:noProof/>
          </w:rPr>
          <w:t>Retrait de la CAPS: un règlement difficile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_Toc522685317 \h </w:instrText>
        </w:r>
        <w:r w:rsidR="00E62632" w:rsidRPr="00E62632">
          <w:rPr>
            <w:noProof/>
            <w:webHidden/>
          </w:rPr>
        </w:r>
        <w:r w:rsidR="00E62632" w:rsidRPr="00E62632">
          <w:rPr>
            <w:noProof/>
            <w:webHidden/>
          </w:rPr>
          <w:fldChar w:fldCharType="separate"/>
        </w:r>
        <w:r w:rsidR="00BD6831">
          <w:rPr>
            <w:noProof/>
            <w:webHidden/>
          </w:rPr>
          <w:t>20</w:t>
        </w:r>
        <w:r w:rsidR="00E62632" w:rsidRPr="00E62632">
          <w:rPr>
            <w:noProof/>
            <w:webHidden/>
          </w:rPr>
          <w:fldChar w:fldCharType="end"/>
        </w:r>
      </w:hyperlink>
    </w:p>
    <w:p w14:paraId="2B10AE8B" w14:textId="77777777"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8" w:history="1">
        <w:r w:rsidR="00E62632" w:rsidRPr="00E62632">
          <w:rPr>
            <w:rStyle w:val="Hyperlink"/>
            <w:noProof/>
          </w:rPr>
          <w:t>Avantages du personnel: Caisse d'assurance du personnel (Caisse des pensions close de l'UIT)</w:t>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_Toc522685318 \h </w:instrText>
        </w:r>
        <w:r w:rsidR="00E62632" w:rsidRPr="00E62632">
          <w:rPr>
            <w:noProof/>
            <w:webHidden/>
          </w:rPr>
        </w:r>
        <w:r w:rsidR="00E62632" w:rsidRPr="00E62632">
          <w:rPr>
            <w:noProof/>
            <w:webHidden/>
          </w:rPr>
          <w:fldChar w:fldCharType="separate"/>
        </w:r>
        <w:r w:rsidR="00BD6831">
          <w:rPr>
            <w:noProof/>
            <w:webHidden/>
          </w:rPr>
          <w:t>20</w:t>
        </w:r>
        <w:r w:rsidR="00E62632" w:rsidRPr="00E62632">
          <w:rPr>
            <w:noProof/>
            <w:webHidden/>
          </w:rPr>
          <w:fldChar w:fldCharType="end"/>
        </w:r>
      </w:hyperlink>
    </w:p>
    <w:p w14:paraId="3A04E54F" w14:textId="0C237A97"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19" w:history="1">
        <w:r w:rsidR="00E62632" w:rsidRPr="00E62632">
          <w:rPr>
            <w:rStyle w:val="Hyperlink"/>
            <w:noProof/>
          </w:rPr>
          <w:t>ACTIF NET</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_Toc522685319 \h </w:instrText>
        </w:r>
        <w:r w:rsidR="00E62632" w:rsidRPr="00E62632">
          <w:rPr>
            <w:noProof/>
            <w:webHidden/>
          </w:rPr>
        </w:r>
        <w:r w:rsidR="00E62632" w:rsidRPr="00E62632">
          <w:rPr>
            <w:noProof/>
            <w:webHidden/>
          </w:rPr>
          <w:fldChar w:fldCharType="separate"/>
        </w:r>
        <w:r w:rsidR="00BD6831">
          <w:rPr>
            <w:noProof/>
            <w:webHidden/>
          </w:rPr>
          <w:t>20</w:t>
        </w:r>
        <w:r w:rsidR="00E62632" w:rsidRPr="00E62632">
          <w:rPr>
            <w:noProof/>
            <w:webHidden/>
          </w:rPr>
          <w:fldChar w:fldCharType="end"/>
        </w:r>
      </w:hyperlink>
    </w:p>
    <w:p w14:paraId="68DDE73B" w14:textId="4822A37C"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0" w:history="1">
        <w:r w:rsidR="00E62632" w:rsidRPr="00E62632">
          <w:rPr>
            <w:rStyle w:val="Hyperlink"/>
            <w:noProof/>
          </w:rPr>
          <w:t>ETAT DE LA PERFORMANCE FINANCIÈRE 2017</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_Toc522685320 \h </w:instrText>
        </w:r>
        <w:r w:rsidR="00E62632" w:rsidRPr="00E62632">
          <w:rPr>
            <w:noProof/>
            <w:webHidden/>
          </w:rPr>
        </w:r>
        <w:r w:rsidR="00E62632" w:rsidRPr="00E62632">
          <w:rPr>
            <w:noProof/>
            <w:webHidden/>
          </w:rPr>
          <w:fldChar w:fldCharType="separate"/>
        </w:r>
        <w:r w:rsidR="00BD6831">
          <w:rPr>
            <w:noProof/>
            <w:webHidden/>
          </w:rPr>
          <w:t>21</w:t>
        </w:r>
        <w:r w:rsidR="00E62632" w:rsidRPr="00E62632">
          <w:rPr>
            <w:noProof/>
            <w:webHidden/>
          </w:rPr>
          <w:fldChar w:fldCharType="end"/>
        </w:r>
      </w:hyperlink>
    </w:p>
    <w:p w14:paraId="23FCB2FA" w14:textId="73E6A176"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1" w:history="1">
        <w:r w:rsidR="00E62632" w:rsidRPr="00E62632">
          <w:rPr>
            <w:rStyle w:val="Hyperlink"/>
            <w:noProof/>
          </w:rPr>
          <w:t>Produits et charges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_Toc522685321 \h </w:instrText>
        </w:r>
        <w:r w:rsidR="00E62632" w:rsidRPr="00E62632">
          <w:rPr>
            <w:noProof/>
            <w:webHidden/>
          </w:rPr>
        </w:r>
        <w:r w:rsidR="00E62632" w:rsidRPr="00E62632">
          <w:rPr>
            <w:noProof/>
            <w:webHidden/>
          </w:rPr>
          <w:fldChar w:fldCharType="separate"/>
        </w:r>
        <w:r w:rsidR="00BD6831">
          <w:rPr>
            <w:noProof/>
            <w:webHidden/>
          </w:rPr>
          <w:t>21</w:t>
        </w:r>
        <w:r w:rsidR="00E62632" w:rsidRPr="00E62632">
          <w:rPr>
            <w:noProof/>
            <w:webHidden/>
          </w:rPr>
          <w:fldChar w:fldCharType="end"/>
        </w:r>
      </w:hyperlink>
    </w:p>
    <w:p w14:paraId="306AF3EB" w14:textId="71CD2EC4"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2" w:history="1">
        <w:r w:rsidR="00E62632" w:rsidRPr="00E62632">
          <w:rPr>
            <w:rStyle w:val="Hyperlink"/>
            <w:noProof/>
          </w:rPr>
          <w:t>Personnel</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_Toc522685322 \h </w:instrText>
        </w:r>
        <w:r w:rsidR="00E62632" w:rsidRPr="00E62632">
          <w:rPr>
            <w:noProof/>
            <w:webHidden/>
          </w:rPr>
        </w:r>
        <w:r w:rsidR="00E62632" w:rsidRPr="00E62632">
          <w:rPr>
            <w:noProof/>
            <w:webHidden/>
          </w:rPr>
          <w:fldChar w:fldCharType="separate"/>
        </w:r>
        <w:r w:rsidR="00BD6831">
          <w:rPr>
            <w:noProof/>
            <w:webHidden/>
          </w:rPr>
          <w:t>21</w:t>
        </w:r>
        <w:r w:rsidR="00E62632" w:rsidRPr="00E62632">
          <w:rPr>
            <w:noProof/>
            <w:webHidden/>
          </w:rPr>
          <w:fldChar w:fldCharType="end"/>
        </w:r>
      </w:hyperlink>
    </w:p>
    <w:p w14:paraId="121C42B5" w14:textId="7C50BFDF" w:rsidR="00E62632" w:rsidRPr="00E62632" w:rsidRDefault="00B21487" w:rsidP="00E62632">
      <w:pPr>
        <w:pStyle w:val="TOC1"/>
        <w:ind w:left="0" w:firstLine="0"/>
        <w:rPr>
          <w:rFonts w:asciiTheme="minorHAnsi" w:eastAsiaTheme="minorEastAsia" w:hAnsiTheme="minorHAnsi" w:cstheme="minorBidi"/>
          <w:noProof/>
          <w:sz w:val="22"/>
          <w:szCs w:val="22"/>
          <w:lang w:val="fr-CH" w:eastAsia="zh-CN"/>
        </w:rPr>
      </w:pPr>
      <w:hyperlink w:anchor="_Toc522685323" w:history="1">
        <w:r w:rsidR="00E62632" w:rsidRPr="00E62632">
          <w:rPr>
            <w:rStyle w:val="Hyperlink"/>
            <w:noProof/>
          </w:rPr>
          <w:t>Rationalisation de la fonction de paiement des traitements du Département de la gestion des ressources humaines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_Toc522685323 \h </w:instrText>
        </w:r>
        <w:r w:rsidR="00E62632" w:rsidRPr="00E62632">
          <w:rPr>
            <w:noProof/>
            <w:webHidden/>
          </w:rPr>
        </w:r>
        <w:r w:rsidR="00E62632" w:rsidRPr="00E62632">
          <w:rPr>
            <w:noProof/>
            <w:webHidden/>
          </w:rPr>
          <w:fldChar w:fldCharType="separate"/>
        </w:r>
        <w:r w:rsidR="00BD6831">
          <w:rPr>
            <w:noProof/>
            <w:webHidden/>
          </w:rPr>
          <w:t>21</w:t>
        </w:r>
        <w:r w:rsidR="00E62632" w:rsidRPr="00E62632">
          <w:rPr>
            <w:noProof/>
            <w:webHidden/>
          </w:rPr>
          <w:fldChar w:fldCharType="end"/>
        </w:r>
      </w:hyperlink>
    </w:p>
    <w:p w14:paraId="6137E667" w14:textId="40DDD662"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4" w:history="1">
        <w:r w:rsidR="00E62632" w:rsidRPr="00E62632">
          <w:rPr>
            <w:rStyle w:val="Hyperlink"/>
            <w:noProof/>
          </w:rPr>
          <w:t>Nécessité d'une politique de gestion prévisionnelle des besoins en personnel</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_Toc522685324 \h </w:instrText>
        </w:r>
        <w:r w:rsidR="00E62632" w:rsidRPr="00E62632">
          <w:rPr>
            <w:noProof/>
            <w:webHidden/>
          </w:rPr>
        </w:r>
        <w:r w:rsidR="00E62632" w:rsidRPr="00E62632">
          <w:rPr>
            <w:noProof/>
            <w:webHidden/>
          </w:rPr>
          <w:fldChar w:fldCharType="separate"/>
        </w:r>
        <w:r w:rsidR="00BD6831">
          <w:rPr>
            <w:noProof/>
            <w:webHidden/>
          </w:rPr>
          <w:t>23</w:t>
        </w:r>
        <w:r w:rsidR="00E62632" w:rsidRPr="00E62632">
          <w:rPr>
            <w:noProof/>
            <w:webHidden/>
          </w:rPr>
          <w:fldChar w:fldCharType="end"/>
        </w:r>
      </w:hyperlink>
    </w:p>
    <w:p w14:paraId="388EF6A7" w14:textId="673E2723"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5" w:history="1">
        <w:r w:rsidR="00E62632" w:rsidRPr="00E62632">
          <w:rPr>
            <w:rStyle w:val="Hyperlink"/>
            <w:noProof/>
          </w:rPr>
          <w:t>Achats</w:t>
        </w:r>
        <w:r w:rsidR="00E62632" w:rsidRPr="00E62632">
          <w:rPr>
            <w:noProof/>
            <w:webHidden/>
          </w:rPr>
          <w:tab/>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_Toc522685325 \h </w:instrText>
        </w:r>
        <w:r w:rsidR="00E62632" w:rsidRPr="00E62632">
          <w:rPr>
            <w:noProof/>
            <w:webHidden/>
          </w:rPr>
        </w:r>
        <w:r w:rsidR="00E62632" w:rsidRPr="00E62632">
          <w:rPr>
            <w:noProof/>
            <w:webHidden/>
          </w:rPr>
          <w:fldChar w:fldCharType="separate"/>
        </w:r>
        <w:r w:rsidR="00BD6831">
          <w:rPr>
            <w:noProof/>
            <w:webHidden/>
          </w:rPr>
          <w:t>26</w:t>
        </w:r>
        <w:r w:rsidR="00E62632" w:rsidRPr="00E62632">
          <w:rPr>
            <w:noProof/>
            <w:webHidden/>
          </w:rPr>
          <w:fldChar w:fldCharType="end"/>
        </w:r>
      </w:hyperlink>
    </w:p>
    <w:p w14:paraId="5F993A76" w14:textId="567060C6"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6" w:history="1">
        <w:r w:rsidR="00E62632" w:rsidRPr="00E62632">
          <w:rPr>
            <w:rStyle w:val="Hyperlink"/>
            <w:noProof/>
          </w:rPr>
          <w:t>Prolongation automatique des contrats attribués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_Toc522685326 \h </w:instrText>
        </w:r>
        <w:r w:rsidR="00E62632" w:rsidRPr="00E62632">
          <w:rPr>
            <w:noProof/>
            <w:webHidden/>
          </w:rPr>
        </w:r>
        <w:r w:rsidR="00E62632" w:rsidRPr="00E62632">
          <w:rPr>
            <w:noProof/>
            <w:webHidden/>
          </w:rPr>
          <w:fldChar w:fldCharType="separate"/>
        </w:r>
        <w:r w:rsidR="00BD6831">
          <w:rPr>
            <w:noProof/>
            <w:webHidden/>
          </w:rPr>
          <w:t>26</w:t>
        </w:r>
        <w:r w:rsidR="00E62632" w:rsidRPr="00E62632">
          <w:rPr>
            <w:noProof/>
            <w:webHidden/>
          </w:rPr>
          <w:fldChar w:fldCharType="end"/>
        </w:r>
      </w:hyperlink>
    </w:p>
    <w:p w14:paraId="146499E3" w14:textId="303D7DD2"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7" w:history="1">
        <w:r w:rsidR="00E62632" w:rsidRPr="00E62632">
          <w:rPr>
            <w:rStyle w:val="Hyperlink"/>
            <w:bCs/>
            <w:noProof/>
          </w:rPr>
          <w:t>Passation des marchés dont le montant estimatif des dépenses est inférieur à 20 000 CHF</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_Toc522685327 \h </w:instrText>
        </w:r>
        <w:r w:rsidR="00E62632" w:rsidRPr="00E62632">
          <w:rPr>
            <w:noProof/>
            <w:webHidden/>
          </w:rPr>
        </w:r>
        <w:r w:rsidR="00E62632" w:rsidRPr="00E62632">
          <w:rPr>
            <w:noProof/>
            <w:webHidden/>
          </w:rPr>
          <w:fldChar w:fldCharType="separate"/>
        </w:r>
        <w:r w:rsidR="00BD6831">
          <w:rPr>
            <w:noProof/>
            <w:webHidden/>
          </w:rPr>
          <w:t>27</w:t>
        </w:r>
        <w:r w:rsidR="00E62632" w:rsidRPr="00E62632">
          <w:rPr>
            <w:noProof/>
            <w:webHidden/>
          </w:rPr>
          <w:fldChar w:fldCharType="end"/>
        </w:r>
      </w:hyperlink>
    </w:p>
    <w:p w14:paraId="727044D8" w14:textId="1771AC75" w:rsidR="00E62632" w:rsidRPr="00E62632" w:rsidRDefault="00B21487" w:rsidP="00E62632">
      <w:pPr>
        <w:pStyle w:val="TOC1"/>
        <w:ind w:left="0" w:firstLine="0"/>
        <w:rPr>
          <w:rFonts w:asciiTheme="minorHAnsi" w:eastAsiaTheme="minorEastAsia" w:hAnsiTheme="minorHAnsi" w:cstheme="minorBidi"/>
          <w:noProof/>
          <w:sz w:val="22"/>
          <w:szCs w:val="22"/>
          <w:lang w:val="fr-CH" w:eastAsia="zh-CN"/>
        </w:rPr>
      </w:pPr>
      <w:hyperlink w:anchor="_Toc522685328" w:history="1">
        <w:r w:rsidR="00E62632" w:rsidRPr="00E62632">
          <w:rPr>
            <w:rStyle w:val="Hyperlink"/>
            <w:noProof/>
          </w:rPr>
          <w:t xml:space="preserve">Surveillance des bons de commande ou des marchés attribués en cas de dérogation </w:t>
        </w:r>
        <w:r w:rsidR="00E62632" w:rsidRPr="00E62632">
          <w:rPr>
            <w:rStyle w:val="Hyperlink"/>
            <w:noProof/>
          </w:rPr>
          <w:br/>
          <w:t>à la mise en concurrence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_Toc522685328 \h </w:instrText>
        </w:r>
        <w:r w:rsidR="00E62632" w:rsidRPr="00E62632">
          <w:rPr>
            <w:noProof/>
            <w:webHidden/>
          </w:rPr>
        </w:r>
        <w:r w:rsidR="00E62632" w:rsidRPr="00E62632">
          <w:rPr>
            <w:noProof/>
            <w:webHidden/>
          </w:rPr>
          <w:fldChar w:fldCharType="separate"/>
        </w:r>
        <w:r w:rsidR="00BD6831">
          <w:rPr>
            <w:noProof/>
            <w:webHidden/>
          </w:rPr>
          <w:t>28</w:t>
        </w:r>
        <w:r w:rsidR="00E62632" w:rsidRPr="00E62632">
          <w:rPr>
            <w:noProof/>
            <w:webHidden/>
          </w:rPr>
          <w:fldChar w:fldCharType="end"/>
        </w:r>
      </w:hyperlink>
    </w:p>
    <w:p w14:paraId="580E1930" w14:textId="7EF1B188"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29" w:history="1">
        <w:r w:rsidR="00E62632" w:rsidRPr="00E62632">
          <w:rPr>
            <w:rStyle w:val="Hyperlink"/>
            <w:noProof/>
          </w:rPr>
          <w:t>Améliorer la transparence du processus de passation des marchés de faible valeur</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_Toc522685329 \h </w:instrText>
        </w:r>
        <w:r w:rsidR="00E62632" w:rsidRPr="00E62632">
          <w:rPr>
            <w:noProof/>
            <w:webHidden/>
          </w:rPr>
        </w:r>
        <w:r w:rsidR="00E62632" w:rsidRPr="00E62632">
          <w:rPr>
            <w:noProof/>
            <w:webHidden/>
          </w:rPr>
          <w:fldChar w:fldCharType="separate"/>
        </w:r>
        <w:r w:rsidR="00BD6831">
          <w:rPr>
            <w:noProof/>
            <w:webHidden/>
          </w:rPr>
          <w:t>28</w:t>
        </w:r>
        <w:r w:rsidR="00E62632" w:rsidRPr="00E62632">
          <w:rPr>
            <w:noProof/>
            <w:webHidden/>
          </w:rPr>
          <w:fldChar w:fldCharType="end"/>
        </w:r>
      </w:hyperlink>
    </w:p>
    <w:p w14:paraId="2FE9370E" w14:textId="160FBD5B" w:rsidR="00E62632" w:rsidRPr="00E62632" w:rsidRDefault="00B21487" w:rsidP="00E62632">
      <w:pPr>
        <w:pStyle w:val="TOC1"/>
        <w:ind w:left="0" w:firstLine="0"/>
        <w:rPr>
          <w:rFonts w:asciiTheme="minorHAnsi" w:eastAsiaTheme="minorEastAsia" w:hAnsiTheme="minorHAnsi" w:cstheme="minorBidi"/>
          <w:noProof/>
          <w:sz w:val="22"/>
          <w:szCs w:val="22"/>
          <w:lang w:val="fr-CH" w:eastAsia="zh-CN"/>
        </w:rPr>
      </w:pPr>
      <w:hyperlink w:anchor="_Toc522685330" w:history="1">
        <w:r w:rsidR="00E62632" w:rsidRPr="00E62632">
          <w:rPr>
            <w:rStyle w:val="Hyperlink"/>
            <w:noProof/>
          </w:rPr>
          <w:t xml:space="preserve">Déclaration d'absence de conflit d'intérêts dans le processus de passation des marchés </w:t>
        </w:r>
        <w:r w:rsidR="00E62632" w:rsidRPr="00E62632">
          <w:rPr>
            <w:rStyle w:val="Hyperlink"/>
            <w:noProof/>
          </w:rPr>
          <w:br/>
          <w:t>à faible valeur</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_Toc522685330 \h </w:instrText>
        </w:r>
        <w:r w:rsidR="00E62632" w:rsidRPr="00E62632">
          <w:rPr>
            <w:noProof/>
            <w:webHidden/>
          </w:rPr>
        </w:r>
        <w:r w:rsidR="00E62632" w:rsidRPr="00E62632">
          <w:rPr>
            <w:noProof/>
            <w:webHidden/>
          </w:rPr>
          <w:fldChar w:fldCharType="separate"/>
        </w:r>
        <w:r w:rsidR="00BD6831">
          <w:rPr>
            <w:noProof/>
            <w:webHidden/>
          </w:rPr>
          <w:t>29</w:t>
        </w:r>
        <w:r w:rsidR="00E62632" w:rsidRPr="00E62632">
          <w:rPr>
            <w:noProof/>
            <w:webHidden/>
          </w:rPr>
          <w:fldChar w:fldCharType="end"/>
        </w:r>
      </w:hyperlink>
    </w:p>
    <w:p w14:paraId="20F1EE27" w14:textId="74DFFA10"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31" w:history="1">
        <w:r w:rsidR="00E62632" w:rsidRPr="00E62632">
          <w:rPr>
            <w:rStyle w:val="Hyperlink"/>
            <w:noProof/>
          </w:rPr>
          <w:t>Cadre de l'éthique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_Toc522685331 \h </w:instrText>
        </w:r>
        <w:r w:rsidR="00E62632" w:rsidRPr="00E62632">
          <w:rPr>
            <w:noProof/>
            <w:webHidden/>
          </w:rPr>
        </w:r>
        <w:r w:rsidR="00E62632" w:rsidRPr="00E62632">
          <w:rPr>
            <w:noProof/>
            <w:webHidden/>
          </w:rPr>
          <w:fldChar w:fldCharType="separate"/>
        </w:r>
        <w:r w:rsidR="00BD6831">
          <w:rPr>
            <w:noProof/>
            <w:webHidden/>
          </w:rPr>
          <w:t>30</w:t>
        </w:r>
        <w:r w:rsidR="00E62632" w:rsidRPr="00E62632">
          <w:rPr>
            <w:noProof/>
            <w:webHidden/>
          </w:rPr>
          <w:fldChar w:fldCharType="end"/>
        </w:r>
      </w:hyperlink>
    </w:p>
    <w:p w14:paraId="7C4A0E61" w14:textId="4F8925E2"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32" w:history="1">
        <w:r w:rsidR="00E62632" w:rsidRPr="00E62632">
          <w:rPr>
            <w:rStyle w:val="Hyperlink"/>
            <w:noProof/>
          </w:rPr>
          <w:t>Vente de publications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_Toc522685332 \h </w:instrText>
        </w:r>
        <w:r w:rsidR="00E62632" w:rsidRPr="00E62632">
          <w:rPr>
            <w:noProof/>
            <w:webHidden/>
          </w:rPr>
        </w:r>
        <w:r w:rsidR="00E62632" w:rsidRPr="00E62632">
          <w:rPr>
            <w:noProof/>
            <w:webHidden/>
          </w:rPr>
          <w:fldChar w:fldCharType="separate"/>
        </w:r>
        <w:r w:rsidR="00BD6831">
          <w:rPr>
            <w:noProof/>
            <w:webHidden/>
          </w:rPr>
          <w:t>31</w:t>
        </w:r>
        <w:r w:rsidR="00E62632" w:rsidRPr="00E62632">
          <w:rPr>
            <w:noProof/>
            <w:webHidden/>
          </w:rPr>
          <w:fldChar w:fldCharType="end"/>
        </w:r>
      </w:hyperlink>
    </w:p>
    <w:p w14:paraId="401692A1" w14:textId="5B7F227F"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33" w:history="1">
        <w:r w:rsidR="00E62632" w:rsidRPr="00E62632">
          <w:rPr>
            <w:rStyle w:val="Hyperlink"/>
            <w:noProof/>
          </w:rPr>
          <w:t>ETAT DES VARIATIONS DE L'ACTIF NET POUR L'EXERCICE CLOS LE 31 DÉCEMBRE 2017</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_Toc522685333 \h </w:instrText>
        </w:r>
        <w:r w:rsidR="00E62632" w:rsidRPr="00E62632">
          <w:rPr>
            <w:noProof/>
            <w:webHidden/>
          </w:rPr>
        </w:r>
        <w:r w:rsidR="00E62632" w:rsidRPr="00E62632">
          <w:rPr>
            <w:noProof/>
            <w:webHidden/>
          </w:rPr>
          <w:fldChar w:fldCharType="separate"/>
        </w:r>
        <w:r w:rsidR="00BD6831">
          <w:rPr>
            <w:noProof/>
            <w:webHidden/>
          </w:rPr>
          <w:t>31</w:t>
        </w:r>
        <w:r w:rsidR="00E62632" w:rsidRPr="00E62632">
          <w:rPr>
            <w:noProof/>
            <w:webHidden/>
          </w:rPr>
          <w:fldChar w:fldCharType="end"/>
        </w:r>
      </w:hyperlink>
    </w:p>
    <w:p w14:paraId="3D03F9D6" w14:textId="375B4258"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34" w:history="1">
        <w:r w:rsidR="00E62632" w:rsidRPr="00E62632">
          <w:rPr>
            <w:rStyle w:val="Hyperlink"/>
            <w:noProof/>
          </w:rPr>
          <w:t>TABLEAU DES FLUX DE TRÉSORERIE DE L'EXERCICE CLOS LE 31 DÉCEMBRE 2017</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_Toc522685334 \h </w:instrText>
        </w:r>
        <w:r w:rsidR="00E62632" w:rsidRPr="00E62632">
          <w:rPr>
            <w:noProof/>
            <w:webHidden/>
          </w:rPr>
        </w:r>
        <w:r w:rsidR="00E62632" w:rsidRPr="00E62632">
          <w:rPr>
            <w:noProof/>
            <w:webHidden/>
          </w:rPr>
          <w:fldChar w:fldCharType="separate"/>
        </w:r>
        <w:r w:rsidR="00BD6831">
          <w:rPr>
            <w:noProof/>
            <w:webHidden/>
          </w:rPr>
          <w:t>31</w:t>
        </w:r>
        <w:r w:rsidR="00E62632" w:rsidRPr="00E62632">
          <w:rPr>
            <w:noProof/>
            <w:webHidden/>
          </w:rPr>
          <w:fldChar w:fldCharType="end"/>
        </w:r>
      </w:hyperlink>
    </w:p>
    <w:p w14:paraId="5C946E4B" w14:textId="430D0C80" w:rsidR="00E62632" w:rsidRPr="00E62632" w:rsidRDefault="00B21487" w:rsidP="00E62632">
      <w:pPr>
        <w:pStyle w:val="TOC1"/>
        <w:ind w:left="0" w:firstLine="0"/>
        <w:rPr>
          <w:rFonts w:asciiTheme="minorHAnsi" w:eastAsiaTheme="minorEastAsia" w:hAnsiTheme="minorHAnsi" w:cstheme="minorBidi"/>
          <w:noProof/>
          <w:sz w:val="22"/>
          <w:szCs w:val="22"/>
          <w:lang w:val="fr-CH" w:eastAsia="zh-CN"/>
        </w:rPr>
      </w:pPr>
      <w:hyperlink w:anchor="_Toc522685335" w:history="1">
        <w:r w:rsidR="00E62632" w:rsidRPr="00E62632">
          <w:rPr>
            <w:rStyle w:val="Hyperlink"/>
            <w:noProof/>
          </w:rPr>
          <w:t>COMPARAISON DES MONTANTS BUDGÉTISÉS ET DES MONTANTS EFFECTIFS POUR L'EXERCICE 2017</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_Toc522685335 \h </w:instrText>
        </w:r>
        <w:r w:rsidR="00E62632" w:rsidRPr="00E62632">
          <w:rPr>
            <w:noProof/>
            <w:webHidden/>
          </w:rPr>
        </w:r>
        <w:r w:rsidR="00E62632" w:rsidRPr="00E62632">
          <w:rPr>
            <w:noProof/>
            <w:webHidden/>
          </w:rPr>
          <w:fldChar w:fldCharType="separate"/>
        </w:r>
        <w:r w:rsidR="00BD6831">
          <w:rPr>
            <w:noProof/>
            <w:webHidden/>
          </w:rPr>
          <w:t>31</w:t>
        </w:r>
        <w:r w:rsidR="00E62632" w:rsidRPr="00E62632">
          <w:rPr>
            <w:noProof/>
            <w:webHidden/>
          </w:rPr>
          <w:fldChar w:fldCharType="end"/>
        </w:r>
      </w:hyperlink>
    </w:p>
    <w:p w14:paraId="45580E22" w14:textId="66A55EDE"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36" w:history="1">
        <w:r w:rsidR="00E62632" w:rsidRPr="00E62632">
          <w:rPr>
            <w:rStyle w:val="Hyperlink"/>
            <w:noProof/>
          </w:rPr>
          <w:t>CAISSE D'ASSURANCE DU PERSONNEL</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_Toc522685336 \h </w:instrText>
        </w:r>
        <w:r w:rsidR="00E62632" w:rsidRPr="00E62632">
          <w:rPr>
            <w:noProof/>
            <w:webHidden/>
          </w:rPr>
        </w:r>
        <w:r w:rsidR="00E62632" w:rsidRPr="00E62632">
          <w:rPr>
            <w:noProof/>
            <w:webHidden/>
          </w:rPr>
          <w:fldChar w:fldCharType="separate"/>
        </w:r>
        <w:r w:rsidR="00BD6831">
          <w:rPr>
            <w:noProof/>
            <w:webHidden/>
          </w:rPr>
          <w:t>32</w:t>
        </w:r>
        <w:r w:rsidR="00E62632" w:rsidRPr="00E62632">
          <w:rPr>
            <w:noProof/>
            <w:webHidden/>
          </w:rPr>
          <w:fldChar w:fldCharType="end"/>
        </w:r>
      </w:hyperlink>
    </w:p>
    <w:p w14:paraId="5E2314DA" w14:textId="64BE4A7F" w:rsidR="00E62632" w:rsidRPr="00E62632" w:rsidRDefault="00B21487" w:rsidP="00E62632">
      <w:pPr>
        <w:pStyle w:val="TOC1"/>
        <w:ind w:left="0" w:firstLine="0"/>
        <w:rPr>
          <w:rFonts w:asciiTheme="minorHAnsi" w:eastAsiaTheme="minorEastAsia" w:hAnsiTheme="minorHAnsi" w:cstheme="minorBidi"/>
          <w:noProof/>
          <w:sz w:val="22"/>
          <w:szCs w:val="22"/>
          <w:lang w:val="fr-CH" w:eastAsia="zh-CN"/>
        </w:rPr>
      </w:pPr>
      <w:hyperlink w:anchor="_Toc522685337" w:history="1">
        <w:r w:rsidR="00E62632" w:rsidRPr="00E62632">
          <w:rPr>
            <w:rStyle w:val="Hyperlink"/>
            <w:noProof/>
          </w:rPr>
          <w:t xml:space="preserve">PROGRAMME DES NATIONS UNIES POUR LE DÉVELOPPEMENT (PNUD), </w:t>
        </w:r>
        <w:r w:rsidR="00E62632" w:rsidRPr="00E62632">
          <w:rPr>
            <w:rStyle w:val="Hyperlink"/>
            <w:caps/>
            <w:noProof/>
          </w:rPr>
          <w:t xml:space="preserve">Fonds </w:t>
        </w:r>
        <w:r w:rsidR="00E62632" w:rsidRPr="00E62632">
          <w:rPr>
            <w:rStyle w:val="Hyperlink"/>
            <w:caps/>
            <w:noProof/>
          </w:rPr>
          <w:br/>
          <w:t xml:space="preserve">pour le développement des technologies de l'information et </w:t>
        </w:r>
        <w:r w:rsidR="00E62632" w:rsidRPr="00E62632">
          <w:rPr>
            <w:rStyle w:val="Hyperlink"/>
            <w:caps/>
            <w:noProof/>
          </w:rPr>
          <w:br/>
          <w:t>de la communication</w:t>
        </w:r>
        <w:r w:rsidR="00E62632" w:rsidRPr="00E62632">
          <w:rPr>
            <w:rStyle w:val="Hyperlink"/>
            <w:noProof/>
          </w:rPr>
          <w:t xml:space="preserve"> (FD-TIC) ET FONDS D'AFFECTATION SPÉCIALE</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_Toc522685337 \h </w:instrText>
        </w:r>
        <w:r w:rsidR="00E62632" w:rsidRPr="00E62632">
          <w:rPr>
            <w:noProof/>
            <w:webHidden/>
          </w:rPr>
        </w:r>
        <w:r w:rsidR="00E62632" w:rsidRPr="00E62632">
          <w:rPr>
            <w:noProof/>
            <w:webHidden/>
          </w:rPr>
          <w:fldChar w:fldCharType="separate"/>
        </w:r>
        <w:r w:rsidR="00BD6831">
          <w:rPr>
            <w:noProof/>
            <w:webHidden/>
          </w:rPr>
          <w:t>32</w:t>
        </w:r>
        <w:r w:rsidR="00E62632" w:rsidRPr="00E62632">
          <w:rPr>
            <w:noProof/>
            <w:webHidden/>
          </w:rPr>
          <w:fldChar w:fldCharType="end"/>
        </w:r>
      </w:hyperlink>
    </w:p>
    <w:p w14:paraId="02E3DB9F" w14:textId="5167B4D5" w:rsidR="00E62632" w:rsidRPr="00E62632" w:rsidRDefault="00B21487" w:rsidP="00E62632">
      <w:pPr>
        <w:pStyle w:val="TOC1"/>
        <w:rPr>
          <w:rFonts w:asciiTheme="minorHAnsi" w:eastAsiaTheme="minorEastAsia" w:hAnsiTheme="minorHAnsi" w:cstheme="minorBidi"/>
          <w:noProof/>
          <w:sz w:val="22"/>
          <w:szCs w:val="22"/>
          <w:lang w:val="fr-CH" w:eastAsia="zh-CN"/>
        </w:rPr>
      </w:pPr>
      <w:hyperlink w:anchor="_Toc522685338" w:history="1">
        <w:r w:rsidR="00E62632" w:rsidRPr="00E62632">
          <w:rPr>
            <w:rStyle w:val="Hyperlink"/>
            <w:noProof/>
          </w:rPr>
          <w:t>UNIT</w:t>
        </w:r>
        <w:r w:rsidR="00E62632">
          <w:rPr>
            <w:rStyle w:val="Hyperlink"/>
            <w:noProof/>
          </w:rPr>
          <w:t>É</w:t>
        </w:r>
        <w:r w:rsidR="00E62632" w:rsidRPr="00E62632">
          <w:rPr>
            <w:rStyle w:val="Hyperlink"/>
            <w:noProof/>
          </w:rPr>
          <w:t xml:space="preserve"> DE L'AUDIT INTERNE (IAU)</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_Toc522685338 \h </w:instrText>
        </w:r>
        <w:r w:rsidR="00E62632" w:rsidRPr="00E62632">
          <w:rPr>
            <w:noProof/>
            <w:webHidden/>
          </w:rPr>
        </w:r>
        <w:r w:rsidR="00E62632" w:rsidRPr="00E62632">
          <w:rPr>
            <w:noProof/>
            <w:webHidden/>
          </w:rPr>
          <w:fldChar w:fldCharType="separate"/>
        </w:r>
        <w:r w:rsidR="00BD6831">
          <w:rPr>
            <w:noProof/>
            <w:webHidden/>
          </w:rPr>
          <w:t>33</w:t>
        </w:r>
        <w:r w:rsidR="00E62632" w:rsidRPr="00E62632">
          <w:rPr>
            <w:noProof/>
            <w:webHidden/>
          </w:rPr>
          <w:fldChar w:fldCharType="end"/>
        </w:r>
      </w:hyperlink>
    </w:p>
    <w:p w14:paraId="7A6D0FDE" w14:textId="7F22A960" w:rsidR="00E62632" w:rsidRPr="00E62632" w:rsidRDefault="00B21487">
      <w:pPr>
        <w:pStyle w:val="TOC1"/>
        <w:rPr>
          <w:rFonts w:asciiTheme="minorHAnsi" w:eastAsiaTheme="minorEastAsia" w:hAnsiTheme="minorHAnsi" w:cstheme="minorBidi"/>
          <w:noProof/>
          <w:sz w:val="22"/>
          <w:szCs w:val="22"/>
          <w:lang w:val="fr-CH" w:eastAsia="zh-CN"/>
        </w:rPr>
      </w:pPr>
      <w:hyperlink w:anchor="_Toc522685339" w:history="1">
        <w:r w:rsidR="00E62632" w:rsidRPr="00E62632">
          <w:rPr>
            <w:rStyle w:val="Hyperlink"/>
            <w:noProof/>
          </w:rPr>
          <w:t>SUIVI DE NOS RECOMMANDATIONS ET SUGGESTIONS PRÉCÉDENTES</w:t>
        </w:r>
        <w:r w:rsidR="00E62632" w:rsidRPr="00E62632">
          <w:rPr>
            <w:noProof/>
            <w:webHidden/>
          </w:rPr>
          <w:tab/>
        </w:r>
        <w:r w:rsidR="00E62632" w:rsidRPr="00E62632">
          <w:rPr>
            <w:noProof/>
            <w:webHidden/>
          </w:rPr>
          <w:tab/>
        </w:r>
        <w:r w:rsidR="00E62632" w:rsidRPr="00E62632">
          <w:rPr>
            <w:noProof/>
            <w:webHidden/>
          </w:rPr>
          <w:fldChar w:fldCharType="begin"/>
        </w:r>
        <w:r w:rsidR="00E62632" w:rsidRPr="00E62632">
          <w:rPr>
            <w:noProof/>
            <w:webHidden/>
          </w:rPr>
          <w:instrText xml:space="preserve"> PAGEREF _Toc522685339 \h </w:instrText>
        </w:r>
        <w:r w:rsidR="00E62632" w:rsidRPr="00E62632">
          <w:rPr>
            <w:noProof/>
            <w:webHidden/>
          </w:rPr>
        </w:r>
        <w:r w:rsidR="00E62632" w:rsidRPr="00E62632">
          <w:rPr>
            <w:noProof/>
            <w:webHidden/>
          </w:rPr>
          <w:fldChar w:fldCharType="separate"/>
        </w:r>
        <w:r w:rsidR="00BD6831">
          <w:rPr>
            <w:noProof/>
            <w:webHidden/>
          </w:rPr>
          <w:t>33</w:t>
        </w:r>
        <w:r w:rsidR="00E62632" w:rsidRPr="00E62632">
          <w:rPr>
            <w:noProof/>
            <w:webHidden/>
          </w:rPr>
          <w:fldChar w:fldCharType="end"/>
        </w:r>
      </w:hyperlink>
    </w:p>
    <w:p w14:paraId="3CFD8543" w14:textId="77777777" w:rsidR="001B30ED" w:rsidRPr="001F515A" w:rsidRDefault="00E62632" w:rsidP="001B30ED">
      <w:r w:rsidRPr="00E62632">
        <w:fldChar w:fldCharType="end"/>
      </w:r>
    </w:p>
    <w:p w14:paraId="1EE58777" w14:textId="77777777" w:rsidR="001B30ED" w:rsidRDefault="001B30ED" w:rsidP="00B53AD7">
      <w:pPr>
        <w:pStyle w:val="Heading1"/>
        <w:jc w:val="center"/>
      </w:pPr>
      <w:bookmarkStart w:id="13" w:name="_Toc418501293"/>
      <w:bookmarkStart w:id="14" w:name="_Toc450158083"/>
      <w:bookmarkStart w:id="15" w:name="_Toc450323513"/>
      <w:bookmarkStart w:id="16" w:name="_Toc482176208"/>
      <w:bookmarkStart w:id="17" w:name="_Toc450991452"/>
      <w:bookmarkStart w:id="18" w:name="_Toc482958295"/>
      <w:bookmarkStart w:id="19" w:name="_Toc482966345"/>
      <w:bookmarkStart w:id="20" w:name="_Toc482967227"/>
      <w:r>
        <w:br w:type="page"/>
      </w:r>
    </w:p>
    <w:p w14:paraId="5E17B380" w14:textId="225B2D4C" w:rsidR="00EE464D" w:rsidRPr="00DD066D" w:rsidRDefault="00D10C06" w:rsidP="00B53AD7">
      <w:pPr>
        <w:pStyle w:val="Heading1"/>
        <w:jc w:val="center"/>
      </w:pPr>
      <w:bookmarkStart w:id="21" w:name="_Toc522685282"/>
      <w:r w:rsidRPr="00DD066D">
        <w:t>INTRODUCTION</w:t>
      </w:r>
      <w:bookmarkEnd w:id="13"/>
      <w:bookmarkEnd w:id="14"/>
      <w:bookmarkEnd w:id="15"/>
      <w:bookmarkEnd w:id="16"/>
      <w:bookmarkEnd w:id="17"/>
      <w:bookmarkEnd w:id="18"/>
      <w:bookmarkEnd w:id="19"/>
      <w:bookmarkEnd w:id="20"/>
      <w:bookmarkEnd w:id="21"/>
    </w:p>
    <w:p w14:paraId="4E4E1781" w14:textId="0EA9B780" w:rsidR="00D10C06" w:rsidRPr="00DD066D" w:rsidRDefault="00D10C06" w:rsidP="001B30ED">
      <w:pPr>
        <w:spacing w:before="360"/>
      </w:pPr>
      <w:r w:rsidRPr="00DD066D">
        <w:t>Les bases juridiques de l</w:t>
      </w:r>
      <w:r w:rsidR="006A0DD7" w:rsidRPr="00DD066D">
        <w:t>a vérification effectuée par le Vérificateur extérieur</w:t>
      </w:r>
      <w:r w:rsidRPr="00DD066D">
        <w:t xml:space="preserve"> des comptes sont énoncées dans l</w:t>
      </w:r>
      <w:r w:rsidR="001B30ED">
        <w:t>'</w:t>
      </w:r>
      <w:r w:rsidRPr="00DD066D">
        <w:t>Article</w:t>
      </w:r>
      <w:r w:rsidR="0018444B">
        <w:t> </w:t>
      </w:r>
      <w:r w:rsidRPr="00DD066D">
        <w:t>28 du Règlement financier de l</w:t>
      </w:r>
      <w:r w:rsidR="001B30ED">
        <w:t>'</w:t>
      </w:r>
      <w:r w:rsidRPr="00DD066D">
        <w:t>UIT (édition de 2010) ainsi que dans le Mandat additionnel pour la vérification extérieure des comptes.</w:t>
      </w:r>
    </w:p>
    <w:p w14:paraId="24E8A02F" w14:textId="77777777" w:rsidR="00D10C06" w:rsidRPr="00DD066D" w:rsidRDefault="00D10C06" w:rsidP="00B53AD7">
      <w:r w:rsidRPr="00DD066D">
        <w:t>Le présent rapport a pour objet de communiquer au Conseil les résultats de la vérification que nous avons effectuée.</w:t>
      </w:r>
    </w:p>
    <w:p w14:paraId="0B55E945" w14:textId="0BCD5A5F" w:rsidR="00D10C06" w:rsidRPr="00DD066D" w:rsidRDefault="00D10C06" w:rsidP="00B53AD7">
      <w:r w:rsidRPr="00DD066D">
        <w:t>La vérification portait sur le Rapport de gestion financière de l</w:t>
      </w:r>
      <w:r w:rsidR="001B30ED">
        <w:t>'</w:t>
      </w:r>
      <w:r w:rsidRPr="00DD066D">
        <w:t>UIT au 31</w:t>
      </w:r>
      <w:r w:rsidR="0018444B">
        <w:t> </w:t>
      </w:r>
      <w:r w:rsidRPr="00DD066D">
        <w:t>décembre</w:t>
      </w:r>
      <w:r w:rsidR="0018444B">
        <w:t> </w:t>
      </w:r>
      <w:r w:rsidRPr="00DD066D">
        <w:t>2017, les comptes budgétaires et leur concordance.</w:t>
      </w:r>
    </w:p>
    <w:p w14:paraId="79E2A666" w14:textId="7CB36B9F" w:rsidR="00FA2FAE" w:rsidRPr="00DD066D" w:rsidRDefault="00FA2FAE" w:rsidP="00B53AD7">
      <w:r w:rsidRPr="00DD066D">
        <w:t>Les exercices financiers sont régis par les dispositions de la Constitution et de la Convention de l</w:t>
      </w:r>
      <w:r w:rsidR="001B30ED">
        <w:t>'</w:t>
      </w:r>
      <w:r w:rsidRPr="00DD066D">
        <w:t xml:space="preserve">Union internationale des télécommunications et par les prescriptions du </w:t>
      </w:r>
      <w:r w:rsidRPr="00DD066D">
        <w:rPr>
          <w:i/>
          <w:iCs/>
        </w:rPr>
        <w:t>Règlement financier et des Règles financières</w:t>
      </w:r>
      <w:r w:rsidRPr="00DD066D">
        <w:t xml:space="preserve"> de l</w:t>
      </w:r>
      <w:r w:rsidR="001B30ED">
        <w:t>'</w:t>
      </w:r>
      <w:r w:rsidRPr="00DD066D">
        <w:t>UIT, en conformité avec les Normes comptables pour le secteur public international (normes IPSAS).</w:t>
      </w:r>
    </w:p>
    <w:p w14:paraId="071688F3" w14:textId="343C6605" w:rsidR="00FA2FAE" w:rsidRPr="00DD066D" w:rsidRDefault="00FA2FAE" w:rsidP="00B53AD7">
      <w:r w:rsidRPr="00DD066D">
        <w:t>Les vérifications des comptes de l</w:t>
      </w:r>
      <w:r w:rsidR="001B30ED">
        <w:t>'</w:t>
      </w:r>
      <w:r w:rsidRPr="00DD066D">
        <w:t>UIT pour l</w:t>
      </w:r>
      <w:r w:rsidR="001B30ED">
        <w:t>'</w:t>
      </w:r>
      <w:r w:rsidRPr="00DD066D">
        <w:t>exercice</w:t>
      </w:r>
      <w:r w:rsidR="0018444B">
        <w:t> </w:t>
      </w:r>
      <w:r w:rsidRPr="00DD066D">
        <w:t>2017 ont été effectuées selon les Normes de l</w:t>
      </w:r>
      <w:r w:rsidR="001B30ED">
        <w:t>'</w:t>
      </w:r>
      <w:r w:rsidRPr="00DD066D">
        <w:t>Organisation internationale des institutions supérieures de contrôle des finances publiques (INTOSAI) et le régime IPSAS et conformément au mandat additionnel faisant partie intégrante du Règlement financier de l</w:t>
      </w:r>
      <w:r w:rsidR="001B30ED">
        <w:t>'</w:t>
      </w:r>
      <w:r w:rsidRPr="00DD066D">
        <w:t>Union.</w:t>
      </w:r>
    </w:p>
    <w:p w14:paraId="0690895A" w14:textId="783AAF2B" w:rsidR="00FA2FAE" w:rsidRPr="00DD066D" w:rsidRDefault="00FA2FAE" w:rsidP="00B53AD7">
      <w:r w:rsidRPr="00DD066D">
        <w:t>Nous avons organisé les travaux conformément à la stratégie qui est la nôtre en matière de vérification de manière à obtenir une assurance raisonnable de l</w:t>
      </w:r>
      <w:r w:rsidR="001B30ED">
        <w:t>'</w:t>
      </w:r>
      <w:r w:rsidRPr="00DD066D">
        <w:t>absence d</w:t>
      </w:r>
      <w:r w:rsidR="001B30ED">
        <w:t>'</w:t>
      </w:r>
      <w:r w:rsidRPr="00DD066D">
        <w:t xml:space="preserve">inexactitudes significatives dans les états financiers. </w:t>
      </w:r>
    </w:p>
    <w:p w14:paraId="71F20893" w14:textId="1D548F78" w:rsidR="00FA2FAE" w:rsidRPr="00DD066D" w:rsidRDefault="00FA2FAE" w:rsidP="00B53AD7">
      <w:r w:rsidRPr="00DD066D">
        <w:t>Nous avons évalué les principes comptables et les estimations correspondantes faites par la direction ainsi que l</w:t>
      </w:r>
      <w:r w:rsidR="001B30ED">
        <w:t>'</w:t>
      </w:r>
      <w:r w:rsidRPr="00DD066D">
        <w:t>adéquation de la présentation des informations dans les états financiers.</w:t>
      </w:r>
    </w:p>
    <w:p w14:paraId="6D3FE929" w14:textId="03E2283E" w:rsidR="00FA2FAE" w:rsidRPr="00DD066D" w:rsidRDefault="00FA2FAE" w:rsidP="00B53AD7">
      <w:r w:rsidRPr="00DD066D">
        <w:t>Nous avons examiné par sondage un certain nombre d</w:t>
      </w:r>
      <w:r w:rsidR="001B30ED">
        <w:t>'</w:t>
      </w:r>
      <w:r w:rsidRPr="00DD066D">
        <w:t>opérations et la documentation correspondante et avons obtenu suffisamment d</w:t>
      </w:r>
      <w:r w:rsidR="001B30ED">
        <w:t>'</w:t>
      </w:r>
      <w:r w:rsidRPr="00DD066D">
        <w:t>éléments probants fiables en ce qui concerne les comptes et les données figurant dans les états financiers.</w:t>
      </w:r>
    </w:p>
    <w:p w14:paraId="47E0AA2D" w14:textId="11140878" w:rsidR="00FA2FAE" w:rsidRPr="00DD066D" w:rsidRDefault="00FA2FAE" w:rsidP="00B53AD7">
      <w:r w:rsidRPr="00DD066D">
        <w:t>Par conséquent, nous avons obtenu, dans le cadre de la vérification, des éléments suffisants pour fonder l</w:t>
      </w:r>
      <w:r w:rsidR="001B30ED">
        <w:t>'</w:t>
      </w:r>
      <w:r w:rsidRPr="00DD066D">
        <w:t>opinion formulée ci-dessous.</w:t>
      </w:r>
    </w:p>
    <w:p w14:paraId="10ED69ED" w14:textId="77777777" w:rsidR="00FA2FAE" w:rsidRPr="00DD066D" w:rsidRDefault="00FA2FAE" w:rsidP="00B53AD7">
      <w:r w:rsidRPr="00DD066D">
        <w:t xml:space="preserve">Au cours des travaux de vérification, toutes les questions ont été clarifiées et examinées avec les fonctionnaires responsables. </w:t>
      </w:r>
    </w:p>
    <w:p w14:paraId="7F0559F3" w14:textId="649C12C0" w:rsidR="00FA2FAE" w:rsidRPr="00DD066D" w:rsidRDefault="00FA2FAE" w:rsidP="00B53AD7">
      <w:r w:rsidRPr="00DD066D">
        <w:t>Mes collaborateurs se sont régulièrement entretenus avec M. Alassane Ba, Chef du Département de la gestion des ressources financières de l</w:t>
      </w:r>
      <w:r w:rsidR="001B30ED">
        <w:t>'</w:t>
      </w:r>
      <w:r w:rsidRPr="00DD066D">
        <w:t>UIT, ainsi qu</w:t>
      </w:r>
      <w:r w:rsidR="001B30ED">
        <w:t>'</w:t>
      </w:r>
      <w:r w:rsidRPr="00DD066D">
        <w:t>avec d</w:t>
      </w:r>
      <w:r w:rsidR="001B30ED">
        <w:t>'</w:t>
      </w:r>
      <w:r w:rsidRPr="00DD066D">
        <w:t>autres collaborateurs de son département et d</w:t>
      </w:r>
      <w:r w:rsidR="001B30ED">
        <w:t>'</w:t>
      </w:r>
      <w:r w:rsidRPr="00DD066D">
        <w:t>autres départements, en fonction du thème traité.</w:t>
      </w:r>
    </w:p>
    <w:p w14:paraId="0B58A99B" w14:textId="747F72F6" w:rsidR="00FA2FAE" w:rsidRPr="00DD066D" w:rsidRDefault="00FA2FAE" w:rsidP="00B53AD7">
      <w:r w:rsidRPr="00DD066D">
        <w:t>Le résultat de la vérification a été communiqué le 19</w:t>
      </w:r>
      <w:r w:rsidR="0018444B">
        <w:t> </w:t>
      </w:r>
      <w:r w:rsidRPr="00DD066D">
        <w:t>juin</w:t>
      </w:r>
      <w:r w:rsidR="0018444B">
        <w:t> </w:t>
      </w:r>
      <w:r w:rsidRPr="00DD066D">
        <w:t>2018.</w:t>
      </w:r>
    </w:p>
    <w:p w14:paraId="636F4931" w14:textId="51B81D97" w:rsidR="00FA2FAE" w:rsidRPr="00DD066D" w:rsidRDefault="00FA2FAE" w:rsidP="00B53AD7">
      <w:r w:rsidRPr="00DD066D">
        <w:t>Conformément au §</w:t>
      </w:r>
      <w:r w:rsidR="0018444B">
        <w:t> </w:t>
      </w:r>
      <w:r w:rsidRPr="00DD066D">
        <w:t>9 du Mandat additionnel pour la vérification extérieure des comptes, concernant les commentaires du Secrétaire général à insérer dans le présent rapport, ce dernier nous a informés par l</w:t>
      </w:r>
      <w:r w:rsidR="001B30ED">
        <w:t>'</w:t>
      </w:r>
      <w:r w:rsidRPr="00DD066D">
        <w:t>intermédiaire de ses collaborateurs que ses commentaires allaient nous parvenir. Ces derniers nous sont bien parvenus le 22 juin 2018 et ont été dûment intégrés dans le présent rapport.</w:t>
      </w:r>
    </w:p>
    <w:p w14:paraId="3F57CB3F" w14:textId="6826373B" w:rsidR="00FA2FAE" w:rsidRPr="00DD066D" w:rsidRDefault="00FA2FAE" w:rsidP="00B53AD7">
      <w:r w:rsidRPr="00DD066D">
        <w:t>Nous avons effectué la vérification du Rapport de gestion financière de l</w:t>
      </w:r>
      <w:r w:rsidR="001B30ED">
        <w:t>'</w:t>
      </w:r>
      <w:r w:rsidRPr="00DD066D">
        <w:t>UIT sur les comptes de l</w:t>
      </w:r>
      <w:r w:rsidR="001B30ED">
        <w:t>'</w:t>
      </w:r>
      <w:r w:rsidRPr="00DD066D">
        <w:t>Organisation, qui donne les résultats financiers au 31</w:t>
      </w:r>
      <w:r w:rsidR="0018444B">
        <w:t> </w:t>
      </w:r>
      <w:r w:rsidRPr="00DD066D">
        <w:t>décembre</w:t>
      </w:r>
      <w:r w:rsidR="0018444B">
        <w:t> </w:t>
      </w:r>
      <w:r w:rsidRPr="00DD066D">
        <w:t>2017, présentés conformément à l</w:t>
      </w:r>
      <w:r w:rsidR="001B30ED">
        <w:t>'</w:t>
      </w:r>
      <w:r w:rsidRPr="00DD066D">
        <w:t>Article</w:t>
      </w:r>
      <w:r w:rsidR="0018444B">
        <w:t> </w:t>
      </w:r>
      <w:r w:rsidRPr="00DD066D">
        <w:t xml:space="preserve">28 du </w:t>
      </w:r>
      <w:r w:rsidRPr="00DD066D">
        <w:rPr>
          <w:i/>
          <w:iCs/>
        </w:rPr>
        <w:t>Règlement financier (édition de 2010)</w:t>
      </w:r>
      <w:r w:rsidRPr="00DD066D">
        <w:t>.</w:t>
      </w:r>
    </w:p>
    <w:p w14:paraId="261CFFB0" w14:textId="344FF7C3" w:rsidR="00DF74F5" w:rsidRPr="00DD066D" w:rsidRDefault="00DF74F5" w:rsidP="00B53AD7">
      <w:r w:rsidRPr="00DD066D">
        <w:t>Un rapport de la direction portant sur les comptes pour l</w:t>
      </w:r>
      <w:r w:rsidR="001B30ED">
        <w:t>'</w:t>
      </w:r>
      <w:r w:rsidRPr="00DD066D">
        <w:t>exercice</w:t>
      </w:r>
      <w:r w:rsidR="0018444B">
        <w:t> </w:t>
      </w:r>
      <w:r w:rsidRPr="00DD066D">
        <w:t xml:space="preserve">2017, signé par le Secrétaire général et le Chef du Département de la gestion des ressources financières </w:t>
      </w:r>
      <w:r w:rsidR="00DB338B" w:rsidRPr="00DD066D">
        <w:t>le</w:t>
      </w:r>
      <w:r w:rsidRPr="00DD066D">
        <w:t xml:space="preserve"> 26</w:t>
      </w:r>
      <w:r w:rsidR="0018444B">
        <w:t> </w:t>
      </w:r>
      <w:r w:rsidR="00DB338B" w:rsidRPr="00DD066D">
        <w:t>mars</w:t>
      </w:r>
      <w:r w:rsidR="0018444B">
        <w:t> </w:t>
      </w:r>
      <w:r w:rsidRPr="00DD066D">
        <w:t>2018, a été inséré dans les états financiers et fait partie intégrante de la documentation relative à la vérification des comptes.</w:t>
      </w:r>
    </w:p>
    <w:p w14:paraId="4189C792" w14:textId="2CB5E44E" w:rsidR="00DF74F5" w:rsidRPr="00DD066D" w:rsidRDefault="00DF74F5" w:rsidP="00B53AD7">
      <w:r w:rsidRPr="00DD066D">
        <w:t>Nous avons également reçu la déclaration sur le contrôle interne pour 2017, signée par le Secrétaire général le 26</w:t>
      </w:r>
      <w:r w:rsidR="0018444B">
        <w:t> </w:t>
      </w:r>
      <w:r w:rsidRPr="00DD066D">
        <w:t>mars</w:t>
      </w:r>
      <w:r w:rsidR="0018444B">
        <w:t> </w:t>
      </w:r>
      <w:r w:rsidRPr="00DD066D">
        <w:t>2018.</w:t>
      </w:r>
    </w:p>
    <w:p w14:paraId="46B3C110" w14:textId="1976A978" w:rsidR="002C6971" w:rsidRPr="00DD066D" w:rsidRDefault="002C6971" w:rsidP="00B53AD7">
      <w:r w:rsidRPr="00DD066D">
        <w:t>Le 16</w:t>
      </w:r>
      <w:r w:rsidR="0018444B">
        <w:t> </w:t>
      </w:r>
      <w:r w:rsidRPr="00DD066D">
        <w:t>mars</w:t>
      </w:r>
      <w:r w:rsidR="0018444B">
        <w:t> </w:t>
      </w:r>
      <w:r w:rsidRPr="00DD066D">
        <w:t>2018, le Secrétaire général a signalé à notre Président qu</w:t>
      </w:r>
      <w:r w:rsidR="001B30ED">
        <w:t>'</w:t>
      </w:r>
      <w:r w:rsidRPr="00DD066D">
        <w:t>un cas de fraude avait été détecté pa</w:t>
      </w:r>
      <w:r w:rsidR="00E01D10" w:rsidRPr="00DD066D">
        <w:t>r la direction dans un bureau ré</w:t>
      </w:r>
      <w:r w:rsidRPr="00DD066D">
        <w:t xml:space="preserve">gional </w:t>
      </w:r>
      <w:r w:rsidR="00A87E9F" w:rsidRPr="00DD066D">
        <w:t>non couvert par</w:t>
      </w:r>
      <w:r w:rsidRPr="00DD066D">
        <w:t xml:space="preserve"> notre v</w:t>
      </w:r>
      <w:r w:rsidR="00E83344">
        <w:t>é</w:t>
      </w:r>
      <w:r w:rsidRPr="00DD066D">
        <w:t>rification.</w:t>
      </w:r>
    </w:p>
    <w:p w14:paraId="6A4788BC" w14:textId="60050A95" w:rsidR="002C6971" w:rsidRPr="00DD066D" w:rsidRDefault="002C6971" w:rsidP="001B30ED">
      <w:r w:rsidRPr="00DD066D">
        <w:t>Par la suite, le Secrétaire général nous a informé</w:t>
      </w:r>
      <w:r w:rsidR="00E83344">
        <w:t>s</w:t>
      </w:r>
      <w:r w:rsidRPr="00DD066D">
        <w:t xml:space="preserve"> que l</w:t>
      </w:r>
      <w:r w:rsidR="001B30ED">
        <w:t>'</w:t>
      </w:r>
      <w:r w:rsidRPr="00DD066D">
        <w:t xml:space="preserve">enquête menée par la direction avait permis de conclure que la fraude, </w:t>
      </w:r>
      <w:r w:rsidR="00123187">
        <w:t>impliquant</w:t>
      </w:r>
      <w:r w:rsidRPr="00DD066D">
        <w:t xml:space="preserve"> un conflit d</w:t>
      </w:r>
      <w:r w:rsidR="001B30ED">
        <w:t>'</w:t>
      </w:r>
      <w:r w:rsidRPr="00DD066D">
        <w:t xml:space="preserve">intérêts dans le domaine de la passation de marchés, avait été commise sur plusieurs années; cependant, son incidence sur les </w:t>
      </w:r>
      <w:r w:rsidR="001B30ED">
        <w:t>é</w:t>
      </w:r>
      <w:r w:rsidRPr="00DD066D">
        <w:t>tats financiers de 2017 n</w:t>
      </w:r>
      <w:r w:rsidR="001B30ED">
        <w:t>'</w:t>
      </w:r>
      <w:r w:rsidRPr="00DD066D">
        <w:t>était pas significative.</w:t>
      </w:r>
    </w:p>
    <w:p w14:paraId="4D1DDBF8" w14:textId="43D30C62" w:rsidR="002C6971" w:rsidRPr="00DD066D" w:rsidRDefault="002C6971" w:rsidP="00B53AD7">
      <w:r w:rsidRPr="00DD066D">
        <w:t>Compte tenu des paragraphes</w:t>
      </w:r>
      <w:r w:rsidR="0018444B">
        <w:t> </w:t>
      </w:r>
      <w:r w:rsidRPr="00DD066D">
        <w:t>6.c) et i) de l</w:t>
      </w:r>
      <w:r w:rsidR="001B30ED">
        <w:t>'</w:t>
      </w:r>
      <w:r w:rsidR="0071366C">
        <w:t>A</w:t>
      </w:r>
      <w:r w:rsidRPr="00DD066D">
        <w:t>rtic</w:t>
      </w:r>
      <w:r w:rsidR="00E83344">
        <w:t>l</w:t>
      </w:r>
      <w:r w:rsidRPr="00DD066D">
        <w:t>e</w:t>
      </w:r>
      <w:r w:rsidR="0018444B">
        <w:t> </w:t>
      </w:r>
      <w:r w:rsidRPr="00DD066D">
        <w:t>28 de l</w:t>
      </w:r>
      <w:r w:rsidR="001B30ED">
        <w:t>'</w:t>
      </w:r>
      <w:r w:rsidRPr="00DD066D">
        <w:t>Annexe</w:t>
      </w:r>
      <w:r w:rsidR="0018444B">
        <w:t> </w:t>
      </w:r>
      <w:r w:rsidRPr="00DD066D">
        <w:t xml:space="preserve">1 du </w:t>
      </w:r>
      <w:r w:rsidRPr="00DD066D">
        <w:rPr>
          <w:iCs/>
        </w:rPr>
        <w:t>Règlement financier et des Règles financières</w:t>
      </w:r>
      <w:r w:rsidRPr="00DD066D">
        <w:t xml:space="preserve"> de l</w:t>
      </w:r>
      <w:r w:rsidR="001B30ED">
        <w:t>'</w:t>
      </w:r>
      <w:r w:rsidRPr="00DD066D">
        <w:t>UIT (</w:t>
      </w:r>
      <w:r w:rsidRPr="00DD066D">
        <w:rPr>
          <w:rStyle w:val="bri2"/>
        </w:rPr>
        <w:t>Mandat additionnel pour la vérification extérieure des comptes), et conformément aux normes ISA</w:t>
      </w:r>
      <w:r w:rsidR="0018444B">
        <w:rPr>
          <w:rStyle w:val="bri2"/>
        </w:rPr>
        <w:t> </w:t>
      </w:r>
      <w:r w:rsidRPr="00DD066D">
        <w:rPr>
          <w:rStyle w:val="bri2"/>
        </w:rPr>
        <w:t>240 et ISSAI</w:t>
      </w:r>
      <w:r w:rsidR="0018444B">
        <w:rPr>
          <w:rStyle w:val="bri2"/>
        </w:rPr>
        <w:t> </w:t>
      </w:r>
      <w:r w:rsidRPr="00DD066D">
        <w:rPr>
          <w:rStyle w:val="bri2"/>
        </w:rPr>
        <w:t xml:space="preserve">1240, nous avons analysé les renseignements fournis et conclu que la somme en question </w:t>
      </w:r>
      <w:r w:rsidR="0010247F" w:rsidRPr="00DD066D">
        <w:rPr>
          <w:rStyle w:val="bri2"/>
        </w:rPr>
        <w:t>n</w:t>
      </w:r>
      <w:r w:rsidR="001B30ED">
        <w:rPr>
          <w:rStyle w:val="bri2"/>
        </w:rPr>
        <w:t>'</w:t>
      </w:r>
      <w:r w:rsidR="0010247F" w:rsidRPr="00DD066D">
        <w:rPr>
          <w:rStyle w:val="bri2"/>
        </w:rPr>
        <w:t>avait pas d</w:t>
      </w:r>
      <w:r w:rsidR="001B30ED">
        <w:rPr>
          <w:rStyle w:val="bri2"/>
        </w:rPr>
        <w:t>'</w:t>
      </w:r>
      <w:r w:rsidR="0010247F" w:rsidRPr="00DD066D">
        <w:rPr>
          <w:rStyle w:val="bri2"/>
        </w:rPr>
        <w:t>effet</w:t>
      </w:r>
      <w:r w:rsidR="00283386">
        <w:rPr>
          <w:rStyle w:val="bri2"/>
        </w:rPr>
        <w:t xml:space="preserve"> matériel sur les comptes </w:t>
      </w:r>
      <w:r w:rsidR="0010247F" w:rsidRPr="00DD066D">
        <w:rPr>
          <w:rStyle w:val="bri2"/>
        </w:rPr>
        <w:t xml:space="preserve">de 2017 dans </w:t>
      </w:r>
      <w:r w:rsidR="00283386">
        <w:rPr>
          <w:rStyle w:val="bri2"/>
        </w:rPr>
        <w:t>leur</w:t>
      </w:r>
      <w:r w:rsidR="0010247F" w:rsidRPr="00DD066D">
        <w:rPr>
          <w:rStyle w:val="bri2"/>
        </w:rPr>
        <w:t xml:space="preserve"> ensemble. La direction nous a assuré que des mesures additionnelles étaient prises.</w:t>
      </w:r>
    </w:p>
    <w:p w14:paraId="63837CCA" w14:textId="2957D305" w:rsidR="0010247F" w:rsidRPr="00DD066D" w:rsidRDefault="0010247F" w:rsidP="00B53AD7">
      <w:r w:rsidRPr="00DD066D">
        <w:t>En ce qui concerne les dispositions de la norme ISA</w:t>
      </w:r>
      <w:r w:rsidR="0018444B">
        <w:t> </w:t>
      </w:r>
      <w:r w:rsidRPr="00DD066D">
        <w:t xml:space="preserve">240, selon lesquelles </w:t>
      </w:r>
      <w:r w:rsidR="0018444B">
        <w:t>"</w:t>
      </w:r>
      <w:r w:rsidR="00CC47CF" w:rsidRPr="00DD066D">
        <w:rPr>
          <w:i/>
        </w:rPr>
        <w:t>l</w:t>
      </w:r>
      <w:r w:rsidR="001B30ED">
        <w:rPr>
          <w:i/>
        </w:rPr>
        <w:t>'</w:t>
      </w:r>
      <w:r w:rsidR="00CC47CF" w:rsidRPr="00DD066D">
        <w:rPr>
          <w:i/>
        </w:rPr>
        <w:t>auditeur doit communiquer aux responsables de la gouvernance toute autre question ayant trait à la fraude qui, selon son jugement, relève de leur compétence</w:t>
      </w:r>
      <w:r w:rsidR="0018444B">
        <w:t>"</w:t>
      </w:r>
      <w:r w:rsidR="00CC47CF" w:rsidRPr="00DD066D">
        <w:t xml:space="preserve"> (paragraphe</w:t>
      </w:r>
      <w:r w:rsidR="0018444B">
        <w:t> </w:t>
      </w:r>
      <w:r w:rsidR="00CC47CF" w:rsidRPr="00DD066D">
        <w:t>42), nous rappelons que certaines de nos remarques actuelles et passées, et des suggestions et recommandations subséquentes, avaient pour but d</w:t>
      </w:r>
      <w:r w:rsidR="001B30ED">
        <w:t>'</w:t>
      </w:r>
      <w:r w:rsidR="00CC47CF" w:rsidRPr="00DD066D">
        <w:t>améliorer le cadre de contrôle interne en vue de prévenir la fraude et les inexactitudes significatives dans le domaine de la passation de marchés.</w:t>
      </w:r>
    </w:p>
    <w:p w14:paraId="46573F4D" w14:textId="134011F7" w:rsidR="00307709" w:rsidRPr="00DD066D" w:rsidRDefault="00307709" w:rsidP="00B53AD7">
      <w:r w:rsidRPr="00DD066D">
        <w:t>Nous avons présenté les résultats de nos vérifications sous la forme de "Recommandations" et de "Suggestions". Les Recommandations s</w:t>
      </w:r>
      <w:r w:rsidR="001B30ED">
        <w:t>'</w:t>
      </w:r>
      <w:r w:rsidRPr="00DD066D">
        <w:t>inscrivent dans le processus de suivi effectué par le Groupe de travail du Conseil sur les ressources financières et les ressources humaines, tandis que les Suggestions sont suivies uniquement par le Vérificateur extérieur des comptes. Toutefois, en principe, le Conseil de l</w:t>
      </w:r>
      <w:r w:rsidR="001B30ED">
        <w:t>'</w:t>
      </w:r>
      <w:r w:rsidRPr="00DD066D">
        <w:t>UIT peut, en s</w:t>
      </w:r>
      <w:r w:rsidR="001B30ED">
        <w:t>'</w:t>
      </w:r>
      <w:r w:rsidRPr="00DD066D">
        <w:t xml:space="preserve">appuyant sur les avis formulés par le Comité consultatif indépendant pour les questions de gestion (CCIG), charger le Secrétaire général de mettre en </w:t>
      </w:r>
      <w:r w:rsidR="00A55BE4">
        <w:t>oe</w:t>
      </w:r>
      <w:r w:rsidRPr="00DD066D">
        <w:t>uvre une "Suggestion", lorsque cela est jugé nécessaire.</w:t>
      </w:r>
    </w:p>
    <w:p w14:paraId="1C2458B9" w14:textId="44F70DA9" w:rsidR="00307709" w:rsidRPr="00DD066D" w:rsidRDefault="00307709" w:rsidP="00B21487">
      <w:r w:rsidRPr="00DD066D">
        <w:t>En outre, nous avons procédé à la vérification des comptes d</w:t>
      </w:r>
      <w:r w:rsidR="001B30ED">
        <w:t>'</w:t>
      </w:r>
      <w:r w:rsidRPr="00DD066D">
        <w:t>ITU Telecom World pour l</w:t>
      </w:r>
      <w:r w:rsidR="001B30ED">
        <w:t>'</w:t>
      </w:r>
      <w:r w:rsidRPr="00DD066D">
        <w:t>exercice 2017, conformément au point</w:t>
      </w:r>
      <w:r w:rsidR="0018444B">
        <w:t> </w:t>
      </w:r>
      <w:r w:rsidRPr="00DD066D">
        <w:t xml:space="preserve">6 du </w:t>
      </w:r>
      <w:r w:rsidRPr="00DD066D">
        <w:rPr>
          <w:i/>
          <w:iCs/>
        </w:rPr>
        <w:t>décide</w:t>
      </w:r>
      <w:r w:rsidRPr="00DD066D">
        <w:t xml:space="preserve"> de la Résolution</w:t>
      </w:r>
      <w:r w:rsidR="0018444B">
        <w:t> </w:t>
      </w:r>
      <w:r w:rsidRPr="00DD066D">
        <w:t>11 (</w:t>
      </w:r>
      <w:r w:rsidR="00B21487">
        <w:t>Rév. Busan, 2014</w:t>
      </w:r>
      <w:r w:rsidRPr="00DD066D">
        <w:t>) de la Conférence de plénipotentiaires.</w:t>
      </w:r>
    </w:p>
    <w:p w14:paraId="396C6C54" w14:textId="2EAADCA7" w:rsidR="00307709" w:rsidRDefault="00307709" w:rsidP="00B53AD7">
      <w:r w:rsidRPr="00DD066D">
        <w:t>Enfin, nous tenons à exprimer nos remerc</w:t>
      </w:r>
      <w:r w:rsidR="008A44A7" w:rsidRPr="00DD066D">
        <w:t>iements pour l</w:t>
      </w:r>
      <w:r w:rsidR="001B30ED">
        <w:t>'</w:t>
      </w:r>
      <w:r w:rsidR="008A44A7" w:rsidRPr="00DD066D">
        <w:t>obligeance et l</w:t>
      </w:r>
      <w:r w:rsidR="001B30ED">
        <w:t>'</w:t>
      </w:r>
      <w:r w:rsidR="008A44A7" w:rsidRPr="00DD066D">
        <w:t xml:space="preserve">amabilité </w:t>
      </w:r>
      <w:r w:rsidRPr="00DD066D">
        <w:t>dont ont fait preuve tous les fonctionnaires de l</w:t>
      </w:r>
      <w:r w:rsidR="001B30ED">
        <w:t>'</w:t>
      </w:r>
      <w:r w:rsidRPr="00DD066D">
        <w:t>UIT que nous avons sollicités pour obtenir des renseignements et des documents.</w:t>
      </w:r>
    </w:p>
    <w:p w14:paraId="74AA662D" w14:textId="77777777" w:rsidR="00A55BE4" w:rsidRPr="00DD066D" w:rsidRDefault="00A55BE4" w:rsidP="00B53AD7"/>
    <w:p w14:paraId="17CABA5C" w14:textId="77777777" w:rsidR="00307709" w:rsidRPr="00DD066D" w:rsidRDefault="00307709" w:rsidP="00B53AD7">
      <w:pPr>
        <w:snapToGrid w:val="0"/>
        <w:spacing w:before="0" w:after="120"/>
        <w:ind w:left="-425" w:firstLine="284"/>
        <w:jc w:val="center"/>
        <w:rPr>
          <w:rFonts w:ascii="Kunstler Script" w:hAnsi="Kunstler Script"/>
          <w:sz w:val="72"/>
          <w:szCs w:val="72"/>
        </w:rPr>
      </w:pPr>
      <w:bookmarkStart w:id="22" w:name="_Toc415170455"/>
      <w:bookmarkStart w:id="23" w:name="_Toc415566466"/>
      <w:bookmarkStart w:id="24" w:name="_Toc418501294"/>
      <w:bookmarkStart w:id="25" w:name="_Toc450158084"/>
      <w:r w:rsidRPr="00DD066D">
        <w:rPr>
          <w:noProof/>
          <w:lang w:val="en-US" w:eastAsia="zh-CN"/>
        </w:rPr>
        <w:drawing>
          <wp:inline distT="0" distB="0" distL="0" distR="0" wp14:anchorId="4AB3382A" wp14:editId="587E893C">
            <wp:extent cx="796060" cy="895082"/>
            <wp:effectExtent l="0" t="0" r="4445" b="635"/>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DD066D">
        <w:br/>
      </w:r>
      <w:r w:rsidRPr="00DD066D">
        <w:rPr>
          <w:rFonts w:ascii="Kunstler Script" w:hAnsi="Kunstler Script"/>
          <w:sz w:val="72"/>
          <w:szCs w:val="72"/>
        </w:rPr>
        <w:t>Corte dei conti</w:t>
      </w:r>
    </w:p>
    <w:p w14:paraId="575C1737" w14:textId="77777777" w:rsidR="00307709" w:rsidRPr="0071366C" w:rsidRDefault="00307709" w:rsidP="00B53AD7">
      <w:pPr>
        <w:pStyle w:val="Heading1"/>
        <w:jc w:val="center"/>
        <w:rPr>
          <w:szCs w:val="28"/>
        </w:rPr>
      </w:pPr>
      <w:bookmarkStart w:id="26" w:name="_Toc398277612"/>
      <w:bookmarkStart w:id="27" w:name="_Toc419407149"/>
      <w:bookmarkStart w:id="28" w:name="_Toc452140188"/>
      <w:bookmarkStart w:id="29" w:name="_Toc482958296"/>
      <w:bookmarkStart w:id="30" w:name="_Toc482966346"/>
      <w:bookmarkStart w:id="31" w:name="_Toc482967228"/>
      <w:bookmarkStart w:id="32" w:name="_Toc522685283"/>
      <w:bookmarkEnd w:id="22"/>
      <w:bookmarkEnd w:id="23"/>
      <w:bookmarkEnd w:id="24"/>
      <w:bookmarkEnd w:id="25"/>
      <w:r w:rsidRPr="0071366C">
        <w:rPr>
          <w:szCs w:val="28"/>
        </w:rPr>
        <w:t xml:space="preserve">ATTESTATION </w:t>
      </w:r>
      <w:bookmarkEnd w:id="26"/>
      <w:r w:rsidRPr="0071366C">
        <w:rPr>
          <w:szCs w:val="28"/>
        </w:rPr>
        <w:t>DE VÉRIFICATION</w:t>
      </w:r>
      <w:bookmarkEnd w:id="27"/>
      <w:bookmarkEnd w:id="28"/>
      <w:bookmarkEnd w:id="29"/>
      <w:bookmarkEnd w:id="30"/>
      <w:bookmarkEnd w:id="31"/>
      <w:bookmarkEnd w:id="32"/>
    </w:p>
    <w:p w14:paraId="02F370E0" w14:textId="77777777" w:rsidR="00307709" w:rsidRPr="0071366C" w:rsidRDefault="00307709" w:rsidP="0071366C">
      <w:pPr>
        <w:pStyle w:val="Headingb"/>
        <w:spacing w:before="360"/>
        <w:rPr>
          <w:rFonts w:eastAsia="Batang"/>
        </w:rPr>
      </w:pPr>
      <w:bookmarkStart w:id="33" w:name="_Toc482958297"/>
      <w:bookmarkStart w:id="34" w:name="_Toc522684909"/>
      <w:bookmarkStart w:id="35" w:name="_Toc522685284"/>
      <w:r w:rsidRPr="0071366C">
        <w:rPr>
          <w:rFonts w:eastAsia="Batang"/>
        </w:rPr>
        <w:t>Opinion</w:t>
      </w:r>
      <w:bookmarkEnd w:id="33"/>
      <w:bookmarkEnd w:id="34"/>
      <w:bookmarkEnd w:id="35"/>
    </w:p>
    <w:p w14:paraId="503DF753" w14:textId="3BAABAB2" w:rsidR="00307709" w:rsidRPr="00DD066D" w:rsidRDefault="00307709" w:rsidP="00B53AD7">
      <w:pPr>
        <w:rPr>
          <w:rFonts w:eastAsia="Batang"/>
        </w:rPr>
      </w:pPr>
      <w:r w:rsidRPr="00DD066D">
        <w:rPr>
          <w:rFonts w:eastAsia="Batang"/>
        </w:rPr>
        <w:t>Nous avons vérifié les états financiers de l</w:t>
      </w:r>
      <w:r w:rsidR="001B30ED">
        <w:rPr>
          <w:rFonts w:eastAsia="Batang"/>
        </w:rPr>
        <w:t>'</w:t>
      </w:r>
      <w:r w:rsidRPr="00DD066D">
        <w:rPr>
          <w:rFonts w:eastAsia="Batang"/>
        </w:rPr>
        <w:t>Union internationale des télécommunications (UIT). Ils comprennent l</w:t>
      </w:r>
      <w:r w:rsidR="001B30ED">
        <w:rPr>
          <w:rFonts w:eastAsia="Batang"/>
        </w:rPr>
        <w:t>'</w:t>
      </w:r>
      <w:r w:rsidRPr="00DD066D">
        <w:rPr>
          <w:rFonts w:eastAsia="Batang"/>
        </w:rPr>
        <w:t>état de la situation financière au 31</w:t>
      </w:r>
      <w:r w:rsidR="0018444B">
        <w:rPr>
          <w:rFonts w:eastAsia="Batang"/>
        </w:rPr>
        <w:t> </w:t>
      </w:r>
      <w:r w:rsidRPr="00DD066D">
        <w:rPr>
          <w:rFonts w:eastAsia="Batang"/>
        </w:rPr>
        <w:t>décembre</w:t>
      </w:r>
      <w:r w:rsidR="0018444B">
        <w:rPr>
          <w:rFonts w:eastAsia="Batang"/>
        </w:rPr>
        <w:t> </w:t>
      </w:r>
      <w:r w:rsidRPr="00DD066D">
        <w:rPr>
          <w:rFonts w:eastAsia="Batang"/>
        </w:rPr>
        <w:t>2017, l</w:t>
      </w:r>
      <w:r w:rsidR="001B30ED">
        <w:rPr>
          <w:rFonts w:eastAsia="Batang"/>
        </w:rPr>
        <w:t>'</w:t>
      </w:r>
      <w:r w:rsidRPr="00DD066D">
        <w:rPr>
          <w:rFonts w:eastAsia="Batang"/>
        </w:rPr>
        <w:t>état de la performance financière, l</w:t>
      </w:r>
      <w:r w:rsidR="001B30ED">
        <w:rPr>
          <w:rFonts w:eastAsia="Batang"/>
        </w:rPr>
        <w:t>'</w:t>
      </w:r>
      <w:r w:rsidRPr="00DD066D">
        <w:rPr>
          <w:rFonts w:eastAsia="Batang"/>
        </w:rPr>
        <w:t>état des variations de l</w:t>
      </w:r>
      <w:r w:rsidR="001B30ED">
        <w:rPr>
          <w:rFonts w:eastAsia="Batang"/>
        </w:rPr>
        <w:t>'</w:t>
      </w:r>
      <w:r w:rsidRPr="00DD066D">
        <w:rPr>
          <w:rFonts w:eastAsia="Batang"/>
        </w:rPr>
        <w:t>actif net, le tableau des flux de trésorerie et la comparaison des montants budgétisés et des montants effectifs pour l</w:t>
      </w:r>
      <w:r w:rsidR="001B30ED">
        <w:rPr>
          <w:rFonts w:eastAsia="Batang"/>
        </w:rPr>
        <w:t>'</w:t>
      </w:r>
      <w:r w:rsidRPr="00DD066D">
        <w:rPr>
          <w:rFonts w:eastAsia="Batang"/>
        </w:rPr>
        <w:t>exercice</w:t>
      </w:r>
      <w:r w:rsidR="0018444B">
        <w:rPr>
          <w:rFonts w:eastAsia="Batang"/>
        </w:rPr>
        <w:t> </w:t>
      </w:r>
      <w:r w:rsidRPr="00DD066D">
        <w:rPr>
          <w:rFonts w:eastAsia="Batang"/>
        </w:rPr>
        <w:t>2017 ainsi que des notes relatives aux états financiers, y compris un résumé des principales politiques comptables et d</w:t>
      </w:r>
      <w:r w:rsidR="001B30ED">
        <w:rPr>
          <w:rFonts w:eastAsia="Batang"/>
        </w:rPr>
        <w:t>'</w:t>
      </w:r>
      <w:r w:rsidRPr="00DD066D">
        <w:rPr>
          <w:rFonts w:eastAsia="Batang"/>
        </w:rPr>
        <w:t>autres informations explicatives.</w:t>
      </w:r>
    </w:p>
    <w:p w14:paraId="7445FC99" w14:textId="5FB7953D" w:rsidR="00307709" w:rsidRPr="00DD066D" w:rsidRDefault="00307709" w:rsidP="00B53AD7">
      <w:pPr>
        <w:rPr>
          <w:rFonts w:eastAsia="Batang"/>
        </w:rPr>
      </w:pPr>
      <w:r w:rsidRPr="00DD066D">
        <w:rPr>
          <w:rFonts w:eastAsia="Batang"/>
        </w:rPr>
        <w:t>Notre opinion est que lesdits états financiers donnent une image fidèle, pour tous les points essentiels, de la situation financière de l</w:t>
      </w:r>
      <w:r w:rsidR="001B30ED">
        <w:rPr>
          <w:rFonts w:eastAsia="Batang"/>
        </w:rPr>
        <w:t>'</w:t>
      </w:r>
      <w:r w:rsidRPr="00DD066D">
        <w:rPr>
          <w:rFonts w:eastAsia="Batang"/>
        </w:rPr>
        <w:t xml:space="preserve">Union internationale </w:t>
      </w:r>
      <w:r w:rsidR="0071366C">
        <w:rPr>
          <w:rFonts w:eastAsia="Batang"/>
        </w:rPr>
        <w:t>des télécommunications (UIT) au </w:t>
      </w:r>
      <w:r w:rsidRPr="00DD066D">
        <w:rPr>
          <w:rFonts w:eastAsia="Batang"/>
        </w:rPr>
        <w:t>31 décembre</w:t>
      </w:r>
      <w:r w:rsidR="0018444B">
        <w:rPr>
          <w:rFonts w:eastAsia="Batang"/>
        </w:rPr>
        <w:t> </w:t>
      </w:r>
      <w:r w:rsidRPr="00DD066D">
        <w:rPr>
          <w:rFonts w:eastAsia="Batang"/>
        </w:rPr>
        <w:t>2017 ainsi que, pour l</w:t>
      </w:r>
      <w:r w:rsidR="001B30ED">
        <w:rPr>
          <w:rFonts w:eastAsia="Batang"/>
        </w:rPr>
        <w:t>'</w:t>
      </w:r>
      <w:r w:rsidRPr="00DD066D">
        <w:rPr>
          <w:rFonts w:eastAsia="Batang"/>
        </w:rPr>
        <w:t>exercice clos à cette date, de sa performance financière, de l</w:t>
      </w:r>
      <w:r w:rsidR="001B30ED">
        <w:rPr>
          <w:rFonts w:eastAsia="Batang"/>
        </w:rPr>
        <w:t>'</w:t>
      </w:r>
      <w:r w:rsidRPr="00DD066D">
        <w:rPr>
          <w:rFonts w:eastAsia="Batang"/>
        </w:rPr>
        <w:t>évolution de ses actifs nets, de ses flux de trésorerie et de la comparaison entre les montants budgétés et les montants effectifs, conformément aux normes IPSAS ainsi qu</w:t>
      </w:r>
      <w:r w:rsidR="001B30ED">
        <w:rPr>
          <w:rFonts w:eastAsia="Batang"/>
        </w:rPr>
        <w:t>'</w:t>
      </w:r>
      <w:r w:rsidRPr="00DD066D">
        <w:rPr>
          <w:rFonts w:eastAsia="Batang"/>
        </w:rPr>
        <w:t>au Règlement financier et aux Règles financières de l</w:t>
      </w:r>
      <w:r w:rsidR="001B30ED">
        <w:rPr>
          <w:rFonts w:eastAsia="Batang"/>
        </w:rPr>
        <w:t>'</w:t>
      </w:r>
      <w:r w:rsidRPr="00DD066D">
        <w:rPr>
          <w:rFonts w:eastAsia="Batang"/>
        </w:rPr>
        <w:t>Union.</w:t>
      </w:r>
    </w:p>
    <w:p w14:paraId="3BF87B6F" w14:textId="77777777" w:rsidR="00307709" w:rsidRPr="0071366C" w:rsidRDefault="00307709" w:rsidP="0071366C">
      <w:pPr>
        <w:pStyle w:val="Headingb"/>
        <w:rPr>
          <w:rFonts w:eastAsia="Batang"/>
        </w:rPr>
      </w:pPr>
      <w:bookmarkStart w:id="36" w:name="_Toc482958298"/>
      <w:bookmarkStart w:id="37" w:name="_Toc522684910"/>
      <w:bookmarkStart w:id="38" w:name="_Toc522685285"/>
      <w:r w:rsidRPr="0071366C">
        <w:rPr>
          <w:rFonts w:eastAsia="Batang"/>
        </w:rPr>
        <w:t>Fondements de notre opinion</w:t>
      </w:r>
      <w:bookmarkEnd w:id="36"/>
      <w:bookmarkEnd w:id="37"/>
      <w:bookmarkEnd w:id="38"/>
    </w:p>
    <w:p w14:paraId="46A422EC" w14:textId="4DBF4E67" w:rsidR="00307709" w:rsidRPr="00DD066D" w:rsidRDefault="00307709" w:rsidP="00B53AD7">
      <w:pPr>
        <w:rPr>
          <w:rFonts w:eastAsia="Batang"/>
        </w:rPr>
      </w:pPr>
      <w:r w:rsidRPr="00DD066D">
        <w:rPr>
          <w:rFonts w:eastAsia="Batang"/>
        </w:rPr>
        <w:t>Nous avons réalisé notre vérification conformément aux normes internationales des institutions supérieures de contrôle des finances publiques (ISSAI) ainsi qu</w:t>
      </w:r>
      <w:r w:rsidR="001B30ED">
        <w:rPr>
          <w:rFonts w:eastAsia="Batang"/>
        </w:rPr>
        <w:t>'</w:t>
      </w:r>
      <w:r w:rsidRPr="00DD066D">
        <w:rPr>
          <w:rFonts w:eastAsia="Batang"/>
        </w:rPr>
        <w:t>au Règlement financier et aux Règles financières de l</w:t>
      </w:r>
      <w:r w:rsidR="001B30ED">
        <w:rPr>
          <w:rFonts w:eastAsia="Batang"/>
        </w:rPr>
        <w:t>'</w:t>
      </w:r>
      <w:r w:rsidRPr="00DD066D">
        <w:rPr>
          <w:rFonts w:eastAsia="Batang"/>
        </w:rPr>
        <w:t>UIT. S</w:t>
      </w:r>
      <w:r w:rsidR="001B30ED">
        <w:rPr>
          <w:rFonts w:eastAsia="Batang"/>
        </w:rPr>
        <w:t>'</w:t>
      </w:r>
      <w:r w:rsidRPr="00DD066D">
        <w:rPr>
          <w:rFonts w:eastAsia="Batang"/>
        </w:rPr>
        <w:t xml:space="preserve">agissant de la vérification des états financiers, les normes ISSAI sont </w:t>
      </w:r>
      <w:r w:rsidR="008A44A7" w:rsidRPr="00DD066D">
        <w:rPr>
          <w:rFonts w:eastAsia="Batang"/>
        </w:rPr>
        <w:t>directement fondées</w:t>
      </w:r>
      <w:r w:rsidRPr="00DD066D">
        <w:rPr>
          <w:rFonts w:eastAsia="Batang"/>
        </w:rPr>
        <w:t xml:space="preserve"> </w:t>
      </w:r>
      <w:r w:rsidR="008A44A7" w:rsidRPr="00DD066D">
        <w:rPr>
          <w:rFonts w:eastAsia="Batang"/>
        </w:rPr>
        <w:t>sur l</w:t>
      </w:r>
      <w:r w:rsidRPr="00DD066D">
        <w:rPr>
          <w:rFonts w:eastAsia="Batang"/>
        </w:rPr>
        <w:t>es normes de vérification internationales (ISA). La Corte dei conti applique les dispositions des normes ISA dans la mesure où elles sont cohérentes avec la nature spécifique de ses vérifications. Nos responsabilités en vertu de ces normes sont décrites plus en détail dans la rubrique "Responsabilités du vérificateur concernant la vérification des états financiers" ci-après. Nous sommes indépendants de l</w:t>
      </w:r>
      <w:r w:rsidR="001B30ED">
        <w:rPr>
          <w:rFonts w:eastAsia="Batang"/>
        </w:rPr>
        <w:t>'</w:t>
      </w:r>
      <w:r w:rsidRPr="00DD066D">
        <w:rPr>
          <w:rFonts w:eastAsia="Batang"/>
        </w:rPr>
        <w:t>UIT conformément aux règles d</w:t>
      </w:r>
      <w:r w:rsidR="001B30ED">
        <w:rPr>
          <w:rFonts w:eastAsia="Batang"/>
        </w:rPr>
        <w:t>'</w:t>
      </w:r>
      <w:r w:rsidRPr="00DD066D">
        <w:rPr>
          <w:rFonts w:eastAsia="Batang"/>
        </w:rPr>
        <w:t>éthique qui s</w:t>
      </w:r>
      <w:r w:rsidR="001B30ED">
        <w:rPr>
          <w:rFonts w:eastAsia="Batang"/>
        </w:rPr>
        <w:t>'</w:t>
      </w:r>
      <w:r w:rsidRPr="00DD066D">
        <w:rPr>
          <w:rFonts w:eastAsia="Batang"/>
        </w:rPr>
        <w:t>appliquent pour la vérification des états financiers dans le système des Nations Unies, et nous avons assumé nos autres responsabilités en matière d</w:t>
      </w:r>
      <w:r w:rsidR="001B30ED">
        <w:rPr>
          <w:rFonts w:eastAsia="Batang"/>
        </w:rPr>
        <w:t>'</w:t>
      </w:r>
      <w:r w:rsidRPr="00DD066D">
        <w:rPr>
          <w:rFonts w:eastAsia="Batang"/>
        </w:rPr>
        <w:t>éthique conformément à ces règles. Nous estimons que les justificatifs que nous avons recueillis constituent une base suffisante et appropriée sur laquelle fonder notre opinion.</w:t>
      </w:r>
    </w:p>
    <w:p w14:paraId="21DC8A28" w14:textId="77777777" w:rsidR="00307709" w:rsidRPr="00DD066D" w:rsidRDefault="00307709" w:rsidP="0071366C">
      <w:pPr>
        <w:pStyle w:val="Headingb"/>
      </w:pPr>
      <w:r w:rsidRPr="00DD066D">
        <w:t>Autres informations</w:t>
      </w:r>
    </w:p>
    <w:p w14:paraId="24ACF2E1" w14:textId="47499146" w:rsidR="00307709" w:rsidRPr="00DD066D" w:rsidRDefault="00307709" w:rsidP="0071366C">
      <w:pPr>
        <w:rPr>
          <w:iCs/>
        </w:rPr>
      </w:pPr>
      <w:r w:rsidRPr="00DD066D">
        <w:rPr>
          <w:iCs/>
        </w:rPr>
        <w:t>Le Secrétaire général de l</w:t>
      </w:r>
      <w:r w:rsidR="001B30ED">
        <w:rPr>
          <w:iCs/>
        </w:rPr>
        <w:t>'</w:t>
      </w:r>
      <w:r w:rsidRPr="00DD066D">
        <w:rPr>
          <w:iCs/>
        </w:rPr>
        <w:t>UIT est responsable des autres informations. Les autres informations comprennent la présentation des "principaux indicateurs financiers", qui sont décrits dans l</w:t>
      </w:r>
      <w:r w:rsidR="001B30ED">
        <w:rPr>
          <w:iCs/>
        </w:rPr>
        <w:t>'</w:t>
      </w:r>
      <w:r w:rsidRPr="00DD066D">
        <w:rPr>
          <w:iCs/>
        </w:rPr>
        <w:t>avant</w:t>
      </w:r>
      <w:r w:rsidRPr="00DD066D">
        <w:rPr>
          <w:iCs/>
        </w:rPr>
        <w:noBreakHyphen/>
        <w:t>propos du Secrétaire général figurant dans le rapport de gestion financière.</w:t>
      </w:r>
    </w:p>
    <w:p w14:paraId="19EE6D1E" w14:textId="5F4ED3A1" w:rsidR="00307709" w:rsidRPr="00DD066D" w:rsidRDefault="00307709" w:rsidP="00B53AD7">
      <w:pPr>
        <w:jc w:val="both"/>
        <w:rPr>
          <w:iCs/>
        </w:rPr>
      </w:pPr>
      <w:r w:rsidRPr="00DD066D">
        <w:rPr>
          <w:iCs/>
        </w:rPr>
        <w:t>Notre opinion sur les états financiers ne couvre pas les autres informations et nous ne formulons aucune conclusion que ce soit en matière d</w:t>
      </w:r>
      <w:r w:rsidR="001B30ED">
        <w:rPr>
          <w:iCs/>
        </w:rPr>
        <w:t>'</w:t>
      </w:r>
      <w:r w:rsidRPr="00DD066D">
        <w:rPr>
          <w:iCs/>
        </w:rPr>
        <w:t>assurance en ce qui concerne ces informations.</w:t>
      </w:r>
    </w:p>
    <w:p w14:paraId="6ADCE765" w14:textId="718BA2A5" w:rsidR="00307709" w:rsidRPr="00DD066D" w:rsidRDefault="00307709" w:rsidP="0071366C">
      <w:pPr>
        <w:rPr>
          <w:iCs/>
        </w:rPr>
      </w:pPr>
      <w:r w:rsidRPr="00DD066D">
        <w:rPr>
          <w:iCs/>
        </w:rPr>
        <w:t>Dans le cadre de notre vérification des états financiers, notre responsabilité consiste à lire les autres informations et, ce faisant, à examiner si elles présentent des incohérences importantes avec les états financiers ou avec les connaissances que nous avons acquises lors de la vérification ou si elles semblent contenir des inexactitudes significatives. S</w:t>
      </w:r>
      <w:r w:rsidR="001B30ED">
        <w:rPr>
          <w:iCs/>
        </w:rPr>
        <w:t>'</w:t>
      </w:r>
      <w:r w:rsidRPr="00DD066D">
        <w:rPr>
          <w:iCs/>
        </w:rPr>
        <w:t>il ressort de notre travail que ces autres informations comportent des inexactitudes significatives, nous sommes tenus de le signaler. Nous n</w:t>
      </w:r>
      <w:r w:rsidR="001B30ED">
        <w:rPr>
          <w:iCs/>
        </w:rPr>
        <w:t>'</w:t>
      </w:r>
      <w:r w:rsidRPr="00DD066D">
        <w:rPr>
          <w:iCs/>
        </w:rPr>
        <w:t>avons rien à signaler à cet égard.</w:t>
      </w:r>
    </w:p>
    <w:p w14:paraId="37A6032E" w14:textId="297485A9" w:rsidR="00307709" w:rsidRPr="00DD066D" w:rsidRDefault="00307709" w:rsidP="0071366C">
      <w:pPr>
        <w:pStyle w:val="Headingb"/>
        <w:ind w:left="0" w:firstLine="0"/>
        <w:rPr>
          <w:rFonts w:eastAsia="Batang"/>
        </w:rPr>
      </w:pPr>
      <w:bookmarkStart w:id="39" w:name="_Toc395260969"/>
      <w:bookmarkStart w:id="40" w:name="_Toc395511754"/>
      <w:bookmarkStart w:id="41" w:name="_Toc396386923"/>
      <w:bookmarkStart w:id="42" w:name="_Toc396387810"/>
      <w:bookmarkStart w:id="43" w:name="_Toc419407151"/>
      <w:bookmarkStart w:id="44" w:name="_Toc452138667"/>
      <w:bookmarkStart w:id="45" w:name="_Toc452139116"/>
      <w:bookmarkStart w:id="46" w:name="_Toc452139480"/>
      <w:bookmarkStart w:id="47" w:name="_Toc452139886"/>
      <w:bookmarkStart w:id="48" w:name="_Toc452140760"/>
      <w:bookmarkStart w:id="49" w:name="_Toc482958299"/>
      <w:bookmarkStart w:id="50" w:name="_Toc522684911"/>
      <w:bookmarkStart w:id="51" w:name="_Toc522685286"/>
      <w:r w:rsidRPr="00DD066D">
        <w:rPr>
          <w:rFonts w:eastAsia="Batang"/>
        </w:rPr>
        <w:t>Responsabilités du Secrétaire général de l</w:t>
      </w:r>
      <w:r w:rsidR="001B30ED">
        <w:rPr>
          <w:rFonts w:eastAsia="Batang"/>
        </w:rPr>
        <w:t>'</w:t>
      </w:r>
      <w:r w:rsidRPr="00DD066D">
        <w:rPr>
          <w:rFonts w:eastAsia="Batang"/>
        </w:rPr>
        <w:t>UIT et des personnes chargées de la gouvernance concernant les états financiers</w:t>
      </w:r>
      <w:bookmarkEnd w:id="39"/>
      <w:bookmarkEnd w:id="40"/>
      <w:bookmarkEnd w:id="41"/>
      <w:bookmarkEnd w:id="42"/>
      <w:bookmarkEnd w:id="43"/>
      <w:bookmarkEnd w:id="44"/>
      <w:bookmarkEnd w:id="45"/>
      <w:bookmarkEnd w:id="46"/>
      <w:bookmarkEnd w:id="47"/>
      <w:bookmarkEnd w:id="48"/>
      <w:bookmarkEnd w:id="49"/>
      <w:bookmarkEnd w:id="50"/>
      <w:bookmarkEnd w:id="51"/>
    </w:p>
    <w:p w14:paraId="76D4CE5B" w14:textId="3A44D7DA" w:rsidR="00307709" w:rsidRPr="00DD066D" w:rsidRDefault="00307709" w:rsidP="00B53AD7">
      <w:pPr>
        <w:rPr>
          <w:rFonts w:eastAsia="Batang"/>
        </w:rPr>
      </w:pPr>
      <w:r w:rsidRPr="00DD066D">
        <w:rPr>
          <w:rFonts w:eastAsia="Batang"/>
        </w:rPr>
        <w:t>Le Secrétaire général est chargé d</w:t>
      </w:r>
      <w:r w:rsidR="001B30ED">
        <w:rPr>
          <w:rFonts w:eastAsia="Batang"/>
        </w:rPr>
        <w:t>'</w:t>
      </w:r>
      <w:r w:rsidRPr="00DD066D">
        <w:rPr>
          <w:rFonts w:eastAsia="Batang"/>
        </w:rPr>
        <w:t>établir et de présenter correctement les états financiers conformément aux normes comptables pour le secteur public international (IPSAS) et d</w:t>
      </w:r>
      <w:r w:rsidR="001B30ED">
        <w:rPr>
          <w:rFonts w:eastAsia="Batang"/>
        </w:rPr>
        <w:t>'</w:t>
      </w:r>
      <w:r w:rsidRPr="00DD066D">
        <w:rPr>
          <w:rFonts w:eastAsia="Batang"/>
        </w:rPr>
        <w:t>appliquer le contrôle interne qu</w:t>
      </w:r>
      <w:r w:rsidR="001B30ED">
        <w:rPr>
          <w:rFonts w:eastAsia="Batang"/>
        </w:rPr>
        <w:t>'</w:t>
      </w:r>
      <w:r w:rsidRPr="00DD066D">
        <w:rPr>
          <w:rFonts w:eastAsia="Batang"/>
        </w:rPr>
        <w:t>il estime nécessaire afin d</w:t>
      </w:r>
      <w:r w:rsidR="001B30ED">
        <w:rPr>
          <w:rFonts w:eastAsia="Batang"/>
        </w:rPr>
        <w:t>'</w:t>
      </w:r>
      <w:r w:rsidRPr="00DD066D">
        <w:rPr>
          <w:rFonts w:eastAsia="Batang"/>
        </w:rPr>
        <w:t>établir des états financiers ne contenant pas d</w:t>
      </w:r>
      <w:r w:rsidR="001B30ED">
        <w:rPr>
          <w:rFonts w:eastAsia="Batang"/>
        </w:rPr>
        <w:t>'</w:t>
      </w:r>
      <w:r w:rsidRPr="00DD066D">
        <w:rPr>
          <w:rFonts w:eastAsia="Batang"/>
        </w:rPr>
        <w:t>inexactitudes significatives, que celles-ci résultent de fraudes ou d</w:t>
      </w:r>
      <w:r w:rsidR="001B30ED">
        <w:rPr>
          <w:rFonts w:eastAsia="Batang"/>
        </w:rPr>
        <w:t>'</w:t>
      </w:r>
      <w:r w:rsidRPr="00DD066D">
        <w:rPr>
          <w:rFonts w:eastAsia="Batang"/>
        </w:rPr>
        <w:t xml:space="preserve">erreurs. </w:t>
      </w:r>
    </w:p>
    <w:p w14:paraId="5CFD604F" w14:textId="4FD6BAD6" w:rsidR="00307709" w:rsidRPr="00DD066D" w:rsidRDefault="00307709" w:rsidP="00B53AD7">
      <w:pPr>
        <w:jc w:val="both"/>
      </w:pPr>
      <w:r w:rsidRPr="00DD066D">
        <w:t>Lors de l</w:t>
      </w:r>
      <w:r w:rsidR="001B30ED">
        <w:t>'</w:t>
      </w:r>
      <w:r w:rsidRPr="00DD066D">
        <w:t>établissement des états financiers, le Secrétaire général est chargé d</w:t>
      </w:r>
      <w:r w:rsidR="001B30ED">
        <w:t>'</w:t>
      </w:r>
      <w:r w:rsidRPr="00DD066D">
        <w:t>évaluer la capacité de l</w:t>
      </w:r>
      <w:r w:rsidR="001B30ED">
        <w:t>'</w:t>
      </w:r>
      <w:r w:rsidRPr="00DD066D">
        <w:t>UIT à poursuivre ses activités, de communiquer, le cas échéant, des éléments liés à la continuité des activités et d</w:t>
      </w:r>
      <w:r w:rsidR="001B30ED">
        <w:t>'</w:t>
      </w:r>
      <w:r w:rsidRPr="00DD066D">
        <w:t>adopter le principe de continuité des activités pour la comptabilité, à moins qu</w:t>
      </w:r>
      <w:r w:rsidR="001B30ED">
        <w:t>'</w:t>
      </w:r>
      <w:r w:rsidRPr="00DD066D">
        <w:t>il n</w:t>
      </w:r>
      <w:r w:rsidR="001B30ED">
        <w:t>'</w:t>
      </w:r>
      <w:r w:rsidRPr="00DD066D">
        <w:t>ait l</w:t>
      </w:r>
      <w:r w:rsidR="001B30ED">
        <w:t>'</w:t>
      </w:r>
      <w:r w:rsidRPr="00DD066D">
        <w:t>intention de liquider l</w:t>
      </w:r>
      <w:r w:rsidR="001B30ED">
        <w:t>'</w:t>
      </w:r>
      <w:r w:rsidRPr="00DD066D">
        <w:t>Union ou de cesser ses activités, ou qu</w:t>
      </w:r>
      <w:r w:rsidR="001B30ED">
        <w:t>'</w:t>
      </w:r>
      <w:r w:rsidRPr="00DD066D">
        <w:t>il ne puisse guère faire autrement.</w:t>
      </w:r>
    </w:p>
    <w:p w14:paraId="7F649C39" w14:textId="48B0C460" w:rsidR="00307709" w:rsidRPr="00DD066D" w:rsidRDefault="00307709" w:rsidP="00B53AD7">
      <w:pPr>
        <w:rPr>
          <w:rFonts w:eastAsia="Batang"/>
        </w:rPr>
      </w:pPr>
      <w:r w:rsidRPr="00DD066D">
        <w:rPr>
          <w:rFonts w:eastAsia="Batang"/>
        </w:rPr>
        <w:t>Il appartient aux personnes chargées de la gouvernance de superviser le processus d</w:t>
      </w:r>
      <w:r w:rsidR="001B30ED">
        <w:rPr>
          <w:rFonts w:eastAsia="Batang"/>
        </w:rPr>
        <w:t>'</w:t>
      </w:r>
      <w:r w:rsidRPr="00DD066D">
        <w:rPr>
          <w:rFonts w:eastAsia="Batang"/>
        </w:rPr>
        <w:t>établissement des rapports financiers de l</w:t>
      </w:r>
      <w:r w:rsidR="001B30ED">
        <w:rPr>
          <w:rFonts w:eastAsia="Batang"/>
        </w:rPr>
        <w:t>'</w:t>
      </w:r>
      <w:r w:rsidRPr="00DD066D">
        <w:rPr>
          <w:rFonts w:eastAsia="Batang"/>
        </w:rPr>
        <w:t>UIT.</w:t>
      </w:r>
    </w:p>
    <w:p w14:paraId="51CA3BA1" w14:textId="77777777" w:rsidR="00307709" w:rsidRPr="00DD066D" w:rsidRDefault="00307709" w:rsidP="0071366C">
      <w:pPr>
        <w:pStyle w:val="Headingb"/>
        <w:rPr>
          <w:rFonts w:eastAsia="Batang"/>
        </w:rPr>
      </w:pPr>
      <w:bookmarkStart w:id="52" w:name="_Toc395260970"/>
      <w:bookmarkStart w:id="53" w:name="_Toc395511755"/>
      <w:bookmarkStart w:id="54" w:name="_Toc396386924"/>
      <w:bookmarkStart w:id="55" w:name="_Toc396387811"/>
      <w:bookmarkStart w:id="56" w:name="_Toc419407152"/>
      <w:bookmarkStart w:id="57" w:name="_Toc452138668"/>
      <w:bookmarkStart w:id="58" w:name="_Toc452139117"/>
      <w:bookmarkStart w:id="59" w:name="_Toc452139481"/>
      <w:bookmarkStart w:id="60" w:name="_Toc452139887"/>
      <w:bookmarkStart w:id="61" w:name="_Toc452140761"/>
      <w:bookmarkStart w:id="62" w:name="_Toc482958300"/>
      <w:bookmarkStart w:id="63" w:name="_Toc522684912"/>
      <w:bookmarkStart w:id="64" w:name="_Toc522685287"/>
      <w:r w:rsidRPr="00DD066D">
        <w:rPr>
          <w:rFonts w:eastAsia="Batang"/>
        </w:rPr>
        <w:t xml:space="preserve">Responsabilité </w:t>
      </w:r>
      <w:bookmarkEnd w:id="52"/>
      <w:bookmarkEnd w:id="53"/>
      <w:bookmarkEnd w:id="54"/>
      <w:bookmarkEnd w:id="55"/>
      <w:r w:rsidRPr="00DD066D">
        <w:rPr>
          <w:rFonts w:eastAsia="Batang"/>
        </w:rPr>
        <w:t>du vérificateur</w:t>
      </w:r>
      <w:bookmarkEnd w:id="56"/>
      <w:bookmarkEnd w:id="57"/>
      <w:bookmarkEnd w:id="58"/>
      <w:bookmarkEnd w:id="59"/>
      <w:bookmarkEnd w:id="60"/>
      <w:bookmarkEnd w:id="61"/>
      <w:r w:rsidRPr="00DD066D">
        <w:rPr>
          <w:rFonts w:eastAsia="Batang"/>
        </w:rPr>
        <w:t xml:space="preserve"> concernant la vérification des états financiers</w:t>
      </w:r>
      <w:bookmarkEnd w:id="62"/>
      <w:bookmarkEnd w:id="63"/>
      <w:bookmarkEnd w:id="64"/>
    </w:p>
    <w:p w14:paraId="565E7251" w14:textId="51225A39" w:rsidR="00307709" w:rsidRPr="00DD066D" w:rsidRDefault="00307709" w:rsidP="00B53AD7">
      <w:r w:rsidRPr="00DD066D">
        <w:t>Nos objectifs sont d</w:t>
      </w:r>
      <w:r w:rsidR="001B30ED">
        <w:t>'</w:t>
      </w:r>
      <w:r w:rsidRPr="00DD066D">
        <w:t xml:space="preserve">obtenir une assurance raisonnable que les états financiers dans leur ensemble ne comportent pas </w:t>
      </w:r>
      <w:r w:rsidRPr="00DD066D">
        <w:rPr>
          <w:rFonts w:eastAsia="Batang"/>
        </w:rPr>
        <w:t>d</w:t>
      </w:r>
      <w:r w:rsidR="001B30ED">
        <w:rPr>
          <w:rFonts w:eastAsia="Batang"/>
        </w:rPr>
        <w:t>'</w:t>
      </w:r>
      <w:r w:rsidRPr="00DD066D">
        <w:rPr>
          <w:rFonts w:eastAsia="Batang"/>
        </w:rPr>
        <w:t>inexactitudes significatives, que celles-ci résultent de fraudes ou d</w:t>
      </w:r>
      <w:r w:rsidR="001B30ED">
        <w:rPr>
          <w:rFonts w:eastAsia="Batang"/>
        </w:rPr>
        <w:t>'</w:t>
      </w:r>
      <w:r w:rsidRPr="00DD066D">
        <w:rPr>
          <w:rFonts w:eastAsia="Batang"/>
        </w:rPr>
        <w:t>erreurs</w:t>
      </w:r>
      <w:r w:rsidRPr="00DD066D">
        <w:t>, et d</w:t>
      </w:r>
      <w:r w:rsidR="001B30ED">
        <w:t>'</w:t>
      </w:r>
      <w:r w:rsidRPr="00DD066D">
        <w:t>établir un rapport du vérificateur dans lequel nous faisons part de notre opinion. L</w:t>
      </w:r>
      <w:r w:rsidR="001B30ED">
        <w:t>'</w:t>
      </w:r>
      <w:r w:rsidRPr="00DD066D">
        <w:t>assurance raisonnable est un niveau d</w:t>
      </w:r>
      <w:r w:rsidR="001B30ED">
        <w:t>'</w:t>
      </w:r>
      <w:r w:rsidRPr="00DD066D">
        <w:t>assurance élevé, mais elle ne garantit pas qu</w:t>
      </w:r>
      <w:r w:rsidR="001B30ED">
        <w:t>'</w:t>
      </w:r>
      <w:r w:rsidRPr="00DD066D">
        <w:t>une vérification effectuée conformément aux normes ISA permette toujours de détecter une inexactitude significative lorsqu</w:t>
      </w:r>
      <w:r w:rsidR="001B30ED">
        <w:t>'</w:t>
      </w:r>
      <w:r w:rsidRPr="00DD066D">
        <w:t>une telle inexactitude existe. Les inexactitudes peuvent résulter d</w:t>
      </w:r>
      <w:r w:rsidR="001B30ED">
        <w:t>'</w:t>
      </w:r>
      <w:r w:rsidRPr="00DD066D">
        <w:t>une fraude ou d</w:t>
      </w:r>
      <w:r w:rsidR="001B30ED">
        <w:t>'</w:t>
      </w:r>
      <w:r w:rsidRPr="00DD066D">
        <w:t>une erreur, et elles sont considérées comme significatives si, individuellement ou collectivement, elles sont raisonnablement susceptibles d</w:t>
      </w:r>
      <w:r w:rsidR="001B30ED">
        <w:t>'</w:t>
      </w:r>
      <w:r w:rsidRPr="00DD066D">
        <w:t>influer sur les décisions économiques des utilisateurs prises sur la base de ces états financiers.</w:t>
      </w:r>
    </w:p>
    <w:p w14:paraId="00547DAC" w14:textId="3C5512D3" w:rsidR="00307709" w:rsidRPr="00DD066D" w:rsidRDefault="00307709" w:rsidP="00B53AD7">
      <w:pPr>
        <w:spacing w:after="120"/>
        <w:jc w:val="both"/>
      </w:pPr>
      <w:r w:rsidRPr="00DD066D">
        <w:t>Dans le cadre d</w:t>
      </w:r>
      <w:r w:rsidR="001B30ED">
        <w:t>'</w:t>
      </w:r>
      <w:r w:rsidRPr="00DD066D">
        <w:t>une vérification conformément aux normes ISA, nous exerçons un jugement professionnel et faisons preuve d</w:t>
      </w:r>
      <w:r w:rsidR="001B30ED">
        <w:t>'</w:t>
      </w:r>
      <w:r w:rsidRPr="00DD066D">
        <w:t>esprit critique tout au long de la vérification. En outre, nous:</w:t>
      </w:r>
    </w:p>
    <w:p w14:paraId="4465E6B5" w14:textId="4953C21C" w:rsidR="00307709" w:rsidRPr="00DD066D" w:rsidRDefault="00307709" w:rsidP="00B53AD7">
      <w:pPr>
        <w:pStyle w:val="enumlev1"/>
        <w:rPr>
          <w:rFonts w:eastAsia="Calibri"/>
          <w:lang w:eastAsia="it-IT"/>
        </w:rPr>
      </w:pPr>
      <w:r w:rsidRPr="00DD066D">
        <w:rPr>
          <w:rFonts w:eastAsia="Calibri"/>
          <w:lang w:eastAsia="it-IT"/>
        </w:rPr>
        <w:t>•</w:t>
      </w:r>
      <w:r w:rsidRPr="00DD066D">
        <w:rPr>
          <w:rFonts w:eastAsia="Calibri"/>
          <w:lang w:eastAsia="it-IT"/>
        </w:rPr>
        <w:tab/>
        <w:t>identifions et évaluons les risques d</w:t>
      </w:r>
      <w:r w:rsidR="001B30ED">
        <w:rPr>
          <w:rFonts w:eastAsia="Calibri"/>
          <w:lang w:eastAsia="it-IT"/>
        </w:rPr>
        <w:t>'</w:t>
      </w:r>
      <w:r w:rsidRPr="00DD066D">
        <w:rPr>
          <w:rFonts w:eastAsia="Calibri"/>
          <w:lang w:eastAsia="it-IT"/>
        </w:rPr>
        <w:t>inexactitudes significatives dans les états financiers, que ce soit en raison d</w:t>
      </w:r>
      <w:r w:rsidR="001B30ED">
        <w:rPr>
          <w:rFonts w:eastAsia="Calibri"/>
          <w:lang w:eastAsia="it-IT"/>
        </w:rPr>
        <w:t>'</w:t>
      </w:r>
      <w:r w:rsidRPr="00DD066D">
        <w:rPr>
          <w:rFonts w:eastAsia="Calibri"/>
          <w:lang w:eastAsia="it-IT"/>
        </w:rPr>
        <w:t>une fraude ou d</w:t>
      </w:r>
      <w:r w:rsidR="001B30ED">
        <w:rPr>
          <w:rFonts w:eastAsia="Calibri"/>
          <w:lang w:eastAsia="it-IT"/>
        </w:rPr>
        <w:t>'</w:t>
      </w:r>
      <w:r w:rsidRPr="00DD066D">
        <w:rPr>
          <w:rFonts w:eastAsia="Calibri"/>
          <w:lang w:eastAsia="it-IT"/>
        </w:rPr>
        <w:t>une erreur, concevons et appliquons des procédures de vérification permettant de répondre à ces risques, et recueillons des justificatifs constituant une base suffisante et appropriée sur laquelle fonder notre opinion. Le risque de ne pas détecter une inexactitude significative résultant d</w:t>
      </w:r>
      <w:r w:rsidR="001B30ED">
        <w:rPr>
          <w:rFonts w:eastAsia="Calibri"/>
          <w:lang w:eastAsia="it-IT"/>
        </w:rPr>
        <w:t>'</w:t>
      </w:r>
      <w:r w:rsidRPr="00DD066D">
        <w:rPr>
          <w:rFonts w:eastAsia="Calibri"/>
          <w:lang w:eastAsia="it-IT"/>
        </w:rPr>
        <w:t>une fraude est supérieur au risque de ne pas détecter une inexactitude significative résultant d</w:t>
      </w:r>
      <w:r w:rsidR="001B30ED">
        <w:rPr>
          <w:rFonts w:eastAsia="Calibri"/>
          <w:lang w:eastAsia="it-IT"/>
        </w:rPr>
        <w:t>'</w:t>
      </w:r>
      <w:r w:rsidRPr="00DD066D">
        <w:rPr>
          <w:rFonts w:eastAsia="Calibri"/>
          <w:lang w:eastAsia="it-IT"/>
        </w:rPr>
        <w:t>une erreur, car la fraude peut impliquer une collusion, une falsification, des omissions intentionnelles, des fausses déclarations ou le fait de passer outre au contrôle interne;</w:t>
      </w:r>
    </w:p>
    <w:p w14:paraId="14508294" w14:textId="505035BB" w:rsidR="00307709" w:rsidRPr="00DD066D" w:rsidRDefault="00307709" w:rsidP="00B53AD7">
      <w:pPr>
        <w:pStyle w:val="enumlev1"/>
        <w:rPr>
          <w:rFonts w:eastAsia="Calibri"/>
          <w:lang w:eastAsia="it-IT"/>
        </w:rPr>
      </w:pPr>
      <w:r w:rsidRPr="00DD066D">
        <w:rPr>
          <w:rFonts w:eastAsia="Calibri"/>
          <w:lang w:eastAsia="it-IT"/>
        </w:rPr>
        <w:t>•</w:t>
      </w:r>
      <w:r w:rsidRPr="00DD066D">
        <w:rPr>
          <w:rFonts w:eastAsia="Calibri"/>
          <w:lang w:eastAsia="it-IT"/>
        </w:rPr>
        <w:tab/>
        <w:t>acquérons une compréhension des aspects du contrôle interne pertinents pour la vérification afin de concevoir des procédures de vérification adaptées à la situation et non pour exprimer une opinion sur l</w:t>
      </w:r>
      <w:r w:rsidR="001B30ED">
        <w:rPr>
          <w:rFonts w:eastAsia="Calibri"/>
          <w:lang w:eastAsia="it-IT"/>
        </w:rPr>
        <w:t>'</w:t>
      </w:r>
      <w:r w:rsidRPr="00DD066D">
        <w:rPr>
          <w:rFonts w:eastAsia="Calibri"/>
          <w:lang w:eastAsia="it-IT"/>
        </w:rPr>
        <w:t>efficacité du contrôle interne de l</w:t>
      </w:r>
      <w:r w:rsidR="001B30ED">
        <w:rPr>
          <w:rFonts w:eastAsia="Calibri"/>
          <w:lang w:eastAsia="it-IT"/>
        </w:rPr>
        <w:t>'</w:t>
      </w:r>
      <w:r w:rsidRPr="00DD066D">
        <w:rPr>
          <w:rFonts w:eastAsia="Calibri"/>
          <w:lang w:eastAsia="it-IT"/>
        </w:rPr>
        <w:t>UIT;</w:t>
      </w:r>
    </w:p>
    <w:p w14:paraId="6FAE1AF0" w14:textId="77777777" w:rsidR="00307709" w:rsidRPr="00DD066D" w:rsidRDefault="00307709" w:rsidP="00B53AD7">
      <w:pPr>
        <w:pStyle w:val="enumlev1"/>
        <w:rPr>
          <w:rFonts w:eastAsia="Calibri"/>
          <w:lang w:eastAsia="it-IT"/>
        </w:rPr>
      </w:pPr>
      <w:r w:rsidRPr="00DD066D">
        <w:rPr>
          <w:rFonts w:eastAsia="Calibri"/>
          <w:lang w:eastAsia="it-IT"/>
        </w:rPr>
        <w:t>•</w:t>
      </w:r>
      <w:r w:rsidRPr="00DD066D">
        <w:rPr>
          <w:rFonts w:eastAsia="Calibri"/>
          <w:lang w:eastAsia="it-IT"/>
        </w:rPr>
        <w:tab/>
        <w:t>déterminons si les politiques comptables utilisées sont adaptées et si les estimations comptables et les données associées fournies par la direction sont raisonnables;</w:t>
      </w:r>
    </w:p>
    <w:p w14:paraId="054C6BB7" w14:textId="28C15DFD" w:rsidR="00307709" w:rsidRPr="00DD066D" w:rsidRDefault="00307709" w:rsidP="00B53AD7">
      <w:pPr>
        <w:pStyle w:val="enumlev1"/>
        <w:rPr>
          <w:rFonts w:eastAsia="Calibri"/>
          <w:lang w:eastAsia="it-IT"/>
        </w:rPr>
      </w:pPr>
      <w:r w:rsidRPr="00DD066D">
        <w:rPr>
          <w:rFonts w:eastAsia="Calibri"/>
          <w:lang w:eastAsia="it-IT"/>
        </w:rPr>
        <w:t>•</w:t>
      </w:r>
      <w:r w:rsidRPr="00DD066D">
        <w:rPr>
          <w:rFonts w:eastAsia="Calibri"/>
          <w:lang w:eastAsia="it-IT"/>
        </w:rPr>
        <w:tab/>
        <w:t>formulons une conclusion quant à la question de savoir si l</w:t>
      </w:r>
      <w:r w:rsidR="001B30ED">
        <w:rPr>
          <w:rFonts w:eastAsia="Calibri"/>
          <w:lang w:eastAsia="it-IT"/>
        </w:rPr>
        <w:t>'</w:t>
      </w:r>
      <w:r w:rsidRPr="00DD066D">
        <w:rPr>
          <w:rFonts w:eastAsia="Calibri"/>
          <w:lang w:eastAsia="it-IT"/>
        </w:rPr>
        <w:t>adoption par la direction du principe de continuité des activités pour la comptabilité est appropriée et, sur la base des justificatifs recueillis, s</w:t>
      </w:r>
      <w:r w:rsidR="001B30ED">
        <w:rPr>
          <w:rFonts w:eastAsia="Calibri"/>
          <w:lang w:eastAsia="it-IT"/>
        </w:rPr>
        <w:t>'</w:t>
      </w:r>
      <w:r w:rsidRPr="00DD066D">
        <w:rPr>
          <w:rFonts w:eastAsia="Calibri"/>
          <w:lang w:eastAsia="it-IT"/>
        </w:rPr>
        <w:t>il existe une incertitude importante en ce qui concerne les événements ou conditions susceptibles de jeter un doute important sur la capacité de l</w:t>
      </w:r>
      <w:r w:rsidR="001B30ED">
        <w:rPr>
          <w:rFonts w:eastAsia="Calibri"/>
          <w:lang w:eastAsia="it-IT"/>
        </w:rPr>
        <w:t>'</w:t>
      </w:r>
      <w:r w:rsidRPr="00DD066D">
        <w:rPr>
          <w:rFonts w:eastAsia="Calibri"/>
          <w:lang w:eastAsia="it-IT"/>
        </w:rPr>
        <w:t>UIT à poursuivre ses activités. Si notre conclusion est qu</w:t>
      </w:r>
      <w:r w:rsidR="001B30ED">
        <w:rPr>
          <w:rFonts w:eastAsia="Calibri"/>
          <w:lang w:eastAsia="it-IT"/>
        </w:rPr>
        <w:t>'</w:t>
      </w:r>
      <w:r w:rsidRPr="00DD066D">
        <w:rPr>
          <w:rFonts w:eastAsia="Calibri"/>
          <w:lang w:eastAsia="it-IT"/>
        </w:rPr>
        <w:t>il existe une incertitude importante, nous devons attirer l</w:t>
      </w:r>
      <w:r w:rsidR="001B30ED">
        <w:rPr>
          <w:rFonts w:eastAsia="Calibri"/>
          <w:lang w:eastAsia="it-IT"/>
        </w:rPr>
        <w:t>'</w:t>
      </w:r>
      <w:r w:rsidRPr="00DD066D">
        <w:rPr>
          <w:rFonts w:eastAsia="Calibri"/>
          <w:lang w:eastAsia="it-IT"/>
        </w:rPr>
        <w:t>attention, dans notre rapport du vérificateur, sur les données correspondantes fournies dans les états financiers ou, si ces données sont insuffisantes, nous devons modifier notre opinion. Nos conclusions sont fondées sur les justificatifs recueillis jusqu</w:t>
      </w:r>
      <w:r w:rsidR="001B30ED">
        <w:rPr>
          <w:rFonts w:eastAsia="Calibri"/>
          <w:lang w:eastAsia="it-IT"/>
        </w:rPr>
        <w:t>'</w:t>
      </w:r>
      <w:r w:rsidRPr="00DD066D">
        <w:rPr>
          <w:rFonts w:eastAsia="Calibri"/>
          <w:lang w:eastAsia="it-IT"/>
        </w:rPr>
        <w:t>à la date de notre rapport du vérificateur. Cependant, des conditions ou événements futurs peuvent amener l</w:t>
      </w:r>
      <w:r w:rsidR="001B30ED">
        <w:rPr>
          <w:rFonts w:eastAsia="Calibri"/>
          <w:lang w:eastAsia="it-IT"/>
        </w:rPr>
        <w:t>'</w:t>
      </w:r>
      <w:r w:rsidRPr="00DD066D">
        <w:rPr>
          <w:rFonts w:eastAsia="Calibri"/>
          <w:lang w:eastAsia="it-IT"/>
        </w:rPr>
        <w:t>UIT à cesser ses activités;</w:t>
      </w:r>
    </w:p>
    <w:p w14:paraId="5FCD0F24" w14:textId="77777777" w:rsidR="00307709" w:rsidRPr="00DD066D" w:rsidRDefault="00307709" w:rsidP="00B53AD7">
      <w:pPr>
        <w:pStyle w:val="enumlev1"/>
        <w:rPr>
          <w:rFonts w:eastAsia="Calibri"/>
          <w:szCs w:val="24"/>
          <w:lang w:eastAsia="it-IT"/>
        </w:rPr>
      </w:pPr>
      <w:r w:rsidRPr="00DD066D">
        <w:rPr>
          <w:rFonts w:eastAsia="Calibri"/>
          <w:lang w:eastAsia="it-IT"/>
        </w:rPr>
        <w:t>•</w:t>
      </w:r>
      <w:r w:rsidRPr="00DD066D">
        <w:rPr>
          <w:rFonts w:eastAsia="Calibri"/>
          <w:lang w:eastAsia="it-IT"/>
        </w:rPr>
        <w:tab/>
        <w:t>évaluons la présentation générale, la structure et le contenu des états financiers, y compris les données fournies, et déterminons si la manière dont les états financiers représentent les opérations et les évé</w:t>
      </w:r>
      <w:r w:rsidRPr="00DD066D">
        <w:rPr>
          <w:rFonts w:eastAsia="Calibri"/>
          <w:szCs w:val="24"/>
          <w:lang w:eastAsia="it-IT"/>
        </w:rPr>
        <w:t>nements sous-jacents reflète une présentation correcte.</w:t>
      </w:r>
    </w:p>
    <w:p w14:paraId="58CAB2BD" w14:textId="77777777" w:rsidR="00307709" w:rsidRPr="00DD066D" w:rsidRDefault="00307709" w:rsidP="00B53AD7">
      <w:r w:rsidRPr="00DD066D">
        <w:t>Nous communiquons avec les personnes chargées de la gouvernance en ce qui concerne, entre autres, la portée et le calendrier prévus de la vérification ainsi que les résultats importants, y compris tout dysfonctionnement important dans le contrôle interne que nous identifions lors de notre vérification.</w:t>
      </w:r>
    </w:p>
    <w:p w14:paraId="7337F49E" w14:textId="77777777" w:rsidR="00307709" w:rsidRPr="00DD066D" w:rsidRDefault="00307709" w:rsidP="0071366C">
      <w:pPr>
        <w:pStyle w:val="Headingb"/>
      </w:pPr>
      <w:r w:rsidRPr="00DD066D">
        <w:t xml:space="preserve">Rapport sur les autres exigences juridiques et réglementaires </w:t>
      </w:r>
    </w:p>
    <w:p w14:paraId="44B04A2F" w14:textId="06581FFD" w:rsidR="00307709" w:rsidRPr="00DD066D" w:rsidRDefault="00307709" w:rsidP="00B53AD7">
      <w:r w:rsidRPr="00DD066D">
        <w:t>En outre, notre opinion est que les opérations de l</w:t>
      </w:r>
      <w:r w:rsidR="001B30ED">
        <w:t>'</w:t>
      </w:r>
      <w:r w:rsidRPr="00DD066D">
        <w:t>UIT qui nous ont été communiquées ou que nous avons contrôlées par sondage dans le cadre de notre vérification ont été, sur tous les points essentiels, effectuées conformément au Règlement financier et aux Règles financières de l</w:t>
      </w:r>
      <w:r w:rsidR="001B30ED">
        <w:t>'</w:t>
      </w:r>
      <w:r w:rsidRPr="00DD066D">
        <w:t>UIT et aux prescriptions de l</w:t>
      </w:r>
      <w:r w:rsidR="001B30ED">
        <w:t>'</w:t>
      </w:r>
      <w:r w:rsidRPr="00DD066D">
        <w:t>autorité délibérante.</w:t>
      </w:r>
    </w:p>
    <w:p w14:paraId="3A1ABF6C" w14:textId="2E380490" w:rsidR="00307709" w:rsidRPr="00DD066D" w:rsidRDefault="00307709" w:rsidP="00B53AD7">
      <w:r w:rsidRPr="00DD066D">
        <w:t>Conformément à l</w:t>
      </w:r>
      <w:r w:rsidR="001B30ED">
        <w:t>'</w:t>
      </w:r>
      <w:r w:rsidRPr="00DD066D">
        <w:t>Article</w:t>
      </w:r>
      <w:r w:rsidR="0018444B">
        <w:t> </w:t>
      </w:r>
      <w:r w:rsidRPr="00DD066D">
        <w:t>28 du Règlement financier et des Règles financières de l</w:t>
      </w:r>
      <w:r w:rsidR="001B30ED">
        <w:t>'</w:t>
      </w:r>
      <w:r w:rsidRPr="00DD066D">
        <w:t>UIT et au Mandat additionnel pour la vérification extérieure des comptes (Annexe I du Règlement financier et des Règles financières), nous avons publié un rapport détaillé sur notre vérification des états financiers de l</w:t>
      </w:r>
      <w:r w:rsidR="001B30ED">
        <w:t>'</w:t>
      </w:r>
      <w:r w:rsidRPr="00DD066D">
        <w:t>UIT pour l</w:t>
      </w:r>
      <w:r w:rsidR="001B30ED">
        <w:t>'</w:t>
      </w:r>
      <w:r w:rsidRPr="00DD066D">
        <w:t>exercice</w:t>
      </w:r>
      <w:r w:rsidR="0018444B">
        <w:t> </w:t>
      </w:r>
      <w:r w:rsidRPr="00DD066D">
        <w:t>2017.</w:t>
      </w:r>
    </w:p>
    <w:p w14:paraId="2F2E5D9D" w14:textId="77777777" w:rsidR="00307709" w:rsidRPr="00DD066D" w:rsidRDefault="00307709" w:rsidP="0071366C">
      <w:pPr>
        <w:pStyle w:val="Headingb"/>
        <w:rPr>
          <w:rFonts w:eastAsia="Batang"/>
        </w:rPr>
      </w:pPr>
      <w:bookmarkStart w:id="65" w:name="_Toc395260971"/>
      <w:bookmarkStart w:id="66" w:name="_Toc395511756"/>
      <w:bookmarkStart w:id="67" w:name="_Toc396386925"/>
      <w:bookmarkStart w:id="68" w:name="_Toc396387812"/>
      <w:bookmarkStart w:id="69" w:name="_Toc419407153"/>
      <w:bookmarkStart w:id="70" w:name="_Toc452138669"/>
      <w:bookmarkStart w:id="71" w:name="_Toc452139118"/>
      <w:bookmarkStart w:id="72" w:name="_Toc452139482"/>
      <w:bookmarkStart w:id="73" w:name="_Toc452139888"/>
      <w:bookmarkStart w:id="74" w:name="_Toc452140762"/>
      <w:bookmarkStart w:id="75" w:name="_Toc482958301"/>
      <w:bookmarkStart w:id="76" w:name="_Toc522684913"/>
      <w:bookmarkStart w:id="77" w:name="_Toc522685288"/>
      <w:r w:rsidRPr="00DD066D">
        <w:rPr>
          <w:rFonts w:eastAsia="Batang"/>
        </w:rPr>
        <w:t>Exposé de la situation</w:t>
      </w:r>
      <w:bookmarkEnd w:id="65"/>
      <w:bookmarkEnd w:id="66"/>
      <w:bookmarkEnd w:id="67"/>
      <w:bookmarkEnd w:id="68"/>
      <w:bookmarkEnd w:id="69"/>
      <w:bookmarkEnd w:id="70"/>
      <w:bookmarkEnd w:id="71"/>
      <w:bookmarkEnd w:id="72"/>
      <w:bookmarkEnd w:id="73"/>
      <w:bookmarkEnd w:id="74"/>
      <w:bookmarkEnd w:id="75"/>
      <w:bookmarkEnd w:id="76"/>
      <w:bookmarkEnd w:id="77"/>
    </w:p>
    <w:p w14:paraId="20CA1F89" w14:textId="36CE1925" w:rsidR="00307709" w:rsidRPr="00DD066D" w:rsidRDefault="00307709" w:rsidP="00B53AD7">
      <w:pPr>
        <w:rPr>
          <w:rFonts w:eastAsia="Batang"/>
        </w:rPr>
      </w:pPr>
      <w:r w:rsidRPr="00DD066D">
        <w:rPr>
          <w:rFonts w:eastAsia="Batang"/>
        </w:rPr>
        <w:t>Nous attirons l</w:t>
      </w:r>
      <w:r w:rsidR="001B30ED">
        <w:rPr>
          <w:rFonts w:eastAsia="Batang"/>
        </w:rPr>
        <w:t>'</w:t>
      </w:r>
      <w:r w:rsidRPr="00DD066D">
        <w:rPr>
          <w:rFonts w:eastAsia="Batang"/>
        </w:rPr>
        <w:t>attention sur le fait que l</w:t>
      </w:r>
      <w:r w:rsidR="001B30ED">
        <w:rPr>
          <w:rFonts w:eastAsia="Batang"/>
        </w:rPr>
        <w:t>'</w:t>
      </w:r>
      <w:r w:rsidRPr="00DD066D">
        <w:rPr>
          <w:rFonts w:eastAsia="Batang"/>
        </w:rPr>
        <w:t>état de la situation financière fait apparaître un actif net négatif (–4</w:t>
      </w:r>
      <w:r w:rsidR="00E12C40" w:rsidRPr="00DD066D">
        <w:rPr>
          <w:rFonts w:eastAsia="Batang"/>
        </w:rPr>
        <w:t>82</w:t>
      </w:r>
      <w:r w:rsidRPr="00DD066D">
        <w:rPr>
          <w:rFonts w:eastAsia="Batang"/>
        </w:rPr>
        <w:t>,</w:t>
      </w:r>
      <w:r w:rsidR="00E12C40" w:rsidRPr="00DD066D">
        <w:rPr>
          <w:rFonts w:eastAsia="Batang"/>
        </w:rPr>
        <w:t>5</w:t>
      </w:r>
      <w:r w:rsidRPr="00DD066D">
        <w:rPr>
          <w:rFonts w:eastAsia="Batang"/>
        </w:rPr>
        <w:t xml:space="preserve"> millions CHF), attribuable essentiellement à l</w:t>
      </w:r>
      <w:r w:rsidR="001B30ED">
        <w:rPr>
          <w:rFonts w:eastAsia="Batang"/>
        </w:rPr>
        <w:t>'</w:t>
      </w:r>
      <w:r w:rsidRPr="00DD066D">
        <w:rPr>
          <w:rFonts w:eastAsia="Batang"/>
        </w:rPr>
        <w:t xml:space="preserve">incidence des passifs actuariels correspondant aux prestations à long terme dues aux fonctionnaires, chiffrés à </w:t>
      </w:r>
      <w:r w:rsidR="00E12C40" w:rsidRPr="00DD066D">
        <w:rPr>
          <w:rFonts w:eastAsia="Batang"/>
        </w:rPr>
        <w:t>638</w:t>
      </w:r>
      <w:r w:rsidRPr="00DD066D">
        <w:rPr>
          <w:rFonts w:eastAsia="Batang"/>
        </w:rPr>
        <w:t>,</w:t>
      </w:r>
      <w:r w:rsidR="00E12C40" w:rsidRPr="00DD066D">
        <w:rPr>
          <w:rFonts w:eastAsia="Batang"/>
        </w:rPr>
        <w:t>4</w:t>
      </w:r>
      <w:r w:rsidRPr="00DD066D">
        <w:rPr>
          <w:rFonts w:eastAsia="Batang"/>
        </w:rPr>
        <w:t> millions CHF dans l</w:t>
      </w:r>
      <w:r w:rsidR="001B30ED">
        <w:rPr>
          <w:rFonts w:eastAsia="Batang"/>
        </w:rPr>
        <w:t>'</w:t>
      </w:r>
      <w:r w:rsidRPr="00DD066D">
        <w:rPr>
          <w:rFonts w:eastAsia="Batang"/>
        </w:rPr>
        <w:t>état de la situation financière. Des précisions concernant notre analyse figurent dans notre rapport. Des mesures sont actuellement prises par la direction, qui nous a assuré qu</w:t>
      </w:r>
      <w:r w:rsidR="001B30ED">
        <w:rPr>
          <w:rFonts w:eastAsia="Batang"/>
        </w:rPr>
        <w:t>'</w:t>
      </w:r>
      <w:r w:rsidRPr="00DD066D">
        <w:rPr>
          <w:rFonts w:eastAsia="Batang"/>
        </w:rPr>
        <w:t>elle veillerait à leur efficacité. Notre opinion n</w:t>
      </w:r>
      <w:r w:rsidR="001B30ED">
        <w:rPr>
          <w:rFonts w:eastAsia="Batang"/>
        </w:rPr>
        <w:t>'</w:t>
      </w:r>
      <w:r w:rsidRPr="00DD066D">
        <w:rPr>
          <w:rFonts w:eastAsia="Batang"/>
        </w:rPr>
        <w:t>est pas modifiée par rapport à ce point.</w:t>
      </w:r>
    </w:p>
    <w:p w14:paraId="052899E6" w14:textId="1E390DC8" w:rsidR="00307709" w:rsidRPr="00DD066D" w:rsidRDefault="00307709" w:rsidP="00B53AD7">
      <w:pPr>
        <w:spacing w:before="600" w:after="240"/>
        <w:rPr>
          <w:rFonts w:eastAsia="Batang"/>
        </w:rPr>
      </w:pPr>
      <w:r w:rsidRPr="00DD066D">
        <w:rPr>
          <w:rFonts w:eastAsia="Batang"/>
        </w:rPr>
        <w:t xml:space="preserve">Rome, le </w:t>
      </w:r>
      <w:r w:rsidR="00E12C40" w:rsidRPr="00DD066D">
        <w:rPr>
          <w:rFonts w:eastAsia="Batang"/>
        </w:rPr>
        <w:t>22</w:t>
      </w:r>
      <w:r w:rsidR="0018444B">
        <w:rPr>
          <w:rFonts w:eastAsia="Batang"/>
        </w:rPr>
        <w:t> </w:t>
      </w:r>
      <w:r w:rsidR="00E12C40" w:rsidRPr="00DD066D">
        <w:rPr>
          <w:rFonts w:eastAsia="Batang"/>
        </w:rPr>
        <w:t>juin</w:t>
      </w:r>
      <w:r w:rsidR="0018444B">
        <w:rPr>
          <w:rFonts w:eastAsia="Batang"/>
        </w:rPr>
        <w:t> </w:t>
      </w:r>
      <w:r w:rsidR="00E12C40" w:rsidRPr="00DD066D">
        <w:rPr>
          <w:rFonts w:eastAsia="Batang"/>
        </w:rPr>
        <w:t>2018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3"/>
      </w:tblGrid>
      <w:tr w:rsidR="00E12C40" w:rsidRPr="00DD066D" w14:paraId="3074DC1F" w14:textId="77777777" w:rsidTr="00E12C40">
        <w:trPr>
          <w:jc w:val="center"/>
        </w:trPr>
        <w:tc>
          <w:tcPr>
            <w:tcW w:w="4806" w:type="dxa"/>
          </w:tcPr>
          <w:p w14:paraId="558585A7" w14:textId="77777777" w:rsidR="00E12C40" w:rsidRPr="00DD066D" w:rsidRDefault="00E12C40" w:rsidP="007345C9">
            <w:pPr>
              <w:spacing w:before="0"/>
              <w:jc w:val="center"/>
              <w:rPr>
                <w:i/>
              </w:rPr>
            </w:pPr>
          </w:p>
        </w:tc>
        <w:tc>
          <w:tcPr>
            <w:tcW w:w="4833" w:type="dxa"/>
          </w:tcPr>
          <w:p w14:paraId="663593D2" w14:textId="1061BA7F" w:rsidR="00E12C40" w:rsidRPr="00DD066D" w:rsidRDefault="00E12C40" w:rsidP="0071366C">
            <w:pPr>
              <w:spacing w:before="0"/>
              <w:jc w:val="center"/>
              <w:rPr>
                <w:i/>
              </w:rPr>
            </w:pPr>
            <w:r w:rsidRPr="00DD066D">
              <w:rPr>
                <w:i/>
              </w:rPr>
              <w:t>Angelo Buscema</w:t>
            </w:r>
            <w:r w:rsidR="007345C9">
              <w:rPr>
                <w:i/>
              </w:rPr>
              <w:br/>
            </w:r>
            <w:r w:rsidR="000C4C00" w:rsidRPr="00DD066D">
              <w:rPr>
                <w:i/>
              </w:rPr>
              <w:t xml:space="preserve">Président de </w:t>
            </w:r>
            <w:r w:rsidR="000D6427">
              <w:rPr>
                <w:i/>
              </w:rPr>
              <w:t xml:space="preserve">la </w:t>
            </w:r>
            <w:r w:rsidR="0071366C">
              <w:rPr>
                <w:i/>
              </w:rPr>
              <w:br/>
            </w:r>
            <w:r w:rsidR="000D6427">
              <w:rPr>
                <w:i/>
              </w:rPr>
              <w:t>Cour des comptes italienne</w:t>
            </w:r>
          </w:p>
        </w:tc>
      </w:tr>
    </w:tbl>
    <w:p w14:paraId="0E2D5C45" w14:textId="77777777" w:rsidR="00E12C40" w:rsidRPr="00DD066D" w:rsidRDefault="00E12C40" w:rsidP="00B53AD7">
      <w:pPr>
        <w:spacing w:before="0"/>
      </w:pPr>
    </w:p>
    <w:p w14:paraId="1F7FEFF0" w14:textId="3AA3EEE8" w:rsidR="00E12C40" w:rsidRPr="00DD066D" w:rsidRDefault="00E12C40" w:rsidP="007345C9">
      <w:pPr>
        <w:pStyle w:val="Heading1"/>
        <w:spacing w:before="360"/>
        <w:rPr>
          <w:sz w:val="24"/>
          <w:szCs w:val="24"/>
        </w:rPr>
      </w:pPr>
      <w:bookmarkStart w:id="78" w:name="_Toc358123264"/>
      <w:bookmarkStart w:id="79" w:name="_Toc396386927"/>
      <w:bookmarkStart w:id="80" w:name="_Toc396387814"/>
      <w:bookmarkStart w:id="81" w:name="_Toc396387928"/>
      <w:bookmarkStart w:id="82" w:name="_Toc398277613"/>
      <w:bookmarkStart w:id="83" w:name="_Toc419407155"/>
      <w:bookmarkStart w:id="84" w:name="_Toc452140194"/>
      <w:bookmarkStart w:id="85" w:name="_Toc482958302"/>
      <w:bookmarkStart w:id="86" w:name="_Toc482966347"/>
      <w:bookmarkStart w:id="87" w:name="_Toc482967229"/>
      <w:bookmarkStart w:id="88" w:name="_Toc522685289"/>
      <w:r w:rsidRPr="00DD066D">
        <w:rPr>
          <w:sz w:val="24"/>
          <w:szCs w:val="24"/>
        </w:rPr>
        <w:t xml:space="preserve">STRUCTURE DES </w:t>
      </w:r>
      <w:r w:rsidR="007345C9">
        <w:rPr>
          <w:sz w:val="24"/>
          <w:szCs w:val="24"/>
        </w:rPr>
        <w:t>É</w:t>
      </w:r>
      <w:r w:rsidRPr="00DD066D">
        <w:rPr>
          <w:sz w:val="24"/>
          <w:szCs w:val="24"/>
        </w:rPr>
        <w:t>TATS COMPTABLES</w:t>
      </w:r>
      <w:bookmarkEnd w:id="78"/>
      <w:bookmarkEnd w:id="79"/>
      <w:bookmarkEnd w:id="80"/>
      <w:bookmarkEnd w:id="81"/>
      <w:bookmarkEnd w:id="82"/>
      <w:bookmarkEnd w:id="83"/>
      <w:bookmarkEnd w:id="84"/>
      <w:bookmarkEnd w:id="85"/>
      <w:bookmarkEnd w:id="86"/>
      <w:bookmarkEnd w:id="87"/>
      <w:bookmarkEnd w:id="88"/>
    </w:p>
    <w:p w14:paraId="0A249B0A" w14:textId="025E7597" w:rsidR="00E12C40" w:rsidRPr="00DD066D" w:rsidRDefault="00E12C40" w:rsidP="00B53AD7">
      <w:r w:rsidRPr="00DD066D">
        <w:t>1</w:t>
      </w:r>
      <w:r w:rsidRPr="00DD066D">
        <w:tab/>
        <w:t>Les états financiers de l</w:t>
      </w:r>
      <w:r w:rsidR="001B30ED">
        <w:t>'</w:t>
      </w:r>
      <w:r w:rsidRPr="00DD066D">
        <w:t xml:space="preserve">UIT, établis et présentés conformément à la norme </w:t>
      </w:r>
      <w:r w:rsidRPr="00DD066D">
        <w:rPr>
          <w:spacing w:val="-3"/>
        </w:rPr>
        <w:t>IPSAS</w:t>
      </w:r>
      <w:r w:rsidR="0018444B">
        <w:rPr>
          <w:spacing w:val="-3"/>
        </w:rPr>
        <w:t> </w:t>
      </w:r>
      <w:r w:rsidRPr="00DD066D">
        <w:rPr>
          <w:spacing w:val="-3"/>
        </w:rPr>
        <w:t>1, comprennent les éléments suivants:</w:t>
      </w:r>
    </w:p>
    <w:p w14:paraId="395C81BC" w14:textId="1B7012D8" w:rsidR="00E12C40" w:rsidRPr="00DD066D" w:rsidRDefault="00E12C40" w:rsidP="00B53AD7">
      <w:pPr>
        <w:pStyle w:val="enumlev1"/>
        <w:spacing w:before="80"/>
      </w:pPr>
      <w:r w:rsidRPr="00DD066D">
        <w:rPr>
          <w:color w:val="000000"/>
        </w:rPr>
        <w:t>•</w:t>
      </w:r>
      <w:r w:rsidRPr="00DD066D">
        <w:rPr>
          <w:color w:val="000000"/>
        </w:rPr>
        <w:tab/>
        <w:t xml:space="preserve">Etat de la situation financière – bilan au </w:t>
      </w:r>
      <w:r w:rsidRPr="00DD066D">
        <w:t>31</w:t>
      </w:r>
      <w:r w:rsidR="0018444B">
        <w:t> </w:t>
      </w:r>
      <w:r w:rsidRPr="00DD066D">
        <w:t>décembre</w:t>
      </w:r>
      <w:r w:rsidR="0018444B">
        <w:t> </w:t>
      </w:r>
      <w:r w:rsidRPr="00DD066D">
        <w:t>2017, avec chiffres comparatifs au 31 décembre</w:t>
      </w:r>
      <w:r w:rsidR="0018444B">
        <w:t> </w:t>
      </w:r>
      <w:r w:rsidRPr="00DD066D">
        <w:t>2016, indiquant les actifs (classés en actifs courants ou non courants), les passifs (classés en passifs courants ou non courants), et l</w:t>
      </w:r>
      <w:r w:rsidR="001B30ED">
        <w:t>'</w:t>
      </w:r>
      <w:r w:rsidRPr="00DD066D">
        <w:t>actif net.</w:t>
      </w:r>
    </w:p>
    <w:p w14:paraId="2CE9DE7E" w14:textId="521C5C7E" w:rsidR="00E12C40" w:rsidRPr="00DD066D" w:rsidRDefault="00E12C40" w:rsidP="00B53AD7">
      <w:pPr>
        <w:pStyle w:val="enumlev1"/>
        <w:spacing w:before="80"/>
      </w:pPr>
      <w:r w:rsidRPr="00DD066D">
        <w:rPr>
          <w:color w:val="000000"/>
        </w:rPr>
        <w:t>•</w:t>
      </w:r>
      <w:r w:rsidRPr="00DD066D">
        <w:rPr>
          <w:color w:val="000000"/>
        </w:rPr>
        <w:tab/>
        <w:t>Etat de la performance financière pour l</w:t>
      </w:r>
      <w:r w:rsidR="001B30ED">
        <w:rPr>
          <w:color w:val="000000"/>
        </w:rPr>
        <w:t>'</w:t>
      </w:r>
      <w:r w:rsidRPr="00DD066D">
        <w:rPr>
          <w:color w:val="000000"/>
        </w:rPr>
        <w:t>exercice clos le 31</w:t>
      </w:r>
      <w:r w:rsidR="0018444B">
        <w:rPr>
          <w:color w:val="000000"/>
        </w:rPr>
        <w:t> </w:t>
      </w:r>
      <w:r w:rsidRPr="00DD066D">
        <w:rPr>
          <w:color w:val="000000"/>
        </w:rPr>
        <w:t>décembre</w:t>
      </w:r>
      <w:r w:rsidR="0018444B">
        <w:rPr>
          <w:color w:val="000000"/>
        </w:rPr>
        <w:t> </w:t>
      </w:r>
      <w:r w:rsidRPr="00DD066D">
        <w:rPr>
          <w:spacing w:val="-3"/>
        </w:rPr>
        <w:t>2017</w:t>
      </w:r>
      <w:r w:rsidRPr="00DD066D">
        <w:t>, avec chiffres comparatifs au 31</w:t>
      </w:r>
      <w:r w:rsidR="0018444B">
        <w:t> </w:t>
      </w:r>
      <w:r w:rsidRPr="00DD066D">
        <w:t>décembre</w:t>
      </w:r>
      <w:r w:rsidR="0018444B">
        <w:t> </w:t>
      </w:r>
      <w:r w:rsidRPr="00DD066D">
        <w:t>2016, indiquant</w:t>
      </w:r>
      <w:r w:rsidRPr="00DD066D">
        <w:rPr>
          <w:spacing w:val="-3"/>
        </w:rPr>
        <w:t xml:space="preserve"> l</w:t>
      </w:r>
      <w:r w:rsidR="001B30ED">
        <w:rPr>
          <w:spacing w:val="-3"/>
        </w:rPr>
        <w:t>'</w:t>
      </w:r>
      <w:r w:rsidRPr="00DD066D">
        <w:rPr>
          <w:spacing w:val="-3"/>
        </w:rPr>
        <w:t>excédent/déficit pour l</w:t>
      </w:r>
      <w:r w:rsidR="001B30ED">
        <w:rPr>
          <w:spacing w:val="-3"/>
        </w:rPr>
        <w:t>'</w:t>
      </w:r>
      <w:r w:rsidRPr="00DD066D">
        <w:rPr>
          <w:spacing w:val="-3"/>
        </w:rPr>
        <w:t>exercice financier</w:t>
      </w:r>
      <w:r w:rsidRPr="00DD066D">
        <w:t>.</w:t>
      </w:r>
    </w:p>
    <w:p w14:paraId="23094F68" w14:textId="565F4461" w:rsidR="00E12C40" w:rsidRPr="00DD066D" w:rsidRDefault="00E12C40" w:rsidP="00B53AD7">
      <w:pPr>
        <w:pStyle w:val="enumlev1"/>
        <w:spacing w:before="80"/>
        <w:rPr>
          <w:spacing w:val="1"/>
        </w:rPr>
      </w:pPr>
      <w:r w:rsidRPr="00DD066D">
        <w:rPr>
          <w:color w:val="000000"/>
        </w:rPr>
        <w:t>•</w:t>
      </w:r>
      <w:r w:rsidRPr="00DD066D">
        <w:rPr>
          <w:color w:val="000000"/>
        </w:rPr>
        <w:tab/>
        <w:t>Etat des variations de l</w:t>
      </w:r>
      <w:r w:rsidR="001B30ED">
        <w:rPr>
          <w:color w:val="000000"/>
        </w:rPr>
        <w:t>'</w:t>
      </w:r>
      <w:r w:rsidRPr="00DD066D">
        <w:rPr>
          <w:color w:val="000000"/>
        </w:rPr>
        <w:t>actif net pour l</w:t>
      </w:r>
      <w:r w:rsidR="001B30ED">
        <w:rPr>
          <w:color w:val="000000"/>
        </w:rPr>
        <w:t>'</w:t>
      </w:r>
      <w:r w:rsidRPr="00DD066D">
        <w:rPr>
          <w:color w:val="000000"/>
        </w:rPr>
        <w:t>exercice clos le 31</w:t>
      </w:r>
      <w:r w:rsidR="0018444B">
        <w:rPr>
          <w:color w:val="000000"/>
        </w:rPr>
        <w:t> </w:t>
      </w:r>
      <w:r w:rsidRPr="00DD066D">
        <w:rPr>
          <w:color w:val="000000"/>
        </w:rPr>
        <w:t>décembre</w:t>
      </w:r>
      <w:r w:rsidR="0018444B">
        <w:rPr>
          <w:color w:val="000000"/>
        </w:rPr>
        <w:t> </w:t>
      </w:r>
      <w:r w:rsidRPr="00DD066D">
        <w:rPr>
          <w:spacing w:val="-3"/>
        </w:rPr>
        <w:t>2017, indiquant la valeur de l</w:t>
      </w:r>
      <w:r w:rsidR="001B30ED">
        <w:rPr>
          <w:spacing w:val="-3"/>
        </w:rPr>
        <w:t>'</w:t>
      </w:r>
      <w:r w:rsidRPr="00DD066D">
        <w:rPr>
          <w:spacing w:val="-3"/>
        </w:rPr>
        <w:t>actif net, y compris l</w:t>
      </w:r>
      <w:r w:rsidR="001B30ED">
        <w:rPr>
          <w:spacing w:val="-3"/>
        </w:rPr>
        <w:t>'</w:t>
      </w:r>
      <w:r w:rsidRPr="00DD066D">
        <w:rPr>
          <w:spacing w:val="-3"/>
        </w:rPr>
        <w:t>excédent ou le déficit pour l</w:t>
      </w:r>
      <w:r w:rsidR="001B30ED">
        <w:rPr>
          <w:spacing w:val="-3"/>
        </w:rPr>
        <w:t>'</w:t>
      </w:r>
      <w:r w:rsidRPr="00DD066D">
        <w:rPr>
          <w:spacing w:val="-3"/>
        </w:rPr>
        <w:t xml:space="preserve">exercice ainsi que les pertes directement comptabilisées dans </w:t>
      </w:r>
      <w:r w:rsidRPr="00DD066D">
        <w:t>l</w:t>
      </w:r>
      <w:r w:rsidR="001B30ED">
        <w:t>'</w:t>
      </w:r>
      <w:r w:rsidRPr="00DD066D">
        <w:t>actif net</w:t>
      </w:r>
      <w:r w:rsidRPr="00DD066D">
        <w:rPr>
          <w:spacing w:val="-3"/>
        </w:rPr>
        <w:t xml:space="preserve"> sans incidence sur l</w:t>
      </w:r>
      <w:r w:rsidR="001B30ED">
        <w:rPr>
          <w:spacing w:val="-3"/>
        </w:rPr>
        <w:t>'</w:t>
      </w:r>
      <w:r w:rsidRPr="00DD066D">
        <w:rPr>
          <w:color w:val="000000"/>
        </w:rPr>
        <w:t>état de la performance financière</w:t>
      </w:r>
      <w:r w:rsidRPr="00DD066D">
        <w:rPr>
          <w:spacing w:val="1"/>
        </w:rPr>
        <w:t>.</w:t>
      </w:r>
    </w:p>
    <w:p w14:paraId="37381522" w14:textId="2A408F48" w:rsidR="00E12C40" w:rsidRPr="00DD066D" w:rsidRDefault="00E12C40" w:rsidP="00B53AD7">
      <w:pPr>
        <w:pStyle w:val="enumlev1"/>
        <w:spacing w:before="80"/>
      </w:pPr>
      <w:r w:rsidRPr="00DD066D">
        <w:t>•</w:t>
      </w:r>
      <w:r w:rsidRPr="00DD066D">
        <w:tab/>
      </w:r>
      <w:r w:rsidRPr="00DD066D">
        <w:rPr>
          <w:color w:val="000000"/>
        </w:rPr>
        <w:t>Tableau des flux de trésorerie pour l</w:t>
      </w:r>
      <w:r w:rsidR="001B30ED">
        <w:rPr>
          <w:color w:val="000000"/>
        </w:rPr>
        <w:t>'</w:t>
      </w:r>
      <w:r w:rsidRPr="00DD066D">
        <w:rPr>
          <w:color w:val="000000"/>
        </w:rPr>
        <w:t>exercice clos le 31</w:t>
      </w:r>
      <w:r w:rsidR="0018444B">
        <w:rPr>
          <w:color w:val="000000"/>
        </w:rPr>
        <w:t> </w:t>
      </w:r>
      <w:r w:rsidRPr="00DD066D">
        <w:rPr>
          <w:color w:val="000000"/>
        </w:rPr>
        <w:t>décembre</w:t>
      </w:r>
      <w:r w:rsidR="0018444B">
        <w:rPr>
          <w:color w:val="000000"/>
        </w:rPr>
        <w:t> </w:t>
      </w:r>
      <w:r w:rsidRPr="00DD066D">
        <w:t>2017, indiquant les entrées et sorties de trésorerie et d</w:t>
      </w:r>
      <w:r w:rsidR="001B30ED">
        <w:t>'</w:t>
      </w:r>
      <w:r w:rsidRPr="00DD066D">
        <w:t>équivalents de trésorerie, concernant les transactions opérationnelles, d</w:t>
      </w:r>
      <w:r w:rsidR="001B30ED">
        <w:t>'</w:t>
      </w:r>
      <w:r w:rsidRPr="00DD066D">
        <w:t xml:space="preserve">investissement et de financement et le montant total de la trésorerie à la fin de </w:t>
      </w:r>
      <w:r w:rsidRPr="00DD066D">
        <w:rPr>
          <w:color w:val="000000"/>
        </w:rPr>
        <w:t>l</w:t>
      </w:r>
      <w:r w:rsidR="001B30ED">
        <w:rPr>
          <w:color w:val="000000"/>
        </w:rPr>
        <w:t>'</w:t>
      </w:r>
      <w:r w:rsidRPr="00DD066D">
        <w:rPr>
          <w:color w:val="000000"/>
        </w:rPr>
        <w:t>exercice</w:t>
      </w:r>
      <w:r w:rsidRPr="00DD066D">
        <w:rPr>
          <w:spacing w:val="1"/>
        </w:rPr>
        <w:t>.</w:t>
      </w:r>
    </w:p>
    <w:p w14:paraId="7D8F96B5" w14:textId="77B53A8E" w:rsidR="00E12C40" w:rsidRPr="00DD066D" w:rsidRDefault="00E12C40" w:rsidP="00B53AD7">
      <w:pPr>
        <w:pStyle w:val="enumlev1"/>
        <w:spacing w:before="80"/>
      </w:pPr>
      <w:r w:rsidRPr="00DD066D">
        <w:t>•</w:t>
      </w:r>
      <w:r w:rsidRPr="00DD066D">
        <w:tab/>
        <w:t>Comparaison des montants budgétisés et des montants effectifs pour l</w:t>
      </w:r>
      <w:r w:rsidR="001B30ED">
        <w:t>'</w:t>
      </w:r>
      <w:r w:rsidRPr="00DD066D">
        <w:t>exercice</w:t>
      </w:r>
      <w:r w:rsidR="0018444B">
        <w:t> </w:t>
      </w:r>
      <w:r w:rsidRPr="00DD066D">
        <w:t>2017.</w:t>
      </w:r>
    </w:p>
    <w:p w14:paraId="0895AA66" w14:textId="77777777" w:rsidR="00E12C40" w:rsidRPr="00DD066D" w:rsidRDefault="00E12C40" w:rsidP="00B53AD7">
      <w:pPr>
        <w:pStyle w:val="enumlev1"/>
        <w:spacing w:before="80"/>
      </w:pPr>
      <w:r w:rsidRPr="00DD066D">
        <w:t>•</w:t>
      </w:r>
      <w:r w:rsidRPr="00DD066D">
        <w:tab/>
        <w:t>Notes relatives aux états financiers, donnant des renseignements sur les politiques comptables et les autres renseignements nécessaires à une présentation correcte.</w:t>
      </w:r>
    </w:p>
    <w:p w14:paraId="70B6BC48" w14:textId="0CE6B227" w:rsidR="00E12C40" w:rsidRPr="007345C9" w:rsidRDefault="00E12C40" w:rsidP="007345C9">
      <w:pPr>
        <w:pStyle w:val="Heading1"/>
        <w:spacing w:before="240"/>
        <w:rPr>
          <w:sz w:val="24"/>
          <w:szCs w:val="24"/>
        </w:rPr>
      </w:pPr>
      <w:bookmarkStart w:id="89" w:name="_Toc358123265"/>
      <w:bookmarkStart w:id="90" w:name="_Toc396386928"/>
      <w:bookmarkStart w:id="91" w:name="_Toc396387815"/>
      <w:bookmarkStart w:id="92" w:name="_Toc396387929"/>
      <w:bookmarkStart w:id="93" w:name="_Toc398277614"/>
      <w:bookmarkStart w:id="94" w:name="_Toc419407156"/>
      <w:bookmarkStart w:id="95" w:name="_Toc452140195"/>
      <w:bookmarkStart w:id="96" w:name="_Toc482958303"/>
      <w:bookmarkStart w:id="97" w:name="_Toc482966348"/>
      <w:bookmarkStart w:id="98" w:name="_Toc482967230"/>
      <w:bookmarkStart w:id="99" w:name="_Toc522685290"/>
      <w:bookmarkStart w:id="100" w:name="_Toc356330870"/>
      <w:r w:rsidRPr="007345C9">
        <w:rPr>
          <w:sz w:val="24"/>
          <w:szCs w:val="24"/>
        </w:rPr>
        <w:t>ETAT DE LA SITUATION FINANCIÈRE</w:t>
      </w:r>
      <w:r w:rsidR="0018444B" w:rsidRPr="007345C9">
        <w:rPr>
          <w:sz w:val="24"/>
          <w:szCs w:val="24"/>
        </w:rPr>
        <w:t> </w:t>
      </w:r>
      <w:r w:rsidRPr="007345C9">
        <w:rPr>
          <w:sz w:val="24"/>
          <w:szCs w:val="24"/>
        </w:rPr>
        <w:t>201</w:t>
      </w:r>
      <w:bookmarkEnd w:id="89"/>
      <w:bookmarkEnd w:id="90"/>
      <w:bookmarkEnd w:id="91"/>
      <w:bookmarkEnd w:id="92"/>
      <w:bookmarkEnd w:id="93"/>
      <w:bookmarkEnd w:id="94"/>
      <w:bookmarkEnd w:id="95"/>
      <w:bookmarkEnd w:id="96"/>
      <w:bookmarkEnd w:id="97"/>
      <w:bookmarkEnd w:id="98"/>
      <w:r w:rsidRPr="007345C9">
        <w:rPr>
          <w:sz w:val="24"/>
          <w:szCs w:val="24"/>
        </w:rPr>
        <w:t>7</w:t>
      </w:r>
      <w:bookmarkEnd w:id="99"/>
    </w:p>
    <w:p w14:paraId="2D61FCF6" w14:textId="77777777" w:rsidR="00E12C40" w:rsidRPr="00DD066D" w:rsidRDefault="00E12C40" w:rsidP="007345C9">
      <w:pPr>
        <w:pStyle w:val="Headingb"/>
      </w:pPr>
      <w:bookmarkStart w:id="101" w:name="_Toc358123266"/>
      <w:bookmarkStart w:id="102" w:name="_Toc396386929"/>
      <w:bookmarkStart w:id="103" w:name="_Toc396387816"/>
      <w:bookmarkStart w:id="104" w:name="_Toc396387930"/>
      <w:bookmarkStart w:id="105" w:name="_Toc398277615"/>
      <w:bookmarkStart w:id="106" w:name="_Toc419407157"/>
      <w:bookmarkStart w:id="107" w:name="_Toc452140196"/>
      <w:bookmarkStart w:id="108" w:name="_Toc482958304"/>
      <w:bookmarkStart w:id="109" w:name="_Toc482966349"/>
      <w:bookmarkStart w:id="110" w:name="_Toc482967231"/>
      <w:bookmarkStart w:id="111" w:name="_Toc522685291"/>
      <w:bookmarkEnd w:id="100"/>
      <w:r w:rsidRPr="00DD066D">
        <w:t>ACTIFS</w:t>
      </w:r>
      <w:bookmarkEnd w:id="101"/>
      <w:bookmarkEnd w:id="102"/>
      <w:bookmarkEnd w:id="103"/>
      <w:bookmarkEnd w:id="104"/>
      <w:bookmarkEnd w:id="105"/>
      <w:bookmarkEnd w:id="106"/>
      <w:bookmarkEnd w:id="107"/>
      <w:bookmarkEnd w:id="108"/>
      <w:bookmarkEnd w:id="109"/>
      <w:bookmarkEnd w:id="110"/>
      <w:bookmarkEnd w:id="111"/>
    </w:p>
    <w:p w14:paraId="233224F0" w14:textId="26A5791F" w:rsidR="00654D20" w:rsidRPr="00DD066D" w:rsidRDefault="00654D20" w:rsidP="00B53AD7">
      <w:pPr>
        <w:spacing w:before="100"/>
      </w:pPr>
      <w:r w:rsidRPr="00DD066D">
        <w:t>2</w:t>
      </w:r>
      <w:r w:rsidRPr="00DD066D">
        <w:tab/>
        <w:t xml:space="preserve">En 2017, les actifs se sont chiffrés à 372,8 millions CHF, </w:t>
      </w:r>
      <w:r w:rsidR="009120F6" w:rsidRPr="00DD066D">
        <w:t>valeur comparable (</w:t>
      </w:r>
      <w:r w:rsidR="007345C9">
        <w:t>–</w:t>
      </w:r>
      <w:r w:rsidR="009120F6" w:rsidRPr="00DD066D">
        <w:t>0,1%) à celle</w:t>
      </w:r>
      <w:r w:rsidRPr="00DD066D">
        <w:t xml:space="preserve"> comptabilisée en 2016 (373 millions CHF).</w:t>
      </w:r>
    </w:p>
    <w:p w14:paraId="55BFCE2C" w14:textId="59FED573" w:rsidR="00654D20" w:rsidRPr="00DD066D" w:rsidRDefault="00654D20" w:rsidP="00B53AD7">
      <w:pPr>
        <w:spacing w:before="100"/>
      </w:pPr>
      <w:r w:rsidRPr="00DD066D">
        <w:t>3</w:t>
      </w:r>
      <w:r w:rsidRPr="00DD066D">
        <w:tab/>
        <w:t>Ces actifs comprenaient des actifs courants, d</w:t>
      </w:r>
      <w:r w:rsidR="001B30ED">
        <w:t>'</w:t>
      </w:r>
      <w:r w:rsidRPr="00DD066D">
        <w:t>un montant de</w:t>
      </w:r>
      <w:r w:rsidR="007345C9">
        <w:t xml:space="preserve"> 271,9 millions CHF, soit 72,9% </w:t>
      </w:r>
      <w:r w:rsidRPr="00DD066D">
        <w:t>du total des actifs (72,1% en 2016), et des actifs non courants, d</w:t>
      </w:r>
      <w:r w:rsidR="001B30ED">
        <w:t>'</w:t>
      </w:r>
      <w:r w:rsidR="007345C9">
        <w:t>un montant de 100,9 </w:t>
      </w:r>
      <w:r w:rsidRPr="00DD066D">
        <w:t>millions CHF, soit 27,1% du total des actifs (27,9% en 2016). Les bases de l</w:t>
      </w:r>
      <w:r w:rsidR="001B30ED">
        <w:t>'</w:t>
      </w:r>
      <w:r w:rsidRPr="00DD066D">
        <w:t>évaluation des actifs sont indiquées dans les principaux principes comptables (Note</w:t>
      </w:r>
      <w:r w:rsidR="0018444B">
        <w:t> </w:t>
      </w:r>
      <w:r w:rsidRPr="00DD066D">
        <w:t>2).</w:t>
      </w:r>
    </w:p>
    <w:p w14:paraId="3A5556A9" w14:textId="77777777" w:rsidR="00654D20" w:rsidRPr="00DD066D" w:rsidRDefault="00654D20" w:rsidP="007345C9">
      <w:pPr>
        <w:pStyle w:val="Headingb"/>
      </w:pPr>
      <w:bookmarkStart w:id="112" w:name="_Toc358123267"/>
      <w:bookmarkStart w:id="113" w:name="_Toc396386930"/>
      <w:bookmarkStart w:id="114" w:name="_Toc396387817"/>
      <w:bookmarkStart w:id="115" w:name="_Toc396387931"/>
      <w:bookmarkStart w:id="116" w:name="_Toc398277616"/>
      <w:bookmarkStart w:id="117" w:name="_Toc419407158"/>
      <w:bookmarkStart w:id="118" w:name="_Toc452140197"/>
      <w:bookmarkStart w:id="119" w:name="_Toc482958305"/>
      <w:bookmarkStart w:id="120" w:name="_Toc482966350"/>
      <w:bookmarkStart w:id="121" w:name="_Toc482967232"/>
      <w:bookmarkStart w:id="122" w:name="_Toc522685292"/>
      <w:r w:rsidRPr="00DD066D">
        <w:t>Actifs courants</w:t>
      </w:r>
      <w:bookmarkEnd w:id="112"/>
      <w:bookmarkEnd w:id="113"/>
      <w:bookmarkEnd w:id="114"/>
      <w:bookmarkEnd w:id="115"/>
      <w:bookmarkEnd w:id="116"/>
      <w:bookmarkEnd w:id="117"/>
      <w:bookmarkEnd w:id="118"/>
      <w:bookmarkEnd w:id="119"/>
      <w:bookmarkEnd w:id="120"/>
      <w:bookmarkEnd w:id="121"/>
      <w:bookmarkEnd w:id="122"/>
    </w:p>
    <w:p w14:paraId="76EA61B7" w14:textId="508BB5FF" w:rsidR="00654D20" w:rsidRPr="00DD066D" w:rsidRDefault="00654D20" w:rsidP="00B53AD7">
      <w:pPr>
        <w:spacing w:before="100"/>
      </w:pPr>
      <w:r w:rsidRPr="00DD066D">
        <w:t>4</w:t>
      </w:r>
      <w:r w:rsidRPr="00DD066D">
        <w:tab/>
        <w:t>Le total des actifs courants en 2017 s</w:t>
      </w:r>
      <w:r w:rsidR="001B30ED">
        <w:t>'</w:t>
      </w:r>
      <w:r w:rsidRPr="00DD066D">
        <w:t>est établi à 2</w:t>
      </w:r>
      <w:r w:rsidR="00A55BE4">
        <w:t>71,9 millions CHF, en hausse de </w:t>
      </w:r>
      <w:r w:rsidRPr="00DD066D">
        <w:t>3,0 millions CHF (+1,1%) par rapport à 2016 (268,9 millions CHF). Un examen de l</w:t>
      </w:r>
      <w:r w:rsidR="001B30ED">
        <w:t>'</w:t>
      </w:r>
      <w:r w:rsidRPr="00DD066D">
        <w:t>évolution des rubriques fait apparaître que la hausse globale résulte d</w:t>
      </w:r>
      <w:r w:rsidR="001B30ED">
        <w:t>'</w:t>
      </w:r>
      <w:r w:rsidRPr="00DD066D">
        <w:t xml:space="preserve">une augmentation de la trésorerie et des équivalents de trésorerie (+26,9 millions CHF), compensée par une diminution des placements (−33,6 millions CHF); les créances avec contrepartie directe </w:t>
      </w:r>
      <w:r w:rsidR="009120F6" w:rsidRPr="00DD066D">
        <w:t xml:space="preserve">sont restées stables </w:t>
      </w:r>
      <w:r w:rsidRPr="00DD066D">
        <w:t>(–0,1 million CHF), tandis que les créances sans contrepartie directe</w:t>
      </w:r>
      <w:r w:rsidR="009120F6" w:rsidRPr="00DD066D">
        <w:t xml:space="preserve"> ont augmenté</w:t>
      </w:r>
      <w:r w:rsidRPr="00DD066D">
        <w:t xml:space="preserve"> (</w:t>
      </w:r>
      <w:r w:rsidR="006102C2" w:rsidRPr="00DD066D">
        <w:t>+</w:t>
      </w:r>
      <w:r w:rsidRPr="00DD066D">
        <w:t xml:space="preserve">11,7 millions CHF); les autres créances ont </w:t>
      </w:r>
      <w:r w:rsidR="006102C2" w:rsidRPr="00DD066D">
        <w:t>diminué</w:t>
      </w:r>
      <w:r w:rsidR="00715DA0">
        <w:t xml:space="preserve"> (–1,</w:t>
      </w:r>
      <w:r w:rsidRPr="00DD066D">
        <w:t xml:space="preserve">9 million CHF), et la valeur pour les stocks est restée </w:t>
      </w:r>
      <w:r w:rsidR="008F3D3C">
        <w:t>presque</w:t>
      </w:r>
      <w:r w:rsidRPr="00DD066D">
        <w:t xml:space="preserve"> la même (+0,1 million CHF).</w:t>
      </w:r>
    </w:p>
    <w:p w14:paraId="18B39EE5" w14:textId="77777777" w:rsidR="00654D20" w:rsidRPr="00DD066D" w:rsidRDefault="00654D20" w:rsidP="007345C9">
      <w:pPr>
        <w:pStyle w:val="Headingb"/>
      </w:pPr>
      <w:bookmarkStart w:id="123" w:name="_Toc482958306"/>
      <w:bookmarkStart w:id="124" w:name="_Toc482966351"/>
      <w:bookmarkStart w:id="125" w:name="_Toc482967233"/>
      <w:bookmarkStart w:id="126" w:name="_Toc522685293"/>
      <w:r w:rsidRPr="00DD066D">
        <w:t>Trésorerie et équivalents de trésorerie</w:t>
      </w:r>
      <w:bookmarkEnd w:id="123"/>
      <w:bookmarkEnd w:id="124"/>
      <w:bookmarkEnd w:id="125"/>
      <w:bookmarkEnd w:id="126"/>
    </w:p>
    <w:p w14:paraId="3DE382F2" w14:textId="4C221B1C" w:rsidR="00654D20" w:rsidRPr="00DD066D" w:rsidRDefault="00654D20" w:rsidP="00B53AD7">
      <w:pPr>
        <w:spacing w:before="100"/>
      </w:pPr>
      <w:r w:rsidRPr="00DD066D">
        <w:t>5</w:t>
      </w:r>
      <w:r w:rsidRPr="00DD066D">
        <w:tab/>
        <w:t>La rubrique "</w:t>
      </w:r>
      <w:r w:rsidRPr="00DD066D">
        <w:rPr>
          <w:spacing w:val="6"/>
        </w:rPr>
        <w:t>Trésorerie et équivalents de trésorerie</w:t>
      </w:r>
      <w:r w:rsidRPr="00DD066D">
        <w:t>", qui représente au total 1</w:t>
      </w:r>
      <w:r w:rsidR="00B64DE8" w:rsidRPr="00DD066D">
        <w:t>35</w:t>
      </w:r>
      <w:r w:rsidRPr="00DD066D">
        <w:t>,</w:t>
      </w:r>
      <w:r w:rsidR="00B64DE8" w:rsidRPr="00DD066D">
        <w:t>3</w:t>
      </w:r>
      <w:r w:rsidRPr="00DD066D">
        <w:t xml:space="preserve"> millions CHF, a enregistré une hausse de </w:t>
      </w:r>
      <w:r w:rsidR="00B64DE8" w:rsidRPr="00DD066D">
        <w:t>24</w:t>
      </w:r>
      <w:r w:rsidRPr="00DD066D">
        <w:t>,</w:t>
      </w:r>
      <w:r w:rsidR="00B64DE8" w:rsidRPr="00DD066D">
        <w:t>8</w:t>
      </w:r>
      <w:r w:rsidRPr="00DD066D">
        <w:t>% par rapport à 201</w:t>
      </w:r>
      <w:r w:rsidR="00B64DE8" w:rsidRPr="00DD066D">
        <w:t>6</w:t>
      </w:r>
      <w:r w:rsidRPr="00DD066D">
        <w:t xml:space="preserve"> (</w:t>
      </w:r>
      <w:r w:rsidR="00B64DE8" w:rsidRPr="00DD066D">
        <w:t>108</w:t>
      </w:r>
      <w:r w:rsidRPr="00DD066D">
        <w:t>,</w:t>
      </w:r>
      <w:r w:rsidR="00B64DE8" w:rsidRPr="00DD066D">
        <w:t>4</w:t>
      </w:r>
      <w:r w:rsidRPr="00DD066D">
        <w:t xml:space="preserve"> millions CHF) et comprenait les fonds en caisse ainsi que tous les soldes des comptes courants postaux et bancaires de l</w:t>
      </w:r>
      <w:r w:rsidR="001B30ED">
        <w:t>'</w:t>
      </w:r>
      <w:r w:rsidRPr="00DD066D">
        <w:t xml:space="preserve">UIT au </w:t>
      </w:r>
      <w:r w:rsidRPr="00DD066D">
        <w:rPr>
          <w:spacing w:val="3"/>
        </w:rPr>
        <w:t>31 décembre</w:t>
      </w:r>
      <w:r w:rsidR="0018444B">
        <w:rPr>
          <w:spacing w:val="3"/>
        </w:rPr>
        <w:t> </w:t>
      </w:r>
      <w:r w:rsidRPr="00DD066D">
        <w:rPr>
          <w:spacing w:val="1"/>
        </w:rPr>
        <w:t>201</w:t>
      </w:r>
      <w:r w:rsidR="00B64DE8" w:rsidRPr="00DD066D">
        <w:rPr>
          <w:spacing w:val="1"/>
        </w:rPr>
        <w:t>7</w:t>
      </w:r>
      <w:r w:rsidRPr="00DD066D">
        <w:t>. Cette hausse est avant tout attribuable aux "Comptes courants bancaires en CHF" (+39,8 millions CHF), qui ont représenté environ 69,1% du total de la rubrique et aux "Comptes courants bancaires en devises" (+14,8 millions CHF), qui ont représenté environ 23,9% du total de la rubrique. Cette hausse s</w:t>
      </w:r>
      <w:r w:rsidR="001B30ED">
        <w:t>'</w:t>
      </w:r>
      <w:r w:rsidRPr="00DD066D">
        <w:t>explique par un transfert depuis la rubrique "Placements", dû à une politique de diversification mise en place en 2015. Une ventilation détaillée de la trésorerie et des équivalents de trésorerie figure dans la Note</w:t>
      </w:r>
      <w:r w:rsidR="0018444B">
        <w:t> </w:t>
      </w:r>
      <w:r w:rsidRPr="00DD066D">
        <w:t>6 du Rapport de gestion financière.</w:t>
      </w:r>
    </w:p>
    <w:p w14:paraId="5C2349E4" w14:textId="3BE0B280" w:rsidR="00654D20" w:rsidRPr="00DD066D" w:rsidRDefault="00654D20" w:rsidP="00B53AD7">
      <w:r w:rsidRPr="00DD066D">
        <w:t>6</w:t>
      </w:r>
      <w:r w:rsidRPr="00DD066D">
        <w:tab/>
        <w:t>Nous avons demandé à toutes les banques ayant des relations d</w:t>
      </w:r>
      <w:r w:rsidR="001B30ED">
        <w:t>'</w:t>
      </w:r>
      <w:r w:rsidRPr="00DD066D">
        <w:t>affaires avec l</w:t>
      </w:r>
      <w:r w:rsidR="001B30ED">
        <w:t>'</w:t>
      </w:r>
      <w:r w:rsidRPr="00DD066D">
        <w:t>UIT de confirmer les soldes des comptes courants au 31</w:t>
      </w:r>
      <w:r w:rsidR="0018444B">
        <w:t> </w:t>
      </w:r>
      <w:r w:rsidRPr="00DD066D">
        <w:t>décembre</w:t>
      </w:r>
      <w:r w:rsidR="0018444B">
        <w:t> </w:t>
      </w:r>
      <w:r w:rsidRPr="00DD066D">
        <w:t>201</w:t>
      </w:r>
      <w:r w:rsidR="00B64DE8" w:rsidRPr="00DD066D">
        <w:t>7</w:t>
      </w:r>
      <w:r w:rsidRPr="00DD066D">
        <w:t>. Nous avons vérifié que les soldes des comptes avaient été correctement comptabilisés dans ceux-ci. Tous les écarts constatés dans les confirmations des banques ont été expliqués et justifiés. Il convient de signaler que nous n</w:t>
      </w:r>
      <w:r w:rsidR="001B30ED">
        <w:t>'</w:t>
      </w:r>
      <w:r w:rsidRPr="00DD066D">
        <w:t xml:space="preserve">avons pas reçu de confirmation directe de la part de </w:t>
      </w:r>
      <w:r w:rsidR="006D7E99" w:rsidRPr="00DD066D">
        <w:t>deux</w:t>
      </w:r>
      <w:r w:rsidRPr="00DD066D">
        <w:t xml:space="preserve"> banques</w:t>
      </w:r>
      <w:r w:rsidR="00715DA0">
        <w:t>.</w:t>
      </w:r>
      <w:r w:rsidR="006D7E99" w:rsidRPr="00DD066D">
        <w:t xml:space="preserve"> </w:t>
      </w:r>
      <w:r w:rsidR="00361DFE" w:rsidRPr="00DD066D">
        <w:t>N</w:t>
      </w:r>
      <w:r w:rsidR="00C903A3" w:rsidRPr="00DD066D">
        <w:t>ous avons</w:t>
      </w:r>
      <w:r w:rsidR="00361DFE" w:rsidRPr="00DD066D">
        <w:t xml:space="preserve"> cependant</w:t>
      </w:r>
      <w:r w:rsidR="00C903A3" w:rsidRPr="00DD066D">
        <w:t xml:space="preserve"> noté une amélioration consta</w:t>
      </w:r>
      <w:r w:rsidR="00361DFE" w:rsidRPr="00DD066D">
        <w:t>nte de la situation par rapport</w:t>
      </w:r>
      <w:r w:rsidR="00C903A3" w:rsidRPr="00DD066D">
        <w:t xml:space="preserve"> aux années précédentes, et nous reconnaissons les efforts déployés par la direction de l</w:t>
      </w:r>
      <w:r w:rsidR="001B30ED">
        <w:t>'</w:t>
      </w:r>
      <w:r w:rsidR="00C903A3" w:rsidRPr="00DD066D">
        <w:t xml:space="preserve">UIT pour nous </w:t>
      </w:r>
      <w:r w:rsidR="00B6561E">
        <w:t>permettre d</w:t>
      </w:r>
      <w:r w:rsidR="001B30ED">
        <w:t>'</w:t>
      </w:r>
      <w:r w:rsidR="00B6561E">
        <w:t>obtenir</w:t>
      </w:r>
      <w:r w:rsidR="00C903A3" w:rsidRPr="00DD066D">
        <w:t xml:space="preserve"> l</w:t>
      </w:r>
      <w:r w:rsidR="001B30ED">
        <w:t>'</w:t>
      </w:r>
      <w:r w:rsidR="00C903A3" w:rsidRPr="00DD066D">
        <w:t>ensemble des confirmations</w:t>
      </w:r>
      <w:r w:rsidR="00715DA0" w:rsidRPr="00DD066D">
        <w:t xml:space="preserve">, </w:t>
      </w:r>
      <w:r w:rsidR="00715DA0">
        <w:t>même si les confirmations manquantes ont</w:t>
      </w:r>
      <w:r w:rsidR="00715DA0" w:rsidRPr="00DD066D">
        <w:t xml:space="preserve"> limité nos travaux dans ce domaine.</w:t>
      </w:r>
    </w:p>
    <w:p w14:paraId="50D690B6" w14:textId="6A9792BA" w:rsidR="00654D20" w:rsidRPr="00DD066D" w:rsidRDefault="00654D20" w:rsidP="00B53AD7">
      <w:r w:rsidRPr="00DD066D">
        <w:t>7</w:t>
      </w:r>
      <w:r w:rsidRPr="00DD066D">
        <w:tab/>
        <w:t>S</w:t>
      </w:r>
      <w:r w:rsidR="001B30ED">
        <w:t>'</w:t>
      </w:r>
      <w:r w:rsidRPr="00DD066D">
        <w:t>agissant des confirmations bancaires manquantes, la direction nous a fourni une copie des déclarations au 31</w:t>
      </w:r>
      <w:r w:rsidR="0018444B">
        <w:t> </w:t>
      </w:r>
      <w:r w:rsidRPr="00DD066D">
        <w:t>décembre</w:t>
      </w:r>
      <w:r w:rsidR="0018444B">
        <w:t> </w:t>
      </w:r>
      <w:r w:rsidRPr="00DD066D">
        <w:t>201</w:t>
      </w:r>
      <w:r w:rsidR="00B64DE8" w:rsidRPr="00DD066D">
        <w:t>7</w:t>
      </w:r>
      <w:r w:rsidRPr="00DD066D">
        <w:t xml:space="preserve"> pour toutes les banques susmentionnées et nous les avons utilisées pour effectuer les rapprochements. </w:t>
      </w:r>
    </w:p>
    <w:p w14:paraId="527A6AA3" w14:textId="0B151A37" w:rsidR="00B64DE8" w:rsidRPr="007345C9" w:rsidRDefault="00B64DE8" w:rsidP="007345C9">
      <w:pPr>
        <w:pStyle w:val="Headingb"/>
        <w:rPr>
          <w:bCs/>
          <w:i/>
          <w:iCs/>
        </w:rPr>
      </w:pPr>
      <w:bookmarkStart w:id="127" w:name="_Toc452140199"/>
      <w:bookmarkStart w:id="128" w:name="_Toc482967234"/>
      <w:bookmarkStart w:id="129" w:name="_Toc522685294"/>
      <w:r w:rsidRPr="007345C9">
        <w:rPr>
          <w:i/>
          <w:iCs/>
        </w:rPr>
        <w:t>Mise à jour des listes des signatures autorisées dans le cas d</w:t>
      </w:r>
      <w:r w:rsidR="001B30ED" w:rsidRPr="007345C9">
        <w:rPr>
          <w:i/>
          <w:iCs/>
        </w:rPr>
        <w:t>'</w:t>
      </w:r>
      <w:r w:rsidRPr="007345C9">
        <w:rPr>
          <w:i/>
          <w:iCs/>
        </w:rPr>
        <w:t>une banque</w:t>
      </w:r>
      <w:bookmarkEnd w:id="127"/>
      <w:bookmarkEnd w:id="128"/>
      <w:bookmarkEnd w:id="129"/>
    </w:p>
    <w:p w14:paraId="3D59C4DC" w14:textId="04CDD79E" w:rsidR="00B64DE8" w:rsidRPr="00DD066D" w:rsidRDefault="00B64DE8" w:rsidP="00B53AD7">
      <w:bookmarkStart w:id="130" w:name="_Toc452131647"/>
      <w:bookmarkStart w:id="131" w:name="_Toc452140200"/>
      <w:r w:rsidRPr="00DD066D">
        <w:t>8</w:t>
      </w:r>
      <w:r w:rsidRPr="00DD066D">
        <w:tab/>
        <w:t>Les vérifications que nous avons effectuées au sujet des confirmations des banques ont fait ressortir, comme pour les années précédentes, des différences entre les listes des signatures autorisées, tenues par la direction au siège de l</w:t>
      </w:r>
      <w:r w:rsidR="001B30ED">
        <w:t>'</w:t>
      </w:r>
      <w:r w:rsidRPr="00DD066D">
        <w:t>Union et les listes que nous avons reçues, telles qu</w:t>
      </w:r>
      <w:r w:rsidR="001B30ED">
        <w:t>'</w:t>
      </w:r>
      <w:r w:rsidRPr="00DD066D">
        <w:t>elles ont été déclarées par les banques. Etant donné que les confirmations n</w:t>
      </w:r>
      <w:r w:rsidR="001B30ED">
        <w:t>'</w:t>
      </w:r>
      <w:r w:rsidRPr="00DD066D">
        <w:t>avaient pas toutes été reçues, nous n</w:t>
      </w:r>
      <w:r w:rsidR="001B30ED">
        <w:t>'</w:t>
      </w:r>
      <w:r w:rsidRPr="00DD066D">
        <w:t>avons pas pu établir de conclusions concernant les signataires. Nous prenons note du fait que la direction a réagi rapidement, en prenant contact avec les banques afin de résoudre ces différences.</w:t>
      </w:r>
      <w:bookmarkEnd w:id="130"/>
      <w:bookmarkEnd w:id="131"/>
    </w:p>
    <w:p w14:paraId="37E1F700" w14:textId="77777777" w:rsidR="00B64DE8" w:rsidRPr="00DD066D" w:rsidRDefault="00B64DE8" w:rsidP="007345C9">
      <w:pPr>
        <w:pStyle w:val="Headingb"/>
        <w:rPr>
          <w:i/>
        </w:rPr>
      </w:pPr>
      <w:bookmarkStart w:id="132" w:name="_Toc452140201"/>
      <w:bookmarkStart w:id="133" w:name="_Toc482958307"/>
      <w:bookmarkStart w:id="134" w:name="_Toc482966352"/>
      <w:bookmarkStart w:id="135" w:name="_Toc482967235"/>
      <w:bookmarkStart w:id="136" w:name="_Toc522685295"/>
      <w:r w:rsidRPr="00DD066D">
        <w:t>Placements</w:t>
      </w:r>
      <w:bookmarkEnd w:id="132"/>
      <w:bookmarkEnd w:id="133"/>
      <w:bookmarkEnd w:id="134"/>
      <w:bookmarkEnd w:id="135"/>
      <w:bookmarkEnd w:id="136"/>
    </w:p>
    <w:p w14:paraId="72CD94FC" w14:textId="7374BD79" w:rsidR="00B64DE8" w:rsidRPr="00DD066D" w:rsidRDefault="00B64DE8" w:rsidP="0071366C">
      <w:r w:rsidRPr="00DD066D">
        <w:t>9</w:t>
      </w:r>
      <w:r w:rsidRPr="00DD066D">
        <w:tab/>
        <w:t>En 2017, la rubrique "Placements", d</w:t>
      </w:r>
      <w:r w:rsidR="001B30ED">
        <w:t>'</w:t>
      </w:r>
      <w:r w:rsidRPr="00DD066D">
        <w:t>un montant de 65</w:t>
      </w:r>
      <w:r w:rsidR="007A7CEC">
        <w:t>,0</w:t>
      </w:r>
      <w:r w:rsidRPr="00DD066D">
        <w:t> millions CHF, a enregistré une baisse de 33,6 millions CHF (</w:t>
      </w:r>
      <w:r w:rsidR="0071366C">
        <w:t>–</w:t>
      </w:r>
      <w:r w:rsidRPr="00DD066D">
        <w:t>51,7%) par rapport à 2016 (65,0 millions CHF) et comprenait les placements à terme à échéance maximale de six mois à compter du 31 décembre</w:t>
      </w:r>
      <w:r w:rsidR="0018444B">
        <w:t> </w:t>
      </w:r>
      <w:r w:rsidRPr="00DD066D">
        <w:t>2017. Le détail des placements à terme par échéance et la raison ayant motivé la décision de diminuer les placements en 2017 sont donnés dans la Note</w:t>
      </w:r>
      <w:r w:rsidR="0018444B">
        <w:t> </w:t>
      </w:r>
      <w:r w:rsidRPr="00DD066D">
        <w:t>7 du Rapport de gestion financière.</w:t>
      </w:r>
    </w:p>
    <w:p w14:paraId="53D98D85" w14:textId="6738DC9E" w:rsidR="00B64DE8" w:rsidRPr="00DD066D" w:rsidRDefault="00B64DE8" w:rsidP="00B53AD7">
      <w:r w:rsidRPr="00DD066D">
        <w:t>10</w:t>
      </w:r>
      <w:r w:rsidRPr="00DD066D">
        <w:tab/>
        <w:t>Dans la Note</w:t>
      </w:r>
      <w:r w:rsidR="0018444B">
        <w:t> </w:t>
      </w:r>
      <w:r w:rsidRPr="00DD066D">
        <w:t>2 du Rapport de gestion financière, relative aux principaux principes comptables, le paragraphe sur les instruments financiers donne des informations sur les placements. Conformément aux normes IPSAS, la Note 4 donne des informations sur la gestion des risques financiers, en particulier tous les placements sont exposés à un risque de crédit, ainsi qu</w:t>
      </w:r>
      <w:r w:rsidR="001B30ED">
        <w:t>'</w:t>
      </w:r>
      <w:r w:rsidRPr="00DD066D">
        <w:t>à des risques de taux d</w:t>
      </w:r>
      <w:r w:rsidR="001B30ED">
        <w:t>'</w:t>
      </w:r>
      <w:r w:rsidRPr="00DD066D">
        <w:t xml:space="preserve">intérêt, de liquidité et de marché. </w:t>
      </w:r>
    </w:p>
    <w:p w14:paraId="5C16F876" w14:textId="77777777" w:rsidR="00B64DE8" w:rsidRPr="00DD066D" w:rsidRDefault="00B64DE8" w:rsidP="007345C9">
      <w:pPr>
        <w:pStyle w:val="Headingb"/>
      </w:pPr>
      <w:bookmarkStart w:id="137" w:name="_Toc356330879"/>
      <w:bookmarkStart w:id="138" w:name="_Toc358123282"/>
      <w:bookmarkStart w:id="139" w:name="_Toc396386941"/>
      <w:bookmarkStart w:id="140" w:name="_Toc396387824"/>
      <w:bookmarkStart w:id="141" w:name="_Toc396387938"/>
      <w:bookmarkStart w:id="142" w:name="_Toc398277623"/>
      <w:bookmarkStart w:id="143" w:name="_Toc419407161"/>
      <w:bookmarkStart w:id="144" w:name="_Toc452140202"/>
      <w:bookmarkStart w:id="145" w:name="_Toc482958308"/>
      <w:bookmarkStart w:id="146" w:name="_Toc482966353"/>
      <w:bookmarkStart w:id="147" w:name="_Toc482967236"/>
      <w:bookmarkStart w:id="148" w:name="_Toc522685296"/>
      <w:r w:rsidRPr="00DD066D">
        <w:t>Créances</w:t>
      </w:r>
      <w:bookmarkEnd w:id="137"/>
      <w:bookmarkEnd w:id="138"/>
      <w:bookmarkEnd w:id="139"/>
      <w:bookmarkEnd w:id="140"/>
      <w:bookmarkEnd w:id="141"/>
      <w:bookmarkEnd w:id="142"/>
      <w:bookmarkEnd w:id="143"/>
      <w:bookmarkEnd w:id="144"/>
      <w:bookmarkEnd w:id="145"/>
      <w:bookmarkEnd w:id="146"/>
      <w:bookmarkEnd w:id="147"/>
      <w:bookmarkEnd w:id="148"/>
    </w:p>
    <w:p w14:paraId="7846BC34" w14:textId="6DC82BF0" w:rsidR="00B64DE8" w:rsidRPr="00DD066D" w:rsidRDefault="00B64DE8" w:rsidP="00B53AD7">
      <w:r w:rsidRPr="00DD066D">
        <w:t>11</w:t>
      </w:r>
      <w:r w:rsidRPr="00DD066D">
        <w:tab/>
        <w:t>Les créances courantes, qu</w:t>
      </w:r>
      <w:r w:rsidR="001B30ED">
        <w:t>'</w:t>
      </w:r>
      <w:r w:rsidRPr="00DD066D">
        <w:t>il s</w:t>
      </w:r>
      <w:r w:rsidR="001B30ED">
        <w:t>'</w:t>
      </w:r>
      <w:r w:rsidRPr="00DD066D">
        <w:t xml:space="preserve">agisse de créances avec contrepartie directe ou sans contrepartie directe, ont représenté en valeur nette un montant de 97,1 millions CHF en 2017, contre 85,5 millions CHF en 2016. Leur part dans le total des actifs courants a été de 35,7%, contre environ 31,8% en 2016. </w:t>
      </w:r>
    </w:p>
    <w:p w14:paraId="1F579846" w14:textId="77777777" w:rsidR="007345C9" w:rsidRDefault="007345C9" w:rsidP="00B53AD7">
      <w:r>
        <w:br w:type="page"/>
      </w:r>
    </w:p>
    <w:p w14:paraId="4CAF01F6" w14:textId="330A40B6" w:rsidR="00B64DE8" w:rsidRPr="00DD066D" w:rsidRDefault="00B64DE8" w:rsidP="00B53AD7">
      <w:r w:rsidRPr="00DD066D">
        <w:t>12</w:t>
      </w:r>
      <w:r w:rsidRPr="00DD066D">
        <w:tab/>
        <w:t>Comme indiqué dans la Note</w:t>
      </w:r>
      <w:r w:rsidR="0018444B">
        <w:t> </w:t>
      </w:r>
      <w:r w:rsidRPr="00DD066D">
        <w:t xml:space="preserve">8 du Rapport de gestion financière, ces créances représentent les produits non encore encaissés que les Etats </w:t>
      </w:r>
      <w:r w:rsidR="0003579F">
        <w:t>M</w:t>
      </w:r>
      <w:r w:rsidRPr="00DD066D">
        <w:t>embres, les Membres des Secteurs et les Associés se sont engagés à verser à l</w:t>
      </w:r>
      <w:r w:rsidR="001B30ED">
        <w:t>'</w:t>
      </w:r>
      <w:r w:rsidRPr="00DD066D">
        <w:t>UIT dans le cadre des contributions annuelles, de l</w:t>
      </w:r>
      <w:r w:rsidR="001B30ED">
        <w:t>'</w:t>
      </w:r>
      <w:r w:rsidRPr="00DD066D">
        <w:t>acquisition de publications et des notifications de réseaux à satellite et de factures diverses établies par l</w:t>
      </w:r>
      <w:r w:rsidR="001B30ED">
        <w:t>'</w:t>
      </w:r>
      <w:r w:rsidRPr="00DD066D">
        <w:t>UIT.</w:t>
      </w:r>
    </w:p>
    <w:p w14:paraId="70EB29EF" w14:textId="2FA4F3C0" w:rsidR="00B64DE8" w:rsidRPr="00DD066D" w:rsidRDefault="00B64DE8" w:rsidP="00B53AD7">
      <w:r w:rsidRPr="00DD066D">
        <w:t>13</w:t>
      </w:r>
      <w:r w:rsidRPr="00DD066D">
        <w:tab/>
        <w:t>L</w:t>
      </w:r>
      <w:r w:rsidR="00361DFE" w:rsidRPr="00DD066D">
        <w:t>es créances non courantes,</w:t>
      </w:r>
      <w:r w:rsidRPr="00DD066D">
        <w:t xml:space="preserve"> sans contrepartie directe</w:t>
      </w:r>
      <w:r w:rsidR="00361DFE" w:rsidRPr="00DD066D">
        <w:t xml:space="preserve"> uniquement</w:t>
      </w:r>
      <w:r w:rsidRPr="00DD066D">
        <w:t>, elles aussi décrites dans la Note</w:t>
      </w:r>
      <w:r w:rsidR="0018444B">
        <w:t> </w:t>
      </w:r>
      <w:r w:rsidRPr="00DD066D">
        <w:t>8, se sont chiffrées à 7,0 millions CHF (7,5 millions CHF en 2016). Une provision de 100% a été constituée au 31</w:t>
      </w:r>
      <w:r w:rsidR="0018444B">
        <w:t> </w:t>
      </w:r>
      <w:r w:rsidRPr="00DD066D">
        <w:t>décembre</w:t>
      </w:r>
      <w:r w:rsidR="0018444B">
        <w:t> </w:t>
      </w:r>
      <w:r w:rsidRPr="00DD066D">
        <w:t>2017, conformément aux principes décrits dans la Note</w:t>
      </w:r>
      <w:r w:rsidR="0018444B">
        <w:t> </w:t>
      </w:r>
      <w:r w:rsidRPr="00DD066D">
        <w:t xml:space="preserve">2 relative aux états financiers. </w:t>
      </w:r>
    </w:p>
    <w:p w14:paraId="08B4A16D" w14:textId="77777777" w:rsidR="007E6A3A" w:rsidRPr="00DD066D" w:rsidRDefault="007E6A3A" w:rsidP="007345C9">
      <w:pPr>
        <w:pStyle w:val="Headingb"/>
        <w:rPr>
          <w:spacing w:val="-1"/>
        </w:rPr>
      </w:pPr>
      <w:bookmarkStart w:id="149" w:name="_Toc358123283"/>
      <w:bookmarkStart w:id="150" w:name="_Toc396386942"/>
      <w:bookmarkStart w:id="151" w:name="_Toc396387825"/>
      <w:bookmarkStart w:id="152" w:name="_Toc396387939"/>
      <w:bookmarkStart w:id="153" w:name="_Toc398277624"/>
      <w:bookmarkStart w:id="154" w:name="_Toc419407162"/>
      <w:bookmarkStart w:id="155" w:name="_Toc452140203"/>
      <w:bookmarkStart w:id="156" w:name="_Toc482958309"/>
      <w:bookmarkStart w:id="157" w:name="_Toc482966354"/>
      <w:bookmarkStart w:id="158" w:name="_Toc482967237"/>
      <w:bookmarkStart w:id="159" w:name="_Toc522685297"/>
      <w:r w:rsidRPr="00DD066D">
        <w:t>Autres créances courantes</w:t>
      </w:r>
      <w:bookmarkEnd w:id="149"/>
      <w:bookmarkEnd w:id="150"/>
      <w:bookmarkEnd w:id="151"/>
      <w:bookmarkEnd w:id="152"/>
      <w:bookmarkEnd w:id="153"/>
      <w:bookmarkEnd w:id="154"/>
      <w:bookmarkEnd w:id="155"/>
      <w:bookmarkEnd w:id="156"/>
      <w:bookmarkEnd w:id="157"/>
      <w:bookmarkEnd w:id="158"/>
      <w:bookmarkEnd w:id="159"/>
    </w:p>
    <w:p w14:paraId="314BA167" w14:textId="2FCDFD24" w:rsidR="002341A6" w:rsidRPr="00DD066D" w:rsidRDefault="007E6A3A" w:rsidP="00B53AD7">
      <w:r w:rsidRPr="00DD066D">
        <w:t>14</w:t>
      </w:r>
      <w:r w:rsidRPr="00DD066D">
        <w:tab/>
        <w:t>Un montant de 7,5 millions CHF (9,4 millions CHF en 2016) figure au bilan de clôture en tant qu</w:t>
      </w:r>
      <w:r w:rsidR="001B30ED">
        <w:t>'</w:t>
      </w:r>
      <w:r w:rsidRPr="00DD066D">
        <w:t>autres créances. Le détail de cette rubrique est donné dans la Note</w:t>
      </w:r>
      <w:r w:rsidR="0018444B">
        <w:t> </w:t>
      </w:r>
      <w:r w:rsidRPr="00DD066D">
        <w:t xml:space="preserve">10 du Rapport de gestion financière. </w:t>
      </w:r>
      <w:r w:rsidR="00E95EE5">
        <w:t xml:space="preserve">Le montant le plus </w:t>
      </w:r>
      <w:r w:rsidR="002341A6" w:rsidRPr="00DD066D">
        <w:t>élevé est comptabilisé sous</w:t>
      </w:r>
      <w:r w:rsidR="0015238B">
        <w:t xml:space="preserve"> les</w:t>
      </w:r>
      <w:r w:rsidR="002341A6" w:rsidRPr="00DD066D">
        <w:t xml:space="preserve"> </w:t>
      </w:r>
      <w:r w:rsidR="0018444B">
        <w:t>"</w:t>
      </w:r>
      <w:r w:rsidR="002341A6" w:rsidRPr="00DD066D">
        <w:t>actifs transitoires</w:t>
      </w:r>
      <w:r w:rsidR="0018444B">
        <w:t>"</w:t>
      </w:r>
      <w:r w:rsidR="00EB7DED" w:rsidRPr="00DD066D">
        <w:t xml:space="preserve">, qui représentaient principalement les </w:t>
      </w:r>
      <w:r w:rsidR="00EB7DED" w:rsidRPr="00DD066D">
        <w:rPr>
          <w:rStyle w:val="bri2"/>
        </w:rPr>
        <w:t>charges payées</w:t>
      </w:r>
      <w:r w:rsidR="00EB7DED" w:rsidRPr="00DD066D">
        <w:t xml:space="preserve"> à l</w:t>
      </w:r>
      <w:r w:rsidR="001B30ED">
        <w:t>'</w:t>
      </w:r>
      <w:r w:rsidR="00EB7DED" w:rsidRPr="00DD066D">
        <w:t>avance concernant le budget</w:t>
      </w:r>
      <w:r w:rsidR="0015238B">
        <w:t xml:space="preserve"> de</w:t>
      </w:r>
      <w:r w:rsidR="00EB7DED" w:rsidRPr="00DD066D">
        <w:t xml:space="preserve"> 2017.</w:t>
      </w:r>
    </w:p>
    <w:p w14:paraId="12AFE371" w14:textId="77777777" w:rsidR="007E6A3A" w:rsidRPr="00DD066D" w:rsidRDefault="007E6A3A" w:rsidP="007345C9">
      <w:pPr>
        <w:pStyle w:val="Headingb"/>
      </w:pPr>
      <w:bookmarkStart w:id="160" w:name="_Toc358123284"/>
      <w:bookmarkStart w:id="161" w:name="_Toc396386943"/>
      <w:bookmarkStart w:id="162" w:name="_Toc396387826"/>
      <w:bookmarkStart w:id="163" w:name="_Toc396387940"/>
      <w:bookmarkStart w:id="164" w:name="_Toc398277625"/>
      <w:bookmarkStart w:id="165" w:name="_Toc419407163"/>
      <w:bookmarkStart w:id="166" w:name="_Toc452140204"/>
      <w:bookmarkStart w:id="167" w:name="_Toc482958310"/>
      <w:bookmarkStart w:id="168" w:name="_Toc482966355"/>
      <w:bookmarkStart w:id="169" w:name="_Toc482967238"/>
      <w:bookmarkStart w:id="170" w:name="_Toc522685298"/>
      <w:r w:rsidRPr="00DD066D">
        <w:t>Stocks</w:t>
      </w:r>
      <w:bookmarkEnd w:id="160"/>
      <w:bookmarkEnd w:id="161"/>
      <w:bookmarkEnd w:id="162"/>
      <w:bookmarkEnd w:id="163"/>
      <w:bookmarkEnd w:id="164"/>
      <w:bookmarkEnd w:id="165"/>
      <w:bookmarkEnd w:id="166"/>
      <w:bookmarkEnd w:id="167"/>
      <w:bookmarkEnd w:id="168"/>
      <w:bookmarkEnd w:id="169"/>
      <w:bookmarkEnd w:id="170"/>
    </w:p>
    <w:p w14:paraId="24D2F1A5" w14:textId="0125469D" w:rsidR="009735B7" w:rsidRPr="00DD066D" w:rsidRDefault="007E6A3A" w:rsidP="00B53AD7">
      <w:r w:rsidRPr="00DD066D">
        <w:t>15</w:t>
      </w:r>
      <w:r w:rsidRPr="00DD066D">
        <w:tab/>
        <w:t xml:space="preserve">En 2017, les articles correspondant aux publications, souvenirs et fournitures ont représenté en valeur nette un montant de 0,66 million CHF, en </w:t>
      </w:r>
      <w:r w:rsidR="009735B7" w:rsidRPr="00DD066D">
        <w:t>hausse</w:t>
      </w:r>
      <w:r w:rsidRPr="00DD066D">
        <w:t xml:space="preserve"> de 0,11 million CHF par rapport à la valeur nette enregistrée en 2016 (0,55 million CHF). Les stocks sont présentés de manière détaillée dans la Note</w:t>
      </w:r>
      <w:r w:rsidR="0018444B">
        <w:t> </w:t>
      </w:r>
      <w:r w:rsidRPr="00DD066D">
        <w:t>9 d</w:t>
      </w:r>
      <w:r w:rsidR="00E63CF7">
        <w:t>u Rapport de gestion financière</w:t>
      </w:r>
      <w:r w:rsidR="009735B7" w:rsidRPr="00DD066D">
        <w:t xml:space="preserve">, qui montre que </w:t>
      </w:r>
      <w:r w:rsidR="00867577">
        <w:t>cette hausse</w:t>
      </w:r>
      <w:r w:rsidR="009735B7" w:rsidRPr="00DD066D">
        <w:t xml:space="preserve"> est principalement due à l</w:t>
      </w:r>
      <w:r w:rsidR="001B30ED">
        <w:t>'</w:t>
      </w:r>
      <w:r w:rsidR="009735B7" w:rsidRPr="00DD066D">
        <w:t>augmentation du nombre de publications.</w:t>
      </w:r>
    </w:p>
    <w:p w14:paraId="3EB260F0" w14:textId="77777777" w:rsidR="00EA5928" w:rsidRPr="00DD066D" w:rsidRDefault="00EA5928" w:rsidP="007345C9">
      <w:pPr>
        <w:pStyle w:val="Headingb"/>
      </w:pPr>
      <w:bookmarkStart w:id="171" w:name="_Toc358123285"/>
      <w:bookmarkStart w:id="172" w:name="_Toc396386944"/>
      <w:bookmarkStart w:id="173" w:name="_Toc396387827"/>
      <w:bookmarkStart w:id="174" w:name="_Toc396387941"/>
      <w:bookmarkStart w:id="175" w:name="_Toc398277626"/>
      <w:bookmarkStart w:id="176" w:name="_Toc419407164"/>
      <w:bookmarkStart w:id="177" w:name="_Toc452140205"/>
      <w:bookmarkStart w:id="178" w:name="_Toc482958311"/>
      <w:bookmarkStart w:id="179" w:name="_Toc482966356"/>
      <w:bookmarkStart w:id="180" w:name="_Toc482967239"/>
      <w:bookmarkStart w:id="181" w:name="_Toc522685299"/>
      <w:r w:rsidRPr="00DD066D">
        <w:t>Actifs non courants</w:t>
      </w:r>
      <w:bookmarkEnd w:id="171"/>
      <w:bookmarkEnd w:id="172"/>
      <w:bookmarkEnd w:id="173"/>
      <w:bookmarkEnd w:id="174"/>
      <w:bookmarkEnd w:id="175"/>
      <w:bookmarkEnd w:id="176"/>
      <w:bookmarkEnd w:id="177"/>
      <w:bookmarkEnd w:id="178"/>
      <w:bookmarkEnd w:id="179"/>
      <w:bookmarkEnd w:id="180"/>
      <w:bookmarkEnd w:id="181"/>
    </w:p>
    <w:p w14:paraId="210EF54D" w14:textId="7CC91BE8" w:rsidR="00AC0BBE" w:rsidRPr="00DD066D" w:rsidRDefault="00EA5928" w:rsidP="00B53AD7">
      <w:r w:rsidRPr="00DD066D">
        <w:rPr>
          <w:spacing w:val="-2"/>
        </w:rPr>
        <w:t>16</w:t>
      </w:r>
      <w:r w:rsidRPr="00DD066D">
        <w:rPr>
          <w:spacing w:val="-2"/>
        </w:rPr>
        <w:tab/>
        <w:t xml:space="preserve">Les actifs non courants </w:t>
      </w:r>
      <w:r w:rsidRPr="00DD066D">
        <w:t>au 31</w:t>
      </w:r>
      <w:r w:rsidR="0018444B">
        <w:t> </w:t>
      </w:r>
      <w:r w:rsidRPr="00DD066D">
        <w:t>décembre</w:t>
      </w:r>
      <w:r w:rsidR="0018444B">
        <w:t> </w:t>
      </w:r>
      <w:r w:rsidRPr="00DD066D">
        <w:t>2017 se sont élevés à un total de 100,9 millions CHF, en baisse de 3,2 millions CHF (–3,1%) par rapport à 2016 (104,1</w:t>
      </w:r>
      <w:r w:rsidR="00AC0BBE" w:rsidRPr="00DD066D">
        <w:t xml:space="preserve"> millions CHF) </w:t>
      </w:r>
      <w:r w:rsidRPr="00DD066D">
        <w:t>en raison des amortissements des bâtiments de l</w:t>
      </w:r>
      <w:r w:rsidR="001B30ED">
        <w:t>'</w:t>
      </w:r>
      <w:r w:rsidRPr="00DD066D">
        <w:t xml:space="preserve">UIT </w:t>
      </w:r>
      <w:r w:rsidR="00AC0BBE" w:rsidRPr="00DD066D">
        <w:t xml:space="preserve">et de la </w:t>
      </w:r>
      <w:r w:rsidR="00867577">
        <w:t>baisse de valeur</w:t>
      </w:r>
      <w:r w:rsidR="00AC0BBE" w:rsidRPr="00DD066D">
        <w:t xml:space="preserve"> des immobilisations incorporelles.</w:t>
      </w:r>
    </w:p>
    <w:p w14:paraId="0494F151" w14:textId="56710F90" w:rsidR="00294FA0" w:rsidRPr="00DD066D" w:rsidRDefault="00EA5928" w:rsidP="00B53AD7">
      <w:r w:rsidRPr="00DD066D">
        <w:t>1</w:t>
      </w:r>
      <w:r w:rsidR="00A9110A" w:rsidRPr="00DD066D">
        <w:t>7</w:t>
      </w:r>
      <w:r w:rsidRPr="00DD066D">
        <w:tab/>
        <w:t xml:space="preserve">Cette rubrique comprenait les "Immobilisations corporelles" se chiffrant à </w:t>
      </w:r>
      <w:r w:rsidR="00A9110A" w:rsidRPr="00DD066D">
        <w:t>99</w:t>
      </w:r>
      <w:r w:rsidRPr="00DD066D">
        <w:t>,</w:t>
      </w:r>
      <w:r w:rsidR="00A9110A" w:rsidRPr="00DD066D">
        <w:t>0</w:t>
      </w:r>
      <w:r w:rsidRPr="00DD066D">
        <w:t> millions CHF, soit 9</w:t>
      </w:r>
      <w:r w:rsidR="00A9110A" w:rsidRPr="00DD066D">
        <w:t>8</w:t>
      </w:r>
      <w:r w:rsidRPr="00DD066D">
        <w:t>,</w:t>
      </w:r>
      <w:r w:rsidR="00A9110A" w:rsidRPr="00DD066D">
        <w:t>1</w:t>
      </w:r>
      <w:r w:rsidRPr="00DD066D">
        <w:t>% du total des actifs non courants (en 201</w:t>
      </w:r>
      <w:r w:rsidR="00A9110A" w:rsidRPr="00DD066D">
        <w:t>6</w:t>
      </w:r>
      <w:r w:rsidRPr="00DD066D">
        <w:t>, le chiffre était de 10</w:t>
      </w:r>
      <w:r w:rsidR="00A9110A" w:rsidRPr="00DD066D">
        <w:t>1</w:t>
      </w:r>
      <w:r w:rsidRPr="00DD066D">
        <w:t>,</w:t>
      </w:r>
      <w:r w:rsidR="00A9110A" w:rsidRPr="00DD066D">
        <w:t>4</w:t>
      </w:r>
      <w:r w:rsidRPr="00DD066D">
        <w:t> millions CHF, soit 97</w:t>
      </w:r>
      <w:r w:rsidR="00A9110A" w:rsidRPr="00DD066D">
        <w:t>,5</w:t>
      </w:r>
      <w:r w:rsidRPr="00DD066D">
        <w:t>% du t</w:t>
      </w:r>
      <w:r w:rsidR="003E39B6" w:rsidRPr="00DD066D">
        <w:t>otal des actifs non courants),</w:t>
      </w:r>
      <w:r w:rsidRPr="00DD066D">
        <w:t xml:space="preserve"> les "Immobilisations incorporelles" se chiffrant à </w:t>
      </w:r>
      <w:r w:rsidR="00A9110A" w:rsidRPr="00DD066D">
        <w:t>1</w:t>
      </w:r>
      <w:r w:rsidRPr="00DD066D">
        <w:t>,</w:t>
      </w:r>
      <w:r w:rsidR="00A9110A" w:rsidRPr="00DD066D">
        <w:t>0</w:t>
      </w:r>
      <w:r w:rsidR="003E39B6" w:rsidRPr="00DD066D">
        <w:t> million</w:t>
      </w:r>
      <w:r w:rsidRPr="00DD066D">
        <w:t xml:space="preserve"> CHF, soit </w:t>
      </w:r>
      <w:r w:rsidR="00A9110A" w:rsidRPr="00DD066D">
        <w:t>1</w:t>
      </w:r>
      <w:r w:rsidRPr="00DD066D">
        <w:t>,</w:t>
      </w:r>
      <w:r w:rsidR="00A9110A" w:rsidRPr="00DD066D">
        <w:t>0</w:t>
      </w:r>
      <w:r w:rsidRPr="00DD066D">
        <w:t>% du total (en 201</w:t>
      </w:r>
      <w:r w:rsidR="00A9110A" w:rsidRPr="00DD066D">
        <w:t>6</w:t>
      </w:r>
      <w:r w:rsidRPr="00DD066D">
        <w:t xml:space="preserve">, le chiffre était de </w:t>
      </w:r>
      <w:r w:rsidR="00A9110A" w:rsidRPr="00DD066D">
        <w:t>2</w:t>
      </w:r>
      <w:r w:rsidRPr="00DD066D">
        <w:t>,</w:t>
      </w:r>
      <w:r w:rsidR="00A9110A" w:rsidRPr="00DD066D">
        <w:t>6</w:t>
      </w:r>
      <w:r w:rsidRPr="00DD066D">
        <w:t xml:space="preserve"> millions CHF, soit </w:t>
      </w:r>
      <w:r w:rsidR="00A9110A" w:rsidRPr="00DD066D">
        <w:t>2</w:t>
      </w:r>
      <w:r w:rsidRPr="00DD066D">
        <w:t>,</w:t>
      </w:r>
      <w:r w:rsidR="00A9110A" w:rsidRPr="00DD066D">
        <w:t>5</w:t>
      </w:r>
      <w:r w:rsidRPr="00DD066D">
        <w:t>% du total)</w:t>
      </w:r>
      <w:r w:rsidR="00A9110A" w:rsidRPr="00DD066D">
        <w:t xml:space="preserve"> </w:t>
      </w:r>
      <w:r w:rsidR="00294FA0" w:rsidRPr="00DD066D">
        <w:t>et</w:t>
      </w:r>
      <w:r w:rsidR="003E39B6" w:rsidRPr="00DD066D">
        <w:t xml:space="preserve"> les</w:t>
      </w:r>
      <w:r w:rsidR="00946F2E">
        <w:t xml:space="preserve"> </w:t>
      </w:r>
      <w:r w:rsidR="0018444B">
        <w:t>"</w:t>
      </w:r>
      <w:r w:rsidR="00946F2E">
        <w:t>B</w:t>
      </w:r>
      <w:r w:rsidR="00294FA0" w:rsidRPr="00DD066D">
        <w:t>iens en construction</w:t>
      </w:r>
      <w:r w:rsidR="0018444B">
        <w:t>"</w:t>
      </w:r>
      <w:r w:rsidR="00294FA0" w:rsidRPr="00DD066D">
        <w:t xml:space="preserve">, qui en 2016 étaient considérés comme des immobilisations incorporelles et en </w:t>
      </w:r>
      <w:r w:rsidR="005D6DA1">
        <w:t>2017 se montaient à 0,9 million</w:t>
      </w:r>
      <w:r w:rsidR="00294FA0" w:rsidRPr="00DD066D">
        <w:t xml:space="preserve"> CHF, soit 0,9% des actifs non courants.</w:t>
      </w:r>
      <w:r w:rsidR="00946F2E">
        <w:t xml:space="preserve"> Les</w:t>
      </w:r>
      <w:r w:rsidR="00A9110A" w:rsidRPr="00DD066D">
        <w:t xml:space="preserve"> </w:t>
      </w:r>
      <w:r w:rsidR="00294FA0" w:rsidRPr="00DD066D">
        <w:t>deux premières rubriques</w:t>
      </w:r>
      <w:r w:rsidRPr="00DD066D">
        <w:t xml:space="preserve"> sont décrites respectivement dans les Notes</w:t>
      </w:r>
      <w:r w:rsidR="0018444B">
        <w:t> </w:t>
      </w:r>
      <w:r w:rsidRPr="00DD066D">
        <w:t>11 et 12 du Rapport de gestion financière.</w:t>
      </w:r>
      <w:r w:rsidR="00A9110A" w:rsidRPr="00DD066D">
        <w:t xml:space="preserve"> </w:t>
      </w:r>
      <w:r w:rsidR="00946F2E">
        <w:t>La Note</w:t>
      </w:r>
      <w:r w:rsidR="0018444B">
        <w:t> </w:t>
      </w:r>
      <w:r w:rsidR="00946F2E">
        <w:t xml:space="preserve">13 décrit la rubrique </w:t>
      </w:r>
      <w:r w:rsidR="0018444B">
        <w:t>"</w:t>
      </w:r>
      <w:r w:rsidR="00946F2E">
        <w:t>B</w:t>
      </w:r>
      <w:r w:rsidR="00294FA0" w:rsidRPr="00DD066D">
        <w:t>iens en construction</w:t>
      </w:r>
      <w:r w:rsidR="0018444B">
        <w:t>"</w:t>
      </w:r>
      <w:r w:rsidR="00294FA0" w:rsidRPr="00DD066D">
        <w:t xml:space="preserve">, </w:t>
      </w:r>
      <w:r w:rsidR="00946F2E">
        <w:t>sous</w:t>
      </w:r>
      <w:r w:rsidR="00294FA0" w:rsidRPr="00DD066D">
        <w:t xml:space="preserve"> laquelle le montant indiqué fait seulement référence aux </w:t>
      </w:r>
      <w:r w:rsidR="0018444B">
        <w:t>"</w:t>
      </w:r>
      <w:r w:rsidR="00294FA0" w:rsidRPr="00DD066D">
        <w:t>Autres biens en construction</w:t>
      </w:r>
      <w:r w:rsidR="0018444B">
        <w:t>"</w:t>
      </w:r>
      <w:r w:rsidR="00294FA0" w:rsidRPr="00DD066D">
        <w:t>.</w:t>
      </w:r>
    </w:p>
    <w:p w14:paraId="57504F57" w14:textId="77777777" w:rsidR="006F7215" w:rsidRPr="00DD066D" w:rsidRDefault="006F7215" w:rsidP="007345C9">
      <w:pPr>
        <w:pStyle w:val="Headingb"/>
      </w:pPr>
      <w:bookmarkStart w:id="182" w:name="_Toc358123286"/>
      <w:bookmarkStart w:id="183" w:name="_Toc396386945"/>
      <w:bookmarkStart w:id="184" w:name="_Toc396387828"/>
      <w:bookmarkStart w:id="185" w:name="_Toc396387942"/>
      <w:bookmarkStart w:id="186" w:name="_Toc398277627"/>
      <w:bookmarkStart w:id="187" w:name="_Toc419407165"/>
      <w:bookmarkStart w:id="188" w:name="_Toc452140206"/>
      <w:bookmarkStart w:id="189" w:name="_Toc482958312"/>
      <w:bookmarkStart w:id="190" w:name="_Toc482966357"/>
      <w:bookmarkStart w:id="191" w:name="_Toc482967240"/>
      <w:bookmarkStart w:id="192" w:name="_Toc522685300"/>
      <w:bookmarkStart w:id="193" w:name="_Ref355125291"/>
      <w:r w:rsidRPr="00DD066D">
        <w:t>Immobilisations corporelles</w:t>
      </w:r>
      <w:bookmarkEnd w:id="182"/>
      <w:bookmarkEnd w:id="183"/>
      <w:bookmarkEnd w:id="184"/>
      <w:bookmarkEnd w:id="185"/>
      <w:bookmarkEnd w:id="186"/>
      <w:bookmarkEnd w:id="187"/>
      <w:bookmarkEnd w:id="188"/>
      <w:bookmarkEnd w:id="189"/>
      <w:bookmarkEnd w:id="190"/>
      <w:bookmarkEnd w:id="191"/>
      <w:bookmarkEnd w:id="192"/>
      <w:r w:rsidRPr="00DD066D">
        <w:t xml:space="preserve"> </w:t>
      </w:r>
    </w:p>
    <w:p w14:paraId="3F0095B2" w14:textId="75953EAA" w:rsidR="006F7215" w:rsidRPr="00DD066D" w:rsidRDefault="006F7215" w:rsidP="00B53AD7">
      <w:r w:rsidRPr="00DD066D">
        <w:t>18</w:t>
      </w:r>
      <w:r w:rsidRPr="00DD066D">
        <w:tab/>
        <w:t xml:space="preserve">Les immobilisations corporelles ont représenté en valeur un montant de </w:t>
      </w:r>
      <w:r w:rsidR="002806AE" w:rsidRPr="00DD066D">
        <w:t>99</w:t>
      </w:r>
      <w:r w:rsidRPr="00DD066D">
        <w:t>,</w:t>
      </w:r>
      <w:r w:rsidR="002806AE" w:rsidRPr="00DD066D">
        <w:t>0</w:t>
      </w:r>
      <w:r w:rsidRPr="00DD066D">
        <w:t xml:space="preserve"> millions CHF, qui était la valeur nette au 31</w:t>
      </w:r>
      <w:r w:rsidR="0018444B">
        <w:t> </w:t>
      </w:r>
      <w:r w:rsidRPr="00DD066D">
        <w:t>décembre</w:t>
      </w:r>
      <w:r w:rsidR="0018444B">
        <w:t> </w:t>
      </w:r>
      <w:r w:rsidRPr="00DD066D">
        <w:t>201</w:t>
      </w:r>
      <w:r w:rsidR="002806AE" w:rsidRPr="00DD066D">
        <w:t>7</w:t>
      </w:r>
      <w:r w:rsidRPr="00DD066D">
        <w:t xml:space="preserve"> du coût capitalisé déduction faite des amortissements correspondants pour chacune des catégories suivantes: bâtiments (une valeur nette de </w:t>
      </w:r>
      <w:r w:rsidR="002806AE" w:rsidRPr="00DD066D">
        <w:t>97</w:t>
      </w:r>
      <w:r w:rsidRPr="00DD066D">
        <w:t>,</w:t>
      </w:r>
      <w:r w:rsidR="002806AE" w:rsidRPr="00DD066D">
        <w:t>7</w:t>
      </w:r>
      <w:r w:rsidRPr="00DD066D">
        <w:t xml:space="preserve"> millions CHF a été comptabilisée en 201</w:t>
      </w:r>
      <w:r w:rsidR="002806AE" w:rsidRPr="00DD066D">
        <w:t>7</w:t>
      </w:r>
      <w:r w:rsidRPr="00DD066D">
        <w:t>; 10</w:t>
      </w:r>
      <w:r w:rsidR="002806AE" w:rsidRPr="00DD066D">
        <w:t>0</w:t>
      </w:r>
      <w:r w:rsidRPr="00DD066D">
        <w:t>,</w:t>
      </w:r>
      <w:r w:rsidR="002806AE" w:rsidRPr="00DD066D">
        <w:t>6</w:t>
      </w:r>
      <w:r w:rsidRPr="00DD066D">
        <w:t xml:space="preserve"> millions CHF en 201</w:t>
      </w:r>
      <w:r w:rsidR="002806AE" w:rsidRPr="00DD066D">
        <w:t>6</w:t>
      </w:r>
      <w:r w:rsidRPr="00DD066D">
        <w:t>), machines</w:t>
      </w:r>
      <w:r w:rsidR="002522D6">
        <w:t xml:space="preserve"> </w:t>
      </w:r>
      <w:r w:rsidRPr="00DD066D">
        <w:t>(0,07 million CHF en 201</w:t>
      </w:r>
      <w:r w:rsidR="002806AE" w:rsidRPr="00DD066D">
        <w:t>7</w:t>
      </w:r>
      <w:r w:rsidRPr="00DD066D">
        <w:t xml:space="preserve">; </w:t>
      </w:r>
      <w:r w:rsidR="000D63F7" w:rsidRPr="00DD066D">
        <w:t>idem en</w:t>
      </w:r>
      <w:r w:rsidR="002806AE" w:rsidRPr="00DD066D">
        <w:t xml:space="preserve"> 2016</w:t>
      </w:r>
      <w:r w:rsidRPr="00DD066D">
        <w:t>), mobilier (0,0</w:t>
      </w:r>
      <w:r w:rsidR="002806AE" w:rsidRPr="00DD066D">
        <w:t>5</w:t>
      </w:r>
      <w:r w:rsidRPr="00DD066D">
        <w:t xml:space="preserve"> million CHF en 201</w:t>
      </w:r>
      <w:r w:rsidR="002806AE" w:rsidRPr="00DD066D">
        <w:t>7</w:t>
      </w:r>
      <w:r w:rsidRPr="00DD066D">
        <w:t>; 0,</w:t>
      </w:r>
      <w:r w:rsidR="002806AE" w:rsidRPr="00DD066D">
        <w:t>0</w:t>
      </w:r>
      <w:r w:rsidR="00956C43">
        <w:t>2 million CHF en </w:t>
      </w:r>
      <w:r w:rsidRPr="00DD066D">
        <w:t>201</w:t>
      </w:r>
      <w:r w:rsidR="002806AE" w:rsidRPr="00DD066D">
        <w:t>6</w:t>
      </w:r>
      <w:r w:rsidRPr="00DD066D">
        <w:t>), matériel informatique (</w:t>
      </w:r>
      <w:r w:rsidR="002806AE" w:rsidRPr="00DD066D">
        <w:t>1</w:t>
      </w:r>
      <w:r w:rsidRPr="00DD066D">
        <w:t>,</w:t>
      </w:r>
      <w:r w:rsidR="002806AE" w:rsidRPr="00DD066D">
        <w:t>1</w:t>
      </w:r>
      <w:r w:rsidRPr="00DD066D">
        <w:t xml:space="preserve"> million CHF en 201</w:t>
      </w:r>
      <w:r w:rsidR="002806AE" w:rsidRPr="00DD066D">
        <w:t>7</w:t>
      </w:r>
      <w:r w:rsidRPr="00DD066D">
        <w:t>; 0,7 million CHF en 201</w:t>
      </w:r>
      <w:r w:rsidR="002806AE" w:rsidRPr="00DD066D">
        <w:t>6</w:t>
      </w:r>
      <w:r w:rsidRPr="00DD066D">
        <w:t>). Cette rubrique est décrite dans la Note</w:t>
      </w:r>
      <w:r w:rsidR="0018444B">
        <w:t> </w:t>
      </w:r>
      <w:r w:rsidRPr="00DD066D">
        <w:t>11 du Rapport de gestion financière.</w:t>
      </w:r>
      <w:bookmarkEnd w:id="193"/>
    </w:p>
    <w:p w14:paraId="76C617BA" w14:textId="77777777" w:rsidR="007345C9" w:rsidRDefault="007345C9" w:rsidP="00B53AD7">
      <w:r>
        <w:br w:type="page"/>
      </w:r>
    </w:p>
    <w:p w14:paraId="147BA662" w14:textId="667377C1" w:rsidR="002806AE" w:rsidRPr="00DD066D" w:rsidRDefault="002806AE" w:rsidP="00B53AD7">
      <w:r w:rsidRPr="00DD066D">
        <w:t>19</w:t>
      </w:r>
      <w:r w:rsidRPr="00DD066D">
        <w:tab/>
        <w:t>Conformément à la norme IPSAS</w:t>
      </w:r>
      <w:r w:rsidR="0018444B">
        <w:t> </w:t>
      </w:r>
      <w:r w:rsidRPr="00DD066D">
        <w:t>1, les bâtiments doivent être comptabilisés en actifs dans l</w:t>
      </w:r>
      <w:r w:rsidR="001B30ED">
        <w:t>'</w:t>
      </w:r>
      <w:r w:rsidRPr="00DD066D">
        <w:t>état de la situation financière. Selon la norme IPSAS</w:t>
      </w:r>
      <w:r w:rsidR="0018444B">
        <w:t> </w:t>
      </w:r>
      <w:r w:rsidRPr="00DD066D">
        <w:t>17, la comptabilisation initiale des immobilisations corporelles doit être évaluée au coût de l</w:t>
      </w:r>
      <w:r w:rsidR="001B30ED">
        <w:t>'</w:t>
      </w:r>
      <w:r w:rsidRPr="00DD066D">
        <w:t>élément ou à la juste valeur définie de façon fiable. Les amortissements sont effectués de manière systématique sur la durée d</w:t>
      </w:r>
      <w:r w:rsidR="001B30ED">
        <w:t>'</w:t>
      </w:r>
      <w:r w:rsidRPr="00DD066D">
        <w:t>utilité des actifs et la méthode d</w:t>
      </w:r>
      <w:r w:rsidR="001B30ED">
        <w:t>'</w:t>
      </w:r>
      <w:r w:rsidRPr="00DD066D">
        <w:t>amortissement doit refléter le mécanisme par lequel les avantages économiques futurs ou le potentiel de service de ces actifs sont censés être acquis par l</w:t>
      </w:r>
      <w:r w:rsidR="001B30ED">
        <w:t>'</w:t>
      </w:r>
      <w:r w:rsidRPr="00DD066D">
        <w:t xml:space="preserve">entité. La valeur résiduelle doit être réexaminée au moins une fois par an et doit être équivalente au montant </w:t>
      </w:r>
      <w:r w:rsidRPr="00DD066D">
        <w:rPr>
          <w:rFonts w:eastAsia="SimSun"/>
        </w:rPr>
        <w:t>que l</w:t>
      </w:r>
      <w:r w:rsidR="001B30ED">
        <w:rPr>
          <w:rFonts w:eastAsia="SimSun"/>
        </w:rPr>
        <w:t>'</w:t>
      </w:r>
      <w:r w:rsidRPr="00DD066D">
        <w:rPr>
          <w:rFonts w:eastAsia="SimSun"/>
        </w:rPr>
        <w:t>entité obtiendrait actuellement de la sortie de l</w:t>
      </w:r>
      <w:r w:rsidR="001B30ED">
        <w:rPr>
          <w:rFonts w:eastAsia="SimSun"/>
        </w:rPr>
        <w:t>'</w:t>
      </w:r>
      <w:r w:rsidRPr="00DD066D">
        <w:rPr>
          <w:rFonts w:eastAsia="SimSun"/>
        </w:rPr>
        <w:t>actif, si l</w:t>
      </w:r>
      <w:r w:rsidR="001B30ED">
        <w:rPr>
          <w:rFonts w:eastAsia="SimSun"/>
        </w:rPr>
        <w:t>'</w:t>
      </w:r>
      <w:r w:rsidRPr="00DD066D">
        <w:rPr>
          <w:rFonts w:eastAsia="SimSun"/>
        </w:rPr>
        <w:t>actif avait déjà l</w:t>
      </w:r>
      <w:r w:rsidR="001B30ED">
        <w:rPr>
          <w:rFonts w:eastAsia="SimSun"/>
        </w:rPr>
        <w:t>'</w:t>
      </w:r>
      <w:r w:rsidRPr="00DD066D">
        <w:rPr>
          <w:rFonts w:eastAsia="SimSun"/>
        </w:rPr>
        <w:t>âge et se trouvait déjà dans l</w:t>
      </w:r>
      <w:r w:rsidR="001B30ED">
        <w:rPr>
          <w:rFonts w:eastAsia="SimSun"/>
        </w:rPr>
        <w:t>'</w:t>
      </w:r>
      <w:r w:rsidRPr="00DD066D">
        <w:rPr>
          <w:rFonts w:eastAsia="SimSun"/>
        </w:rPr>
        <w:t>état prévu à la fin de sa durée d</w:t>
      </w:r>
      <w:r w:rsidR="001B30ED">
        <w:rPr>
          <w:rFonts w:eastAsia="SimSun"/>
        </w:rPr>
        <w:t>'</w:t>
      </w:r>
      <w:r w:rsidRPr="00DD066D">
        <w:rPr>
          <w:rFonts w:eastAsia="SimSun"/>
        </w:rPr>
        <w:t>utilité.</w:t>
      </w:r>
      <w:r w:rsidRPr="00DD066D">
        <w:t xml:space="preserve"> Les terrains et les bâtiments sont des actifs distincts et sont comptabilisés séparément, même s</w:t>
      </w:r>
      <w:r w:rsidR="001B30ED">
        <w:t>'</w:t>
      </w:r>
      <w:r w:rsidRPr="00DD066D">
        <w:t>ils ont été acquis conjointement.</w:t>
      </w:r>
    </w:p>
    <w:p w14:paraId="66AAB379" w14:textId="7A7F54A7" w:rsidR="002806AE" w:rsidRPr="00DD066D" w:rsidRDefault="002806AE" w:rsidP="00B53AD7">
      <w:r w:rsidRPr="00DD066D">
        <w:t>20</w:t>
      </w:r>
      <w:r w:rsidRPr="00DD066D">
        <w:tab/>
        <w:t>Conformément à l</w:t>
      </w:r>
      <w:r w:rsidR="001B30ED">
        <w:t>'</w:t>
      </w:r>
      <w:r w:rsidRPr="00DD066D">
        <w:t>Annexe</w:t>
      </w:r>
      <w:r w:rsidR="0018444B">
        <w:t> </w:t>
      </w:r>
      <w:r w:rsidRPr="00DD066D">
        <w:t>II du Règlement financier de l</w:t>
      </w:r>
      <w:r w:rsidR="001B30ED">
        <w:t>'</w:t>
      </w:r>
      <w:r w:rsidRPr="00DD066D">
        <w:t>UIT, le Vérificateur extérieur des comptes doit s</w:t>
      </w:r>
      <w:r w:rsidR="001B30ED">
        <w:t>'</w:t>
      </w:r>
      <w:r w:rsidRPr="00DD066D">
        <w:t>assurer "que tous les éléments de l</w:t>
      </w:r>
      <w:r w:rsidR="001B30ED">
        <w:t>'</w:t>
      </w:r>
      <w:r w:rsidRPr="00DD066D">
        <w:t>actif et passif ainsi que tous les excédents et déficits ont été comptabilisés selon les procédures qu</w:t>
      </w:r>
      <w:r w:rsidR="001B30ED">
        <w:t>'</w:t>
      </w:r>
      <w:r w:rsidRPr="00DD066D">
        <w:t>il juge nécessaires".</w:t>
      </w:r>
    </w:p>
    <w:p w14:paraId="3DB419CD" w14:textId="6AE704B0" w:rsidR="002806AE" w:rsidRPr="00DD066D" w:rsidRDefault="002806AE" w:rsidP="00B53AD7">
      <w:r w:rsidRPr="00DD066D">
        <w:t>21</w:t>
      </w:r>
      <w:r w:rsidRPr="00DD066D">
        <w:tab/>
        <w:t>Dans la Note</w:t>
      </w:r>
      <w:r w:rsidR="0018444B">
        <w:t> </w:t>
      </w:r>
      <w:r w:rsidRPr="00DD066D">
        <w:t>2 du Rapport de gestion financière "Principaux principes comptables", sous la rubrique "Immobilisations corporelles", il est indiqué que la comptabilisation initiale des bâtiments a été effectuée à la "</w:t>
      </w:r>
      <w:r w:rsidRPr="00DD066D">
        <w:rPr>
          <w:i/>
          <w:iCs/>
        </w:rPr>
        <w:t>valeur intrinsèque</w:t>
      </w:r>
      <w:r w:rsidRPr="00DD066D">
        <w:t>" "</w:t>
      </w:r>
      <w:r w:rsidRPr="00DD066D">
        <w:rPr>
          <w:i/>
          <w:iCs/>
        </w:rPr>
        <w:t>sur la base de l</w:t>
      </w:r>
      <w:r w:rsidR="001B30ED">
        <w:rPr>
          <w:i/>
          <w:iCs/>
        </w:rPr>
        <w:t>'</w:t>
      </w:r>
      <w:r w:rsidRPr="00DD066D">
        <w:rPr>
          <w:i/>
          <w:iCs/>
        </w:rPr>
        <w:t>étude menée par un cabinet externe</w:t>
      </w:r>
      <w:r w:rsidRPr="00DD066D">
        <w:t>", afin de définir la valeur du bilan d</w:t>
      </w:r>
      <w:r w:rsidR="001B30ED">
        <w:t>'</w:t>
      </w:r>
      <w:r w:rsidRPr="00DD066D">
        <w:t>ouverture IPSAS. La comptabilisation a été faite sur la base du "</w:t>
      </w:r>
      <w:r w:rsidRPr="00DD066D">
        <w:rPr>
          <w:i/>
          <w:iCs/>
        </w:rPr>
        <w:t>coût historique</w:t>
      </w:r>
      <w:r w:rsidRPr="00DD066D">
        <w:t>" et les amortissements ont été calculés par rapport à la "</w:t>
      </w:r>
      <w:r w:rsidRPr="00DD066D">
        <w:rPr>
          <w:i/>
          <w:iCs/>
        </w:rPr>
        <w:t>durée d</w:t>
      </w:r>
      <w:r w:rsidR="001B30ED">
        <w:rPr>
          <w:i/>
          <w:iCs/>
        </w:rPr>
        <w:t>'</w:t>
      </w:r>
      <w:r w:rsidRPr="00DD066D">
        <w:rPr>
          <w:i/>
          <w:iCs/>
        </w:rPr>
        <w:t>utilité estimée</w:t>
      </w:r>
      <w:r w:rsidRPr="00DD066D">
        <w:t>" (100 ans dans le cas de la structure). Les terrains, sur lesquels l</w:t>
      </w:r>
      <w:r w:rsidR="001B30ED">
        <w:t>'</w:t>
      </w:r>
      <w:r w:rsidRPr="00DD066D">
        <w:t>UIT dispose d</w:t>
      </w:r>
      <w:r w:rsidR="001B30ED">
        <w:t>'</w:t>
      </w:r>
      <w:r w:rsidRPr="00DD066D">
        <w:t>un "</w:t>
      </w:r>
      <w:r w:rsidRPr="00DD066D">
        <w:rPr>
          <w:i/>
          <w:iCs/>
        </w:rPr>
        <w:t>droit de superficie</w:t>
      </w:r>
      <w:r w:rsidRPr="00DD066D">
        <w:t>", n</w:t>
      </w:r>
      <w:r w:rsidR="001B30ED">
        <w:t>'</w:t>
      </w:r>
      <w:r w:rsidRPr="00DD066D">
        <w:t xml:space="preserve">ont pas été pas pris en compte dans le calcul de la valeur initiale des bâtiments. </w:t>
      </w:r>
    </w:p>
    <w:p w14:paraId="202E19A7" w14:textId="7ECB4213" w:rsidR="00976216" w:rsidRPr="00DD066D" w:rsidRDefault="00A55BE4" w:rsidP="007345C9">
      <w:r>
        <w:t>22</w:t>
      </w:r>
      <w:r>
        <w:tab/>
      </w:r>
      <w:r w:rsidR="000D63F7" w:rsidRPr="00DD066D">
        <w:t>Pendant la première année de notre ma</w:t>
      </w:r>
      <w:r w:rsidR="00104DF4">
        <w:t>ndat</w:t>
      </w:r>
      <w:r w:rsidR="000D63F7" w:rsidRPr="00DD066D">
        <w:t>, nous avons émis la Recommandation 3/2012 relative à la renégociation des accords de pays hôte.</w:t>
      </w:r>
      <w:r w:rsidR="00104DF4">
        <w:t xml:space="preserve"> </w:t>
      </w:r>
      <w:r w:rsidR="000D63F7" w:rsidRPr="00DD066D">
        <w:t>Nous avons donné suite à cette recommandation: un Groupe de travail UIT/pays hôte, composé de représentants de l</w:t>
      </w:r>
      <w:r w:rsidR="001B30ED">
        <w:t>'</w:t>
      </w:r>
      <w:r w:rsidR="000D63F7" w:rsidRPr="00DD066D">
        <w:t xml:space="preserve">UIT, du Canton de Genève (propriétaire du terrain), de la Confédération </w:t>
      </w:r>
      <w:r w:rsidR="00C215AF">
        <w:t>suisse</w:t>
      </w:r>
      <w:r w:rsidR="000D63F7" w:rsidRPr="00DD066D">
        <w:t xml:space="preserve"> et </w:t>
      </w:r>
      <w:r w:rsidR="00EB1614" w:rsidRPr="00DD066D">
        <w:t>de la FIPOI, chargé d</w:t>
      </w:r>
      <w:r w:rsidR="001B30ED">
        <w:t>'</w:t>
      </w:r>
      <w:r w:rsidR="00EB1614" w:rsidRPr="00DD066D">
        <w:t xml:space="preserve">examiner spécifiquement la question du </w:t>
      </w:r>
      <w:r w:rsidR="0018444B">
        <w:t>"</w:t>
      </w:r>
      <w:r w:rsidR="00EB1614" w:rsidRPr="00DD066D">
        <w:t>droit de superficie</w:t>
      </w:r>
      <w:r w:rsidR="0018444B">
        <w:t>"</w:t>
      </w:r>
      <w:r w:rsidR="00EB1614" w:rsidRPr="00DD066D">
        <w:t>, a été créé en 2017 et a tenu sa première réunion le 15</w:t>
      </w:r>
      <w:r w:rsidR="0018444B">
        <w:t> </w:t>
      </w:r>
      <w:r w:rsidR="00EB1614" w:rsidRPr="00DD066D">
        <w:t>novembre</w:t>
      </w:r>
      <w:r w:rsidR="0018444B">
        <w:t> </w:t>
      </w:r>
      <w:r w:rsidR="00EB1614" w:rsidRPr="00DD066D">
        <w:t>2017.</w:t>
      </w:r>
      <w:r w:rsidR="007256D9">
        <w:t xml:space="preserve"> </w:t>
      </w:r>
      <w:r w:rsidR="00976216" w:rsidRPr="00DD066D">
        <w:t xml:space="preserve">Une fois </w:t>
      </w:r>
      <w:r w:rsidR="007345C9">
        <w:t>la version définitive de ces accords élaborée</w:t>
      </w:r>
      <w:r w:rsidR="00976216" w:rsidRPr="00DD066D">
        <w:t xml:space="preserve">, les valeurs comptables résiduelles </w:t>
      </w:r>
      <w:r w:rsidR="007345C9">
        <w:t>devraient être ajustées</w:t>
      </w:r>
      <w:r w:rsidR="00976216" w:rsidRPr="00DD066D">
        <w:t xml:space="preserve"> en </w:t>
      </w:r>
      <w:r w:rsidR="003160FF" w:rsidRPr="00DD066D">
        <w:t>conséquence</w:t>
      </w:r>
      <w:r w:rsidR="00976216" w:rsidRPr="00DD066D">
        <w:t xml:space="preserve">. </w:t>
      </w:r>
    </w:p>
    <w:p w14:paraId="7EE0577A" w14:textId="1AA1A589" w:rsidR="002806AE" w:rsidRPr="00DD066D" w:rsidRDefault="002806AE" w:rsidP="00B53AD7">
      <w:r w:rsidRPr="00DD066D">
        <w:t>23</w:t>
      </w:r>
      <w:r w:rsidRPr="00DD066D">
        <w:tab/>
        <w:t>Dans la Note</w:t>
      </w:r>
      <w:r w:rsidR="0018444B">
        <w:t> </w:t>
      </w:r>
      <w:r w:rsidRPr="00DD066D">
        <w:t>11 relative aux états financiers, les bâtiments comptabilisés en actifs non courants se composent de la Tour, de Varembé, de l</w:t>
      </w:r>
      <w:r w:rsidR="001B30ED">
        <w:t>'</w:t>
      </w:r>
      <w:r w:rsidRPr="00DD066D">
        <w:t>Extension C et de la Cafétéria, et de Montbrillant. En ce qui concerne les bâtiments, comme nous l</w:t>
      </w:r>
      <w:r w:rsidR="001B30ED">
        <w:t>'</w:t>
      </w:r>
      <w:r w:rsidRPr="00DD066D">
        <w:t>avons indiqué ci-dessus, la valeur nette comptable est passée de 100,56 millions CHF au 1er</w:t>
      </w:r>
      <w:r w:rsidR="0018444B">
        <w:t> </w:t>
      </w:r>
      <w:r w:rsidRPr="00DD066D">
        <w:t>janvier</w:t>
      </w:r>
      <w:r w:rsidR="0018444B">
        <w:t> </w:t>
      </w:r>
      <w:r w:rsidRPr="00DD066D">
        <w:t>2017 à 9</w:t>
      </w:r>
      <w:r w:rsidR="007345C9">
        <w:t>7,7 millions CHF au </w:t>
      </w:r>
      <w:r w:rsidRPr="00DD066D">
        <w:t>31 décembre</w:t>
      </w:r>
      <w:r w:rsidR="0018444B">
        <w:t> </w:t>
      </w:r>
      <w:r w:rsidRPr="00DD066D">
        <w:t xml:space="preserve">2017, en raison </w:t>
      </w:r>
      <w:r w:rsidR="00C215AF">
        <w:t xml:space="preserve">des </w:t>
      </w:r>
      <w:r w:rsidR="0076437E">
        <w:t>ajouts</w:t>
      </w:r>
      <w:r w:rsidR="00B663C2" w:rsidRPr="00DD066D">
        <w:t xml:space="preserve"> </w:t>
      </w:r>
      <w:r w:rsidR="007345C9">
        <w:t xml:space="preserve">pour un montant </w:t>
      </w:r>
      <w:r w:rsidR="00B663C2" w:rsidRPr="00DD066D">
        <w:t>de 0,</w:t>
      </w:r>
      <w:r w:rsidRPr="00DD066D">
        <w:t xml:space="preserve">25 </w:t>
      </w:r>
      <w:r w:rsidR="007345C9">
        <w:t xml:space="preserve">million CHF </w:t>
      </w:r>
      <w:r w:rsidR="00B663C2" w:rsidRPr="00DD066D">
        <w:t>et</w:t>
      </w:r>
      <w:r w:rsidRPr="00DD066D">
        <w:t xml:space="preserve"> des amorti</w:t>
      </w:r>
      <w:r w:rsidR="007345C9">
        <w:t>ssements pour un montant de 3,1 </w:t>
      </w:r>
      <w:r w:rsidRPr="00DD066D">
        <w:t>millions CHF comptabilisés pendant l</w:t>
      </w:r>
      <w:r w:rsidR="001B30ED">
        <w:t>'</w:t>
      </w:r>
      <w:r w:rsidRPr="00DD066D">
        <w:t>exercice.</w:t>
      </w:r>
    </w:p>
    <w:p w14:paraId="08E90E72" w14:textId="385F837A" w:rsidR="0076437E" w:rsidRPr="00DD066D" w:rsidRDefault="0076437E" w:rsidP="00B53AD7">
      <w:r>
        <w:t>24</w:t>
      </w:r>
      <w:r w:rsidR="00565965" w:rsidRPr="00DD066D">
        <w:tab/>
        <w:t>La Confédération suisse octroie des fonds pour la construction des bâtiments des organisations internationales dans le cadre de la "Fondation des immeubles pour les organisations internationales" (FIPOI), sous la forme d</w:t>
      </w:r>
      <w:r w:rsidR="001B30ED">
        <w:t>'</w:t>
      </w:r>
      <w:r w:rsidR="00565965" w:rsidRPr="00DD066D">
        <w:t>un prêt à des conditions favorables, c</w:t>
      </w:r>
      <w:r w:rsidR="001B30ED">
        <w:t>'</w:t>
      </w:r>
      <w:r w:rsidR="00565965" w:rsidRPr="00DD066D">
        <w:t>est-à-dire pour une durée de 50</w:t>
      </w:r>
      <w:r w:rsidR="0018444B">
        <w:t> </w:t>
      </w:r>
      <w:r w:rsidR="00565965" w:rsidRPr="00DD066D">
        <w:t>ans à un taux d</w:t>
      </w:r>
      <w:r w:rsidR="001B30ED">
        <w:t>'</w:t>
      </w:r>
      <w:r w:rsidR="00565965" w:rsidRPr="00DD066D">
        <w:t>intérêt de 0%. Les terrains sont mis à disposition à titre gratuit par le Canton de Genève au titre du "</w:t>
      </w:r>
      <w:r w:rsidR="00565965" w:rsidRPr="00DD066D">
        <w:rPr>
          <w:i/>
          <w:iCs/>
        </w:rPr>
        <w:t>droit de superficie</w:t>
      </w:r>
      <w:r w:rsidR="00565965" w:rsidRPr="00DD066D">
        <w:t>". La valeur des emprunts contractés auprès de la FIPOI est indiquée dans la Note</w:t>
      </w:r>
      <w:r w:rsidR="0018444B">
        <w:t> </w:t>
      </w:r>
      <w:r w:rsidR="00565965" w:rsidRPr="00DD066D">
        <w:t xml:space="preserve">16 du Rapport de gestion financière. </w:t>
      </w:r>
    </w:p>
    <w:p w14:paraId="4B8C0F08" w14:textId="77777777" w:rsidR="007345C9" w:rsidRDefault="007345C9" w:rsidP="007345C9">
      <w:pPr>
        <w:pStyle w:val="Headingb"/>
      </w:pPr>
      <w:bookmarkStart w:id="194" w:name="_Toc482176257"/>
      <w:r>
        <w:br w:type="page"/>
      </w:r>
    </w:p>
    <w:p w14:paraId="3FCCF19A" w14:textId="4B490686" w:rsidR="002806AE" w:rsidRPr="00DD066D" w:rsidRDefault="00243B62" w:rsidP="007345C9">
      <w:pPr>
        <w:pStyle w:val="Headingb"/>
      </w:pPr>
      <w:bookmarkStart w:id="195" w:name="_Toc522685301"/>
      <w:r w:rsidRPr="00DD066D">
        <w:t>Locaux du siège de l</w:t>
      </w:r>
      <w:r w:rsidR="001B30ED">
        <w:t>'</w:t>
      </w:r>
      <w:r w:rsidRPr="00DD066D">
        <w:t>Union</w:t>
      </w:r>
      <w:bookmarkEnd w:id="194"/>
      <w:bookmarkEnd w:id="195"/>
    </w:p>
    <w:p w14:paraId="0FB61079" w14:textId="2F9CFE60" w:rsidR="0000695E" w:rsidRPr="00DD066D" w:rsidRDefault="00AC0D50" w:rsidP="00B53AD7">
      <w:r w:rsidRPr="00DD066D">
        <w:t>25</w:t>
      </w:r>
      <w:r w:rsidRPr="00DD066D">
        <w:tab/>
      </w:r>
      <w:r w:rsidR="0000695E" w:rsidRPr="00DD066D">
        <w:t>A sa session de 2016, le Conseil de l</w:t>
      </w:r>
      <w:r w:rsidR="001B30ED">
        <w:t>'</w:t>
      </w:r>
      <w:r w:rsidR="0000695E" w:rsidRPr="00DD066D">
        <w:t>UIT, par sa Décision</w:t>
      </w:r>
      <w:r w:rsidR="0018444B">
        <w:t> </w:t>
      </w:r>
      <w:r w:rsidR="0000695E" w:rsidRPr="00DD066D">
        <w:t>588 du 10</w:t>
      </w:r>
      <w:r w:rsidR="0018444B">
        <w:t> </w:t>
      </w:r>
      <w:r w:rsidR="0000695E" w:rsidRPr="00DD066D">
        <w:t>juin</w:t>
      </w:r>
      <w:r w:rsidR="0018444B">
        <w:t> </w:t>
      </w:r>
      <w:r w:rsidR="0000695E" w:rsidRPr="00DD066D">
        <w:t xml:space="preserve">2016, a approuvé le remplacement du bâtiment Varembé </w:t>
      </w:r>
      <w:r w:rsidR="0000695E" w:rsidRPr="00DD066D">
        <w:rPr>
          <w:rStyle w:val="bri2"/>
        </w:rPr>
        <w:t>par une nouvelle construction</w:t>
      </w:r>
      <w:r w:rsidR="0000695E" w:rsidRPr="00DD066D">
        <w:t xml:space="preserve"> qui inclura aussi les bureaux et les installations de la Tour, ainsi que la préservation et la rénovation du bâtiment Montbrillant; cette mesure a été considérée comme la solution la plus rentable dans l</w:t>
      </w:r>
      <w:r w:rsidR="001B30ED">
        <w:t>'</w:t>
      </w:r>
      <w:r w:rsidR="0000695E" w:rsidRPr="00DD066D">
        <w:t xml:space="preserve">hypothèse de la </w:t>
      </w:r>
      <w:r w:rsidR="0000695E" w:rsidRPr="00DD066D">
        <w:rPr>
          <w:rStyle w:val="bri2"/>
        </w:rPr>
        <w:t>vente de la Tour</w:t>
      </w:r>
      <w:r w:rsidR="0000695E" w:rsidRPr="00DD066D">
        <w:t>.</w:t>
      </w:r>
    </w:p>
    <w:p w14:paraId="497688F1" w14:textId="152FD166" w:rsidR="0000695E" w:rsidRPr="00DD066D" w:rsidRDefault="00AC0D50" w:rsidP="00B53AD7">
      <w:r w:rsidRPr="00DD066D">
        <w:t>26</w:t>
      </w:r>
      <w:r w:rsidRPr="00DD066D">
        <w:tab/>
      </w:r>
      <w:r w:rsidR="0000695E" w:rsidRPr="00DD066D">
        <w:t>La procédure globale est en cours, car certains détails concernant la vente de la Tour doivent encore être réglés. Une fois qu</w:t>
      </w:r>
      <w:r w:rsidR="001B30ED">
        <w:t>'</w:t>
      </w:r>
      <w:r w:rsidR="0000695E" w:rsidRPr="00DD066D">
        <w:t>une d</w:t>
      </w:r>
      <w:r w:rsidR="00E83344">
        <w:t>é</w:t>
      </w:r>
      <w:r w:rsidR="0000695E" w:rsidRPr="00DD066D">
        <w:t>cision d</w:t>
      </w:r>
      <w:r w:rsidR="00E83344">
        <w:t>é</w:t>
      </w:r>
      <w:r w:rsidR="0000695E" w:rsidRPr="00DD066D">
        <w:t>finitive aura été prise au sujet de la d</w:t>
      </w:r>
      <w:r w:rsidR="00E83344">
        <w:t>é</w:t>
      </w:r>
      <w:r w:rsidR="0000695E" w:rsidRPr="00DD066D">
        <w:t>molition du bâtiment Varembé, l</w:t>
      </w:r>
      <w:r w:rsidR="001B30ED">
        <w:t>'</w:t>
      </w:r>
      <w:r w:rsidR="0000695E" w:rsidRPr="00DD066D">
        <w:t>amortissement de ce bâtiment, tel que comptabilisé</w:t>
      </w:r>
      <w:r w:rsidR="00C01AD3" w:rsidRPr="00DD066D">
        <w:t>, devra</w:t>
      </w:r>
      <w:r w:rsidR="00C215AF">
        <w:t xml:space="preserve"> être recalculé en fonction de s</w:t>
      </w:r>
      <w:r w:rsidR="00C01AD3" w:rsidRPr="00DD066D">
        <w:t>a durée de vie résiduelle.</w:t>
      </w:r>
    </w:p>
    <w:p w14:paraId="0CDD623B" w14:textId="505A6957" w:rsidR="002E072F" w:rsidRPr="00DD066D" w:rsidRDefault="00AC0D50" w:rsidP="007345C9">
      <w:pPr>
        <w:spacing w:after="120"/>
      </w:pPr>
      <w:r w:rsidRPr="00DD066D">
        <w:t>27</w:t>
      </w:r>
      <w:r w:rsidRPr="00DD066D">
        <w:tab/>
      </w:r>
      <w:r w:rsidR="00F50BF8" w:rsidRPr="00DD066D">
        <w:t>S</w:t>
      </w:r>
      <w:r w:rsidR="001B30ED">
        <w:t>'</w:t>
      </w:r>
      <w:r w:rsidR="00F50BF8" w:rsidRPr="00DD066D">
        <w:t>agissant des nouveaux locaux, il est</w:t>
      </w:r>
      <w:r w:rsidR="008555A2">
        <w:t xml:space="preserve"> nécessaire que les projets et é</w:t>
      </w:r>
      <w:r w:rsidR="00F50BF8" w:rsidRPr="00DD066D">
        <w:t>tudes en cours tiennent compte des besoins de l</w:t>
      </w:r>
      <w:r w:rsidR="001B30ED">
        <w:t>'</w:t>
      </w:r>
      <w:r w:rsidR="00F50BF8" w:rsidRPr="00DD066D">
        <w:t xml:space="preserve">Union à long terme, notamment en ce qui concerne les bureaux, les salles de conférence, les </w:t>
      </w:r>
      <w:r w:rsidR="008555A2">
        <w:t xml:space="preserve">lieux dédiés aux </w:t>
      </w:r>
      <w:r w:rsidR="00F50BF8" w:rsidRPr="00DD066D">
        <w:t xml:space="preserve">services, les zones de stationnement, etc. </w:t>
      </w:r>
    </w:p>
    <w:tbl>
      <w:tblPr>
        <w:tblStyle w:val="TableGrid"/>
        <w:tblW w:w="0" w:type="auto"/>
        <w:tblLook w:val="04A0" w:firstRow="1" w:lastRow="0" w:firstColumn="1" w:lastColumn="0" w:noHBand="0" w:noVBand="1"/>
      </w:tblPr>
      <w:tblGrid>
        <w:gridCol w:w="9629"/>
      </w:tblGrid>
      <w:tr w:rsidR="002E072F" w:rsidRPr="00DD066D" w14:paraId="01B334E4" w14:textId="77777777" w:rsidTr="00C10DF7">
        <w:tc>
          <w:tcPr>
            <w:tcW w:w="9629" w:type="dxa"/>
          </w:tcPr>
          <w:p w14:paraId="4F09808A" w14:textId="37EAAEBC" w:rsidR="002E072F" w:rsidRPr="00DD066D" w:rsidRDefault="002E072F" w:rsidP="00B53AD7">
            <w:pPr>
              <w:spacing w:after="120"/>
              <w:rPr>
                <w:b/>
                <w:bCs/>
                <w:i/>
                <w:iCs/>
              </w:rPr>
            </w:pPr>
            <w:r w:rsidRPr="00DD066D">
              <w:rPr>
                <w:b/>
                <w:bCs/>
                <w:i/>
                <w:iCs/>
              </w:rPr>
              <w:t>Recommandation N°</w:t>
            </w:r>
            <w:r w:rsidR="0018444B">
              <w:rPr>
                <w:b/>
                <w:bCs/>
                <w:i/>
                <w:iCs/>
              </w:rPr>
              <w:t> </w:t>
            </w:r>
            <w:r w:rsidRPr="00DD066D">
              <w:rPr>
                <w:b/>
                <w:bCs/>
                <w:i/>
                <w:iCs/>
              </w:rPr>
              <w:t>1</w:t>
            </w:r>
          </w:p>
          <w:p w14:paraId="3A95037A" w14:textId="56DB77C6" w:rsidR="00D765E6" w:rsidRPr="00DD066D" w:rsidRDefault="002E072F" w:rsidP="007345C9">
            <w:pPr>
              <w:spacing w:after="120"/>
            </w:pPr>
            <w:r w:rsidRPr="00DD066D">
              <w:t>28</w:t>
            </w:r>
            <w:r w:rsidRPr="00DD066D">
              <w:tab/>
            </w:r>
            <w:r w:rsidR="00D765E6" w:rsidRPr="00956C43">
              <w:rPr>
                <w:u w:val="single"/>
              </w:rPr>
              <w:t xml:space="preserve">Nous </w:t>
            </w:r>
            <w:r w:rsidR="00D765E6" w:rsidRPr="00167004">
              <w:rPr>
                <w:u w:val="single"/>
              </w:rPr>
              <w:t>r</w:t>
            </w:r>
            <w:r w:rsidR="00D765E6" w:rsidRPr="00F54D22">
              <w:rPr>
                <w:u w:val="single"/>
              </w:rPr>
              <w:t>ecommandons</w:t>
            </w:r>
            <w:r w:rsidR="00D765E6" w:rsidRPr="00DD066D">
              <w:t xml:space="preserve"> à la direction, </w:t>
            </w:r>
            <w:r w:rsidR="00F54D22">
              <w:t>dans le cadre</w:t>
            </w:r>
            <w:r w:rsidR="00D765E6" w:rsidRPr="00DD066D">
              <w:t xml:space="preserve"> </w:t>
            </w:r>
            <w:r w:rsidR="007345C9">
              <w:t xml:space="preserve">de l'élaboration </w:t>
            </w:r>
            <w:r w:rsidR="00D765E6" w:rsidRPr="00DD066D">
              <w:t xml:space="preserve">des projets et études </w:t>
            </w:r>
            <w:r w:rsidR="00F54D22">
              <w:t>en vue de</w:t>
            </w:r>
            <w:r w:rsidR="00D765E6" w:rsidRPr="00DD066D">
              <w:t xml:space="preserve"> la construction des nouveaux </w:t>
            </w:r>
            <w:r w:rsidR="007345C9">
              <w:t>locaux</w:t>
            </w:r>
            <w:r w:rsidR="00D765E6" w:rsidRPr="00DD066D">
              <w:t xml:space="preserve"> du siège, de tenir compte des besoins de l</w:t>
            </w:r>
            <w:r w:rsidR="001B30ED">
              <w:t>'</w:t>
            </w:r>
            <w:r w:rsidR="00D765E6" w:rsidRPr="00DD066D">
              <w:t xml:space="preserve">Union à long terme, ainsi que du </w:t>
            </w:r>
            <w:r w:rsidR="00D765E6" w:rsidRPr="00DD066D">
              <w:rPr>
                <w:rStyle w:val="bri2"/>
              </w:rPr>
              <w:t>Plan stratégique pour les ressources humaines de l</w:t>
            </w:r>
            <w:r w:rsidR="001B30ED">
              <w:rPr>
                <w:rStyle w:val="bri2"/>
              </w:rPr>
              <w:t>'</w:t>
            </w:r>
            <w:r w:rsidR="00D765E6" w:rsidRPr="00DD066D">
              <w:rPr>
                <w:rStyle w:val="bri2"/>
              </w:rPr>
              <w:t>UIT.</w:t>
            </w:r>
          </w:p>
        </w:tc>
      </w:tr>
    </w:tbl>
    <w:p w14:paraId="5300D2F0" w14:textId="77777777" w:rsidR="002E072F" w:rsidRPr="00DD066D" w:rsidRDefault="002E072F" w:rsidP="00B53AD7">
      <w:pPr>
        <w:spacing w:after="120"/>
      </w:pPr>
    </w:p>
    <w:tbl>
      <w:tblPr>
        <w:tblStyle w:val="TableGrid"/>
        <w:tblW w:w="0" w:type="auto"/>
        <w:tblLook w:val="04A0" w:firstRow="1" w:lastRow="0" w:firstColumn="1" w:lastColumn="0" w:noHBand="0" w:noVBand="1"/>
      </w:tblPr>
      <w:tblGrid>
        <w:gridCol w:w="9629"/>
      </w:tblGrid>
      <w:tr w:rsidR="002E072F" w:rsidRPr="00DD066D" w14:paraId="3AE7FC6F" w14:textId="77777777" w:rsidTr="00C10DF7">
        <w:tc>
          <w:tcPr>
            <w:tcW w:w="9629" w:type="dxa"/>
          </w:tcPr>
          <w:p w14:paraId="61A91F4C" w14:textId="77777777" w:rsidR="002E072F" w:rsidRPr="000202B4" w:rsidRDefault="002E072F"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30229CD9" w14:textId="3C923BCC" w:rsidR="000769EA" w:rsidRPr="00DD066D" w:rsidRDefault="000769EA" w:rsidP="00B53AD7">
            <w:pPr>
              <w:spacing w:after="120"/>
            </w:pPr>
            <w:r w:rsidRPr="00DD066D">
              <w:t>Le Comité de direction du projet de bâtiment a pris note de cette recomm</w:t>
            </w:r>
            <w:r w:rsidR="00E83344">
              <w:t>a</w:t>
            </w:r>
            <w:r w:rsidRPr="00DD066D">
              <w:t xml:space="preserve">ndation. Les discussions et études en cours visent à appuyer le processus de prise de décisions </w:t>
            </w:r>
            <w:r w:rsidR="004E18F8">
              <w:t>pour</w:t>
            </w:r>
            <w:r w:rsidRPr="00DD066D">
              <w:t xml:space="preserve"> un certain nombre de choix relatifs à la conception, aux dimensions, etc. du nouveau bâtiment, et sont fondées sur les estimations du nombre d</w:t>
            </w:r>
            <w:r w:rsidR="001B30ED">
              <w:t>'</w:t>
            </w:r>
            <w:r w:rsidRPr="00DD066D">
              <w:t>employés (fonctionnaires ou non) qui pourraient être en service au moment de la livraison du nouveau bâtiment.</w:t>
            </w:r>
          </w:p>
        </w:tc>
      </w:tr>
    </w:tbl>
    <w:p w14:paraId="70CC12BA" w14:textId="77777777" w:rsidR="00530832" w:rsidRPr="00DD066D" w:rsidRDefault="00530832" w:rsidP="00956C43">
      <w:pPr>
        <w:pStyle w:val="Headingb"/>
      </w:pPr>
      <w:bookmarkStart w:id="196" w:name="_Toc452140207"/>
      <w:bookmarkStart w:id="197" w:name="_Toc482967241"/>
      <w:bookmarkStart w:id="198" w:name="_Toc522685302"/>
      <w:r w:rsidRPr="00DD066D">
        <w:t>Le registre des actifs</w:t>
      </w:r>
      <w:bookmarkEnd w:id="196"/>
      <w:bookmarkEnd w:id="197"/>
      <w:bookmarkEnd w:id="198"/>
    </w:p>
    <w:p w14:paraId="5FF752B1" w14:textId="2B11A4EE" w:rsidR="00530832" w:rsidRPr="00DD066D" w:rsidRDefault="00167004" w:rsidP="00956C43">
      <w:r>
        <w:t>29</w:t>
      </w:r>
      <w:r w:rsidR="00530832" w:rsidRPr="00DD066D">
        <w:tab/>
        <w:t>Nous avons recueilli et vérifié la liste des actifs et nous avons réalisé un inventaire physique d</w:t>
      </w:r>
      <w:r w:rsidR="001B30ED">
        <w:t>'</w:t>
      </w:r>
      <w:r w:rsidR="00530832" w:rsidRPr="00DD066D">
        <w:t>un échantillon d</w:t>
      </w:r>
      <w:r w:rsidR="001B30ED">
        <w:t>'</w:t>
      </w:r>
      <w:r w:rsidR="00530832" w:rsidRPr="00DD066D">
        <w:t xml:space="preserve">articles comptabilisés dans le registre des immobilisations corporelles. Veuillez vous reporter aux tableaux de suivi de nos recommandations et suggestions précédentes (voir les </w:t>
      </w:r>
      <w:hyperlink w:anchor="Annexe1" w:history="1">
        <w:r w:rsidR="00956C43" w:rsidRPr="00956C43">
          <w:rPr>
            <w:rStyle w:val="Hyperlink"/>
          </w:rPr>
          <w:t>A</w:t>
        </w:r>
        <w:r w:rsidR="00530832" w:rsidRPr="00956C43">
          <w:rPr>
            <w:rStyle w:val="Hyperlink"/>
          </w:rPr>
          <w:t>nnexes</w:t>
        </w:r>
      </w:hyperlink>
      <w:r w:rsidR="00530832" w:rsidRPr="00DD066D">
        <w:t>).</w:t>
      </w:r>
    </w:p>
    <w:p w14:paraId="2E2C4A83" w14:textId="77777777" w:rsidR="00530832" w:rsidRPr="00DD066D" w:rsidRDefault="00530832" w:rsidP="007345C9">
      <w:pPr>
        <w:pStyle w:val="Headingb"/>
      </w:pPr>
      <w:bookmarkStart w:id="199" w:name="_Toc358123296"/>
      <w:bookmarkStart w:id="200" w:name="_Toc396386946"/>
      <w:bookmarkStart w:id="201" w:name="_Toc396387829"/>
      <w:bookmarkStart w:id="202" w:name="_Toc396387943"/>
      <w:bookmarkStart w:id="203" w:name="_Toc398277628"/>
      <w:bookmarkStart w:id="204" w:name="_Toc419407168"/>
      <w:bookmarkStart w:id="205" w:name="_Toc452140211"/>
      <w:bookmarkStart w:id="206" w:name="_Toc482958313"/>
      <w:bookmarkStart w:id="207" w:name="_Toc482966358"/>
      <w:bookmarkStart w:id="208" w:name="_Toc482967242"/>
      <w:bookmarkStart w:id="209" w:name="_Toc522685303"/>
      <w:r w:rsidRPr="00DD066D">
        <w:t>Immobilisations incorporelles</w:t>
      </w:r>
      <w:bookmarkEnd w:id="199"/>
      <w:bookmarkEnd w:id="200"/>
      <w:bookmarkEnd w:id="201"/>
      <w:bookmarkEnd w:id="202"/>
      <w:bookmarkEnd w:id="203"/>
      <w:bookmarkEnd w:id="204"/>
      <w:bookmarkEnd w:id="205"/>
      <w:bookmarkEnd w:id="206"/>
      <w:bookmarkEnd w:id="207"/>
      <w:bookmarkEnd w:id="208"/>
      <w:bookmarkEnd w:id="209"/>
    </w:p>
    <w:p w14:paraId="743340E1" w14:textId="6374F26F" w:rsidR="00530832" w:rsidRPr="00DD066D" w:rsidRDefault="00530832" w:rsidP="00B53AD7">
      <w:r w:rsidRPr="00DD066D">
        <w:t>30</w:t>
      </w:r>
      <w:r w:rsidRPr="00DD066D">
        <w:tab/>
        <w:t xml:space="preserve">En 2017, les immobilisations incorporelles se sont chiffrées à 1 </w:t>
      </w:r>
      <w:r w:rsidR="00E2522C" w:rsidRPr="00DD066D">
        <w:t>million CHF, en baisse de 1</w:t>
      </w:r>
      <w:r w:rsidRPr="00DD066D">
        <w:t>,6 million CHF (-63,3%) par rapport à la valeur de 2016 (2,6 millions CHF).</w:t>
      </w:r>
    </w:p>
    <w:p w14:paraId="05E6E07A" w14:textId="0D273855" w:rsidR="00E2522C" w:rsidRPr="00DD066D" w:rsidRDefault="00530832" w:rsidP="00B53AD7">
      <w:r w:rsidRPr="00DD066D">
        <w:t>31</w:t>
      </w:r>
      <w:r w:rsidRPr="00DD066D">
        <w:tab/>
        <w:t>Comme l</w:t>
      </w:r>
      <w:r w:rsidR="001B30ED">
        <w:t>'</w:t>
      </w:r>
      <w:r w:rsidRPr="00DD066D">
        <w:t>a indiqué la direction dans la Note</w:t>
      </w:r>
      <w:r w:rsidR="0018444B">
        <w:t> </w:t>
      </w:r>
      <w:r w:rsidRPr="00DD066D">
        <w:t xml:space="preserve">12 du Rapport de gestion financière, </w:t>
      </w:r>
      <w:r w:rsidR="00E2522C" w:rsidRPr="00DD066D">
        <w:t>ont été capitalisés con</w:t>
      </w:r>
      <w:r w:rsidR="007345C9">
        <w:t xml:space="preserve">formément à la norme IPSAS 31: </w:t>
      </w:r>
      <w:r w:rsidR="00E2522C" w:rsidRPr="00DD066D">
        <w:t xml:space="preserve">i) </w:t>
      </w:r>
      <w:r w:rsidRPr="00DD066D">
        <w:t>des développements internes liés à l</w:t>
      </w:r>
      <w:r w:rsidR="001B30ED">
        <w:t>'</w:t>
      </w:r>
      <w:r w:rsidRPr="00DD066D">
        <w:t>amélioration de certains services offerts aux membres, tout particulièrement en ce qui concerne la consultation, la gestion et l</w:t>
      </w:r>
      <w:r w:rsidR="001B30ED">
        <w:t>'</w:t>
      </w:r>
      <w:r w:rsidRPr="00DD066D">
        <w:t>archiva</w:t>
      </w:r>
      <w:r w:rsidR="00E2522C" w:rsidRPr="00DD066D">
        <w:t>ge de la documentation de l</w:t>
      </w:r>
      <w:r w:rsidR="001B30ED">
        <w:t>'</w:t>
      </w:r>
      <w:r w:rsidR="00E2522C" w:rsidRPr="00DD066D">
        <w:t>UIT</w:t>
      </w:r>
      <w:r w:rsidR="007345C9">
        <w:t xml:space="preserve">; </w:t>
      </w:r>
      <w:r w:rsidRPr="00DD066D">
        <w:t xml:space="preserve">ii) </w:t>
      </w:r>
      <w:r w:rsidR="00E2522C" w:rsidRPr="00DD066D">
        <w:rPr>
          <w:rStyle w:val="bri2"/>
        </w:rPr>
        <w:t>les logiciels et les mises</w:t>
      </w:r>
      <w:r w:rsidR="00E2522C" w:rsidRPr="00DD066D">
        <w:t xml:space="preserve"> à jour standards utilisés dans le cadre des activités opérationnelles de l</w:t>
      </w:r>
      <w:r w:rsidR="001B30ED">
        <w:t>'</w:t>
      </w:r>
      <w:r w:rsidR="00E2522C" w:rsidRPr="00DD066D">
        <w:t>Union.</w:t>
      </w:r>
    </w:p>
    <w:p w14:paraId="3A6985F9" w14:textId="77777777" w:rsidR="00530832" w:rsidRPr="00DD066D" w:rsidRDefault="00530832" w:rsidP="007345C9">
      <w:pPr>
        <w:pStyle w:val="Headingb"/>
        <w:rPr>
          <w:i/>
          <w:iCs/>
        </w:rPr>
      </w:pPr>
      <w:bookmarkStart w:id="210" w:name="_Toc358123297"/>
      <w:bookmarkStart w:id="211" w:name="_Toc396386947"/>
      <w:bookmarkStart w:id="212" w:name="_Toc396387830"/>
      <w:bookmarkStart w:id="213" w:name="_Toc396387944"/>
      <w:bookmarkStart w:id="214" w:name="_Toc398277629"/>
      <w:bookmarkStart w:id="215" w:name="_Toc419407169"/>
      <w:bookmarkStart w:id="216" w:name="_Toc452140212"/>
      <w:bookmarkStart w:id="217" w:name="_Toc482958314"/>
      <w:bookmarkStart w:id="218" w:name="_Toc482966359"/>
      <w:bookmarkStart w:id="219" w:name="_Toc482967243"/>
      <w:bookmarkStart w:id="220" w:name="_Toc522685304"/>
      <w:r w:rsidRPr="00DD066D">
        <w:t>PASSIFS</w:t>
      </w:r>
      <w:bookmarkEnd w:id="210"/>
      <w:bookmarkEnd w:id="211"/>
      <w:bookmarkEnd w:id="212"/>
      <w:bookmarkEnd w:id="213"/>
      <w:bookmarkEnd w:id="214"/>
      <w:bookmarkEnd w:id="215"/>
      <w:bookmarkEnd w:id="216"/>
      <w:bookmarkEnd w:id="217"/>
      <w:bookmarkEnd w:id="218"/>
      <w:bookmarkEnd w:id="219"/>
      <w:bookmarkEnd w:id="220"/>
    </w:p>
    <w:p w14:paraId="7D458170" w14:textId="3FE85E73" w:rsidR="00530832" w:rsidRPr="00DD066D" w:rsidRDefault="00530832" w:rsidP="00B53AD7">
      <w:r w:rsidRPr="00DD066D">
        <w:t>32</w:t>
      </w:r>
      <w:r w:rsidRPr="00DD066D">
        <w:tab/>
        <w:t>En 2017, le montant total des passifs s</w:t>
      </w:r>
      <w:r w:rsidR="001B30ED">
        <w:t>'</w:t>
      </w:r>
      <w:r w:rsidRPr="00DD066D">
        <w:t>est chiffré à 8</w:t>
      </w:r>
      <w:r w:rsidR="00956C43">
        <w:t>55,3 millions CHF, en hausse de </w:t>
      </w:r>
      <w:r w:rsidRPr="00DD066D">
        <w:t xml:space="preserve">63,2 millions CHF (+8,0%) par rapport à la valeur comptabilisée en 2016 (792,1 millions CHF). Ces passifs se décomposaient comme suit: </w:t>
      </w:r>
    </w:p>
    <w:p w14:paraId="6E8399AD" w14:textId="490B4131" w:rsidR="00530832" w:rsidRPr="00DD066D" w:rsidRDefault="00530832" w:rsidP="00B53AD7">
      <w:pPr>
        <w:pStyle w:val="enumlev1"/>
      </w:pPr>
      <w:r w:rsidRPr="00DD066D">
        <w:t>a)</w:t>
      </w:r>
      <w:r w:rsidRPr="00DD066D">
        <w:tab/>
      </w:r>
      <w:r w:rsidRPr="00DD066D">
        <w:rPr>
          <w:i/>
          <w:iCs/>
        </w:rPr>
        <w:t>Passifs courants</w:t>
      </w:r>
      <w:r w:rsidRPr="00DD066D">
        <w:t xml:space="preserve"> d</w:t>
      </w:r>
      <w:r w:rsidR="001B30ED">
        <w:t>'</w:t>
      </w:r>
      <w:r w:rsidRPr="00DD066D">
        <w:t>un montant de 149,1 millions CHF, soit 17,4% du total des passifs (147,3</w:t>
      </w:r>
      <w:r w:rsidR="00A55BE4">
        <w:t> millions CHF et 18,6% en 2016);</w:t>
      </w:r>
      <w:r w:rsidRPr="00DD066D">
        <w:t xml:space="preserve"> et </w:t>
      </w:r>
    </w:p>
    <w:p w14:paraId="49AB6294" w14:textId="7BA656CE" w:rsidR="00530832" w:rsidRPr="00DD066D" w:rsidRDefault="00530832" w:rsidP="00B53AD7">
      <w:pPr>
        <w:pStyle w:val="enumlev1"/>
      </w:pPr>
      <w:r w:rsidRPr="00DD066D">
        <w:t>b)</w:t>
      </w:r>
      <w:r w:rsidRPr="00DD066D">
        <w:tab/>
      </w:r>
      <w:r w:rsidRPr="00DD066D">
        <w:rPr>
          <w:i/>
          <w:iCs/>
        </w:rPr>
        <w:t>Passifs non courants</w:t>
      </w:r>
      <w:r w:rsidRPr="00DD066D">
        <w:t> représentant 706,2 millions CHF, soit 82,6% du total des passifs (644,8 millions CHF et 81,4% en 2016).</w:t>
      </w:r>
    </w:p>
    <w:p w14:paraId="4EF1B4C9" w14:textId="77777777" w:rsidR="00EF2F7A" w:rsidRPr="00DD066D" w:rsidRDefault="00EF2F7A" w:rsidP="007345C9">
      <w:pPr>
        <w:pStyle w:val="Headingb"/>
      </w:pPr>
      <w:bookmarkStart w:id="221" w:name="_Toc358123298"/>
      <w:bookmarkStart w:id="222" w:name="_Toc396386948"/>
      <w:bookmarkStart w:id="223" w:name="_Toc396387831"/>
      <w:bookmarkStart w:id="224" w:name="_Toc396387945"/>
      <w:bookmarkStart w:id="225" w:name="_Toc398277630"/>
      <w:bookmarkStart w:id="226" w:name="_Toc419407170"/>
      <w:bookmarkStart w:id="227" w:name="_Toc452140213"/>
      <w:bookmarkStart w:id="228" w:name="_Toc482958315"/>
      <w:bookmarkStart w:id="229" w:name="_Toc482966360"/>
      <w:bookmarkStart w:id="230" w:name="_Toc482967244"/>
      <w:bookmarkStart w:id="231" w:name="_Toc522685305"/>
      <w:r w:rsidRPr="00DD066D">
        <w:t>Passifs courants</w:t>
      </w:r>
      <w:bookmarkEnd w:id="221"/>
      <w:bookmarkEnd w:id="222"/>
      <w:bookmarkEnd w:id="223"/>
      <w:bookmarkEnd w:id="224"/>
      <w:bookmarkEnd w:id="225"/>
      <w:bookmarkEnd w:id="226"/>
      <w:bookmarkEnd w:id="227"/>
      <w:bookmarkEnd w:id="228"/>
      <w:bookmarkEnd w:id="229"/>
      <w:bookmarkEnd w:id="230"/>
      <w:bookmarkEnd w:id="231"/>
    </w:p>
    <w:p w14:paraId="29B167E0" w14:textId="21686E2A" w:rsidR="00EF2F7A" w:rsidRPr="00FC387E" w:rsidRDefault="00EF2F7A" w:rsidP="00956C43">
      <w:pPr>
        <w:rPr>
          <w:spacing w:val="1"/>
        </w:rPr>
      </w:pPr>
      <w:r w:rsidRPr="00DD066D">
        <w:t>33</w:t>
      </w:r>
      <w:r w:rsidRPr="00DD066D">
        <w:tab/>
        <w:t xml:space="preserve">En 2017, </w:t>
      </w:r>
      <w:r w:rsidR="00E2522C" w:rsidRPr="00DD066D">
        <w:t>comme indiqué ci-dessus</w:t>
      </w:r>
      <w:r w:rsidRPr="00DD066D">
        <w:t>, le montant total des passifs courants s</w:t>
      </w:r>
      <w:r w:rsidR="001B30ED">
        <w:t>'</w:t>
      </w:r>
      <w:r w:rsidR="00956C43">
        <w:t>établissait à 149,1 </w:t>
      </w:r>
      <w:r w:rsidRPr="00DD066D">
        <w:t>millions CHF, en hausse de 1,8 million CHF par rapport à 2016 (147,3 millions CHF). Globalement, cette hausse est attribuable à l</w:t>
      </w:r>
      <w:r w:rsidR="001B30ED">
        <w:t>'</w:t>
      </w:r>
      <w:r w:rsidRPr="00DD066D">
        <w:t xml:space="preserve">augmentation des rubriques "Produits différés" </w:t>
      </w:r>
      <w:r w:rsidR="00956C43">
        <w:rPr>
          <w:spacing w:val="1"/>
        </w:rPr>
        <w:t>(+5,3 </w:t>
      </w:r>
      <w:r w:rsidRPr="00DD066D">
        <w:rPr>
          <w:spacing w:val="1"/>
        </w:rPr>
        <w:t xml:space="preserve">millions CHF), </w:t>
      </w:r>
      <w:r w:rsidRPr="00DD066D">
        <w:t xml:space="preserve">"Fournisseurs et autres créanciers" </w:t>
      </w:r>
      <w:r w:rsidRPr="00DD066D">
        <w:rPr>
          <w:spacing w:val="1"/>
        </w:rPr>
        <w:t xml:space="preserve">(+0,5 million CHF) et </w:t>
      </w:r>
      <w:r w:rsidR="0018444B">
        <w:t>"</w:t>
      </w:r>
      <w:r w:rsidR="0020586F" w:rsidRPr="00DD066D">
        <w:t>Provisions</w:t>
      </w:r>
      <w:r w:rsidR="0018444B">
        <w:t>"</w:t>
      </w:r>
      <w:r w:rsidR="00956C43">
        <w:t xml:space="preserve"> (+0,2 </w:t>
      </w:r>
      <w:r w:rsidR="0020586F" w:rsidRPr="00DD066D">
        <w:t xml:space="preserve">million </w:t>
      </w:r>
      <w:r w:rsidR="00792A4B" w:rsidRPr="00DD066D">
        <w:t xml:space="preserve">CHF), </w:t>
      </w:r>
      <w:r w:rsidR="00030641">
        <w:rPr>
          <w:spacing w:val="1"/>
        </w:rPr>
        <w:t>t</w:t>
      </w:r>
      <w:r w:rsidR="0020586F" w:rsidRPr="00DD066D">
        <w:rPr>
          <w:spacing w:val="1"/>
        </w:rPr>
        <w:t>andis que l</w:t>
      </w:r>
      <w:r w:rsidR="001B30ED">
        <w:rPr>
          <w:spacing w:val="1"/>
        </w:rPr>
        <w:t>'</w:t>
      </w:r>
      <w:r w:rsidR="0020586F" w:rsidRPr="00DD066D">
        <w:rPr>
          <w:spacing w:val="1"/>
        </w:rPr>
        <w:t>on observe une diminution des rubriques "Avantages du personnel" (</w:t>
      </w:r>
      <w:r w:rsidR="00956C43">
        <w:rPr>
          <w:spacing w:val="1"/>
        </w:rPr>
        <w:t>–</w:t>
      </w:r>
      <w:r w:rsidR="0020586F" w:rsidRPr="00DD066D">
        <w:rPr>
          <w:spacing w:val="1"/>
        </w:rPr>
        <w:t>0,9 mill</w:t>
      </w:r>
      <w:r w:rsidR="00030641">
        <w:rPr>
          <w:spacing w:val="1"/>
        </w:rPr>
        <w:t xml:space="preserve">ion CHF) et, en particulier, </w:t>
      </w:r>
      <w:r w:rsidR="0018444B">
        <w:rPr>
          <w:spacing w:val="1"/>
        </w:rPr>
        <w:t>"</w:t>
      </w:r>
      <w:r w:rsidR="00030641">
        <w:rPr>
          <w:spacing w:val="1"/>
        </w:rPr>
        <w:t>A</w:t>
      </w:r>
      <w:r w:rsidR="0020586F" w:rsidRPr="00DD066D">
        <w:rPr>
          <w:spacing w:val="1"/>
        </w:rPr>
        <w:t>utres dettes</w:t>
      </w:r>
      <w:r w:rsidR="0018444B">
        <w:rPr>
          <w:spacing w:val="1"/>
        </w:rPr>
        <w:t>"</w:t>
      </w:r>
      <w:r w:rsidR="0020586F" w:rsidRPr="00DD066D">
        <w:rPr>
          <w:spacing w:val="1"/>
        </w:rPr>
        <w:t xml:space="preserve"> (</w:t>
      </w:r>
      <w:r w:rsidR="00956C43">
        <w:rPr>
          <w:spacing w:val="1"/>
        </w:rPr>
        <w:t>–</w:t>
      </w:r>
      <w:r w:rsidR="0020586F" w:rsidRPr="00DD066D">
        <w:rPr>
          <w:spacing w:val="1"/>
        </w:rPr>
        <w:t>3,3 millions CHF).</w:t>
      </w:r>
      <w:r w:rsidR="00FC387E">
        <w:rPr>
          <w:spacing w:val="1"/>
        </w:rPr>
        <w:t xml:space="preserve"> </w:t>
      </w:r>
      <w:r w:rsidRPr="00DD066D">
        <w:rPr>
          <w:spacing w:val="1"/>
        </w:rPr>
        <w:t>Les bases pour l</w:t>
      </w:r>
      <w:r w:rsidR="001B30ED">
        <w:rPr>
          <w:spacing w:val="1"/>
        </w:rPr>
        <w:t>'</w:t>
      </w:r>
      <w:r w:rsidRPr="00DD066D">
        <w:rPr>
          <w:spacing w:val="1"/>
        </w:rPr>
        <w:t xml:space="preserve">évaluation des passifs courants sont décrites dans les principes comptables </w:t>
      </w:r>
      <w:r w:rsidRPr="00DD066D">
        <w:t>(Note</w:t>
      </w:r>
      <w:r w:rsidR="0018444B">
        <w:t> </w:t>
      </w:r>
      <w:r w:rsidRPr="00DD066D">
        <w:t xml:space="preserve">2). </w:t>
      </w:r>
    </w:p>
    <w:p w14:paraId="15EAC296" w14:textId="77777777" w:rsidR="00792A4B" w:rsidRPr="007345C9" w:rsidRDefault="00792A4B" w:rsidP="007345C9">
      <w:pPr>
        <w:pStyle w:val="Headingb"/>
      </w:pPr>
      <w:bookmarkStart w:id="232" w:name="_Toc356330889"/>
      <w:bookmarkStart w:id="233" w:name="_Toc358123299"/>
      <w:bookmarkStart w:id="234" w:name="_Toc396386949"/>
      <w:bookmarkStart w:id="235" w:name="_Toc396387832"/>
      <w:bookmarkStart w:id="236" w:name="_Toc396387946"/>
      <w:bookmarkStart w:id="237" w:name="_Toc398277631"/>
      <w:bookmarkStart w:id="238" w:name="_Toc419407171"/>
      <w:bookmarkStart w:id="239" w:name="_Toc452140214"/>
      <w:bookmarkStart w:id="240" w:name="_Toc482958316"/>
      <w:bookmarkStart w:id="241" w:name="_Toc482966361"/>
      <w:bookmarkStart w:id="242" w:name="_Toc482967245"/>
      <w:bookmarkStart w:id="243" w:name="_Toc522685306"/>
      <w:r w:rsidRPr="00DD066D">
        <w:t>Fournisseurs et autres créanciers</w:t>
      </w:r>
      <w:bookmarkEnd w:id="232"/>
      <w:bookmarkEnd w:id="233"/>
      <w:bookmarkEnd w:id="234"/>
      <w:bookmarkEnd w:id="235"/>
      <w:bookmarkEnd w:id="236"/>
      <w:bookmarkEnd w:id="237"/>
      <w:bookmarkEnd w:id="238"/>
      <w:bookmarkEnd w:id="239"/>
      <w:bookmarkEnd w:id="240"/>
      <w:bookmarkEnd w:id="241"/>
      <w:bookmarkEnd w:id="242"/>
      <w:bookmarkEnd w:id="243"/>
    </w:p>
    <w:p w14:paraId="36DAEBA0" w14:textId="17B9784E" w:rsidR="001467B7" w:rsidRPr="00B7461F" w:rsidRDefault="00792A4B" w:rsidP="00B53AD7">
      <w:r w:rsidRPr="00DD066D">
        <w:t>34</w:t>
      </w:r>
      <w:r w:rsidRPr="00DD066D">
        <w:tab/>
        <w:t>Un montant de 9,65 millions CHF (9,15 millions CHF en 2016) apparaît dans le bilan de clôture sous la rubrique "Fournisseurs et autres créanciers". Une ventilation détaillée est donnée dans la Note</w:t>
      </w:r>
      <w:r w:rsidR="0018444B">
        <w:t> </w:t>
      </w:r>
      <w:r w:rsidRPr="00DD066D">
        <w:t xml:space="preserve">14 du Rapport de gestion financière, </w:t>
      </w:r>
      <w:r w:rsidR="001467B7" w:rsidRPr="00DD066D">
        <w:t xml:space="preserve">où figurent les trois rubriques </w:t>
      </w:r>
      <w:r w:rsidR="0018444B">
        <w:t>"</w:t>
      </w:r>
      <w:r w:rsidR="001467B7" w:rsidRPr="00DD066D">
        <w:t>Fournisseurs</w:t>
      </w:r>
      <w:r w:rsidR="0018444B">
        <w:t>"</w:t>
      </w:r>
      <w:r w:rsidR="001467B7" w:rsidRPr="00DD066D">
        <w:t xml:space="preserve">, </w:t>
      </w:r>
      <w:r w:rsidR="0018444B">
        <w:t>"</w:t>
      </w:r>
      <w:r w:rsidR="001467B7" w:rsidRPr="00DD066D">
        <w:t>Dépôts reçus</w:t>
      </w:r>
      <w:r w:rsidR="0018444B">
        <w:t>"</w:t>
      </w:r>
      <w:r w:rsidR="001467B7" w:rsidRPr="00DD066D">
        <w:t xml:space="preserve"> et </w:t>
      </w:r>
      <w:r w:rsidR="0018444B">
        <w:t>"</w:t>
      </w:r>
      <w:r w:rsidR="0068790B">
        <w:t>A</w:t>
      </w:r>
      <w:r w:rsidR="001467B7" w:rsidRPr="00DD066D">
        <w:t>comptes reçus</w:t>
      </w:r>
      <w:r w:rsidR="0018444B">
        <w:t>"</w:t>
      </w:r>
      <w:r w:rsidR="001467B7" w:rsidRPr="00DD066D">
        <w:t xml:space="preserve">. </w:t>
      </w:r>
    </w:p>
    <w:p w14:paraId="7555F9B3" w14:textId="77777777" w:rsidR="00792A4B" w:rsidRPr="00DD066D" w:rsidRDefault="00792A4B" w:rsidP="007345C9">
      <w:pPr>
        <w:pStyle w:val="Headingb"/>
      </w:pPr>
      <w:bookmarkStart w:id="244" w:name="_Toc356330890"/>
      <w:bookmarkStart w:id="245" w:name="_Toc358123300"/>
      <w:bookmarkStart w:id="246" w:name="_Toc396386950"/>
      <w:bookmarkStart w:id="247" w:name="_Toc396387833"/>
      <w:bookmarkStart w:id="248" w:name="_Toc396387947"/>
      <w:bookmarkStart w:id="249" w:name="_Toc398277632"/>
      <w:bookmarkStart w:id="250" w:name="_Toc419407172"/>
      <w:bookmarkStart w:id="251" w:name="_Toc452140215"/>
      <w:bookmarkStart w:id="252" w:name="_Toc482958317"/>
      <w:bookmarkStart w:id="253" w:name="_Toc482966362"/>
      <w:bookmarkStart w:id="254" w:name="_Toc482967246"/>
      <w:bookmarkStart w:id="255" w:name="_Toc522685307"/>
      <w:r w:rsidRPr="00DD066D">
        <w:t>Produits différés</w:t>
      </w:r>
      <w:bookmarkEnd w:id="244"/>
      <w:bookmarkEnd w:id="245"/>
      <w:bookmarkEnd w:id="246"/>
      <w:bookmarkEnd w:id="247"/>
      <w:bookmarkEnd w:id="248"/>
      <w:bookmarkEnd w:id="249"/>
      <w:bookmarkEnd w:id="250"/>
      <w:bookmarkEnd w:id="251"/>
      <w:bookmarkEnd w:id="252"/>
      <w:bookmarkEnd w:id="253"/>
      <w:bookmarkEnd w:id="254"/>
      <w:bookmarkEnd w:id="255"/>
    </w:p>
    <w:p w14:paraId="7E594D8C" w14:textId="407841D8" w:rsidR="00792A4B" w:rsidRPr="00DD066D" w:rsidRDefault="00F00FE2" w:rsidP="0068790B">
      <w:pPr>
        <w:tabs>
          <w:tab w:val="left" w:pos="6096"/>
        </w:tabs>
        <w:rPr>
          <w:spacing w:val="1"/>
        </w:rPr>
      </w:pPr>
      <w:r w:rsidRPr="00DD066D">
        <w:t>35</w:t>
      </w:r>
      <w:r w:rsidR="00792A4B" w:rsidRPr="00DD066D">
        <w:tab/>
        <w:t>Le montant comptabilisé sous la rubrique "Produits différés" s</w:t>
      </w:r>
      <w:r w:rsidR="001B30ED">
        <w:t>'</w:t>
      </w:r>
      <w:r w:rsidR="00792A4B" w:rsidRPr="00DD066D">
        <w:t>établissait à 1</w:t>
      </w:r>
      <w:r w:rsidR="00C10DF7" w:rsidRPr="00DD066D">
        <w:t>34,3</w:t>
      </w:r>
      <w:r w:rsidR="00956C43">
        <w:t> millions </w:t>
      </w:r>
      <w:r w:rsidR="00792A4B" w:rsidRPr="00DD066D">
        <w:t>CHF (12</w:t>
      </w:r>
      <w:r w:rsidR="00C10DF7" w:rsidRPr="00DD066D">
        <w:t>9</w:t>
      </w:r>
      <w:r w:rsidR="00A24E7F" w:rsidRPr="00DD066D">
        <w:t>,0</w:t>
      </w:r>
      <w:r w:rsidR="00792A4B" w:rsidRPr="00DD066D">
        <w:t> millions CHF en 201</w:t>
      </w:r>
      <w:r w:rsidR="00C10DF7" w:rsidRPr="00DD066D">
        <w:t>6</w:t>
      </w:r>
      <w:r w:rsidR="00792A4B" w:rsidRPr="00DD066D">
        <w:t>). Ce montant est constitué, pour l</w:t>
      </w:r>
      <w:r w:rsidR="001B30ED">
        <w:t>'</w:t>
      </w:r>
      <w:r w:rsidR="00956C43">
        <w:t>essentiel, par </w:t>
      </w:r>
      <w:r w:rsidR="00792A4B" w:rsidRPr="00DD066D">
        <w:t>les contributions versées par les membres de l</w:t>
      </w:r>
      <w:r w:rsidR="001B30ED">
        <w:t>'</w:t>
      </w:r>
      <w:r w:rsidR="00792A4B" w:rsidRPr="00DD066D">
        <w:t xml:space="preserve">UIT (Etats </w:t>
      </w:r>
      <w:r w:rsidR="0068790B">
        <w:t>M</w:t>
      </w:r>
      <w:r w:rsidR="00792A4B" w:rsidRPr="00DD066D">
        <w:t xml:space="preserve">embres, </w:t>
      </w:r>
      <w:r w:rsidR="00E83344">
        <w:t>M</w:t>
      </w:r>
      <w:r w:rsidR="00792A4B" w:rsidRPr="00DD066D">
        <w:t xml:space="preserve">embres des Secteurs, Associés) et par les recettes tirées du traitement des fiches de notification des réseaux à satellite </w:t>
      </w:r>
      <w:r w:rsidR="00A24E7F" w:rsidRPr="00DD066D">
        <w:t>pour les demandes préparées</w:t>
      </w:r>
      <w:r w:rsidR="00792A4B" w:rsidRPr="00DD066D">
        <w:t xml:space="preserve"> fin 201</w:t>
      </w:r>
      <w:r w:rsidR="00C10DF7" w:rsidRPr="00DD066D">
        <w:t xml:space="preserve">7 </w:t>
      </w:r>
      <w:r w:rsidR="00A24E7F" w:rsidRPr="00DD066D">
        <w:t>en vue d</w:t>
      </w:r>
      <w:r w:rsidR="001B30ED">
        <w:t>'</w:t>
      </w:r>
      <w:r w:rsidR="00A24E7F" w:rsidRPr="00DD066D">
        <w:t>une publication e</w:t>
      </w:r>
      <w:r w:rsidR="00C10DF7" w:rsidRPr="00DD066D">
        <w:t>n 2018</w:t>
      </w:r>
      <w:r w:rsidR="00792A4B" w:rsidRPr="00DD066D">
        <w:t>. Une ventilation détaillée des produits différés est donnée dans la Note</w:t>
      </w:r>
      <w:r w:rsidR="0018444B">
        <w:t> </w:t>
      </w:r>
      <w:r w:rsidR="00792A4B" w:rsidRPr="00DD066D">
        <w:t>1</w:t>
      </w:r>
      <w:r w:rsidR="00C10DF7" w:rsidRPr="00DD066D">
        <w:t>5</w:t>
      </w:r>
      <w:r w:rsidR="00792A4B" w:rsidRPr="00DD066D">
        <w:t xml:space="preserve"> du Rapport de gestion financière.</w:t>
      </w:r>
    </w:p>
    <w:p w14:paraId="4300E813" w14:textId="77777777" w:rsidR="00C10DF7" w:rsidRPr="00DD066D" w:rsidRDefault="00C10DF7" w:rsidP="007345C9">
      <w:pPr>
        <w:pStyle w:val="Headingb"/>
      </w:pPr>
      <w:bookmarkStart w:id="256" w:name="_Toc356330891"/>
      <w:bookmarkStart w:id="257" w:name="_Toc358123301"/>
      <w:bookmarkStart w:id="258" w:name="_Toc396386951"/>
      <w:bookmarkStart w:id="259" w:name="_Toc396387834"/>
      <w:bookmarkStart w:id="260" w:name="_Toc396387948"/>
      <w:bookmarkStart w:id="261" w:name="_Toc398277633"/>
      <w:bookmarkStart w:id="262" w:name="_Toc419407173"/>
      <w:bookmarkStart w:id="263" w:name="_Toc452140216"/>
      <w:bookmarkStart w:id="264" w:name="_Toc482958318"/>
      <w:bookmarkStart w:id="265" w:name="_Toc482966363"/>
      <w:bookmarkStart w:id="266" w:name="_Toc482967247"/>
      <w:bookmarkStart w:id="267" w:name="_Toc522685308"/>
      <w:r w:rsidRPr="00DD066D">
        <w:t>Provisions</w:t>
      </w:r>
      <w:bookmarkEnd w:id="256"/>
      <w:bookmarkEnd w:id="257"/>
      <w:bookmarkEnd w:id="258"/>
      <w:bookmarkEnd w:id="259"/>
      <w:bookmarkEnd w:id="260"/>
      <w:bookmarkEnd w:id="261"/>
      <w:bookmarkEnd w:id="262"/>
      <w:bookmarkEnd w:id="263"/>
      <w:bookmarkEnd w:id="264"/>
      <w:bookmarkEnd w:id="265"/>
      <w:bookmarkEnd w:id="266"/>
      <w:bookmarkEnd w:id="267"/>
    </w:p>
    <w:p w14:paraId="14D3F041" w14:textId="2A354A4F" w:rsidR="00C10DF7" w:rsidRPr="00DD066D" w:rsidRDefault="00C10DF7" w:rsidP="00B53AD7">
      <w:r w:rsidRPr="00DD066D">
        <w:t>36</w:t>
      </w:r>
      <w:r w:rsidRPr="00DD066D">
        <w:tab/>
        <w:t>En 2017, un montant de 1,65 million CHF était comptabilisé sous la rubrique "Provisions" (1,45 million CHF en 2016). Cette rubrique comprend la provision pour les recours (</w:t>
      </w:r>
      <w:r w:rsidR="00A24E7F" w:rsidRPr="00DD066D">
        <w:t>environ</w:t>
      </w:r>
      <w:r w:rsidRPr="00DD066D">
        <w:t xml:space="preserve"> 1,15 million CHF) et la provision pour les fiches de notification des réseaux à satellite traitées en franchise de droit</w:t>
      </w:r>
      <w:r w:rsidR="00E83344">
        <w:t>s</w:t>
      </w:r>
      <w:r w:rsidRPr="00DD066D">
        <w:t xml:space="preserve"> (0,5 million CHF).</w:t>
      </w:r>
      <w:r w:rsidRPr="00DD066D">
        <w:rPr>
          <w:spacing w:val="1"/>
        </w:rPr>
        <w:t xml:space="preserve"> </w:t>
      </w:r>
      <w:r w:rsidRPr="00DD066D">
        <w:t>Une ventilation détaillée des provisions est donnée dans la Note</w:t>
      </w:r>
      <w:r w:rsidR="0018444B">
        <w:t> </w:t>
      </w:r>
      <w:r w:rsidRPr="00DD066D">
        <w:t xml:space="preserve">18 du Rapport de gestion financière. </w:t>
      </w:r>
    </w:p>
    <w:p w14:paraId="21B4AECE" w14:textId="27DF1E04" w:rsidR="00C10DF7" w:rsidRPr="00DD066D" w:rsidRDefault="00C10DF7" w:rsidP="00B53AD7">
      <w:r w:rsidRPr="00DD066D">
        <w:t>37</w:t>
      </w:r>
      <w:r w:rsidRPr="00DD066D">
        <w:tab/>
        <w:t>Les provisions pour les recours sont passées de la valeur initiale de 909</w:t>
      </w:r>
      <w:r w:rsidR="0018444B">
        <w:t> 000 </w:t>
      </w:r>
      <w:r w:rsidRPr="00DD066D">
        <w:t>CHF pour 2017 à la valeur finale (31</w:t>
      </w:r>
      <w:r w:rsidR="0018444B">
        <w:t> </w:t>
      </w:r>
      <w:r w:rsidRPr="00DD066D">
        <w:t>décembre</w:t>
      </w:r>
      <w:r w:rsidR="0018444B">
        <w:t> </w:t>
      </w:r>
      <w:r w:rsidRPr="00DD066D">
        <w:t>2017) de 1 135 000</w:t>
      </w:r>
      <w:r w:rsidR="0018444B">
        <w:t> </w:t>
      </w:r>
      <w:r w:rsidRPr="00DD066D">
        <w:t>CHF. Leur montan</w:t>
      </w:r>
      <w:r w:rsidR="00086289">
        <w:t>t effectif a été augmenté de </w:t>
      </w:r>
      <w:r w:rsidR="00676342" w:rsidRPr="00DD066D">
        <w:t>546</w:t>
      </w:r>
      <w:r w:rsidRPr="00DD066D">
        <w:t xml:space="preserve"> 000 CHF, et un montant de </w:t>
      </w:r>
      <w:r w:rsidR="00676342" w:rsidRPr="00DD066D">
        <w:t>226</w:t>
      </w:r>
      <w:r w:rsidR="0018444B">
        <w:t> </w:t>
      </w:r>
      <w:r w:rsidRPr="00DD066D">
        <w:t>000 CHF a été utilisé.</w:t>
      </w:r>
    </w:p>
    <w:p w14:paraId="3EBF84DC" w14:textId="77777777" w:rsidR="00A55BE4" w:rsidRDefault="00A55BE4" w:rsidP="007345C9">
      <w:pPr>
        <w:pStyle w:val="Headingb"/>
      </w:pPr>
      <w:bookmarkStart w:id="268" w:name="_Toc358123305"/>
      <w:bookmarkStart w:id="269" w:name="_Toc396386952"/>
      <w:bookmarkStart w:id="270" w:name="_Toc396387835"/>
      <w:bookmarkStart w:id="271" w:name="_Toc396387949"/>
      <w:bookmarkStart w:id="272" w:name="_Toc398277634"/>
      <w:bookmarkStart w:id="273" w:name="_Toc419407174"/>
      <w:bookmarkStart w:id="274" w:name="_Toc452140217"/>
      <w:bookmarkStart w:id="275" w:name="_Toc482958319"/>
      <w:bookmarkStart w:id="276" w:name="_Toc482966364"/>
      <w:bookmarkStart w:id="277" w:name="_Toc482967249"/>
      <w:r>
        <w:br w:type="page"/>
      </w:r>
    </w:p>
    <w:p w14:paraId="2BA2C95D" w14:textId="1946733C" w:rsidR="003A5BB8" w:rsidRPr="00DD066D" w:rsidRDefault="003A5BB8" w:rsidP="007345C9">
      <w:pPr>
        <w:pStyle w:val="Headingb"/>
      </w:pPr>
      <w:bookmarkStart w:id="278" w:name="_Toc522685309"/>
      <w:r w:rsidRPr="00DD066D">
        <w:t>Emprunts et dettes financières</w:t>
      </w:r>
      <w:bookmarkEnd w:id="268"/>
      <w:bookmarkEnd w:id="269"/>
      <w:bookmarkEnd w:id="270"/>
      <w:bookmarkEnd w:id="271"/>
      <w:bookmarkEnd w:id="272"/>
      <w:bookmarkEnd w:id="273"/>
      <w:bookmarkEnd w:id="274"/>
      <w:bookmarkEnd w:id="275"/>
      <w:bookmarkEnd w:id="276"/>
      <w:bookmarkEnd w:id="277"/>
      <w:bookmarkEnd w:id="278"/>
    </w:p>
    <w:p w14:paraId="1F13B4ED" w14:textId="3E615722" w:rsidR="003A5BB8" w:rsidRPr="00DD066D" w:rsidRDefault="003A5BB8" w:rsidP="00B53AD7">
      <w:r w:rsidRPr="00DD066D">
        <w:rPr>
          <w:spacing w:val="1"/>
        </w:rPr>
        <w:t>38</w:t>
      </w:r>
      <w:r w:rsidRPr="00DD066D">
        <w:rPr>
          <w:spacing w:val="1"/>
        </w:rPr>
        <w:tab/>
        <w:t>Les emprunts contractés par l</w:t>
      </w:r>
      <w:r w:rsidR="001B30ED">
        <w:rPr>
          <w:spacing w:val="1"/>
        </w:rPr>
        <w:t>'</w:t>
      </w:r>
      <w:r w:rsidRPr="00DD066D">
        <w:rPr>
          <w:spacing w:val="1"/>
        </w:rPr>
        <w:t xml:space="preserve">UIT auprès de la </w:t>
      </w:r>
      <w:r w:rsidRPr="00DD066D">
        <w:t>FIPOI, pour la construction et la rénovation de certains de ses immeubles</w:t>
      </w:r>
      <w:r w:rsidR="00BF32FE" w:rsidRPr="00DD066D">
        <w:t>,</w:t>
      </w:r>
      <w:r w:rsidRPr="00DD066D">
        <w:t xml:space="preserve"> ont été comptabilisés dans les passifs courants à court terme (</w:t>
      </w:r>
      <w:r w:rsidRPr="00DD066D">
        <w:rPr>
          <w:spacing w:val="1"/>
        </w:rPr>
        <w:t>1,5 million</w:t>
      </w:r>
      <w:r w:rsidRPr="00DD066D">
        <w:t xml:space="preserve"> CHF</w:t>
      </w:r>
      <w:r w:rsidRPr="00DD066D">
        <w:rPr>
          <w:spacing w:val="1"/>
        </w:rPr>
        <w:t>, soit 1,0% du total des passifs courants), ce qui correspond à la somme que l</w:t>
      </w:r>
      <w:r w:rsidR="001B30ED">
        <w:rPr>
          <w:spacing w:val="1"/>
        </w:rPr>
        <w:t>'</w:t>
      </w:r>
      <w:r w:rsidRPr="00DD066D">
        <w:rPr>
          <w:spacing w:val="1"/>
        </w:rPr>
        <w:t xml:space="preserve">UIT doit rembourser à la </w:t>
      </w:r>
      <w:r w:rsidRPr="00DD066D">
        <w:t>FIPOI en 2017, et dans les passifs courants à long terme</w:t>
      </w:r>
      <w:r w:rsidRPr="00DD066D">
        <w:rPr>
          <w:spacing w:val="1"/>
        </w:rPr>
        <w:t xml:space="preserve"> (41,5 millions CHF, soit 5,9% du total des passifs non courants). Les montants, indiqués en détail dans la Note</w:t>
      </w:r>
      <w:r w:rsidR="0018444B">
        <w:rPr>
          <w:spacing w:val="1"/>
        </w:rPr>
        <w:t> </w:t>
      </w:r>
      <w:r w:rsidR="00086289">
        <w:rPr>
          <w:spacing w:val="1"/>
        </w:rPr>
        <w:t>16 du </w:t>
      </w:r>
      <w:r w:rsidRPr="00DD066D">
        <w:rPr>
          <w:spacing w:val="1"/>
        </w:rPr>
        <w:t xml:space="preserve">Rapport de gestion financière, sont également confirmés par </w:t>
      </w:r>
      <w:r w:rsidR="00086289">
        <w:rPr>
          <w:spacing w:val="1"/>
        </w:rPr>
        <w:t>les états financiers en date du </w:t>
      </w:r>
      <w:r w:rsidRPr="00DD066D">
        <w:rPr>
          <w:spacing w:val="1"/>
        </w:rPr>
        <w:t>12 </w:t>
      </w:r>
      <w:r w:rsidR="00BF32FE" w:rsidRPr="00DD066D">
        <w:rPr>
          <w:spacing w:val="1"/>
        </w:rPr>
        <w:t>janvier</w:t>
      </w:r>
      <w:r w:rsidR="0018444B">
        <w:rPr>
          <w:spacing w:val="1"/>
        </w:rPr>
        <w:t> </w:t>
      </w:r>
      <w:r w:rsidRPr="00DD066D">
        <w:rPr>
          <w:spacing w:val="1"/>
        </w:rPr>
        <w:t xml:space="preserve">2018 reçus de la </w:t>
      </w:r>
      <w:r w:rsidRPr="00DD066D">
        <w:t>FIPOI.</w:t>
      </w:r>
    </w:p>
    <w:p w14:paraId="5210AE28" w14:textId="77777777" w:rsidR="003A5BB8" w:rsidRPr="00DD066D" w:rsidRDefault="003A5BB8" w:rsidP="007345C9">
      <w:pPr>
        <w:pStyle w:val="Headingb"/>
      </w:pPr>
      <w:bookmarkStart w:id="279" w:name="_Toc396386953"/>
      <w:bookmarkStart w:id="280" w:name="_Toc396387836"/>
      <w:bookmarkStart w:id="281" w:name="_Toc396387950"/>
      <w:bookmarkStart w:id="282" w:name="_Toc398277635"/>
      <w:bookmarkStart w:id="283" w:name="_Toc419407175"/>
      <w:bookmarkStart w:id="284" w:name="_Toc452140218"/>
      <w:bookmarkStart w:id="285" w:name="_Toc482958320"/>
      <w:bookmarkStart w:id="286" w:name="_Toc482966365"/>
      <w:bookmarkStart w:id="287" w:name="_Toc482967250"/>
      <w:bookmarkStart w:id="288" w:name="_Toc522685310"/>
      <w:r w:rsidRPr="00DD066D">
        <w:t>Autres passifs courants</w:t>
      </w:r>
      <w:bookmarkEnd w:id="279"/>
      <w:bookmarkEnd w:id="280"/>
      <w:bookmarkEnd w:id="281"/>
      <w:bookmarkEnd w:id="282"/>
      <w:bookmarkEnd w:id="283"/>
      <w:bookmarkEnd w:id="284"/>
      <w:bookmarkEnd w:id="285"/>
      <w:bookmarkEnd w:id="286"/>
      <w:bookmarkEnd w:id="287"/>
      <w:bookmarkEnd w:id="288"/>
    </w:p>
    <w:p w14:paraId="64F60800" w14:textId="1EF0EEB6" w:rsidR="003A5BB8" w:rsidRPr="00DD066D" w:rsidRDefault="003A5BB8" w:rsidP="00B53AD7">
      <w:pPr>
        <w:rPr>
          <w:spacing w:val="1"/>
        </w:rPr>
      </w:pPr>
      <w:r w:rsidRPr="00DD066D">
        <w:t>39</w:t>
      </w:r>
      <w:r w:rsidRPr="00DD066D">
        <w:tab/>
        <w:t>En 2017, les montants comptabilisés pour les rubriques "Avantages du personnel" et "Autres dettes" étaient respectivement de 0,2 million CHF (1,1 million CHF en 2016) et de 1,8 million CHF (5,1 millions CHF en 2016). Une description et une ventilation détaillées sont données respectivement dans les Notes</w:t>
      </w:r>
      <w:r w:rsidR="0018444B">
        <w:t> </w:t>
      </w:r>
      <w:r w:rsidRPr="00DD066D">
        <w:t xml:space="preserve">17.1 et 19 </w:t>
      </w:r>
      <w:r w:rsidRPr="00DD066D">
        <w:rPr>
          <w:spacing w:val="1"/>
        </w:rPr>
        <w:t>du Rapport de gestion financière.</w:t>
      </w:r>
    </w:p>
    <w:p w14:paraId="4D9DCF2D" w14:textId="69400329" w:rsidR="003A5BB8" w:rsidRPr="00DD066D" w:rsidRDefault="003A5BB8" w:rsidP="00B53AD7">
      <w:r w:rsidRPr="00DD066D">
        <w:rPr>
          <w:spacing w:val="1"/>
        </w:rPr>
        <w:t>40</w:t>
      </w:r>
      <w:r w:rsidRPr="00DD066D">
        <w:rPr>
          <w:spacing w:val="1"/>
        </w:rPr>
        <w:tab/>
        <w:t>En particulier, les avantages du personnel à court terme, comptabilisés sous "Passifs courants" se composent de la provision pour heures supplémentaires</w:t>
      </w:r>
      <w:r w:rsidRPr="00DD066D">
        <w:t xml:space="preserve"> (51 000</w:t>
      </w:r>
      <w:r w:rsidR="0018444B">
        <w:t> </w:t>
      </w:r>
      <w:r w:rsidRPr="00DD066D">
        <w:t>CHF, contre 60</w:t>
      </w:r>
      <w:r w:rsidR="0018444B">
        <w:t> </w:t>
      </w:r>
      <w:r w:rsidR="00E6617B" w:rsidRPr="00DD066D">
        <w:t>000</w:t>
      </w:r>
      <w:r w:rsidRPr="00DD066D">
        <w:t xml:space="preserve"> en 2016) et de la provision pour congés accumulés (175 000</w:t>
      </w:r>
      <w:r w:rsidR="0018444B">
        <w:t> </w:t>
      </w:r>
      <w:r w:rsidRPr="00DD066D">
        <w:t>CHF, c</w:t>
      </w:r>
      <w:r w:rsidR="00E6617B" w:rsidRPr="00DD066D">
        <w:t>ontre 1</w:t>
      </w:r>
      <w:r w:rsidR="0018444B">
        <w:t> 034 </w:t>
      </w:r>
      <w:r w:rsidR="00E6617B" w:rsidRPr="00DD066D">
        <w:t>000</w:t>
      </w:r>
      <w:r w:rsidR="002522D6">
        <w:t xml:space="preserve"> </w:t>
      </w:r>
      <w:r w:rsidRPr="00DD066D">
        <w:t>en 2015). Nos vérifications n</w:t>
      </w:r>
      <w:r w:rsidR="001B30ED">
        <w:t>'</w:t>
      </w:r>
      <w:r w:rsidRPr="00DD066D">
        <w:t>ont fait apparaître aucun problème majeur et les provisions sont, pour l</w:t>
      </w:r>
      <w:r w:rsidR="001B30ED">
        <w:t>'</w:t>
      </w:r>
      <w:r w:rsidRPr="00DD066D">
        <w:t>essentiel, exactes.</w:t>
      </w:r>
    </w:p>
    <w:p w14:paraId="0783618B" w14:textId="05328070" w:rsidR="00E6617B" w:rsidRPr="00DD066D" w:rsidRDefault="003A5BB8" w:rsidP="00B53AD7">
      <w:r w:rsidRPr="00DD066D">
        <w:t>41</w:t>
      </w:r>
      <w:r w:rsidRPr="00DD066D">
        <w:tab/>
      </w:r>
      <w:r w:rsidR="00E6617B" w:rsidRPr="00DD066D">
        <w:t xml:space="preserve">La rubrique </w:t>
      </w:r>
      <w:r w:rsidR="0018444B">
        <w:t>"</w:t>
      </w:r>
      <w:r w:rsidR="00E6617B" w:rsidRPr="00DD066D">
        <w:t>Autres dettes</w:t>
      </w:r>
      <w:r w:rsidR="0018444B">
        <w:t>"</w:t>
      </w:r>
      <w:r w:rsidR="00E6617B" w:rsidRPr="00DD066D">
        <w:t xml:space="preserve">, comptabilisée sous </w:t>
      </w:r>
      <w:r w:rsidR="00E6617B" w:rsidRPr="00DD066D">
        <w:rPr>
          <w:spacing w:val="1"/>
        </w:rPr>
        <w:t xml:space="preserve">"Passifs courants", comprend les </w:t>
      </w:r>
      <w:r w:rsidR="00086289">
        <w:rPr>
          <w:spacing w:val="1"/>
        </w:rPr>
        <w:t>sous</w:t>
      </w:r>
      <w:r w:rsidR="00086289">
        <w:rPr>
          <w:spacing w:val="1"/>
        </w:rPr>
        <w:noBreakHyphen/>
      </w:r>
      <w:r w:rsidR="00F006D3" w:rsidRPr="00DD066D">
        <w:rPr>
          <w:spacing w:val="1"/>
        </w:rPr>
        <w:t xml:space="preserve">rubriques: </w:t>
      </w:r>
      <w:r w:rsidR="0018444B">
        <w:rPr>
          <w:spacing w:val="1"/>
        </w:rPr>
        <w:t>"</w:t>
      </w:r>
      <w:r w:rsidR="00F006D3" w:rsidRPr="00DD066D">
        <w:rPr>
          <w:spacing w:val="1"/>
        </w:rPr>
        <w:t>Passifs transitoires</w:t>
      </w:r>
      <w:r w:rsidR="0018444B">
        <w:rPr>
          <w:spacing w:val="1"/>
        </w:rPr>
        <w:t>"</w:t>
      </w:r>
      <w:r w:rsidR="00F006D3" w:rsidRPr="00DD066D">
        <w:rPr>
          <w:spacing w:val="1"/>
        </w:rPr>
        <w:t xml:space="preserve">, </w:t>
      </w:r>
      <w:r w:rsidR="0018444B">
        <w:rPr>
          <w:spacing w:val="1"/>
        </w:rPr>
        <w:t>"</w:t>
      </w:r>
      <w:r w:rsidR="00F006D3" w:rsidRPr="00DD066D">
        <w:rPr>
          <w:spacing w:val="1"/>
        </w:rPr>
        <w:t>Divers personnel</w:t>
      </w:r>
      <w:r w:rsidR="0018444B">
        <w:rPr>
          <w:spacing w:val="1"/>
        </w:rPr>
        <w:t>"</w:t>
      </w:r>
      <w:r w:rsidR="00F006D3" w:rsidRPr="00DD066D">
        <w:rPr>
          <w:spacing w:val="1"/>
        </w:rPr>
        <w:t xml:space="preserve"> (la seule à afficher une augmentation, en passant de 651</w:t>
      </w:r>
      <w:r w:rsidR="0018444B">
        <w:rPr>
          <w:spacing w:val="1"/>
        </w:rPr>
        <w:t> 000 </w:t>
      </w:r>
      <w:r w:rsidR="00F006D3" w:rsidRPr="00DD066D">
        <w:rPr>
          <w:spacing w:val="1"/>
        </w:rPr>
        <w:t>CHF en 2016 à 823</w:t>
      </w:r>
      <w:r w:rsidR="0018444B">
        <w:rPr>
          <w:spacing w:val="1"/>
        </w:rPr>
        <w:t> 000 </w:t>
      </w:r>
      <w:r w:rsidR="00F006D3" w:rsidRPr="00DD066D">
        <w:rPr>
          <w:spacing w:val="1"/>
        </w:rPr>
        <w:t xml:space="preserve">CHF en 2017), </w:t>
      </w:r>
      <w:r w:rsidR="0018444B">
        <w:rPr>
          <w:spacing w:val="1"/>
        </w:rPr>
        <w:t>"</w:t>
      </w:r>
      <w:r w:rsidR="00F006D3" w:rsidRPr="00DD066D">
        <w:t>Biens/factures reçus</w:t>
      </w:r>
      <w:r w:rsidR="0018444B">
        <w:t>"</w:t>
      </w:r>
      <w:r w:rsidR="00F006D3" w:rsidRPr="00DD066D">
        <w:t xml:space="preserve"> et </w:t>
      </w:r>
      <w:r w:rsidR="0018444B">
        <w:t>"</w:t>
      </w:r>
      <w:r w:rsidR="00F006D3" w:rsidRPr="00DD066D">
        <w:t>PNUD</w:t>
      </w:r>
      <w:r w:rsidR="0018444B">
        <w:t>"</w:t>
      </w:r>
      <w:r w:rsidR="00F006D3" w:rsidRPr="00DD066D">
        <w:t>.</w:t>
      </w:r>
    </w:p>
    <w:p w14:paraId="3E2C1A39" w14:textId="77777777" w:rsidR="009D11E8" w:rsidRPr="007345C9" w:rsidRDefault="009D11E8" w:rsidP="007345C9">
      <w:pPr>
        <w:pStyle w:val="Headingb"/>
      </w:pPr>
      <w:bookmarkStart w:id="289" w:name="_Toc358123306"/>
      <w:bookmarkStart w:id="290" w:name="_Toc396386954"/>
      <w:bookmarkStart w:id="291" w:name="_Toc396387837"/>
      <w:bookmarkStart w:id="292" w:name="_Toc396387951"/>
      <w:bookmarkStart w:id="293" w:name="_Toc398277636"/>
      <w:bookmarkStart w:id="294" w:name="_Toc419407176"/>
      <w:bookmarkStart w:id="295" w:name="_Toc452140219"/>
      <w:bookmarkStart w:id="296" w:name="_Toc482958321"/>
      <w:bookmarkStart w:id="297" w:name="_Toc482966366"/>
      <w:bookmarkStart w:id="298" w:name="_Toc482967251"/>
      <w:bookmarkStart w:id="299" w:name="_Toc522685311"/>
      <w:r w:rsidRPr="00DD066D">
        <w:t>Passifs non courants</w:t>
      </w:r>
      <w:bookmarkEnd w:id="289"/>
      <w:bookmarkEnd w:id="290"/>
      <w:bookmarkEnd w:id="291"/>
      <w:bookmarkEnd w:id="292"/>
      <w:bookmarkEnd w:id="293"/>
      <w:bookmarkEnd w:id="294"/>
      <w:bookmarkEnd w:id="295"/>
      <w:bookmarkEnd w:id="296"/>
      <w:bookmarkEnd w:id="297"/>
      <w:bookmarkEnd w:id="298"/>
      <w:bookmarkEnd w:id="299"/>
    </w:p>
    <w:p w14:paraId="3CF6C0E4" w14:textId="3E78DA48" w:rsidR="009D11E8" w:rsidRPr="00DD066D" w:rsidRDefault="009D11E8" w:rsidP="00B53AD7">
      <w:r w:rsidRPr="00DD066D">
        <w:t>42</w:t>
      </w:r>
      <w:r w:rsidRPr="00DD066D">
        <w:tab/>
        <w:t>En 201</w:t>
      </w:r>
      <w:r w:rsidR="00C0558A" w:rsidRPr="00DD066D">
        <w:t>7</w:t>
      </w:r>
      <w:r w:rsidRPr="00DD066D">
        <w:t xml:space="preserve">, le montant total des passifs non courants se chiffrait à </w:t>
      </w:r>
      <w:r w:rsidR="00C0558A" w:rsidRPr="00DD066D">
        <w:t>706</w:t>
      </w:r>
      <w:r w:rsidRPr="00DD066D">
        <w:t>,</w:t>
      </w:r>
      <w:r w:rsidR="00C0558A" w:rsidRPr="00DD066D">
        <w:t>1</w:t>
      </w:r>
      <w:r w:rsidRPr="00DD066D">
        <w:t xml:space="preserve">8 millions CHF, en hausse de </w:t>
      </w:r>
      <w:r w:rsidR="00C0558A" w:rsidRPr="00DD066D">
        <w:t>61</w:t>
      </w:r>
      <w:r w:rsidRPr="00DD066D">
        <w:t>,</w:t>
      </w:r>
      <w:r w:rsidR="00C0558A" w:rsidRPr="00DD066D">
        <w:t>33</w:t>
      </w:r>
      <w:r w:rsidRPr="00DD066D">
        <w:t xml:space="preserve"> millions CHF (+</w:t>
      </w:r>
      <w:r w:rsidR="00C0558A" w:rsidRPr="00DD066D">
        <w:t>9,5</w:t>
      </w:r>
      <w:r w:rsidRPr="00DD066D">
        <w:t>%) par rapport à 201</w:t>
      </w:r>
      <w:r w:rsidR="00C0558A" w:rsidRPr="00DD066D">
        <w:t>6</w:t>
      </w:r>
      <w:r w:rsidRPr="00DD066D">
        <w:t xml:space="preserve"> (</w:t>
      </w:r>
      <w:r w:rsidR="00C0558A" w:rsidRPr="00DD066D">
        <w:t>644</w:t>
      </w:r>
      <w:r w:rsidRPr="00DD066D">
        <w:t>,</w:t>
      </w:r>
      <w:r w:rsidR="00C0558A" w:rsidRPr="00DD066D">
        <w:t>85</w:t>
      </w:r>
      <w:r w:rsidRPr="00DD066D">
        <w:t xml:space="preserve"> millions CHF). Globalement, cette hausse s</w:t>
      </w:r>
      <w:r w:rsidR="001B30ED">
        <w:t>'</w:t>
      </w:r>
      <w:r w:rsidRPr="00DD066D">
        <w:t>explique par l</w:t>
      </w:r>
      <w:r w:rsidR="001B30ED">
        <w:t>'</w:t>
      </w:r>
      <w:r w:rsidRPr="00DD066D">
        <w:t>augmentation du montant des avantages du personnel (</w:t>
      </w:r>
      <w:r w:rsidR="00C0558A" w:rsidRPr="00DD066D">
        <w:t>+63,2</w:t>
      </w:r>
      <w:r w:rsidRPr="00DD066D">
        <w:t xml:space="preserve"> millions CHF; </w:t>
      </w:r>
      <w:r w:rsidR="00C0558A" w:rsidRPr="00DD066D">
        <w:t>+11,0</w:t>
      </w:r>
      <w:r w:rsidRPr="00DD066D">
        <w:t>% par rapport à 201</w:t>
      </w:r>
      <w:r w:rsidR="00C0558A" w:rsidRPr="00DD066D">
        <w:t>6</w:t>
      </w:r>
      <w:r w:rsidRPr="00DD066D">
        <w:t>). Les bases de l</w:t>
      </w:r>
      <w:r w:rsidR="001B30ED">
        <w:t>'</w:t>
      </w:r>
      <w:r w:rsidRPr="00DD066D">
        <w:t>évaluation des passifs non courants sont indiquées dans les principes comptables (Note</w:t>
      </w:r>
      <w:r w:rsidR="0018444B">
        <w:t> </w:t>
      </w:r>
      <w:r w:rsidRPr="00DD066D">
        <w:t>2).</w:t>
      </w:r>
    </w:p>
    <w:p w14:paraId="6152CFE8" w14:textId="67CAD6BA" w:rsidR="009D11E8" w:rsidRPr="00DD066D" w:rsidRDefault="00C0558A" w:rsidP="00B53AD7">
      <w:pPr>
        <w:rPr>
          <w:spacing w:val="3"/>
        </w:rPr>
      </w:pPr>
      <w:r w:rsidRPr="00DD066D">
        <w:t>43</w:t>
      </w:r>
      <w:r w:rsidR="009D11E8" w:rsidRPr="00DD066D">
        <w:tab/>
        <w:t>Cette rubrique comprenait les dettes à long terme (voir le paragraphe "Emprunts"), les fonds de tiers affectés ou en cours d</w:t>
      </w:r>
      <w:r w:rsidR="001B30ED">
        <w:t>'</w:t>
      </w:r>
      <w:r w:rsidR="009D11E8" w:rsidRPr="00DD066D">
        <w:t>affectation</w:t>
      </w:r>
      <w:r w:rsidR="009D11E8" w:rsidRPr="00DD066D">
        <w:rPr>
          <w:spacing w:val="3"/>
        </w:rPr>
        <w:t>, les passifs pour le régime d</w:t>
      </w:r>
      <w:r w:rsidR="001B30ED">
        <w:rPr>
          <w:spacing w:val="3"/>
        </w:rPr>
        <w:t>'</w:t>
      </w:r>
      <w:r w:rsidR="009D11E8" w:rsidRPr="00DD066D">
        <w:rPr>
          <w:spacing w:val="3"/>
        </w:rPr>
        <w:t>assurance maladie de l</w:t>
      </w:r>
      <w:r w:rsidR="001B30ED">
        <w:rPr>
          <w:spacing w:val="3"/>
        </w:rPr>
        <w:t>'</w:t>
      </w:r>
      <w:r w:rsidR="009D11E8" w:rsidRPr="00DD066D">
        <w:rPr>
          <w:spacing w:val="3"/>
        </w:rPr>
        <w:t>UIT et les provisions constituées pour couvrir des engagements d</w:t>
      </w:r>
      <w:r w:rsidR="001B30ED">
        <w:rPr>
          <w:spacing w:val="3"/>
        </w:rPr>
        <w:t>'</w:t>
      </w:r>
      <w:r w:rsidR="009D11E8" w:rsidRPr="00DD066D">
        <w:rPr>
          <w:spacing w:val="3"/>
        </w:rPr>
        <w:t>une échéance et d</w:t>
      </w:r>
      <w:r w:rsidR="001B30ED">
        <w:rPr>
          <w:spacing w:val="3"/>
        </w:rPr>
        <w:t>'</w:t>
      </w:r>
      <w:r w:rsidR="009D11E8" w:rsidRPr="00DD066D">
        <w:rPr>
          <w:spacing w:val="3"/>
        </w:rPr>
        <w:t>un montant incertains, liés pour l</w:t>
      </w:r>
      <w:r w:rsidR="001B30ED">
        <w:rPr>
          <w:spacing w:val="3"/>
        </w:rPr>
        <w:t>'</w:t>
      </w:r>
      <w:r w:rsidR="009D11E8" w:rsidRPr="00DD066D">
        <w:rPr>
          <w:spacing w:val="3"/>
        </w:rPr>
        <w:t>essentiel aux prestations après la cessation de service.</w:t>
      </w:r>
    </w:p>
    <w:p w14:paraId="40FED265" w14:textId="77777777" w:rsidR="00C0558A" w:rsidRPr="00DD066D" w:rsidRDefault="00C0558A" w:rsidP="007345C9">
      <w:pPr>
        <w:pStyle w:val="Headingb"/>
      </w:pPr>
      <w:bookmarkStart w:id="300" w:name="_Toc419407177"/>
      <w:bookmarkStart w:id="301" w:name="_Toc452140220"/>
      <w:bookmarkStart w:id="302" w:name="_Toc482958322"/>
      <w:bookmarkStart w:id="303" w:name="_Toc482966367"/>
      <w:bookmarkStart w:id="304" w:name="_Toc482967252"/>
      <w:bookmarkStart w:id="305" w:name="_Toc522685312"/>
      <w:r w:rsidRPr="00DD066D">
        <w:t>Récapitulatif des avantages du personnel</w:t>
      </w:r>
      <w:bookmarkEnd w:id="300"/>
      <w:bookmarkEnd w:id="301"/>
      <w:bookmarkEnd w:id="302"/>
      <w:bookmarkEnd w:id="303"/>
      <w:bookmarkEnd w:id="304"/>
      <w:bookmarkEnd w:id="305"/>
    </w:p>
    <w:p w14:paraId="0ADA41BD" w14:textId="4C60F60D" w:rsidR="00C0558A" w:rsidRDefault="00C0558A" w:rsidP="00B21487">
      <w:pPr>
        <w:spacing w:after="240"/>
        <w:rPr>
          <w:bCs/>
        </w:rPr>
      </w:pPr>
      <w:r w:rsidRPr="00DD066D">
        <w:t>44</w:t>
      </w:r>
      <w:r w:rsidRPr="00DD066D">
        <w:tab/>
        <w:t xml:space="preserve">Les avantages du personnel apparaissent dans les états financiers sous les rubriques "Passifs courants" et "Passifs non courants", pour un montant total de </w:t>
      </w:r>
      <w:r w:rsidR="00B21487">
        <w:t>638,6</w:t>
      </w:r>
      <w:r w:rsidRPr="00DD066D">
        <w:t xml:space="preserve"> millions CHF en 201</w:t>
      </w:r>
      <w:r w:rsidR="002943F0" w:rsidRPr="00DD066D">
        <w:t>7</w:t>
      </w:r>
      <w:r w:rsidRPr="00DD066D">
        <w:t>, comme récapitulé dans le tableau ci-dessous.</w:t>
      </w:r>
      <w:r w:rsidRPr="00DD066D">
        <w:rPr>
          <w:bCs/>
        </w:rPr>
        <w:t xml:space="preserve"> </w:t>
      </w:r>
    </w:p>
    <w:p w14:paraId="5458D160" w14:textId="19A19E18" w:rsidR="00A55BE4" w:rsidRDefault="00A55BE4" w:rsidP="00B53AD7">
      <w:pPr>
        <w:spacing w:after="240"/>
        <w:rPr>
          <w:bCs/>
        </w:rPr>
      </w:pPr>
      <w:r>
        <w:rPr>
          <w:bCs/>
        </w:rPr>
        <w:br w:type="page"/>
      </w:r>
    </w:p>
    <w:tbl>
      <w:tblPr>
        <w:tblStyle w:val="TableGrid1"/>
        <w:tblW w:w="0" w:type="auto"/>
        <w:tblLook w:val="04A0" w:firstRow="1" w:lastRow="0" w:firstColumn="1" w:lastColumn="0" w:noHBand="0" w:noVBand="1"/>
      </w:tblPr>
      <w:tblGrid>
        <w:gridCol w:w="3670"/>
        <w:gridCol w:w="1518"/>
        <w:gridCol w:w="1501"/>
        <w:gridCol w:w="1432"/>
        <w:gridCol w:w="1230"/>
      </w:tblGrid>
      <w:tr w:rsidR="002943F0" w:rsidRPr="00A55BE4" w14:paraId="7BB5A3FB" w14:textId="77777777" w:rsidTr="00341378">
        <w:tc>
          <w:tcPr>
            <w:tcW w:w="3670" w:type="dxa"/>
            <w:vMerge w:val="restart"/>
            <w:vAlign w:val="center"/>
          </w:tcPr>
          <w:p w14:paraId="7218A95A" w14:textId="77777777" w:rsidR="002943F0" w:rsidRPr="00A55BE4" w:rsidRDefault="002943F0" w:rsidP="00B53AD7">
            <w:pPr>
              <w:spacing w:before="40" w:after="40"/>
              <w:jc w:val="center"/>
              <w:rPr>
                <w:rFonts w:asciiTheme="minorHAnsi" w:hAnsiTheme="minorHAnsi"/>
                <w:sz w:val="22"/>
              </w:rPr>
            </w:pPr>
            <w:r w:rsidRPr="00A55BE4">
              <w:rPr>
                <w:b/>
                <w:bCs/>
                <w:i/>
                <w:iCs/>
                <w:sz w:val="22"/>
              </w:rPr>
              <w:t>Passifs</w:t>
            </w:r>
          </w:p>
        </w:tc>
        <w:tc>
          <w:tcPr>
            <w:tcW w:w="3019" w:type="dxa"/>
            <w:gridSpan w:val="2"/>
          </w:tcPr>
          <w:p w14:paraId="3725DCA7" w14:textId="46FF9CCF" w:rsidR="002943F0" w:rsidRPr="00A55BE4" w:rsidRDefault="002943F0" w:rsidP="00B53AD7">
            <w:pPr>
              <w:spacing w:before="40" w:after="40"/>
              <w:jc w:val="center"/>
              <w:rPr>
                <w:rFonts w:asciiTheme="minorHAnsi" w:hAnsiTheme="minorHAnsi"/>
                <w:sz w:val="22"/>
              </w:rPr>
            </w:pPr>
            <w:r w:rsidRPr="00A55BE4">
              <w:rPr>
                <w:b/>
                <w:bCs/>
                <w:sz w:val="22"/>
              </w:rPr>
              <w:t>Année (</w:t>
            </w:r>
            <w:r w:rsidR="001D5E8E" w:rsidRPr="00A55BE4">
              <w:rPr>
                <w:b/>
                <w:bCs/>
                <w:sz w:val="22"/>
              </w:rPr>
              <w:t xml:space="preserve">milliers </w:t>
            </w:r>
            <w:r w:rsidRPr="00A55BE4">
              <w:rPr>
                <w:b/>
                <w:bCs/>
                <w:sz w:val="22"/>
              </w:rPr>
              <w:t>CHF)</w:t>
            </w:r>
          </w:p>
        </w:tc>
        <w:tc>
          <w:tcPr>
            <w:tcW w:w="2662" w:type="dxa"/>
            <w:gridSpan w:val="2"/>
          </w:tcPr>
          <w:p w14:paraId="428ECF5B" w14:textId="5D7FC319" w:rsidR="002943F0" w:rsidRPr="00A55BE4" w:rsidRDefault="00C94F89" w:rsidP="00B53AD7">
            <w:pPr>
              <w:spacing w:before="40" w:after="40"/>
              <w:jc w:val="center"/>
              <w:rPr>
                <w:rFonts w:asciiTheme="minorHAnsi" w:hAnsiTheme="minorHAnsi"/>
                <w:sz w:val="22"/>
              </w:rPr>
            </w:pPr>
            <w:r w:rsidRPr="00A55BE4">
              <w:rPr>
                <w:b/>
                <w:bCs/>
                <w:sz w:val="22"/>
              </w:rPr>
              <w:t>Ecart de 2016</w:t>
            </w:r>
            <w:r w:rsidR="002943F0" w:rsidRPr="00A55BE4">
              <w:rPr>
                <w:b/>
                <w:bCs/>
                <w:sz w:val="22"/>
              </w:rPr>
              <w:t xml:space="preserve"> à 201</w:t>
            </w:r>
            <w:r w:rsidRPr="00A55BE4">
              <w:rPr>
                <w:b/>
                <w:bCs/>
                <w:sz w:val="22"/>
              </w:rPr>
              <w:t>7</w:t>
            </w:r>
          </w:p>
        </w:tc>
      </w:tr>
      <w:tr w:rsidR="002943F0" w:rsidRPr="00A55BE4" w14:paraId="5D2890F3" w14:textId="77777777" w:rsidTr="00341378">
        <w:tc>
          <w:tcPr>
            <w:tcW w:w="3670" w:type="dxa"/>
            <w:vMerge/>
          </w:tcPr>
          <w:p w14:paraId="0260D0CB" w14:textId="77777777" w:rsidR="002943F0" w:rsidRPr="00A55BE4" w:rsidRDefault="002943F0" w:rsidP="00B53AD7">
            <w:pPr>
              <w:spacing w:before="40" w:after="40"/>
              <w:rPr>
                <w:rFonts w:asciiTheme="minorHAnsi" w:hAnsiTheme="minorHAnsi"/>
                <w:sz w:val="22"/>
              </w:rPr>
            </w:pPr>
          </w:p>
        </w:tc>
        <w:tc>
          <w:tcPr>
            <w:tcW w:w="1518" w:type="dxa"/>
          </w:tcPr>
          <w:p w14:paraId="5736B1EB" w14:textId="77777777" w:rsidR="002943F0" w:rsidRPr="00A55BE4" w:rsidRDefault="002943F0" w:rsidP="00B53AD7">
            <w:pPr>
              <w:spacing w:before="40" w:after="40"/>
              <w:jc w:val="center"/>
              <w:rPr>
                <w:b/>
                <w:bCs/>
                <w:i/>
                <w:iCs/>
                <w:sz w:val="22"/>
              </w:rPr>
            </w:pPr>
            <w:r w:rsidRPr="00A55BE4">
              <w:rPr>
                <w:b/>
                <w:bCs/>
                <w:i/>
                <w:iCs/>
                <w:sz w:val="22"/>
              </w:rPr>
              <w:t>2017</w:t>
            </w:r>
          </w:p>
        </w:tc>
        <w:tc>
          <w:tcPr>
            <w:tcW w:w="1501" w:type="dxa"/>
          </w:tcPr>
          <w:p w14:paraId="68546AB9" w14:textId="77777777" w:rsidR="002943F0" w:rsidRPr="00A55BE4" w:rsidRDefault="002943F0" w:rsidP="00B53AD7">
            <w:pPr>
              <w:spacing w:before="40" w:after="40"/>
              <w:jc w:val="center"/>
              <w:rPr>
                <w:b/>
                <w:bCs/>
                <w:i/>
                <w:iCs/>
                <w:sz w:val="22"/>
              </w:rPr>
            </w:pPr>
            <w:r w:rsidRPr="00A55BE4">
              <w:rPr>
                <w:b/>
                <w:bCs/>
                <w:i/>
                <w:iCs/>
                <w:sz w:val="22"/>
              </w:rPr>
              <w:t>2016</w:t>
            </w:r>
          </w:p>
        </w:tc>
        <w:tc>
          <w:tcPr>
            <w:tcW w:w="1432" w:type="dxa"/>
          </w:tcPr>
          <w:p w14:paraId="098F30B3" w14:textId="256FB839" w:rsidR="002943F0" w:rsidRPr="00A55BE4" w:rsidRDefault="00341378" w:rsidP="00B53AD7">
            <w:pPr>
              <w:spacing w:before="40" w:after="40"/>
              <w:jc w:val="center"/>
              <w:rPr>
                <w:b/>
                <w:bCs/>
                <w:sz w:val="22"/>
              </w:rPr>
            </w:pPr>
            <w:r>
              <w:rPr>
                <w:b/>
                <w:bCs/>
                <w:sz w:val="22"/>
              </w:rPr>
              <w:t>m</w:t>
            </w:r>
            <w:r w:rsidR="001D5E8E" w:rsidRPr="00A55BE4">
              <w:rPr>
                <w:b/>
                <w:bCs/>
                <w:sz w:val="22"/>
              </w:rPr>
              <w:t xml:space="preserve">illiers </w:t>
            </w:r>
            <w:r w:rsidR="002943F0" w:rsidRPr="00A55BE4">
              <w:rPr>
                <w:b/>
                <w:bCs/>
                <w:sz w:val="22"/>
              </w:rPr>
              <w:t>CHF</w:t>
            </w:r>
          </w:p>
        </w:tc>
        <w:tc>
          <w:tcPr>
            <w:tcW w:w="1230" w:type="dxa"/>
          </w:tcPr>
          <w:p w14:paraId="554BEF4F" w14:textId="77777777" w:rsidR="002943F0" w:rsidRPr="00A55BE4" w:rsidRDefault="002943F0" w:rsidP="00B53AD7">
            <w:pPr>
              <w:spacing w:before="40" w:after="40"/>
              <w:jc w:val="center"/>
              <w:rPr>
                <w:b/>
                <w:bCs/>
                <w:sz w:val="22"/>
              </w:rPr>
            </w:pPr>
            <w:r w:rsidRPr="00A55BE4">
              <w:rPr>
                <w:b/>
                <w:bCs/>
                <w:sz w:val="22"/>
              </w:rPr>
              <w:t>%</w:t>
            </w:r>
          </w:p>
        </w:tc>
      </w:tr>
      <w:tr w:rsidR="002943F0" w:rsidRPr="00A55BE4" w14:paraId="0DE21C1D" w14:textId="77777777" w:rsidTr="00341378">
        <w:tc>
          <w:tcPr>
            <w:tcW w:w="3670" w:type="dxa"/>
          </w:tcPr>
          <w:p w14:paraId="784D9FA7" w14:textId="77777777" w:rsidR="002943F0" w:rsidRPr="00A55BE4" w:rsidRDefault="002943F0" w:rsidP="001F5CDD">
            <w:pPr>
              <w:pStyle w:val="Tabletext"/>
              <w:rPr>
                <w:rFonts w:asciiTheme="minorHAnsi" w:hAnsiTheme="minorHAnsi"/>
              </w:rPr>
            </w:pPr>
            <w:r w:rsidRPr="00A55BE4">
              <w:t>Passifs courants</w:t>
            </w:r>
          </w:p>
        </w:tc>
        <w:tc>
          <w:tcPr>
            <w:tcW w:w="1518" w:type="dxa"/>
            <w:tcMar>
              <w:left w:w="142" w:type="dxa"/>
              <w:right w:w="567" w:type="dxa"/>
            </w:tcMar>
            <w:vAlign w:val="center"/>
          </w:tcPr>
          <w:p w14:paraId="54F2C0A7" w14:textId="639CEC96" w:rsidR="002943F0" w:rsidRPr="00A55BE4" w:rsidRDefault="002943F0" w:rsidP="001F5CDD">
            <w:pPr>
              <w:pStyle w:val="Tabletext"/>
              <w:ind w:right="-336"/>
              <w:jc w:val="right"/>
              <w:rPr>
                <w:rFonts w:ascii="Times New Roman" w:hAnsi="Times New Roman"/>
                <w:lang w:eastAsia="zh-CN"/>
              </w:rPr>
            </w:pPr>
            <w:r w:rsidRPr="00A55BE4">
              <w:t>226</w:t>
            </w:r>
          </w:p>
        </w:tc>
        <w:tc>
          <w:tcPr>
            <w:tcW w:w="1501" w:type="dxa"/>
            <w:tcMar>
              <w:left w:w="142" w:type="dxa"/>
              <w:right w:w="567" w:type="dxa"/>
            </w:tcMar>
            <w:vAlign w:val="center"/>
          </w:tcPr>
          <w:p w14:paraId="7FD5B196" w14:textId="5A32A2D0" w:rsidR="002943F0" w:rsidRPr="00A55BE4" w:rsidRDefault="002943F0" w:rsidP="001F5CDD">
            <w:pPr>
              <w:pStyle w:val="Tabletext"/>
              <w:ind w:right="-394"/>
              <w:jc w:val="right"/>
              <w:rPr>
                <w:rFonts w:ascii="Times New Roman" w:hAnsi="Times New Roman"/>
                <w:lang w:eastAsia="zh-CN"/>
              </w:rPr>
            </w:pPr>
            <w:r w:rsidRPr="00A55BE4">
              <w:t>1</w:t>
            </w:r>
            <w:r w:rsidR="00A55BE4">
              <w:t xml:space="preserve"> </w:t>
            </w:r>
            <w:r w:rsidRPr="00A55BE4">
              <w:t>094</w:t>
            </w:r>
          </w:p>
        </w:tc>
        <w:tc>
          <w:tcPr>
            <w:tcW w:w="1432" w:type="dxa"/>
            <w:tcMar>
              <w:left w:w="567" w:type="dxa"/>
            </w:tcMar>
            <w:vAlign w:val="center"/>
          </w:tcPr>
          <w:p w14:paraId="440ACF6A" w14:textId="77777777" w:rsidR="002943F0" w:rsidRPr="00A55BE4" w:rsidRDefault="002943F0" w:rsidP="001F5CDD">
            <w:pPr>
              <w:pStyle w:val="Tabletext"/>
              <w:jc w:val="right"/>
              <w:rPr>
                <w:rFonts w:ascii="Times New Roman" w:hAnsi="Times New Roman"/>
                <w:lang w:eastAsia="zh-CN"/>
              </w:rPr>
            </w:pPr>
            <w:r w:rsidRPr="00A55BE4">
              <w:t>–868</w:t>
            </w:r>
          </w:p>
        </w:tc>
        <w:tc>
          <w:tcPr>
            <w:tcW w:w="1230" w:type="dxa"/>
            <w:vAlign w:val="center"/>
          </w:tcPr>
          <w:p w14:paraId="6DC3DC2A" w14:textId="77777777" w:rsidR="002943F0" w:rsidRPr="00A55BE4" w:rsidRDefault="004F274D" w:rsidP="001F5CDD">
            <w:pPr>
              <w:pStyle w:val="Tabletext"/>
              <w:jc w:val="right"/>
              <w:rPr>
                <w:rFonts w:ascii="Times New Roman" w:hAnsi="Times New Roman"/>
                <w:lang w:eastAsia="zh-CN"/>
              </w:rPr>
            </w:pPr>
            <w:r w:rsidRPr="00A55BE4">
              <w:t>–79,3</w:t>
            </w:r>
            <w:r w:rsidR="002943F0" w:rsidRPr="00A55BE4">
              <w:t>%</w:t>
            </w:r>
          </w:p>
        </w:tc>
      </w:tr>
      <w:tr w:rsidR="002943F0" w:rsidRPr="00A55BE4" w14:paraId="407EE035" w14:textId="77777777" w:rsidTr="00341378">
        <w:tc>
          <w:tcPr>
            <w:tcW w:w="3670" w:type="dxa"/>
          </w:tcPr>
          <w:p w14:paraId="365D4AE5" w14:textId="77777777" w:rsidR="002943F0" w:rsidRPr="00A55BE4" w:rsidRDefault="002943F0" w:rsidP="001F5CDD">
            <w:pPr>
              <w:pStyle w:val="Tabletext"/>
              <w:rPr>
                <w:rFonts w:asciiTheme="minorHAnsi" w:hAnsiTheme="minorHAnsi"/>
              </w:rPr>
            </w:pPr>
            <w:r w:rsidRPr="00A55BE4">
              <w:t>Passifs non courants</w:t>
            </w:r>
          </w:p>
        </w:tc>
        <w:tc>
          <w:tcPr>
            <w:tcW w:w="1518" w:type="dxa"/>
            <w:tcMar>
              <w:left w:w="142" w:type="dxa"/>
              <w:right w:w="567" w:type="dxa"/>
            </w:tcMar>
            <w:vAlign w:val="center"/>
          </w:tcPr>
          <w:p w14:paraId="340EFC2C" w14:textId="73EF49AC" w:rsidR="002943F0" w:rsidRPr="00A55BE4" w:rsidRDefault="002943F0" w:rsidP="001F5CDD">
            <w:pPr>
              <w:pStyle w:val="Tabletext"/>
              <w:ind w:right="-336"/>
              <w:jc w:val="right"/>
            </w:pPr>
            <w:r w:rsidRPr="00A55BE4">
              <w:t>638</w:t>
            </w:r>
            <w:r w:rsidR="0018444B" w:rsidRPr="00A55BE4">
              <w:t> </w:t>
            </w:r>
            <w:r w:rsidRPr="00A55BE4">
              <w:t>365</w:t>
            </w:r>
          </w:p>
        </w:tc>
        <w:tc>
          <w:tcPr>
            <w:tcW w:w="1501" w:type="dxa"/>
            <w:tcMar>
              <w:left w:w="142" w:type="dxa"/>
              <w:right w:w="567" w:type="dxa"/>
            </w:tcMar>
            <w:vAlign w:val="center"/>
          </w:tcPr>
          <w:p w14:paraId="3DECFAAD" w14:textId="61D76CA1" w:rsidR="002943F0" w:rsidRPr="00A55BE4" w:rsidRDefault="002943F0" w:rsidP="001F5CDD">
            <w:pPr>
              <w:pStyle w:val="Tabletext"/>
              <w:ind w:right="-394"/>
              <w:jc w:val="right"/>
            </w:pPr>
            <w:r w:rsidRPr="00A55BE4">
              <w:t>575</w:t>
            </w:r>
            <w:r w:rsidR="0018444B" w:rsidRPr="00A55BE4">
              <w:t> </w:t>
            </w:r>
            <w:r w:rsidRPr="00A55BE4">
              <w:t>123</w:t>
            </w:r>
          </w:p>
        </w:tc>
        <w:tc>
          <w:tcPr>
            <w:tcW w:w="1432" w:type="dxa"/>
            <w:tcMar>
              <w:left w:w="567" w:type="dxa"/>
            </w:tcMar>
            <w:vAlign w:val="center"/>
          </w:tcPr>
          <w:p w14:paraId="47599EC1" w14:textId="1B9E4043" w:rsidR="002943F0" w:rsidRPr="00A55BE4" w:rsidRDefault="002943F0" w:rsidP="001F5CDD">
            <w:pPr>
              <w:pStyle w:val="Tabletext"/>
              <w:jc w:val="right"/>
            </w:pPr>
            <w:r w:rsidRPr="00A55BE4">
              <w:t>63</w:t>
            </w:r>
            <w:r w:rsidR="0018444B" w:rsidRPr="00A55BE4">
              <w:t> </w:t>
            </w:r>
            <w:r w:rsidRPr="00A55BE4">
              <w:t>242</w:t>
            </w:r>
          </w:p>
        </w:tc>
        <w:tc>
          <w:tcPr>
            <w:tcW w:w="1230" w:type="dxa"/>
            <w:vAlign w:val="center"/>
          </w:tcPr>
          <w:p w14:paraId="542C3F22" w14:textId="77777777" w:rsidR="002943F0" w:rsidRPr="00A55BE4" w:rsidRDefault="004F274D" w:rsidP="001F5CDD">
            <w:pPr>
              <w:pStyle w:val="Tabletext"/>
              <w:jc w:val="right"/>
            </w:pPr>
            <w:r w:rsidRPr="00A55BE4">
              <w:t>11,0</w:t>
            </w:r>
            <w:r w:rsidR="002943F0" w:rsidRPr="00A55BE4">
              <w:t>%</w:t>
            </w:r>
          </w:p>
        </w:tc>
      </w:tr>
      <w:tr w:rsidR="002943F0" w:rsidRPr="00A55BE4" w14:paraId="6F136AC6" w14:textId="77777777" w:rsidTr="00341378">
        <w:tc>
          <w:tcPr>
            <w:tcW w:w="3670" w:type="dxa"/>
          </w:tcPr>
          <w:p w14:paraId="5E6C1776" w14:textId="77777777" w:rsidR="002943F0" w:rsidRPr="00A55BE4" w:rsidRDefault="002943F0" w:rsidP="001F5CDD">
            <w:pPr>
              <w:pStyle w:val="Tabletext"/>
              <w:rPr>
                <w:rFonts w:asciiTheme="minorHAnsi" w:hAnsiTheme="minorHAnsi"/>
              </w:rPr>
            </w:pPr>
            <w:r w:rsidRPr="00A55BE4">
              <w:rPr>
                <w:b/>
                <w:bCs/>
              </w:rPr>
              <w:t>Total</w:t>
            </w:r>
          </w:p>
        </w:tc>
        <w:tc>
          <w:tcPr>
            <w:tcW w:w="1518" w:type="dxa"/>
            <w:tcMar>
              <w:left w:w="142" w:type="dxa"/>
              <w:right w:w="567" w:type="dxa"/>
            </w:tcMar>
            <w:vAlign w:val="center"/>
          </w:tcPr>
          <w:p w14:paraId="73CCEB45" w14:textId="162D2D55" w:rsidR="002943F0" w:rsidRPr="00A55BE4" w:rsidRDefault="002943F0" w:rsidP="001F5CDD">
            <w:pPr>
              <w:pStyle w:val="Tabletext"/>
              <w:ind w:right="-336"/>
              <w:jc w:val="right"/>
              <w:rPr>
                <w:b/>
                <w:bCs/>
              </w:rPr>
            </w:pPr>
            <w:r w:rsidRPr="00A55BE4">
              <w:rPr>
                <w:b/>
                <w:bCs/>
              </w:rPr>
              <w:t>638</w:t>
            </w:r>
            <w:r w:rsidR="0018444B" w:rsidRPr="00A55BE4">
              <w:rPr>
                <w:b/>
                <w:bCs/>
              </w:rPr>
              <w:t> </w:t>
            </w:r>
            <w:r w:rsidRPr="00A55BE4">
              <w:rPr>
                <w:b/>
                <w:bCs/>
              </w:rPr>
              <w:t>591</w:t>
            </w:r>
          </w:p>
        </w:tc>
        <w:tc>
          <w:tcPr>
            <w:tcW w:w="1501" w:type="dxa"/>
            <w:tcMar>
              <w:left w:w="142" w:type="dxa"/>
              <w:right w:w="567" w:type="dxa"/>
            </w:tcMar>
            <w:vAlign w:val="center"/>
          </w:tcPr>
          <w:p w14:paraId="176ABB5E" w14:textId="206F4FBB" w:rsidR="002943F0" w:rsidRPr="00A55BE4" w:rsidRDefault="002943F0" w:rsidP="001F5CDD">
            <w:pPr>
              <w:pStyle w:val="Tabletext"/>
              <w:ind w:right="-394"/>
              <w:jc w:val="right"/>
              <w:rPr>
                <w:b/>
                <w:bCs/>
              </w:rPr>
            </w:pPr>
            <w:r w:rsidRPr="00A55BE4">
              <w:rPr>
                <w:b/>
                <w:bCs/>
              </w:rPr>
              <w:t>576</w:t>
            </w:r>
            <w:r w:rsidR="0018444B" w:rsidRPr="00A55BE4">
              <w:rPr>
                <w:b/>
                <w:bCs/>
              </w:rPr>
              <w:t> </w:t>
            </w:r>
            <w:r w:rsidRPr="00A55BE4">
              <w:rPr>
                <w:b/>
                <w:bCs/>
              </w:rPr>
              <w:t>217</w:t>
            </w:r>
          </w:p>
        </w:tc>
        <w:tc>
          <w:tcPr>
            <w:tcW w:w="1432" w:type="dxa"/>
            <w:tcMar>
              <w:left w:w="567" w:type="dxa"/>
            </w:tcMar>
            <w:vAlign w:val="center"/>
          </w:tcPr>
          <w:p w14:paraId="74A2BE04" w14:textId="57CCC200" w:rsidR="002943F0" w:rsidRPr="00A55BE4" w:rsidRDefault="002943F0" w:rsidP="001F5CDD">
            <w:pPr>
              <w:pStyle w:val="Tabletext"/>
              <w:jc w:val="right"/>
              <w:rPr>
                <w:b/>
                <w:bCs/>
              </w:rPr>
            </w:pPr>
            <w:r w:rsidRPr="00A55BE4">
              <w:rPr>
                <w:b/>
                <w:bCs/>
              </w:rPr>
              <w:t>62</w:t>
            </w:r>
            <w:r w:rsidR="0018444B" w:rsidRPr="00A55BE4">
              <w:rPr>
                <w:b/>
                <w:bCs/>
              </w:rPr>
              <w:t> </w:t>
            </w:r>
            <w:r w:rsidRPr="00A55BE4">
              <w:rPr>
                <w:b/>
                <w:bCs/>
              </w:rPr>
              <w:t>374</w:t>
            </w:r>
          </w:p>
        </w:tc>
        <w:tc>
          <w:tcPr>
            <w:tcW w:w="1230" w:type="dxa"/>
            <w:vAlign w:val="center"/>
          </w:tcPr>
          <w:p w14:paraId="22609A7D" w14:textId="77777777" w:rsidR="002943F0" w:rsidRPr="00A55BE4" w:rsidRDefault="004F274D" w:rsidP="001F5CDD">
            <w:pPr>
              <w:pStyle w:val="Tabletext"/>
              <w:jc w:val="right"/>
            </w:pPr>
            <w:r w:rsidRPr="00A55BE4">
              <w:t>10,8</w:t>
            </w:r>
            <w:r w:rsidR="002943F0" w:rsidRPr="00A55BE4">
              <w:t>%</w:t>
            </w:r>
          </w:p>
        </w:tc>
      </w:tr>
      <w:tr w:rsidR="002943F0" w:rsidRPr="00A55BE4" w14:paraId="5DE08552" w14:textId="77777777" w:rsidTr="00341378">
        <w:tc>
          <w:tcPr>
            <w:tcW w:w="3670" w:type="dxa"/>
          </w:tcPr>
          <w:p w14:paraId="56F42511" w14:textId="77777777" w:rsidR="002943F0" w:rsidRPr="00A55BE4" w:rsidRDefault="002943F0" w:rsidP="001F5CDD">
            <w:pPr>
              <w:pStyle w:val="Tabletext"/>
              <w:rPr>
                <w:rFonts w:asciiTheme="minorHAnsi" w:hAnsiTheme="minorHAnsi"/>
              </w:rPr>
            </w:pPr>
            <w:r w:rsidRPr="00A55BE4">
              <w:rPr>
                <w:b/>
                <w:bCs/>
                <w:i/>
                <w:iCs/>
              </w:rPr>
              <w:t>Composition des passifs non courants</w:t>
            </w:r>
          </w:p>
        </w:tc>
        <w:tc>
          <w:tcPr>
            <w:tcW w:w="1518" w:type="dxa"/>
            <w:tcMar>
              <w:left w:w="142" w:type="dxa"/>
              <w:right w:w="567" w:type="dxa"/>
            </w:tcMar>
            <w:vAlign w:val="center"/>
          </w:tcPr>
          <w:p w14:paraId="6F3ECFD2" w14:textId="77777777" w:rsidR="002943F0" w:rsidRPr="00A55BE4" w:rsidRDefault="002943F0" w:rsidP="001F5CDD">
            <w:pPr>
              <w:pStyle w:val="Tabletext"/>
              <w:ind w:right="-336"/>
              <w:jc w:val="right"/>
            </w:pPr>
            <w:r w:rsidRPr="00A55BE4">
              <w:t> </w:t>
            </w:r>
          </w:p>
        </w:tc>
        <w:tc>
          <w:tcPr>
            <w:tcW w:w="1501" w:type="dxa"/>
            <w:tcMar>
              <w:left w:w="142" w:type="dxa"/>
              <w:right w:w="567" w:type="dxa"/>
            </w:tcMar>
            <w:vAlign w:val="center"/>
          </w:tcPr>
          <w:p w14:paraId="57B7928A" w14:textId="69527A58" w:rsidR="002943F0" w:rsidRPr="00A55BE4" w:rsidRDefault="002943F0" w:rsidP="001F5CDD">
            <w:pPr>
              <w:pStyle w:val="Tabletext"/>
              <w:ind w:right="-394"/>
              <w:jc w:val="right"/>
            </w:pPr>
          </w:p>
        </w:tc>
        <w:tc>
          <w:tcPr>
            <w:tcW w:w="1432" w:type="dxa"/>
            <w:tcMar>
              <w:left w:w="567" w:type="dxa"/>
            </w:tcMar>
            <w:vAlign w:val="center"/>
          </w:tcPr>
          <w:p w14:paraId="387D9DA9" w14:textId="77777777" w:rsidR="002943F0" w:rsidRPr="00A55BE4" w:rsidRDefault="002943F0" w:rsidP="001F5CDD">
            <w:pPr>
              <w:pStyle w:val="Tabletext"/>
              <w:jc w:val="right"/>
            </w:pPr>
          </w:p>
        </w:tc>
        <w:tc>
          <w:tcPr>
            <w:tcW w:w="1230" w:type="dxa"/>
            <w:vAlign w:val="center"/>
          </w:tcPr>
          <w:p w14:paraId="46163AF4" w14:textId="77777777" w:rsidR="002943F0" w:rsidRPr="00A55BE4" w:rsidRDefault="002943F0" w:rsidP="001F5CDD">
            <w:pPr>
              <w:pStyle w:val="Tabletext"/>
              <w:jc w:val="right"/>
            </w:pPr>
          </w:p>
        </w:tc>
      </w:tr>
      <w:tr w:rsidR="002943F0" w:rsidRPr="00A55BE4" w14:paraId="275D926E" w14:textId="77777777" w:rsidTr="00341378">
        <w:tc>
          <w:tcPr>
            <w:tcW w:w="3670" w:type="dxa"/>
          </w:tcPr>
          <w:p w14:paraId="09677D19" w14:textId="77777777" w:rsidR="002943F0" w:rsidRPr="00A55BE4" w:rsidRDefault="002943F0" w:rsidP="001F5CDD">
            <w:pPr>
              <w:pStyle w:val="Tabletext"/>
              <w:rPr>
                <w:rFonts w:asciiTheme="minorHAnsi" w:hAnsiTheme="minorHAnsi"/>
              </w:rPr>
            </w:pPr>
            <w:r w:rsidRPr="00A55BE4">
              <w:t>Assurance maladie après la cessation de service (ASHI)</w:t>
            </w:r>
          </w:p>
        </w:tc>
        <w:tc>
          <w:tcPr>
            <w:tcW w:w="1518" w:type="dxa"/>
            <w:tcMar>
              <w:left w:w="142" w:type="dxa"/>
              <w:right w:w="567" w:type="dxa"/>
            </w:tcMar>
            <w:vAlign w:val="center"/>
          </w:tcPr>
          <w:p w14:paraId="6236E78B" w14:textId="34563F60" w:rsidR="002943F0" w:rsidRPr="00A55BE4" w:rsidRDefault="002943F0" w:rsidP="001F5CDD">
            <w:pPr>
              <w:pStyle w:val="Tabletext"/>
              <w:ind w:right="-336"/>
              <w:jc w:val="right"/>
            </w:pPr>
            <w:r w:rsidRPr="00A55BE4">
              <w:t>617</w:t>
            </w:r>
            <w:r w:rsidR="0018444B" w:rsidRPr="00A55BE4">
              <w:t> </w:t>
            </w:r>
            <w:r w:rsidRPr="00A55BE4">
              <w:t>250</w:t>
            </w:r>
          </w:p>
        </w:tc>
        <w:tc>
          <w:tcPr>
            <w:tcW w:w="1501" w:type="dxa"/>
            <w:tcMar>
              <w:left w:w="142" w:type="dxa"/>
              <w:right w:w="567" w:type="dxa"/>
            </w:tcMar>
            <w:vAlign w:val="center"/>
          </w:tcPr>
          <w:p w14:paraId="6F5DB9ED" w14:textId="1C2C71C4" w:rsidR="002943F0" w:rsidRPr="00A55BE4" w:rsidRDefault="002943F0" w:rsidP="001F5CDD">
            <w:pPr>
              <w:pStyle w:val="Tabletext"/>
              <w:ind w:right="-394"/>
              <w:jc w:val="right"/>
            </w:pPr>
            <w:r w:rsidRPr="00A55BE4">
              <w:t>551</w:t>
            </w:r>
            <w:r w:rsidR="0018444B" w:rsidRPr="00A55BE4">
              <w:t> </w:t>
            </w:r>
            <w:r w:rsidRPr="00A55BE4">
              <w:t>911</w:t>
            </w:r>
          </w:p>
        </w:tc>
        <w:tc>
          <w:tcPr>
            <w:tcW w:w="1432" w:type="dxa"/>
            <w:tcMar>
              <w:left w:w="567" w:type="dxa"/>
            </w:tcMar>
            <w:vAlign w:val="center"/>
          </w:tcPr>
          <w:p w14:paraId="79B2B1A7" w14:textId="429A0D0D" w:rsidR="002943F0" w:rsidRPr="00A55BE4" w:rsidRDefault="002943F0" w:rsidP="001F5CDD">
            <w:pPr>
              <w:pStyle w:val="Tabletext"/>
              <w:jc w:val="right"/>
            </w:pPr>
            <w:r w:rsidRPr="00A55BE4">
              <w:t>65</w:t>
            </w:r>
            <w:r w:rsidR="0018444B" w:rsidRPr="00A55BE4">
              <w:t> </w:t>
            </w:r>
            <w:r w:rsidRPr="00A55BE4">
              <w:t>339</w:t>
            </w:r>
          </w:p>
        </w:tc>
        <w:tc>
          <w:tcPr>
            <w:tcW w:w="1230" w:type="dxa"/>
            <w:vAlign w:val="center"/>
          </w:tcPr>
          <w:p w14:paraId="57565DE9" w14:textId="77777777" w:rsidR="002943F0" w:rsidRPr="00A55BE4" w:rsidRDefault="004F274D" w:rsidP="001F5CDD">
            <w:pPr>
              <w:pStyle w:val="Tabletext"/>
              <w:jc w:val="right"/>
            </w:pPr>
            <w:r w:rsidRPr="00A55BE4">
              <w:t>11,8</w:t>
            </w:r>
            <w:r w:rsidR="002943F0" w:rsidRPr="00A55BE4">
              <w:t>%</w:t>
            </w:r>
          </w:p>
        </w:tc>
      </w:tr>
      <w:tr w:rsidR="002943F0" w:rsidRPr="00A55BE4" w14:paraId="13B3036C" w14:textId="77777777" w:rsidTr="00341378">
        <w:tc>
          <w:tcPr>
            <w:tcW w:w="3670" w:type="dxa"/>
          </w:tcPr>
          <w:p w14:paraId="4BC7572F" w14:textId="77777777" w:rsidR="002943F0" w:rsidRPr="00A55BE4" w:rsidRDefault="002943F0" w:rsidP="001F5CDD">
            <w:pPr>
              <w:pStyle w:val="Tabletext"/>
              <w:rPr>
                <w:rFonts w:asciiTheme="minorHAnsi" w:hAnsiTheme="minorHAnsi"/>
              </w:rPr>
            </w:pPr>
            <w:r w:rsidRPr="00A55BE4">
              <w:t>Pensions</w:t>
            </w:r>
          </w:p>
        </w:tc>
        <w:tc>
          <w:tcPr>
            <w:tcW w:w="1518" w:type="dxa"/>
            <w:tcMar>
              <w:left w:w="142" w:type="dxa"/>
              <w:right w:w="567" w:type="dxa"/>
            </w:tcMar>
            <w:vAlign w:val="center"/>
          </w:tcPr>
          <w:p w14:paraId="39687C05" w14:textId="3BAB607C" w:rsidR="002943F0" w:rsidRPr="00A55BE4" w:rsidRDefault="002943F0" w:rsidP="001F5CDD">
            <w:pPr>
              <w:pStyle w:val="Tabletext"/>
              <w:ind w:right="-336"/>
              <w:jc w:val="right"/>
            </w:pPr>
            <w:r w:rsidRPr="00A55BE4">
              <w:t>54</w:t>
            </w:r>
          </w:p>
        </w:tc>
        <w:tc>
          <w:tcPr>
            <w:tcW w:w="1501" w:type="dxa"/>
            <w:tcMar>
              <w:left w:w="142" w:type="dxa"/>
              <w:right w:w="567" w:type="dxa"/>
            </w:tcMar>
            <w:vAlign w:val="center"/>
          </w:tcPr>
          <w:p w14:paraId="786A8C67" w14:textId="70151FFA" w:rsidR="002943F0" w:rsidRPr="00A55BE4" w:rsidRDefault="002943F0" w:rsidP="001F5CDD">
            <w:pPr>
              <w:pStyle w:val="Tabletext"/>
              <w:ind w:right="-394"/>
              <w:jc w:val="right"/>
            </w:pPr>
            <w:r w:rsidRPr="00A55BE4">
              <w:t>54</w:t>
            </w:r>
          </w:p>
        </w:tc>
        <w:tc>
          <w:tcPr>
            <w:tcW w:w="1432" w:type="dxa"/>
            <w:tcMar>
              <w:left w:w="567" w:type="dxa"/>
            </w:tcMar>
            <w:vAlign w:val="center"/>
          </w:tcPr>
          <w:p w14:paraId="2A993B4A" w14:textId="77777777" w:rsidR="002943F0" w:rsidRPr="00A55BE4" w:rsidRDefault="004F274D" w:rsidP="001F5CDD">
            <w:pPr>
              <w:pStyle w:val="Tabletext"/>
              <w:jc w:val="right"/>
            </w:pPr>
            <w:r w:rsidRPr="00A55BE4">
              <w:t>0</w:t>
            </w:r>
          </w:p>
        </w:tc>
        <w:tc>
          <w:tcPr>
            <w:tcW w:w="1230" w:type="dxa"/>
            <w:vAlign w:val="center"/>
          </w:tcPr>
          <w:p w14:paraId="538440B3" w14:textId="77777777" w:rsidR="002943F0" w:rsidRPr="00A55BE4" w:rsidRDefault="002943F0" w:rsidP="001F5CDD">
            <w:pPr>
              <w:pStyle w:val="Tabletext"/>
              <w:jc w:val="right"/>
            </w:pPr>
            <w:r w:rsidRPr="00A55BE4">
              <w:t>0,0%</w:t>
            </w:r>
          </w:p>
        </w:tc>
      </w:tr>
      <w:tr w:rsidR="002943F0" w:rsidRPr="00A55BE4" w14:paraId="277C786B" w14:textId="77777777" w:rsidTr="00341378">
        <w:tc>
          <w:tcPr>
            <w:tcW w:w="3670" w:type="dxa"/>
          </w:tcPr>
          <w:p w14:paraId="55970B64" w14:textId="77777777" w:rsidR="002943F0" w:rsidRPr="00A55BE4" w:rsidRDefault="002943F0" w:rsidP="001F5CDD">
            <w:pPr>
              <w:pStyle w:val="Tabletext"/>
              <w:rPr>
                <w:rFonts w:asciiTheme="minorHAnsi" w:hAnsiTheme="minorHAnsi"/>
              </w:rPr>
            </w:pPr>
            <w:r w:rsidRPr="00A55BE4">
              <w:t>Installation/rapatriement</w:t>
            </w:r>
          </w:p>
        </w:tc>
        <w:tc>
          <w:tcPr>
            <w:tcW w:w="1518" w:type="dxa"/>
            <w:tcMar>
              <w:left w:w="142" w:type="dxa"/>
              <w:right w:w="567" w:type="dxa"/>
            </w:tcMar>
            <w:vAlign w:val="center"/>
          </w:tcPr>
          <w:p w14:paraId="1E9CEE45" w14:textId="38A14A77" w:rsidR="002943F0" w:rsidRPr="00A55BE4" w:rsidRDefault="002943F0" w:rsidP="001F5CDD">
            <w:pPr>
              <w:pStyle w:val="Tabletext"/>
              <w:ind w:right="-336"/>
              <w:jc w:val="right"/>
            </w:pPr>
            <w:r w:rsidRPr="00A55BE4">
              <w:t>12</w:t>
            </w:r>
            <w:r w:rsidR="0018444B" w:rsidRPr="00A55BE4">
              <w:t> </w:t>
            </w:r>
            <w:r w:rsidRPr="00A55BE4">
              <w:t>485</w:t>
            </w:r>
          </w:p>
        </w:tc>
        <w:tc>
          <w:tcPr>
            <w:tcW w:w="1501" w:type="dxa"/>
            <w:tcMar>
              <w:left w:w="142" w:type="dxa"/>
              <w:right w:w="567" w:type="dxa"/>
            </w:tcMar>
            <w:vAlign w:val="center"/>
          </w:tcPr>
          <w:p w14:paraId="056D98F9" w14:textId="7578A75D" w:rsidR="002943F0" w:rsidRPr="00A55BE4" w:rsidRDefault="002943F0" w:rsidP="001F5CDD">
            <w:pPr>
              <w:pStyle w:val="Tabletext"/>
              <w:ind w:right="-394"/>
              <w:jc w:val="right"/>
            </w:pPr>
            <w:r w:rsidRPr="00A55BE4">
              <w:t>14</w:t>
            </w:r>
            <w:r w:rsidR="0018444B" w:rsidRPr="00A55BE4">
              <w:t> </w:t>
            </w:r>
            <w:r w:rsidRPr="00A55BE4">
              <w:t>667</w:t>
            </w:r>
          </w:p>
        </w:tc>
        <w:tc>
          <w:tcPr>
            <w:tcW w:w="1432" w:type="dxa"/>
            <w:tcMar>
              <w:left w:w="567" w:type="dxa"/>
            </w:tcMar>
            <w:vAlign w:val="center"/>
          </w:tcPr>
          <w:p w14:paraId="58923C02" w14:textId="525945AD" w:rsidR="002943F0" w:rsidRPr="00A55BE4" w:rsidRDefault="004F274D" w:rsidP="001F5CDD">
            <w:pPr>
              <w:pStyle w:val="Tabletext"/>
              <w:jc w:val="right"/>
            </w:pPr>
            <w:r w:rsidRPr="00A55BE4">
              <w:t>–2</w:t>
            </w:r>
            <w:r w:rsidR="001F5CDD">
              <w:t xml:space="preserve"> </w:t>
            </w:r>
            <w:r w:rsidRPr="00A55BE4">
              <w:t>182</w:t>
            </w:r>
          </w:p>
        </w:tc>
        <w:tc>
          <w:tcPr>
            <w:tcW w:w="1230" w:type="dxa"/>
            <w:vAlign w:val="center"/>
          </w:tcPr>
          <w:p w14:paraId="7D14F15D" w14:textId="77777777" w:rsidR="002943F0" w:rsidRPr="00A55BE4" w:rsidRDefault="004F274D" w:rsidP="001F5CDD">
            <w:pPr>
              <w:pStyle w:val="Tabletext"/>
              <w:jc w:val="right"/>
            </w:pPr>
            <w:r w:rsidRPr="00A55BE4">
              <w:t>–14,9</w:t>
            </w:r>
            <w:r w:rsidR="002943F0" w:rsidRPr="00A55BE4">
              <w:t>%</w:t>
            </w:r>
          </w:p>
        </w:tc>
      </w:tr>
      <w:tr w:rsidR="002943F0" w:rsidRPr="00A55BE4" w14:paraId="7B6D29BF" w14:textId="77777777" w:rsidTr="00341378">
        <w:tc>
          <w:tcPr>
            <w:tcW w:w="3670" w:type="dxa"/>
          </w:tcPr>
          <w:p w14:paraId="6D246F9E" w14:textId="77777777" w:rsidR="002943F0" w:rsidRPr="00A55BE4" w:rsidRDefault="002943F0" w:rsidP="001F5CDD">
            <w:pPr>
              <w:pStyle w:val="Tabletext"/>
              <w:rPr>
                <w:rFonts w:asciiTheme="minorHAnsi" w:hAnsiTheme="minorHAnsi"/>
              </w:rPr>
            </w:pPr>
            <w:r w:rsidRPr="00A55BE4">
              <w:t>Congés accumulés</w:t>
            </w:r>
          </w:p>
        </w:tc>
        <w:tc>
          <w:tcPr>
            <w:tcW w:w="1518" w:type="dxa"/>
            <w:tcMar>
              <w:left w:w="142" w:type="dxa"/>
              <w:right w:w="567" w:type="dxa"/>
            </w:tcMar>
            <w:vAlign w:val="center"/>
          </w:tcPr>
          <w:p w14:paraId="29DAFCEE" w14:textId="5D77A212" w:rsidR="002943F0" w:rsidRPr="00A55BE4" w:rsidRDefault="002943F0" w:rsidP="001F5CDD">
            <w:pPr>
              <w:pStyle w:val="Tabletext"/>
              <w:ind w:right="-336"/>
              <w:jc w:val="right"/>
            </w:pPr>
            <w:r w:rsidRPr="00A55BE4">
              <w:t>8</w:t>
            </w:r>
            <w:r w:rsidR="001F5CDD">
              <w:t xml:space="preserve"> </w:t>
            </w:r>
            <w:r w:rsidRPr="00A55BE4">
              <w:t>576</w:t>
            </w:r>
          </w:p>
        </w:tc>
        <w:tc>
          <w:tcPr>
            <w:tcW w:w="1501" w:type="dxa"/>
            <w:tcMar>
              <w:left w:w="142" w:type="dxa"/>
              <w:right w:w="567" w:type="dxa"/>
            </w:tcMar>
            <w:vAlign w:val="center"/>
          </w:tcPr>
          <w:p w14:paraId="51260C1A" w14:textId="51916840" w:rsidR="002943F0" w:rsidRPr="00A55BE4" w:rsidRDefault="001F5CDD" w:rsidP="001F5CDD">
            <w:pPr>
              <w:pStyle w:val="Tabletext"/>
              <w:ind w:right="-394"/>
              <w:jc w:val="right"/>
            </w:pPr>
            <w:r>
              <w:t>8 491</w:t>
            </w:r>
          </w:p>
        </w:tc>
        <w:tc>
          <w:tcPr>
            <w:tcW w:w="1432" w:type="dxa"/>
            <w:tcMar>
              <w:left w:w="567" w:type="dxa"/>
            </w:tcMar>
            <w:vAlign w:val="center"/>
          </w:tcPr>
          <w:p w14:paraId="3BAB32E3" w14:textId="77777777" w:rsidR="002943F0" w:rsidRPr="00A55BE4" w:rsidRDefault="004F274D" w:rsidP="001F5CDD">
            <w:pPr>
              <w:pStyle w:val="Tabletext"/>
              <w:jc w:val="right"/>
            </w:pPr>
            <w:r w:rsidRPr="00A55BE4">
              <w:t>85</w:t>
            </w:r>
          </w:p>
        </w:tc>
        <w:tc>
          <w:tcPr>
            <w:tcW w:w="1230" w:type="dxa"/>
            <w:vAlign w:val="center"/>
          </w:tcPr>
          <w:p w14:paraId="31CC0874" w14:textId="77777777" w:rsidR="002943F0" w:rsidRPr="00A55BE4" w:rsidRDefault="004F274D" w:rsidP="001F5CDD">
            <w:pPr>
              <w:pStyle w:val="Tabletext"/>
              <w:jc w:val="right"/>
            </w:pPr>
            <w:r w:rsidRPr="00A55BE4">
              <w:t>1,0</w:t>
            </w:r>
            <w:r w:rsidR="002943F0" w:rsidRPr="00A55BE4">
              <w:t>%</w:t>
            </w:r>
          </w:p>
        </w:tc>
      </w:tr>
      <w:tr w:rsidR="002943F0" w:rsidRPr="00A55BE4" w14:paraId="27FFFEE4" w14:textId="77777777" w:rsidTr="00341378">
        <w:tc>
          <w:tcPr>
            <w:tcW w:w="3670" w:type="dxa"/>
          </w:tcPr>
          <w:p w14:paraId="25E77BE6" w14:textId="77777777" w:rsidR="002943F0" w:rsidRPr="00A55BE4" w:rsidRDefault="002943F0" w:rsidP="001F5CDD">
            <w:pPr>
              <w:pStyle w:val="Tabletext"/>
              <w:rPr>
                <w:rFonts w:asciiTheme="minorHAnsi" w:hAnsiTheme="minorHAnsi"/>
              </w:rPr>
            </w:pPr>
            <w:r w:rsidRPr="00A55BE4">
              <w:rPr>
                <w:rFonts w:asciiTheme="minorHAnsi" w:hAnsiTheme="minorHAnsi"/>
              </w:rPr>
              <w:t>Total</w:t>
            </w:r>
          </w:p>
        </w:tc>
        <w:tc>
          <w:tcPr>
            <w:tcW w:w="1518" w:type="dxa"/>
            <w:tcMar>
              <w:left w:w="142" w:type="dxa"/>
              <w:right w:w="567" w:type="dxa"/>
            </w:tcMar>
            <w:vAlign w:val="center"/>
          </w:tcPr>
          <w:p w14:paraId="3C88F59B" w14:textId="43DBAC8E" w:rsidR="002943F0" w:rsidRPr="00A55BE4" w:rsidRDefault="002943F0" w:rsidP="001F5CDD">
            <w:pPr>
              <w:pStyle w:val="Tabletext"/>
              <w:ind w:right="-336"/>
              <w:jc w:val="right"/>
              <w:rPr>
                <w:b/>
                <w:bCs/>
              </w:rPr>
            </w:pPr>
            <w:r w:rsidRPr="00A55BE4">
              <w:rPr>
                <w:b/>
                <w:bCs/>
              </w:rPr>
              <w:t>638</w:t>
            </w:r>
            <w:r w:rsidR="0018444B" w:rsidRPr="00A55BE4">
              <w:rPr>
                <w:b/>
                <w:bCs/>
              </w:rPr>
              <w:t> </w:t>
            </w:r>
            <w:r w:rsidRPr="00A55BE4">
              <w:rPr>
                <w:b/>
                <w:bCs/>
              </w:rPr>
              <w:t>365</w:t>
            </w:r>
          </w:p>
        </w:tc>
        <w:tc>
          <w:tcPr>
            <w:tcW w:w="1501" w:type="dxa"/>
            <w:tcMar>
              <w:left w:w="142" w:type="dxa"/>
              <w:right w:w="567" w:type="dxa"/>
            </w:tcMar>
            <w:vAlign w:val="center"/>
          </w:tcPr>
          <w:p w14:paraId="6D4306FC" w14:textId="35EE4945" w:rsidR="002943F0" w:rsidRPr="00A55BE4" w:rsidRDefault="002943F0" w:rsidP="001F5CDD">
            <w:pPr>
              <w:pStyle w:val="Tabletext"/>
              <w:ind w:right="-394"/>
              <w:jc w:val="right"/>
              <w:rPr>
                <w:b/>
                <w:bCs/>
              </w:rPr>
            </w:pPr>
            <w:r w:rsidRPr="00A55BE4">
              <w:rPr>
                <w:b/>
                <w:bCs/>
              </w:rPr>
              <w:t>575</w:t>
            </w:r>
            <w:r w:rsidR="0018444B" w:rsidRPr="00A55BE4">
              <w:rPr>
                <w:b/>
                <w:bCs/>
              </w:rPr>
              <w:t> </w:t>
            </w:r>
            <w:r w:rsidR="001F5CDD">
              <w:rPr>
                <w:b/>
                <w:bCs/>
              </w:rPr>
              <w:t>123</w:t>
            </w:r>
          </w:p>
        </w:tc>
        <w:tc>
          <w:tcPr>
            <w:tcW w:w="1432" w:type="dxa"/>
            <w:tcMar>
              <w:left w:w="567" w:type="dxa"/>
            </w:tcMar>
            <w:vAlign w:val="center"/>
          </w:tcPr>
          <w:p w14:paraId="3F6FDCEB" w14:textId="77777777" w:rsidR="002943F0" w:rsidRPr="00A55BE4" w:rsidRDefault="002943F0" w:rsidP="001F5CDD">
            <w:pPr>
              <w:pStyle w:val="Tabletext"/>
              <w:jc w:val="right"/>
            </w:pPr>
          </w:p>
        </w:tc>
        <w:tc>
          <w:tcPr>
            <w:tcW w:w="1230" w:type="dxa"/>
            <w:vAlign w:val="center"/>
          </w:tcPr>
          <w:p w14:paraId="417B0873" w14:textId="77777777" w:rsidR="002943F0" w:rsidRPr="00A55BE4" w:rsidRDefault="002943F0" w:rsidP="001F5CDD">
            <w:pPr>
              <w:pStyle w:val="Tabletext"/>
              <w:jc w:val="right"/>
            </w:pPr>
          </w:p>
        </w:tc>
      </w:tr>
    </w:tbl>
    <w:p w14:paraId="22E245E0" w14:textId="77777777" w:rsidR="006942F3" w:rsidRPr="00DD066D" w:rsidRDefault="006942F3" w:rsidP="007345C9">
      <w:pPr>
        <w:pStyle w:val="Headingb"/>
      </w:pPr>
      <w:bookmarkStart w:id="306" w:name="_Toc482958323"/>
      <w:bookmarkStart w:id="307" w:name="_Toc482966368"/>
      <w:bookmarkStart w:id="308" w:name="_Toc482967253"/>
      <w:bookmarkStart w:id="309" w:name="_Toc522685313"/>
      <w:r w:rsidRPr="00DD066D">
        <w:t>Avantages du personnel à long terme</w:t>
      </w:r>
      <w:bookmarkEnd w:id="306"/>
      <w:bookmarkEnd w:id="307"/>
      <w:bookmarkEnd w:id="308"/>
      <w:bookmarkEnd w:id="309"/>
    </w:p>
    <w:p w14:paraId="5D9F5C11" w14:textId="1E0D319D" w:rsidR="003A5BB8" w:rsidRPr="00DD066D" w:rsidRDefault="006942F3" w:rsidP="00B53AD7">
      <w:r w:rsidRPr="00DD066D">
        <w:t>45</w:t>
      </w:r>
      <w:r w:rsidRPr="00DD066D">
        <w:tab/>
        <w:t xml:space="preserve">Comme indiqué dans le tableau ci-dessus, en 2017, le montant pour la rubrique "Passifs non courants" (relative aux avantages du personnel à long terme) </w:t>
      </w:r>
      <w:r w:rsidR="00CB3CC1" w:rsidRPr="00DD066D">
        <w:t>était d</w:t>
      </w:r>
      <w:r w:rsidR="001B30ED">
        <w:t>'</w:t>
      </w:r>
      <w:r w:rsidR="00CB3CC1" w:rsidRPr="00DD066D">
        <w:t>environ</w:t>
      </w:r>
      <w:r w:rsidRPr="00DD066D">
        <w:t xml:space="preserve"> </w:t>
      </w:r>
      <w:r w:rsidR="00434E08" w:rsidRPr="00DD066D">
        <w:t>638</w:t>
      </w:r>
      <w:r w:rsidRPr="00DD066D">
        <w:t>,</w:t>
      </w:r>
      <w:r w:rsidR="00434E08" w:rsidRPr="00DD066D">
        <w:t>3</w:t>
      </w:r>
      <w:r w:rsidRPr="00DD066D">
        <w:t xml:space="preserve"> millions CHF, </w:t>
      </w:r>
      <w:r w:rsidRPr="00A55BE4">
        <w:t xml:space="preserve">en hausse de </w:t>
      </w:r>
      <w:r w:rsidR="00434E08" w:rsidRPr="00A55BE4">
        <w:t>63</w:t>
      </w:r>
      <w:r w:rsidRPr="00A55BE4">
        <w:t>,</w:t>
      </w:r>
      <w:r w:rsidR="00434E08" w:rsidRPr="00A55BE4">
        <w:t>2</w:t>
      </w:r>
      <w:r w:rsidRPr="00A55BE4">
        <w:t xml:space="preserve"> millions </w:t>
      </w:r>
      <w:r w:rsidRPr="00A55BE4">
        <w:rPr>
          <w:rFonts w:asciiTheme="minorHAnsi" w:hAnsiTheme="minorHAnsi"/>
        </w:rPr>
        <w:t xml:space="preserve">CHF </w:t>
      </w:r>
      <w:r w:rsidRPr="00A55BE4">
        <w:rPr>
          <w:rFonts w:asciiTheme="minorHAnsi" w:hAnsiTheme="minorHAnsi"/>
          <w:szCs w:val="24"/>
        </w:rPr>
        <w:t>(+</w:t>
      </w:r>
      <w:r w:rsidR="00434E08" w:rsidRPr="00A55BE4">
        <w:rPr>
          <w:rFonts w:asciiTheme="minorHAnsi" w:hAnsiTheme="minorHAnsi"/>
          <w:szCs w:val="24"/>
        </w:rPr>
        <w:t>11</w:t>
      </w:r>
      <w:r w:rsidRPr="00A55BE4">
        <w:rPr>
          <w:rFonts w:asciiTheme="minorHAnsi" w:hAnsiTheme="minorHAnsi"/>
          <w:szCs w:val="24"/>
        </w:rPr>
        <w:t>,</w:t>
      </w:r>
      <w:r w:rsidR="00434E08" w:rsidRPr="00A55BE4">
        <w:rPr>
          <w:rFonts w:asciiTheme="minorHAnsi" w:hAnsiTheme="minorHAnsi"/>
          <w:szCs w:val="24"/>
        </w:rPr>
        <w:t>0</w:t>
      </w:r>
      <w:r w:rsidRPr="00A55BE4">
        <w:rPr>
          <w:rFonts w:asciiTheme="minorHAnsi" w:hAnsiTheme="minorHAnsi"/>
        </w:rPr>
        <w:t>%) par</w:t>
      </w:r>
      <w:r w:rsidRPr="00A55BE4">
        <w:t xml:space="preserve"> rapport au chiffre de </w:t>
      </w:r>
      <w:r w:rsidR="00434E08" w:rsidRPr="00A55BE4">
        <w:t>575,1</w:t>
      </w:r>
      <w:r w:rsidRPr="00A55BE4">
        <w:t xml:space="preserve"> millions CHF pour 201</w:t>
      </w:r>
      <w:r w:rsidR="00434E08" w:rsidRPr="00A55BE4">
        <w:t>6</w:t>
      </w:r>
      <w:r w:rsidRPr="00A55BE4">
        <w:t>.</w:t>
      </w:r>
      <w:r w:rsidRPr="00DD066D">
        <w:t xml:space="preserve"> Ce montant représentait </w:t>
      </w:r>
      <w:r w:rsidR="00434E08" w:rsidRPr="00DD066D">
        <w:t>90</w:t>
      </w:r>
      <w:r w:rsidRPr="00DD066D">
        <w:t>,</w:t>
      </w:r>
      <w:r w:rsidR="00434E08" w:rsidRPr="00DD066D">
        <w:t>4</w:t>
      </w:r>
      <w:r w:rsidRPr="00DD066D">
        <w:t>% du total des passifs non courants et 7</w:t>
      </w:r>
      <w:r w:rsidR="00434E08" w:rsidRPr="00DD066D">
        <w:t>4</w:t>
      </w:r>
      <w:r w:rsidRPr="00DD066D">
        <w:t>,6% du total des passifs. Cette rubrique englobait les passifs actuariels liés aux prestations après la cessation de service dans le cadre de l</w:t>
      </w:r>
      <w:r w:rsidR="001B30ED">
        <w:t>'</w:t>
      </w:r>
      <w:r w:rsidRPr="00DD066D">
        <w:t>assurance maladie après la cessation de service</w:t>
      </w:r>
      <w:r w:rsidR="006B7998">
        <w:t xml:space="preserve"> (ASHI)</w:t>
      </w:r>
      <w:r w:rsidRPr="00DD066D">
        <w:t xml:space="preserve"> (</w:t>
      </w:r>
      <w:r w:rsidR="00434E08" w:rsidRPr="00DD066D">
        <w:t>617</w:t>
      </w:r>
      <w:r w:rsidRPr="00DD066D">
        <w:t>,</w:t>
      </w:r>
      <w:r w:rsidR="00434E08" w:rsidRPr="00DD066D">
        <w:t>2</w:t>
      </w:r>
      <w:r w:rsidRPr="00DD066D">
        <w:t xml:space="preserve"> millions CHF contre </w:t>
      </w:r>
      <w:r w:rsidR="00434E08" w:rsidRPr="00DD066D">
        <w:t>551</w:t>
      </w:r>
      <w:r w:rsidRPr="00DD066D">
        <w:t>,</w:t>
      </w:r>
      <w:r w:rsidR="00434E08" w:rsidRPr="00DD066D">
        <w:t>9</w:t>
      </w:r>
      <w:r w:rsidRPr="00DD066D">
        <w:t> millions CHF en 201</w:t>
      </w:r>
      <w:r w:rsidR="00434E08" w:rsidRPr="00DD066D">
        <w:t>6</w:t>
      </w:r>
      <w:r w:rsidRPr="00DD066D">
        <w:t>), une provision pour les passifs estimés correspondant aux primes de rapatriement (1</w:t>
      </w:r>
      <w:r w:rsidR="00434E08" w:rsidRPr="00DD066D">
        <w:t>2</w:t>
      </w:r>
      <w:r w:rsidRPr="00DD066D">
        <w:t>,</w:t>
      </w:r>
      <w:r w:rsidR="00434E08" w:rsidRPr="00DD066D">
        <w:t>5</w:t>
      </w:r>
      <w:r w:rsidRPr="00DD066D">
        <w:t xml:space="preserve"> millions CHF contre 1</w:t>
      </w:r>
      <w:r w:rsidR="00434E08" w:rsidRPr="00DD066D">
        <w:t>4</w:t>
      </w:r>
      <w:r w:rsidRPr="00DD066D">
        <w:t>,</w:t>
      </w:r>
      <w:r w:rsidR="00434E08" w:rsidRPr="00DD066D">
        <w:t>7</w:t>
      </w:r>
      <w:r w:rsidRPr="00DD066D">
        <w:t xml:space="preserve"> millions CHF en 201</w:t>
      </w:r>
      <w:r w:rsidR="00434E08" w:rsidRPr="00DD066D">
        <w:t>6</w:t>
      </w:r>
      <w:r w:rsidRPr="00DD066D">
        <w:t>) et une provision pour les congés accumulés (8,</w:t>
      </w:r>
      <w:r w:rsidR="00434E08" w:rsidRPr="00DD066D">
        <w:t>6</w:t>
      </w:r>
      <w:r w:rsidRPr="00DD066D">
        <w:t xml:space="preserve"> millions CHF contre </w:t>
      </w:r>
      <w:r w:rsidR="00F731A8" w:rsidRPr="00DD066D">
        <w:t>8</w:t>
      </w:r>
      <w:r w:rsidRPr="00DD066D">
        <w:t>,</w:t>
      </w:r>
      <w:r w:rsidR="00F731A8" w:rsidRPr="00DD066D">
        <w:t>5</w:t>
      </w:r>
      <w:r w:rsidRPr="00DD066D">
        <w:t xml:space="preserve"> millions</w:t>
      </w:r>
      <w:r w:rsidR="006B7998">
        <w:t xml:space="preserve"> CHF</w:t>
      </w:r>
      <w:r w:rsidRPr="00DD066D">
        <w:t xml:space="preserve"> en 201</w:t>
      </w:r>
      <w:r w:rsidR="00F731A8" w:rsidRPr="00DD066D">
        <w:t>6</w:t>
      </w:r>
      <w:r w:rsidRPr="00DD066D">
        <w:t>). Une description et une ventilation détaillées des avantages du personnel</w:t>
      </w:r>
      <w:r w:rsidR="00CB3CC1" w:rsidRPr="00DD066D">
        <w:t xml:space="preserve"> à long terme</w:t>
      </w:r>
      <w:r w:rsidRPr="00DD066D">
        <w:t xml:space="preserve"> sont données dans la Note</w:t>
      </w:r>
      <w:r w:rsidR="0018444B">
        <w:t> </w:t>
      </w:r>
      <w:r w:rsidRPr="00DD066D">
        <w:t>1</w:t>
      </w:r>
      <w:r w:rsidR="00A745FD" w:rsidRPr="00DD066D">
        <w:t>7</w:t>
      </w:r>
      <w:r w:rsidRPr="00DD066D">
        <w:t>.2 du Rapport de gestion financière.</w:t>
      </w:r>
    </w:p>
    <w:p w14:paraId="459BF322" w14:textId="3DAD0FE8" w:rsidR="00E506E5" w:rsidRPr="00DD066D" w:rsidRDefault="00E506E5" w:rsidP="007345C9">
      <w:pPr>
        <w:pStyle w:val="Headingb"/>
      </w:pPr>
      <w:bookmarkStart w:id="310" w:name="_Toc356330897"/>
      <w:bookmarkStart w:id="311" w:name="_Toc358123308"/>
      <w:bookmarkStart w:id="312" w:name="_Toc396386956"/>
      <w:bookmarkStart w:id="313" w:name="_Toc396387839"/>
      <w:bookmarkStart w:id="314" w:name="_Toc396387953"/>
      <w:bookmarkStart w:id="315" w:name="_Toc398277638"/>
      <w:bookmarkStart w:id="316" w:name="_Toc419407179"/>
      <w:bookmarkStart w:id="317" w:name="_Toc452140222"/>
      <w:bookmarkStart w:id="318" w:name="_Toc482958324"/>
      <w:bookmarkStart w:id="319" w:name="_Toc482966369"/>
      <w:bookmarkStart w:id="320" w:name="_Toc482967254"/>
      <w:bookmarkStart w:id="321" w:name="_Toc522685314"/>
      <w:r w:rsidRPr="00DD066D">
        <w:t>Avantages du personnel: primes d</w:t>
      </w:r>
      <w:r w:rsidR="001B30ED">
        <w:t>'</w:t>
      </w:r>
      <w:r w:rsidRPr="00DD066D">
        <w:t>installation et de rapatriement</w:t>
      </w:r>
      <w:bookmarkEnd w:id="310"/>
      <w:bookmarkEnd w:id="311"/>
      <w:bookmarkEnd w:id="312"/>
      <w:bookmarkEnd w:id="313"/>
      <w:bookmarkEnd w:id="314"/>
      <w:bookmarkEnd w:id="315"/>
      <w:bookmarkEnd w:id="316"/>
      <w:bookmarkEnd w:id="317"/>
      <w:bookmarkEnd w:id="318"/>
      <w:bookmarkEnd w:id="319"/>
      <w:bookmarkEnd w:id="320"/>
      <w:bookmarkEnd w:id="321"/>
    </w:p>
    <w:p w14:paraId="0ACB3BF7" w14:textId="275D140E" w:rsidR="00E506E5" w:rsidRPr="00DD066D" w:rsidRDefault="00E506E5" w:rsidP="00B53AD7">
      <w:r w:rsidRPr="00DD066D">
        <w:t>46</w:t>
      </w:r>
      <w:r w:rsidRPr="00DD066D">
        <w:tab/>
        <w:t>Comme indiqué dans le paragraphe précédent, au 31</w:t>
      </w:r>
      <w:r w:rsidR="0018444B">
        <w:t> </w:t>
      </w:r>
      <w:r w:rsidRPr="00DD066D">
        <w:t>décembre</w:t>
      </w:r>
      <w:r w:rsidR="0018444B">
        <w:t> </w:t>
      </w:r>
      <w:r w:rsidRPr="00DD066D">
        <w:t>2017, la provision comptabilisée pour les primes d</w:t>
      </w:r>
      <w:r w:rsidR="001B30ED">
        <w:t>'</w:t>
      </w:r>
      <w:r w:rsidRPr="00DD066D">
        <w:t>installation et de rapatriement se chiffrait à 12,5 millions CHF (14,7 millions CHF en 2016). Cette provision a été calculée conformément à l</w:t>
      </w:r>
      <w:r w:rsidR="001B30ED">
        <w:t>'</w:t>
      </w:r>
      <w:r w:rsidRPr="00DD066D">
        <w:t>étude actuarielle que la direction a commandée à l</w:t>
      </w:r>
      <w:r w:rsidR="001B30ED">
        <w:t>'</w:t>
      </w:r>
      <w:r w:rsidRPr="00DD066D">
        <w:t>actuaire et qui est présentée dans son rapport de mars</w:t>
      </w:r>
      <w:r w:rsidR="0018444B">
        <w:t> </w:t>
      </w:r>
      <w:r w:rsidRPr="00DD066D">
        <w:t>2017.</w:t>
      </w:r>
    </w:p>
    <w:p w14:paraId="14DBBE48" w14:textId="490FDA05" w:rsidR="00CB3CC1" w:rsidRPr="007345C9" w:rsidRDefault="00CB3CC1" w:rsidP="007345C9">
      <w:pPr>
        <w:pStyle w:val="Headingb"/>
      </w:pPr>
      <w:bookmarkStart w:id="322" w:name="_Toc522685315"/>
      <w:r w:rsidRPr="007345C9">
        <w:t>Avantages du personnel: assurance maladie après la cessation de service</w:t>
      </w:r>
      <w:r w:rsidR="001D5E8E" w:rsidRPr="007345C9">
        <w:t xml:space="preserve"> (ASHI)</w:t>
      </w:r>
      <w:bookmarkEnd w:id="322"/>
    </w:p>
    <w:p w14:paraId="31C839B0" w14:textId="47D81893" w:rsidR="00E506E5" w:rsidRPr="00DD066D" w:rsidRDefault="00E506E5" w:rsidP="00B53AD7">
      <w:r w:rsidRPr="00DD066D">
        <w:t>47</w:t>
      </w:r>
      <w:r w:rsidRPr="00DD066D">
        <w:tab/>
        <w:t>En 201</w:t>
      </w:r>
      <w:r w:rsidR="00A11D21" w:rsidRPr="00DD066D">
        <w:t>7</w:t>
      </w:r>
      <w:r w:rsidRPr="00DD066D">
        <w:t>, le montant de la provision pour couvrir les passifs actuariels liés au régime d</w:t>
      </w:r>
      <w:r w:rsidR="001B30ED">
        <w:t>'</w:t>
      </w:r>
      <w:r w:rsidRPr="00DD066D">
        <w:t xml:space="preserve">assurance maladie après la cessation de service se chiffrait à </w:t>
      </w:r>
      <w:r w:rsidR="00A11D21" w:rsidRPr="00DD066D">
        <w:t>617</w:t>
      </w:r>
      <w:r w:rsidRPr="00DD066D">
        <w:t>,</w:t>
      </w:r>
      <w:r w:rsidR="00A11D21" w:rsidRPr="00DD066D">
        <w:t>2</w:t>
      </w:r>
      <w:r w:rsidRPr="00DD066D">
        <w:t xml:space="preserve"> millions CHF, </w:t>
      </w:r>
      <w:r w:rsidR="001D5E8E">
        <w:t>ce qui représente</w:t>
      </w:r>
      <w:r w:rsidRPr="00DD066D">
        <w:t xml:space="preserve"> une hausse de </w:t>
      </w:r>
      <w:r w:rsidR="00A11D21" w:rsidRPr="00DD066D">
        <w:t>65</w:t>
      </w:r>
      <w:r w:rsidRPr="00DD066D">
        <w:t>,</w:t>
      </w:r>
      <w:r w:rsidR="00A11D21" w:rsidRPr="00DD066D">
        <w:t>3</w:t>
      </w:r>
      <w:r w:rsidRPr="00DD066D">
        <w:t xml:space="preserve"> millions CHF </w:t>
      </w:r>
      <w:r w:rsidRPr="008F4487">
        <w:rPr>
          <w:szCs w:val="24"/>
        </w:rPr>
        <w:t>(</w:t>
      </w:r>
      <w:r w:rsidRPr="008F4487">
        <w:rPr>
          <w:rFonts w:asciiTheme="minorHAnsi" w:hAnsiTheme="minorHAnsi"/>
          <w:szCs w:val="24"/>
        </w:rPr>
        <w:t>+1</w:t>
      </w:r>
      <w:r w:rsidR="00A11D21" w:rsidRPr="008F4487">
        <w:rPr>
          <w:rFonts w:asciiTheme="minorHAnsi" w:hAnsiTheme="minorHAnsi"/>
          <w:szCs w:val="24"/>
        </w:rPr>
        <w:t>1</w:t>
      </w:r>
      <w:r w:rsidRPr="008F4487">
        <w:rPr>
          <w:rFonts w:asciiTheme="minorHAnsi" w:hAnsiTheme="minorHAnsi"/>
          <w:szCs w:val="24"/>
        </w:rPr>
        <w:t>,</w:t>
      </w:r>
      <w:r w:rsidR="00A11D21" w:rsidRPr="008F4487">
        <w:rPr>
          <w:rFonts w:asciiTheme="minorHAnsi" w:hAnsiTheme="minorHAnsi"/>
          <w:szCs w:val="24"/>
        </w:rPr>
        <w:t>8</w:t>
      </w:r>
      <w:r w:rsidRPr="008F4487">
        <w:rPr>
          <w:szCs w:val="24"/>
        </w:rPr>
        <w:t>%)</w:t>
      </w:r>
      <w:r w:rsidRPr="00DD066D">
        <w:t xml:space="preserve"> par rapport au chiffre de </w:t>
      </w:r>
      <w:r w:rsidR="00A11D21" w:rsidRPr="00DD066D">
        <w:t>551</w:t>
      </w:r>
      <w:r w:rsidRPr="00DD066D">
        <w:t>,</w:t>
      </w:r>
      <w:r w:rsidR="00A11D21" w:rsidRPr="00DD066D">
        <w:t>9</w:t>
      </w:r>
      <w:r w:rsidRPr="00DD066D">
        <w:t xml:space="preserve"> millions CHF pour 201</w:t>
      </w:r>
      <w:r w:rsidR="00A11D21" w:rsidRPr="00DD066D">
        <w:t>6</w:t>
      </w:r>
      <w:r w:rsidRPr="00DD066D">
        <w:t>. Cette hausse s</w:t>
      </w:r>
      <w:r w:rsidR="001B30ED">
        <w:t>'</w:t>
      </w:r>
      <w:r w:rsidRPr="00DD066D">
        <w:t xml:space="preserve">explique avant tout par </w:t>
      </w:r>
      <w:r w:rsidR="00CB3CC1" w:rsidRPr="00DD066D">
        <w:t xml:space="preserve">la mise à jour des </w:t>
      </w:r>
      <w:r w:rsidR="00CB3CC1" w:rsidRPr="00DD066D">
        <w:rPr>
          <w:rStyle w:val="bri2"/>
        </w:rPr>
        <w:t>hypothèses démographiques</w:t>
      </w:r>
      <w:r w:rsidR="00CB3CC1" w:rsidRPr="00DD066D">
        <w:t xml:space="preserve"> fondées sur le tableau fourni par les Nations Unies, ainsi que par une légère </w:t>
      </w:r>
      <w:r w:rsidRPr="00DD066D">
        <w:t>baisse du taux d</w:t>
      </w:r>
      <w:r w:rsidR="001B30ED">
        <w:t>'</w:t>
      </w:r>
      <w:r w:rsidRPr="00DD066D">
        <w:t>actualisation. Les calculs, basés sur les hypothèses retenues dans l</w:t>
      </w:r>
      <w:r w:rsidR="001B30ED">
        <w:t>'</w:t>
      </w:r>
      <w:r w:rsidRPr="00DD066D">
        <w:t>étude actuarielle, ont été réalisés par l</w:t>
      </w:r>
      <w:r w:rsidR="001B30ED">
        <w:t>'</w:t>
      </w:r>
      <w:r w:rsidRPr="00DD066D">
        <w:t>actuaire.</w:t>
      </w:r>
    </w:p>
    <w:p w14:paraId="728EF31D" w14:textId="77777777" w:rsidR="001F5CDD" w:rsidRDefault="001F5CDD" w:rsidP="007345C9">
      <w:pPr>
        <w:pStyle w:val="Headingb"/>
      </w:pPr>
      <w:bookmarkStart w:id="323" w:name="_Toc358123312"/>
      <w:bookmarkStart w:id="324" w:name="_Toc419407181"/>
      <w:bookmarkStart w:id="325" w:name="_Toc452140224"/>
      <w:bookmarkStart w:id="326" w:name="_Toc482958326"/>
      <w:bookmarkStart w:id="327" w:name="_Toc482966371"/>
      <w:bookmarkStart w:id="328" w:name="_Toc482967256"/>
      <w:r>
        <w:br w:type="page"/>
      </w:r>
    </w:p>
    <w:p w14:paraId="6959EF4C" w14:textId="4666D890" w:rsidR="00A11D21" w:rsidRPr="00DD066D" w:rsidRDefault="00A11D21" w:rsidP="007345C9">
      <w:pPr>
        <w:pStyle w:val="Headingb"/>
      </w:pPr>
      <w:bookmarkStart w:id="329" w:name="_Toc522685316"/>
      <w:r w:rsidRPr="00DD066D">
        <w:t>L</w:t>
      </w:r>
      <w:r w:rsidR="001B30ED">
        <w:t>'</w:t>
      </w:r>
      <w:r w:rsidRPr="00DD066D">
        <w:t>actif net négatif</w:t>
      </w:r>
      <w:bookmarkEnd w:id="323"/>
      <w:r w:rsidRPr="00DD066D">
        <w:t xml:space="preserve"> est imputable aux passifs actuariels</w:t>
      </w:r>
      <w:bookmarkEnd w:id="324"/>
      <w:bookmarkEnd w:id="325"/>
      <w:bookmarkEnd w:id="326"/>
      <w:bookmarkEnd w:id="327"/>
      <w:bookmarkEnd w:id="328"/>
      <w:bookmarkEnd w:id="329"/>
    </w:p>
    <w:p w14:paraId="3A3E390F" w14:textId="35A03770" w:rsidR="00A11D21" w:rsidRPr="00DD066D" w:rsidRDefault="00A11D21" w:rsidP="00B53AD7">
      <w:r w:rsidRPr="00DD066D">
        <w:t>48</w:t>
      </w:r>
      <w:r w:rsidRPr="00DD066D">
        <w:tab/>
        <w:t>Le montant considérable des pertes actuarielles de l</w:t>
      </w:r>
      <w:r w:rsidR="001B30ED">
        <w:t>'</w:t>
      </w:r>
      <w:r w:rsidRPr="00DD066D">
        <w:t>ASHI (369,7 millions CHF) a une incidence importante sur l</w:t>
      </w:r>
      <w:r w:rsidR="001B30ED">
        <w:t>'</w:t>
      </w:r>
      <w:r w:rsidRPr="00DD066D">
        <w:t>actif net de l</w:t>
      </w:r>
      <w:r w:rsidR="001B30ED">
        <w:t>'</w:t>
      </w:r>
      <w:r w:rsidRPr="00DD066D">
        <w:t>UIT et c</w:t>
      </w:r>
      <w:r w:rsidR="001B30ED">
        <w:t>'</w:t>
      </w:r>
      <w:r w:rsidRPr="00DD066D">
        <w:t>est la raison pour laquelle, comme pour les années précédentes, une partie de nos vérificati</w:t>
      </w:r>
      <w:r w:rsidR="002B2B03">
        <w:t>ons a consisté à vérifier l</w:t>
      </w:r>
      <w:r w:rsidR="001B30ED">
        <w:t>'</w:t>
      </w:r>
      <w:r w:rsidR="002B2B03">
        <w:t>exactitude et la fiabilité des</w:t>
      </w:r>
      <w:r w:rsidRPr="00DD066D">
        <w:t xml:space="preserve"> valeurs relatives aux avantages du personnel.</w:t>
      </w:r>
    </w:p>
    <w:p w14:paraId="001FD75C" w14:textId="77777777" w:rsidR="00A11D21" w:rsidRPr="00DD066D" w:rsidRDefault="00A11D21" w:rsidP="00B53AD7">
      <w:r w:rsidRPr="00DD066D">
        <w:t>49</w:t>
      </w:r>
      <w:r w:rsidRPr="00DD066D">
        <w:tab/>
        <w:t>Le choix des hypothèses actuarielles est du ressort exclusif de la direction. Le Vérificateur extérieur des comptes vérifie si ces hypothèses sont plausibles et si elles sont conformes à la norme IPSAS et cadrent avec les hypothèses des années précédentes et il les valide.</w:t>
      </w:r>
    </w:p>
    <w:p w14:paraId="55953CD4" w14:textId="4B7220D4" w:rsidR="00F21204" w:rsidRPr="00DD066D" w:rsidRDefault="00A11D21" w:rsidP="00B53AD7">
      <w:r w:rsidRPr="00DD066D">
        <w:t>50</w:t>
      </w:r>
      <w:r w:rsidRPr="00DD066D">
        <w:tab/>
      </w:r>
      <w:r w:rsidR="00F21204" w:rsidRPr="00DD066D">
        <w:t>Pour 2017, l</w:t>
      </w:r>
      <w:r w:rsidR="001B30ED">
        <w:t>'</w:t>
      </w:r>
      <w:r w:rsidR="00F21204" w:rsidRPr="00DD066D">
        <w:t xml:space="preserve">Union </w:t>
      </w:r>
      <w:r w:rsidR="000469FB">
        <w:t>a choisi</w:t>
      </w:r>
      <w:r w:rsidR="00F21204" w:rsidRPr="00DD066D">
        <w:t xml:space="preserve"> d</w:t>
      </w:r>
      <w:r w:rsidR="001B30ED">
        <w:t>'</w:t>
      </w:r>
      <w:r w:rsidR="00F21204" w:rsidRPr="00DD066D">
        <w:t>adopter la nouvelle norme IPSAS</w:t>
      </w:r>
      <w:r w:rsidR="0018444B">
        <w:t> </w:t>
      </w:r>
      <w:r w:rsidR="00F21204" w:rsidRPr="00DD066D">
        <w:t>39 au lieu de la norme IPSAS</w:t>
      </w:r>
      <w:r w:rsidR="0018444B">
        <w:t> </w:t>
      </w:r>
      <w:r w:rsidR="00F21204" w:rsidRPr="00DD066D">
        <w:t>25. La nouvelle norme est obligatoire à partir de l</w:t>
      </w:r>
      <w:r w:rsidR="001B30ED">
        <w:t>'</w:t>
      </w:r>
      <w:r w:rsidR="00F21204" w:rsidRPr="00DD066D">
        <w:t>année financière</w:t>
      </w:r>
      <w:r w:rsidR="0018444B">
        <w:t> </w:t>
      </w:r>
      <w:r w:rsidR="00F21204" w:rsidRPr="00DD066D">
        <w:t>2018, mais les organisations avaient la possibilité de l</w:t>
      </w:r>
      <w:r w:rsidR="001B30ED">
        <w:t>'</w:t>
      </w:r>
      <w:r w:rsidR="00F21204" w:rsidRPr="00DD066D">
        <w:t>adopter en avance.</w:t>
      </w:r>
    </w:p>
    <w:p w14:paraId="6CFDB02E" w14:textId="30D42F89" w:rsidR="00F21204" w:rsidRPr="00DD066D" w:rsidRDefault="00A11D21" w:rsidP="00B53AD7">
      <w:r w:rsidRPr="00DD066D">
        <w:t>51</w:t>
      </w:r>
      <w:r w:rsidRPr="00DD066D">
        <w:tab/>
      </w:r>
      <w:r w:rsidR="00F21204" w:rsidRPr="00DD066D">
        <w:t>Les principales différences entre les deux normes sont les suivantes:</w:t>
      </w:r>
    </w:p>
    <w:p w14:paraId="75A5FD48" w14:textId="77804562" w:rsidR="00F21204" w:rsidRPr="00DD066D" w:rsidRDefault="00A11D21" w:rsidP="00B53AD7">
      <w:pPr>
        <w:pStyle w:val="enumlev1"/>
      </w:pPr>
      <w:r w:rsidRPr="00DD066D">
        <w:t>a)</w:t>
      </w:r>
      <w:r w:rsidRPr="00DD066D">
        <w:tab/>
      </w:r>
      <w:r w:rsidR="00F21204" w:rsidRPr="00DD066D">
        <w:t>La suppression d</w:t>
      </w:r>
      <w:r w:rsidR="001B30ED">
        <w:t>'</w:t>
      </w:r>
      <w:r w:rsidR="00F21204" w:rsidRPr="00DD066D">
        <w:t xml:space="preserve">une option qui permettait à une entité de reporter la reconnaissance des changements </w:t>
      </w:r>
      <w:r w:rsidR="00C42DA7">
        <w:t xml:space="preserve">subis par le passif net pour les prestations définies </w:t>
      </w:r>
      <w:r w:rsidR="006A55E3" w:rsidRPr="00DD066D">
        <w:t>(</w:t>
      </w:r>
      <w:r w:rsidR="0018444B">
        <w:t>"</w:t>
      </w:r>
      <w:r w:rsidR="00C42DA7">
        <w:t>méthode</w:t>
      </w:r>
      <w:r w:rsidR="006A55E3" w:rsidRPr="00C42DA7">
        <w:t xml:space="preserve"> du </w:t>
      </w:r>
      <w:r w:rsidR="00C42DA7" w:rsidRPr="00C42DA7">
        <w:t>corridor</w:t>
      </w:r>
      <w:r w:rsidR="0018444B">
        <w:t>"</w:t>
      </w:r>
      <w:r w:rsidR="001F5CDD">
        <w:t>).</w:t>
      </w:r>
    </w:p>
    <w:p w14:paraId="7785AAF5" w14:textId="10DB9C2C" w:rsidR="00C1171F" w:rsidRPr="00DD066D" w:rsidRDefault="00A11D21" w:rsidP="001F5CDD">
      <w:pPr>
        <w:pStyle w:val="enumlev1"/>
      </w:pPr>
      <w:r w:rsidRPr="00DD066D">
        <w:t>b)</w:t>
      </w:r>
      <w:r w:rsidRPr="00DD066D">
        <w:tab/>
      </w:r>
      <w:r w:rsidR="00C1171F" w:rsidRPr="00DD066D">
        <w:t>L</w:t>
      </w:r>
      <w:r w:rsidR="001B30ED">
        <w:t>'</w:t>
      </w:r>
      <w:r w:rsidR="00C1171F" w:rsidRPr="00DD066D">
        <w:t>introduction de l</w:t>
      </w:r>
      <w:r w:rsidR="001B30ED">
        <w:t>'</w:t>
      </w:r>
      <w:r w:rsidR="00C1171F" w:rsidRPr="00DD066D">
        <w:t>approche des intérêts nets pour les régimes à prestations définies</w:t>
      </w:r>
      <w:r w:rsidR="001F5CDD">
        <w:t>.</w:t>
      </w:r>
    </w:p>
    <w:p w14:paraId="07A8B60D" w14:textId="4148F478" w:rsidR="00C1171F" w:rsidRPr="00DD066D" w:rsidRDefault="00A11D21" w:rsidP="001F5CDD">
      <w:pPr>
        <w:pStyle w:val="enumlev1"/>
      </w:pPr>
      <w:r w:rsidRPr="00DD066D">
        <w:t>c)</w:t>
      </w:r>
      <w:r w:rsidRPr="00DD066D">
        <w:tab/>
      </w:r>
      <w:r w:rsidR="00C1171F" w:rsidRPr="00DD066D">
        <w:t>La modification de certaines exigences en matière de divulgation pour les régimes à prestations définies et les régimes multi</w:t>
      </w:r>
      <w:r w:rsidR="0068790B">
        <w:t>-</w:t>
      </w:r>
      <w:r w:rsidR="00C1171F" w:rsidRPr="00DD066D">
        <w:t>employeurs</w:t>
      </w:r>
      <w:r w:rsidR="001F5CDD">
        <w:t>.</w:t>
      </w:r>
    </w:p>
    <w:p w14:paraId="7B0A5080" w14:textId="50CFED97" w:rsidR="00C1171F" w:rsidRPr="00DD066D" w:rsidRDefault="00A11D21" w:rsidP="001F5CDD">
      <w:pPr>
        <w:pStyle w:val="enumlev1"/>
      </w:pPr>
      <w:r w:rsidRPr="00DD066D">
        <w:t>d)</w:t>
      </w:r>
      <w:r w:rsidR="001F5CDD">
        <w:tab/>
      </w:r>
      <w:r w:rsidR="001D6C37">
        <w:t>La simplification des exigenc</w:t>
      </w:r>
      <w:r w:rsidR="00C1171F" w:rsidRPr="00DD066D">
        <w:t>es relatives aux contributions des employés ou de tierces parties à un régime à prestations définies lorsque ces contributions sont appliquées à un régime</w:t>
      </w:r>
      <w:r w:rsidR="009F04D9" w:rsidRPr="00DD066D">
        <w:t xml:space="preserve"> contributif simple lié au service</w:t>
      </w:r>
      <w:r w:rsidR="001F5CDD">
        <w:t>.</w:t>
      </w:r>
    </w:p>
    <w:p w14:paraId="6791A95A" w14:textId="31C96BD0" w:rsidR="009F04D9" w:rsidRPr="00DD066D" w:rsidRDefault="00A11D21" w:rsidP="00B53AD7">
      <w:pPr>
        <w:pStyle w:val="enumlev1"/>
      </w:pPr>
      <w:r w:rsidRPr="00DD066D">
        <w:t>e)</w:t>
      </w:r>
      <w:r w:rsidRPr="00DD066D">
        <w:tab/>
      </w:r>
      <w:r w:rsidR="009F04D9" w:rsidRPr="00DD066D">
        <w:t>La suppression des exigences relatives aux programmes de sécurité sociale composites.</w:t>
      </w:r>
    </w:p>
    <w:p w14:paraId="098BD675" w14:textId="50D3E0B8" w:rsidR="009F04D9" w:rsidRPr="00DD066D" w:rsidRDefault="00A11D21" w:rsidP="00B53AD7">
      <w:r w:rsidRPr="00DD066D">
        <w:t>52</w:t>
      </w:r>
      <w:r w:rsidRPr="00DD066D">
        <w:tab/>
      </w:r>
      <w:r w:rsidR="009F04D9" w:rsidRPr="00DD066D">
        <w:t>Ces diff</w:t>
      </w:r>
      <w:r w:rsidR="00E83344">
        <w:t>é</w:t>
      </w:r>
      <w:r w:rsidR="009F04D9" w:rsidRPr="00DD066D">
        <w:t>rences ont été prises en compte par la direction de l</w:t>
      </w:r>
      <w:r w:rsidR="001B30ED">
        <w:t>'</w:t>
      </w:r>
      <w:r w:rsidR="009F04D9" w:rsidRPr="00DD066D">
        <w:t>UIT et son actuai</w:t>
      </w:r>
      <w:r w:rsidR="006753DE">
        <w:t>re, et n</w:t>
      </w:r>
      <w:r w:rsidR="001B30ED">
        <w:t>'</w:t>
      </w:r>
      <w:r w:rsidR="006753DE">
        <w:t>ont eu aucune influence</w:t>
      </w:r>
      <w:r w:rsidR="009F04D9" w:rsidRPr="00DD066D">
        <w:t xml:space="preserve"> sur le calcul des passifs actuariels de l</w:t>
      </w:r>
      <w:r w:rsidR="001B30ED">
        <w:t>'</w:t>
      </w:r>
      <w:r w:rsidR="009F04D9" w:rsidRPr="00DD066D">
        <w:t>UIT.</w:t>
      </w:r>
    </w:p>
    <w:p w14:paraId="7143C1FD" w14:textId="7FB31B17" w:rsidR="00A11D21" w:rsidRPr="00DD066D" w:rsidRDefault="00A11D21" w:rsidP="00B53AD7">
      <w:r w:rsidRPr="00DD066D">
        <w:t>53</w:t>
      </w:r>
      <w:r w:rsidRPr="00DD066D">
        <w:tab/>
        <w:t>Comme pour les années précédentes, notre équipe a fait appel à un groupe d</w:t>
      </w:r>
      <w:r w:rsidR="001B30ED">
        <w:t>'</w:t>
      </w:r>
      <w:r w:rsidRPr="00DD066D">
        <w:t>actuaires du secteur public, experts en matière de prestations sociales. Ces actuaires ont passé en revue les hypothèses de base pour 2017, qui ont été dûment examinées avec la direction. Nous avons conclu que ces hypothèses concordaient avec les tendances et les taux économiques et cadraient avec les données disponibles à l</w:t>
      </w:r>
      <w:r w:rsidR="001B30ED">
        <w:t>'</w:t>
      </w:r>
      <w:r w:rsidRPr="00DD066D">
        <w:t>UIT au moment où nous avons réalisé notre vérification. Nous les avons donc validées.</w:t>
      </w:r>
    </w:p>
    <w:p w14:paraId="4F75E82B" w14:textId="6953D253" w:rsidR="00A11D21" w:rsidRPr="00DD066D" w:rsidRDefault="00A11D21" w:rsidP="00B53AD7">
      <w:r w:rsidRPr="00DD066D">
        <w:t>54</w:t>
      </w:r>
      <w:r w:rsidRPr="00DD066D">
        <w:tab/>
        <w:t>Pour réaliser leur vérification, nos actuaires ont recalculé les évaluations effectuées par l</w:t>
      </w:r>
      <w:r w:rsidR="001B30ED">
        <w:t>'</w:t>
      </w:r>
      <w:r w:rsidRPr="00DD066D">
        <w:t>actuaire (AON Hewitt Consulting) choisi par l</w:t>
      </w:r>
      <w:r w:rsidR="001B30ED">
        <w:t>'</w:t>
      </w:r>
      <w:r w:rsidRPr="00DD066D">
        <w:t>UIT; ils ont aussi analysé de manière détaillée toutes les évaluations et hypothèses actuarielles afin de vérifier leur plausibilité et les algorithmes utilisés. La direction et l</w:t>
      </w:r>
      <w:r w:rsidR="001B30ED">
        <w:t>'</w:t>
      </w:r>
      <w:r w:rsidRPr="00DD066D">
        <w:t>actuaire ont travaillé en étroite collaboration pour cette vérification. Les travaux de nos actuaires ont confirmé que les montants comptabilisés dans les comptes étaient pour l</w:t>
      </w:r>
      <w:r w:rsidR="001B30ED">
        <w:t>'</w:t>
      </w:r>
      <w:r w:rsidRPr="00DD066D">
        <w:t>essentiel corrects.</w:t>
      </w:r>
    </w:p>
    <w:p w14:paraId="79588AC4" w14:textId="614594AC" w:rsidR="00A11D21" w:rsidRPr="00DD066D" w:rsidRDefault="00A11D21" w:rsidP="00B53AD7">
      <w:r w:rsidRPr="00DD066D">
        <w:t>55</w:t>
      </w:r>
      <w:r w:rsidRPr="00DD066D">
        <w:tab/>
        <w:t>Nous notons que, suite à la recommandation N°</w:t>
      </w:r>
      <w:r w:rsidR="0018444B">
        <w:t> </w:t>
      </w:r>
      <w:r w:rsidRPr="00DD066D">
        <w:t>3 figurant dans notre rapport sur les états financiers pour 2014, la direction a lancé en 2016 un appel d</w:t>
      </w:r>
      <w:r w:rsidR="001B30ED">
        <w:t>'</w:t>
      </w:r>
      <w:r w:rsidRPr="00DD066D">
        <w:t>offres pour choisir un nouvel actuaire, afin de mener à bien l</w:t>
      </w:r>
      <w:r w:rsidR="001B30ED">
        <w:t>'</w:t>
      </w:r>
      <w:r w:rsidRPr="00DD066D">
        <w:t>étude actuarielle complète et les évaluations annuelles relatives à la norme IPSAS</w:t>
      </w:r>
      <w:r w:rsidR="0018444B">
        <w:t> </w:t>
      </w:r>
      <w:r w:rsidRPr="00DD066D">
        <w:t>25</w:t>
      </w:r>
      <w:r w:rsidR="00734AAD" w:rsidRPr="00DD066D">
        <w:t xml:space="preserve"> </w:t>
      </w:r>
      <w:r w:rsidRPr="00DD066D">
        <w:t>(</w:t>
      </w:r>
      <w:r w:rsidR="00AE20B2">
        <w:t>remplacée par la norme</w:t>
      </w:r>
      <w:r w:rsidRPr="00DD066D">
        <w:t xml:space="preserve"> IPSAS</w:t>
      </w:r>
      <w:r w:rsidR="0018444B">
        <w:t> </w:t>
      </w:r>
      <w:r w:rsidRPr="00DD066D">
        <w:t>39). Le choix s</w:t>
      </w:r>
      <w:r w:rsidR="001B30ED">
        <w:t>'</w:t>
      </w:r>
      <w:r w:rsidRPr="00DD066D">
        <w:t>est porté sur AON Hewitt Consulting.</w:t>
      </w:r>
    </w:p>
    <w:p w14:paraId="3ED54BE5" w14:textId="77777777" w:rsidR="001F5CDD" w:rsidRDefault="001F5CDD" w:rsidP="00B53AD7">
      <w:pPr>
        <w:spacing w:after="120"/>
      </w:pPr>
      <w:r>
        <w:br w:type="page"/>
      </w:r>
    </w:p>
    <w:p w14:paraId="54D0768A" w14:textId="400FF275" w:rsidR="00AB07D7" w:rsidRPr="00DD066D" w:rsidRDefault="00AB07D7" w:rsidP="00B53AD7">
      <w:pPr>
        <w:spacing w:after="120"/>
      </w:pPr>
      <w:r w:rsidRPr="00DD066D">
        <w:t>56</w:t>
      </w:r>
      <w:r w:rsidRPr="00DD066D">
        <w:tab/>
        <w:t xml:space="preserve">Dans </w:t>
      </w:r>
      <w:r w:rsidR="00734AAD" w:rsidRPr="00DD066D">
        <w:t>ce</w:t>
      </w:r>
      <w:r w:rsidRPr="00DD066D">
        <w:t xml:space="preserve"> rapport, nous avons </w:t>
      </w:r>
      <w:r w:rsidR="00734AAD" w:rsidRPr="00DD066D">
        <w:t xml:space="preserve">notamment </w:t>
      </w:r>
      <w:r w:rsidRPr="00DD066D">
        <w:t>recommandé</w:t>
      </w:r>
      <w:r w:rsidR="00734AAD" w:rsidRPr="00DD066D">
        <w:t xml:space="preserve"> </w:t>
      </w:r>
      <w:r w:rsidRPr="00DD066D">
        <w:t>à la direction de réaliser,</w:t>
      </w:r>
      <w:r w:rsidR="00734AAD" w:rsidRPr="00DD066D">
        <w:t xml:space="preserve"> dans</w:t>
      </w:r>
      <w:r w:rsidRPr="00DD066D">
        <w:t xml:space="preserve"> les années à venir, une étude actuarielle complète: celle-ci est nécessaire afin d</w:t>
      </w:r>
      <w:r w:rsidR="001B30ED">
        <w:t>'</w:t>
      </w:r>
      <w:r w:rsidRPr="00DD066D">
        <w:t>obtenir des réponses, et de trouver d</w:t>
      </w:r>
      <w:r w:rsidR="001B30ED">
        <w:t>'</w:t>
      </w:r>
      <w:r w:rsidRPr="00DD066D">
        <w:t>éventuelles solutions, à la question du financement adéquat, afin de garantir sur le long terme un financement suffisant du régime d</w:t>
      </w:r>
      <w:r w:rsidR="001B30ED">
        <w:t>'</w:t>
      </w:r>
      <w:r w:rsidRPr="00DD066D">
        <w:t>assurance maladie de l</w:t>
      </w:r>
      <w:r w:rsidR="001B30ED">
        <w:t>'</w:t>
      </w:r>
      <w:r w:rsidRPr="00DD066D">
        <w:t>UIT suivant la méthode par répartition.</w:t>
      </w:r>
    </w:p>
    <w:p w14:paraId="5C60775B" w14:textId="0D69FE55" w:rsidR="00AB07D7" w:rsidRPr="00DD066D" w:rsidRDefault="00AB07D7" w:rsidP="00B53AD7">
      <w:pPr>
        <w:spacing w:after="120"/>
      </w:pPr>
      <w:r w:rsidRPr="00DD066D">
        <w:t>57</w:t>
      </w:r>
      <w:r w:rsidR="001F5CDD">
        <w:tab/>
      </w:r>
      <w:r w:rsidR="00734AAD" w:rsidRPr="00DD066D">
        <w:t>L</w:t>
      </w:r>
      <w:r w:rsidR="001B30ED">
        <w:t>'</w:t>
      </w:r>
      <w:r w:rsidR="00734AAD" w:rsidRPr="00DD066D">
        <w:t xml:space="preserve">étude est en cours et en est actuellement à sa première étape. </w:t>
      </w:r>
      <w:r w:rsidRPr="00DD066D">
        <w:t>Nous reconnaissons que la direction coopère pleinement avec le Vérificateur extérieur des comptes et qu</w:t>
      </w:r>
      <w:r w:rsidR="001B30ED">
        <w:t>'</w:t>
      </w:r>
      <w:r w:rsidRPr="00DD066D">
        <w:t>elle nous fournit tous les documents relatifs à l</w:t>
      </w:r>
      <w:r w:rsidR="001B30ED">
        <w:t>'</w:t>
      </w:r>
      <w:r w:rsidRPr="00DD066D">
        <w:t>étude, afin de nous permettre de vérifier, avec le concours de nos actuaires, l</w:t>
      </w:r>
      <w:r w:rsidR="001B30ED">
        <w:t>'</w:t>
      </w:r>
      <w:r w:rsidRPr="00DD066D">
        <w:t>analyse de la situation et l</w:t>
      </w:r>
      <w:r w:rsidR="001B30ED">
        <w:t>'</w:t>
      </w:r>
      <w:r w:rsidRPr="00DD066D">
        <w:t>efficacité de la solution proposée.</w:t>
      </w:r>
    </w:p>
    <w:p w14:paraId="7BCFB51F" w14:textId="77777777" w:rsidR="00AB07D7" w:rsidRPr="00DD066D" w:rsidRDefault="00AB07D7" w:rsidP="007345C9">
      <w:pPr>
        <w:pStyle w:val="Headingb"/>
      </w:pPr>
      <w:bookmarkStart w:id="330" w:name="_Toc452140229"/>
      <w:bookmarkStart w:id="331" w:name="_Toc482958328"/>
      <w:bookmarkStart w:id="332" w:name="_Toc482966373"/>
      <w:bookmarkStart w:id="333" w:name="_Toc482967258"/>
      <w:bookmarkStart w:id="334" w:name="_Toc522685317"/>
      <w:r w:rsidRPr="00DD066D">
        <w:t>Retrait de la CAPS: un règlement difficile</w:t>
      </w:r>
      <w:bookmarkEnd w:id="330"/>
      <w:bookmarkEnd w:id="331"/>
      <w:bookmarkEnd w:id="332"/>
      <w:bookmarkEnd w:id="333"/>
      <w:bookmarkEnd w:id="334"/>
    </w:p>
    <w:p w14:paraId="6A646902" w14:textId="1D4161A4" w:rsidR="00AB07D7" w:rsidRPr="00DD066D" w:rsidRDefault="00AB07D7" w:rsidP="00B53AD7">
      <w:r w:rsidRPr="00DD066D">
        <w:t>58</w:t>
      </w:r>
      <w:r w:rsidR="004E2240" w:rsidRPr="00DD066D">
        <w:tab/>
        <w:t>Dans nos précédents</w:t>
      </w:r>
      <w:r w:rsidRPr="00DD066D">
        <w:t xml:space="preserve"> rapport</w:t>
      </w:r>
      <w:r w:rsidR="00E83344">
        <w:t>s</w:t>
      </w:r>
      <w:r w:rsidRPr="00DD066D">
        <w:t xml:space="preserve">, nous avons </w:t>
      </w:r>
      <w:r w:rsidR="004E2240" w:rsidRPr="00DD066D">
        <w:t>indiqué</w:t>
      </w:r>
      <w:r w:rsidRPr="00DD066D">
        <w:t xml:space="preserve"> que le retrait de la CAPS, qui est la caisse d</w:t>
      </w:r>
      <w:r w:rsidR="001B30ED">
        <w:t>'</w:t>
      </w:r>
      <w:r w:rsidRPr="00DD066D">
        <w:t>assurance maladie gérée par le BIT et à laquelle l</w:t>
      </w:r>
      <w:r w:rsidR="001B30ED">
        <w:t>'</w:t>
      </w:r>
      <w:r w:rsidRPr="00DD066D">
        <w:t>UIT a participé jusqu</w:t>
      </w:r>
      <w:r w:rsidR="001B30ED">
        <w:t>'</w:t>
      </w:r>
      <w:r w:rsidRPr="00DD066D">
        <w:t>en 2014, n</w:t>
      </w:r>
      <w:r w:rsidR="001B30ED">
        <w:t>'</w:t>
      </w:r>
      <w:r w:rsidRPr="00DD066D">
        <w:t>avait pas encore été complètement mené à bien, en raison de désaccords entre les deux organisations sur la somme devant être versée à l</w:t>
      </w:r>
      <w:r w:rsidR="001B30ED">
        <w:t>'</w:t>
      </w:r>
      <w:r w:rsidRPr="00DD066D">
        <w:t>UIT par la CAPS, concernant deux points principaux:</w:t>
      </w:r>
    </w:p>
    <w:p w14:paraId="291D7095" w14:textId="277C6D7C" w:rsidR="00AB07D7" w:rsidRPr="00DD066D" w:rsidRDefault="00AB07D7" w:rsidP="00B53AD7">
      <w:pPr>
        <w:pStyle w:val="enumlev1"/>
      </w:pPr>
      <w:r w:rsidRPr="00DD066D">
        <w:t>a)</w:t>
      </w:r>
      <w:r w:rsidRPr="00DD066D">
        <w:tab/>
      </w:r>
      <w:r w:rsidR="00341378" w:rsidRPr="00DD066D">
        <w:t>D</w:t>
      </w:r>
      <w:r w:rsidRPr="00DD066D">
        <w:t>u fait du retrait, les assurés de l</w:t>
      </w:r>
      <w:r w:rsidR="001B30ED">
        <w:t>'</w:t>
      </w:r>
      <w:r w:rsidRPr="00DD066D">
        <w:t>UIT pouvaient soumettre des demandes de remboursement à la CAPS jusqu</w:t>
      </w:r>
      <w:r w:rsidR="001B30ED">
        <w:t>'</w:t>
      </w:r>
      <w:r w:rsidRPr="00DD066D">
        <w:t>au 31</w:t>
      </w:r>
      <w:r w:rsidR="0018444B">
        <w:t> </w:t>
      </w:r>
      <w:r w:rsidRPr="00DD066D">
        <w:t>janvier</w:t>
      </w:r>
      <w:r w:rsidR="0018444B">
        <w:t> </w:t>
      </w:r>
      <w:r w:rsidRPr="00DD066D">
        <w:t>2017. Bien évidemment, le traitement de ces demandes nécessitait du temps, après cette date. Le BIT a facturé à l</w:t>
      </w:r>
      <w:r w:rsidR="001B30ED">
        <w:t>'</w:t>
      </w:r>
      <w:r w:rsidRPr="00DD066D">
        <w:t>UIT la totalité des coûts administratifs pour 5</w:t>
      </w:r>
      <w:r w:rsidR="0018444B">
        <w:t> </w:t>
      </w:r>
      <w:r w:rsidRPr="00DD066D">
        <w:t>mois (jusqu</w:t>
      </w:r>
      <w:r w:rsidR="001B30ED">
        <w:t>'</w:t>
      </w:r>
      <w:r w:rsidRPr="00DD066D">
        <w:t>au 31</w:t>
      </w:r>
      <w:r w:rsidR="0018444B">
        <w:t> </w:t>
      </w:r>
      <w:r w:rsidRPr="00DD066D">
        <w:t>mai</w:t>
      </w:r>
      <w:r w:rsidR="0018444B">
        <w:t> </w:t>
      </w:r>
      <w:r w:rsidRPr="00DD066D">
        <w:t>2015), comme si tous les assurés de l</w:t>
      </w:r>
      <w:r w:rsidR="001B30ED">
        <w:t>'</w:t>
      </w:r>
      <w:r w:rsidRPr="00DD066D">
        <w:t>UIT déposaient des demandes de remboursements à l</w:t>
      </w:r>
      <w:r w:rsidR="001B30ED">
        <w:t>'</w:t>
      </w:r>
      <w:r w:rsidRPr="00DD066D">
        <w:t>ancienne caisse. L</w:t>
      </w:r>
      <w:r w:rsidR="001B30ED">
        <w:t>'</w:t>
      </w:r>
      <w:r w:rsidRPr="00DD066D">
        <w:t>UIT avance qu</w:t>
      </w:r>
      <w:r w:rsidR="001B30ED">
        <w:t>'</w:t>
      </w:r>
      <w:r w:rsidRPr="00DD066D">
        <w:t>il s</w:t>
      </w:r>
      <w:r w:rsidR="001B30ED">
        <w:t>'</w:t>
      </w:r>
      <w:r w:rsidRPr="00DD066D">
        <w:t>agissait en réalité d</w:t>
      </w:r>
      <w:r w:rsidR="001B30ED">
        <w:t>'</w:t>
      </w:r>
      <w:r w:rsidRPr="00DD066D">
        <w:t>un très petit nombre de dossiers et que l</w:t>
      </w:r>
      <w:r w:rsidR="001B30ED">
        <w:t>'</w:t>
      </w:r>
      <w:r w:rsidRPr="00DD066D">
        <w:t>on ne pouvait donc pas facturer à l</w:t>
      </w:r>
      <w:r w:rsidR="001B30ED">
        <w:t>'</w:t>
      </w:r>
      <w:r w:rsidRPr="00DD066D">
        <w:t>UIT des co</w:t>
      </w:r>
      <w:r w:rsidR="00341378">
        <w:t>ûts administratifs aussi élevés.</w:t>
      </w:r>
    </w:p>
    <w:p w14:paraId="6974CB75" w14:textId="4F2F8B9D" w:rsidR="00AB07D7" w:rsidRPr="00DD066D" w:rsidRDefault="00AB07D7" w:rsidP="00B53AD7">
      <w:pPr>
        <w:pStyle w:val="enumlev1"/>
      </w:pPr>
      <w:r w:rsidRPr="00DD066D">
        <w:t>b)</w:t>
      </w:r>
      <w:r w:rsidRPr="00DD066D">
        <w:tab/>
      </w:r>
      <w:r w:rsidR="00341378" w:rsidRPr="00DD066D">
        <w:t>L</w:t>
      </w:r>
      <w:r w:rsidRPr="00DD066D">
        <w:t>e second point concerne la liquidation du fonds de garantie de la CAPS, à la création et à l</w:t>
      </w:r>
      <w:r w:rsidR="001B30ED">
        <w:t>'</w:t>
      </w:r>
      <w:r w:rsidRPr="00DD066D">
        <w:t>entretien duquel l</w:t>
      </w:r>
      <w:r w:rsidR="001B30ED">
        <w:t>'</w:t>
      </w:r>
      <w:r w:rsidRPr="00DD066D">
        <w:t>UIT participait à hauteur de 23%: l</w:t>
      </w:r>
      <w:r w:rsidR="001B30ED">
        <w:t>'</w:t>
      </w:r>
      <w:r w:rsidRPr="00DD066D">
        <w:t>UIT avait considéré que, conformément au principe de proportionnalité de sa contribution et aux principes de mutualisation et de solidarité, serait reversé à l</w:t>
      </w:r>
      <w:r w:rsidR="001B30ED">
        <w:t>'</w:t>
      </w:r>
      <w:r w:rsidRPr="00DD066D">
        <w:t>Union un pourcentage de la valorisation du fonds correspondant au pourcentage de la contribution qu</w:t>
      </w:r>
      <w:r w:rsidR="001B30ED">
        <w:t>'</w:t>
      </w:r>
      <w:r w:rsidRPr="00DD066D">
        <w:t>elle a versée à ce fonds; le BIT a refusé ce chiffre et a proposé un montant très inférieur.</w:t>
      </w:r>
    </w:p>
    <w:p w14:paraId="1E67D650" w14:textId="3ADBC1D1" w:rsidR="004E2240" w:rsidRPr="00DD066D" w:rsidRDefault="00AB07D7" w:rsidP="00B53AD7">
      <w:r w:rsidRPr="00DD066D">
        <w:t>5</w:t>
      </w:r>
      <w:r w:rsidR="00163334" w:rsidRPr="00DD066D">
        <w:t>9</w:t>
      </w:r>
      <w:r w:rsidRPr="00DD066D">
        <w:tab/>
        <w:t>L</w:t>
      </w:r>
      <w:r w:rsidR="00207A8D">
        <w:t>a direction nous a informés q</w:t>
      </w:r>
      <w:r w:rsidR="004E2240" w:rsidRPr="00DD066D">
        <w:t>u</w:t>
      </w:r>
      <w:r w:rsidR="001B30ED">
        <w:t>'</w:t>
      </w:r>
      <w:r w:rsidR="004E2240" w:rsidRPr="00DD066D">
        <w:t>il n</w:t>
      </w:r>
      <w:r w:rsidR="001B30ED">
        <w:t>'</w:t>
      </w:r>
      <w:r w:rsidR="004E2240" w:rsidRPr="00DD066D">
        <w:t>était pas possible de convenir d</w:t>
      </w:r>
      <w:r w:rsidR="001B30ED">
        <w:t>'</w:t>
      </w:r>
      <w:r w:rsidR="004E2240" w:rsidRPr="00DD066D">
        <w:t>une solution avec le BIT; pour cette raison, les deux organisations ont confié le règlement du différend à un arbitre. Les résultats de l</w:t>
      </w:r>
      <w:r w:rsidR="001B30ED">
        <w:t>'</w:t>
      </w:r>
      <w:r w:rsidR="004E2240" w:rsidRPr="00DD066D">
        <w:t>arbitrage, au moment de notre audit, n</w:t>
      </w:r>
      <w:r w:rsidR="001B30ED">
        <w:t>'</w:t>
      </w:r>
      <w:r w:rsidR="004E2240" w:rsidRPr="00DD066D">
        <w:t>ont pas encore été communiqués.</w:t>
      </w:r>
    </w:p>
    <w:p w14:paraId="788EC198" w14:textId="207445E2" w:rsidR="00163334" w:rsidRPr="00DD066D" w:rsidRDefault="00163334" w:rsidP="007345C9">
      <w:pPr>
        <w:pStyle w:val="Headingb"/>
      </w:pPr>
      <w:bookmarkStart w:id="335" w:name="_Toc356330902"/>
      <w:bookmarkStart w:id="336" w:name="_Toc358123321"/>
      <w:bookmarkStart w:id="337" w:name="_Toc396386968"/>
      <w:bookmarkStart w:id="338" w:name="_Toc396387848"/>
      <w:bookmarkStart w:id="339" w:name="_Toc396387962"/>
      <w:bookmarkStart w:id="340" w:name="_Toc398277647"/>
      <w:bookmarkStart w:id="341" w:name="_Toc419407190"/>
      <w:bookmarkStart w:id="342" w:name="_Toc452140230"/>
      <w:bookmarkStart w:id="343" w:name="_Toc482958329"/>
      <w:bookmarkStart w:id="344" w:name="_Toc482966374"/>
      <w:bookmarkStart w:id="345" w:name="_Toc482967259"/>
      <w:bookmarkStart w:id="346" w:name="_Toc522685318"/>
      <w:r w:rsidRPr="00DD066D">
        <w:t>Avantages du personnel: Caisse d</w:t>
      </w:r>
      <w:r w:rsidR="001B30ED">
        <w:t>'</w:t>
      </w:r>
      <w:r w:rsidRPr="00DD066D">
        <w:t xml:space="preserve">assurance du personnel </w:t>
      </w:r>
      <w:bookmarkEnd w:id="335"/>
      <w:r w:rsidRPr="00DD066D">
        <w:t>(Caisse des pensions close de l</w:t>
      </w:r>
      <w:r w:rsidR="001B30ED">
        <w:t>'</w:t>
      </w:r>
      <w:r w:rsidRPr="00DD066D">
        <w:t>UIT)</w:t>
      </w:r>
      <w:bookmarkEnd w:id="336"/>
      <w:bookmarkEnd w:id="337"/>
      <w:bookmarkEnd w:id="338"/>
      <w:bookmarkEnd w:id="339"/>
      <w:bookmarkEnd w:id="340"/>
      <w:bookmarkEnd w:id="341"/>
      <w:bookmarkEnd w:id="342"/>
      <w:bookmarkEnd w:id="343"/>
      <w:bookmarkEnd w:id="344"/>
      <w:bookmarkEnd w:id="345"/>
      <w:bookmarkEnd w:id="346"/>
    </w:p>
    <w:p w14:paraId="17A5EF5D" w14:textId="7CDAE86B" w:rsidR="00163334" w:rsidRPr="00DD066D" w:rsidRDefault="00163334" w:rsidP="00B53AD7">
      <w:r w:rsidRPr="00DD066D">
        <w:t>60</w:t>
      </w:r>
      <w:r w:rsidRPr="00DD066D">
        <w:tab/>
        <w:t>Comme pour les années précédentes, un montant de 54</w:t>
      </w:r>
      <w:r w:rsidR="0018444B">
        <w:t> 000 </w:t>
      </w:r>
      <w:r w:rsidRPr="00DD066D">
        <w:t>CHF a été comptabilisé en fin d</w:t>
      </w:r>
      <w:r w:rsidR="001B30ED">
        <w:t>'</w:t>
      </w:r>
      <w:r w:rsidRPr="00DD066D">
        <w:t>exercice; il correspond aux engagements liés aux prestations sous forme de retraites versées à d</w:t>
      </w:r>
      <w:r w:rsidR="001B30ED">
        <w:t>'</w:t>
      </w:r>
      <w:r w:rsidRPr="00DD066D">
        <w:t>anciens fonctionnaires au titre de la Caisse d</w:t>
      </w:r>
      <w:r w:rsidR="001B30ED">
        <w:t>'</w:t>
      </w:r>
      <w:r w:rsidRPr="00DD066D">
        <w:t>assurance du personnel (voir également le paragraphe</w:t>
      </w:r>
      <w:r w:rsidR="0018444B">
        <w:t> </w:t>
      </w:r>
      <w:r w:rsidRPr="00DD066D">
        <w:t>120).</w:t>
      </w:r>
    </w:p>
    <w:p w14:paraId="53DC8219" w14:textId="77777777" w:rsidR="00163334" w:rsidRPr="007345C9" w:rsidRDefault="00163334" w:rsidP="007345C9">
      <w:pPr>
        <w:pStyle w:val="Headingb"/>
      </w:pPr>
      <w:bookmarkStart w:id="347" w:name="_Toc358123322"/>
      <w:bookmarkStart w:id="348" w:name="_Toc396386969"/>
      <w:bookmarkStart w:id="349" w:name="_Toc396387849"/>
      <w:bookmarkStart w:id="350" w:name="_Toc396387963"/>
      <w:bookmarkStart w:id="351" w:name="_Toc398277648"/>
      <w:bookmarkStart w:id="352" w:name="_Toc419407191"/>
      <w:bookmarkStart w:id="353" w:name="_Toc452140231"/>
      <w:bookmarkStart w:id="354" w:name="_Toc482958330"/>
      <w:bookmarkStart w:id="355" w:name="_Toc482966375"/>
      <w:bookmarkStart w:id="356" w:name="_Toc482967260"/>
      <w:bookmarkStart w:id="357" w:name="_Toc522685319"/>
      <w:r w:rsidRPr="00DD066D">
        <w:t>ACTIF NET</w:t>
      </w:r>
      <w:bookmarkEnd w:id="347"/>
      <w:bookmarkEnd w:id="348"/>
      <w:bookmarkEnd w:id="349"/>
      <w:bookmarkEnd w:id="350"/>
      <w:bookmarkEnd w:id="351"/>
      <w:bookmarkEnd w:id="352"/>
      <w:bookmarkEnd w:id="353"/>
      <w:bookmarkEnd w:id="354"/>
      <w:bookmarkEnd w:id="355"/>
      <w:bookmarkEnd w:id="356"/>
      <w:bookmarkEnd w:id="357"/>
    </w:p>
    <w:p w14:paraId="4D77E594" w14:textId="5A38D42F" w:rsidR="00163334" w:rsidRPr="00DD066D" w:rsidRDefault="00163334" w:rsidP="00B53AD7">
      <w:r w:rsidRPr="00DD066D">
        <w:t>61</w:t>
      </w:r>
      <w:r w:rsidRPr="00DD066D">
        <w:tab/>
        <w:t>L</w:t>
      </w:r>
      <w:r w:rsidR="001B30ED">
        <w:t>'</w:t>
      </w:r>
      <w:r w:rsidRPr="00DD066D">
        <w:t>actif net comprenait les fonds propres affectés et non affectés, les fonds extrabudgétaires, le résultat non budgétaire, l</w:t>
      </w:r>
      <w:r w:rsidR="001B30ED">
        <w:t>'</w:t>
      </w:r>
      <w:r w:rsidRPr="00DD066D">
        <w:t>excédent/le déficit pour l</w:t>
      </w:r>
      <w:r w:rsidR="001B30ED">
        <w:t>'</w:t>
      </w:r>
      <w:r w:rsidRPr="00DD066D">
        <w:t>exercice financier et les effets du passage aux normes IPSAS. En 2017, l</w:t>
      </w:r>
      <w:r w:rsidR="001B30ED">
        <w:t>'</w:t>
      </w:r>
      <w:r w:rsidRPr="00DD066D">
        <w:t>actif net était négatif (</w:t>
      </w:r>
      <w:r w:rsidRPr="00DD066D">
        <w:rPr>
          <w:rFonts w:ascii="Symbol" w:hAnsi="Symbol"/>
        </w:rPr>
        <w:noBreakHyphen/>
      </w:r>
      <w:r w:rsidRPr="00DD066D">
        <w:t>482,5 millions CHF, en baisse par rapport à 2016 où il s</w:t>
      </w:r>
      <w:r w:rsidR="001B30ED">
        <w:t>'</w:t>
      </w:r>
      <w:r w:rsidRPr="00DD066D">
        <w:t>élevait à –419,2 millions CHF).</w:t>
      </w:r>
    </w:p>
    <w:p w14:paraId="07949D49" w14:textId="77777777" w:rsidR="001F5CDD" w:rsidRDefault="001F5CDD" w:rsidP="00B53AD7">
      <w:r>
        <w:br w:type="page"/>
      </w:r>
    </w:p>
    <w:p w14:paraId="0BAF3935" w14:textId="0615A62C" w:rsidR="00163334" w:rsidRPr="00DD066D" w:rsidRDefault="00163334" w:rsidP="00B53AD7">
      <w:r w:rsidRPr="00DD066D">
        <w:t>62</w:t>
      </w:r>
      <w:r w:rsidRPr="00DD066D">
        <w:tab/>
        <w:t>Tous les mouvements de l</w:t>
      </w:r>
      <w:r w:rsidR="001B30ED">
        <w:t>'</w:t>
      </w:r>
      <w:r w:rsidRPr="00DD066D">
        <w:t>actif net sont expliqués dans les différents Tableaux et Notes du Rapport de gestion financière, en particulier:</w:t>
      </w:r>
    </w:p>
    <w:p w14:paraId="5C3262F2" w14:textId="06658F45" w:rsidR="00163334" w:rsidRPr="00DD066D" w:rsidRDefault="00163334" w:rsidP="00B53AD7">
      <w:pPr>
        <w:pStyle w:val="enumlev1"/>
      </w:pPr>
      <w:r w:rsidRPr="00DD066D">
        <w:t>a)</w:t>
      </w:r>
      <w:r w:rsidRPr="00DD066D">
        <w:tab/>
        <w:t>Tableau II "Etat de la performance financière", indiquant le définit pour l</w:t>
      </w:r>
      <w:r w:rsidR="001B30ED">
        <w:t>'</w:t>
      </w:r>
      <w:r w:rsidRPr="00DD066D">
        <w:t>exercice (−17,1 millions CHF).</w:t>
      </w:r>
    </w:p>
    <w:p w14:paraId="140ABCB4" w14:textId="11B6935E" w:rsidR="00163334" w:rsidRPr="00DD066D" w:rsidRDefault="00163334" w:rsidP="00B53AD7">
      <w:pPr>
        <w:pStyle w:val="enumlev1"/>
      </w:pPr>
      <w:r w:rsidRPr="00DD066D">
        <w:t>b)</w:t>
      </w:r>
      <w:r w:rsidRPr="00DD066D">
        <w:tab/>
        <w:t>Tableau III "Etat des variations de l</w:t>
      </w:r>
      <w:r w:rsidR="001B30ED">
        <w:t>'</w:t>
      </w:r>
      <w:r w:rsidRPr="00DD066D">
        <w:t>actif net", indiquant séparément les mouvements pour chacun des fonds propres et les effets du passage aux normes IPSAS.</w:t>
      </w:r>
    </w:p>
    <w:p w14:paraId="7AF5F03F" w14:textId="2B6CDF23" w:rsidR="00163334" w:rsidRPr="00DD066D" w:rsidRDefault="00163334" w:rsidP="00B53AD7">
      <w:pPr>
        <w:pStyle w:val="enumlev1"/>
      </w:pPr>
      <w:r w:rsidRPr="00DD066D">
        <w:t>c)</w:t>
      </w:r>
      <w:r w:rsidRPr="00DD066D">
        <w:tab/>
        <w:t>Tableau V "Comparaison des montants budgétés et des montants effectifs", qui fait état des informations financières sur le rapprochement des comptes entre les résultats budgétaires (montants effectifs) et les montants comptabilisés dans les états financiers (voir également la Note</w:t>
      </w:r>
      <w:r w:rsidR="0018444B">
        <w:t> </w:t>
      </w:r>
      <w:r w:rsidRPr="00DD066D">
        <w:t>26).</w:t>
      </w:r>
    </w:p>
    <w:p w14:paraId="480E9D31" w14:textId="77C52663" w:rsidR="00163334" w:rsidRPr="00DD066D" w:rsidRDefault="00163334" w:rsidP="00B53AD7">
      <w:pPr>
        <w:pStyle w:val="enumlev1"/>
      </w:pPr>
      <w:r w:rsidRPr="00DD066D">
        <w:t>d)</w:t>
      </w:r>
      <w:r w:rsidRPr="00DD066D">
        <w:tab/>
        <w:t>Note</w:t>
      </w:r>
      <w:r w:rsidR="0018444B">
        <w:t> </w:t>
      </w:r>
      <w:r w:rsidRPr="00DD066D">
        <w:t>2 "Principaux principes comptables" dans le paragraphe relatif à la "comptabilisation des fonds", en particulier le paragraphe relatif aux "Fonds de tiers affectés", et dans le paragraphe relatif au "Fonds de réserve".</w:t>
      </w:r>
    </w:p>
    <w:p w14:paraId="73B147D3" w14:textId="4CF82E69" w:rsidR="00163334" w:rsidRPr="00DD066D" w:rsidRDefault="00163334" w:rsidP="00B53AD7">
      <w:pPr>
        <w:pStyle w:val="enumlev1"/>
      </w:pPr>
      <w:r w:rsidRPr="00DD066D">
        <w:t>e)</w:t>
      </w:r>
      <w:r w:rsidRPr="00DD066D">
        <w:tab/>
        <w:t>Note 3</w:t>
      </w:r>
      <w:r w:rsidR="0018444B">
        <w:t> </w:t>
      </w:r>
      <w:r w:rsidRPr="00DD066D">
        <w:t>"Gestion de l</w:t>
      </w:r>
      <w:r w:rsidR="001B30ED">
        <w:t>'</w:t>
      </w:r>
      <w:r w:rsidRPr="00DD066D">
        <w:t>actif net", qui indique les mouvements du Fonds de réserve.</w:t>
      </w:r>
    </w:p>
    <w:p w14:paraId="731D607C" w14:textId="06E6B622" w:rsidR="00166539" w:rsidRPr="007345C9" w:rsidRDefault="00166539" w:rsidP="007345C9">
      <w:pPr>
        <w:pStyle w:val="Headingb"/>
      </w:pPr>
      <w:bookmarkStart w:id="358" w:name="_Toc358123331"/>
      <w:bookmarkStart w:id="359" w:name="_Toc396386971"/>
      <w:bookmarkStart w:id="360" w:name="_Toc396387851"/>
      <w:bookmarkStart w:id="361" w:name="_Toc396387965"/>
      <w:bookmarkStart w:id="362" w:name="_Toc398277650"/>
      <w:bookmarkStart w:id="363" w:name="_Toc419407192"/>
      <w:bookmarkStart w:id="364" w:name="_Toc452140232"/>
      <w:bookmarkStart w:id="365" w:name="_Toc482958331"/>
      <w:bookmarkStart w:id="366" w:name="_Toc482966376"/>
      <w:bookmarkStart w:id="367" w:name="_Toc482967261"/>
      <w:bookmarkStart w:id="368" w:name="_Toc522685320"/>
      <w:r w:rsidRPr="007345C9">
        <w:t>ETAT DE LA PERFORMANCE FINANCIÈRE</w:t>
      </w:r>
      <w:r w:rsidR="0018444B" w:rsidRPr="007345C9">
        <w:t> </w:t>
      </w:r>
      <w:r w:rsidRPr="007345C9">
        <w:t>201</w:t>
      </w:r>
      <w:bookmarkEnd w:id="358"/>
      <w:bookmarkEnd w:id="359"/>
      <w:bookmarkEnd w:id="360"/>
      <w:bookmarkEnd w:id="361"/>
      <w:bookmarkEnd w:id="362"/>
      <w:bookmarkEnd w:id="363"/>
      <w:bookmarkEnd w:id="364"/>
      <w:bookmarkEnd w:id="365"/>
      <w:bookmarkEnd w:id="366"/>
      <w:bookmarkEnd w:id="367"/>
      <w:r w:rsidRPr="007345C9">
        <w:t>7</w:t>
      </w:r>
      <w:bookmarkEnd w:id="368"/>
    </w:p>
    <w:p w14:paraId="490B788C" w14:textId="14B5C4F1" w:rsidR="00166539" w:rsidRPr="00DD066D" w:rsidRDefault="00166539" w:rsidP="00B53AD7">
      <w:r w:rsidRPr="00DD066D">
        <w:t>63</w:t>
      </w:r>
      <w:r w:rsidRPr="00DD066D">
        <w:tab/>
        <w:t>L</w:t>
      </w:r>
      <w:r w:rsidR="001B30ED">
        <w:t>'</w:t>
      </w:r>
      <w:r w:rsidRPr="00DD066D">
        <w:t>état de la performance financière fait apparaître les produits et les charges d</w:t>
      </w:r>
      <w:r w:rsidR="001B30ED">
        <w:t>'</w:t>
      </w:r>
      <w:r w:rsidRPr="00DD066D">
        <w:t>exploitation et financiers de l</w:t>
      </w:r>
      <w:r w:rsidR="001B30ED">
        <w:t>'</w:t>
      </w:r>
      <w:r w:rsidRPr="00DD066D">
        <w:t>Organisation classés, décrits et présentés de manière à expliquer l</w:t>
      </w:r>
      <w:r w:rsidR="001B30ED">
        <w:t>'</w:t>
      </w:r>
      <w:r w:rsidRPr="00DD066D">
        <w:t>excédent ou le déficit net de l</w:t>
      </w:r>
      <w:r w:rsidR="001B30ED">
        <w:t>'</w:t>
      </w:r>
      <w:r w:rsidRPr="00DD066D">
        <w:t>exercice. Le résultat de la période a été un déficit de –17,1 millions CHF.</w:t>
      </w:r>
    </w:p>
    <w:p w14:paraId="581C644E" w14:textId="77777777" w:rsidR="00166539" w:rsidRPr="00DD066D" w:rsidRDefault="00166539" w:rsidP="007345C9">
      <w:pPr>
        <w:pStyle w:val="Headingb"/>
      </w:pPr>
      <w:bookmarkStart w:id="369" w:name="_Toc358123332"/>
      <w:bookmarkStart w:id="370" w:name="_Toc396386972"/>
      <w:bookmarkStart w:id="371" w:name="_Toc396387852"/>
      <w:bookmarkStart w:id="372" w:name="_Toc396387966"/>
      <w:bookmarkStart w:id="373" w:name="_Toc398277651"/>
      <w:bookmarkStart w:id="374" w:name="_Toc419407193"/>
      <w:bookmarkStart w:id="375" w:name="_Toc452140233"/>
      <w:bookmarkStart w:id="376" w:name="_Toc482958332"/>
      <w:bookmarkStart w:id="377" w:name="_Toc482966377"/>
      <w:bookmarkStart w:id="378" w:name="_Toc482967262"/>
      <w:bookmarkStart w:id="379" w:name="_Toc522685321"/>
      <w:r w:rsidRPr="00DD066D">
        <w:t>Produits et charges</w:t>
      </w:r>
      <w:bookmarkEnd w:id="369"/>
      <w:bookmarkEnd w:id="370"/>
      <w:bookmarkEnd w:id="371"/>
      <w:bookmarkEnd w:id="372"/>
      <w:bookmarkEnd w:id="373"/>
      <w:bookmarkEnd w:id="374"/>
      <w:bookmarkEnd w:id="375"/>
      <w:bookmarkEnd w:id="376"/>
      <w:bookmarkEnd w:id="377"/>
      <w:bookmarkEnd w:id="378"/>
      <w:bookmarkEnd w:id="379"/>
    </w:p>
    <w:p w14:paraId="5440EF2F" w14:textId="3FD61AF0" w:rsidR="00166539" w:rsidRPr="00DD066D" w:rsidRDefault="00166539" w:rsidP="00341378">
      <w:r w:rsidRPr="00DD066D">
        <w:t>64</w:t>
      </w:r>
      <w:r w:rsidRPr="00DD066D">
        <w:tab/>
        <w:t>Le total des produits s</w:t>
      </w:r>
      <w:r w:rsidR="001B30ED">
        <w:t>'</w:t>
      </w:r>
      <w:r w:rsidRPr="00DD066D">
        <w:t>est élevé à 17</w:t>
      </w:r>
      <w:r w:rsidR="008E6F10" w:rsidRPr="00DD066D">
        <w:t>8</w:t>
      </w:r>
      <w:r w:rsidRPr="00DD066D">
        <w:t>,5 millions CHF, soit une hausse de 2 millions CHF (</w:t>
      </w:r>
      <w:r w:rsidRPr="00DD066D">
        <w:rPr>
          <w:rFonts w:ascii="Symbol" w:hAnsi="Symbol"/>
        </w:rPr>
        <w:t></w:t>
      </w:r>
      <w:r w:rsidRPr="00DD066D">
        <w:t>1,</w:t>
      </w:r>
      <w:r w:rsidR="008E6F10" w:rsidRPr="00DD066D">
        <w:t>2</w:t>
      </w:r>
      <w:r w:rsidRPr="00DD066D">
        <w:t>%) par rapport à 201</w:t>
      </w:r>
      <w:r w:rsidR="008E6F10" w:rsidRPr="00DD066D">
        <w:t>6</w:t>
      </w:r>
      <w:r w:rsidRPr="00DD066D">
        <w:t xml:space="preserve"> (17</w:t>
      </w:r>
      <w:r w:rsidR="008E6F10" w:rsidRPr="00DD066D">
        <w:t>6</w:t>
      </w:r>
      <w:r w:rsidRPr="00DD066D">
        <w:t>,</w:t>
      </w:r>
      <w:r w:rsidR="008E6F10" w:rsidRPr="00DD066D">
        <w:t>5</w:t>
      </w:r>
      <w:r w:rsidRPr="00DD066D">
        <w:t xml:space="preserve"> millions CHF), principalement en raison d</w:t>
      </w:r>
      <w:r w:rsidR="001B30ED">
        <w:t>'</w:t>
      </w:r>
      <w:r w:rsidRPr="00DD066D">
        <w:t>une augmentation: i) des contributions volontaires (</w:t>
      </w:r>
      <w:r w:rsidR="0083112E" w:rsidRPr="00DD066D">
        <w:t>+0,4</w:t>
      </w:r>
      <w:r w:rsidR="005427B6">
        <w:t xml:space="preserve"> million CHF;</w:t>
      </w:r>
      <w:r w:rsidRPr="00DD066D">
        <w:t xml:space="preserve"> </w:t>
      </w:r>
      <w:r w:rsidR="0083112E" w:rsidRPr="00DD066D">
        <w:t>+3</w:t>
      </w:r>
      <w:r w:rsidRPr="00DD066D">
        <w:t>,</w:t>
      </w:r>
      <w:r w:rsidR="0083112E" w:rsidRPr="00DD066D">
        <w:t>7</w:t>
      </w:r>
      <w:r w:rsidRPr="00DD066D">
        <w:t>%); ii) des autres produits d</w:t>
      </w:r>
      <w:r w:rsidR="001B30ED">
        <w:t>'</w:t>
      </w:r>
      <w:r w:rsidRPr="00DD066D">
        <w:t xml:space="preserve">exploitation </w:t>
      </w:r>
      <w:r w:rsidR="0083112E" w:rsidRPr="00DD066D">
        <w:t>(+2,5</w:t>
      </w:r>
      <w:r w:rsidR="005427B6">
        <w:t> millions CHF;</w:t>
      </w:r>
      <w:r w:rsidRPr="00DD066D">
        <w:t xml:space="preserve"> </w:t>
      </w:r>
      <w:r w:rsidR="0083112E" w:rsidRPr="00DD066D">
        <w:t>+5,9</w:t>
      </w:r>
      <w:r w:rsidRPr="00DD066D">
        <w:t>%), en particulier une augmentation des revenus extrabudgétaires liés à l</w:t>
      </w:r>
      <w:r w:rsidR="001B30ED">
        <w:t>'</w:t>
      </w:r>
      <w:r w:rsidRPr="00DD066D">
        <w:t>appui aux projets, des recettes tirées des ventes de publications et de celles tirées du traitement des fiches de notification des réseaux à satellite. Les contributions mises en recouvrement, d</w:t>
      </w:r>
      <w:r w:rsidR="001B30ED">
        <w:t>'</w:t>
      </w:r>
      <w:r w:rsidRPr="00DD066D">
        <w:t>un montant de 122,</w:t>
      </w:r>
      <w:r w:rsidR="0083112E" w:rsidRPr="00DD066D">
        <w:t>4</w:t>
      </w:r>
      <w:r w:rsidRPr="00DD066D">
        <w:t xml:space="preserve"> millions CHF, soit 69,6% du total des produits, ont baissé de </w:t>
      </w:r>
      <w:r w:rsidR="0083112E" w:rsidRPr="00DD066D">
        <w:t>0</w:t>
      </w:r>
      <w:r w:rsidRPr="00DD066D">
        <w:t>,</w:t>
      </w:r>
      <w:r w:rsidR="0083112E" w:rsidRPr="00DD066D">
        <w:t>5</w:t>
      </w:r>
      <w:r w:rsidRPr="00DD066D">
        <w:t xml:space="preserve"> million CHF </w:t>
      </w:r>
      <w:r w:rsidR="00341378">
        <w:t>(</w:t>
      </w:r>
      <w:r w:rsidR="00341378">
        <w:sym w:font="Symbol" w:char="F02D"/>
      </w:r>
      <w:r w:rsidR="0083112E" w:rsidRPr="00DD066D">
        <w:t>0</w:t>
      </w:r>
      <w:r w:rsidRPr="00DD066D">
        <w:t>,</w:t>
      </w:r>
      <w:r w:rsidR="0083112E" w:rsidRPr="00DD066D">
        <w:t>4</w:t>
      </w:r>
      <w:r w:rsidRPr="00DD066D">
        <w:t>%) par rapport à 201</w:t>
      </w:r>
      <w:r w:rsidR="0083112E" w:rsidRPr="00DD066D">
        <w:t>6</w:t>
      </w:r>
      <w:r w:rsidRPr="00DD066D">
        <w:t>. La ventilation détaillée des produits est donnée dans la Note</w:t>
      </w:r>
      <w:r w:rsidR="0018444B">
        <w:t> </w:t>
      </w:r>
      <w:r w:rsidRPr="00DD066D">
        <w:t>2</w:t>
      </w:r>
      <w:r w:rsidR="0083112E" w:rsidRPr="00DD066D">
        <w:t>2</w:t>
      </w:r>
      <w:r w:rsidRPr="00DD066D">
        <w:t xml:space="preserve"> du Rapport de gestion financière.</w:t>
      </w:r>
    </w:p>
    <w:p w14:paraId="5A24B8A9" w14:textId="7A0FAA4A" w:rsidR="00166539" w:rsidRPr="00DD066D" w:rsidRDefault="0083112E" w:rsidP="00B21487">
      <w:r w:rsidRPr="00DD066D">
        <w:t>65</w:t>
      </w:r>
      <w:r w:rsidR="00166539" w:rsidRPr="00DD066D">
        <w:tab/>
        <w:t>Le total des charges s</w:t>
      </w:r>
      <w:r w:rsidR="001B30ED">
        <w:t>'</w:t>
      </w:r>
      <w:r w:rsidR="00166539" w:rsidRPr="00DD066D">
        <w:t>est élevé à 1</w:t>
      </w:r>
      <w:r w:rsidRPr="00DD066D">
        <w:t>95</w:t>
      </w:r>
      <w:r w:rsidR="00166539" w:rsidRPr="00DD066D">
        <w:t>,</w:t>
      </w:r>
      <w:r w:rsidRPr="00DD066D">
        <w:t>6</w:t>
      </w:r>
      <w:r w:rsidR="00166539" w:rsidRPr="00DD066D">
        <w:t xml:space="preserve"> millions CHF, en </w:t>
      </w:r>
      <w:r w:rsidR="00AC018F" w:rsidRPr="00DD066D">
        <w:t>hausse</w:t>
      </w:r>
      <w:r w:rsidR="00166539" w:rsidRPr="00DD066D">
        <w:t xml:space="preserve"> de </w:t>
      </w:r>
      <w:r w:rsidRPr="00DD066D">
        <w:t>7</w:t>
      </w:r>
      <w:r w:rsidR="00166539" w:rsidRPr="00DD066D">
        <w:t>,</w:t>
      </w:r>
      <w:r w:rsidRPr="00DD066D">
        <w:t>4</w:t>
      </w:r>
      <w:r w:rsidR="00166539" w:rsidRPr="00DD066D">
        <w:t> million</w:t>
      </w:r>
      <w:r w:rsidR="005427B6">
        <w:t>s</w:t>
      </w:r>
      <w:r w:rsidR="00166539" w:rsidRPr="00DD066D">
        <w:t xml:space="preserve"> CHF (</w:t>
      </w:r>
      <w:r w:rsidRPr="00DD066D">
        <w:t>+3,9</w:t>
      </w:r>
      <w:r w:rsidR="00166539" w:rsidRPr="00DD066D">
        <w:t>%), par rapport à 201</w:t>
      </w:r>
      <w:r w:rsidRPr="00DD066D">
        <w:t>6</w:t>
      </w:r>
      <w:r w:rsidR="00166539" w:rsidRPr="00DD066D">
        <w:t xml:space="preserve"> (1</w:t>
      </w:r>
      <w:r w:rsidRPr="00DD066D">
        <w:t>88</w:t>
      </w:r>
      <w:r w:rsidR="00166539" w:rsidRPr="00DD066D">
        <w:t>,</w:t>
      </w:r>
      <w:r w:rsidRPr="00DD066D">
        <w:t>2</w:t>
      </w:r>
      <w:r w:rsidR="00166539" w:rsidRPr="00DD066D">
        <w:t> millions CHF). Les charges de personnel (</w:t>
      </w:r>
      <w:r w:rsidR="00AC018F" w:rsidRPr="00DD066D">
        <w:t>148,7</w:t>
      </w:r>
      <w:r w:rsidR="00166539" w:rsidRPr="00DD066D">
        <w:t> millions CHF), qui représentaient 7</w:t>
      </w:r>
      <w:r w:rsidRPr="00DD066D">
        <w:t>6</w:t>
      </w:r>
      <w:r w:rsidR="00166539" w:rsidRPr="00DD066D">
        <w:t xml:space="preserve">% des charges totales, ont </w:t>
      </w:r>
      <w:r w:rsidRPr="00DD066D">
        <w:t>augmenté</w:t>
      </w:r>
      <w:r w:rsidR="00166539" w:rsidRPr="00DD066D">
        <w:t xml:space="preserve"> de </w:t>
      </w:r>
      <w:r w:rsidRPr="00DD066D">
        <w:t>1</w:t>
      </w:r>
      <w:r w:rsidR="00166539" w:rsidRPr="00DD066D">
        <w:t>,</w:t>
      </w:r>
      <w:r w:rsidRPr="00DD066D">
        <w:t>7</w:t>
      </w:r>
      <w:r w:rsidR="00B21487">
        <w:t> million CHF (+1</w:t>
      </w:r>
      <w:bookmarkStart w:id="380" w:name="_GoBack"/>
      <w:bookmarkEnd w:id="380"/>
      <w:r w:rsidR="00AC018F" w:rsidRPr="00DD066D">
        <w:t>,2</w:t>
      </w:r>
      <w:r w:rsidR="00166539" w:rsidRPr="00DD066D">
        <w:t>%), comme indiqué dans la Note</w:t>
      </w:r>
      <w:r w:rsidR="0018444B">
        <w:t> </w:t>
      </w:r>
      <w:r w:rsidR="00166539" w:rsidRPr="00DD066D">
        <w:t>2</w:t>
      </w:r>
      <w:r w:rsidRPr="00DD066D">
        <w:t>3</w:t>
      </w:r>
      <w:r w:rsidR="00166539" w:rsidRPr="00DD066D">
        <w:t xml:space="preserve"> du Rapport de gestion financière. </w:t>
      </w:r>
    </w:p>
    <w:p w14:paraId="4DCD1C63" w14:textId="77777777" w:rsidR="00486686" w:rsidRPr="00DD066D" w:rsidRDefault="00486686" w:rsidP="007345C9">
      <w:pPr>
        <w:pStyle w:val="Headingb"/>
      </w:pPr>
      <w:bookmarkStart w:id="381" w:name="_Toc419407199"/>
      <w:bookmarkStart w:id="382" w:name="_Toc452140234"/>
      <w:bookmarkStart w:id="383" w:name="_Toc482958333"/>
      <w:bookmarkStart w:id="384" w:name="_Toc482966378"/>
      <w:bookmarkStart w:id="385" w:name="_Toc482967263"/>
      <w:bookmarkStart w:id="386" w:name="_Toc522685322"/>
      <w:r w:rsidRPr="00DD066D">
        <w:t>Personnel</w:t>
      </w:r>
      <w:bookmarkEnd w:id="381"/>
      <w:bookmarkEnd w:id="382"/>
      <w:bookmarkEnd w:id="383"/>
      <w:bookmarkEnd w:id="384"/>
      <w:bookmarkEnd w:id="385"/>
      <w:bookmarkEnd w:id="386"/>
    </w:p>
    <w:p w14:paraId="50C6D882" w14:textId="2BBCA1C5" w:rsidR="00486686" w:rsidRPr="00341378" w:rsidRDefault="003B2429" w:rsidP="001F5CDD">
      <w:pPr>
        <w:pStyle w:val="Headingb"/>
        <w:ind w:left="0" w:firstLine="0"/>
        <w:rPr>
          <w:i/>
          <w:iCs/>
        </w:rPr>
      </w:pPr>
      <w:bookmarkStart w:id="387" w:name="_Toc522685323"/>
      <w:r w:rsidRPr="00341378">
        <w:rPr>
          <w:i/>
          <w:iCs/>
        </w:rPr>
        <w:t xml:space="preserve">Rationalisation de la fonction de </w:t>
      </w:r>
      <w:r w:rsidR="002530FC" w:rsidRPr="00341378">
        <w:rPr>
          <w:i/>
          <w:iCs/>
        </w:rPr>
        <w:t>paiement des traitements</w:t>
      </w:r>
      <w:r w:rsidRPr="00341378">
        <w:rPr>
          <w:i/>
          <w:iCs/>
        </w:rPr>
        <w:t xml:space="preserve"> </w:t>
      </w:r>
      <w:r w:rsidR="005427B6" w:rsidRPr="00341378">
        <w:rPr>
          <w:i/>
          <w:iCs/>
        </w:rPr>
        <w:t>du Département de la gestion des ressources humaines</w:t>
      </w:r>
      <w:bookmarkEnd w:id="387"/>
    </w:p>
    <w:p w14:paraId="49331806" w14:textId="03EA7BEB" w:rsidR="00B42FDF" w:rsidRPr="00DD066D" w:rsidRDefault="00486686" w:rsidP="00B53AD7">
      <w:r w:rsidRPr="00DD066D">
        <w:t>66</w:t>
      </w:r>
      <w:r w:rsidR="001F5CDD">
        <w:tab/>
      </w:r>
      <w:r w:rsidR="00AC018F" w:rsidRPr="00DD066D">
        <w:t xml:space="preserve">Dans le cadre des vérifications relatives au personnel, </w:t>
      </w:r>
      <w:r w:rsidRPr="00DD066D">
        <w:t xml:space="preserve">nous avons passé en revue </w:t>
      </w:r>
      <w:r w:rsidR="009000DF">
        <w:t>les</w:t>
      </w:r>
      <w:r w:rsidRPr="00DD066D">
        <w:t xml:space="preserve"> bulletins de paie</w:t>
      </w:r>
      <w:r w:rsidR="009000DF">
        <w:t xml:space="preserve"> d</w:t>
      </w:r>
      <w:r w:rsidR="001B30ED">
        <w:t>'</w:t>
      </w:r>
      <w:r w:rsidR="009000DF" w:rsidRPr="00DD066D">
        <w:t>un certain nombre</w:t>
      </w:r>
      <w:r w:rsidR="009000DF">
        <w:t xml:space="preserve"> d</w:t>
      </w:r>
      <w:r w:rsidR="001B30ED">
        <w:t>'</w:t>
      </w:r>
      <w:r w:rsidR="009000DF">
        <w:t xml:space="preserve">employés </w:t>
      </w:r>
      <w:r w:rsidRPr="00DD066D">
        <w:t>choisis de manière aléatoire. Notre échantillon comprenait des fonctionnaires</w:t>
      </w:r>
      <w:r w:rsidR="00AC018F" w:rsidRPr="00DD066D">
        <w:t xml:space="preserve"> des cat</w:t>
      </w:r>
      <w:r w:rsidR="00E83344">
        <w:t>é</w:t>
      </w:r>
      <w:r w:rsidR="00AC018F" w:rsidRPr="00DD066D">
        <w:t>gories G et P, jouissant de contrats à durée déterminée et indéterminée, à Genève et hors si</w:t>
      </w:r>
      <w:r w:rsidR="00E83344">
        <w:t>è</w:t>
      </w:r>
      <w:r w:rsidR="00AC018F" w:rsidRPr="00DD066D">
        <w:t>ge.</w:t>
      </w:r>
      <w:r w:rsidR="009000DF">
        <w:t xml:space="preserve"> </w:t>
      </w:r>
      <w:r w:rsidRPr="00DD066D">
        <w:t>Nous avons vérifié l</w:t>
      </w:r>
      <w:r w:rsidR="001B30ED">
        <w:t>'</w:t>
      </w:r>
      <w:r w:rsidRPr="00DD066D">
        <w:t xml:space="preserve">exactitude des montants </w:t>
      </w:r>
      <w:r w:rsidR="00AC018F" w:rsidRPr="00DD066D">
        <w:t>effectivement payés</w:t>
      </w:r>
      <w:r w:rsidRPr="00DD066D">
        <w:t xml:space="preserve"> par rapport aux conditions d</w:t>
      </w:r>
      <w:r w:rsidR="001B30ED">
        <w:t>'</w:t>
      </w:r>
      <w:r w:rsidRPr="00DD066D">
        <w:t xml:space="preserve">emplois applicables et nous avons recherché dans les dossiers personnels les éléments justifiant les prestations accordées. </w:t>
      </w:r>
      <w:r w:rsidR="00AC018F" w:rsidRPr="00DD066D">
        <w:t xml:space="preserve">Ces vérifications ont révélé certaines lacunes dans la mise à jour des documents </w:t>
      </w:r>
      <w:r w:rsidR="009000DF">
        <w:t>qui justifient</w:t>
      </w:r>
      <w:r w:rsidR="00AC018F" w:rsidRPr="00DD066D">
        <w:t xml:space="preserve"> les prestations.</w:t>
      </w:r>
      <w:r w:rsidR="00197662">
        <w:t xml:space="preserve"> </w:t>
      </w:r>
      <w:r w:rsidR="00AC018F" w:rsidRPr="00DD066D">
        <w:t>La direction a confirmé l</w:t>
      </w:r>
      <w:r w:rsidR="001B30ED">
        <w:t>'</w:t>
      </w:r>
      <w:r w:rsidR="00AC018F" w:rsidRPr="00DD066D">
        <w:t>existence d</w:t>
      </w:r>
      <w:r w:rsidR="001B30ED">
        <w:t>'</w:t>
      </w:r>
      <w:r w:rsidR="00AC018F" w:rsidRPr="00DD066D">
        <w:t xml:space="preserve">un retard dans la mise à jour des données administratives, qui </w:t>
      </w:r>
      <w:r w:rsidR="00957A72">
        <w:t>concernerait</w:t>
      </w:r>
      <w:r w:rsidR="00AC018F" w:rsidRPr="00DD066D">
        <w:t>, selon leurs estimations, une centaine de membres du personnel.</w:t>
      </w:r>
      <w:r w:rsidR="00197662">
        <w:t xml:space="preserve"> </w:t>
      </w:r>
      <w:r w:rsidR="00B42FDF" w:rsidRPr="00DD066D">
        <w:t>Le manque de concordance entre les dossiers personnels et la situation réelle nous a empêché</w:t>
      </w:r>
      <w:r w:rsidR="00E83344">
        <w:t>s</w:t>
      </w:r>
      <w:r w:rsidR="00B42FDF" w:rsidRPr="00DD066D">
        <w:t xml:space="preserve"> de vérifier les conditions d</w:t>
      </w:r>
      <w:r w:rsidR="001B30ED">
        <w:t>'</w:t>
      </w:r>
      <w:r w:rsidR="00B42FDF" w:rsidRPr="00DD066D">
        <w:t>éligibilité et de déterminer les éventuel</w:t>
      </w:r>
      <w:r w:rsidR="00957A72">
        <w:t>s effets sur les chiffres finals</w:t>
      </w:r>
      <w:r w:rsidR="00B42FDF" w:rsidRPr="00DD066D">
        <w:t xml:space="preserve"> enregistrés dans les comptes.</w:t>
      </w:r>
    </w:p>
    <w:p w14:paraId="67B628C9" w14:textId="3334037A" w:rsidR="007050F6" w:rsidRPr="00DD066D" w:rsidRDefault="00486686" w:rsidP="001F5CDD">
      <w:r w:rsidRPr="00DD066D">
        <w:t>67</w:t>
      </w:r>
      <w:r w:rsidR="001F5CDD">
        <w:tab/>
      </w:r>
      <w:r w:rsidR="007B4874" w:rsidRPr="00DD066D">
        <w:t>Plus généralement, nous avons constaté une fragmentation des flux d</w:t>
      </w:r>
      <w:r w:rsidR="001B30ED">
        <w:t>'</w:t>
      </w:r>
      <w:r w:rsidR="007B4874" w:rsidRPr="00DD066D">
        <w:t>info</w:t>
      </w:r>
      <w:r w:rsidR="00197662">
        <w:t xml:space="preserve">rmation relatifs au personnel </w:t>
      </w:r>
      <w:r w:rsidR="001F5CDD">
        <w:t>dans</w:t>
      </w:r>
      <w:r w:rsidR="007B4874" w:rsidRPr="00DD066D">
        <w:t xml:space="preserve"> l</w:t>
      </w:r>
      <w:r w:rsidR="001B30ED">
        <w:t>'</w:t>
      </w:r>
      <w:r w:rsidR="007B4874" w:rsidRPr="00DD066D">
        <w:t>ensemble de l</w:t>
      </w:r>
      <w:r w:rsidR="001B30ED">
        <w:t>'</w:t>
      </w:r>
      <w:r w:rsidR="007B4874" w:rsidRPr="00DD066D">
        <w:t xml:space="preserve">UIT, dont les données sont fréquemment inscrites dans </w:t>
      </w:r>
      <w:r w:rsidR="00335131">
        <w:t>le système pour plus d</w:t>
      </w:r>
      <w:r w:rsidR="001B30ED">
        <w:t>'</w:t>
      </w:r>
      <w:r w:rsidR="00335131">
        <w:t>un poste. Cela</w:t>
      </w:r>
      <w:r w:rsidR="007B4874" w:rsidRPr="00DD066D">
        <w:t xml:space="preserve"> crée des archives parallèles</w:t>
      </w:r>
      <w:r w:rsidR="00335131">
        <w:t xml:space="preserve"> dont il n</w:t>
      </w:r>
      <w:r w:rsidR="001B30ED">
        <w:t>'</w:t>
      </w:r>
      <w:r w:rsidR="00335131">
        <w:t>est jamais certain qu</w:t>
      </w:r>
      <w:r w:rsidR="001B30ED">
        <w:t>'</w:t>
      </w:r>
      <w:r w:rsidR="00335131">
        <w:t xml:space="preserve">elles soient complètes. </w:t>
      </w:r>
      <w:r w:rsidR="007050F6" w:rsidRPr="00DD066D">
        <w:t>Bien que ce mode de fonctionnement ne cause pas pour l</w:t>
      </w:r>
      <w:r w:rsidR="001B30ED">
        <w:t>'</w:t>
      </w:r>
      <w:r w:rsidR="007050F6" w:rsidRPr="00DD066D">
        <w:t>instant de désagrément majeur, il implique un laborieux</w:t>
      </w:r>
      <w:r w:rsidR="00335131">
        <w:t xml:space="preserve"> </w:t>
      </w:r>
      <w:r w:rsidR="007050F6" w:rsidRPr="00DD066D">
        <w:t>rapprochement des données et expose l</w:t>
      </w:r>
      <w:r w:rsidR="001B30ED">
        <w:t>'</w:t>
      </w:r>
      <w:r w:rsidR="007050F6" w:rsidRPr="00DD066D">
        <w:t xml:space="preserve">UIT à </w:t>
      </w:r>
      <w:r w:rsidR="007050F6" w:rsidRPr="00335131">
        <w:t xml:space="preserve">des risques liés à </w:t>
      </w:r>
      <w:r w:rsidR="00335131" w:rsidRPr="00335131">
        <w:t xml:space="preserve">des </w:t>
      </w:r>
      <w:r w:rsidR="007050F6" w:rsidRPr="00335131">
        <w:t>données</w:t>
      </w:r>
      <w:r w:rsidR="001F5CDD">
        <w:t xml:space="preserve"> incomplètes</w:t>
      </w:r>
      <w:r w:rsidR="007050F6" w:rsidRPr="00DD066D">
        <w:t>.</w:t>
      </w:r>
    </w:p>
    <w:p w14:paraId="15B5F4AA" w14:textId="699BA129" w:rsidR="006E349D" w:rsidRPr="00DD066D" w:rsidRDefault="00486686" w:rsidP="001F5CDD">
      <w:r w:rsidRPr="00DD066D">
        <w:t>68</w:t>
      </w:r>
      <w:r w:rsidR="001F5CDD">
        <w:tab/>
      </w:r>
      <w:r w:rsidR="00DB593F" w:rsidRPr="00DD066D">
        <w:t xml:space="preserve">En 2017 a été introduit </w:t>
      </w:r>
      <w:r w:rsidR="007050F6" w:rsidRPr="00DD066D">
        <w:t>un nouvel ensemble de prestations offert</w:t>
      </w:r>
      <w:r w:rsidR="00DB593F" w:rsidRPr="00DD066D">
        <w:t>es aux fonctionnaires des catégories professionnelles et supérieures, à la suite de la Décis</w:t>
      </w:r>
      <w:r w:rsidR="00F71ACE">
        <w:t>ion</w:t>
      </w:r>
      <w:r w:rsidR="0018444B">
        <w:t> </w:t>
      </w:r>
      <w:r w:rsidR="00F71ACE">
        <w:t xml:space="preserve">593 </w:t>
      </w:r>
      <w:r w:rsidR="00DB593F" w:rsidRPr="00DD066D">
        <w:t>adoptée par le Conseil à sa session de 2016 pour garantir une maîtrise générale des coûts.</w:t>
      </w:r>
      <w:r w:rsidR="00F71ACE">
        <w:t xml:space="preserve"> </w:t>
      </w:r>
      <w:r w:rsidR="008B4FE3" w:rsidRPr="00DD066D">
        <w:t>Les principa</w:t>
      </w:r>
      <w:r w:rsidR="00F71ACE">
        <w:t>ux éléments de cette réforme</w:t>
      </w:r>
      <w:r w:rsidR="008B4FE3" w:rsidRPr="00DD066D">
        <w:t xml:space="preserve"> </w:t>
      </w:r>
      <w:r w:rsidR="00F71ACE">
        <w:t>sont les suivant</w:t>
      </w:r>
      <w:r w:rsidR="008B4FE3" w:rsidRPr="00DD066D">
        <w:t xml:space="preserve">s: un barème unifié des traitements à taux unique, une modification des échelons, une modification des </w:t>
      </w:r>
      <w:r w:rsidR="00FD6CD1">
        <w:t>indemnités pour charges de famille</w:t>
      </w:r>
      <w:r w:rsidR="008B4FE3" w:rsidRPr="00DD066D">
        <w:t>, et une réduction des remboursements des frais d</w:t>
      </w:r>
      <w:r w:rsidR="001B30ED">
        <w:t>'</w:t>
      </w:r>
      <w:r w:rsidR="008B4FE3" w:rsidRPr="00DD066D">
        <w:t>études.</w:t>
      </w:r>
      <w:r w:rsidR="00F71ACE">
        <w:t xml:space="preserve"> </w:t>
      </w:r>
      <w:r w:rsidR="00C84AB8" w:rsidRPr="00DD066D">
        <w:t xml:space="preserve">Ce nouvel ensemble de prestations (excepté le </w:t>
      </w:r>
      <w:r w:rsidR="00184A14">
        <w:t>régime de l</w:t>
      </w:r>
      <w:r w:rsidR="001B30ED">
        <w:t>'</w:t>
      </w:r>
      <w:r w:rsidR="00184A14">
        <w:t xml:space="preserve">indemnité pour </w:t>
      </w:r>
      <w:r w:rsidR="00184A14">
        <w:rPr>
          <w:rStyle w:val="bri2"/>
        </w:rPr>
        <w:t>frais d</w:t>
      </w:r>
      <w:r w:rsidR="001B30ED">
        <w:rPr>
          <w:rStyle w:val="bri2"/>
        </w:rPr>
        <w:t>'</w:t>
      </w:r>
      <w:r w:rsidR="00184A14">
        <w:rPr>
          <w:rStyle w:val="bri2"/>
        </w:rPr>
        <w:t>études</w:t>
      </w:r>
      <w:r w:rsidR="00C84AB8" w:rsidRPr="00DD066D">
        <w:t>) a été introduit le 1er</w:t>
      </w:r>
      <w:r w:rsidR="0018444B">
        <w:t> </w:t>
      </w:r>
      <w:r w:rsidR="00C84AB8" w:rsidRPr="00DD066D">
        <w:t>janvier</w:t>
      </w:r>
      <w:r w:rsidR="0018444B">
        <w:t> </w:t>
      </w:r>
      <w:r w:rsidR="00C84AB8" w:rsidRPr="00DD066D">
        <w:t>2017.</w:t>
      </w:r>
      <w:r w:rsidR="000C00E6">
        <w:t xml:space="preserve"> </w:t>
      </w:r>
      <w:r w:rsidR="00257019" w:rsidRPr="00DD066D">
        <w:t>Néanmoins, au moment de notre visite en avril</w:t>
      </w:r>
      <w:r w:rsidR="0018444B">
        <w:t> </w:t>
      </w:r>
      <w:r w:rsidR="00257019" w:rsidRPr="00DD066D">
        <w:t>2018, le traitement</w:t>
      </w:r>
      <w:r w:rsidR="00514CC0">
        <w:t xml:space="preserve"> automatique des données n</w:t>
      </w:r>
      <w:r w:rsidR="001B30ED">
        <w:t>'</w:t>
      </w:r>
      <w:r w:rsidR="00514CC0">
        <w:t>avait</w:t>
      </w:r>
      <w:r w:rsidR="00257019" w:rsidRPr="00DD066D">
        <w:t xml:space="preserve"> pas encore été achevé, et certaines données (notamment celles portant s</w:t>
      </w:r>
      <w:r w:rsidR="006E349D" w:rsidRPr="00DD066D">
        <w:t xml:space="preserve">ur les </w:t>
      </w:r>
      <w:r w:rsidR="000C00E6">
        <w:t xml:space="preserve">subsides au </w:t>
      </w:r>
      <w:r w:rsidR="006E349D" w:rsidRPr="00DD066D">
        <w:t xml:space="preserve">logement et </w:t>
      </w:r>
      <w:r w:rsidR="00257019" w:rsidRPr="00DD066D">
        <w:t xml:space="preserve">les </w:t>
      </w:r>
      <w:r w:rsidR="000C00E6">
        <w:t>indemnités subsidiaires pour charges de famille</w:t>
      </w:r>
      <w:r w:rsidR="006E349D" w:rsidRPr="00DD066D">
        <w:t xml:space="preserve">) </w:t>
      </w:r>
      <w:r w:rsidR="00257019" w:rsidRPr="00DD066D">
        <w:t>devaient encore être insérées manuellement.</w:t>
      </w:r>
      <w:r w:rsidR="000C00E6">
        <w:t xml:space="preserve"> </w:t>
      </w:r>
      <w:r w:rsidR="006E349D" w:rsidRPr="00DD066D">
        <w:t>Pour le moment, les anciennes applications doivent encore être utilisées.</w:t>
      </w:r>
    </w:p>
    <w:p w14:paraId="6AB384D0" w14:textId="07D24256" w:rsidR="00C30FB2" w:rsidRDefault="00486686" w:rsidP="001F5CDD">
      <w:pPr>
        <w:spacing w:after="120"/>
      </w:pPr>
      <w:r w:rsidRPr="00DD066D">
        <w:t>69</w:t>
      </w:r>
      <w:r w:rsidR="001F5CDD">
        <w:tab/>
      </w:r>
      <w:r w:rsidR="00C30FB2" w:rsidRPr="00DD066D">
        <w:t>Le risque d</w:t>
      </w:r>
      <w:r w:rsidR="001B30ED">
        <w:t>'</w:t>
      </w:r>
      <w:r w:rsidR="00C30FB2" w:rsidRPr="00DD066D">
        <w:t>erreurs peut m</w:t>
      </w:r>
      <w:r w:rsidR="000C00E6">
        <w:t xml:space="preserve">ême apparaître </w:t>
      </w:r>
      <w:r w:rsidR="00C30FB2" w:rsidRPr="00DD066D">
        <w:t>plus tard.</w:t>
      </w:r>
      <w:r w:rsidR="000C00E6">
        <w:t xml:space="preserve"> De fait</w:t>
      </w:r>
      <w:r w:rsidR="00C30FB2" w:rsidRPr="00DD066D">
        <w:t xml:space="preserve">, certaines anomalies sont apparues après la mise en </w:t>
      </w:r>
      <w:r w:rsidR="00A55BE4">
        <w:t>oe</w:t>
      </w:r>
      <w:r w:rsidR="00C30FB2" w:rsidRPr="00DD066D">
        <w:t>uvre</w:t>
      </w:r>
      <w:r w:rsidR="000C00E6">
        <w:t xml:space="preserve"> et des</w:t>
      </w:r>
      <w:r w:rsidR="00C30FB2" w:rsidRPr="00DD066D">
        <w:t xml:space="preserve"> correction</w:t>
      </w:r>
      <w:r w:rsidR="000C00E6">
        <w:t>s</w:t>
      </w:r>
      <w:r w:rsidR="00C30FB2" w:rsidRPr="00DD066D">
        <w:t xml:space="preserve"> manuelles</w:t>
      </w:r>
      <w:r w:rsidR="000C00E6">
        <w:t xml:space="preserve"> ont dû être effectuées</w:t>
      </w:r>
      <w:r w:rsidR="00C30FB2" w:rsidRPr="00DD066D">
        <w:t>, en particulier en ce qui concerne la correspondance entre le droit aux indemnités pour charge</w:t>
      </w:r>
      <w:r w:rsidR="000C00E6">
        <w:t>s de famille</w:t>
      </w:r>
      <w:r w:rsidR="00C30FB2" w:rsidRPr="00DD066D">
        <w:t xml:space="preserve"> indiqué sur les bulletins de paie et les données personnelles concernant la situation réelle des familles.</w:t>
      </w:r>
      <w:r w:rsidR="000C00E6">
        <w:t xml:space="preserve"> </w:t>
      </w:r>
      <w:r w:rsidR="00C30FB2" w:rsidRPr="00DD066D">
        <w:t xml:space="preserve">Une régularisation </w:t>
      </w:r>
      <w:r w:rsidR="00F56BE6" w:rsidRPr="00DD066D">
        <w:t>a par la suite été nécessaire.</w:t>
      </w:r>
    </w:p>
    <w:tbl>
      <w:tblPr>
        <w:tblStyle w:val="TableGrid"/>
        <w:tblW w:w="0" w:type="auto"/>
        <w:tblLook w:val="04A0" w:firstRow="1" w:lastRow="0" w:firstColumn="1" w:lastColumn="0" w:noHBand="0" w:noVBand="1"/>
      </w:tblPr>
      <w:tblGrid>
        <w:gridCol w:w="9629"/>
      </w:tblGrid>
      <w:tr w:rsidR="00FE3A8F" w:rsidRPr="00DD066D" w14:paraId="0C52CDD6" w14:textId="77777777" w:rsidTr="004B5BA3">
        <w:tc>
          <w:tcPr>
            <w:tcW w:w="9629" w:type="dxa"/>
          </w:tcPr>
          <w:p w14:paraId="5F97A4B9" w14:textId="6EA415D2" w:rsidR="00FE3A8F" w:rsidRPr="00DD066D" w:rsidRDefault="00FE3A8F" w:rsidP="00B53AD7">
            <w:pPr>
              <w:spacing w:after="120"/>
              <w:rPr>
                <w:b/>
                <w:bCs/>
                <w:i/>
                <w:iCs/>
              </w:rPr>
            </w:pPr>
            <w:r w:rsidRPr="00DD066D">
              <w:rPr>
                <w:b/>
                <w:bCs/>
                <w:i/>
                <w:iCs/>
              </w:rPr>
              <w:t>Recommandation N°</w:t>
            </w:r>
            <w:r w:rsidR="0018444B">
              <w:rPr>
                <w:b/>
                <w:bCs/>
                <w:i/>
                <w:iCs/>
              </w:rPr>
              <w:t> </w:t>
            </w:r>
            <w:r w:rsidRPr="00DD066D">
              <w:rPr>
                <w:b/>
                <w:bCs/>
                <w:i/>
                <w:iCs/>
              </w:rPr>
              <w:t>2</w:t>
            </w:r>
          </w:p>
          <w:p w14:paraId="74E8D3FF" w14:textId="2C98B8B5" w:rsidR="00F56BE6" w:rsidRPr="00DD066D" w:rsidRDefault="00FE3A8F" w:rsidP="00B53AD7">
            <w:r w:rsidRPr="00DD066D">
              <w:t>70</w:t>
            </w:r>
            <w:r w:rsidRPr="00DD066D">
              <w:tab/>
            </w:r>
            <w:r w:rsidR="005D6FE9">
              <w:t>Afin de</w:t>
            </w:r>
            <w:r w:rsidR="005D6FE9" w:rsidRPr="00DD066D">
              <w:t xml:space="preserve"> l</w:t>
            </w:r>
            <w:r w:rsidR="005D6FE9">
              <w:t>imiter le risque d</w:t>
            </w:r>
            <w:r w:rsidR="001B30ED">
              <w:t>'</w:t>
            </w:r>
            <w:r w:rsidR="005D6FE9">
              <w:t>inexactitudes, nous recommandons à</w:t>
            </w:r>
            <w:r w:rsidR="00F56BE6" w:rsidRPr="00DD066D">
              <w:t xml:space="preserve"> la direction:</w:t>
            </w:r>
          </w:p>
          <w:p w14:paraId="69019116" w14:textId="3829EF69" w:rsidR="00F56BE6" w:rsidRPr="00DD066D" w:rsidRDefault="00FD6CD1" w:rsidP="001F5CDD">
            <w:pPr>
              <w:pStyle w:val="enumlev1"/>
            </w:pPr>
            <w:r>
              <w:t>1)</w:t>
            </w:r>
            <w:r>
              <w:tab/>
            </w:r>
            <w:r w:rsidR="005D6FE9">
              <w:t>de prendre</w:t>
            </w:r>
            <w:r w:rsidR="00F56BE6" w:rsidRPr="00DD066D">
              <w:t xml:space="preserve"> des mesures extraordinaires (comme la création d</w:t>
            </w:r>
            <w:r w:rsidR="001B30ED">
              <w:t>'</w:t>
            </w:r>
            <w:r w:rsidR="00F56BE6" w:rsidRPr="00DD066D">
              <w:t>un groupe d</w:t>
            </w:r>
            <w:r w:rsidR="001B30ED">
              <w:t>'</w:t>
            </w:r>
            <w:r w:rsidR="001F5CDD">
              <w:t>action</w:t>
            </w:r>
            <w:r w:rsidR="00F56BE6" w:rsidRPr="00DD066D">
              <w:t xml:space="preserve"> ad hoc) pour rattraper au plus vite le retard dans la mise à jour des dossiers personnels;</w:t>
            </w:r>
          </w:p>
          <w:p w14:paraId="32624BCC" w14:textId="275E2632" w:rsidR="00235589" w:rsidRPr="00DD066D" w:rsidRDefault="00FD6CD1" w:rsidP="00B53AD7">
            <w:pPr>
              <w:pStyle w:val="enumlev1"/>
            </w:pPr>
            <w:r>
              <w:t>2)</w:t>
            </w:r>
            <w:r>
              <w:tab/>
            </w:r>
            <w:r w:rsidR="005D6FE9">
              <w:t xml:space="preserve">de </w:t>
            </w:r>
            <w:r w:rsidR="00235589" w:rsidRPr="00DD066D">
              <w:t>rationalise</w:t>
            </w:r>
            <w:r w:rsidR="005D6FE9">
              <w:t>r</w:t>
            </w:r>
            <w:r w:rsidR="00235589" w:rsidRPr="00DD066D">
              <w:t xml:space="preserve"> les flux de stockage et de gestion des données, afin de remédier à la fragmentation actuelle;</w:t>
            </w:r>
          </w:p>
          <w:p w14:paraId="0E7E18BB" w14:textId="330053AA" w:rsidR="00235589" w:rsidRPr="00DD066D" w:rsidRDefault="00FD6CD1" w:rsidP="00B53AD7">
            <w:pPr>
              <w:pStyle w:val="enumlev1"/>
            </w:pPr>
            <w:r>
              <w:t>3)</w:t>
            </w:r>
            <w:r>
              <w:tab/>
            </w:r>
            <w:r w:rsidR="005D6FE9">
              <w:t>d</w:t>
            </w:r>
            <w:r w:rsidR="001B30ED">
              <w:t>'</w:t>
            </w:r>
            <w:r w:rsidR="005D6FE9">
              <w:t>investir</w:t>
            </w:r>
            <w:r w:rsidR="00235589" w:rsidRPr="00DD066D">
              <w:t xml:space="preserve"> dans des ressources informatiques afin de supprimer l</w:t>
            </w:r>
            <w:r w:rsidR="001B30ED">
              <w:t>'</w:t>
            </w:r>
            <w:r w:rsidR="00235589" w:rsidRPr="00DD066D">
              <w:t>insertion manuelle de</w:t>
            </w:r>
            <w:r>
              <w:t>s</w:t>
            </w:r>
            <w:r w:rsidR="00235589" w:rsidRPr="00DD066D">
              <w:t xml:space="preserve"> données relatives au nouvel ensemble de prestations, suivant une liste de priorités préétablie; et</w:t>
            </w:r>
          </w:p>
          <w:p w14:paraId="13645D0F" w14:textId="5D4358C1" w:rsidR="00235589" w:rsidRPr="00DD066D" w:rsidRDefault="00FE3A8F" w:rsidP="00B53AD7">
            <w:pPr>
              <w:spacing w:after="120"/>
              <w:ind w:left="567" w:hanging="567"/>
            </w:pPr>
            <w:r w:rsidRPr="00DD066D">
              <w:t>4)</w:t>
            </w:r>
            <w:r w:rsidRPr="00DD066D">
              <w:tab/>
            </w:r>
            <w:r w:rsidR="005D6FE9">
              <w:t>d</w:t>
            </w:r>
            <w:r w:rsidR="001B30ED">
              <w:t>'</w:t>
            </w:r>
            <w:r w:rsidR="005D6FE9">
              <w:t>a</w:t>
            </w:r>
            <w:r w:rsidR="00235589" w:rsidRPr="00DD066D">
              <w:t>méliore</w:t>
            </w:r>
            <w:r w:rsidR="005D6FE9">
              <w:t>r</w:t>
            </w:r>
            <w:r w:rsidR="00235589" w:rsidRPr="00DD066D">
              <w:t xml:space="preserve"> la fonction de </w:t>
            </w:r>
            <w:r w:rsidR="002530FC">
              <w:t>paiement</w:t>
            </w:r>
            <w:r w:rsidR="00235589" w:rsidRPr="00DD066D">
              <w:t xml:space="preserve"> des </w:t>
            </w:r>
            <w:r w:rsidR="002530FC">
              <w:t>traitements</w:t>
            </w:r>
            <w:r w:rsidR="00235589" w:rsidRPr="00DD066D">
              <w:t xml:space="preserve"> en introduisant des v</w:t>
            </w:r>
            <w:r w:rsidR="00E83344">
              <w:t>é</w:t>
            </w:r>
            <w:r w:rsidR="00235589" w:rsidRPr="00DD066D">
              <w:t>rifications supplémentaires.</w:t>
            </w:r>
          </w:p>
        </w:tc>
      </w:tr>
    </w:tbl>
    <w:p w14:paraId="5FAF45DC" w14:textId="2DF8DF3A" w:rsidR="001F5CDD" w:rsidRDefault="001F5CDD" w:rsidP="00B53AD7">
      <w:r>
        <w:br w:type="page"/>
      </w:r>
    </w:p>
    <w:tbl>
      <w:tblPr>
        <w:tblStyle w:val="TableGrid"/>
        <w:tblW w:w="0" w:type="auto"/>
        <w:tblLook w:val="04A0" w:firstRow="1" w:lastRow="0" w:firstColumn="1" w:lastColumn="0" w:noHBand="0" w:noVBand="1"/>
      </w:tblPr>
      <w:tblGrid>
        <w:gridCol w:w="9629"/>
      </w:tblGrid>
      <w:tr w:rsidR="00FE3A8F" w:rsidRPr="00DD066D" w14:paraId="43C2763B" w14:textId="77777777" w:rsidTr="004B5BA3">
        <w:tc>
          <w:tcPr>
            <w:tcW w:w="9629" w:type="dxa"/>
          </w:tcPr>
          <w:p w14:paraId="6217EED3" w14:textId="77777777" w:rsidR="00FE3A8F" w:rsidRPr="001F5CDD" w:rsidRDefault="00FE3A8F" w:rsidP="00B53AD7">
            <w:pPr>
              <w:spacing w:after="120"/>
              <w:rPr>
                <w:rFonts w:asciiTheme="minorHAnsi" w:hAnsiTheme="minorHAnsi"/>
                <w:b/>
                <w:bCs/>
                <w:i/>
                <w:iCs/>
              </w:rPr>
            </w:pPr>
            <w:r w:rsidRPr="001F5CDD">
              <w:rPr>
                <w:rFonts w:asciiTheme="minorHAnsi" w:hAnsiTheme="minorHAnsi"/>
                <w:b/>
                <w:bCs/>
                <w:i/>
                <w:iCs/>
              </w:rPr>
              <w:t>Commentaires du Secrétaire général</w:t>
            </w:r>
          </w:p>
          <w:p w14:paraId="2619C5F7" w14:textId="10F8D804" w:rsidR="00A016C5" w:rsidRPr="00DD066D" w:rsidRDefault="00A016C5" w:rsidP="005E4377">
            <w:r w:rsidRPr="00DD066D">
              <w:t xml:space="preserve">Nous </w:t>
            </w:r>
            <w:r w:rsidR="00C148D1">
              <w:t>souscrivons pleinement à</w:t>
            </w:r>
            <w:r w:rsidRPr="00DD066D">
              <w:t xml:space="preserve"> ces recommandations. Le </w:t>
            </w:r>
            <w:r w:rsidR="0062579C">
              <w:rPr>
                <w:rStyle w:val="bri2"/>
              </w:rPr>
              <w:t>Département de la gestion des ressources humaines</w:t>
            </w:r>
            <w:r w:rsidR="0062579C">
              <w:t xml:space="preserve"> </w:t>
            </w:r>
            <w:r w:rsidRPr="00DD066D">
              <w:t>travaille actuellement sur une série de mesures (à court, moyen et long terme) visant à traiter les différentes questions soulevées par les vérificateurs ext</w:t>
            </w:r>
            <w:r w:rsidR="005E4377">
              <w:t>érieurs</w:t>
            </w:r>
            <w:r w:rsidRPr="00DD066D">
              <w:t>, notamment:</w:t>
            </w:r>
          </w:p>
          <w:p w14:paraId="0784720F" w14:textId="3583DA82" w:rsidR="00FE3A8F" w:rsidRPr="00184A14" w:rsidRDefault="001F5CDD" w:rsidP="001F5CDD">
            <w:pPr>
              <w:pStyle w:val="enumlev1"/>
            </w:pPr>
            <w:r w:rsidRPr="001F5CDD">
              <w:t>–</w:t>
            </w:r>
            <w:r>
              <w:tab/>
            </w:r>
            <w:r w:rsidR="00A016C5" w:rsidRPr="00184A14">
              <w:t xml:space="preserve">une réorganisation du </w:t>
            </w:r>
            <w:r w:rsidR="0062579C" w:rsidRPr="00184A14">
              <w:rPr>
                <w:rStyle w:val="bri2"/>
              </w:rPr>
              <w:t>Département de la gestion des ressources humaines</w:t>
            </w:r>
            <w:r w:rsidR="005E4377">
              <w:rPr>
                <w:rStyle w:val="bri2"/>
              </w:rPr>
              <w:t>,</w:t>
            </w:r>
            <w:r w:rsidR="0062579C" w:rsidRPr="00184A14">
              <w:t xml:space="preserve"> </w:t>
            </w:r>
            <w:r w:rsidR="00A016C5" w:rsidRPr="00184A14">
              <w:t>menée à bien en 2017;</w:t>
            </w:r>
          </w:p>
          <w:p w14:paraId="591A1862" w14:textId="019E3EA6" w:rsidR="00A016C5" w:rsidRPr="00DD066D" w:rsidRDefault="001F5CDD" w:rsidP="005E4377">
            <w:pPr>
              <w:pStyle w:val="enumlev1"/>
            </w:pPr>
            <w:r w:rsidRPr="001F5CDD">
              <w:t>–</w:t>
            </w:r>
            <w:r>
              <w:tab/>
            </w:r>
            <w:r w:rsidR="00A016C5" w:rsidRPr="00DD066D">
              <w:t>un examen des processus opérationnels pou</w:t>
            </w:r>
            <w:r w:rsidR="00184A14">
              <w:t>r évaluer les procé</w:t>
            </w:r>
            <w:r w:rsidR="00184A14" w:rsidRPr="00DD066D">
              <w:t xml:space="preserve">dures </w:t>
            </w:r>
            <w:r w:rsidR="00184A14">
              <w:t xml:space="preserve">et processus </w:t>
            </w:r>
            <w:r w:rsidR="00A016C5" w:rsidRPr="00DD066D">
              <w:t xml:space="preserve">existants, en vue de les </w:t>
            </w:r>
            <w:r w:rsidR="005E4377">
              <w:t>rationaliser</w:t>
            </w:r>
            <w:r w:rsidR="00A016C5" w:rsidRPr="00DD066D">
              <w:t xml:space="preserve"> et, </w:t>
            </w:r>
            <w:r w:rsidR="00184A14">
              <w:t xml:space="preserve">selon les </w:t>
            </w:r>
            <w:r w:rsidR="00A016C5" w:rsidRPr="00DD066D">
              <w:t>besoins, d</w:t>
            </w:r>
            <w:r w:rsidR="001B30ED">
              <w:t>'</w:t>
            </w:r>
            <w:r w:rsidR="00A016C5" w:rsidRPr="00DD066D">
              <w:t xml:space="preserve">en établir de nouveaux, par exemple pour appuyer la mise en </w:t>
            </w:r>
            <w:r w:rsidR="00A55BE4">
              <w:t>oe</w:t>
            </w:r>
            <w:r w:rsidR="00A016C5" w:rsidRPr="00DD066D">
              <w:t xml:space="preserve">uvre du nouvel ensemble de prestations (en particulier le nouveau </w:t>
            </w:r>
            <w:r w:rsidR="00184A14">
              <w:t>régime de l</w:t>
            </w:r>
            <w:r w:rsidR="001B30ED">
              <w:t>'</w:t>
            </w:r>
            <w:r w:rsidR="00184A14">
              <w:t xml:space="preserve">indemnité pour </w:t>
            </w:r>
            <w:r w:rsidR="00184A14">
              <w:rPr>
                <w:rStyle w:val="bri2"/>
              </w:rPr>
              <w:t>frais d</w:t>
            </w:r>
            <w:r w:rsidR="001B30ED">
              <w:rPr>
                <w:rStyle w:val="bri2"/>
              </w:rPr>
              <w:t>'</w:t>
            </w:r>
            <w:r w:rsidR="00184A14">
              <w:rPr>
                <w:rStyle w:val="bri2"/>
              </w:rPr>
              <w:t>études</w:t>
            </w:r>
            <w:r w:rsidR="00A016C5" w:rsidRPr="00DD066D">
              <w:t>);</w:t>
            </w:r>
          </w:p>
          <w:p w14:paraId="7ADA6F6B" w14:textId="4082A64D" w:rsidR="00A016C5" w:rsidRPr="00DD066D" w:rsidRDefault="001F5CDD" w:rsidP="001F5CDD">
            <w:pPr>
              <w:pStyle w:val="enumlev1"/>
            </w:pPr>
            <w:r w:rsidRPr="001F5CDD">
              <w:t>–</w:t>
            </w:r>
            <w:r>
              <w:tab/>
            </w:r>
            <w:r w:rsidR="00A016C5" w:rsidRPr="00DD066D">
              <w:t xml:space="preserve">la </w:t>
            </w:r>
            <w:r w:rsidR="00874F69">
              <w:t>détermination d</w:t>
            </w:r>
            <w:r w:rsidR="001B30ED">
              <w:t>'</w:t>
            </w:r>
            <w:r w:rsidR="00874F69">
              <w:t>une liste complè</w:t>
            </w:r>
            <w:r w:rsidR="00A016C5" w:rsidRPr="00DD066D">
              <w:t>te d</w:t>
            </w:r>
            <w:r w:rsidR="001B30ED">
              <w:t>'</w:t>
            </w:r>
            <w:r w:rsidR="00A016C5" w:rsidRPr="00DD066D">
              <w:t>exigences en matière d</w:t>
            </w:r>
            <w:r w:rsidR="001B30ED">
              <w:t>'</w:t>
            </w:r>
            <w:r w:rsidR="00A016C5" w:rsidRPr="00DD066D">
              <w:t xml:space="preserve">informatique, qui sera examinée par le </w:t>
            </w:r>
            <w:r w:rsidR="00A016C5" w:rsidRPr="00DD066D">
              <w:rPr>
                <w:rStyle w:val="bri2"/>
              </w:rPr>
              <w:t xml:space="preserve">Département des services informatiques, </w:t>
            </w:r>
            <w:r w:rsidR="00A016C5" w:rsidRPr="00DD066D">
              <w:t>en vue d</w:t>
            </w:r>
            <w:r w:rsidR="001B30ED">
              <w:t>'</w:t>
            </w:r>
            <w:r w:rsidR="00A016C5" w:rsidRPr="00DD066D">
              <w:t>établir un plan d</w:t>
            </w:r>
            <w:r w:rsidR="001B30ED">
              <w:t>'</w:t>
            </w:r>
            <w:r w:rsidR="00A016C5" w:rsidRPr="00DD066D">
              <w:t xml:space="preserve">action qui </w:t>
            </w:r>
            <w:r w:rsidR="00157EA5" w:rsidRPr="00DD066D">
              <w:t xml:space="preserve">souligne les lacunes des systèmes existants et prévoie le développement </w:t>
            </w:r>
            <w:r w:rsidR="00626B17">
              <w:t xml:space="preserve">de </w:t>
            </w:r>
            <w:r w:rsidR="00157EA5" w:rsidRPr="00DD066D">
              <w:t>nouvelles fonctionnalités, l</w:t>
            </w:r>
            <w:r w:rsidR="001B30ED">
              <w:t>'</w:t>
            </w:r>
            <w:r w:rsidR="00157EA5" w:rsidRPr="00DD066D">
              <w:t>automatisation des processus manuels existants, le développement de fonctionnalités supplémentaires d</w:t>
            </w:r>
            <w:r w:rsidR="00874F69">
              <w:t xml:space="preserve">u système </w:t>
            </w:r>
            <w:r w:rsidR="00874F69">
              <w:rPr>
                <w:rStyle w:val="bri2"/>
              </w:rPr>
              <w:t>Employee Self Service</w:t>
            </w:r>
            <w:r w:rsidR="00157EA5" w:rsidRPr="00DD066D">
              <w:rPr>
                <w:rStyle w:val="bri2"/>
              </w:rPr>
              <w:t xml:space="preserve"> (ESS</w:t>
            </w:r>
            <w:r>
              <w:t>), etc.</w:t>
            </w:r>
            <w:r w:rsidR="00157EA5" w:rsidRPr="00DD066D">
              <w:t>;</w:t>
            </w:r>
          </w:p>
          <w:p w14:paraId="63DA2B78" w14:textId="62212D0D" w:rsidR="00157EA5" w:rsidRPr="00DD066D" w:rsidRDefault="001F5CDD" w:rsidP="001F5CDD">
            <w:pPr>
              <w:pStyle w:val="enumlev1"/>
              <w:spacing w:after="120"/>
            </w:pPr>
            <w:r w:rsidRPr="001F5CDD">
              <w:t>–</w:t>
            </w:r>
            <w:r>
              <w:tab/>
            </w:r>
            <w:r w:rsidR="00874F69">
              <w:t>l</w:t>
            </w:r>
            <w:r w:rsidR="001B30ED">
              <w:t>'</w:t>
            </w:r>
            <w:r w:rsidR="00157EA5" w:rsidRPr="00DD066D">
              <w:t>examen et, si nécessair</w:t>
            </w:r>
            <w:r w:rsidR="00874F69">
              <w:t>e, la modification du projet d</w:t>
            </w:r>
            <w:r w:rsidR="001B30ED">
              <w:t>'</w:t>
            </w:r>
            <w:r w:rsidR="00874F69">
              <w:t xml:space="preserve">archivage </w:t>
            </w:r>
            <w:r>
              <w:t>électronique lancé en </w:t>
            </w:r>
            <w:r w:rsidR="00157EA5" w:rsidRPr="00DD066D">
              <w:t xml:space="preserve">2010 pour dématérialiser les informations </w:t>
            </w:r>
            <w:r w:rsidR="00626B17">
              <w:t>traitées</w:t>
            </w:r>
            <w:r w:rsidR="00157EA5" w:rsidRPr="00DD066D">
              <w:t xml:space="preserve"> par le </w:t>
            </w:r>
            <w:r w:rsidR="0062579C">
              <w:rPr>
                <w:rStyle w:val="bri2"/>
              </w:rPr>
              <w:t>Département de la gestion des ressources humaines</w:t>
            </w:r>
            <w:r w:rsidR="00157EA5" w:rsidRPr="00DD066D">
              <w:t xml:space="preserve">, en </w:t>
            </w:r>
            <w:r w:rsidR="00874F69">
              <w:t xml:space="preserve">les </w:t>
            </w:r>
            <w:r w:rsidR="00157EA5" w:rsidRPr="00DD066D">
              <w:t>intégrant dans un système plus robuste et plus complet de gestion des informations.</w:t>
            </w:r>
          </w:p>
        </w:tc>
      </w:tr>
    </w:tbl>
    <w:p w14:paraId="15CEBF56" w14:textId="1BC8FA58" w:rsidR="00A450B0" w:rsidRPr="007345C9" w:rsidRDefault="00A450B0" w:rsidP="007345C9">
      <w:pPr>
        <w:pStyle w:val="Headingb"/>
        <w:rPr>
          <w:i/>
          <w:iCs/>
        </w:rPr>
      </w:pPr>
      <w:bookmarkStart w:id="388" w:name="_Toc522685324"/>
      <w:bookmarkStart w:id="389" w:name="_Hlk516505974"/>
      <w:r w:rsidRPr="007345C9">
        <w:rPr>
          <w:i/>
          <w:iCs/>
        </w:rPr>
        <w:t>Nécessité d</w:t>
      </w:r>
      <w:r w:rsidR="001B30ED" w:rsidRPr="007345C9">
        <w:rPr>
          <w:i/>
          <w:iCs/>
        </w:rPr>
        <w:t>'</w:t>
      </w:r>
      <w:r w:rsidRPr="007345C9">
        <w:rPr>
          <w:i/>
          <w:iCs/>
        </w:rPr>
        <w:t>une politique de gestion prévisionnelle des besoins en personnel</w:t>
      </w:r>
      <w:bookmarkEnd w:id="388"/>
    </w:p>
    <w:bookmarkEnd w:id="389"/>
    <w:p w14:paraId="5492CBB3" w14:textId="329E3A84" w:rsidR="00E41D9C" w:rsidRPr="00DD066D" w:rsidRDefault="007345C9" w:rsidP="00B53AD7">
      <w:r>
        <w:t>71</w:t>
      </w:r>
      <w:r>
        <w:tab/>
      </w:r>
      <w:r w:rsidR="00B90945" w:rsidRPr="00DD066D">
        <w:t>La mise au point de la version finale du Plan stratégique pour les ressources humaines, pour lequel un projet de cadre a été présenté l</w:t>
      </w:r>
      <w:r w:rsidR="001B30ED">
        <w:t>'</w:t>
      </w:r>
      <w:r w:rsidR="00B90945" w:rsidRPr="00DD066D">
        <w:t>année dernière au Conseil, a été re</w:t>
      </w:r>
      <w:r w:rsidR="0001206C">
        <w:t>portée</w:t>
      </w:r>
      <w:r w:rsidR="00B90945" w:rsidRPr="00DD066D">
        <w:t xml:space="preserve"> à la suite de la décision de </w:t>
      </w:r>
      <w:r w:rsidR="0001206C">
        <w:t>l</w:t>
      </w:r>
      <w:r w:rsidR="001B30ED">
        <w:t>'</w:t>
      </w:r>
      <w:r w:rsidR="0001206C">
        <w:t>harmoniser</w:t>
      </w:r>
      <w:r w:rsidR="00B90945" w:rsidRPr="00DD066D">
        <w:t xml:space="preserve">, sur le plan du contenu et du calendrier, </w:t>
      </w:r>
      <w:r w:rsidR="00626B17">
        <w:t>avec</w:t>
      </w:r>
      <w:r w:rsidR="00B90945" w:rsidRPr="00DD066D">
        <w:t xml:space="preserve"> les d</w:t>
      </w:r>
      <w:r w:rsidR="00E83344">
        <w:t>é</w:t>
      </w:r>
      <w:r w:rsidR="00B90945" w:rsidRPr="00DD066D">
        <w:t>cisions de haut niveau relatives au Plan stratégique et au Plan financier de l</w:t>
      </w:r>
      <w:r w:rsidR="001B30ED">
        <w:t>'</w:t>
      </w:r>
      <w:r w:rsidR="00B90945" w:rsidRPr="00DD066D">
        <w:t>Union, qui doivent tous deux être approuvés par la prochaine Conférence de plénipotentiaires.</w:t>
      </w:r>
      <w:r w:rsidR="0001206C">
        <w:t xml:space="preserve"> </w:t>
      </w:r>
      <w:r w:rsidR="00B90945" w:rsidRPr="00DD066D">
        <w:t xml:space="preserve">Par conséquent, </w:t>
      </w:r>
      <w:r w:rsidR="0001206C">
        <w:t>l</w:t>
      </w:r>
      <w:r w:rsidR="00B90945" w:rsidRPr="00DD066D">
        <w:t>a définition d</w:t>
      </w:r>
      <w:r w:rsidR="001B30ED">
        <w:t>'</w:t>
      </w:r>
      <w:r w:rsidR="00B90945" w:rsidRPr="00DD066D">
        <w:t>un plan complet pour les ressources humaines a été décalée et ne peut raisonnablement être attendue qu</w:t>
      </w:r>
      <w:r w:rsidR="001B30ED">
        <w:t>'</w:t>
      </w:r>
      <w:r w:rsidR="00B90945" w:rsidRPr="00DD066D">
        <w:t>au printemps</w:t>
      </w:r>
      <w:r w:rsidR="0018444B">
        <w:t> </w:t>
      </w:r>
      <w:r w:rsidR="00B90945" w:rsidRPr="00DD066D">
        <w:t xml:space="preserve">2019. </w:t>
      </w:r>
      <w:r w:rsidR="0062579C">
        <w:t>Le</w:t>
      </w:r>
      <w:r w:rsidR="00E41D9C" w:rsidRPr="00DD066D">
        <w:t xml:space="preserve"> dernier Plan stratégique pour les humaines a été approuvé en 2010 et couvrait la période</w:t>
      </w:r>
      <w:r w:rsidR="0018444B">
        <w:t> </w:t>
      </w:r>
      <w:r w:rsidR="00E41D9C" w:rsidRPr="00DD066D">
        <w:t>2010-2015.</w:t>
      </w:r>
      <w:r w:rsidR="00266E4D">
        <w:t xml:space="preserve"> </w:t>
      </w:r>
      <w:r w:rsidR="00E41D9C" w:rsidRPr="00DD066D">
        <w:t>Il n</w:t>
      </w:r>
      <w:r w:rsidR="001B30ED">
        <w:t>'</w:t>
      </w:r>
      <w:r w:rsidR="00E41D9C" w:rsidRPr="00DD066D">
        <w:t>y</w:t>
      </w:r>
      <w:r w:rsidR="00626B17">
        <w:t xml:space="preserve"> a pas eu de mise à jour inte</w:t>
      </w:r>
      <w:r w:rsidR="00141B55">
        <w:t>rmédi</w:t>
      </w:r>
      <w:r w:rsidR="00E41D9C" w:rsidRPr="00DD066D">
        <w:t xml:space="preserve">aire, pas même après la Conférence de Busan en 2014. Le </w:t>
      </w:r>
      <w:r w:rsidR="00626B17">
        <w:t>Corps commun d</w:t>
      </w:r>
      <w:r w:rsidR="001B30ED">
        <w:t>'</w:t>
      </w:r>
      <w:r w:rsidR="00626B17">
        <w:t>inspection</w:t>
      </w:r>
      <w:r w:rsidR="00626B17" w:rsidRPr="00DD066D">
        <w:t xml:space="preserve"> </w:t>
      </w:r>
      <w:r w:rsidR="00626B17">
        <w:t>(CCI) a estimé que le p</w:t>
      </w:r>
      <w:r w:rsidR="00E41D9C" w:rsidRPr="00DD066D">
        <w:t xml:space="preserve">lan existant était </w:t>
      </w:r>
      <w:r w:rsidR="0018444B">
        <w:t>"</w:t>
      </w:r>
      <w:r w:rsidR="00E41D9C" w:rsidRPr="00DD066D">
        <w:t>insuffisant pour une gestion stratégique des ressources humaines</w:t>
      </w:r>
      <w:r w:rsidR="0018444B">
        <w:t>"</w:t>
      </w:r>
      <w:r w:rsidR="00E41D9C" w:rsidRPr="00DD066D">
        <w:t xml:space="preserve"> (2016), et a demandé qu</w:t>
      </w:r>
      <w:r w:rsidR="001B30ED">
        <w:t>'</w:t>
      </w:r>
      <w:r w:rsidR="00E41D9C" w:rsidRPr="00DD066D">
        <w:t>une évaluation approfondie soit menée pour d</w:t>
      </w:r>
      <w:r w:rsidR="00E83344">
        <w:t>é</w:t>
      </w:r>
      <w:r w:rsidR="00E41D9C" w:rsidRPr="00DD066D">
        <w:t>terminer les mesures nécessaires en matière d</w:t>
      </w:r>
      <w:r w:rsidR="001B30ED">
        <w:t>'</w:t>
      </w:r>
      <w:r w:rsidR="00E41D9C" w:rsidRPr="00DD066D">
        <w:t>améliorations stratégiques.</w:t>
      </w:r>
    </w:p>
    <w:p w14:paraId="75BF7DD8" w14:textId="4A2560C5" w:rsidR="00C2562E" w:rsidRPr="00DD066D" w:rsidRDefault="00FE3A8F" w:rsidP="00B53AD7">
      <w:r w:rsidRPr="00DD066D">
        <w:t>72</w:t>
      </w:r>
      <w:r w:rsidRPr="00DD066D">
        <w:tab/>
      </w:r>
      <w:r w:rsidR="00C2562E" w:rsidRPr="00DD066D">
        <w:t>En l</w:t>
      </w:r>
      <w:r w:rsidR="001B30ED">
        <w:t>'</w:t>
      </w:r>
      <w:r w:rsidR="00C2562E" w:rsidRPr="00DD066D">
        <w:t>absence d</w:t>
      </w:r>
      <w:r w:rsidR="001B30ED">
        <w:t>'</w:t>
      </w:r>
      <w:r w:rsidR="00C2562E" w:rsidRPr="00DD066D">
        <w:t xml:space="preserve">hypothèses et de directives en matière de planification stratégique, la gestion des ressources humaines a été principalement </w:t>
      </w:r>
      <w:r w:rsidR="00945867">
        <w:t>guidée</w:t>
      </w:r>
      <w:r w:rsidR="00C2562E" w:rsidRPr="00DD066D">
        <w:t xml:space="preserve"> par les contraintes économiques et l</w:t>
      </w:r>
      <w:r w:rsidR="001B30ED">
        <w:t>'</w:t>
      </w:r>
      <w:r w:rsidR="00C2562E" w:rsidRPr="00DD066D">
        <w:t>impératif de réduction des coûts imposé à Busan en 2014.</w:t>
      </w:r>
    </w:p>
    <w:p w14:paraId="69CCD93E" w14:textId="085EEEB6" w:rsidR="006861E5" w:rsidRPr="00DD066D" w:rsidRDefault="007345C9" w:rsidP="00B53AD7">
      <w:r>
        <w:t>73</w:t>
      </w:r>
      <w:r>
        <w:tab/>
      </w:r>
      <w:r w:rsidR="005D6498" w:rsidRPr="00DD066D">
        <w:t xml:space="preserve">Le </w:t>
      </w:r>
      <w:r w:rsidRPr="00DD066D">
        <w:t>D</w:t>
      </w:r>
      <w:r w:rsidR="005D6498" w:rsidRPr="00DD066D">
        <w:t>ocument</w:t>
      </w:r>
      <w:r w:rsidR="0018444B">
        <w:t> </w:t>
      </w:r>
      <w:r w:rsidR="005D6498" w:rsidRPr="00DD066D">
        <w:t>C18/45 indique la contribution aux économies d</w:t>
      </w:r>
      <w:r w:rsidR="001B30ED">
        <w:t>'</w:t>
      </w:r>
      <w:r w:rsidR="005D6498" w:rsidRPr="00DD066D">
        <w:t>ensemble apportée par chaque mesure d</w:t>
      </w:r>
      <w:r w:rsidR="001B30ED">
        <w:t>'</w:t>
      </w:r>
      <w:r w:rsidR="005D6498" w:rsidRPr="00DD066D">
        <w:t>efficacité, comme détaillé dans l</w:t>
      </w:r>
      <w:r w:rsidR="001B30ED">
        <w:t>'</w:t>
      </w:r>
      <w:r w:rsidR="005D6498" w:rsidRPr="00DD066D">
        <w:t>Annexe</w:t>
      </w:r>
      <w:r w:rsidR="0018444B">
        <w:t> </w:t>
      </w:r>
      <w:r w:rsidR="005D6498" w:rsidRPr="00DD066D">
        <w:t>2 à la Décision</w:t>
      </w:r>
      <w:r w:rsidR="0018444B">
        <w:t> </w:t>
      </w:r>
      <w:r w:rsidR="005D6498" w:rsidRPr="00DD066D">
        <w:t>5 (Rév. Busan, 2014) sur la période</w:t>
      </w:r>
      <w:r w:rsidR="0018444B">
        <w:t> </w:t>
      </w:r>
      <w:r w:rsidR="005D6498" w:rsidRPr="00DD066D">
        <w:t>2014-2019.</w:t>
      </w:r>
      <w:r w:rsidR="00716489">
        <w:t xml:space="preserve"> </w:t>
      </w:r>
      <w:r w:rsidR="00927371" w:rsidRPr="00DD066D">
        <w:t>Sur le total de 54,7 millions CHF d</w:t>
      </w:r>
      <w:r w:rsidR="001B30ED">
        <w:t>'</w:t>
      </w:r>
      <w:r w:rsidR="00927371" w:rsidRPr="00DD066D">
        <w:t xml:space="preserve">économies en partie réalisées et en partie prévues </w:t>
      </w:r>
      <w:r w:rsidR="00B43148">
        <w:t>pour</w:t>
      </w:r>
      <w:r w:rsidR="00927371" w:rsidRPr="00DD066D">
        <w:t xml:space="preserve"> les deux prochaines années, 35,4 millions CHF (près de 65%) concernent le personnel: </w:t>
      </w:r>
      <w:r w:rsidR="00626B17">
        <w:t>elles</w:t>
      </w:r>
      <w:r w:rsidR="00927371" w:rsidRPr="00DD066D">
        <w:t xml:space="preserve"> </w:t>
      </w:r>
      <w:r w:rsidR="00626B17">
        <w:t>découlent</w:t>
      </w:r>
      <w:r w:rsidR="00927371" w:rsidRPr="00DD066D">
        <w:t xml:space="preserve"> en particulier des mesures</w:t>
      </w:r>
      <w:r w:rsidR="0018444B">
        <w:t> </w:t>
      </w:r>
      <w:r w:rsidR="00927371" w:rsidRPr="00DD066D">
        <w:t>5 et 6 du document (réalisation d</w:t>
      </w:r>
      <w:r w:rsidR="001B30ED">
        <w:t>'</w:t>
      </w:r>
      <w:r w:rsidR="00927371" w:rsidRPr="00DD066D">
        <w:t xml:space="preserve">économies </w:t>
      </w:r>
      <w:r w:rsidR="00626B17">
        <w:t>grâce à</w:t>
      </w:r>
      <w:r w:rsidR="00927371" w:rsidRPr="00DD066D">
        <w:t xml:space="preserve"> la réduction </w:t>
      </w:r>
      <w:r w:rsidR="00927371" w:rsidRPr="00DD066D">
        <w:rPr>
          <w:rStyle w:val="bri2"/>
        </w:rPr>
        <w:t>naturelle des effectifs</w:t>
      </w:r>
      <w:r w:rsidR="007D41A8" w:rsidRPr="00DD066D">
        <w:t xml:space="preserve">, </w:t>
      </w:r>
      <w:r w:rsidR="00626B17">
        <w:t>au</w:t>
      </w:r>
      <w:r w:rsidR="007D41A8" w:rsidRPr="00DD066D">
        <w:t xml:space="preserve"> redéploiement du personnel, </w:t>
      </w:r>
      <w:r w:rsidR="00626B17">
        <w:t>a</w:t>
      </w:r>
      <w:r w:rsidR="00927371" w:rsidRPr="00DD066D">
        <w:t>u</w:t>
      </w:r>
      <w:r w:rsidR="007D41A8" w:rsidRPr="00DD066D">
        <w:t xml:space="preserve"> déclassement de postes vacants et </w:t>
      </w:r>
      <w:r w:rsidR="00626B17">
        <w:t>à</w:t>
      </w:r>
      <w:r w:rsidR="007D41A8" w:rsidRPr="00DD066D">
        <w:t xml:space="preserve"> la </w:t>
      </w:r>
      <w:r w:rsidR="007D41A8" w:rsidRPr="00DD066D">
        <w:rPr>
          <w:rStyle w:val="bri2"/>
        </w:rPr>
        <w:t>priorité donnée au redéploiement du personnel pour la mise</w:t>
      </w:r>
      <w:r w:rsidR="007D41A8" w:rsidRPr="00DD066D">
        <w:t xml:space="preserve"> en </w:t>
      </w:r>
      <w:r w:rsidR="00A55BE4">
        <w:t>oe</w:t>
      </w:r>
      <w:r w:rsidR="007D41A8" w:rsidRPr="00DD066D">
        <w:t>uvre d</w:t>
      </w:r>
      <w:r w:rsidR="001B30ED">
        <w:t>'</w:t>
      </w:r>
      <w:r w:rsidR="007D41A8" w:rsidRPr="00DD066D">
        <w:t>activités nouvelles ou additionnelles</w:t>
      </w:r>
      <w:r w:rsidR="00485A23" w:rsidRPr="00DD066D">
        <w:t>)</w:t>
      </w:r>
      <w:r w:rsidR="007D41A8" w:rsidRPr="00DD066D">
        <w:t>.</w:t>
      </w:r>
      <w:r w:rsidR="00716489">
        <w:t xml:space="preserve"> </w:t>
      </w:r>
      <w:r w:rsidR="006861E5" w:rsidRPr="00DD066D">
        <w:rPr>
          <w:rStyle w:val="bri2"/>
        </w:rPr>
        <w:t>Le programme de départs volontaires était également guidé par l</w:t>
      </w:r>
      <w:r w:rsidR="001B30ED">
        <w:rPr>
          <w:rStyle w:val="bri2"/>
        </w:rPr>
        <w:t>'</w:t>
      </w:r>
      <w:r w:rsidR="006861E5" w:rsidRPr="00DD066D">
        <w:rPr>
          <w:rStyle w:val="bri2"/>
        </w:rPr>
        <w:t>objectif de maîtrise des coûts, ayant été ad</w:t>
      </w:r>
      <w:r w:rsidR="00716489">
        <w:rPr>
          <w:rStyle w:val="bri2"/>
        </w:rPr>
        <w:t xml:space="preserve">opté pour compenser les </w:t>
      </w:r>
      <w:r w:rsidR="006861E5" w:rsidRPr="00DD066D">
        <w:rPr>
          <w:rStyle w:val="bri2"/>
        </w:rPr>
        <w:t xml:space="preserve">économies </w:t>
      </w:r>
      <w:r w:rsidR="003C5CF9">
        <w:rPr>
          <w:rStyle w:val="bri2"/>
        </w:rPr>
        <w:t xml:space="preserve">non réalisées en raison du relèvement </w:t>
      </w:r>
      <w:r w:rsidR="006861E5" w:rsidRPr="00DD066D">
        <w:rPr>
          <w:rStyle w:val="bri2"/>
        </w:rPr>
        <w:t>de l</w:t>
      </w:r>
      <w:r w:rsidR="001B30ED">
        <w:rPr>
          <w:rStyle w:val="bri2"/>
        </w:rPr>
        <w:t>'</w:t>
      </w:r>
      <w:r w:rsidR="006861E5" w:rsidRPr="00DD066D">
        <w:rPr>
          <w:rStyle w:val="bri2"/>
        </w:rPr>
        <w:t>âge obligatoire de départ à la retraite.</w:t>
      </w:r>
    </w:p>
    <w:p w14:paraId="22F66B45" w14:textId="485502A3" w:rsidR="003A00F0" w:rsidRPr="00DD066D" w:rsidRDefault="007345C9" w:rsidP="00B06FDF">
      <w:r>
        <w:t>74</w:t>
      </w:r>
      <w:r>
        <w:tab/>
      </w:r>
      <w:r w:rsidR="00FD56A4" w:rsidRPr="00DD066D">
        <w:t xml:space="preserve">Au cours des cinq dernières années, le principe de </w:t>
      </w:r>
      <w:r w:rsidR="00B06FDF">
        <w:t>renouvellement partiel</w:t>
      </w:r>
      <w:r w:rsidR="00FD56A4" w:rsidRPr="00716489">
        <w:t xml:space="preserve"> du personnel</w:t>
      </w:r>
      <w:r w:rsidR="00B06FDF">
        <w:t xml:space="preserve"> (non</w:t>
      </w:r>
      <w:r w:rsidR="00B06FDF">
        <w:noBreakHyphen/>
      </w:r>
      <w:r w:rsidR="00FD56A4" w:rsidRPr="00DD066D">
        <w:t>remplacement d</w:t>
      </w:r>
      <w:r w:rsidR="001B30ED">
        <w:t>'</w:t>
      </w:r>
      <w:r w:rsidR="00FD56A4" w:rsidRPr="00DD066D">
        <w:t>un fonctionnaire sur trois) a entraîné une forte r</w:t>
      </w:r>
      <w:r w:rsidR="00E83344">
        <w:t>é</w:t>
      </w:r>
      <w:r w:rsidR="00FD56A4" w:rsidRPr="00DD066D">
        <w:t>duction du nombre d</w:t>
      </w:r>
      <w:r w:rsidR="001B30ED">
        <w:t>'</w:t>
      </w:r>
      <w:r w:rsidR="00FD56A4" w:rsidRPr="00DD066D">
        <w:t>employés: les statistiques indiquent une baisse de 747</w:t>
      </w:r>
      <w:r w:rsidR="0018444B">
        <w:t> </w:t>
      </w:r>
      <w:r w:rsidR="00FD56A4" w:rsidRPr="00DD066D">
        <w:t>membre</w:t>
      </w:r>
      <w:r w:rsidR="00B06FDF">
        <w:t>s du personnel en 2012 à 677 en </w:t>
      </w:r>
      <w:r w:rsidR="00FD56A4" w:rsidRPr="00DD066D">
        <w:t>2017.</w:t>
      </w:r>
      <w:r w:rsidR="00716489">
        <w:t xml:space="preserve"> </w:t>
      </w:r>
      <w:r w:rsidR="003A00F0" w:rsidRPr="00DD066D">
        <w:t xml:space="preserve">Cela est également une conséquence du programme </w:t>
      </w:r>
      <w:r w:rsidR="003A00F0" w:rsidRPr="00DD066D">
        <w:rPr>
          <w:rStyle w:val="bri2"/>
        </w:rPr>
        <w:t>de départs volontaires: rien qu</w:t>
      </w:r>
      <w:r w:rsidR="001B30ED">
        <w:rPr>
          <w:rStyle w:val="bri2"/>
        </w:rPr>
        <w:t>'</w:t>
      </w:r>
      <w:r w:rsidR="00B06FDF">
        <w:rPr>
          <w:rStyle w:val="bri2"/>
        </w:rPr>
        <w:t>en </w:t>
      </w:r>
      <w:r w:rsidR="003A00F0" w:rsidRPr="00DD066D">
        <w:rPr>
          <w:rStyle w:val="bri2"/>
        </w:rPr>
        <w:t>2017, 30</w:t>
      </w:r>
      <w:r w:rsidR="0018444B">
        <w:rPr>
          <w:rStyle w:val="bri2"/>
        </w:rPr>
        <w:t> </w:t>
      </w:r>
      <w:r w:rsidR="003A00F0" w:rsidRPr="00DD066D">
        <w:rPr>
          <w:rStyle w:val="bri2"/>
        </w:rPr>
        <w:t>personnes ont quitté l</w:t>
      </w:r>
      <w:r w:rsidR="001B30ED">
        <w:rPr>
          <w:rStyle w:val="bri2"/>
        </w:rPr>
        <w:t>'</w:t>
      </w:r>
      <w:r w:rsidR="003A00F0" w:rsidRPr="00DD066D">
        <w:rPr>
          <w:rStyle w:val="bri2"/>
        </w:rPr>
        <w:t xml:space="preserve">Union; certaines occupaient des postes </w:t>
      </w:r>
      <w:r w:rsidR="003A00F0" w:rsidRPr="00716489">
        <w:rPr>
          <w:rStyle w:val="bri2"/>
        </w:rPr>
        <w:t>sensibles</w:t>
      </w:r>
      <w:r w:rsidR="003A00F0" w:rsidRPr="00DD066D">
        <w:rPr>
          <w:rStyle w:val="bri2"/>
        </w:rPr>
        <w:t>, pour lesquels aucun remplacement n</w:t>
      </w:r>
      <w:r w:rsidR="001B30ED">
        <w:rPr>
          <w:rStyle w:val="bri2"/>
        </w:rPr>
        <w:t>'</w:t>
      </w:r>
      <w:r w:rsidR="003A00F0" w:rsidRPr="00DD066D">
        <w:rPr>
          <w:rStyle w:val="bri2"/>
        </w:rPr>
        <w:t>avait été préparé.</w:t>
      </w:r>
    </w:p>
    <w:p w14:paraId="79677220" w14:textId="527D5F98" w:rsidR="00604014" w:rsidRPr="00DD066D" w:rsidRDefault="007345C9" w:rsidP="00B53AD7">
      <w:r>
        <w:t>75</w:t>
      </w:r>
      <w:r>
        <w:tab/>
      </w:r>
      <w:r w:rsidR="00BE6C7A" w:rsidRPr="00DD066D">
        <w:t>Cette réduction n</w:t>
      </w:r>
      <w:r w:rsidR="001B30ED">
        <w:t>'</w:t>
      </w:r>
      <w:r w:rsidR="00BE6C7A" w:rsidRPr="00DD066D">
        <w:t xml:space="preserve">a pas touché tous les services de la même </w:t>
      </w:r>
      <w:r w:rsidR="00077A92">
        <w:t>manière</w:t>
      </w:r>
      <w:r w:rsidR="00BE6C7A" w:rsidRPr="00DD066D">
        <w:t xml:space="preserve">. </w:t>
      </w:r>
      <w:r w:rsidR="00077A92">
        <w:t>Au Secrétariat géné</w:t>
      </w:r>
      <w:r w:rsidR="00BE6C7A" w:rsidRPr="00DD066D">
        <w:t>ral, le nombre d</w:t>
      </w:r>
      <w:r w:rsidR="001B30ED">
        <w:t>'</w:t>
      </w:r>
      <w:r w:rsidR="00BE6C7A" w:rsidRPr="00DD066D">
        <w:t>employés a baissé de 67</w:t>
      </w:r>
      <w:r w:rsidR="0018444B">
        <w:t> </w:t>
      </w:r>
      <w:r w:rsidR="00BE6C7A" w:rsidRPr="00DD066D">
        <w:t>unités en cinq ans (de 414 à 2012 à 347 en 2017).</w:t>
      </w:r>
      <w:r w:rsidR="0031183D">
        <w:t xml:space="preserve"> </w:t>
      </w:r>
      <w:r w:rsidR="00604014" w:rsidRPr="00DD066D">
        <w:t>Cependant, il convient de préciser que, dans l</w:t>
      </w:r>
      <w:r w:rsidR="001B30ED">
        <w:t>'</w:t>
      </w:r>
      <w:r w:rsidR="00604014" w:rsidRPr="00DD066D">
        <w:t>ensemble de l</w:t>
      </w:r>
      <w:r w:rsidR="001B30ED">
        <w:t>'</w:t>
      </w:r>
      <w:r w:rsidR="00604014" w:rsidRPr="00DD066D">
        <w:t>UIT, cette question s</w:t>
      </w:r>
      <w:r w:rsidR="001B30ED">
        <w:t>'</w:t>
      </w:r>
      <w:r w:rsidR="00604014" w:rsidRPr="00DD066D">
        <w:t>est posée non seulement en termes numériques, mais aussi sur le plan qualitatif (à l</w:t>
      </w:r>
      <w:r w:rsidR="001B30ED">
        <w:t>'</w:t>
      </w:r>
      <w:r w:rsidR="00604014" w:rsidRPr="00DD066D">
        <w:t xml:space="preserve">égard des besoins </w:t>
      </w:r>
      <w:r w:rsidR="00D81989" w:rsidRPr="00DD066D">
        <w:t>opérationnels de l</w:t>
      </w:r>
      <w:r w:rsidR="001B30ED">
        <w:t>'</w:t>
      </w:r>
      <w:r w:rsidR="00D81989" w:rsidRPr="00DD066D">
        <w:t>organisation).</w:t>
      </w:r>
    </w:p>
    <w:p w14:paraId="69546E10" w14:textId="1DC1FF8F" w:rsidR="005959FC" w:rsidRPr="00DD066D" w:rsidRDefault="00A55BE4" w:rsidP="00B53AD7">
      <w:r>
        <w:t>76</w:t>
      </w:r>
      <w:r>
        <w:tab/>
      </w:r>
      <w:r w:rsidR="00D81989" w:rsidRPr="00DD066D">
        <w:t>Cela a nécessité un effort d</w:t>
      </w:r>
      <w:r w:rsidR="001B30ED">
        <w:t>'</w:t>
      </w:r>
      <w:r w:rsidR="00D81989" w:rsidRPr="00DD066D">
        <w:t xml:space="preserve">ajustement de la part du personnel en poste. Certains fonctionnaires ont absorbé les tâches associées </w:t>
      </w:r>
      <w:r w:rsidR="0031183D">
        <w:t>à des</w:t>
      </w:r>
      <w:r w:rsidR="00D81989" w:rsidRPr="00DD066D">
        <w:t xml:space="preserve"> postes </w:t>
      </w:r>
      <w:r w:rsidR="0031183D">
        <w:t>gelés,</w:t>
      </w:r>
      <w:r w:rsidR="00D81989" w:rsidRPr="00DD066D">
        <w:t xml:space="preserve"> ou</w:t>
      </w:r>
      <w:r w:rsidR="0031183D">
        <w:t xml:space="preserve"> même</w:t>
      </w:r>
      <w:r w:rsidR="00D81989" w:rsidRPr="00DD066D">
        <w:t xml:space="preserve"> supprimés.</w:t>
      </w:r>
      <w:r w:rsidR="0010294E">
        <w:t xml:space="preserve"> </w:t>
      </w:r>
      <w:r w:rsidR="00D81989" w:rsidRPr="00DD066D">
        <w:t>La même chose s</w:t>
      </w:r>
      <w:r w:rsidR="001B30ED">
        <w:t>'</w:t>
      </w:r>
      <w:r w:rsidR="00D81989" w:rsidRPr="00DD066D">
        <w:t>applique aux fonctionnaires nommés à des postes déclassés dans le cadre des mesures d</w:t>
      </w:r>
      <w:r w:rsidR="001B30ED">
        <w:t>'</w:t>
      </w:r>
      <w:r w:rsidR="00D81989" w:rsidRPr="00DD066D">
        <w:t xml:space="preserve">efficacité, </w:t>
      </w:r>
      <w:r w:rsidR="0031183D">
        <w:t>car</w:t>
      </w:r>
      <w:r w:rsidR="00D81989" w:rsidRPr="00DD066D">
        <w:t xml:space="preserve"> leurs responsabilités </w:t>
      </w:r>
      <w:r w:rsidR="0010294E">
        <w:t>sont</w:t>
      </w:r>
      <w:r w:rsidR="00D81989" w:rsidRPr="00DD066D">
        <w:t xml:space="preserve"> semblables à celles des personnes ayant quitté l</w:t>
      </w:r>
      <w:r w:rsidR="001B30ED">
        <w:t>'</w:t>
      </w:r>
      <w:r w:rsidR="00D81989" w:rsidRPr="00DD066D">
        <w:t>Union.</w:t>
      </w:r>
      <w:r w:rsidR="0010294E">
        <w:t xml:space="preserve"> </w:t>
      </w:r>
      <w:r w:rsidR="005959FC" w:rsidRPr="00DD066D">
        <w:t>Cela s</w:t>
      </w:r>
      <w:r w:rsidR="001B30ED">
        <w:t>'</w:t>
      </w:r>
      <w:r w:rsidR="005959FC" w:rsidRPr="00DD066D">
        <w:t>est accompagné d</w:t>
      </w:r>
      <w:r w:rsidR="001B30ED">
        <w:t>'</w:t>
      </w:r>
      <w:r w:rsidR="005959FC" w:rsidRPr="00DD066D">
        <w:t>une baisse des salaires: pour le personnel de la catégorie G, elle ne concerne que les personnes nouvellement embauchées; pour les fonctionnaires de la catégorie P, elle a été mise en place immédiatement</w:t>
      </w:r>
      <w:r w:rsidR="0010294E">
        <w:t>,</w:t>
      </w:r>
      <w:r w:rsidR="005959FC" w:rsidRPr="00DD066D">
        <w:t xml:space="preserve"> et a consisté en un nouvel ensemble de prestations associé à une </w:t>
      </w:r>
      <w:r w:rsidR="00476A3A" w:rsidRPr="00DD066D">
        <w:t>réduction salariale de 3,8%</w:t>
      </w:r>
      <w:r w:rsidR="00A22EEE">
        <w:t xml:space="preserve"> à compter de février</w:t>
      </w:r>
      <w:r w:rsidR="0018444B">
        <w:t> </w:t>
      </w:r>
      <w:r w:rsidR="00A22EEE">
        <w:t>2018. Cette réduction</w:t>
      </w:r>
      <w:r w:rsidR="00476A3A" w:rsidRPr="00DD066D">
        <w:t xml:space="preserve"> a donné l</w:t>
      </w:r>
      <w:r w:rsidR="00AD51E4" w:rsidRPr="00DD066D">
        <w:t>ieu à un grand nombre de litiges sur des questions liées au personnel.</w:t>
      </w:r>
    </w:p>
    <w:p w14:paraId="6A2A6F39" w14:textId="619DFD01" w:rsidR="00CA12C3" w:rsidRPr="00DD066D" w:rsidRDefault="00A55BE4" w:rsidP="00B53AD7">
      <w:r>
        <w:t>77</w:t>
      </w:r>
      <w:r>
        <w:tab/>
      </w:r>
      <w:r w:rsidR="00825A62" w:rsidRPr="00DD066D">
        <w:t xml:space="preserve">Par le passé, nous avons </w:t>
      </w:r>
      <w:r w:rsidR="000849B4">
        <w:t>souligné</w:t>
      </w:r>
      <w:r w:rsidR="00825A62" w:rsidRPr="00DD066D">
        <w:t xml:space="preserve"> l</w:t>
      </w:r>
      <w:r w:rsidR="001B30ED">
        <w:t>'</w:t>
      </w:r>
      <w:r w:rsidR="00825A62" w:rsidRPr="00DD066D">
        <w:t>utilisation de c</w:t>
      </w:r>
      <w:r w:rsidR="00825A62" w:rsidRPr="00DD066D">
        <w:rPr>
          <w:rStyle w:val="bri2"/>
        </w:rPr>
        <w:t>ontrats d</w:t>
      </w:r>
      <w:r w:rsidR="001B30ED">
        <w:rPr>
          <w:rStyle w:val="bri2"/>
        </w:rPr>
        <w:t>'</w:t>
      </w:r>
      <w:r w:rsidR="00825A62" w:rsidRPr="00DD066D">
        <w:rPr>
          <w:rStyle w:val="bri2"/>
        </w:rPr>
        <w:t xml:space="preserve">engagement spéciaux comme solution tampon pour résoudre les situations critiques, </w:t>
      </w:r>
      <w:r w:rsidR="000849B4">
        <w:rPr>
          <w:rStyle w:val="bri2"/>
        </w:rPr>
        <w:t>y compris</w:t>
      </w:r>
      <w:r w:rsidR="00825A62" w:rsidRPr="00DD066D">
        <w:rPr>
          <w:rStyle w:val="bri2"/>
        </w:rPr>
        <w:t xml:space="preserve"> celles liées à la réalisation de tâches ordinaires.</w:t>
      </w:r>
      <w:r w:rsidR="004F4245">
        <w:t xml:space="preserve"> </w:t>
      </w:r>
      <w:r w:rsidR="00825A62" w:rsidRPr="00DD066D">
        <w:t>Les statistiques montrent une réduction considérable du recours à des consultants extérieurs au cours des trois dernières années: leur nombre est passé de 400 en 2015 à un total de 147 en 2017, dont 124</w:t>
      </w:r>
      <w:r w:rsidR="0018444B">
        <w:t> </w:t>
      </w:r>
      <w:r w:rsidR="00825A62" w:rsidRPr="00DD066D">
        <w:t>employés par l</w:t>
      </w:r>
      <w:r w:rsidR="004F4245">
        <w:t>e Secrétariat géné</w:t>
      </w:r>
      <w:r w:rsidR="00825A62" w:rsidRPr="00DD066D">
        <w:t>ral (contre 159 en 2015).</w:t>
      </w:r>
      <w:r w:rsidR="005C2894">
        <w:t xml:space="preserve"> </w:t>
      </w:r>
      <w:r w:rsidR="00FE33A2" w:rsidRPr="00DD066D">
        <w:t xml:space="preserve">Cette réduction </w:t>
      </w:r>
      <w:r w:rsidR="002A3350" w:rsidRPr="00DD066D">
        <w:t>concerne principalement le BDT, où le nombre de personnes ayant bénéficié d</w:t>
      </w:r>
      <w:r w:rsidR="001B30ED">
        <w:t>'</w:t>
      </w:r>
      <w:r w:rsidR="002A3350" w:rsidRPr="00DD066D">
        <w:t>au moins un contrat de consultant est passé de 293 en 2015 à 16 en 2017.</w:t>
      </w:r>
      <w:r w:rsidR="005C2894">
        <w:t xml:space="preserve"> </w:t>
      </w:r>
      <w:r w:rsidR="007144AE" w:rsidRPr="00DD066D">
        <w:t>Bien qu</w:t>
      </w:r>
      <w:r w:rsidR="001B30ED">
        <w:t>'</w:t>
      </w:r>
      <w:r w:rsidR="007144AE" w:rsidRPr="00DD066D">
        <w:t>il existe déjà un cadre procédural strict pour le recrutement de non-fonctionnaires, une politique reste nécessaire pour garantir la continuité de la nouvelle tendance et définir les critères pour une bonne utilisation de ces contrats (limites temporelles, tâches spécialisées non récurrentes, etc.).</w:t>
      </w:r>
      <w:r w:rsidR="005C2894">
        <w:t xml:space="preserve"> </w:t>
      </w:r>
      <w:r w:rsidR="00CA12C3" w:rsidRPr="00DD066D">
        <w:t>En attendant le Plan stratégique pour les ressources humaines, aucune d</w:t>
      </w:r>
      <w:r w:rsidR="00E83344">
        <w:t>é</w:t>
      </w:r>
      <w:r w:rsidR="00CA12C3" w:rsidRPr="00DD066D">
        <w:t>cision finale n</w:t>
      </w:r>
      <w:r w:rsidR="001B30ED">
        <w:t>'</w:t>
      </w:r>
      <w:r w:rsidR="00CA12C3" w:rsidRPr="00DD066D">
        <w:t>a été prise à l</w:t>
      </w:r>
      <w:r w:rsidR="001B30ED">
        <w:t>'</w:t>
      </w:r>
      <w:r w:rsidR="00CA12C3" w:rsidRPr="00DD066D">
        <w:t>égard du projet de lignes directrices sur l</w:t>
      </w:r>
      <w:r w:rsidR="001B30ED">
        <w:t>'</w:t>
      </w:r>
      <w:r w:rsidR="00CA12C3" w:rsidRPr="00DD066D">
        <w:t>utilisation de c</w:t>
      </w:r>
      <w:r w:rsidR="00CA12C3" w:rsidRPr="00DD066D">
        <w:rPr>
          <w:rStyle w:val="bri2"/>
        </w:rPr>
        <w:t>ontrats d</w:t>
      </w:r>
      <w:r w:rsidR="001B30ED">
        <w:rPr>
          <w:rStyle w:val="bri2"/>
        </w:rPr>
        <w:t>'</w:t>
      </w:r>
      <w:r w:rsidR="00CA12C3" w:rsidRPr="00DD066D">
        <w:rPr>
          <w:rStyle w:val="bri2"/>
        </w:rPr>
        <w:t>engagement spéciaux</w:t>
      </w:r>
      <w:r w:rsidR="00315CCB" w:rsidRPr="00DD066D">
        <w:rPr>
          <w:rStyle w:val="bri2"/>
        </w:rPr>
        <w:t>, qui a été présenté au Conseil à titre informatif en mai</w:t>
      </w:r>
      <w:r w:rsidR="0018444B">
        <w:rPr>
          <w:rStyle w:val="bri2"/>
        </w:rPr>
        <w:t> </w:t>
      </w:r>
      <w:r w:rsidR="00315CCB" w:rsidRPr="00DD066D">
        <w:rPr>
          <w:rStyle w:val="bri2"/>
        </w:rPr>
        <w:t>2017. Comme indiqué dans notre rapport de l</w:t>
      </w:r>
      <w:r w:rsidR="001B30ED">
        <w:rPr>
          <w:rStyle w:val="bri2"/>
        </w:rPr>
        <w:t>'</w:t>
      </w:r>
      <w:r w:rsidR="00315CCB" w:rsidRPr="00DD066D">
        <w:rPr>
          <w:rStyle w:val="bri2"/>
        </w:rPr>
        <w:t xml:space="preserve">année dernière, </w:t>
      </w:r>
      <w:r w:rsidR="00F5564D" w:rsidRPr="00DD066D">
        <w:rPr>
          <w:rStyle w:val="bri2"/>
        </w:rPr>
        <w:t>t</w:t>
      </w:r>
      <w:r w:rsidR="00F5564D" w:rsidRPr="00DD066D">
        <w:t xml:space="preserve">out écart par </w:t>
      </w:r>
      <w:r w:rsidR="00F5564D" w:rsidRPr="00DD066D">
        <w:rPr>
          <w:rStyle w:val="bri2"/>
        </w:rPr>
        <w:t xml:space="preserve">rapport à la pratique actuelle risque </w:t>
      </w:r>
      <w:r w:rsidR="00F5564D" w:rsidRPr="00DD066D">
        <w:t>d</w:t>
      </w:r>
      <w:r w:rsidR="001B30ED">
        <w:t>'</w:t>
      </w:r>
      <w:r w:rsidR="00F5564D" w:rsidRPr="00DD066D">
        <w:t>entraîner des difficultés opérationnelles.</w:t>
      </w:r>
    </w:p>
    <w:p w14:paraId="56B161DC" w14:textId="6D87892D" w:rsidR="008A0601" w:rsidRPr="00D302C5" w:rsidRDefault="00A55BE4" w:rsidP="00B53AD7">
      <w:r>
        <w:t>78</w:t>
      </w:r>
      <w:r>
        <w:tab/>
      </w:r>
      <w:r w:rsidR="008A0601" w:rsidRPr="00DD066D">
        <w:t>En outre, la perspective d</w:t>
      </w:r>
      <w:r w:rsidR="001B30ED">
        <w:t>'</w:t>
      </w:r>
      <w:r w:rsidR="008A0601" w:rsidRPr="00DD066D">
        <w:t>une r</w:t>
      </w:r>
      <w:r w:rsidR="00E83344">
        <w:t>é</w:t>
      </w:r>
      <w:r w:rsidR="008A0601" w:rsidRPr="00DD066D">
        <w:t>duction supplémentaire des effectifs dans un proche avenir (de l</w:t>
      </w:r>
      <w:r w:rsidR="001B30ED">
        <w:t>'</w:t>
      </w:r>
      <w:r w:rsidR="008A0601" w:rsidRPr="00DD066D">
        <w:t xml:space="preserve">ordre de 25% du personnel sur une période de dix ans) peut entraîner un risque de fragilité et de manque de continuité. </w:t>
      </w:r>
      <w:r w:rsidR="00D302C5">
        <w:t>Toutefois, la</w:t>
      </w:r>
      <w:r w:rsidR="008A0601" w:rsidRPr="00DD066D">
        <w:t xml:space="preserve"> </w:t>
      </w:r>
      <w:r w:rsidR="008A0601" w:rsidRPr="00DD066D">
        <w:rPr>
          <w:rStyle w:val="bri2"/>
        </w:rPr>
        <w:t>planification du renouvellement des effectifs à court et à moyen terme a également été repoussée jusqu</w:t>
      </w:r>
      <w:r w:rsidR="001B30ED">
        <w:rPr>
          <w:rStyle w:val="bri2"/>
        </w:rPr>
        <w:t>'</w:t>
      </w:r>
      <w:r w:rsidR="008A0601" w:rsidRPr="00DD066D">
        <w:rPr>
          <w:rStyle w:val="bri2"/>
        </w:rPr>
        <w:t>à ce qu</w:t>
      </w:r>
      <w:r w:rsidR="001B30ED">
        <w:rPr>
          <w:rStyle w:val="bri2"/>
        </w:rPr>
        <w:t>'</w:t>
      </w:r>
      <w:r w:rsidR="008A0601" w:rsidRPr="00DD066D">
        <w:rPr>
          <w:rStyle w:val="bri2"/>
        </w:rPr>
        <w:t>un plan stratégique complet pour les ressources humaines soit enfin approuvé.</w:t>
      </w:r>
    </w:p>
    <w:p w14:paraId="2A38E06F" w14:textId="77777777" w:rsidR="00B42E3A" w:rsidRDefault="00B42E3A" w:rsidP="00B42E3A">
      <w:r>
        <w:br w:type="page"/>
      </w:r>
    </w:p>
    <w:p w14:paraId="5343F211" w14:textId="5302B725" w:rsidR="00C54C81" w:rsidRPr="00DD066D" w:rsidRDefault="00A55BE4" w:rsidP="00B42E3A">
      <w:r>
        <w:t>79</w:t>
      </w:r>
      <w:r>
        <w:tab/>
      </w:r>
      <w:r w:rsidR="00B06FDF">
        <w:t>Face à cette situation, d</w:t>
      </w:r>
      <w:r w:rsidR="00C54C81" w:rsidRPr="00DD066D">
        <w:t xml:space="preserve">es mesures doivent être prises </w:t>
      </w:r>
      <w:r w:rsidR="00B42E3A">
        <w:t>d'urgence</w:t>
      </w:r>
      <w:r w:rsidR="00C54C81" w:rsidRPr="00DD066D">
        <w:t>, afin d</w:t>
      </w:r>
      <w:r w:rsidR="001B30ED">
        <w:t>'</w:t>
      </w:r>
      <w:r w:rsidR="00C54C81" w:rsidRPr="00DD066D">
        <w:t xml:space="preserve">éviter </w:t>
      </w:r>
      <w:r w:rsidR="00EA0147">
        <w:t xml:space="preserve">tout </w:t>
      </w:r>
      <w:r w:rsidR="00EA0147" w:rsidRPr="00340BCA">
        <w:t xml:space="preserve">risque </w:t>
      </w:r>
      <w:r w:rsidR="00340BCA">
        <w:t>que l</w:t>
      </w:r>
      <w:r w:rsidR="001B30ED">
        <w:t>'</w:t>
      </w:r>
      <w:r w:rsidR="00340BCA">
        <w:t>organisation</w:t>
      </w:r>
      <w:r w:rsidR="00C54C81" w:rsidRPr="00340BCA">
        <w:t xml:space="preserve"> </w:t>
      </w:r>
      <w:r w:rsidR="00EA0147">
        <w:t>n</w:t>
      </w:r>
      <w:r w:rsidR="001B30ED">
        <w:t>'</w:t>
      </w:r>
      <w:r w:rsidR="00C54C81" w:rsidRPr="00340BCA">
        <w:t>attei</w:t>
      </w:r>
      <w:r w:rsidR="00EA0147">
        <w:t>gne pas</w:t>
      </w:r>
      <w:r w:rsidR="00C54C81" w:rsidRPr="00340BCA">
        <w:t xml:space="preserve"> le degré élevé de qualité de service requis</w:t>
      </w:r>
      <w:r w:rsidR="00C54C81" w:rsidRPr="00DD066D">
        <w:t>.</w:t>
      </w:r>
      <w:r w:rsidR="00184E97">
        <w:t xml:space="preserve"> </w:t>
      </w:r>
      <w:r w:rsidR="00C54C81" w:rsidRPr="00DD066D">
        <w:t>Certains bureaux sont déjà exposés à des risques, comme le Bureau des radiocommunications, où les r</w:t>
      </w:r>
      <w:r w:rsidR="00E83344">
        <w:t>é</w:t>
      </w:r>
      <w:r w:rsidR="00C54C81" w:rsidRPr="00DD066D">
        <w:t>ductions d</w:t>
      </w:r>
      <w:r w:rsidR="001B30ED">
        <w:t>'</w:t>
      </w:r>
      <w:r w:rsidR="00C54C81" w:rsidRPr="00DD066D">
        <w:t>effectifs ont créé une configuration sans cadres intermédiaires et où un grand nombre de fonctionnaires de la catégorie professionnelle appartiennent à la même tranche d</w:t>
      </w:r>
      <w:r w:rsidR="001B30ED">
        <w:t>'</w:t>
      </w:r>
      <w:r w:rsidR="00C54C81" w:rsidRPr="00DD066D">
        <w:t>âge.</w:t>
      </w:r>
      <w:r w:rsidR="00184E97">
        <w:t xml:space="preserve"> </w:t>
      </w:r>
      <w:r w:rsidR="00C54C81" w:rsidRPr="00DD066D">
        <w:t>Ces personnes quitteront l</w:t>
      </w:r>
      <w:r w:rsidR="001B30ED">
        <w:t>'</w:t>
      </w:r>
      <w:r w:rsidR="00C54C81" w:rsidRPr="00DD066D">
        <w:t>organisation au même moment</w:t>
      </w:r>
      <w:r w:rsidR="00625FFA" w:rsidRPr="00DD066D">
        <w:t xml:space="preserve"> si des mesures correctrices appropriées n</w:t>
      </w:r>
      <w:r w:rsidR="001B30ED">
        <w:t>'</w:t>
      </w:r>
      <w:r w:rsidR="00625FFA" w:rsidRPr="00DD066D">
        <w:t>ont pas été prises d</w:t>
      </w:r>
      <w:r w:rsidR="001B30ED">
        <w:t>'</w:t>
      </w:r>
      <w:r w:rsidR="00625FFA" w:rsidRPr="00DD066D">
        <w:t>ici là.</w:t>
      </w:r>
    </w:p>
    <w:p w14:paraId="1131B4B3" w14:textId="1456A130" w:rsidR="000F7447" w:rsidRPr="00DD066D" w:rsidRDefault="00FE3A8F" w:rsidP="00B53AD7">
      <w:r w:rsidRPr="00DD066D">
        <w:t>80</w:t>
      </w:r>
      <w:r w:rsidRPr="00DD066D">
        <w:tab/>
      </w:r>
      <w:r w:rsidR="000F7447" w:rsidRPr="00DD066D">
        <w:t>La situation d</w:t>
      </w:r>
      <w:r w:rsidR="001B30ED">
        <w:t>'</w:t>
      </w:r>
      <w:r w:rsidR="000F7447" w:rsidRPr="00DD066D">
        <w:t xml:space="preserve">ensemble révèle une réduction des effectifs </w:t>
      </w:r>
      <w:r w:rsidR="00427204">
        <w:t>guidée</w:t>
      </w:r>
      <w:r w:rsidR="000F7447" w:rsidRPr="00DD066D">
        <w:t xml:space="preserve"> par des contraintes économiques extérieures, avec peu de choix délibérés en ce qui concerne les priorités: bien qu</w:t>
      </w:r>
      <w:r w:rsidR="001B30ED">
        <w:t>'</w:t>
      </w:r>
      <w:r w:rsidR="000F7447" w:rsidRPr="00DD066D">
        <w:t>une redistribution qualitative entre les catégories P et G soit progressivement effectuée, conformément aux instructions données par la</w:t>
      </w:r>
      <w:r w:rsidR="0027170D">
        <w:t xml:space="preserve"> Conférence de Busan de 2014, les</w:t>
      </w:r>
      <w:r w:rsidR="000F7447" w:rsidRPr="00DD066D">
        <w:t xml:space="preserve"> redistribution</w:t>
      </w:r>
      <w:r w:rsidR="0027170D">
        <w:t>s</w:t>
      </w:r>
      <w:r w:rsidR="000F7447" w:rsidRPr="00DD066D">
        <w:t xml:space="preserve"> géographique</w:t>
      </w:r>
      <w:r w:rsidR="00E83344">
        <w:t>s</w:t>
      </w:r>
      <w:r w:rsidR="000F7447" w:rsidRPr="00DD066D">
        <w:t xml:space="preserve"> et </w:t>
      </w:r>
      <w:r w:rsidR="0027170D">
        <w:t>du rapport hommes-</w:t>
      </w:r>
      <w:r w:rsidR="000F7447" w:rsidRPr="00DD066D">
        <w:t>femmes s</w:t>
      </w:r>
      <w:r w:rsidR="001B30ED">
        <w:t>'</w:t>
      </w:r>
      <w:r w:rsidR="000F7447" w:rsidRPr="00DD066D">
        <w:t>avère</w:t>
      </w:r>
      <w:r w:rsidR="00B42E3A">
        <w:t>nt</w:t>
      </w:r>
      <w:r w:rsidR="000F7447" w:rsidRPr="00DD066D">
        <w:t xml:space="preserve"> plus lente</w:t>
      </w:r>
      <w:r w:rsidR="00B42E3A">
        <w:t>s</w:t>
      </w:r>
      <w:r w:rsidR="000F7447" w:rsidRPr="00DD066D">
        <w:t>, en partie à cause du relèvement de l</w:t>
      </w:r>
      <w:r w:rsidR="001B30ED">
        <w:t>'</w:t>
      </w:r>
      <w:r w:rsidR="000F7447" w:rsidRPr="00DD066D">
        <w:t>âge de départ à la retraite, un facteur qui retarde les changements dans la composition du personnel.</w:t>
      </w:r>
    </w:p>
    <w:p w14:paraId="0A1F2923" w14:textId="22036413" w:rsidR="000F7447" w:rsidRPr="00DD066D" w:rsidRDefault="00427204" w:rsidP="00B53AD7">
      <w:r>
        <w:t>81</w:t>
      </w:r>
      <w:r>
        <w:tab/>
      </w:r>
      <w:r w:rsidR="000F7447" w:rsidRPr="00DD066D">
        <w:t>Ce qui est réellement nécessaire, c</w:t>
      </w:r>
      <w:r w:rsidR="001B30ED">
        <w:t>'</w:t>
      </w:r>
      <w:r w:rsidR="000F7447" w:rsidRPr="00DD066D">
        <w:t xml:space="preserve">est une politique de gestion prévisionnelle des besoins en personnel qui prenne en main la situation actuelle </w:t>
      </w:r>
      <w:r>
        <w:t>en matière de</w:t>
      </w:r>
      <w:r w:rsidR="000F7447" w:rsidRPr="00DD066D">
        <w:t xml:space="preserve"> réduction des effectifs</w:t>
      </w:r>
      <w:r>
        <w:t xml:space="preserve"> tout en étant tournée vers l</w:t>
      </w:r>
      <w:r w:rsidR="001B30ED">
        <w:t>'</w:t>
      </w:r>
      <w:r>
        <w:t>avenir</w:t>
      </w:r>
      <w:r w:rsidR="000F7447" w:rsidRPr="00DD066D">
        <w:t>, et qui s</w:t>
      </w:r>
      <w:r w:rsidR="001B30ED">
        <w:t>'</w:t>
      </w:r>
      <w:r w:rsidR="000F7447" w:rsidRPr="00DD066D">
        <w:t xml:space="preserve">accompagne donc de décisions stratégiques en ce qui concerne, entre autres, le recrutement, les promotions et la </w:t>
      </w:r>
      <w:r w:rsidR="000F7447" w:rsidRPr="00DD066D">
        <w:rPr>
          <w:rStyle w:val="bri2"/>
        </w:rPr>
        <w:t>planification du renouvellement des effectifs.</w:t>
      </w:r>
      <w:r>
        <w:t xml:space="preserve"> </w:t>
      </w:r>
      <w:r w:rsidR="007927A5" w:rsidRPr="00DD066D">
        <w:t>Dans le futur Plan stratégique pour les ressources humaines, la décision de poursuivre ou non la politique de réduction des effectifs ne pourra plus être repoussée. Dans tous les cas, il ne sera plus possible de s</w:t>
      </w:r>
      <w:r w:rsidR="001B30ED">
        <w:t>'</w:t>
      </w:r>
      <w:r w:rsidR="007927A5" w:rsidRPr="00DD066D">
        <w:t>appuyer sur des solutions tampon</w:t>
      </w:r>
      <w:r w:rsidR="008F3D3C">
        <w:t>s</w:t>
      </w:r>
      <w:r w:rsidR="007927A5" w:rsidRPr="00DD066D">
        <w:t xml:space="preserve"> comme les c</w:t>
      </w:r>
      <w:r w:rsidR="007927A5" w:rsidRPr="00DD066D">
        <w:rPr>
          <w:rStyle w:val="bri2"/>
        </w:rPr>
        <w:t>ontrats d</w:t>
      </w:r>
      <w:r w:rsidR="001B30ED">
        <w:rPr>
          <w:rStyle w:val="bri2"/>
        </w:rPr>
        <w:t>'</w:t>
      </w:r>
      <w:r w:rsidR="007927A5" w:rsidRPr="00DD066D">
        <w:rPr>
          <w:rStyle w:val="bri2"/>
        </w:rPr>
        <w:t xml:space="preserve">engagement spéciaux, les stages ou des exigences supplémentaires en matière de souplesse </w:t>
      </w:r>
      <w:r>
        <w:rPr>
          <w:rStyle w:val="bri2"/>
        </w:rPr>
        <w:t>pour les</w:t>
      </w:r>
      <w:r w:rsidR="007927A5" w:rsidRPr="00DD066D">
        <w:rPr>
          <w:rStyle w:val="bri2"/>
        </w:rPr>
        <w:t xml:space="preserve"> employés</w:t>
      </w:r>
      <w:r>
        <w:rPr>
          <w:rStyle w:val="bri2"/>
        </w:rPr>
        <w:t xml:space="preserve"> actuels</w:t>
      </w:r>
      <w:r w:rsidR="007927A5" w:rsidRPr="00DD066D">
        <w:rPr>
          <w:rStyle w:val="bri2"/>
        </w:rPr>
        <w:t>.</w:t>
      </w:r>
    </w:p>
    <w:p w14:paraId="206FAD67" w14:textId="75421037" w:rsidR="007927A5" w:rsidRPr="00DD066D" w:rsidRDefault="00FE3A8F" w:rsidP="00B42E3A">
      <w:r w:rsidRPr="00DD066D">
        <w:t>82</w:t>
      </w:r>
      <w:r w:rsidRPr="00DD066D">
        <w:tab/>
      </w:r>
      <w:r w:rsidR="007927A5" w:rsidRPr="00DD066D">
        <w:t>Une pause semble nécessaire, ainsi qu</w:t>
      </w:r>
      <w:r w:rsidR="001B30ED">
        <w:t>'</w:t>
      </w:r>
      <w:r w:rsidR="007927A5" w:rsidRPr="00DD066D">
        <w:t>une reconfiguration des services et processus existants, afin de chercher les gains d</w:t>
      </w:r>
      <w:r w:rsidR="001B30ED">
        <w:t>'</w:t>
      </w:r>
      <w:r w:rsidR="007927A5" w:rsidRPr="00DD066D">
        <w:t>efficacité qui peuvent être réalisés.</w:t>
      </w:r>
      <w:r w:rsidR="00427204">
        <w:t xml:space="preserve"> Il est également nécessaire de tenir compte des nouvelles conditions de travail qui résulteront de la construction des nouveaux </w:t>
      </w:r>
      <w:r w:rsidR="00B42E3A">
        <w:t>locaux</w:t>
      </w:r>
      <w:r w:rsidR="00427204">
        <w:t xml:space="preserve"> et du déménagement vers ceux-ci.</w:t>
      </w:r>
    </w:p>
    <w:p w14:paraId="208CDAD1" w14:textId="5F51673E" w:rsidR="001B2219" w:rsidRPr="00DD066D" w:rsidRDefault="00A55BE4" w:rsidP="00B53AD7">
      <w:r>
        <w:t>83</w:t>
      </w:r>
      <w:r>
        <w:tab/>
      </w:r>
      <w:r w:rsidR="007927A5" w:rsidRPr="00DD066D">
        <w:t>A cet égard, certaines initiatives récentes doivent être saluées, comme l</w:t>
      </w:r>
      <w:r w:rsidR="001B30ED">
        <w:t>'</w:t>
      </w:r>
      <w:r w:rsidR="007927A5" w:rsidRPr="00DD066D">
        <w:t>introduction, en avril</w:t>
      </w:r>
      <w:r w:rsidR="0018444B">
        <w:t> </w:t>
      </w:r>
      <w:r w:rsidR="007927A5" w:rsidRPr="00DD066D">
        <w:t>2018</w:t>
      </w:r>
      <w:r w:rsidR="00571A56">
        <w:t>,</w:t>
      </w:r>
      <w:r w:rsidR="007927A5" w:rsidRPr="00DD066D">
        <w:t xml:space="preserve"> d</w:t>
      </w:r>
      <w:r w:rsidR="001B30ED">
        <w:t>'</w:t>
      </w:r>
      <w:r w:rsidR="007927A5" w:rsidRPr="00DD066D">
        <w:t xml:space="preserve">un nouvel </w:t>
      </w:r>
      <w:r w:rsidR="00B94DFD" w:rsidRPr="00DD066D">
        <w:t>outil électronique d</w:t>
      </w:r>
      <w:r w:rsidR="001B30ED">
        <w:t>'</w:t>
      </w:r>
      <w:r w:rsidR="00B94DFD" w:rsidRPr="00DD066D">
        <w:t xml:space="preserve">évaluation des fonctionnaires (Système électronique de gestion de la performance et de perfectionnement), qui </w:t>
      </w:r>
      <w:r w:rsidR="00571A56">
        <w:t>associe</w:t>
      </w:r>
      <w:r w:rsidR="00B94DFD" w:rsidRPr="00DD066D">
        <w:t xml:space="preserve"> les </w:t>
      </w:r>
      <w:r w:rsidR="00B94DFD" w:rsidRPr="00DD066D">
        <w:rPr>
          <w:rStyle w:val="bri2"/>
        </w:rPr>
        <w:t>rapports d</w:t>
      </w:r>
      <w:r w:rsidR="001B30ED">
        <w:rPr>
          <w:rStyle w:val="bri2"/>
        </w:rPr>
        <w:t>'</w:t>
      </w:r>
      <w:r w:rsidR="00B94DFD" w:rsidRPr="00DD066D">
        <w:rPr>
          <w:rStyle w:val="bri2"/>
        </w:rPr>
        <w:t>évaluation</w:t>
      </w:r>
      <w:r w:rsidR="00B94DFD" w:rsidRPr="00DD066D">
        <w:t xml:space="preserve"> périodique du personnel bénéficiant de contrats permanents, continus et à durée déterminée</w:t>
      </w:r>
      <w:r w:rsidR="001B2219" w:rsidRPr="00DD066D">
        <w:t xml:space="preserve"> </w:t>
      </w:r>
      <w:r w:rsidR="00571A56">
        <w:t>à</w:t>
      </w:r>
      <w:r w:rsidR="001B2219" w:rsidRPr="00DD066D">
        <w:t xml:space="preserve"> la définition des compétences requises pour la bonne réalisation des tâches qui leurs sont confiées.</w:t>
      </w:r>
      <w:r w:rsidR="007E4EDB">
        <w:t xml:space="preserve"> </w:t>
      </w:r>
      <w:r w:rsidR="001B2219" w:rsidRPr="00DD066D">
        <w:t xml:space="preserve">Cet outil vise, entre autres choses, à reconnaître le potentiel de chaque membre du personnel et à </w:t>
      </w:r>
      <w:r w:rsidR="007E4EDB">
        <w:t xml:space="preserve">lui </w:t>
      </w:r>
      <w:r w:rsidR="001B2219" w:rsidRPr="00DD066D">
        <w:t xml:space="preserve">offrir des possibilités de développement professionnel, en tenant compte des exigences de </w:t>
      </w:r>
      <w:r w:rsidR="007E4EDB">
        <w:t xml:space="preserve">son poste actuel </w:t>
      </w:r>
      <w:r w:rsidR="0027170D">
        <w:t>et</w:t>
      </w:r>
      <w:r w:rsidR="001B2219" w:rsidRPr="00DD066D">
        <w:t xml:space="preserve"> de </w:t>
      </w:r>
      <w:r w:rsidR="007E4EDB">
        <w:t>ses</w:t>
      </w:r>
      <w:r w:rsidR="001B2219" w:rsidRPr="00DD066D">
        <w:t xml:space="preserve"> ambitions professionnelles.</w:t>
      </w:r>
    </w:p>
    <w:p w14:paraId="519ECFC4" w14:textId="0738B484" w:rsidR="009D1CA9" w:rsidRPr="00DD066D" w:rsidRDefault="00A55BE4" w:rsidP="00B53AD7">
      <w:r>
        <w:t>84</w:t>
      </w:r>
      <w:r>
        <w:tab/>
      </w:r>
      <w:r w:rsidR="009D1CA9" w:rsidRPr="00DD066D">
        <w:t>Ce nouvel outil est lié au cadre de comp</w:t>
      </w:r>
      <w:r w:rsidR="008F3D3C">
        <w:t>é</w:t>
      </w:r>
      <w:r w:rsidR="009D1CA9" w:rsidRPr="00DD066D">
        <w:t>tences, en vigueur depuis 2017, qui a pour but de réaliser un inventaire des qualifications et des compétences et de déterminer les besoins en matière de formation du personnel.</w:t>
      </w:r>
      <w:r w:rsidR="007E4EDB">
        <w:t xml:space="preserve"> </w:t>
      </w:r>
      <w:r w:rsidR="009D1CA9" w:rsidRPr="00DD066D">
        <w:t xml:space="preserve">Pour le moment, seules les </w:t>
      </w:r>
      <w:r w:rsidR="009D1CA9" w:rsidRPr="00DD066D">
        <w:rPr>
          <w:rStyle w:val="bri2"/>
        </w:rPr>
        <w:t>compétences essentielles</w:t>
      </w:r>
      <w:r w:rsidR="009D1CA9" w:rsidRPr="00DD066D">
        <w:t xml:space="preserve"> et les compétences fonctionnelles ont été définies, tandis que le catalogue des compétences techniques doit encore être établi au moyen de consultations supplémentaires avec les départements techniques. Le </w:t>
      </w:r>
      <w:r w:rsidR="0062579C">
        <w:rPr>
          <w:rStyle w:val="bri2"/>
        </w:rPr>
        <w:t>Département de la gestion des ressources humaines</w:t>
      </w:r>
      <w:r w:rsidR="0062579C">
        <w:t xml:space="preserve"> </w:t>
      </w:r>
      <w:r w:rsidR="009D1CA9" w:rsidRPr="00DD066D">
        <w:t>est responsable de maintenir et de développer l</w:t>
      </w:r>
      <w:r w:rsidR="001B30ED">
        <w:t>'</w:t>
      </w:r>
      <w:r w:rsidR="009D1CA9" w:rsidRPr="00DD066D">
        <w:t>inventaire.</w:t>
      </w:r>
    </w:p>
    <w:p w14:paraId="3AC8B54F" w14:textId="5D2CEF96" w:rsidR="00B42E3A" w:rsidRDefault="00B42E3A" w:rsidP="00B53AD7">
      <w:r>
        <w:br w:type="page"/>
      </w:r>
    </w:p>
    <w:tbl>
      <w:tblPr>
        <w:tblStyle w:val="TableGrid"/>
        <w:tblW w:w="0" w:type="auto"/>
        <w:tblLook w:val="04A0" w:firstRow="1" w:lastRow="0" w:firstColumn="1" w:lastColumn="0" w:noHBand="0" w:noVBand="1"/>
      </w:tblPr>
      <w:tblGrid>
        <w:gridCol w:w="9629"/>
      </w:tblGrid>
      <w:tr w:rsidR="00FE3A8F" w:rsidRPr="00DD066D" w14:paraId="3891A633" w14:textId="77777777" w:rsidTr="004B5BA3">
        <w:tc>
          <w:tcPr>
            <w:tcW w:w="9629" w:type="dxa"/>
          </w:tcPr>
          <w:p w14:paraId="40E05A77" w14:textId="1480D371" w:rsidR="00FE3A8F" w:rsidRPr="00DD066D" w:rsidRDefault="00FE3A8F" w:rsidP="00B53AD7">
            <w:pPr>
              <w:spacing w:after="120"/>
              <w:rPr>
                <w:b/>
                <w:bCs/>
                <w:i/>
                <w:iCs/>
              </w:rPr>
            </w:pPr>
            <w:r w:rsidRPr="00DD066D">
              <w:rPr>
                <w:b/>
                <w:bCs/>
                <w:i/>
                <w:iCs/>
              </w:rPr>
              <w:t>Recommandation N°</w:t>
            </w:r>
            <w:r w:rsidR="0018444B">
              <w:rPr>
                <w:b/>
                <w:bCs/>
                <w:i/>
                <w:iCs/>
              </w:rPr>
              <w:t> </w:t>
            </w:r>
            <w:r w:rsidRPr="00DD066D">
              <w:rPr>
                <w:b/>
                <w:bCs/>
                <w:i/>
                <w:iCs/>
              </w:rPr>
              <w:t>3</w:t>
            </w:r>
          </w:p>
          <w:p w14:paraId="79FB4BA3" w14:textId="0F7925A1" w:rsidR="00D01F09" w:rsidRPr="00DD066D" w:rsidRDefault="00A55BE4" w:rsidP="000202B4">
            <w:pPr>
              <w:spacing w:after="120"/>
            </w:pPr>
            <w:r>
              <w:t>85</w:t>
            </w:r>
            <w:r>
              <w:tab/>
            </w:r>
            <w:r w:rsidR="00D01F09" w:rsidRPr="007E4EDB">
              <w:rPr>
                <w:u w:val="single"/>
              </w:rPr>
              <w:t>Nous recommandons</w:t>
            </w:r>
            <w:r w:rsidR="00D01F09" w:rsidRPr="00DD066D">
              <w:t xml:space="preserve"> que des activités de prépar</w:t>
            </w:r>
            <w:r w:rsidR="007E4EDB">
              <w:t>a</w:t>
            </w:r>
            <w:r w:rsidR="00D01F09" w:rsidRPr="00DD066D">
              <w:t>tion intens</w:t>
            </w:r>
            <w:r w:rsidR="007E4EDB">
              <w:t>iv</w:t>
            </w:r>
            <w:r w:rsidR="00D01F09" w:rsidRPr="00DD066D">
              <w:t xml:space="preserve">es soient menées en amont de </w:t>
            </w:r>
            <w:r w:rsidR="007E4EDB">
              <w:t>l</w:t>
            </w:r>
            <w:r w:rsidR="001B30ED">
              <w:t>'</w:t>
            </w:r>
            <w:r w:rsidR="007E4EDB">
              <w:t>établissement</w:t>
            </w:r>
            <w:r w:rsidR="00D01F09" w:rsidRPr="00DD066D">
              <w:t xml:space="preserve"> du Plan stratégique pour les ressources humaines, afin que sa mise en </w:t>
            </w:r>
            <w:r>
              <w:t>oe</w:t>
            </w:r>
            <w:r w:rsidR="00D01F09" w:rsidRPr="00DD066D">
              <w:t>uvre ne soit pas retardée après son adoption au printemps</w:t>
            </w:r>
            <w:r w:rsidR="0018444B">
              <w:t> </w:t>
            </w:r>
            <w:r w:rsidR="00D01F09" w:rsidRPr="00DD066D">
              <w:t>2019.</w:t>
            </w:r>
            <w:r w:rsidR="00CF53D2">
              <w:t xml:space="preserve"> </w:t>
            </w:r>
            <w:r w:rsidR="00D01F09" w:rsidRPr="00DD066D">
              <w:t>Ces a</w:t>
            </w:r>
            <w:r>
              <w:t>ctivités doivent comprendre: i) </w:t>
            </w:r>
            <w:r w:rsidR="00D01F09" w:rsidRPr="00DD066D">
              <w:t xml:space="preserve">une analyse approfondie des </w:t>
            </w:r>
            <w:r w:rsidR="007E4EDB">
              <w:t>lacunes en matière de</w:t>
            </w:r>
            <w:r w:rsidR="00D01F09" w:rsidRPr="00DD066D">
              <w:t xml:space="preserve"> compétence</w:t>
            </w:r>
            <w:r w:rsidR="007E4EDB">
              <w:t>s</w:t>
            </w:r>
            <w:r w:rsidR="00D01F09" w:rsidRPr="00DD066D">
              <w:t xml:space="preserve">, en </w:t>
            </w:r>
            <w:r w:rsidR="007E4EDB">
              <w:t>tenant compte du</w:t>
            </w:r>
            <w:r w:rsidR="00D01F09" w:rsidRPr="00DD066D">
              <w:t xml:space="preserve"> potentiel des ressources disponibles</w:t>
            </w:r>
            <w:r w:rsidR="007A0783" w:rsidRPr="00DD066D">
              <w:t xml:space="preserve"> </w:t>
            </w:r>
            <w:r w:rsidR="007A0783">
              <w:t xml:space="preserve">en </w:t>
            </w:r>
            <w:r w:rsidR="007A0783" w:rsidRPr="00DD066D">
              <w:t>interne</w:t>
            </w:r>
            <w:r w:rsidR="00D01F09" w:rsidRPr="00DD066D">
              <w:t xml:space="preserve">, notamment les compétences techniques, en fonction des résultats obtenus </w:t>
            </w:r>
            <w:r w:rsidR="006E381E" w:rsidRPr="00DD066D">
              <w:t>grâce au</w:t>
            </w:r>
            <w:r w:rsidR="007E4EDB">
              <w:t xml:space="preserve"> nouvel outil d</w:t>
            </w:r>
            <w:r w:rsidR="001B30ED">
              <w:t>'</w:t>
            </w:r>
            <w:r w:rsidR="007E4EDB">
              <w:t>évaluation et au</w:t>
            </w:r>
            <w:r w:rsidR="00D01F09" w:rsidRPr="00DD066D">
              <w:t xml:space="preserve"> cadre de compétences; </w:t>
            </w:r>
            <w:r w:rsidR="006E381E" w:rsidRPr="00DD066D">
              <w:t>ii) l</w:t>
            </w:r>
            <w:r w:rsidR="001B30ED">
              <w:t>'</w:t>
            </w:r>
            <w:r w:rsidR="006E381E" w:rsidRPr="00DD066D">
              <w:t>identification des postes sensibles et l</w:t>
            </w:r>
            <w:r w:rsidR="001B30ED">
              <w:t>'</w:t>
            </w:r>
            <w:r w:rsidR="006E381E" w:rsidRPr="00DD066D">
              <w:t>élaboration d</w:t>
            </w:r>
            <w:r w:rsidR="001B30ED">
              <w:t>'</w:t>
            </w:r>
            <w:r w:rsidR="006E381E" w:rsidRPr="00DD066D">
              <w:t xml:space="preserve">un plan de </w:t>
            </w:r>
            <w:r w:rsidR="006E381E" w:rsidRPr="00DD066D">
              <w:rPr>
                <w:rStyle w:val="bri2"/>
              </w:rPr>
              <w:t xml:space="preserve">renouvellement des effectifs à court et à moyen terme; iii) </w:t>
            </w:r>
            <w:r w:rsidR="001954B1">
              <w:rPr>
                <w:rStyle w:val="bri2"/>
              </w:rPr>
              <w:t>la rationalisation</w:t>
            </w:r>
            <w:r w:rsidR="006E381E" w:rsidRPr="00DD066D">
              <w:rPr>
                <w:rStyle w:val="bri2"/>
              </w:rPr>
              <w:t xml:space="preserve"> des services et processus avant de déterminer le nombre minimum d</w:t>
            </w:r>
            <w:r w:rsidR="001B30ED">
              <w:rPr>
                <w:rStyle w:val="bri2"/>
              </w:rPr>
              <w:t>'</w:t>
            </w:r>
            <w:r w:rsidR="006E381E" w:rsidRPr="00DD066D">
              <w:rPr>
                <w:rStyle w:val="bri2"/>
              </w:rPr>
              <w:t xml:space="preserve">employés nécessaires pour </w:t>
            </w:r>
            <w:r w:rsidR="00804F8A" w:rsidRPr="00DD066D">
              <w:rPr>
                <w:rStyle w:val="bri2"/>
              </w:rPr>
              <w:t>remplir les fonctions institutionnelles; et iv) l</w:t>
            </w:r>
            <w:r w:rsidR="00CF53D2">
              <w:rPr>
                <w:rStyle w:val="bri2"/>
              </w:rPr>
              <w:t>a définition d</w:t>
            </w:r>
            <w:r w:rsidR="00804F8A" w:rsidRPr="00DD066D">
              <w:rPr>
                <w:rStyle w:val="bri2"/>
              </w:rPr>
              <w:t>es critères pour le recrutement interne ou extérie</w:t>
            </w:r>
            <w:r w:rsidR="000202B4">
              <w:rPr>
                <w:rStyle w:val="bri2"/>
              </w:rPr>
              <w:t>ur et pour le recours à des non</w:t>
            </w:r>
            <w:r w:rsidR="000202B4">
              <w:rPr>
                <w:rStyle w:val="bri2"/>
              </w:rPr>
              <w:noBreakHyphen/>
            </w:r>
            <w:r w:rsidR="00804F8A" w:rsidRPr="00DD066D">
              <w:rPr>
                <w:rStyle w:val="bri2"/>
              </w:rPr>
              <w:t xml:space="preserve">fonctionnaires ou à des </w:t>
            </w:r>
            <w:r w:rsidR="000202B4">
              <w:rPr>
                <w:rStyle w:val="bri2"/>
              </w:rPr>
              <w:t>fonctionnaires engagés pour une courte durée</w:t>
            </w:r>
            <w:r w:rsidR="00804F8A" w:rsidRPr="00DD066D">
              <w:rPr>
                <w:rStyle w:val="bri2"/>
              </w:rPr>
              <w:t>.</w:t>
            </w:r>
          </w:p>
        </w:tc>
      </w:tr>
    </w:tbl>
    <w:p w14:paraId="46A1C147" w14:textId="77777777" w:rsidR="00FE3A8F" w:rsidRPr="00DD066D" w:rsidRDefault="00FE3A8F" w:rsidP="00B53AD7"/>
    <w:tbl>
      <w:tblPr>
        <w:tblStyle w:val="TableGrid"/>
        <w:tblW w:w="0" w:type="auto"/>
        <w:tblLook w:val="04A0" w:firstRow="1" w:lastRow="0" w:firstColumn="1" w:lastColumn="0" w:noHBand="0" w:noVBand="1"/>
      </w:tblPr>
      <w:tblGrid>
        <w:gridCol w:w="9629"/>
      </w:tblGrid>
      <w:tr w:rsidR="00FE3A8F" w:rsidRPr="00DD066D" w14:paraId="105B4B6E" w14:textId="77777777" w:rsidTr="004B5BA3">
        <w:tc>
          <w:tcPr>
            <w:tcW w:w="9629" w:type="dxa"/>
          </w:tcPr>
          <w:p w14:paraId="468096F6" w14:textId="77777777" w:rsidR="00FE3A8F" w:rsidRPr="00B42E3A" w:rsidRDefault="00FE3A8F" w:rsidP="00B53AD7">
            <w:pPr>
              <w:spacing w:after="120"/>
              <w:rPr>
                <w:rFonts w:asciiTheme="minorHAnsi" w:hAnsiTheme="minorHAnsi"/>
                <w:b/>
                <w:bCs/>
                <w:i/>
                <w:iCs/>
              </w:rPr>
            </w:pPr>
            <w:r w:rsidRPr="00B42E3A">
              <w:rPr>
                <w:rFonts w:asciiTheme="minorHAnsi" w:hAnsiTheme="minorHAnsi"/>
                <w:b/>
                <w:bCs/>
                <w:i/>
                <w:iCs/>
              </w:rPr>
              <w:t>Commentaires du Secrétaire général</w:t>
            </w:r>
          </w:p>
          <w:p w14:paraId="4E2C30DC" w14:textId="716C94CB" w:rsidR="008259A6" w:rsidRPr="00DD066D" w:rsidRDefault="008259A6" w:rsidP="000202B4">
            <w:pPr>
              <w:spacing w:after="120"/>
            </w:pPr>
            <w:r w:rsidRPr="00DD066D">
              <w:t xml:space="preserve">Nous appuyons cette recommandation. Les éléments énumérés </w:t>
            </w:r>
            <w:r w:rsidR="007972E2">
              <w:t>aux</w:t>
            </w:r>
            <w:r w:rsidRPr="00DD066D">
              <w:t xml:space="preserve"> points i) à iv) font partie intégrante de l</w:t>
            </w:r>
            <w:r w:rsidR="001B30ED">
              <w:t>'</w:t>
            </w:r>
            <w:r w:rsidRPr="00DD066D">
              <w:t xml:space="preserve">élaboration du Plan stratégique pour les ressources humaines qui sera présenté au Conseil </w:t>
            </w:r>
            <w:r w:rsidR="007A0783" w:rsidRPr="00DD066D">
              <w:t xml:space="preserve">pour approbation </w:t>
            </w:r>
            <w:r w:rsidRPr="00DD066D">
              <w:t>à sa session de 2019, sur la base du Plan stratégique et du Plan financier de l</w:t>
            </w:r>
            <w:r w:rsidR="001B30ED">
              <w:t>'</w:t>
            </w:r>
            <w:r w:rsidRPr="00DD066D">
              <w:t xml:space="preserve">UIT qui </w:t>
            </w:r>
            <w:r w:rsidR="000202B4">
              <w:t>doiv</w:t>
            </w:r>
            <w:r w:rsidRPr="00DD066D">
              <w:t>ent être approuvés par la Conférence de plénipotentiaires à Duba</w:t>
            </w:r>
            <w:r w:rsidR="001954B1">
              <w:t>ï</w:t>
            </w:r>
            <w:r w:rsidR="000202B4">
              <w:t xml:space="preserve"> en </w:t>
            </w:r>
            <w:r w:rsidRPr="00DD066D">
              <w:t>2018.</w:t>
            </w:r>
          </w:p>
        </w:tc>
      </w:tr>
    </w:tbl>
    <w:p w14:paraId="196976D5" w14:textId="77777777" w:rsidR="00771B54" w:rsidRPr="00DD066D" w:rsidRDefault="00771B54" w:rsidP="00B53AD7">
      <w:pPr>
        <w:pStyle w:val="Headingb"/>
      </w:pPr>
      <w:bookmarkStart w:id="390" w:name="_Toc482958334"/>
      <w:bookmarkStart w:id="391" w:name="_Toc522685325"/>
      <w:r w:rsidRPr="00DD066D">
        <w:t>Achats</w:t>
      </w:r>
      <w:bookmarkEnd w:id="390"/>
      <w:bookmarkEnd w:id="391"/>
    </w:p>
    <w:p w14:paraId="7E0081DF" w14:textId="43886D16" w:rsidR="00771B54" w:rsidRPr="00DD066D" w:rsidRDefault="00771B54" w:rsidP="00B53AD7">
      <w:pPr>
        <w:spacing w:after="120"/>
      </w:pPr>
      <w:r w:rsidRPr="00DD066D">
        <w:t>86</w:t>
      </w:r>
      <w:r w:rsidRPr="00DD066D">
        <w:tab/>
        <w:t>Les achats représentent une partie des dépenses analysées dans le paragraphe ci-dessus et comptabilisées sous les rubriques "Services contractuels", "Location et entretien des locaux et des équipements", "Matériels et fournitures" et "Frais d</w:t>
      </w:r>
      <w:r w:rsidR="001B30ED">
        <w:t>'</w:t>
      </w:r>
      <w:r w:rsidRPr="00DD066D">
        <w:t>expédition et de télécommunications et services".</w:t>
      </w:r>
    </w:p>
    <w:p w14:paraId="6EE39D7A" w14:textId="585A5899" w:rsidR="007B74EB" w:rsidRPr="00E62632" w:rsidRDefault="007B74EB" w:rsidP="00E62632">
      <w:pPr>
        <w:pStyle w:val="Headingb"/>
        <w:rPr>
          <w:i/>
          <w:iCs/>
        </w:rPr>
      </w:pPr>
      <w:bookmarkStart w:id="392" w:name="_Toc522685326"/>
      <w:r w:rsidRPr="00E62632">
        <w:rPr>
          <w:i/>
          <w:iCs/>
        </w:rPr>
        <w:t>Prolongation automatique des contrats attribués</w:t>
      </w:r>
      <w:bookmarkEnd w:id="392"/>
    </w:p>
    <w:p w14:paraId="1D05D155" w14:textId="5A06B15B" w:rsidR="007B74EB" w:rsidRPr="00DD066D" w:rsidRDefault="00F40C9B" w:rsidP="00B53AD7">
      <w:r w:rsidRPr="00DD066D">
        <w:t>87</w:t>
      </w:r>
      <w:r w:rsidR="001F5CDD">
        <w:tab/>
      </w:r>
      <w:r w:rsidR="007B74EB" w:rsidRPr="00DD066D">
        <w:t xml:space="preserve">Dans le cadre de </w:t>
      </w:r>
      <w:r w:rsidR="00072D0C">
        <w:t>notre vérification</w:t>
      </w:r>
      <w:r w:rsidR="007B74EB" w:rsidRPr="00DD066D">
        <w:t>, nous avons constaté que certains contrats étaient encore en vigueur plus de 5</w:t>
      </w:r>
      <w:r w:rsidR="0018444B">
        <w:t> </w:t>
      </w:r>
      <w:r w:rsidR="007B74EB" w:rsidRPr="00DD066D">
        <w:t xml:space="preserve">ans après la date à laquelle ils </w:t>
      </w:r>
      <w:r w:rsidR="00072D0C">
        <w:t>ont</w:t>
      </w:r>
      <w:r w:rsidR="007B74EB" w:rsidRPr="00DD066D">
        <w:t xml:space="preserve"> été attribués. Ces contrats sont renouvelés automatiquement d</w:t>
      </w:r>
      <w:r w:rsidR="001B30ED">
        <w:t>'</w:t>
      </w:r>
      <w:r w:rsidR="007B74EB" w:rsidRPr="00DD066D">
        <w:t>année en année, sauf si l</w:t>
      </w:r>
      <w:r w:rsidR="001B30ED">
        <w:t>'</w:t>
      </w:r>
      <w:r w:rsidR="007B74EB" w:rsidRPr="00DD066D">
        <w:t>une des parties concernées y met fin en notifiant l</w:t>
      </w:r>
      <w:r w:rsidR="001B30ED">
        <w:t>'</w:t>
      </w:r>
      <w:r w:rsidR="007B74EB" w:rsidRPr="00DD066D">
        <w:t>autre partie avant la date d</w:t>
      </w:r>
      <w:r w:rsidR="001B30ED">
        <w:t>'</w:t>
      </w:r>
      <w:r w:rsidR="007B74EB" w:rsidRPr="00DD066D">
        <w:t>expiration.</w:t>
      </w:r>
    </w:p>
    <w:p w14:paraId="482A5FF2" w14:textId="75AEE3C3" w:rsidR="007B74EB" w:rsidRPr="00DD066D" w:rsidRDefault="00F40C9B" w:rsidP="00B42E3A">
      <w:pPr>
        <w:spacing w:after="120"/>
      </w:pPr>
      <w:r w:rsidRPr="00DD066D">
        <w:t>88</w:t>
      </w:r>
      <w:r w:rsidRPr="00DD066D">
        <w:tab/>
      </w:r>
      <w:r w:rsidR="007B74EB" w:rsidRPr="00DD066D">
        <w:t>Dans tous les cas, nous estimons que la direction devrait effectuer une évaluation</w:t>
      </w:r>
      <w:r w:rsidR="00072D0C">
        <w:t xml:space="preserve"> du fournisseur et</w:t>
      </w:r>
      <w:r w:rsidR="007B74EB" w:rsidRPr="00DD066D">
        <w:t xml:space="preserve"> d</w:t>
      </w:r>
      <w:r w:rsidR="00072D0C">
        <w:t>u</w:t>
      </w:r>
      <w:r w:rsidR="007B74EB" w:rsidRPr="00DD066D">
        <w:t xml:space="preserve"> </w:t>
      </w:r>
      <w:r w:rsidR="00756E1F">
        <w:t xml:space="preserve">prix </w:t>
      </w:r>
      <w:r w:rsidR="00072D0C">
        <w:t>du</w:t>
      </w:r>
      <w:r w:rsidR="007B74EB" w:rsidRPr="00DD066D">
        <w:t xml:space="preserve"> marché, avant l</w:t>
      </w:r>
      <w:r w:rsidR="001B30ED">
        <w:t>'</w:t>
      </w:r>
      <w:r w:rsidR="007B74EB" w:rsidRPr="00DD066D">
        <w:t xml:space="preserve">échéance du contrat initial, </w:t>
      </w:r>
      <w:r w:rsidR="00756E1F">
        <w:t>avant</w:t>
      </w:r>
      <w:r w:rsidR="007B74EB" w:rsidRPr="00DD066D">
        <w:t xml:space="preserve"> de prendre une décision sur la prolongation d</w:t>
      </w:r>
      <w:r w:rsidR="001B30ED">
        <w:t>'</w:t>
      </w:r>
      <w:r w:rsidR="007B74EB" w:rsidRPr="00DD066D">
        <w:t>un contrat.</w:t>
      </w:r>
    </w:p>
    <w:tbl>
      <w:tblPr>
        <w:tblStyle w:val="TableGrid"/>
        <w:tblW w:w="0" w:type="auto"/>
        <w:tblLook w:val="04A0" w:firstRow="1" w:lastRow="0" w:firstColumn="1" w:lastColumn="0" w:noHBand="0" w:noVBand="1"/>
      </w:tblPr>
      <w:tblGrid>
        <w:gridCol w:w="9629"/>
      </w:tblGrid>
      <w:tr w:rsidR="003B74D0" w:rsidRPr="00DD066D" w14:paraId="6FBA0571" w14:textId="77777777" w:rsidTr="00472972">
        <w:tc>
          <w:tcPr>
            <w:tcW w:w="9629" w:type="dxa"/>
            <w:tcBorders>
              <w:bottom w:val="single" w:sz="4" w:space="0" w:color="auto"/>
            </w:tcBorders>
          </w:tcPr>
          <w:p w14:paraId="6C38020C" w14:textId="2B06D248" w:rsidR="003B74D0" w:rsidRPr="00DD066D" w:rsidRDefault="007A3F9A" w:rsidP="00B53AD7">
            <w:pPr>
              <w:spacing w:after="120"/>
              <w:rPr>
                <w:b/>
                <w:bCs/>
                <w:i/>
                <w:iCs/>
              </w:rPr>
            </w:pPr>
            <w:r w:rsidRPr="00DD066D">
              <w:rPr>
                <w:b/>
                <w:bCs/>
                <w:i/>
                <w:iCs/>
              </w:rPr>
              <w:t>Recommandation N°</w:t>
            </w:r>
            <w:r w:rsidR="0018444B">
              <w:rPr>
                <w:b/>
                <w:bCs/>
                <w:i/>
                <w:iCs/>
              </w:rPr>
              <w:t> </w:t>
            </w:r>
            <w:r w:rsidRPr="00DD066D">
              <w:rPr>
                <w:b/>
                <w:bCs/>
                <w:i/>
                <w:iCs/>
              </w:rPr>
              <w:t>4</w:t>
            </w:r>
          </w:p>
          <w:p w14:paraId="3BB37C72" w14:textId="3AF71C21" w:rsidR="007B74EB" w:rsidRPr="00DD066D" w:rsidRDefault="007A3F9A" w:rsidP="00B53AD7">
            <w:pPr>
              <w:spacing w:after="120"/>
            </w:pPr>
            <w:r w:rsidRPr="00DD066D">
              <w:t>89</w:t>
            </w:r>
            <w:r w:rsidR="003B74D0" w:rsidRPr="00DD066D">
              <w:tab/>
            </w:r>
            <w:r w:rsidR="007B74EB" w:rsidRPr="000C72C6">
              <w:rPr>
                <w:u w:val="single"/>
              </w:rPr>
              <w:t>Nous recommandons</w:t>
            </w:r>
            <w:r w:rsidR="007B74EB" w:rsidRPr="00DD066D">
              <w:t xml:space="preserve"> </w:t>
            </w:r>
            <w:r w:rsidR="000C72C6">
              <w:t>qu</w:t>
            </w:r>
            <w:r w:rsidR="001B30ED">
              <w:t>'</w:t>
            </w:r>
            <w:r w:rsidR="000C72C6">
              <w:t xml:space="preserve">une politique ou </w:t>
            </w:r>
            <w:r w:rsidR="007B74EB" w:rsidRPr="00DD066D">
              <w:t>de</w:t>
            </w:r>
            <w:r w:rsidR="000C72C6">
              <w:t>s</w:t>
            </w:r>
            <w:r w:rsidR="007B74EB" w:rsidRPr="00DD066D">
              <w:t xml:space="preserve"> lignes directrices</w:t>
            </w:r>
            <w:r w:rsidR="000C72C6">
              <w:t xml:space="preserve"> soient introduites, de façon à</w:t>
            </w:r>
            <w:r w:rsidR="007B74EB" w:rsidRPr="00DD066D">
              <w:t xml:space="preserve"> </w:t>
            </w:r>
            <w:r w:rsidR="000C72C6">
              <w:t>1) éviter</w:t>
            </w:r>
            <w:r w:rsidR="007B74EB" w:rsidRPr="00DD066D">
              <w:t xml:space="preserve"> la prolongation automatique des cont</w:t>
            </w:r>
            <w:r w:rsidR="000C72C6">
              <w:t>rats en vigueur; et 2) indiquer</w:t>
            </w:r>
            <w:r w:rsidR="007B74EB" w:rsidRPr="00DD066D">
              <w:t xml:space="preserve"> à la direction la nécessité de réaliser une évaluation du fournisseur et </w:t>
            </w:r>
            <w:r w:rsidR="000C72C6">
              <w:t>une étude de</w:t>
            </w:r>
            <w:r w:rsidR="007B74EB" w:rsidRPr="00DD066D">
              <w:t xml:space="preserve"> marché avant</w:t>
            </w:r>
            <w:r w:rsidR="00D25B9C" w:rsidRPr="00DD066D">
              <w:t xml:space="preserve"> de prendre une décision sur la prolongation d</w:t>
            </w:r>
            <w:r w:rsidR="001B30ED">
              <w:t>'</w:t>
            </w:r>
            <w:r w:rsidR="00D25B9C" w:rsidRPr="00DD066D">
              <w:t>un contrat.</w:t>
            </w:r>
          </w:p>
        </w:tc>
      </w:tr>
    </w:tbl>
    <w:p w14:paraId="4E6FACB2" w14:textId="6E7AE11B" w:rsidR="001954B1" w:rsidRDefault="001954B1" w:rsidP="00B53AD7">
      <w:pPr>
        <w:spacing w:after="120"/>
      </w:pPr>
      <w:r>
        <w:br w:type="page"/>
      </w:r>
    </w:p>
    <w:tbl>
      <w:tblPr>
        <w:tblStyle w:val="TableGrid"/>
        <w:tblW w:w="0" w:type="auto"/>
        <w:tblLook w:val="04A0" w:firstRow="1" w:lastRow="0" w:firstColumn="1" w:lastColumn="0" w:noHBand="0" w:noVBand="1"/>
      </w:tblPr>
      <w:tblGrid>
        <w:gridCol w:w="9629"/>
      </w:tblGrid>
      <w:tr w:rsidR="003B74D0" w:rsidRPr="00DD066D" w14:paraId="2DE0D3BB" w14:textId="77777777" w:rsidTr="004B5BA3">
        <w:tc>
          <w:tcPr>
            <w:tcW w:w="9629" w:type="dxa"/>
          </w:tcPr>
          <w:p w14:paraId="2D411131" w14:textId="77777777" w:rsidR="003B74D0" w:rsidRPr="00B42E3A" w:rsidRDefault="003B74D0" w:rsidP="00B53AD7">
            <w:pPr>
              <w:spacing w:after="120"/>
              <w:rPr>
                <w:rFonts w:asciiTheme="minorHAnsi" w:hAnsiTheme="minorHAnsi"/>
                <w:b/>
                <w:bCs/>
                <w:i/>
                <w:iCs/>
              </w:rPr>
            </w:pPr>
            <w:r w:rsidRPr="00B42E3A">
              <w:rPr>
                <w:rFonts w:asciiTheme="minorHAnsi" w:hAnsiTheme="minorHAnsi"/>
                <w:b/>
                <w:bCs/>
                <w:i/>
                <w:iCs/>
              </w:rPr>
              <w:t>Commentaires du Secrétaire général</w:t>
            </w:r>
          </w:p>
          <w:p w14:paraId="343D4730" w14:textId="4359B388" w:rsidR="00D25B9C" w:rsidRPr="00DD066D" w:rsidRDefault="00D25B9C" w:rsidP="00B53AD7">
            <w:pPr>
              <w:spacing w:after="120"/>
            </w:pPr>
            <w:r w:rsidRPr="00DD066D">
              <w:t>L</w:t>
            </w:r>
            <w:r w:rsidR="001B30ED">
              <w:t>'</w:t>
            </w:r>
            <w:r w:rsidRPr="00DD066D">
              <w:t xml:space="preserve">UIT </w:t>
            </w:r>
            <w:r w:rsidR="000C72C6">
              <w:t>est d</w:t>
            </w:r>
            <w:r w:rsidR="001B30ED">
              <w:t>'</w:t>
            </w:r>
            <w:r w:rsidR="000C72C6">
              <w:t>accord</w:t>
            </w:r>
            <w:r w:rsidRPr="00DD066D">
              <w:t xml:space="preserve"> qu</w:t>
            </w:r>
            <w:r w:rsidR="001B30ED">
              <w:t>'</w:t>
            </w:r>
            <w:r w:rsidRPr="00DD066D">
              <w:t>une politique devrait être mise en place selon laquelle les contrats ne devraient pas être automatiquement prolongés.</w:t>
            </w:r>
            <w:r w:rsidR="000C72C6">
              <w:t xml:space="preserve"> L</w:t>
            </w:r>
            <w:r w:rsidR="001B30ED">
              <w:t>'</w:t>
            </w:r>
            <w:r w:rsidR="000C72C6">
              <w:t>UIT est également d</w:t>
            </w:r>
            <w:r w:rsidR="001B30ED">
              <w:t>'</w:t>
            </w:r>
            <w:r w:rsidR="000C72C6">
              <w:t>accord qu</w:t>
            </w:r>
            <w:r w:rsidR="001B30ED">
              <w:t>'</w:t>
            </w:r>
            <w:r w:rsidR="000C72C6">
              <w:t>une évaluation des prestations du fournisseur devrait être réalisée avant la prolongation d</w:t>
            </w:r>
            <w:r w:rsidR="001B30ED">
              <w:t>'</w:t>
            </w:r>
            <w:r w:rsidR="000C72C6">
              <w:t>un contrat.</w:t>
            </w:r>
            <w:r w:rsidR="00176F96">
              <w:t xml:space="preserve"> </w:t>
            </w:r>
            <w:r w:rsidRPr="00DD066D">
              <w:t xml:space="preserve">Si le contrat prévoit </w:t>
            </w:r>
            <w:r w:rsidR="00176F96">
              <w:t>une</w:t>
            </w:r>
            <w:r w:rsidRPr="00DD066D">
              <w:t xml:space="preserve"> possibilité </w:t>
            </w:r>
            <w:r w:rsidR="00176F96">
              <w:t>de</w:t>
            </w:r>
            <w:r w:rsidRPr="00DD066D">
              <w:t xml:space="preserve"> prolongation, il ne devrait pas être nécessaire de réaliser une étude de marché. Cependant, si un contrat est prolongé</w:t>
            </w:r>
            <w:r w:rsidR="00586B26" w:rsidRPr="00DD066D">
              <w:t xml:space="preserve"> au-delà des possibilités prév</w:t>
            </w:r>
            <w:r w:rsidR="00176F96">
              <w:t>ues</w:t>
            </w:r>
            <w:r w:rsidR="00586B26" w:rsidRPr="00DD066D">
              <w:t>, une étude de marché peut être réalisée en vue de justifier une telle prolongation.</w:t>
            </w:r>
          </w:p>
        </w:tc>
      </w:tr>
    </w:tbl>
    <w:p w14:paraId="578FEAEE" w14:textId="239629A4" w:rsidR="00CB7E83" w:rsidRPr="00A55BE4" w:rsidRDefault="00CB7E83" w:rsidP="001954B1">
      <w:pPr>
        <w:pStyle w:val="Headingb"/>
        <w:spacing w:before="240"/>
        <w:rPr>
          <w:bCs/>
          <w:i/>
        </w:rPr>
      </w:pPr>
      <w:bookmarkStart w:id="393" w:name="_Toc522685327"/>
      <w:r w:rsidRPr="00A55BE4">
        <w:rPr>
          <w:rStyle w:val="bri2"/>
          <w:bCs/>
          <w:i/>
        </w:rPr>
        <w:t>Passation des marchés dont le montant estimatif des dépenses</w:t>
      </w:r>
      <w:r w:rsidRPr="00A55BE4">
        <w:rPr>
          <w:bCs/>
          <w:i/>
        </w:rPr>
        <w:t xml:space="preserve"> est inférieur à 20</w:t>
      </w:r>
      <w:r w:rsidR="0018444B" w:rsidRPr="00A55BE4">
        <w:rPr>
          <w:bCs/>
          <w:i/>
        </w:rPr>
        <w:t> 000 </w:t>
      </w:r>
      <w:r w:rsidRPr="00A55BE4">
        <w:rPr>
          <w:bCs/>
          <w:i/>
        </w:rPr>
        <w:t>CHF</w:t>
      </w:r>
      <w:bookmarkEnd w:id="393"/>
    </w:p>
    <w:p w14:paraId="0E0B7590" w14:textId="21CF8C8A" w:rsidR="00CB7E83" w:rsidRPr="00DD066D" w:rsidRDefault="00A55BE4" w:rsidP="00B53AD7">
      <w:r>
        <w:t>90</w:t>
      </w:r>
      <w:r>
        <w:tab/>
      </w:r>
      <w:r w:rsidR="00CB7E83" w:rsidRPr="00DD066D">
        <w:t xml:space="preserve">Actuellement, la passation </w:t>
      </w:r>
      <w:r w:rsidR="00CB7E83" w:rsidRPr="00DD066D">
        <w:rPr>
          <w:rStyle w:val="bri2"/>
        </w:rPr>
        <w:t>des marchés dont le montant estimatif des dépenses</w:t>
      </w:r>
      <w:r w:rsidR="00CB7E83" w:rsidRPr="00DD066D">
        <w:t xml:space="preserve"> est inférieur à 20</w:t>
      </w:r>
      <w:r w:rsidR="0018444B">
        <w:t> 000 </w:t>
      </w:r>
      <w:r w:rsidR="00CB7E83" w:rsidRPr="00DD066D">
        <w:t>CHF est régie par le point</w:t>
      </w:r>
      <w:r w:rsidR="0018444B">
        <w:t> </w:t>
      </w:r>
      <w:r w:rsidR="00CB7E83" w:rsidRPr="00DD066D">
        <w:t>2.1.1, lettre C, partie</w:t>
      </w:r>
      <w:r w:rsidR="0018444B">
        <w:t> </w:t>
      </w:r>
      <w:r w:rsidR="00CB7E83" w:rsidRPr="00DD066D">
        <w:t>2 de l</w:t>
      </w:r>
      <w:r w:rsidR="001B30ED">
        <w:t>'</w:t>
      </w:r>
      <w:r w:rsidR="0078270C">
        <w:rPr>
          <w:rStyle w:val="bri2"/>
        </w:rPr>
        <w:t>O</w:t>
      </w:r>
      <w:r w:rsidR="00CB7E83" w:rsidRPr="00DD066D">
        <w:rPr>
          <w:rStyle w:val="bri2"/>
        </w:rPr>
        <w:t>rdre de service</w:t>
      </w:r>
      <w:r w:rsidR="0018444B">
        <w:t> </w:t>
      </w:r>
      <w:r w:rsidR="00CB7E83" w:rsidRPr="00DD066D">
        <w:t>14/06.</w:t>
      </w:r>
      <w:r w:rsidR="0078270C">
        <w:t xml:space="preserve"> </w:t>
      </w:r>
      <w:r w:rsidR="00CB7E83" w:rsidRPr="00DD066D">
        <w:t>Selon le point 2.2</w:t>
      </w:r>
      <w:r w:rsidR="0018444B">
        <w:t> </w:t>
      </w:r>
      <w:r w:rsidR="00CB7E83" w:rsidRPr="00DD066D">
        <w:t>b), lettre C, partie 2 de l</w:t>
      </w:r>
      <w:r w:rsidR="001B30ED">
        <w:t>'</w:t>
      </w:r>
      <w:r w:rsidR="0078270C">
        <w:rPr>
          <w:rStyle w:val="bri2"/>
        </w:rPr>
        <w:t>O</w:t>
      </w:r>
      <w:r w:rsidR="00CB7E83" w:rsidRPr="00DD066D">
        <w:rPr>
          <w:rStyle w:val="bri2"/>
        </w:rPr>
        <w:t>rdre de service</w:t>
      </w:r>
      <w:r w:rsidR="00CB7E83" w:rsidRPr="00DD066D">
        <w:t xml:space="preserve"> 14/06, les </w:t>
      </w:r>
      <w:r w:rsidR="00CB7E83" w:rsidRPr="00DD066D">
        <w:rPr>
          <w:rStyle w:val="bri2"/>
        </w:rPr>
        <w:t>marchés dont le montant estimatif des dépenses</w:t>
      </w:r>
      <w:r w:rsidR="00CB7E83" w:rsidRPr="00DD066D">
        <w:t xml:space="preserve"> est égal ou supérieur à 50</w:t>
      </w:r>
      <w:r w:rsidR="0018444B">
        <w:t> 000 </w:t>
      </w:r>
      <w:r w:rsidR="00CB7E83" w:rsidRPr="00DD066D">
        <w:t xml:space="preserve">CHF doivent être présentés à la </w:t>
      </w:r>
      <w:r w:rsidR="00CB7E83" w:rsidRPr="00DD066D">
        <w:rPr>
          <w:rStyle w:val="bri2"/>
        </w:rPr>
        <w:t>Commission des marchés</w:t>
      </w:r>
      <w:r w:rsidR="00CB7E83" w:rsidRPr="00DD066D">
        <w:t xml:space="preserve"> par</w:t>
      </w:r>
      <w:r w:rsidR="0082209A" w:rsidRPr="00DD066D">
        <w:t xml:space="preserve"> le Service des achats, à la suite d</w:t>
      </w:r>
      <w:r w:rsidR="001B30ED">
        <w:t>'</w:t>
      </w:r>
      <w:r w:rsidR="0082209A" w:rsidRPr="00DD066D">
        <w:t>une procédure concurrentielle.</w:t>
      </w:r>
    </w:p>
    <w:p w14:paraId="3FC32017" w14:textId="7D0E2ECE" w:rsidR="00AC22D7" w:rsidRPr="00DD066D" w:rsidRDefault="007A3F9A" w:rsidP="00B53AD7">
      <w:r w:rsidRPr="00DD066D">
        <w:t>91</w:t>
      </w:r>
      <w:r w:rsidRPr="00DD066D">
        <w:tab/>
      </w:r>
      <w:r w:rsidR="00AC22D7" w:rsidRPr="00DD066D">
        <w:t>En outre, selon le point</w:t>
      </w:r>
      <w:r w:rsidR="0018444B">
        <w:t> </w:t>
      </w:r>
      <w:r w:rsidR="00AC22D7" w:rsidRPr="00DD066D">
        <w:t>2.2 e), lettre C, partie 2 de l</w:t>
      </w:r>
      <w:r w:rsidR="001B30ED">
        <w:t>'</w:t>
      </w:r>
      <w:r w:rsidR="0078270C">
        <w:rPr>
          <w:rStyle w:val="bri2"/>
        </w:rPr>
        <w:t>O</w:t>
      </w:r>
      <w:r w:rsidR="00AC22D7" w:rsidRPr="00DD066D">
        <w:rPr>
          <w:rStyle w:val="bri2"/>
        </w:rPr>
        <w:t>rdre de service</w:t>
      </w:r>
      <w:r w:rsidR="0018444B">
        <w:t> </w:t>
      </w:r>
      <w:r w:rsidR="00AC22D7" w:rsidRPr="00DD066D">
        <w:t>14/06, il existe un seui</w:t>
      </w:r>
      <w:r w:rsidR="009B46D6">
        <w:t>l de 50</w:t>
      </w:r>
      <w:r w:rsidR="0018444B">
        <w:t> 000 </w:t>
      </w:r>
      <w:r w:rsidR="009B46D6">
        <w:t>CHF au-delà</w:t>
      </w:r>
      <w:r w:rsidR="00AC22D7" w:rsidRPr="00DD066D">
        <w:t xml:space="preserve"> duquel</w:t>
      </w:r>
      <w:r w:rsidR="001E43EA" w:rsidRPr="001E43EA">
        <w:t xml:space="preserve"> </w:t>
      </w:r>
      <w:r w:rsidR="001E43EA">
        <w:t>tout nouveau marché proposé dans les douze mois qui suivent l</w:t>
      </w:r>
      <w:r w:rsidR="009B46D6">
        <w:t>a conclusion du premier contrat</w:t>
      </w:r>
      <w:r w:rsidR="001E43EA" w:rsidRPr="001E43EA">
        <w:t xml:space="preserve"> </w:t>
      </w:r>
      <w:r w:rsidR="001E43EA" w:rsidRPr="00DD066D">
        <w:t>doit être examiné par la Commission des marchés</w:t>
      </w:r>
      <w:r w:rsidR="001E43EA">
        <w:t>.</w:t>
      </w:r>
    </w:p>
    <w:p w14:paraId="7EB16F2E" w14:textId="77B4AC6D" w:rsidR="003669F7" w:rsidRPr="00DD066D" w:rsidRDefault="007A3F9A" w:rsidP="00B53AD7">
      <w:r w:rsidRPr="00DD066D">
        <w:t>92</w:t>
      </w:r>
      <w:r w:rsidRPr="00DD066D">
        <w:tab/>
      </w:r>
      <w:r w:rsidR="003669F7" w:rsidRPr="00DD066D">
        <w:t xml:space="preserve">Au cours de </w:t>
      </w:r>
      <w:r w:rsidR="00C14778">
        <w:t>la vérification</w:t>
      </w:r>
      <w:r w:rsidR="003669F7" w:rsidRPr="00DD066D">
        <w:t xml:space="preserve">, nous avons remarqué que, dans certains cas, </w:t>
      </w:r>
      <w:r w:rsidR="00C14778">
        <w:t>des</w:t>
      </w:r>
      <w:r w:rsidR="003669F7" w:rsidRPr="00DD066D">
        <w:t xml:space="preserve"> fournisseurs ont reçu plusieurs centaines de bons de commande d</w:t>
      </w:r>
      <w:r w:rsidR="001B30ED">
        <w:t>'</w:t>
      </w:r>
      <w:r w:rsidR="003669F7" w:rsidRPr="00DD066D">
        <w:t>une valeur inférieure à 20</w:t>
      </w:r>
      <w:r w:rsidR="0018444B">
        <w:t> 000 </w:t>
      </w:r>
      <w:r w:rsidR="003669F7" w:rsidRPr="00DD066D">
        <w:t xml:space="preserve">CHF </w:t>
      </w:r>
      <w:r w:rsidR="00C14778">
        <w:t>sur l</w:t>
      </w:r>
      <w:r w:rsidR="003669F7" w:rsidRPr="00DD066D">
        <w:t>e</w:t>
      </w:r>
      <w:r w:rsidR="00C14778">
        <w:t>s</w:t>
      </w:r>
      <w:r w:rsidR="003669F7" w:rsidRPr="00DD066D">
        <w:t xml:space="preserve"> cinq dernières années.</w:t>
      </w:r>
    </w:p>
    <w:p w14:paraId="05F8C287" w14:textId="0498C804" w:rsidR="003669F7" w:rsidRPr="00DD066D" w:rsidRDefault="007A3F9A" w:rsidP="00B53AD7">
      <w:r w:rsidRPr="00DD066D">
        <w:t>93</w:t>
      </w:r>
      <w:r w:rsidRPr="00DD066D">
        <w:tab/>
      </w:r>
      <w:r w:rsidR="003669F7" w:rsidRPr="00DD066D">
        <w:t>Dans au moins un cas, le montant cumulé de ces bons de commande sur une année était même supérieur à 100</w:t>
      </w:r>
      <w:r w:rsidR="0018444B">
        <w:t> 000 </w:t>
      </w:r>
      <w:r w:rsidR="003669F7" w:rsidRPr="00DD066D">
        <w:t>CHF, ce qui signifie qu</w:t>
      </w:r>
      <w:r w:rsidR="00D54310" w:rsidRPr="00DD066D">
        <w:t>e, selon la procédure en vigueur (point</w:t>
      </w:r>
      <w:r w:rsidR="0018444B">
        <w:t> </w:t>
      </w:r>
      <w:r w:rsidR="00C14778">
        <w:t>2.2.2, lett</w:t>
      </w:r>
      <w:r w:rsidR="008F3D3C">
        <w:t>re</w:t>
      </w:r>
      <w:r w:rsidR="00C14778">
        <w:t xml:space="preserve"> C, partie</w:t>
      </w:r>
      <w:r w:rsidR="0018444B">
        <w:t> </w:t>
      </w:r>
      <w:r w:rsidR="00C14778">
        <w:t>2 de l</w:t>
      </w:r>
      <w:r w:rsidR="001B30ED">
        <w:t>'</w:t>
      </w:r>
      <w:r w:rsidR="00C14778">
        <w:t>O</w:t>
      </w:r>
      <w:r w:rsidR="00D54310" w:rsidRPr="00DD066D">
        <w:t>rdre de service</w:t>
      </w:r>
      <w:r w:rsidR="0018444B">
        <w:t> </w:t>
      </w:r>
      <w:r w:rsidR="00D54310" w:rsidRPr="00DD066D">
        <w:t xml:space="preserve">14/06), </w:t>
      </w:r>
      <w:r w:rsidR="0018444B">
        <w:t>"</w:t>
      </w:r>
      <w:r w:rsidR="00D54310" w:rsidRPr="00DD066D">
        <w:t xml:space="preserve">un appel à la concurrence ouvert </w:t>
      </w:r>
      <w:r w:rsidR="00617FC3" w:rsidRPr="00DD066D">
        <w:t>à la concurrence internationale</w:t>
      </w:r>
      <w:r w:rsidR="0018444B">
        <w:t>"</w:t>
      </w:r>
      <w:r w:rsidR="00617FC3" w:rsidRPr="00DD066D">
        <w:t xml:space="preserve"> devrait avoir été lancé et une recommandation devrait avoir été obtenue de la Commission des marchés.</w:t>
      </w:r>
    </w:p>
    <w:p w14:paraId="47435B2D" w14:textId="46B6E648" w:rsidR="0043573F" w:rsidRPr="00DD066D" w:rsidRDefault="007A3F9A" w:rsidP="000202B4">
      <w:pPr>
        <w:spacing w:after="120"/>
      </w:pPr>
      <w:r w:rsidRPr="00DD066D">
        <w:t>94</w:t>
      </w:r>
      <w:r w:rsidRPr="00DD066D">
        <w:tab/>
      </w:r>
      <w:r w:rsidR="0043573F" w:rsidRPr="00DD066D">
        <w:t>Ainsi, les règles et les procédures de l</w:t>
      </w:r>
      <w:r w:rsidR="001B30ED">
        <w:t>'</w:t>
      </w:r>
      <w:r w:rsidR="0043573F" w:rsidRPr="00DD066D">
        <w:t xml:space="preserve">UIT relatives aux achats qui sont en vigueur </w:t>
      </w:r>
      <w:r w:rsidR="00210C9B">
        <w:t>ne son</w:t>
      </w:r>
      <w:r w:rsidR="0043573F" w:rsidRPr="00DD066D">
        <w:t xml:space="preserve">t pas correctement appliquées ou </w:t>
      </w:r>
      <w:r w:rsidR="00210C9B">
        <w:t>s</w:t>
      </w:r>
      <w:r w:rsidR="0043573F" w:rsidRPr="00DD066D">
        <w:t xml:space="preserve">ont contournées, </w:t>
      </w:r>
      <w:r w:rsidR="000202B4">
        <w:t>le</w:t>
      </w:r>
      <w:r w:rsidR="0043573F" w:rsidRPr="00DD066D">
        <w:t xml:space="preserve"> risque </w:t>
      </w:r>
      <w:r w:rsidR="000202B4">
        <w:t xml:space="preserve">étant </w:t>
      </w:r>
      <w:r w:rsidR="0043573F" w:rsidRPr="00DD066D">
        <w:t>que les unités ou</w:t>
      </w:r>
      <w:r w:rsidR="00210C9B">
        <w:t xml:space="preserve"> les</w:t>
      </w:r>
      <w:r w:rsidR="0043573F" w:rsidRPr="00DD066D">
        <w:t xml:space="preserve"> bureaux divisent les bons de commande ou les marchés, ainsi que les montants</w:t>
      </w:r>
      <w:r w:rsidR="00210C9B">
        <w:t xml:space="preserve"> financiers</w:t>
      </w:r>
      <w:r w:rsidR="0043573F" w:rsidRPr="00DD066D">
        <w:t xml:space="preserve"> </w:t>
      </w:r>
      <w:r w:rsidR="00210C9B">
        <w:t>concernés</w:t>
      </w:r>
      <w:r w:rsidR="0043573F" w:rsidRPr="00DD066D">
        <w:t xml:space="preserve">, pour éviter </w:t>
      </w:r>
      <w:r w:rsidR="00210C9B">
        <w:t>d</w:t>
      </w:r>
      <w:r w:rsidR="001B30ED">
        <w:t>'</w:t>
      </w:r>
      <w:r w:rsidR="00210C9B">
        <w:t xml:space="preserve">appliquer </w:t>
      </w:r>
      <w:r w:rsidR="00DC65F3">
        <w:t>correctement</w:t>
      </w:r>
      <w:r w:rsidR="00210C9B">
        <w:t xml:space="preserve"> les règles et l</w:t>
      </w:r>
      <w:r w:rsidR="0043573F" w:rsidRPr="00DD066D">
        <w:t xml:space="preserve">es procédures relatives aux </w:t>
      </w:r>
      <w:r w:rsidR="00210C9B">
        <w:t>achats</w:t>
      </w:r>
      <w:r w:rsidR="0043573F" w:rsidRPr="00DD066D">
        <w:t>.</w:t>
      </w:r>
    </w:p>
    <w:tbl>
      <w:tblPr>
        <w:tblStyle w:val="TableGrid"/>
        <w:tblW w:w="0" w:type="auto"/>
        <w:tblLook w:val="04A0" w:firstRow="1" w:lastRow="0" w:firstColumn="1" w:lastColumn="0" w:noHBand="0" w:noVBand="1"/>
      </w:tblPr>
      <w:tblGrid>
        <w:gridCol w:w="9629"/>
      </w:tblGrid>
      <w:tr w:rsidR="007A3F9A" w:rsidRPr="00DD066D" w14:paraId="3DD58A54" w14:textId="77777777" w:rsidTr="004B5BA3">
        <w:tc>
          <w:tcPr>
            <w:tcW w:w="9629" w:type="dxa"/>
          </w:tcPr>
          <w:p w14:paraId="65D7A427" w14:textId="047D997A" w:rsidR="007A3F9A" w:rsidRPr="00DD066D" w:rsidRDefault="007A3F9A" w:rsidP="00B53AD7">
            <w:pPr>
              <w:spacing w:after="120"/>
              <w:rPr>
                <w:b/>
                <w:bCs/>
                <w:i/>
                <w:iCs/>
              </w:rPr>
            </w:pPr>
            <w:r w:rsidRPr="00DD066D">
              <w:rPr>
                <w:b/>
                <w:bCs/>
                <w:i/>
                <w:iCs/>
              </w:rPr>
              <w:t>Recommandation N°</w:t>
            </w:r>
            <w:r w:rsidR="0018444B">
              <w:rPr>
                <w:b/>
                <w:bCs/>
                <w:i/>
                <w:iCs/>
              </w:rPr>
              <w:t> </w:t>
            </w:r>
            <w:r w:rsidRPr="00DD066D">
              <w:rPr>
                <w:b/>
                <w:bCs/>
                <w:i/>
                <w:iCs/>
              </w:rPr>
              <w:t>5</w:t>
            </w:r>
          </w:p>
          <w:p w14:paraId="1CC14735" w14:textId="692B344D" w:rsidR="00CA6C81" w:rsidRPr="00DD066D" w:rsidRDefault="007A3F9A" w:rsidP="00B53AD7">
            <w:pPr>
              <w:spacing w:after="120"/>
            </w:pPr>
            <w:r w:rsidRPr="00DD066D">
              <w:t>95</w:t>
            </w:r>
            <w:r w:rsidRPr="00DD066D">
              <w:tab/>
            </w:r>
            <w:r w:rsidR="00CA6C81" w:rsidRPr="002F3330">
              <w:rPr>
                <w:u w:val="single"/>
              </w:rPr>
              <w:t>Nous recommandons</w:t>
            </w:r>
            <w:r w:rsidR="00CA6C81" w:rsidRPr="00DD066D">
              <w:t xml:space="preserve"> à la direction d</w:t>
            </w:r>
            <w:r w:rsidR="001B30ED">
              <w:t>'</w:t>
            </w:r>
            <w:r w:rsidR="00CA6C81" w:rsidRPr="00DD066D">
              <w:t xml:space="preserve">améliorer les vérifications relatives aux bons de commande et aux marchés accordés </w:t>
            </w:r>
            <w:r w:rsidR="00BA2C8E" w:rsidRPr="00DD066D">
              <w:t>à plusieurs reprises au même fournisseur, afin de réduire le risque que les règles et les proc</w:t>
            </w:r>
            <w:r w:rsidR="008F3D3C">
              <w:t>é</w:t>
            </w:r>
            <w:r w:rsidR="00BA2C8E" w:rsidRPr="00DD066D">
              <w:t>dures de l</w:t>
            </w:r>
            <w:r w:rsidR="001B30ED">
              <w:t>'</w:t>
            </w:r>
            <w:r w:rsidR="00BA2C8E" w:rsidRPr="00DD066D">
              <w:t>UIT relatives aux achats soient contournées ou incorrectement appliquées.</w:t>
            </w:r>
          </w:p>
        </w:tc>
      </w:tr>
    </w:tbl>
    <w:p w14:paraId="44289CB2" w14:textId="77777777" w:rsidR="007A3F9A" w:rsidRPr="00DD066D" w:rsidRDefault="007A3F9A" w:rsidP="00B53AD7">
      <w:pPr>
        <w:spacing w:after="120"/>
      </w:pPr>
    </w:p>
    <w:tbl>
      <w:tblPr>
        <w:tblStyle w:val="TableGrid"/>
        <w:tblW w:w="0" w:type="auto"/>
        <w:tblLook w:val="04A0" w:firstRow="1" w:lastRow="0" w:firstColumn="1" w:lastColumn="0" w:noHBand="0" w:noVBand="1"/>
      </w:tblPr>
      <w:tblGrid>
        <w:gridCol w:w="9629"/>
      </w:tblGrid>
      <w:tr w:rsidR="007A3F9A" w:rsidRPr="00DD066D" w14:paraId="09736B5D" w14:textId="77777777" w:rsidTr="004B5BA3">
        <w:tc>
          <w:tcPr>
            <w:tcW w:w="9629" w:type="dxa"/>
          </w:tcPr>
          <w:p w14:paraId="65102CE2" w14:textId="77777777" w:rsidR="007A3F9A" w:rsidRPr="000202B4" w:rsidRDefault="007A3F9A"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3896BA3C" w14:textId="16EE5E60" w:rsidR="00BA2C8E" w:rsidRPr="00DD066D" w:rsidRDefault="00DC65F3" w:rsidP="00B53AD7">
            <w:pPr>
              <w:spacing w:after="120"/>
            </w:pPr>
            <w:r>
              <w:t>L</w:t>
            </w:r>
            <w:r w:rsidR="001B30ED">
              <w:t>'</w:t>
            </w:r>
            <w:r>
              <w:t>UIT est également d</w:t>
            </w:r>
            <w:r w:rsidR="001B30ED">
              <w:t>'</w:t>
            </w:r>
            <w:r>
              <w:t>avis</w:t>
            </w:r>
            <w:r w:rsidR="00BA2C8E" w:rsidRPr="00DD066D">
              <w:t xml:space="preserve"> que des contrôles doivent être introduits pour réduire le risque que les règles et les proc</w:t>
            </w:r>
            <w:r w:rsidR="008F3D3C">
              <w:t>é</w:t>
            </w:r>
            <w:r w:rsidR="00BA2C8E" w:rsidRPr="00DD066D">
              <w:t>dures de l</w:t>
            </w:r>
            <w:r w:rsidR="001B30ED">
              <w:t>'</w:t>
            </w:r>
            <w:r w:rsidR="00BA2C8E" w:rsidRPr="00DD066D">
              <w:t>UIT relatives aux achats soient contournées.</w:t>
            </w:r>
          </w:p>
        </w:tc>
      </w:tr>
    </w:tbl>
    <w:p w14:paraId="6598F04A" w14:textId="152B0E3F" w:rsidR="00BA2C8E" w:rsidRPr="000202B4" w:rsidRDefault="00BA2C8E" w:rsidP="000202B4">
      <w:pPr>
        <w:pStyle w:val="Headingb"/>
        <w:ind w:left="0" w:firstLine="0"/>
        <w:rPr>
          <w:i/>
          <w:iCs/>
        </w:rPr>
      </w:pPr>
      <w:bookmarkStart w:id="394" w:name="_Toc522685328"/>
      <w:r w:rsidRPr="000202B4">
        <w:rPr>
          <w:i/>
          <w:iCs/>
        </w:rPr>
        <w:t>Sur</w:t>
      </w:r>
      <w:r w:rsidR="0073660D" w:rsidRPr="000202B4">
        <w:rPr>
          <w:i/>
          <w:iCs/>
        </w:rPr>
        <w:t xml:space="preserve">veillance des bons de commande ou des </w:t>
      </w:r>
      <w:r w:rsidRPr="000202B4">
        <w:rPr>
          <w:i/>
          <w:iCs/>
        </w:rPr>
        <w:t>marchés attribués en cas de dérogation à la mise en concurrence</w:t>
      </w:r>
      <w:bookmarkEnd w:id="394"/>
    </w:p>
    <w:p w14:paraId="1396F4DE" w14:textId="16EE63F1" w:rsidR="00BA2C8E" w:rsidRDefault="007A3F9A" w:rsidP="000202B4">
      <w:pPr>
        <w:spacing w:after="120"/>
      </w:pPr>
      <w:r w:rsidRPr="00DD066D">
        <w:t>96</w:t>
      </w:r>
      <w:r w:rsidRPr="00DD066D">
        <w:tab/>
      </w:r>
      <w:r w:rsidR="00BA2C8E" w:rsidRPr="00DD066D">
        <w:t xml:space="preserve">Dans le cadre </w:t>
      </w:r>
      <w:r w:rsidR="0073660D">
        <w:t>de la vérification, nous avons constaté qu</w:t>
      </w:r>
      <w:r w:rsidR="001B30ED">
        <w:t>'</w:t>
      </w:r>
      <w:r w:rsidR="0073660D">
        <w:t>actuellement</w:t>
      </w:r>
      <w:r w:rsidR="00BA2C8E" w:rsidRPr="00DD066D">
        <w:t xml:space="preserve"> le Service des achats ne surveille pas (ni manuellement ni automa</w:t>
      </w:r>
      <w:r w:rsidR="0073660D">
        <w:t>tiqu</w:t>
      </w:r>
      <w:r w:rsidR="00B53AD7">
        <w:t>ement) les bons de commande ou l</w:t>
      </w:r>
      <w:r w:rsidR="0073660D">
        <w:t xml:space="preserve">es </w:t>
      </w:r>
      <w:r w:rsidR="00BA2C8E" w:rsidRPr="00DD066D">
        <w:t>marchés (nombre et montant cumulé associé) attribués en cas de dérogation à la mise en concurrence.</w:t>
      </w:r>
    </w:p>
    <w:tbl>
      <w:tblPr>
        <w:tblStyle w:val="TableGrid"/>
        <w:tblW w:w="0" w:type="auto"/>
        <w:tblLook w:val="04A0" w:firstRow="1" w:lastRow="0" w:firstColumn="1" w:lastColumn="0" w:noHBand="0" w:noVBand="1"/>
      </w:tblPr>
      <w:tblGrid>
        <w:gridCol w:w="9629"/>
      </w:tblGrid>
      <w:tr w:rsidR="007A3F9A" w:rsidRPr="00DD066D" w14:paraId="0FC277C2" w14:textId="77777777" w:rsidTr="004B5BA3">
        <w:tc>
          <w:tcPr>
            <w:tcW w:w="9629" w:type="dxa"/>
          </w:tcPr>
          <w:p w14:paraId="3129D873" w14:textId="78A2185C" w:rsidR="007A3F9A" w:rsidRPr="00DD066D" w:rsidRDefault="007A3F9A" w:rsidP="00B53AD7">
            <w:pPr>
              <w:spacing w:after="120"/>
              <w:rPr>
                <w:b/>
                <w:bCs/>
                <w:i/>
                <w:iCs/>
              </w:rPr>
            </w:pPr>
            <w:r w:rsidRPr="00DD066D">
              <w:rPr>
                <w:b/>
                <w:bCs/>
                <w:i/>
                <w:iCs/>
              </w:rPr>
              <w:t>Recommandation N°</w:t>
            </w:r>
            <w:r w:rsidR="0018444B">
              <w:rPr>
                <w:b/>
                <w:bCs/>
                <w:i/>
                <w:iCs/>
              </w:rPr>
              <w:t> </w:t>
            </w:r>
            <w:r w:rsidRPr="00DD066D">
              <w:rPr>
                <w:b/>
                <w:bCs/>
                <w:i/>
                <w:iCs/>
              </w:rPr>
              <w:t>6</w:t>
            </w:r>
          </w:p>
          <w:p w14:paraId="2D617B43" w14:textId="329F17BD" w:rsidR="00BA2C8E" w:rsidRPr="00DD066D" w:rsidRDefault="007A3F9A" w:rsidP="008C792C">
            <w:pPr>
              <w:spacing w:after="120"/>
            </w:pPr>
            <w:r w:rsidRPr="00DD066D">
              <w:t>97</w:t>
            </w:r>
            <w:r w:rsidRPr="00DD066D">
              <w:tab/>
            </w:r>
            <w:r w:rsidR="00BA2C8E" w:rsidRPr="0073660D">
              <w:rPr>
                <w:u w:val="single"/>
              </w:rPr>
              <w:t>Nous recommandons</w:t>
            </w:r>
            <w:r w:rsidR="00BA2C8E" w:rsidRPr="00DD066D">
              <w:t xml:space="preserve"> à la direction </w:t>
            </w:r>
            <w:r w:rsidR="008C792C">
              <w:t xml:space="preserve">de mettre à jour le logiciel </w:t>
            </w:r>
            <w:r w:rsidR="00BA2C8E" w:rsidRPr="00DD066D">
              <w:t>de l</w:t>
            </w:r>
            <w:r w:rsidR="001B30ED">
              <w:t>'</w:t>
            </w:r>
            <w:r w:rsidR="00BA2C8E" w:rsidRPr="00DD066D">
              <w:t>UIT pour permettre la su</w:t>
            </w:r>
            <w:r w:rsidR="0073660D">
              <w:t xml:space="preserve">rveillance des bons de commande </w:t>
            </w:r>
            <w:r w:rsidR="008C792C">
              <w:t>et</w:t>
            </w:r>
            <w:r w:rsidR="0073660D">
              <w:t xml:space="preserve"> des </w:t>
            </w:r>
            <w:r w:rsidR="00BA2C8E" w:rsidRPr="00DD066D">
              <w:t>marchés exécutés en cas de dérogation à la mise en concurrence.</w:t>
            </w:r>
          </w:p>
        </w:tc>
      </w:tr>
    </w:tbl>
    <w:p w14:paraId="32790CB8" w14:textId="77777777" w:rsidR="007A3F9A" w:rsidRPr="00DD066D" w:rsidRDefault="007A3F9A" w:rsidP="00B53AD7">
      <w:pPr>
        <w:spacing w:after="120"/>
      </w:pPr>
    </w:p>
    <w:tbl>
      <w:tblPr>
        <w:tblStyle w:val="TableGrid"/>
        <w:tblW w:w="0" w:type="auto"/>
        <w:tblLook w:val="04A0" w:firstRow="1" w:lastRow="0" w:firstColumn="1" w:lastColumn="0" w:noHBand="0" w:noVBand="1"/>
      </w:tblPr>
      <w:tblGrid>
        <w:gridCol w:w="9629"/>
      </w:tblGrid>
      <w:tr w:rsidR="007A3F9A" w:rsidRPr="00DD066D" w14:paraId="1A321034" w14:textId="77777777" w:rsidTr="004B5BA3">
        <w:tc>
          <w:tcPr>
            <w:tcW w:w="9629" w:type="dxa"/>
          </w:tcPr>
          <w:p w14:paraId="68E9AE02" w14:textId="77777777" w:rsidR="007A3F9A" w:rsidRPr="000202B4" w:rsidRDefault="007A3F9A"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67C56149" w14:textId="60712170" w:rsidR="000060BE" w:rsidRPr="00DD066D" w:rsidRDefault="000060BE" w:rsidP="00B53AD7">
            <w:pPr>
              <w:spacing w:after="120"/>
            </w:pPr>
            <w:r w:rsidRPr="00DD066D">
              <w:t>L</w:t>
            </w:r>
            <w:r w:rsidR="001B30ED">
              <w:t>'</w:t>
            </w:r>
            <w:r w:rsidRPr="00DD066D">
              <w:t>UIT est d</w:t>
            </w:r>
            <w:r w:rsidR="001B30ED">
              <w:t>'</w:t>
            </w:r>
            <w:r w:rsidRPr="00DD066D">
              <w:t xml:space="preserve">accord que, </w:t>
            </w:r>
            <w:r w:rsidR="0073660D">
              <w:t>dans la mesure des possibilités techniques</w:t>
            </w:r>
            <w:r w:rsidRPr="00DD066D">
              <w:t>, le mode d</w:t>
            </w:r>
            <w:r w:rsidR="001B30ED">
              <w:t>'</w:t>
            </w:r>
            <w:r w:rsidRPr="00DD066D">
              <w:t>attribution (dérogation ou concurrence) devrait être enregistré dans le système SRM.</w:t>
            </w:r>
          </w:p>
        </w:tc>
      </w:tr>
    </w:tbl>
    <w:p w14:paraId="0DA456D6" w14:textId="6F536442" w:rsidR="007A3F9A" w:rsidRPr="00472972" w:rsidRDefault="006534D4" w:rsidP="008C792C">
      <w:pPr>
        <w:pStyle w:val="Headingb"/>
        <w:rPr>
          <w:i/>
          <w:iCs/>
        </w:rPr>
      </w:pPr>
      <w:bookmarkStart w:id="395" w:name="_Toc482176249"/>
      <w:bookmarkStart w:id="396" w:name="_Toc482958338"/>
      <w:bookmarkStart w:id="397" w:name="_Toc522685329"/>
      <w:r w:rsidRPr="00472972">
        <w:rPr>
          <w:i/>
          <w:iCs/>
        </w:rPr>
        <w:t>Améliorer la transparence du processus de passation des marchés</w:t>
      </w:r>
      <w:bookmarkEnd w:id="395"/>
      <w:bookmarkEnd w:id="396"/>
      <w:r w:rsidR="000060BE" w:rsidRPr="00472972">
        <w:rPr>
          <w:i/>
          <w:iCs/>
        </w:rPr>
        <w:t xml:space="preserve"> </w:t>
      </w:r>
      <w:r w:rsidR="008C792C" w:rsidRPr="00472972">
        <w:rPr>
          <w:i/>
          <w:iCs/>
        </w:rPr>
        <w:t>de</w:t>
      </w:r>
      <w:r w:rsidR="000060BE" w:rsidRPr="00472972">
        <w:rPr>
          <w:i/>
          <w:iCs/>
        </w:rPr>
        <w:t xml:space="preserve"> faible valeur</w:t>
      </w:r>
      <w:bookmarkEnd w:id="397"/>
    </w:p>
    <w:p w14:paraId="24BD67A9" w14:textId="42B8C367" w:rsidR="000060BE" w:rsidRPr="00DD066D" w:rsidRDefault="006534D4" w:rsidP="00B53AD7">
      <w:r w:rsidRPr="00DD066D">
        <w:t>98</w:t>
      </w:r>
      <w:r w:rsidRPr="00DD066D">
        <w:tab/>
        <w:t>Lors de notre vérifi</w:t>
      </w:r>
      <w:r w:rsidR="0073660D">
        <w:t>cation, nous avons constaté q</w:t>
      </w:r>
      <w:r w:rsidR="000060BE" w:rsidRPr="00DD066D">
        <w:t>u</w:t>
      </w:r>
      <w:r w:rsidR="001B30ED">
        <w:t>'</w:t>
      </w:r>
      <w:r w:rsidR="000060BE" w:rsidRPr="00DD066D">
        <w:t>il n</w:t>
      </w:r>
      <w:r w:rsidR="001B30ED">
        <w:t>'</w:t>
      </w:r>
      <w:r w:rsidR="000060BE" w:rsidRPr="00DD066D">
        <w:t>existait pas de lignes directrices couvrant tous les aspects du processus de passation de marchés d</w:t>
      </w:r>
      <w:r w:rsidR="001B30ED">
        <w:t>'</w:t>
      </w:r>
      <w:r w:rsidR="00A55BE4">
        <w:t>une valeur inférieure à </w:t>
      </w:r>
      <w:r w:rsidR="000060BE" w:rsidRPr="00DD066D">
        <w:t>20</w:t>
      </w:r>
      <w:r w:rsidR="0018444B">
        <w:t> 000 </w:t>
      </w:r>
      <w:r w:rsidR="000060BE" w:rsidRPr="00DD066D">
        <w:t>CHF.</w:t>
      </w:r>
    </w:p>
    <w:p w14:paraId="37DDD01A" w14:textId="2D35B203" w:rsidR="000060BE" w:rsidRDefault="006534D4" w:rsidP="00472972">
      <w:pPr>
        <w:spacing w:after="120"/>
      </w:pPr>
      <w:r w:rsidRPr="00DD066D">
        <w:t>99</w:t>
      </w:r>
      <w:r w:rsidRPr="00DD066D">
        <w:tab/>
      </w:r>
      <w:r w:rsidR="000060BE" w:rsidRPr="00DD066D">
        <w:t>Dans certains cas, nous</w:t>
      </w:r>
      <w:r w:rsidR="00BB3B5A" w:rsidRPr="00DD066D">
        <w:t xml:space="preserve"> avons aussi constaté qu</w:t>
      </w:r>
      <w:r w:rsidR="001B30ED">
        <w:t>'</w:t>
      </w:r>
      <w:r w:rsidR="000060BE" w:rsidRPr="00DD066D">
        <w:t xml:space="preserve">un </w:t>
      </w:r>
      <w:r w:rsidR="00BB3B5A" w:rsidRPr="00DD066D">
        <w:t xml:space="preserve">seul </w:t>
      </w:r>
      <w:r w:rsidR="000060BE" w:rsidRPr="00DD066D">
        <w:t>fournisseur avait été invit</w:t>
      </w:r>
      <w:r w:rsidR="00BB3B5A" w:rsidRPr="00DD066D">
        <w:t>é</w:t>
      </w:r>
      <w:r w:rsidR="00463F03">
        <w:t xml:space="preserve"> à</w:t>
      </w:r>
      <w:r w:rsidR="00BB3B5A" w:rsidRPr="00DD066D">
        <w:t xml:space="preserve"> </w:t>
      </w:r>
      <w:r w:rsidR="00A9115B">
        <w:t>présenter</w:t>
      </w:r>
      <w:r w:rsidR="00BB3B5A" w:rsidRPr="00DD066D">
        <w:t xml:space="preserve"> une offre et qu</w:t>
      </w:r>
      <w:r w:rsidR="001B30ED">
        <w:t>'</w:t>
      </w:r>
      <w:r w:rsidR="00BB3B5A" w:rsidRPr="00DD066D">
        <w:t>il n</w:t>
      </w:r>
      <w:r w:rsidR="001B30ED">
        <w:t>'</w:t>
      </w:r>
      <w:r w:rsidR="00BB3B5A" w:rsidRPr="00DD066D">
        <w:t>existait aucune trace des étapes suivies par le personn</w:t>
      </w:r>
      <w:r w:rsidR="00B53AD7">
        <w:t>el de l</w:t>
      </w:r>
      <w:r w:rsidR="001B30ED">
        <w:t>'</w:t>
      </w:r>
      <w:r w:rsidR="00B53AD7">
        <w:t>UIT pour sélectionner le meilleur</w:t>
      </w:r>
      <w:r w:rsidR="00BB3B5A" w:rsidRPr="00DD066D">
        <w:t xml:space="preserve"> </w:t>
      </w:r>
      <w:r w:rsidR="00B53AD7">
        <w:t>devis</w:t>
      </w:r>
      <w:r w:rsidR="00BB3B5A" w:rsidRPr="00DD066D">
        <w:t>.</w:t>
      </w:r>
    </w:p>
    <w:tbl>
      <w:tblPr>
        <w:tblStyle w:val="TableGrid"/>
        <w:tblW w:w="0" w:type="auto"/>
        <w:tblLook w:val="04A0" w:firstRow="1" w:lastRow="0" w:firstColumn="1" w:lastColumn="0" w:noHBand="0" w:noVBand="1"/>
      </w:tblPr>
      <w:tblGrid>
        <w:gridCol w:w="9629"/>
      </w:tblGrid>
      <w:tr w:rsidR="006534D4" w:rsidRPr="00DD066D" w14:paraId="1B99E664" w14:textId="77777777" w:rsidTr="004B5BA3">
        <w:tc>
          <w:tcPr>
            <w:tcW w:w="9629" w:type="dxa"/>
          </w:tcPr>
          <w:p w14:paraId="6BC59A7F" w14:textId="273D549B" w:rsidR="006534D4" w:rsidRPr="00DD066D" w:rsidRDefault="006534D4" w:rsidP="00B53AD7">
            <w:pPr>
              <w:spacing w:after="120"/>
              <w:rPr>
                <w:b/>
                <w:bCs/>
                <w:i/>
                <w:iCs/>
              </w:rPr>
            </w:pPr>
            <w:r w:rsidRPr="00DD066D">
              <w:rPr>
                <w:b/>
                <w:bCs/>
                <w:i/>
                <w:iCs/>
              </w:rPr>
              <w:t>Recommandation N°</w:t>
            </w:r>
            <w:r w:rsidR="0018444B">
              <w:rPr>
                <w:b/>
                <w:bCs/>
                <w:i/>
                <w:iCs/>
              </w:rPr>
              <w:t> </w:t>
            </w:r>
            <w:r w:rsidR="00472972">
              <w:rPr>
                <w:b/>
                <w:bCs/>
                <w:i/>
                <w:iCs/>
              </w:rPr>
              <w:t>7</w:t>
            </w:r>
          </w:p>
          <w:p w14:paraId="16C4EBE1" w14:textId="14A83E49" w:rsidR="002C2F3A" w:rsidRPr="00DD066D" w:rsidRDefault="006534D4" w:rsidP="00B53AD7">
            <w:pPr>
              <w:spacing w:after="120"/>
            </w:pPr>
            <w:r w:rsidRPr="00DD066D">
              <w:t>100</w:t>
            </w:r>
            <w:r w:rsidRPr="00DD066D">
              <w:tab/>
            </w:r>
            <w:r w:rsidR="002C2F3A" w:rsidRPr="00204D93">
              <w:rPr>
                <w:u w:val="single"/>
              </w:rPr>
              <w:t>Nous recommandons</w:t>
            </w:r>
            <w:r w:rsidR="002C2F3A" w:rsidRPr="00DD066D">
              <w:t xml:space="preserve"> au Service des achats d</w:t>
            </w:r>
            <w:r w:rsidR="001B30ED">
              <w:t>'</w:t>
            </w:r>
            <w:r w:rsidR="002C2F3A" w:rsidRPr="00DD066D">
              <w:t>établir des lignes directrices couvrant tous les aspects du processus de passation de marchés d</w:t>
            </w:r>
            <w:r w:rsidR="001B30ED">
              <w:t>'</w:t>
            </w:r>
            <w:r w:rsidR="002C2F3A" w:rsidRPr="00DD066D">
              <w:t>une valeur inférieure à 20</w:t>
            </w:r>
            <w:r w:rsidR="0018444B">
              <w:t> 000 </w:t>
            </w:r>
            <w:r w:rsidR="002C2F3A" w:rsidRPr="00DD066D">
              <w:t>CHF et de les communiquer au personnel concerné. Par exemple, les lignes dir</w:t>
            </w:r>
            <w:r w:rsidR="00472972">
              <w:t>ectrices devraient indiquer: 1) </w:t>
            </w:r>
            <w:r w:rsidR="002C2F3A" w:rsidRPr="00DD066D">
              <w:t xml:space="preserve">quels sont les éléments minimums que doivent contenir les </w:t>
            </w:r>
            <w:r w:rsidR="00204D93">
              <w:t>demandes</w:t>
            </w:r>
            <w:r w:rsidR="002C2F3A" w:rsidRPr="00DD066D">
              <w:t>; 2) comment identifier les fournisseurs potentiels; 3) qu</w:t>
            </w:r>
            <w:r w:rsidR="001B30ED">
              <w:t>'</w:t>
            </w:r>
            <w:r w:rsidR="002C2F3A" w:rsidRPr="00DD066D">
              <w:t>un appel d</w:t>
            </w:r>
            <w:r w:rsidR="001B30ED">
              <w:t>'</w:t>
            </w:r>
            <w:r w:rsidR="002C2F3A" w:rsidRPr="00DD066D">
              <w:t xml:space="preserve">offres doit être lancé et un nombre </w:t>
            </w:r>
            <w:r w:rsidR="00990A6D" w:rsidRPr="00DD066D">
              <w:t>de soumissions</w:t>
            </w:r>
            <w:r w:rsidR="002C2F3A" w:rsidRPr="00DD066D">
              <w:t xml:space="preserve"> minimum doit être obtenu, sauf </w:t>
            </w:r>
            <w:r w:rsidR="0075586D">
              <w:t>justification appropriée présentée</w:t>
            </w:r>
            <w:r w:rsidR="002C2F3A" w:rsidRPr="00DD066D">
              <w:t xml:space="preserve"> par le client/requérant et auparavant approuvé</w:t>
            </w:r>
            <w:r w:rsidR="008F3D3C">
              <w:t>e</w:t>
            </w:r>
            <w:r w:rsidR="002C2F3A" w:rsidRPr="00DD066D">
              <w:t xml:space="preserve"> par le Service des achats; 4) comment doit se dérouler l</w:t>
            </w:r>
            <w:r w:rsidR="001B30ED">
              <w:t>'</w:t>
            </w:r>
            <w:r w:rsidR="002C2F3A" w:rsidRPr="00DD066D">
              <w:t xml:space="preserve">évaluation des </w:t>
            </w:r>
            <w:r w:rsidR="00990A6D" w:rsidRPr="00DD066D">
              <w:t>soumissions; et 5) comment doit ê</w:t>
            </w:r>
            <w:r w:rsidR="0075586D">
              <w:t xml:space="preserve">tre attribué le bon de commande ou le </w:t>
            </w:r>
            <w:r w:rsidR="00990A6D" w:rsidRPr="00DD066D">
              <w:t>marché.</w:t>
            </w:r>
          </w:p>
        </w:tc>
      </w:tr>
    </w:tbl>
    <w:p w14:paraId="7A284106" w14:textId="77777777" w:rsidR="006534D4" w:rsidRPr="00DD066D" w:rsidRDefault="006534D4" w:rsidP="00B53AD7">
      <w:pPr>
        <w:spacing w:after="120"/>
      </w:pPr>
    </w:p>
    <w:tbl>
      <w:tblPr>
        <w:tblStyle w:val="TableGrid"/>
        <w:tblW w:w="0" w:type="auto"/>
        <w:tblLook w:val="04A0" w:firstRow="1" w:lastRow="0" w:firstColumn="1" w:lastColumn="0" w:noHBand="0" w:noVBand="1"/>
      </w:tblPr>
      <w:tblGrid>
        <w:gridCol w:w="9629"/>
      </w:tblGrid>
      <w:tr w:rsidR="006534D4" w:rsidRPr="00DD066D" w14:paraId="4FDDB94A" w14:textId="77777777" w:rsidTr="004B5BA3">
        <w:tc>
          <w:tcPr>
            <w:tcW w:w="9629" w:type="dxa"/>
          </w:tcPr>
          <w:p w14:paraId="755373F2" w14:textId="77777777" w:rsidR="006534D4" w:rsidRPr="000202B4" w:rsidRDefault="006534D4"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1D93F2FE" w14:textId="6C8D19D6" w:rsidR="005622BF" w:rsidRPr="00DD066D" w:rsidRDefault="005622BF" w:rsidP="008C792C">
            <w:pPr>
              <w:spacing w:after="120"/>
            </w:pPr>
            <w:r w:rsidRPr="00DD066D">
              <w:t>L</w:t>
            </w:r>
            <w:r w:rsidR="001B30ED">
              <w:t>'</w:t>
            </w:r>
            <w:r w:rsidRPr="00DD066D">
              <w:t xml:space="preserve">UIT </w:t>
            </w:r>
            <w:r w:rsidR="008C792C">
              <w:t>est d'accord</w:t>
            </w:r>
            <w:r w:rsidRPr="00DD066D">
              <w:t xml:space="preserve"> qu</w:t>
            </w:r>
            <w:r w:rsidR="001B30ED">
              <w:t>'</w:t>
            </w:r>
            <w:r w:rsidRPr="00DD066D">
              <w:t>une politique devrait être mise en place pour couvrir tous les aspects de la passation de marchés d</w:t>
            </w:r>
            <w:r w:rsidR="001B30ED">
              <w:t>'</w:t>
            </w:r>
            <w:r w:rsidRPr="00DD066D">
              <w:t>une valeur inférieure à 20</w:t>
            </w:r>
            <w:r w:rsidR="0018444B">
              <w:t> 000 </w:t>
            </w:r>
            <w:r w:rsidRPr="00DD066D">
              <w:t>CHF. L</w:t>
            </w:r>
            <w:r w:rsidR="001B30ED">
              <w:t>'</w:t>
            </w:r>
            <w:r w:rsidRPr="00DD066D">
              <w:t>UIT est d</w:t>
            </w:r>
            <w:r w:rsidR="001B30ED">
              <w:t>'</w:t>
            </w:r>
            <w:r w:rsidRPr="00DD066D">
              <w:t>accord que des appels d</w:t>
            </w:r>
            <w:r w:rsidR="001B30ED">
              <w:t>'</w:t>
            </w:r>
            <w:r w:rsidRPr="00DD066D">
              <w:t>offres (sauf justification appropriée) devraient</w:t>
            </w:r>
            <w:r w:rsidR="00811A9B">
              <w:t xml:space="preserve"> en général</w:t>
            </w:r>
            <w:r w:rsidRPr="00DD066D">
              <w:t xml:space="preserve"> être lancés pour les cas d</w:t>
            </w:r>
            <w:r w:rsidR="001B30ED">
              <w:t>'</w:t>
            </w:r>
            <w:r w:rsidRPr="00DD066D">
              <w:t>une valeur supérieur</w:t>
            </w:r>
            <w:r w:rsidR="00811A9B">
              <w:t>e</w:t>
            </w:r>
            <w:r w:rsidRPr="00DD066D">
              <w:t xml:space="preserve"> à un seuil minimum qui n</w:t>
            </w:r>
            <w:r w:rsidR="001B30ED">
              <w:t>'</w:t>
            </w:r>
            <w:r w:rsidRPr="00DD066D">
              <w:t>a pas encore été fixé.</w:t>
            </w:r>
          </w:p>
        </w:tc>
      </w:tr>
    </w:tbl>
    <w:p w14:paraId="70C6EF73" w14:textId="77777777" w:rsidR="00472972" w:rsidRDefault="00472972" w:rsidP="00A55BE4">
      <w:pPr>
        <w:spacing w:after="120"/>
      </w:pPr>
      <w:r>
        <w:br w:type="page"/>
      </w:r>
    </w:p>
    <w:p w14:paraId="6BEF29CD" w14:textId="2674FAD1" w:rsidR="00A32890" w:rsidRPr="00DD066D" w:rsidRDefault="00076CA2" w:rsidP="00A55BE4">
      <w:pPr>
        <w:spacing w:after="120"/>
      </w:pPr>
      <w:r w:rsidRPr="00DD066D">
        <w:t>101</w:t>
      </w:r>
      <w:r w:rsidR="001F5CDD">
        <w:tab/>
      </w:r>
      <w:r w:rsidR="00A32890" w:rsidRPr="00DD066D">
        <w:t>Nous avons également constaté que le processus de passation de</w:t>
      </w:r>
      <w:r w:rsidR="00811A9B">
        <w:t>s</w:t>
      </w:r>
      <w:r w:rsidR="00A32890" w:rsidRPr="00DD066D">
        <w:t xml:space="preserve"> marchés d</w:t>
      </w:r>
      <w:r w:rsidR="001B30ED">
        <w:t>'</w:t>
      </w:r>
      <w:r w:rsidR="00A32890" w:rsidRPr="00DD066D">
        <w:t>une valeur inférieure à 20</w:t>
      </w:r>
      <w:r w:rsidR="0018444B">
        <w:t> 000 </w:t>
      </w:r>
      <w:r w:rsidR="00A32890" w:rsidRPr="00DD066D">
        <w:t>CHF n</w:t>
      </w:r>
      <w:r w:rsidR="001B30ED">
        <w:t>'</w:t>
      </w:r>
      <w:r w:rsidR="00A32890" w:rsidRPr="00DD066D">
        <w:t>est pas toujours bien documenté.</w:t>
      </w:r>
      <w:r w:rsidR="00811A9B">
        <w:t xml:space="preserve"> </w:t>
      </w:r>
      <w:r w:rsidR="00A32890" w:rsidRPr="00DD066D">
        <w:t>Par exemple, il n</w:t>
      </w:r>
      <w:r w:rsidR="001B30ED">
        <w:t>'</w:t>
      </w:r>
      <w:r w:rsidR="00A32890" w:rsidRPr="00DD066D">
        <w:t>est pas toujours possible de comprendre comment ont été sélectionnés le</w:t>
      </w:r>
      <w:r w:rsidR="00B53AD7">
        <w:t xml:space="preserve">s fournisseurs potentiels. Il </w:t>
      </w:r>
      <w:r w:rsidR="00A32890" w:rsidRPr="00DD066D">
        <w:t xml:space="preserve">est également </w:t>
      </w:r>
      <w:r w:rsidR="00B53AD7">
        <w:t>im</w:t>
      </w:r>
      <w:r w:rsidR="00A32890" w:rsidRPr="00DD066D">
        <w:t>possible de comprendre comment ont été envoyées les demandes de devis, si des devis (le cas échéant) ont été reçus dans les délais et s</w:t>
      </w:r>
      <w:r w:rsidR="001B30ED">
        <w:t>'</w:t>
      </w:r>
      <w:r w:rsidR="00A32890" w:rsidRPr="00DD066D">
        <w:t>il y a eu une correspondance par courrier électronique.</w:t>
      </w:r>
    </w:p>
    <w:tbl>
      <w:tblPr>
        <w:tblStyle w:val="TableGrid"/>
        <w:tblW w:w="0" w:type="auto"/>
        <w:tblLook w:val="04A0" w:firstRow="1" w:lastRow="0" w:firstColumn="1" w:lastColumn="0" w:noHBand="0" w:noVBand="1"/>
      </w:tblPr>
      <w:tblGrid>
        <w:gridCol w:w="9629"/>
      </w:tblGrid>
      <w:tr w:rsidR="00DD06B3" w:rsidRPr="00DD066D" w14:paraId="19F8F76D" w14:textId="77777777" w:rsidTr="004B5BA3">
        <w:tc>
          <w:tcPr>
            <w:tcW w:w="9629" w:type="dxa"/>
          </w:tcPr>
          <w:p w14:paraId="6CC46BC9" w14:textId="072983CB" w:rsidR="00DD06B3" w:rsidRPr="00DD066D" w:rsidRDefault="00DD06B3" w:rsidP="00B53AD7">
            <w:pPr>
              <w:spacing w:after="120"/>
              <w:rPr>
                <w:b/>
                <w:bCs/>
                <w:i/>
                <w:iCs/>
              </w:rPr>
            </w:pPr>
            <w:r w:rsidRPr="00DD066D">
              <w:rPr>
                <w:b/>
                <w:bCs/>
                <w:i/>
                <w:iCs/>
              </w:rPr>
              <w:t>Recommandation N°</w:t>
            </w:r>
            <w:r w:rsidR="0018444B">
              <w:rPr>
                <w:b/>
                <w:bCs/>
                <w:i/>
                <w:iCs/>
              </w:rPr>
              <w:t> </w:t>
            </w:r>
            <w:r w:rsidRPr="00DD066D">
              <w:rPr>
                <w:b/>
                <w:bCs/>
                <w:i/>
                <w:iCs/>
              </w:rPr>
              <w:t>8</w:t>
            </w:r>
            <w:r w:rsidRPr="00DD066D">
              <w:rPr>
                <w:b/>
                <w:bCs/>
                <w:i/>
                <w:iCs/>
              </w:rPr>
              <w:tab/>
            </w:r>
          </w:p>
          <w:p w14:paraId="4667DF93" w14:textId="747D4331" w:rsidR="001C10B3" w:rsidRPr="00DD066D" w:rsidRDefault="00DD06B3" w:rsidP="008C792C">
            <w:pPr>
              <w:spacing w:after="120"/>
            </w:pPr>
            <w:r w:rsidRPr="00DD066D">
              <w:t>102</w:t>
            </w:r>
            <w:r w:rsidRPr="00DD066D">
              <w:tab/>
            </w:r>
            <w:r w:rsidR="001C10B3" w:rsidRPr="00453A44">
              <w:rPr>
                <w:u w:val="single"/>
              </w:rPr>
              <w:t>Nous recommandons</w:t>
            </w:r>
            <w:r w:rsidR="008C792C">
              <w:t xml:space="preserve"> que tout le</w:t>
            </w:r>
            <w:r w:rsidR="001C10B3" w:rsidRPr="00DD066D">
              <w:t xml:space="preserve"> processus d</w:t>
            </w:r>
            <w:r w:rsidR="00E265F5">
              <w:t>e passation de</w:t>
            </w:r>
            <w:r w:rsidR="008C792C">
              <w:t xml:space="preserve"> marchés</w:t>
            </w:r>
            <w:r w:rsidR="001C10B3" w:rsidRPr="00DD066D">
              <w:t xml:space="preserve"> (du dossier d</w:t>
            </w:r>
            <w:r w:rsidR="001B30ED">
              <w:t>'</w:t>
            </w:r>
            <w:r w:rsidR="001C10B3" w:rsidRPr="00DD066D">
              <w:t>appel d</w:t>
            </w:r>
            <w:r w:rsidR="001B30ED">
              <w:t>'</w:t>
            </w:r>
            <w:r w:rsidR="001C10B3" w:rsidRPr="00DD066D">
              <w:t xml:space="preserve">offres au </w:t>
            </w:r>
            <w:r w:rsidR="008C792C">
              <w:t>marché attribué) soi</w:t>
            </w:r>
            <w:r w:rsidR="001C10B3" w:rsidRPr="00DD066D">
              <w:t>t correctement documenté de manière à garantir la responsabilité, la transparence et l</w:t>
            </w:r>
            <w:r w:rsidR="001B30ED">
              <w:t>'</w:t>
            </w:r>
            <w:r w:rsidR="001C10B3" w:rsidRPr="00DD066D">
              <w:t>auditabilité.</w:t>
            </w:r>
          </w:p>
        </w:tc>
      </w:tr>
    </w:tbl>
    <w:p w14:paraId="7F38CF16" w14:textId="77777777" w:rsidR="00DD06B3" w:rsidRPr="00E265F5" w:rsidRDefault="00DD06B3" w:rsidP="00B53AD7">
      <w:pPr>
        <w:spacing w:after="120"/>
        <w:rPr>
          <w:sz w:val="12"/>
          <w:szCs w:val="12"/>
        </w:rPr>
      </w:pPr>
    </w:p>
    <w:tbl>
      <w:tblPr>
        <w:tblStyle w:val="TableGrid"/>
        <w:tblW w:w="0" w:type="auto"/>
        <w:tblLook w:val="04A0" w:firstRow="1" w:lastRow="0" w:firstColumn="1" w:lastColumn="0" w:noHBand="0" w:noVBand="1"/>
      </w:tblPr>
      <w:tblGrid>
        <w:gridCol w:w="9629"/>
      </w:tblGrid>
      <w:tr w:rsidR="00DD06B3" w:rsidRPr="00DD066D" w14:paraId="0FF5D5A7" w14:textId="77777777" w:rsidTr="004B5BA3">
        <w:tc>
          <w:tcPr>
            <w:tcW w:w="9629" w:type="dxa"/>
          </w:tcPr>
          <w:p w14:paraId="416D6B90" w14:textId="77777777" w:rsidR="00DD06B3" w:rsidRPr="000202B4" w:rsidRDefault="00DD06B3"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1DC454CC" w14:textId="66ECC44E" w:rsidR="00B141D8" w:rsidRPr="00DD066D" w:rsidRDefault="00B141D8" w:rsidP="00B53AD7">
            <w:pPr>
              <w:spacing w:after="120"/>
            </w:pPr>
            <w:r w:rsidRPr="00DD066D">
              <w:t>L</w:t>
            </w:r>
            <w:r w:rsidR="001B30ED">
              <w:t>'</w:t>
            </w:r>
            <w:r w:rsidRPr="00DD066D">
              <w:t xml:space="preserve">UIT convient que tous les processus </w:t>
            </w:r>
            <w:r w:rsidR="008C792C" w:rsidRPr="00DD066D">
              <w:t>d</w:t>
            </w:r>
            <w:r w:rsidR="00E265F5">
              <w:t>e passation de</w:t>
            </w:r>
            <w:r w:rsidR="008C792C">
              <w:t xml:space="preserve"> marchés</w:t>
            </w:r>
            <w:r w:rsidRPr="00DD066D">
              <w:t xml:space="preserve"> devraient être correctement documentés.</w:t>
            </w:r>
          </w:p>
        </w:tc>
      </w:tr>
    </w:tbl>
    <w:p w14:paraId="3675F986" w14:textId="6676F560" w:rsidR="00B53AD7" w:rsidRPr="00A55BE4" w:rsidRDefault="00B53AD7" w:rsidP="00A55BE4">
      <w:pPr>
        <w:pStyle w:val="Headingb"/>
        <w:ind w:left="0" w:firstLine="0"/>
        <w:rPr>
          <w:i/>
          <w:iCs/>
        </w:rPr>
      </w:pPr>
      <w:bookmarkStart w:id="398" w:name="_Toc522685330"/>
      <w:r w:rsidRPr="00A55BE4">
        <w:rPr>
          <w:i/>
          <w:iCs/>
        </w:rPr>
        <w:t>Déclaration d</w:t>
      </w:r>
      <w:r w:rsidR="001B30ED" w:rsidRPr="00A55BE4">
        <w:rPr>
          <w:i/>
          <w:iCs/>
        </w:rPr>
        <w:t>'</w:t>
      </w:r>
      <w:r w:rsidRPr="00A55BE4">
        <w:rPr>
          <w:i/>
          <w:iCs/>
        </w:rPr>
        <w:t>absence de conflit d</w:t>
      </w:r>
      <w:r w:rsidR="001B30ED" w:rsidRPr="00A55BE4">
        <w:rPr>
          <w:i/>
          <w:iCs/>
        </w:rPr>
        <w:t>'</w:t>
      </w:r>
      <w:r w:rsidRPr="00A55BE4">
        <w:rPr>
          <w:i/>
          <w:iCs/>
        </w:rPr>
        <w:t>intérêts dans le processus de passation des marchés à faible valeur</w:t>
      </w:r>
      <w:bookmarkEnd w:id="398"/>
    </w:p>
    <w:p w14:paraId="3C748F38" w14:textId="1226AB68" w:rsidR="00627539" w:rsidRDefault="00DD06B3" w:rsidP="00472972">
      <w:pPr>
        <w:spacing w:after="120"/>
      </w:pPr>
      <w:r w:rsidRPr="00DD066D">
        <w:t>103</w:t>
      </w:r>
      <w:r w:rsidRPr="00DD066D">
        <w:tab/>
      </w:r>
      <w:r w:rsidR="00627539" w:rsidRPr="00DD066D">
        <w:t>Au cours de notre v</w:t>
      </w:r>
      <w:r w:rsidR="008C792C">
        <w:t>é</w:t>
      </w:r>
      <w:r w:rsidR="00627539" w:rsidRPr="00DD066D">
        <w:t>r</w:t>
      </w:r>
      <w:r w:rsidR="00453A44">
        <w:t>ification, nous avons noté</w:t>
      </w:r>
      <w:r w:rsidR="00627539" w:rsidRPr="00DD066D">
        <w:t xml:space="preserve"> que dans le cas </w:t>
      </w:r>
      <w:r w:rsidR="008C792C">
        <w:t>de marchés</w:t>
      </w:r>
      <w:r w:rsidR="00627539" w:rsidRPr="00DD066D">
        <w:t xml:space="preserve"> d</w:t>
      </w:r>
      <w:r w:rsidR="001B30ED">
        <w:t>'</w:t>
      </w:r>
      <w:r w:rsidR="00627539" w:rsidRPr="00DD066D">
        <w:t>une valeur inférieure à 20</w:t>
      </w:r>
      <w:r w:rsidR="0018444B">
        <w:t> 000 </w:t>
      </w:r>
      <w:r w:rsidR="00627539" w:rsidRPr="00DD066D">
        <w:t xml:space="preserve">CHF, le personnel (client/requérant) participant au processus </w:t>
      </w:r>
      <w:r w:rsidR="008C792C" w:rsidRPr="00DD066D">
        <w:t>d</w:t>
      </w:r>
      <w:r w:rsidR="008C792C">
        <w:t>e passation de marchés</w:t>
      </w:r>
      <w:r w:rsidR="008C792C" w:rsidRPr="00DD066D">
        <w:t xml:space="preserve"> </w:t>
      </w:r>
      <w:r w:rsidR="008C792C">
        <w:t xml:space="preserve">ne </w:t>
      </w:r>
      <w:r w:rsidR="00627539" w:rsidRPr="00DD066D">
        <w:t>fournit pas de déclaration sur l</w:t>
      </w:r>
      <w:r w:rsidR="001B30ED">
        <w:t>'</w:t>
      </w:r>
      <w:r w:rsidR="00627539" w:rsidRPr="00DD066D">
        <w:t>absence de conflit d</w:t>
      </w:r>
      <w:r w:rsidR="001B30ED">
        <w:t>'</w:t>
      </w:r>
      <w:r w:rsidR="00627539" w:rsidRPr="00DD066D">
        <w:t>intérêts (DACI).</w:t>
      </w:r>
    </w:p>
    <w:tbl>
      <w:tblPr>
        <w:tblStyle w:val="TableGrid"/>
        <w:tblW w:w="0" w:type="auto"/>
        <w:tblLook w:val="04A0" w:firstRow="1" w:lastRow="0" w:firstColumn="1" w:lastColumn="0" w:noHBand="0" w:noVBand="1"/>
      </w:tblPr>
      <w:tblGrid>
        <w:gridCol w:w="9629"/>
      </w:tblGrid>
      <w:tr w:rsidR="00DD06B3" w:rsidRPr="00DD066D" w14:paraId="4500AE92" w14:textId="77777777" w:rsidTr="004B5BA3">
        <w:tc>
          <w:tcPr>
            <w:tcW w:w="9629" w:type="dxa"/>
          </w:tcPr>
          <w:p w14:paraId="02D62A0C" w14:textId="652C5D68" w:rsidR="00DD06B3" w:rsidRPr="00DD066D" w:rsidRDefault="00DD06B3" w:rsidP="00B53AD7">
            <w:pPr>
              <w:spacing w:after="120"/>
              <w:rPr>
                <w:b/>
                <w:bCs/>
                <w:i/>
                <w:iCs/>
              </w:rPr>
            </w:pPr>
            <w:r w:rsidRPr="00DD066D">
              <w:rPr>
                <w:b/>
                <w:bCs/>
                <w:i/>
                <w:iCs/>
              </w:rPr>
              <w:t>Recommandation N°</w:t>
            </w:r>
            <w:r w:rsidR="0018444B">
              <w:rPr>
                <w:b/>
                <w:bCs/>
                <w:i/>
                <w:iCs/>
              </w:rPr>
              <w:t> </w:t>
            </w:r>
            <w:r w:rsidRPr="00DD066D">
              <w:rPr>
                <w:b/>
                <w:bCs/>
                <w:i/>
                <w:iCs/>
              </w:rPr>
              <w:t>9</w:t>
            </w:r>
            <w:r w:rsidRPr="00DD066D">
              <w:rPr>
                <w:b/>
                <w:bCs/>
                <w:i/>
                <w:iCs/>
              </w:rPr>
              <w:tab/>
            </w:r>
          </w:p>
          <w:p w14:paraId="6D17CC2C" w14:textId="7FC5FC92" w:rsidR="00627539" w:rsidRPr="00DD066D" w:rsidRDefault="00DD06B3" w:rsidP="00B8773D">
            <w:pPr>
              <w:spacing w:after="120"/>
            </w:pPr>
            <w:r w:rsidRPr="00DD066D">
              <w:t>104</w:t>
            </w:r>
            <w:r w:rsidRPr="00DD066D">
              <w:tab/>
            </w:r>
            <w:r w:rsidR="00627539" w:rsidRPr="00953C7D">
              <w:rPr>
                <w:u w:val="single"/>
              </w:rPr>
              <w:t>Nous recommandons</w:t>
            </w:r>
            <w:r w:rsidR="00627539" w:rsidRPr="00DD066D">
              <w:t xml:space="preserve"> qu</w:t>
            </w:r>
            <w:r w:rsidR="001B30ED">
              <w:t>'</w:t>
            </w:r>
            <w:r w:rsidR="00627539" w:rsidRPr="00DD066D">
              <w:t>une déclaration sur l</w:t>
            </w:r>
            <w:r w:rsidR="001B30ED">
              <w:t>'</w:t>
            </w:r>
            <w:r w:rsidR="00627539" w:rsidRPr="00DD066D">
              <w:t>absence de conflit d</w:t>
            </w:r>
            <w:r w:rsidR="001B30ED">
              <w:t>'</w:t>
            </w:r>
            <w:r w:rsidR="00627539" w:rsidRPr="00DD066D">
              <w:t xml:space="preserve">intérêts (DACI) soit signée par le personnel intervenant dans </w:t>
            </w:r>
            <w:r w:rsidR="00B8773D">
              <w:t>tout</w:t>
            </w:r>
            <w:r w:rsidR="00627539" w:rsidRPr="00DD066D">
              <w:t xml:space="preserve"> processus de passation de marchés pour indiquer qu</w:t>
            </w:r>
            <w:r w:rsidR="001B30ED">
              <w:t>'</w:t>
            </w:r>
            <w:r w:rsidR="00627539" w:rsidRPr="00DD066D">
              <w:t>aucun conflit d</w:t>
            </w:r>
            <w:r w:rsidR="001B30ED">
              <w:t>'</w:t>
            </w:r>
            <w:r w:rsidR="00627539" w:rsidRPr="00DD066D">
              <w:t>intérêt</w:t>
            </w:r>
            <w:r w:rsidR="008F3D3C">
              <w:t>s</w:t>
            </w:r>
            <w:r w:rsidR="00627539" w:rsidRPr="00DD066D">
              <w:t xml:space="preserve"> ne risque d</w:t>
            </w:r>
            <w:r w:rsidR="001B30ED">
              <w:t>'</w:t>
            </w:r>
            <w:r w:rsidR="00627539" w:rsidRPr="00DD066D">
              <w:t>influencer le processus.</w:t>
            </w:r>
          </w:p>
        </w:tc>
      </w:tr>
    </w:tbl>
    <w:p w14:paraId="4635E7E3" w14:textId="77777777" w:rsidR="00DD06B3" w:rsidRPr="00E265F5" w:rsidRDefault="00DD06B3" w:rsidP="00B53AD7">
      <w:pPr>
        <w:spacing w:after="120"/>
        <w:rPr>
          <w:sz w:val="12"/>
          <w:szCs w:val="12"/>
        </w:rPr>
      </w:pPr>
    </w:p>
    <w:tbl>
      <w:tblPr>
        <w:tblStyle w:val="TableGrid"/>
        <w:tblW w:w="0" w:type="auto"/>
        <w:tblLook w:val="04A0" w:firstRow="1" w:lastRow="0" w:firstColumn="1" w:lastColumn="0" w:noHBand="0" w:noVBand="1"/>
      </w:tblPr>
      <w:tblGrid>
        <w:gridCol w:w="9629"/>
      </w:tblGrid>
      <w:tr w:rsidR="00DD06B3" w:rsidRPr="00DD066D" w14:paraId="63181FA9" w14:textId="77777777" w:rsidTr="004B5BA3">
        <w:tc>
          <w:tcPr>
            <w:tcW w:w="9629" w:type="dxa"/>
          </w:tcPr>
          <w:p w14:paraId="1D0DC8EF" w14:textId="77777777" w:rsidR="00DD06B3" w:rsidRPr="000202B4" w:rsidRDefault="00DD06B3"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34E227A8" w14:textId="443EEB80" w:rsidR="00627539" w:rsidRPr="00DD066D" w:rsidRDefault="00627539" w:rsidP="00B8773D">
            <w:pPr>
              <w:spacing w:after="120"/>
            </w:pPr>
            <w:r w:rsidRPr="00DD066D">
              <w:t>L</w:t>
            </w:r>
            <w:r w:rsidR="001B30ED">
              <w:t>'</w:t>
            </w:r>
            <w:r w:rsidRPr="00DD066D">
              <w:t xml:space="preserve">UIT </w:t>
            </w:r>
            <w:r w:rsidR="00B8773D">
              <w:t>est d</w:t>
            </w:r>
            <w:r w:rsidR="001B30ED">
              <w:t>'</w:t>
            </w:r>
            <w:r w:rsidR="00B8773D">
              <w:t>accord</w:t>
            </w:r>
            <w:r w:rsidR="00953C7D">
              <w:t xml:space="preserve"> que le personnel jouant un rô</w:t>
            </w:r>
            <w:r w:rsidRPr="00DD066D">
              <w:t>le important dans tout processus de passation de marchés devrait signer une DACI.</w:t>
            </w:r>
          </w:p>
        </w:tc>
      </w:tr>
    </w:tbl>
    <w:p w14:paraId="17A704A5" w14:textId="7E11563E" w:rsidR="00627539" w:rsidRPr="00472972" w:rsidRDefault="00627539" w:rsidP="00472972">
      <w:pPr>
        <w:pStyle w:val="Headingb"/>
        <w:rPr>
          <w:bCs/>
        </w:rPr>
      </w:pPr>
      <w:r w:rsidRPr="00472972">
        <w:rPr>
          <w:rStyle w:val="Emphasis"/>
          <w:bCs/>
        </w:rPr>
        <w:t>Code</w:t>
      </w:r>
      <w:r w:rsidRPr="00472972">
        <w:rPr>
          <w:rStyle w:val="preferred"/>
          <w:bCs/>
        </w:rPr>
        <w:t xml:space="preserve"> </w:t>
      </w:r>
      <w:r w:rsidRPr="00472972">
        <w:rPr>
          <w:rStyle w:val="preferred"/>
          <w:bCs/>
          <w:i/>
        </w:rPr>
        <w:t xml:space="preserve">de conduite des fournisseurs des </w:t>
      </w:r>
      <w:r w:rsidRPr="00472972">
        <w:rPr>
          <w:rStyle w:val="Emphasis"/>
          <w:bCs/>
        </w:rPr>
        <w:t>Nations</w:t>
      </w:r>
      <w:r w:rsidRPr="00472972">
        <w:rPr>
          <w:rStyle w:val="preferred"/>
          <w:bCs/>
          <w:i/>
        </w:rPr>
        <w:t xml:space="preserve"> Unies</w:t>
      </w:r>
    </w:p>
    <w:p w14:paraId="465FC0C6" w14:textId="2BC726C2" w:rsidR="0025309A" w:rsidRPr="00F43B2E" w:rsidRDefault="00A55BE4" w:rsidP="0086425F">
      <w:r>
        <w:t>105</w:t>
      </w:r>
      <w:r>
        <w:tab/>
      </w:r>
      <w:r w:rsidR="00953C7D">
        <w:t>L</w:t>
      </w:r>
      <w:r w:rsidR="001B30ED">
        <w:t>'</w:t>
      </w:r>
      <w:r w:rsidR="00953C7D">
        <w:t>O</w:t>
      </w:r>
      <w:r w:rsidR="0025309A" w:rsidRPr="00DD066D">
        <w:t>rdre de service</w:t>
      </w:r>
      <w:r w:rsidR="0018444B">
        <w:t> </w:t>
      </w:r>
      <w:r w:rsidR="0025309A" w:rsidRPr="00DD066D">
        <w:t>14/06 ne fait aucune mention du fait que la documentation des appels d</w:t>
      </w:r>
      <w:r w:rsidR="001B30ED">
        <w:t>'</w:t>
      </w:r>
      <w:r w:rsidR="0025309A" w:rsidRPr="00DD066D">
        <w:t xml:space="preserve">offres devrait faire référence au </w:t>
      </w:r>
      <w:r w:rsidR="0025309A" w:rsidRPr="00DD066D">
        <w:rPr>
          <w:rStyle w:val="Emphasis"/>
          <w:i w:val="0"/>
        </w:rPr>
        <w:t>Code</w:t>
      </w:r>
      <w:r w:rsidR="0025309A" w:rsidRPr="00DD066D">
        <w:rPr>
          <w:rStyle w:val="preferred"/>
        </w:rPr>
        <w:t xml:space="preserve"> de conduite des fournisseurs des </w:t>
      </w:r>
      <w:r w:rsidR="0025309A" w:rsidRPr="00DD066D">
        <w:rPr>
          <w:rStyle w:val="Emphasis"/>
          <w:i w:val="0"/>
        </w:rPr>
        <w:t>Nations</w:t>
      </w:r>
      <w:r w:rsidR="0025309A" w:rsidRPr="00DD066D">
        <w:rPr>
          <w:rStyle w:val="preferred"/>
        </w:rPr>
        <w:t xml:space="preserve"> Unies.</w:t>
      </w:r>
      <w:r w:rsidR="00320742">
        <w:t xml:space="preserve"> </w:t>
      </w:r>
      <w:r w:rsidR="0025309A" w:rsidRPr="00DD066D">
        <w:t>Cependant, lorsque l</w:t>
      </w:r>
      <w:r w:rsidR="001B30ED">
        <w:t>'</w:t>
      </w:r>
      <w:r w:rsidR="0025309A" w:rsidRPr="00DD066D">
        <w:t xml:space="preserve">UIT </w:t>
      </w:r>
      <w:r w:rsidR="008C792C">
        <w:t>engage</w:t>
      </w:r>
      <w:r w:rsidR="0025309A" w:rsidRPr="00DD066D">
        <w:t xml:space="preserve"> un processus </w:t>
      </w:r>
      <w:r w:rsidR="008C792C">
        <w:t>de passation de marchés</w:t>
      </w:r>
      <w:r w:rsidR="0025309A" w:rsidRPr="00DD066D">
        <w:t>, le dossier d</w:t>
      </w:r>
      <w:r w:rsidR="001B30ED">
        <w:t>'</w:t>
      </w:r>
      <w:r w:rsidR="0025309A" w:rsidRPr="00DD066D">
        <w:t>appel d</w:t>
      </w:r>
      <w:r w:rsidR="001B30ED">
        <w:t>'</w:t>
      </w:r>
      <w:r w:rsidR="0025309A" w:rsidRPr="00DD066D">
        <w:t xml:space="preserve">offres fait référence au </w:t>
      </w:r>
      <w:r w:rsidR="0025309A" w:rsidRPr="00DD066D">
        <w:rPr>
          <w:rStyle w:val="Emphasis"/>
          <w:i w:val="0"/>
        </w:rPr>
        <w:t>Code</w:t>
      </w:r>
      <w:r w:rsidR="0025309A" w:rsidRPr="00DD066D">
        <w:rPr>
          <w:rStyle w:val="preferred"/>
        </w:rPr>
        <w:t xml:space="preserve"> de conduite des fournisseurs des </w:t>
      </w:r>
      <w:r w:rsidR="0025309A" w:rsidRPr="00DD066D">
        <w:rPr>
          <w:rStyle w:val="Emphasis"/>
          <w:i w:val="0"/>
        </w:rPr>
        <w:t>Nations</w:t>
      </w:r>
      <w:r w:rsidR="0025309A" w:rsidRPr="00DD066D">
        <w:rPr>
          <w:rStyle w:val="preferred"/>
        </w:rPr>
        <w:t xml:space="preserve"> Unies, en expliquant que les fournisseurs potentiels acceptent que toute soumission envoyée à l</w:t>
      </w:r>
      <w:r w:rsidR="001B30ED">
        <w:rPr>
          <w:rStyle w:val="preferred"/>
        </w:rPr>
        <w:t>'</w:t>
      </w:r>
      <w:r w:rsidR="0025309A" w:rsidRPr="00DD066D">
        <w:rPr>
          <w:rStyle w:val="preferred"/>
        </w:rPr>
        <w:t xml:space="preserve">UIT constitue un engagement à respecter le </w:t>
      </w:r>
      <w:r w:rsidR="0025309A" w:rsidRPr="00DD066D">
        <w:rPr>
          <w:rStyle w:val="Emphasis"/>
          <w:i w:val="0"/>
        </w:rPr>
        <w:t>Code</w:t>
      </w:r>
      <w:r w:rsidR="0025309A" w:rsidRPr="00DD066D">
        <w:rPr>
          <w:rStyle w:val="preferred"/>
        </w:rPr>
        <w:t xml:space="preserve"> de conduite des fournisseurs des </w:t>
      </w:r>
      <w:r w:rsidR="0025309A" w:rsidRPr="00DD066D">
        <w:rPr>
          <w:rStyle w:val="Emphasis"/>
          <w:i w:val="0"/>
        </w:rPr>
        <w:t>Nations</w:t>
      </w:r>
      <w:r w:rsidR="0025309A" w:rsidRPr="00DD066D">
        <w:rPr>
          <w:rStyle w:val="preferred"/>
        </w:rPr>
        <w:t xml:space="preserve"> Unies</w:t>
      </w:r>
      <w:r w:rsidR="00C7499E" w:rsidRPr="00DD066D">
        <w:rPr>
          <w:rStyle w:val="preferred"/>
        </w:rPr>
        <w:t>.</w:t>
      </w:r>
    </w:p>
    <w:p w14:paraId="7AC284B7" w14:textId="17126A9A" w:rsidR="00C7499E" w:rsidRDefault="00A55BE4" w:rsidP="0086425F">
      <w:pPr>
        <w:spacing w:after="120"/>
        <w:rPr>
          <w:rStyle w:val="preferred"/>
        </w:rPr>
      </w:pPr>
      <w:r>
        <w:t>106</w:t>
      </w:r>
      <w:r>
        <w:tab/>
      </w:r>
      <w:r w:rsidR="00C7499E" w:rsidRPr="00DD066D">
        <w:t>Au lieu de c</w:t>
      </w:r>
      <w:r w:rsidR="00320742">
        <w:t xml:space="preserve">ela, pour les bons de commande ou les </w:t>
      </w:r>
      <w:r w:rsidR="00F43B2E">
        <w:t xml:space="preserve">marchés </w:t>
      </w:r>
      <w:r w:rsidR="008C792C">
        <w:t>relevant</w:t>
      </w:r>
      <w:r w:rsidR="00F43B2E">
        <w:t xml:space="preserve"> d</w:t>
      </w:r>
      <w:r w:rsidR="001B30ED">
        <w:t>'</w:t>
      </w:r>
      <w:r w:rsidR="00F43B2E">
        <w:t>une procé</w:t>
      </w:r>
      <w:r w:rsidR="00C7499E" w:rsidRPr="00DD066D">
        <w:t xml:space="preserve">dure </w:t>
      </w:r>
      <w:r w:rsidR="00F43B2E">
        <w:t>de passation de marché</w:t>
      </w:r>
      <w:r w:rsidR="00C7499E" w:rsidRPr="00DD066D">
        <w:t>, aucune confirmation n</w:t>
      </w:r>
      <w:r w:rsidR="001B30ED">
        <w:t>'</w:t>
      </w:r>
      <w:r w:rsidR="00C7499E" w:rsidRPr="00DD066D">
        <w:t xml:space="preserve">est demandée aux fournisseurs au sujet du respect du </w:t>
      </w:r>
      <w:r w:rsidR="00C7499E" w:rsidRPr="00DD066D">
        <w:rPr>
          <w:rStyle w:val="Emphasis"/>
          <w:i w:val="0"/>
        </w:rPr>
        <w:t>Code</w:t>
      </w:r>
      <w:r w:rsidR="00C7499E" w:rsidRPr="00DD066D">
        <w:rPr>
          <w:rStyle w:val="preferred"/>
        </w:rPr>
        <w:t xml:space="preserve"> de conduite des fournisseurs des </w:t>
      </w:r>
      <w:r w:rsidR="00C7499E" w:rsidRPr="00DD066D">
        <w:rPr>
          <w:rStyle w:val="Emphasis"/>
          <w:i w:val="0"/>
        </w:rPr>
        <w:t>Nations</w:t>
      </w:r>
      <w:r w:rsidR="00C7499E" w:rsidRPr="00DD066D">
        <w:rPr>
          <w:rStyle w:val="preferred"/>
        </w:rPr>
        <w:t xml:space="preserve"> Unies.</w:t>
      </w:r>
    </w:p>
    <w:tbl>
      <w:tblPr>
        <w:tblStyle w:val="TableGrid"/>
        <w:tblW w:w="0" w:type="auto"/>
        <w:tblLook w:val="04A0" w:firstRow="1" w:lastRow="0" w:firstColumn="1" w:lastColumn="0" w:noHBand="0" w:noVBand="1"/>
      </w:tblPr>
      <w:tblGrid>
        <w:gridCol w:w="9629"/>
      </w:tblGrid>
      <w:tr w:rsidR="00413306" w:rsidRPr="00DD066D" w14:paraId="49DDB17D" w14:textId="77777777" w:rsidTr="004B5BA3">
        <w:tc>
          <w:tcPr>
            <w:tcW w:w="9629" w:type="dxa"/>
          </w:tcPr>
          <w:p w14:paraId="0BD95018" w14:textId="60449EF9" w:rsidR="00413306" w:rsidRPr="00DD066D" w:rsidRDefault="00413306" w:rsidP="00B53AD7">
            <w:pPr>
              <w:spacing w:after="120"/>
              <w:rPr>
                <w:b/>
                <w:bCs/>
                <w:i/>
                <w:iCs/>
              </w:rPr>
            </w:pPr>
            <w:r w:rsidRPr="00DD066D">
              <w:rPr>
                <w:b/>
                <w:bCs/>
                <w:i/>
                <w:iCs/>
              </w:rPr>
              <w:t>Recommandation N°</w:t>
            </w:r>
            <w:r w:rsidR="0018444B">
              <w:rPr>
                <w:b/>
                <w:bCs/>
                <w:i/>
                <w:iCs/>
              </w:rPr>
              <w:t> </w:t>
            </w:r>
            <w:r w:rsidR="00A55BE4">
              <w:rPr>
                <w:b/>
                <w:bCs/>
                <w:i/>
                <w:iCs/>
              </w:rPr>
              <w:t>10</w:t>
            </w:r>
          </w:p>
          <w:p w14:paraId="2AE26231" w14:textId="63013A50" w:rsidR="00246923" w:rsidRPr="00DD066D" w:rsidRDefault="00413306" w:rsidP="00E265F5">
            <w:pPr>
              <w:spacing w:after="120"/>
            </w:pPr>
            <w:r w:rsidRPr="00DD066D">
              <w:t>107</w:t>
            </w:r>
            <w:r w:rsidRPr="00DD066D">
              <w:tab/>
            </w:r>
            <w:r w:rsidR="00C95D5C">
              <w:rPr>
                <w:u w:val="single"/>
              </w:rPr>
              <w:t>Nous recommand</w:t>
            </w:r>
            <w:r w:rsidR="00246923" w:rsidRPr="00C95D5C">
              <w:rPr>
                <w:u w:val="single"/>
              </w:rPr>
              <w:t>ons</w:t>
            </w:r>
            <w:r w:rsidR="00246923" w:rsidRPr="00DD066D">
              <w:t xml:space="preserve"> que pour </w:t>
            </w:r>
            <w:r w:rsidR="00E265F5">
              <w:t>toute passation de marchés</w:t>
            </w:r>
            <w:r w:rsidR="00246923" w:rsidRPr="00DD066D">
              <w:t>, une d</w:t>
            </w:r>
            <w:r w:rsidR="008F3D3C">
              <w:t>é</w:t>
            </w:r>
            <w:r w:rsidR="00246923" w:rsidRPr="00DD066D">
              <w:t>claration écrite soit obtenue du fournisseur pour confirmer que l</w:t>
            </w:r>
            <w:r w:rsidR="001B30ED">
              <w:t>'</w:t>
            </w:r>
            <w:r w:rsidR="00246923" w:rsidRPr="00DD066D">
              <w:t xml:space="preserve">entreprise adhère au </w:t>
            </w:r>
            <w:r w:rsidR="00246923" w:rsidRPr="00DD066D">
              <w:rPr>
                <w:rStyle w:val="Emphasis"/>
                <w:i w:val="0"/>
              </w:rPr>
              <w:t>Code</w:t>
            </w:r>
            <w:r w:rsidR="00246923" w:rsidRPr="00DD066D">
              <w:rPr>
                <w:rStyle w:val="preferred"/>
              </w:rPr>
              <w:t xml:space="preserve"> de conduite des fournisseurs des </w:t>
            </w:r>
            <w:r w:rsidR="00246923" w:rsidRPr="00DD066D">
              <w:rPr>
                <w:rStyle w:val="Emphasis"/>
                <w:i w:val="0"/>
              </w:rPr>
              <w:t>Nations</w:t>
            </w:r>
            <w:r w:rsidR="00246923" w:rsidRPr="00DD066D">
              <w:rPr>
                <w:rStyle w:val="preferred"/>
              </w:rPr>
              <w:t xml:space="preserve"> Unies.</w:t>
            </w:r>
          </w:p>
        </w:tc>
      </w:tr>
    </w:tbl>
    <w:p w14:paraId="58EEF162" w14:textId="77777777" w:rsidR="00413306" w:rsidRPr="00DD066D" w:rsidRDefault="00413306" w:rsidP="00B53AD7">
      <w:pPr>
        <w:spacing w:after="120"/>
      </w:pPr>
    </w:p>
    <w:tbl>
      <w:tblPr>
        <w:tblStyle w:val="TableGrid"/>
        <w:tblW w:w="0" w:type="auto"/>
        <w:tblLook w:val="04A0" w:firstRow="1" w:lastRow="0" w:firstColumn="1" w:lastColumn="0" w:noHBand="0" w:noVBand="1"/>
      </w:tblPr>
      <w:tblGrid>
        <w:gridCol w:w="9629"/>
      </w:tblGrid>
      <w:tr w:rsidR="00413306" w:rsidRPr="00DD066D" w14:paraId="4890EFCF" w14:textId="77777777" w:rsidTr="004B5BA3">
        <w:tc>
          <w:tcPr>
            <w:tcW w:w="9629" w:type="dxa"/>
          </w:tcPr>
          <w:p w14:paraId="61AF28CC" w14:textId="77777777" w:rsidR="00413306" w:rsidRPr="000202B4" w:rsidRDefault="00413306"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17BCFF0A" w14:textId="120B9AAE" w:rsidR="007570B6" w:rsidRPr="00DD066D" w:rsidRDefault="007570B6" w:rsidP="00E265F5">
            <w:pPr>
              <w:spacing w:after="120"/>
            </w:pPr>
            <w:r w:rsidRPr="00DD066D">
              <w:t>L</w:t>
            </w:r>
            <w:r w:rsidR="001B30ED">
              <w:t>'</w:t>
            </w:r>
            <w:r w:rsidRPr="00DD066D">
              <w:t xml:space="preserve">UIT souscrit à cette recommandation et compte faire en sorte que tous ses fournisseurs soient inscrits dans le </w:t>
            </w:r>
            <w:r w:rsidRPr="00DD066D">
              <w:rPr>
                <w:rStyle w:val="preferred"/>
              </w:rPr>
              <w:t xml:space="preserve">Portail mondial pour les fournisseurs des organismes des </w:t>
            </w:r>
            <w:r w:rsidRPr="00DD066D">
              <w:rPr>
                <w:rStyle w:val="Emphasis"/>
                <w:i w:val="0"/>
              </w:rPr>
              <w:t>Nations</w:t>
            </w:r>
            <w:r w:rsidRPr="00DD066D">
              <w:rPr>
                <w:rStyle w:val="preferred"/>
              </w:rPr>
              <w:t xml:space="preserve"> Unies (UNGM). Dans le cadre de ce processus d</w:t>
            </w:r>
            <w:r w:rsidR="001B30ED">
              <w:rPr>
                <w:rStyle w:val="preferred"/>
              </w:rPr>
              <w:t>'</w:t>
            </w:r>
            <w:r w:rsidR="00E265F5">
              <w:rPr>
                <w:rStyle w:val="preferred"/>
              </w:rPr>
              <w:t>inscription</w:t>
            </w:r>
            <w:r w:rsidRPr="00DD066D">
              <w:rPr>
                <w:rStyle w:val="preferred"/>
              </w:rPr>
              <w:t xml:space="preserve">, les fournisseurs confirment avoir lu et compris le </w:t>
            </w:r>
            <w:r w:rsidRPr="00DD066D">
              <w:rPr>
                <w:rStyle w:val="Emphasis"/>
                <w:i w:val="0"/>
              </w:rPr>
              <w:t>Code</w:t>
            </w:r>
            <w:r w:rsidRPr="00DD066D">
              <w:rPr>
                <w:rStyle w:val="preferred"/>
              </w:rPr>
              <w:t xml:space="preserve"> de conduite des fournisseurs des </w:t>
            </w:r>
            <w:r w:rsidRPr="00DD066D">
              <w:rPr>
                <w:rStyle w:val="Emphasis"/>
                <w:i w:val="0"/>
              </w:rPr>
              <w:t>Nations</w:t>
            </w:r>
            <w:r w:rsidRPr="00DD066D">
              <w:rPr>
                <w:rStyle w:val="preferred"/>
              </w:rPr>
              <w:t xml:space="preserve"> Unies</w:t>
            </w:r>
            <w:r w:rsidR="00404937">
              <w:rPr>
                <w:rStyle w:val="preferred"/>
              </w:rPr>
              <w:t>.</w:t>
            </w:r>
          </w:p>
        </w:tc>
      </w:tr>
    </w:tbl>
    <w:p w14:paraId="7B4CB57B" w14:textId="0CE193ED" w:rsidR="002F0002" w:rsidRPr="00DD066D" w:rsidRDefault="002F0002" w:rsidP="00B53AD7">
      <w:pPr>
        <w:pStyle w:val="Headingb"/>
      </w:pPr>
      <w:bookmarkStart w:id="399" w:name="_Toc482176255"/>
      <w:bookmarkStart w:id="400" w:name="_Toc522685331"/>
      <w:r w:rsidRPr="00DD066D">
        <w:t>Cadre de l</w:t>
      </w:r>
      <w:r w:rsidR="001B30ED">
        <w:t>'</w:t>
      </w:r>
      <w:r w:rsidRPr="00DD066D">
        <w:t>éthique</w:t>
      </w:r>
      <w:bookmarkEnd w:id="399"/>
      <w:bookmarkEnd w:id="400"/>
    </w:p>
    <w:p w14:paraId="48DB355B" w14:textId="0E4CD87B" w:rsidR="00413306" w:rsidRPr="00DD066D" w:rsidRDefault="002F0002" w:rsidP="00E265F5">
      <w:r w:rsidRPr="00DD066D">
        <w:t>10</w:t>
      </w:r>
      <w:r w:rsidR="00E265F5">
        <w:t>8</w:t>
      </w:r>
      <w:r w:rsidRPr="00DD066D">
        <w:tab/>
        <w:t>Le poste de Responsable de l</w:t>
      </w:r>
      <w:r w:rsidR="001B30ED">
        <w:t>'</w:t>
      </w:r>
      <w:r w:rsidRPr="00DD066D">
        <w:t xml:space="preserve">éthique a été </w:t>
      </w:r>
      <w:r w:rsidR="00D51929" w:rsidRPr="00DD066D">
        <w:t>établi</w:t>
      </w:r>
      <w:r w:rsidRPr="00DD066D">
        <w:t xml:space="preserve"> conformément à la Résolution</w:t>
      </w:r>
      <w:r w:rsidR="0018444B">
        <w:t> </w:t>
      </w:r>
      <w:r w:rsidRPr="00DD066D">
        <w:t>1308 qui a été approuvé</w:t>
      </w:r>
      <w:r w:rsidR="0030421F">
        <w:t>e par le Conseil (C09/121, paragraphe</w:t>
      </w:r>
      <w:r w:rsidR="0018444B">
        <w:t> </w:t>
      </w:r>
      <w:r w:rsidRPr="00DD066D">
        <w:t>3.21) en décembre</w:t>
      </w:r>
      <w:r w:rsidR="0018444B">
        <w:t> </w:t>
      </w:r>
      <w:r w:rsidRPr="00DD066D">
        <w:t xml:space="preserve">2009. </w:t>
      </w:r>
      <w:r w:rsidR="00D51929" w:rsidRPr="00DD066D">
        <w:t>C</w:t>
      </w:r>
      <w:r w:rsidRPr="00DD066D">
        <w:t>e poste</w:t>
      </w:r>
      <w:r w:rsidR="00D51929" w:rsidRPr="00DD066D">
        <w:t>, qui avait été pourvu en novembre</w:t>
      </w:r>
      <w:r w:rsidR="0018444B">
        <w:t> </w:t>
      </w:r>
      <w:r w:rsidR="00D51929" w:rsidRPr="00DD066D">
        <w:t xml:space="preserve">2016, est redevenu </w:t>
      </w:r>
      <w:r w:rsidRPr="00DD066D">
        <w:t xml:space="preserve">vacant depuis </w:t>
      </w:r>
      <w:r w:rsidR="00D51929" w:rsidRPr="00DD066D">
        <w:t>fin avril 2018</w:t>
      </w:r>
      <w:r w:rsidRPr="00DD066D">
        <w:t xml:space="preserve">. </w:t>
      </w:r>
    </w:p>
    <w:p w14:paraId="62837A0A" w14:textId="003FF07C" w:rsidR="00AD51CE" w:rsidRPr="00DD066D" w:rsidRDefault="002F0002" w:rsidP="00E265F5">
      <w:r w:rsidRPr="00DD066D">
        <w:t>109</w:t>
      </w:r>
      <w:r w:rsidR="001F5CDD">
        <w:tab/>
      </w:r>
      <w:r w:rsidR="00D51929" w:rsidRPr="00DD066D">
        <w:t>En 2017, le Responsable de l</w:t>
      </w:r>
      <w:r w:rsidR="001B30ED">
        <w:t>'</w:t>
      </w:r>
      <w:r w:rsidR="00D51929" w:rsidRPr="00DD066D">
        <w:t xml:space="preserve">éthique </w:t>
      </w:r>
      <w:r w:rsidR="00AD51CE" w:rsidRPr="00DD066D">
        <w:t xml:space="preserve">a produit plusieurs documents: </w:t>
      </w:r>
      <w:r w:rsidR="00404937">
        <w:t xml:space="preserve">des </w:t>
      </w:r>
      <w:r w:rsidR="00AD51CE" w:rsidRPr="00DD066D">
        <w:t>l</w:t>
      </w:r>
      <w:r w:rsidR="00D51929" w:rsidRPr="00DD066D">
        <w:t xml:space="preserve">ignes directrices relatives aux </w:t>
      </w:r>
      <w:r w:rsidR="00D51929" w:rsidRPr="00DD066D">
        <w:rPr>
          <w:rStyle w:val="bri2"/>
        </w:rPr>
        <w:t>déclarations de situation financière,</w:t>
      </w:r>
      <w:r w:rsidR="00404937">
        <w:rPr>
          <w:rStyle w:val="bri2"/>
        </w:rPr>
        <w:t xml:space="preserve"> des</w:t>
      </w:r>
      <w:r w:rsidR="00D51929" w:rsidRPr="00DD066D">
        <w:rPr>
          <w:rStyle w:val="bri2"/>
        </w:rPr>
        <w:t xml:space="preserve"> </w:t>
      </w:r>
      <w:r w:rsidR="00AD51CE" w:rsidRPr="00DD066D">
        <w:rPr>
          <w:rStyle w:val="bri2"/>
        </w:rPr>
        <w:t xml:space="preserve">lignes directrices sur les </w:t>
      </w:r>
      <w:r w:rsidR="00AD51CE" w:rsidRPr="00DD066D">
        <w:t>cadeaux offerts à l</w:t>
      </w:r>
      <w:r w:rsidR="001B30ED">
        <w:t>'</w:t>
      </w:r>
      <w:r w:rsidR="00AD51CE" w:rsidRPr="00DD066D">
        <w:t xml:space="preserve">occasion </w:t>
      </w:r>
      <w:r w:rsidR="00E265F5">
        <w:t>d'ITU</w:t>
      </w:r>
      <w:r w:rsidR="00AD51CE" w:rsidRPr="00DD066D">
        <w:t xml:space="preserve"> </w:t>
      </w:r>
      <w:r w:rsidR="00AD51CE" w:rsidRPr="00DD066D">
        <w:rPr>
          <w:rStyle w:val="bri2"/>
        </w:rPr>
        <w:t>Telecom World</w:t>
      </w:r>
      <w:r w:rsidR="00AD51CE" w:rsidRPr="00DD066D">
        <w:t xml:space="preserve"> 2017 et</w:t>
      </w:r>
      <w:r w:rsidR="00404937">
        <w:t xml:space="preserve"> des</w:t>
      </w:r>
      <w:r w:rsidR="00AD51CE" w:rsidRPr="00DD066D">
        <w:t xml:space="preserve"> </w:t>
      </w:r>
      <w:r w:rsidR="00AD51CE" w:rsidRPr="00DD066D">
        <w:rPr>
          <w:rStyle w:val="bri2"/>
        </w:rPr>
        <w:t>Notes d</w:t>
      </w:r>
      <w:r w:rsidR="001B30ED">
        <w:rPr>
          <w:rStyle w:val="bri2"/>
        </w:rPr>
        <w:t>'</w:t>
      </w:r>
      <w:r w:rsidR="00AD51CE" w:rsidRPr="00DD066D">
        <w:rPr>
          <w:rStyle w:val="bri2"/>
        </w:rPr>
        <w:t>orientation</w:t>
      </w:r>
      <w:r w:rsidR="00AD51CE" w:rsidRPr="00DD066D">
        <w:t xml:space="preserve"> sur les </w:t>
      </w:r>
      <w:r w:rsidR="0018444B">
        <w:t>"</w:t>
      </w:r>
      <w:r w:rsidR="00AD51CE" w:rsidRPr="00DD066D">
        <w:t xml:space="preserve">Aspects </w:t>
      </w:r>
      <w:r w:rsidR="00AD51CE" w:rsidRPr="00DD066D">
        <w:rPr>
          <w:rStyle w:val="bri2"/>
        </w:rPr>
        <w:t>éthiques de certaines activités susceptibles d</w:t>
      </w:r>
      <w:r w:rsidR="001B30ED">
        <w:rPr>
          <w:rStyle w:val="bri2"/>
        </w:rPr>
        <w:t>'</w:t>
      </w:r>
      <w:r w:rsidR="00AD51CE" w:rsidRPr="00DD066D">
        <w:rPr>
          <w:rStyle w:val="bri2"/>
        </w:rPr>
        <w:t>être menées dans le cadre de la campagne électorale précédant la Conférence de plénipotentiaires</w:t>
      </w:r>
      <w:r w:rsidR="00AD51CE" w:rsidRPr="00DD066D">
        <w:t xml:space="preserve"> de 2018</w:t>
      </w:r>
      <w:r w:rsidR="0018444B">
        <w:t>"</w:t>
      </w:r>
      <w:r w:rsidR="00AD51CE" w:rsidRPr="00DD066D">
        <w:t>.</w:t>
      </w:r>
      <w:r w:rsidR="00404937">
        <w:t xml:space="preserve"> </w:t>
      </w:r>
      <w:r w:rsidR="00AD51CE" w:rsidRPr="00DD066D">
        <w:t>D</w:t>
      </w:r>
      <w:r w:rsidR="001B30ED">
        <w:t>'</w:t>
      </w:r>
      <w:r w:rsidR="00AD51CE" w:rsidRPr="00DD066D">
        <w:t xml:space="preserve">un autre côté, le Code de déontologie et la </w:t>
      </w:r>
      <w:r w:rsidR="00AD51CE" w:rsidRPr="00DD066D">
        <w:rPr>
          <w:rStyle w:val="bri2"/>
        </w:rPr>
        <w:t>politique de l</w:t>
      </w:r>
      <w:r w:rsidR="001B30ED">
        <w:rPr>
          <w:rStyle w:val="bri2"/>
        </w:rPr>
        <w:t>'</w:t>
      </w:r>
      <w:r w:rsidR="00AD51CE" w:rsidRPr="00DD066D">
        <w:rPr>
          <w:rStyle w:val="bri2"/>
        </w:rPr>
        <w:t>UIT relative à la protection du personnel contre d</w:t>
      </w:r>
      <w:r w:rsidR="001B30ED">
        <w:rPr>
          <w:rStyle w:val="bri2"/>
        </w:rPr>
        <w:t>'</w:t>
      </w:r>
      <w:r w:rsidR="00AD51CE" w:rsidRPr="00DD066D">
        <w:rPr>
          <w:rStyle w:val="bri2"/>
        </w:rPr>
        <w:t>éventuelles représailles n</w:t>
      </w:r>
      <w:r w:rsidR="001B30ED">
        <w:rPr>
          <w:rStyle w:val="bri2"/>
        </w:rPr>
        <w:t>'</w:t>
      </w:r>
      <w:r w:rsidR="00AD51CE" w:rsidRPr="00DD066D">
        <w:rPr>
          <w:rStyle w:val="bri2"/>
        </w:rPr>
        <w:t>ont pas été mis à jour depuis 2011. Une cérémonie de prestation de serment</w:t>
      </w:r>
      <w:r w:rsidR="00AD51CE" w:rsidRPr="00DD066D">
        <w:t xml:space="preserve"> pour les employés a été introduite.</w:t>
      </w:r>
    </w:p>
    <w:p w14:paraId="77B8EF1F" w14:textId="0ED7353A" w:rsidR="00E37CF3" w:rsidRDefault="00E37CF3" w:rsidP="00E265F5">
      <w:pPr>
        <w:spacing w:after="120"/>
      </w:pPr>
      <w:r w:rsidRPr="00DD066D">
        <w:t>110</w:t>
      </w:r>
      <w:r w:rsidRPr="00DD066D">
        <w:tab/>
        <w:t>Compte tenu du fait que ce poste est resté vacant pendant longtemps (voir également la Recommandation</w:t>
      </w:r>
      <w:r w:rsidR="002522D6">
        <w:t xml:space="preserve"> </w:t>
      </w:r>
      <w:r w:rsidRPr="00DD066D">
        <w:t>4/2014 du CCIG qui dispose que "</w:t>
      </w:r>
      <w:r w:rsidRPr="00DD066D">
        <w:rPr>
          <w:bCs/>
          <w:i/>
          <w:iCs/>
        </w:rPr>
        <w:t>Le</w:t>
      </w:r>
      <w:r w:rsidRPr="00DD066D">
        <w:rPr>
          <w:b/>
          <w:i/>
          <w:iCs/>
        </w:rPr>
        <w:t xml:space="preserve"> </w:t>
      </w:r>
      <w:r w:rsidRPr="00DD066D">
        <w:rPr>
          <w:i/>
          <w:iCs/>
        </w:rPr>
        <w:t>CCIG recommande à l</w:t>
      </w:r>
      <w:r w:rsidR="001B30ED">
        <w:rPr>
          <w:i/>
          <w:iCs/>
        </w:rPr>
        <w:t>'</w:t>
      </w:r>
      <w:r w:rsidRPr="00DD066D">
        <w:rPr>
          <w:i/>
          <w:iCs/>
        </w:rPr>
        <w:t>UIT d</w:t>
      </w:r>
      <w:r w:rsidR="001B30ED">
        <w:rPr>
          <w:i/>
          <w:iCs/>
        </w:rPr>
        <w:t>'</w:t>
      </w:r>
      <w:r w:rsidRPr="00DD066D">
        <w:rPr>
          <w:i/>
          <w:iCs/>
        </w:rPr>
        <w:t>accorder la priorité absolue à la nomination d</w:t>
      </w:r>
      <w:r w:rsidR="001B30ED">
        <w:rPr>
          <w:i/>
          <w:iCs/>
        </w:rPr>
        <w:t>'</w:t>
      </w:r>
      <w:r w:rsidRPr="00DD066D">
        <w:rPr>
          <w:i/>
          <w:iCs/>
        </w:rPr>
        <w:t>un responsable de la déontologie."),</w:t>
      </w:r>
      <w:r w:rsidRPr="00DD066D">
        <w:t xml:space="preserve"> </w:t>
      </w:r>
      <w:r w:rsidR="00206BE0" w:rsidRPr="00DD066D">
        <w:t>et du fait que la brève présence d</w:t>
      </w:r>
      <w:r w:rsidR="001B30ED">
        <w:t>'</w:t>
      </w:r>
      <w:r w:rsidR="00206BE0" w:rsidRPr="00DD066D">
        <w:t>un Responsable de l</w:t>
      </w:r>
      <w:r w:rsidR="001B30ED">
        <w:t>'</w:t>
      </w:r>
      <w:r w:rsidR="00206BE0" w:rsidRPr="00DD066D">
        <w:t>éthique n</w:t>
      </w:r>
      <w:r w:rsidR="001B30ED">
        <w:t>'</w:t>
      </w:r>
      <w:r w:rsidR="00206BE0" w:rsidRPr="00DD066D">
        <w:t xml:space="preserve">a pas permis un examen complet </w:t>
      </w:r>
      <w:r w:rsidRPr="00DD066D">
        <w:t>des dispositions relatives à l</w:t>
      </w:r>
      <w:r w:rsidR="001B30ED">
        <w:t>'</w:t>
      </w:r>
      <w:r w:rsidRPr="00DD066D">
        <w:t>éthique qui figurent dans le cadre juridique</w:t>
      </w:r>
      <w:r w:rsidR="00206BE0" w:rsidRPr="00DD066D">
        <w:t>, des mesures devraient être prises</w:t>
      </w:r>
      <w:r w:rsidRPr="00DD066D">
        <w:t xml:space="preserve"> en vue de réfléchir à d</w:t>
      </w:r>
      <w:r w:rsidR="001B30ED">
        <w:t>'</w:t>
      </w:r>
      <w:r w:rsidRPr="00DD066D">
        <w:t>éventuelles mises à jour et améliorations (</w:t>
      </w:r>
      <w:r w:rsidR="00206BE0" w:rsidRPr="00DD066D">
        <w:t>voir notre Recomma</w:t>
      </w:r>
      <w:r w:rsidR="00E320C3">
        <w:t>ndation</w:t>
      </w:r>
      <w:r w:rsidRPr="00DD066D">
        <w:t xml:space="preserve"> 12/2016). </w:t>
      </w:r>
    </w:p>
    <w:tbl>
      <w:tblPr>
        <w:tblStyle w:val="TableGrid"/>
        <w:tblW w:w="0" w:type="auto"/>
        <w:tblLook w:val="04A0" w:firstRow="1" w:lastRow="0" w:firstColumn="1" w:lastColumn="0" w:noHBand="0" w:noVBand="1"/>
      </w:tblPr>
      <w:tblGrid>
        <w:gridCol w:w="9629"/>
      </w:tblGrid>
      <w:tr w:rsidR="000B08A7" w:rsidRPr="00DD066D" w14:paraId="1BE7F233" w14:textId="77777777" w:rsidTr="004B5BA3">
        <w:tc>
          <w:tcPr>
            <w:tcW w:w="9629" w:type="dxa"/>
          </w:tcPr>
          <w:p w14:paraId="0CBA61D7" w14:textId="009A8179" w:rsidR="000B08A7" w:rsidRPr="00DD066D" w:rsidRDefault="000B08A7" w:rsidP="00B53AD7">
            <w:pPr>
              <w:spacing w:after="120"/>
              <w:rPr>
                <w:b/>
                <w:bCs/>
                <w:i/>
                <w:iCs/>
              </w:rPr>
            </w:pPr>
            <w:r w:rsidRPr="00DD066D">
              <w:rPr>
                <w:b/>
                <w:bCs/>
                <w:i/>
                <w:iCs/>
              </w:rPr>
              <w:t>Suggestion N°</w:t>
            </w:r>
            <w:r w:rsidR="0018444B">
              <w:rPr>
                <w:b/>
                <w:bCs/>
                <w:i/>
                <w:iCs/>
              </w:rPr>
              <w:t> </w:t>
            </w:r>
            <w:r w:rsidRPr="00DD066D">
              <w:rPr>
                <w:b/>
                <w:bCs/>
                <w:i/>
                <w:iCs/>
              </w:rPr>
              <w:t>1</w:t>
            </w:r>
          </w:p>
          <w:p w14:paraId="65482608" w14:textId="228C9E29" w:rsidR="00941289" w:rsidRPr="00DD066D" w:rsidRDefault="000B08A7" w:rsidP="00B53AD7">
            <w:pPr>
              <w:spacing w:after="120"/>
            </w:pPr>
            <w:r w:rsidRPr="00DD066D">
              <w:t>111</w:t>
            </w:r>
            <w:r w:rsidRPr="00DD066D">
              <w:tab/>
            </w:r>
            <w:r w:rsidR="00941289" w:rsidRPr="00A9274D">
              <w:rPr>
                <w:u w:val="single"/>
              </w:rPr>
              <w:t>Nous suggérons</w:t>
            </w:r>
            <w:r w:rsidR="00941289" w:rsidRPr="00DD066D">
              <w:t xml:space="preserve"> au Secrétariat de l</w:t>
            </w:r>
            <w:r w:rsidR="001B30ED">
              <w:t>'</w:t>
            </w:r>
            <w:r w:rsidR="00941289" w:rsidRPr="00DD066D">
              <w:t>UIT de commencer au plus vite une procédure de sélection pour le poste de Responsable de l</w:t>
            </w:r>
            <w:r w:rsidR="001B30ED">
              <w:t>'</w:t>
            </w:r>
            <w:r w:rsidR="00941289" w:rsidRPr="00DD066D">
              <w:t xml:space="preserve">éthique, et de nommer, à titre temporaire </w:t>
            </w:r>
            <w:r w:rsidR="00A9274D">
              <w:t>et</w:t>
            </w:r>
            <w:r w:rsidR="00941289" w:rsidRPr="00DD066D">
              <w:t xml:space="preserve"> intérimaire, un fonctionnaire de catégorie P disposant des compétences nécessaires jusqu</w:t>
            </w:r>
            <w:r w:rsidR="001B30ED">
              <w:t>'</w:t>
            </w:r>
            <w:r w:rsidR="00941289" w:rsidRPr="00DD066D">
              <w:t>à ce que cette proc</w:t>
            </w:r>
            <w:r w:rsidR="008F3D3C">
              <w:t>é</w:t>
            </w:r>
            <w:r w:rsidR="00941289" w:rsidRPr="00DD066D">
              <w:t>dure aboutisse.</w:t>
            </w:r>
          </w:p>
        </w:tc>
      </w:tr>
    </w:tbl>
    <w:p w14:paraId="2C435A95" w14:textId="5D7A0B55" w:rsidR="00E265F5" w:rsidRDefault="00E265F5" w:rsidP="00B53AD7">
      <w:pPr>
        <w:spacing w:after="120"/>
      </w:pPr>
    </w:p>
    <w:tbl>
      <w:tblPr>
        <w:tblStyle w:val="TableGrid"/>
        <w:tblW w:w="0" w:type="auto"/>
        <w:tblLook w:val="04A0" w:firstRow="1" w:lastRow="0" w:firstColumn="1" w:lastColumn="0" w:noHBand="0" w:noVBand="1"/>
      </w:tblPr>
      <w:tblGrid>
        <w:gridCol w:w="9629"/>
      </w:tblGrid>
      <w:tr w:rsidR="000B08A7" w:rsidRPr="00DD066D" w14:paraId="6BA81020" w14:textId="77777777" w:rsidTr="004B5BA3">
        <w:tc>
          <w:tcPr>
            <w:tcW w:w="9629" w:type="dxa"/>
          </w:tcPr>
          <w:p w14:paraId="2EF6C79E" w14:textId="77777777" w:rsidR="000B08A7" w:rsidRPr="000202B4" w:rsidRDefault="000B08A7" w:rsidP="00B53AD7">
            <w:pPr>
              <w:spacing w:after="120"/>
              <w:rPr>
                <w:rFonts w:asciiTheme="minorHAnsi" w:hAnsiTheme="minorHAnsi"/>
                <w:b/>
                <w:bCs/>
                <w:i/>
                <w:iCs/>
              </w:rPr>
            </w:pPr>
            <w:r w:rsidRPr="000202B4">
              <w:rPr>
                <w:rFonts w:asciiTheme="minorHAnsi" w:hAnsiTheme="minorHAnsi"/>
                <w:b/>
                <w:bCs/>
                <w:i/>
                <w:iCs/>
              </w:rPr>
              <w:t>Commentaires du Secrétaire général</w:t>
            </w:r>
          </w:p>
          <w:p w14:paraId="4C54C8CC" w14:textId="081509BE" w:rsidR="0036181D" w:rsidRPr="00DD066D" w:rsidRDefault="0036181D" w:rsidP="00E265F5">
            <w:pPr>
              <w:spacing w:after="120"/>
            </w:pPr>
            <w:r w:rsidRPr="00DD066D">
              <w:t>L</w:t>
            </w:r>
            <w:r w:rsidR="001B30ED">
              <w:t>'</w:t>
            </w:r>
            <w:r w:rsidRPr="00DD066D">
              <w:t xml:space="preserve">annonce de vacance de poste est en cours de </w:t>
            </w:r>
            <w:r w:rsidR="00A9274D">
              <w:t>rédaction</w:t>
            </w:r>
            <w:r w:rsidRPr="00DD066D">
              <w:t xml:space="preserve"> en collaboration avec l</w:t>
            </w:r>
            <w:r w:rsidR="001B30ED">
              <w:t>'</w:t>
            </w:r>
            <w:r w:rsidRPr="00DD066D">
              <w:rPr>
                <w:rStyle w:val="preferred"/>
              </w:rPr>
              <w:t xml:space="preserve">Organisation météorologique mondiale (OMM). Des candidats </w:t>
            </w:r>
            <w:r w:rsidR="00E265F5">
              <w:rPr>
                <w:rStyle w:val="preferred"/>
              </w:rPr>
              <w:t>susceptibles d'occuper ce</w:t>
            </w:r>
            <w:r w:rsidRPr="00DD066D">
              <w:rPr>
                <w:rStyle w:val="preferred"/>
              </w:rPr>
              <w:t xml:space="preserve"> poste par intérim</w:t>
            </w:r>
            <w:r w:rsidR="00F23B96" w:rsidRPr="00DD066D">
              <w:rPr>
                <w:rStyle w:val="preferred"/>
              </w:rPr>
              <w:t xml:space="preserve"> ont été identifiés et </w:t>
            </w:r>
            <w:r w:rsidR="00A9274D">
              <w:rPr>
                <w:rStyle w:val="preferred"/>
              </w:rPr>
              <w:t>f</w:t>
            </w:r>
            <w:r w:rsidR="00F23B96" w:rsidRPr="00DD066D">
              <w:rPr>
                <w:rStyle w:val="preferred"/>
              </w:rPr>
              <w:t xml:space="preserve">ont actuellement </w:t>
            </w:r>
            <w:r w:rsidR="00A9274D">
              <w:rPr>
                <w:rStyle w:val="preferred"/>
              </w:rPr>
              <w:t>l</w:t>
            </w:r>
            <w:r w:rsidR="001B30ED">
              <w:rPr>
                <w:rStyle w:val="preferred"/>
              </w:rPr>
              <w:t>'</w:t>
            </w:r>
            <w:r w:rsidR="00A9274D">
              <w:rPr>
                <w:rStyle w:val="preferred"/>
              </w:rPr>
              <w:t>objet d</w:t>
            </w:r>
            <w:r w:rsidR="001B30ED">
              <w:rPr>
                <w:rStyle w:val="preferred"/>
              </w:rPr>
              <w:t>'</w:t>
            </w:r>
            <w:r w:rsidR="00A9274D">
              <w:rPr>
                <w:rStyle w:val="preferred"/>
              </w:rPr>
              <w:t>une évaluation</w:t>
            </w:r>
            <w:r w:rsidR="00F23B96" w:rsidRPr="00DD066D">
              <w:rPr>
                <w:rStyle w:val="preferred"/>
              </w:rPr>
              <w:t>.</w:t>
            </w:r>
          </w:p>
        </w:tc>
      </w:tr>
    </w:tbl>
    <w:p w14:paraId="297F898C" w14:textId="3C8860E0" w:rsidR="000B08A7" w:rsidRPr="00DD066D" w:rsidRDefault="004D4E51" w:rsidP="00B53AD7">
      <w:pPr>
        <w:pStyle w:val="Headingb"/>
      </w:pPr>
      <w:bookmarkStart w:id="401" w:name="_Toc482176256"/>
      <w:bookmarkStart w:id="402" w:name="_Toc522685332"/>
      <w:r w:rsidRPr="00DD066D">
        <w:t>Vente de p</w:t>
      </w:r>
      <w:r w:rsidR="00067314" w:rsidRPr="00DD066D">
        <w:t>ublications</w:t>
      </w:r>
      <w:bookmarkEnd w:id="401"/>
      <w:bookmarkEnd w:id="402"/>
    </w:p>
    <w:p w14:paraId="767226FA" w14:textId="2F3B90DA" w:rsidR="00053A26" w:rsidRPr="00DD066D" w:rsidRDefault="00895B38" w:rsidP="00E265F5">
      <w:r w:rsidRPr="00DD066D">
        <w:t>112</w:t>
      </w:r>
      <w:r w:rsidR="001F5CDD">
        <w:tab/>
      </w:r>
      <w:r w:rsidR="004D4E51" w:rsidRPr="00DD066D">
        <w:t>Les recettes des ventes des publications ont atteint 19,6 millions CHF en 2017, ce qui constitue une augmentation par rapport à l</w:t>
      </w:r>
      <w:r w:rsidR="001B30ED">
        <w:t>'</w:t>
      </w:r>
      <w:r w:rsidR="004D4E51" w:rsidRPr="00DD066D">
        <w:t>année précédente (19,0 millions CHF) et dépasse de plus de 1 million CHF le montant budgétisé pour 2017, de 18,5 millions CHF.</w:t>
      </w:r>
      <w:r w:rsidR="007915AB">
        <w:t xml:space="preserve"> </w:t>
      </w:r>
      <w:r w:rsidR="00053A26" w:rsidRPr="00DD066D">
        <w:t xml:space="preserve">La majorité de ces </w:t>
      </w:r>
      <w:r w:rsidR="00E265F5">
        <w:t>recettes</w:t>
      </w:r>
      <w:r w:rsidR="00053A26" w:rsidRPr="00DD066D">
        <w:t xml:space="preserve"> proviennent de la vente de publications </w:t>
      </w:r>
      <w:r w:rsidR="00053A26" w:rsidRPr="00DD066D">
        <w:rPr>
          <w:rStyle w:val="bri2"/>
        </w:rPr>
        <w:t>relatives au service maritime (y compris aux s</w:t>
      </w:r>
      <w:r w:rsidR="00053A26" w:rsidRPr="00DD066D">
        <w:t xml:space="preserve">tations de navire et aux </w:t>
      </w:r>
      <w:r w:rsidR="00053A26" w:rsidRPr="00DD066D">
        <w:rPr>
          <w:rStyle w:val="bri2"/>
        </w:rPr>
        <w:t>stations côtières).</w:t>
      </w:r>
    </w:p>
    <w:p w14:paraId="39FA5983" w14:textId="546E2081" w:rsidR="00053A26" w:rsidRPr="00DD066D" w:rsidRDefault="00895B38" w:rsidP="00B53AD7">
      <w:r w:rsidRPr="00DD066D">
        <w:t>113</w:t>
      </w:r>
      <w:r w:rsidR="001F5CDD">
        <w:tab/>
      </w:r>
      <w:r w:rsidR="00053A26" w:rsidRPr="00DD066D">
        <w:t>En 2017, des améliorations ont été apportées à la distribution des publications de l</w:t>
      </w:r>
      <w:r w:rsidR="001B30ED">
        <w:t>'</w:t>
      </w:r>
      <w:r w:rsidR="00053A26" w:rsidRPr="00DD066D">
        <w:t>UIT.</w:t>
      </w:r>
      <w:r w:rsidR="007915AB">
        <w:t xml:space="preserve"> </w:t>
      </w:r>
      <w:r w:rsidR="00053A26" w:rsidRPr="00DD066D">
        <w:t>L</w:t>
      </w:r>
      <w:r w:rsidR="001B30ED">
        <w:t>'</w:t>
      </w:r>
      <w:r w:rsidR="00053A26" w:rsidRPr="00DD066D">
        <w:t>UIT dispose de sept nouveaux revendeurs de publications relatives au service maritime, et a conclu des accords avec les services des publications de l</w:t>
      </w:r>
      <w:r w:rsidR="001B30ED">
        <w:t>'</w:t>
      </w:r>
      <w:r w:rsidR="00053A26" w:rsidRPr="00DD066D">
        <w:t>OCDE et des Nations Unies, permettant ainsi la présence numérique des titres de l</w:t>
      </w:r>
      <w:r w:rsidR="001B30ED">
        <w:t>'</w:t>
      </w:r>
      <w:r w:rsidR="00053A26" w:rsidRPr="00DD066D">
        <w:t>UIT sur Amazon, iBook et d</w:t>
      </w:r>
      <w:r w:rsidR="001B30ED">
        <w:t>'</w:t>
      </w:r>
      <w:r w:rsidR="00053A26" w:rsidRPr="00DD066D">
        <w:t>autres plates-formes.</w:t>
      </w:r>
      <w:r w:rsidR="007915AB">
        <w:t xml:space="preserve"> </w:t>
      </w:r>
      <w:r w:rsidR="00053A26" w:rsidRPr="00DD066D">
        <w:t xml:space="preserve">De nouvelles mesures de contrôles </w:t>
      </w:r>
      <w:r w:rsidR="007915AB">
        <w:t xml:space="preserve">pour lutter contre la </w:t>
      </w:r>
      <w:r w:rsidR="00053A26" w:rsidRPr="00DD066D">
        <w:t>contrefaçon ont été élaborées et mises en place.</w:t>
      </w:r>
    </w:p>
    <w:p w14:paraId="00AEDF29" w14:textId="3E69E22E" w:rsidR="00895B38" w:rsidRPr="00E265F5" w:rsidRDefault="00895B38" w:rsidP="00E265F5">
      <w:pPr>
        <w:pStyle w:val="Headingb"/>
      </w:pPr>
      <w:bookmarkStart w:id="403" w:name="_Toc358123336"/>
      <w:bookmarkStart w:id="404" w:name="_Toc396386975"/>
      <w:bookmarkStart w:id="405" w:name="_Toc396387855"/>
      <w:bookmarkStart w:id="406" w:name="_Toc396387969"/>
      <w:bookmarkStart w:id="407" w:name="_Toc398277654"/>
      <w:bookmarkStart w:id="408" w:name="_Toc419407202"/>
      <w:bookmarkStart w:id="409" w:name="_Toc452140235"/>
      <w:bookmarkStart w:id="410" w:name="_Toc482966379"/>
      <w:bookmarkStart w:id="411" w:name="_Toc482967265"/>
      <w:bookmarkStart w:id="412" w:name="_Toc522685333"/>
      <w:r w:rsidRPr="00E265F5">
        <w:t>ETAT DES VARIATIONS DE L</w:t>
      </w:r>
      <w:r w:rsidR="001B30ED" w:rsidRPr="00E265F5">
        <w:t>'</w:t>
      </w:r>
      <w:r w:rsidRPr="00E265F5">
        <w:t>ACTIF NET POUR L</w:t>
      </w:r>
      <w:r w:rsidR="001B30ED" w:rsidRPr="00E265F5">
        <w:t>'</w:t>
      </w:r>
      <w:r w:rsidRPr="00E265F5">
        <w:t>EXERCICE CLOS LE 31 DÉCEMBRE 201</w:t>
      </w:r>
      <w:bookmarkEnd w:id="403"/>
      <w:bookmarkEnd w:id="404"/>
      <w:bookmarkEnd w:id="405"/>
      <w:bookmarkEnd w:id="406"/>
      <w:bookmarkEnd w:id="407"/>
      <w:bookmarkEnd w:id="408"/>
      <w:bookmarkEnd w:id="409"/>
      <w:bookmarkEnd w:id="410"/>
      <w:bookmarkEnd w:id="411"/>
      <w:r w:rsidRPr="00E265F5">
        <w:t>7</w:t>
      </w:r>
      <w:bookmarkEnd w:id="412"/>
    </w:p>
    <w:p w14:paraId="4FB3DD05" w14:textId="540E5E8B" w:rsidR="00895B38" w:rsidRPr="00DD066D" w:rsidRDefault="00895B38" w:rsidP="00B53AD7">
      <w:r w:rsidRPr="00DD066D">
        <w:t>114</w:t>
      </w:r>
      <w:r w:rsidRPr="00DD066D">
        <w:tab/>
        <w:t>Le Tableau</w:t>
      </w:r>
      <w:r w:rsidR="0018444B">
        <w:t> </w:t>
      </w:r>
      <w:r w:rsidRPr="00DD066D">
        <w:t>III "Etat des variations de l</w:t>
      </w:r>
      <w:r w:rsidR="001B30ED">
        <w:t>'</w:t>
      </w:r>
      <w:r w:rsidRPr="00DD066D">
        <w:t>actif net" indique non seulement les mouvements des fonds propres affectés et non affectés cumulés, les effets du passage aux normes IPSAS mais aussi les mouvements de chaque fonds propre, comme indiqué dans la Note</w:t>
      </w:r>
      <w:r w:rsidR="0018444B">
        <w:t> </w:t>
      </w:r>
      <w:r w:rsidRPr="00DD066D">
        <w:t>4.</w:t>
      </w:r>
    </w:p>
    <w:p w14:paraId="4232DA57" w14:textId="32EBD803" w:rsidR="00895B38" w:rsidRPr="00DD066D" w:rsidRDefault="00895B38" w:rsidP="00A55BE4">
      <w:pPr>
        <w:pStyle w:val="Headingb"/>
      </w:pPr>
      <w:bookmarkStart w:id="413" w:name="_Toc419407203"/>
      <w:bookmarkStart w:id="414" w:name="_Toc452140236"/>
      <w:bookmarkStart w:id="415" w:name="_Toc482966380"/>
      <w:bookmarkStart w:id="416" w:name="_Toc482967266"/>
      <w:bookmarkStart w:id="417" w:name="_Toc522685334"/>
      <w:r w:rsidRPr="00DD066D">
        <w:t>TABLEAU DES FLUX DE TRÉSORERIE DE L</w:t>
      </w:r>
      <w:r w:rsidR="001B30ED">
        <w:t>'</w:t>
      </w:r>
      <w:r w:rsidRPr="00DD066D">
        <w:t>EXERCICE CLOS LE 31</w:t>
      </w:r>
      <w:r w:rsidR="0018444B">
        <w:t> </w:t>
      </w:r>
      <w:r w:rsidRPr="00DD066D">
        <w:t>DÉCEMBRE</w:t>
      </w:r>
      <w:r w:rsidR="0018444B">
        <w:t> </w:t>
      </w:r>
      <w:r w:rsidRPr="00DD066D">
        <w:t>201</w:t>
      </w:r>
      <w:bookmarkEnd w:id="413"/>
      <w:bookmarkEnd w:id="414"/>
      <w:bookmarkEnd w:id="415"/>
      <w:bookmarkEnd w:id="416"/>
      <w:r w:rsidR="00A647D6" w:rsidRPr="00DD066D">
        <w:t>7</w:t>
      </w:r>
      <w:bookmarkEnd w:id="417"/>
    </w:p>
    <w:p w14:paraId="33EF1286" w14:textId="77777777" w:rsidR="00895B38" w:rsidRPr="00DD066D" w:rsidRDefault="00895B38" w:rsidP="00B53AD7">
      <w:r w:rsidRPr="00DD066D">
        <w:t>11</w:t>
      </w:r>
      <w:r w:rsidR="00A647D6" w:rsidRPr="00DD066D">
        <w:t>5</w:t>
      </w:r>
      <w:r w:rsidRPr="00DD066D">
        <w:tab/>
        <w:t>Le tableau des flux de trésorerie identifie les sources des flux de trésorerie, les éléments auxquels les flux ont été affectés au cours de la période considérée et le solde de trésorerie à la clôture de la période.</w:t>
      </w:r>
    </w:p>
    <w:p w14:paraId="75A66D20" w14:textId="5B3FE06C" w:rsidR="00895B38" w:rsidRPr="00DD066D" w:rsidRDefault="00A647D6" w:rsidP="00B53AD7">
      <w:r w:rsidRPr="00DD066D">
        <w:t>116</w:t>
      </w:r>
      <w:r w:rsidR="00895B38" w:rsidRPr="00DD066D">
        <w:tab/>
        <w:t>En 201</w:t>
      </w:r>
      <w:r w:rsidRPr="00DD066D">
        <w:t>7</w:t>
      </w:r>
      <w:r w:rsidR="00895B38" w:rsidRPr="00DD066D">
        <w:t>, l</w:t>
      </w:r>
      <w:r w:rsidR="001B30ED">
        <w:t>'</w:t>
      </w:r>
      <w:r w:rsidR="00895B38" w:rsidRPr="00DD066D">
        <w:t xml:space="preserve">UIT a enregistré un flux de trésorerie provenant des activités opérationnelles </w:t>
      </w:r>
      <w:r w:rsidR="00A36D95" w:rsidRPr="00DD066D">
        <w:t>négatif</w:t>
      </w:r>
      <w:r w:rsidR="00895B38" w:rsidRPr="00DD066D">
        <w:t xml:space="preserve"> (</w:t>
      </w:r>
      <w:r w:rsidRPr="00DD066D">
        <w:t>–15</w:t>
      </w:r>
      <w:r w:rsidR="00895B38" w:rsidRPr="00DD066D">
        <w:rPr>
          <w:rFonts w:asciiTheme="minorHAnsi" w:hAnsiTheme="minorHAnsi"/>
        </w:rPr>
        <w:t>,</w:t>
      </w:r>
      <w:r w:rsidRPr="00DD066D">
        <w:rPr>
          <w:rFonts w:asciiTheme="minorHAnsi" w:hAnsiTheme="minorHAnsi"/>
        </w:rPr>
        <w:t>4</w:t>
      </w:r>
      <w:r w:rsidR="00895B38" w:rsidRPr="00DD066D">
        <w:rPr>
          <w:rFonts w:asciiTheme="minorHAnsi" w:hAnsiTheme="minorHAnsi"/>
        </w:rPr>
        <w:t> </w:t>
      </w:r>
      <w:r w:rsidR="00895B38" w:rsidRPr="00DD066D">
        <w:t>million</w:t>
      </w:r>
      <w:r w:rsidR="008F3D3C">
        <w:t>s</w:t>
      </w:r>
      <w:r w:rsidR="00895B38" w:rsidRPr="00DD066D">
        <w:t xml:space="preserve"> CHF), </w:t>
      </w:r>
      <w:r w:rsidR="00A36D95" w:rsidRPr="00DD066D">
        <w:t>et</w:t>
      </w:r>
      <w:r w:rsidR="00895B38" w:rsidRPr="00DD066D">
        <w:t xml:space="preserve"> en baisse par rapport à 201</w:t>
      </w:r>
      <w:r w:rsidRPr="00DD066D">
        <w:t>6</w:t>
      </w:r>
      <w:r w:rsidR="00895B38" w:rsidRPr="00DD066D">
        <w:t xml:space="preserve"> où il était de +</w:t>
      </w:r>
      <w:r w:rsidRPr="00DD066D">
        <w:t>0</w:t>
      </w:r>
      <w:r w:rsidR="00895B38" w:rsidRPr="00DD066D">
        <w:t xml:space="preserve">,7 million CHF. Les flux de trésorerie provenant des activités de financement </w:t>
      </w:r>
      <w:r w:rsidR="00164529" w:rsidRPr="00DD066D">
        <w:t xml:space="preserve">ont aussi été négatifs </w:t>
      </w:r>
      <w:r w:rsidR="00895B38" w:rsidRPr="00DD066D">
        <w:t>(–</w:t>
      </w:r>
      <w:r w:rsidRPr="00DD066D">
        <w:t>0</w:t>
      </w:r>
      <w:r w:rsidR="00895B38" w:rsidRPr="00DD066D">
        <w:t>,</w:t>
      </w:r>
      <w:r w:rsidRPr="00DD066D">
        <w:t>8</w:t>
      </w:r>
      <w:r w:rsidR="00895B38" w:rsidRPr="00DD066D">
        <w:t xml:space="preserve"> million CHF), en raison du</w:t>
      </w:r>
      <w:r w:rsidR="00164529">
        <w:t xml:space="preserve"> remboursement de l</w:t>
      </w:r>
      <w:r w:rsidR="001B30ED">
        <w:t>'</w:t>
      </w:r>
      <w:r w:rsidR="00164529">
        <w:t>emprunt</w:t>
      </w:r>
      <w:r w:rsidR="00895B38" w:rsidRPr="00DD066D">
        <w:t xml:space="preserve"> FIPOI. Les flux nets de trésorerie provenant des activités d</w:t>
      </w:r>
      <w:r w:rsidR="001B30ED">
        <w:t>'</w:t>
      </w:r>
      <w:r w:rsidR="00895B38" w:rsidRPr="00DD066D">
        <w:t xml:space="preserve">investissement </w:t>
      </w:r>
      <w:r w:rsidR="00164529" w:rsidRPr="00DD066D">
        <w:t xml:space="preserve">(31,8 millions CHF) </w:t>
      </w:r>
      <w:r w:rsidR="00895B38" w:rsidRPr="00DD066D">
        <w:t>ont enregist</w:t>
      </w:r>
      <w:r w:rsidRPr="00DD066D">
        <w:t xml:space="preserve">ré un écart </w:t>
      </w:r>
      <w:r w:rsidR="00A36D95" w:rsidRPr="00DD066D">
        <w:t>négatif</w:t>
      </w:r>
      <w:r w:rsidRPr="00DD066D">
        <w:t xml:space="preserve"> </w:t>
      </w:r>
      <w:r w:rsidR="00895B38" w:rsidRPr="00DD066D">
        <w:t>par rapport à 201</w:t>
      </w:r>
      <w:r w:rsidRPr="00DD066D">
        <w:t>6 (45,6</w:t>
      </w:r>
      <w:r w:rsidR="00895B38" w:rsidRPr="00DD066D">
        <w:t xml:space="preserve"> millions CHF), principalement en raison de </w:t>
      </w:r>
      <w:r w:rsidR="00A36D95" w:rsidRPr="00DD066D">
        <w:t xml:space="preserve">la </w:t>
      </w:r>
      <w:r w:rsidR="00895B38" w:rsidRPr="00DD066D">
        <w:t>baisse en ce qui concerne les placements.</w:t>
      </w:r>
    </w:p>
    <w:p w14:paraId="0CB56BA6" w14:textId="51E51B6C" w:rsidR="00895B38" w:rsidRPr="00DD066D" w:rsidRDefault="00895B38" w:rsidP="00B53AD7">
      <w:r w:rsidRPr="00DD066D">
        <w:t>1</w:t>
      </w:r>
      <w:r w:rsidR="008B51C7" w:rsidRPr="00DD066D">
        <w:t>17</w:t>
      </w:r>
      <w:r w:rsidRPr="00DD066D">
        <w:tab/>
        <w:t xml:space="preserve">Le résultat net de la trésorerie et des équivalents de trésorerie a fait apparaître une augmentation de </w:t>
      </w:r>
      <w:r w:rsidR="00A36D95" w:rsidRPr="00DD066D">
        <w:t>26,9 millions CHF e</w:t>
      </w:r>
      <w:r w:rsidR="008B51C7" w:rsidRPr="00DD066D">
        <w:t xml:space="preserve">n 2017, </w:t>
      </w:r>
      <w:r w:rsidR="00A36D95" w:rsidRPr="00DD066D">
        <w:t>en passant de 108,</w:t>
      </w:r>
      <w:r w:rsidR="008B51C7" w:rsidRPr="00DD066D">
        <w:t xml:space="preserve">4 </w:t>
      </w:r>
      <w:r w:rsidR="00A36D95" w:rsidRPr="00DD066D">
        <w:t>millions CHF au début de l</w:t>
      </w:r>
      <w:r w:rsidR="001B30ED">
        <w:t>'</w:t>
      </w:r>
      <w:r w:rsidR="00A36D95" w:rsidRPr="00DD066D">
        <w:t>année à 135,</w:t>
      </w:r>
      <w:r w:rsidR="008B51C7" w:rsidRPr="00DD066D">
        <w:t xml:space="preserve">3 </w:t>
      </w:r>
      <w:r w:rsidR="00A36D95" w:rsidRPr="00DD066D">
        <w:t>millions CHF</w:t>
      </w:r>
      <w:r w:rsidR="008B51C7" w:rsidRPr="00DD066D">
        <w:t xml:space="preserve"> </w:t>
      </w:r>
      <w:r w:rsidR="00A36D95" w:rsidRPr="00DD066D">
        <w:t>à la fin de l</w:t>
      </w:r>
      <w:r w:rsidR="001B30ED">
        <w:t>'</w:t>
      </w:r>
      <w:r w:rsidR="00A36D95" w:rsidRPr="00DD066D">
        <w:t>année</w:t>
      </w:r>
      <w:r w:rsidRPr="00DD066D">
        <w:t>. Nous avons vérifié les entrées sous-jacentes en sélectionnant des échantillons de certains comptes et constaté que toutes les opérations choisies étaient correctement étayées par des pièces justificatives. L</w:t>
      </w:r>
      <w:r w:rsidR="001B30ED">
        <w:t>'</w:t>
      </w:r>
      <w:r w:rsidRPr="00DD066D">
        <w:t>état des flux de trésorerie est ainsi vérifié et confirmé.</w:t>
      </w:r>
    </w:p>
    <w:p w14:paraId="26EF7F12" w14:textId="7C014503" w:rsidR="008B51C7" w:rsidRPr="00DD066D" w:rsidRDefault="008B51C7" w:rsidP="00A55BE4">
      <w:pPr>
        <w:pStyle w:val="Headingb"/>
        <w:ind w:left="0" w:firstLine="0"/>
      </w:pPr>
      <w:bookmarkStart w:id="418" w:name="_Toc419407204"/>
      <w:bookmarkStart w:id="419" w:name="_Toc452140237"/>
      <w:bookmarkStart w:id="420" w:name="_Toc482966381"/>
      <w:bookmarkStart w:id="421" w:name="_Toc482967267"/>
      <w:bookmarkStart w:id="422" w:name="_Toc522685335"/>
      <w:r w:rsidRPr="00DD066D">
        <w:t>COMPARAISON DES MONTANTS BUDGÉTISÉS ET DES MONTANTS EFFECTIFS POUR L</w:t>
      </w:r>
      <w:r w:rsidR="001B30ED">
        <w:t>'</w:t>
      </w:r>
      <w:r w:rsidRPr="00DD066D">
        <w:t>EXERCICE 201</w:t>
      </w:r>
      <w:bookmarkEnd w:id="418"/>
      <w:bookmarkEnd w:id="419"/>
      <w:bookmarkEnd w:id="420"/>
      <w:bookmarkEnd w:id="421"/>
      <w:r w:rsidRPr="00DD066D">
        <w:t>7</w:t>
      </w:r>
      <w:bookmarkEnd w:id="422"/>
      <w:r w:rsidRPr="00DD066D">
        <w:t xml:space="preserve"> </w:t>
      </w:r>
    </w:p>
    <w:p w14:paraId="4CEA9F1E" w14:textId="7C94EE34" w:rsidR="008B51C7" w:rsidRPr="00DD066D" w:rsidRDefault="008B51C7" w:rsidP="00B53AD7">
      <w:r w:rsidRPr="00DD066D">
        <w:t>118</w:t>
      </w:r>
      <w:r w:rsidRPr="00DD066D">
        <w:tab/>
        <w:t>Le Tableau V "Comparaison des montants budgétisés et des montants effectifs pour l</w:t>
      </w:r>
      <w:r w:rsidR="001B30ED">
        <w:t>'</w:t>
      </w:r>
      <w:r w:rsidRPr="00DD066D">
        <w:t>exercice financier</w:t>
      </w:r>
      <w:r w:rsidR="0018444B">
        <w:t> </w:t>
      </w:r>
      <w:r w:rsidRPr="00DD066D">
        <w:t xml:space="preserve">2017" est conforme </w:t>
      </w:r>
      <w:r w:rsidR="008F3D3C">
        <w:t>à</w:t>
      </w:r>
      <w:r w:rsidRPr="00DD066D">
        <w:t xml:space="preserve"> la norme IPSAS</w:t>
      </w:r>
      <w:r w:rsidR="0018444B">
        <w:t> </w:t>
      </w:r>
      <w:r w:rsidRPr="00DD066D">
        <w:t>24, qui requiert l</w:t>
      </w:r>
      <w:r w:rsidR="001B30ED">
        <w:t>'</w:t>
      </w:r>
      <w:r w:rsidRPr="00DD066D">
        <w:t>inclusion dans les états financiers de cette comparaison résultant de l</w:t>
      </w:r>
      <w:r w:rsidR="001B30ED">
        <w:t>'</w:t>
      </w:r>
      <w:r w:rsidRPr="00DD066D">
        <w:t>exécution du budget. Cette norme prévoit en outre des explications sur les différences significatives constatées entre les montants inscrits au budget et les montants réels.</w:t>
      </w:r>
    </w:p>
    <w:p w14:paraId="76A1F012" w14:textId="77777777" w:rsidR="00E265F5" w:rsidRDefault="00E265F5" w:rsidP="00B53AD7">
      <w:r>
        <w:br w:type="page"/>
      </w:r>
    </w:p>
    <w:p w14:paraId="5FE729F9" w14:textId="0F7AD74A" w:rsidR="00895B38" w:rsidRPr="00DD066D" w:rsidRDefault="008B51C7" w:rsidP="00B53AD7">
      <w:r w:rsidRPr="00DD066D">
        <w:t>119</w:t>
      </w:r>
      <w:r w:rsidRPr="00DD066D">
        <w:tab/>
        <w:t>Le Tableau V contient également un rapprochement comptable des écarts entre le résultat de l</w:t>
      </w:r>
      <w:r w:rsidR="001B30ED">
        <w:t>'</w:t>
      </w:r>
      <w:r w:rsidRPr="00DD066D">
        <w:t>exécution budgétaire (montants réels) et les montants comptabilisés dans l</w:t>
      </w:r>
      <w:r w:rsidR="001B30ED">
        <w:t>'</w:t>
      </w:r>
      <w:r w:rsidRPr="00DD066D">
        <w:t>état comptable. De plus amples détails sont fournis dans la Note</w:t>
      </w:r>
      <w:r w:rsidR="0018444B">
        <w:t> </w:t>
      </w:r>
      <w:r w:rsidRPr="00DD066D">
        <w:t>25 du Rapport de gestion financière et nous renvoyons également aux commentaires du Secrétaire général figurant dans le Rapport de gestion financière.</w:t>
      </w:r>
    </w:p>
    <w:p w14:paraId="42421AC3" w14:textId="29434AD0" w:rsidR="008B51C7" w:rsidRPr="00DD066D" w:rsidRDefault="008B51C7" w:rsidP="00E265F5">
      <w:pPr>
        <w:pStyle w:val="Headingb"/>
      </w:pPr>
      <w:bookmarkStart w:id="423" w:name="_Toc358123339"/>
      <w:bookmarkStart w:id="424" w:name="_Toc398277657"/>
      <w:bookmarkStart w:id="425" w:name="_Toc419407205"/>
      <w:bookmarkStart w:id="426" w:name="_Toc452140238"/>
      <w:bookmarkStart w:id="427" w:name="_Toc482966382"/>
      <w:bookmarkStart w:id="428" w:name="_Toc482967268"/>
      <w:bookmarkStart w:id="429" w:name="_Toc522685336"/>
      <w:bookmarkStart w:id="430" w:name="_Toc356330913"/>
      <w:bookmarkStart w:id="431" w:name="_Toc396386978"/>
      <w:bookmarkStart w:id="432" w:name="_Toc396387858"/>
      <w:bookmarkStart w:id="433" w:name="_Toc396387972"/>
      <w:r w:rsidRPr="00DD066D">
        <w:t>CAISSE D</w:t>
      </w:r>
      <w:r w:rsidR="001B30ED">
        <w:t>'</w:t>
      </w:r>
      <w:r w:rsidRPr="00DD066D">
        <w:t>ASSURANCE DU PERSONNEL</w:t>
      </w:r>
      <w:bookmarkEnd w:id="423"/>
      <w:bookmarkEnd w:id="424"/>
      <w:bookmarkEnd w:id="425"/>
      <w:bookmarkEnd w:id="426"/>
      <w:bookmarkEnd w:id="427"/>
      <w:bookmarkEnd w:id="428"/>
      <w:bookmarkEnd w:id="429"/>
      <w:r w:rsidRPr="00DD066D">
        <w:t xml:space="preserve"> </w:t>
      </w:r>
      <w:bookmarkEnd w:id="430"/>
      <w:bookmarkEnd w:id="431"/>
      <w:bookmarkEnd w:id="432"/>
      <w:bookmarkEnd w:id="433"/>
    </w:p>
    <w:p w14:paraId="7D09747E" w14:textId="1B45A3CE" w:rsidR="008B51C7" w:rsidRPr="00DD066D" w:rsidRDefault="008B51C7" w:rsidP="00B53AD7">
      <w:pPr>
        <w:keepNext/>
        <w:keepLines/>
      </w:pPr>
      <w:r w:rsidRPr="00DD066D">
        <w:t>120</w:t>
      </w:r>
      <w:r w:rsidRPr="00DD066D">
        <w:tab/>
        <w:t>Deux Fonds sont présentés dans l</w:t>
      </w:r>
      <w:r w:rsidR="001B30ED">
        <w:t>'</w:t>
      </w:r>
      <w:r w:rsidRPr="00DD066D">
        <w:t>Annexe</w:t>
      </w:r>
      <w:r w:rsidR="0018444B">
        <w:t> </w:t>
      </w:r>
      <w:r w:rsidR="00472972">
        <w:t xml:space="preserve">A3 du Rapport de </w:t>
      </w:r>
      <w:r w:rsidRPr="00DD066D">
        <w:t>gestion financière, à savoir: le "</w:t>
      </w:r>
      <w:r w:rsidRPr="00DD066D">
        <w:rPr>
          <w:i/>
          <w:iCs/>
        </w:rPr>
        <w:t>Fonds de réserve et des compléments</w:t>
      </w:r>
      <w:r w:rsidRPr="00DD066D">
        <w:t>" (actif total de 6,3 millions CHF, sans variation significative par rapport à 2016) et le "</w:t>
      </w:r>
      <w:r w:rsidR="00472972">
        <w:rPr>
          <w:i/>
          <w:iCs/>
        </w:rPr>
        <w:t xml:space="preserve">Fonds </w:t>
      </w:r>
      <w:r w:rsidRPr="00DD066D">
        <w:rPr>
          <w:i/>
          <w:iCs/>
        </w:rPr>
        <w:t>d</w:t>
      </w:r>
      <w:r w:rsidR="001B30ED">
        <w:rPr>
          <w:i/>
          <w:iCs/>
        </w:rPr>
        <w:t>'</w:t>
      </w:r>
      <w:r w:rsidRPr="00DD066D">
        <w:rPr>
          <w:i/>
          <w:iCs/>
        </w:rPr>
        <w:t>intervention</w:t>
      </w:r>
      <w:r w:rsidRPr="00DD066D">
        <w:t>" (actif total d</w:t>
      </w:r>
      <w:r w:rsidR="001B30ED">
        <w:t>'</w:t>
      </w:r>
      <w:r w:rsidRPr="00DD066D">
        <w:t>environ 0,3 million</w:t>
      </w:r>
      <w:r w:rsidR="00164529">
        <w:t xml:space="preserve"> CHF</w:t>
      </w:r>
      <w:r w:rsidRPr="00DD066D">
        <w:t xml:space="preserve"> </w:t>
      </w:r>
      <w:r w:rsidR="00140863" w:rsidRPr="00DD066D">
        <w:t xml:space="preserve">en 2017, comme en </w:t>
      </w:r>
      <w:r w:rsidRPr="00DD066D">
        <w:t>2016</w:t>
      </w:r>
      <w:r w:rsidR="009473E2" w:rsidRPr="00DD066D">
        <w:t>).</w:t>
      </w:r>
    </w:p>
    <w:p w14:paraId="6EC6F4D1" w14:textId="4F2993C3" w:rsidR="008B51C7" w:rsidRPr="00DD066D" w:rsidRDefault="008B51C7" w:rsidP="00B53AD7">
      <w:r w:rsidRPr="00DD066D">
        <w:t>121</w:t>
      </w:r>
      <w:r w:rsidRPr="00DD066D">
        <w:tab/>
        <w:t>Pour le "</w:t>
      </w:r>
      <w:r w:rsidRPr="00164529">
        <w:rPr>
          <w:i/>
        </w:rPr>
        <w:t>Fonds de réserve et des compléments</w:t>
      </w:r>
      <w:r w:rsidRPr="00DD066D">
        <w:t>" figurant dans l</w:t>
      </w:r>
      <w:r w:rsidR="001B30ED">
        <w:t>'</w:t>
      </w:r>
      <w:r w:rsidRPr="00DD066D">
        <w:t>état du passif, une provision actuarielle s</w:t>
      </w:r>
      <w:r w:rsidR="001B30ED">
        <w:t>'</w:t>
      </w:r>
      <w:r w:rsidRPr="00DD066D">
        <w:t>élevant à 54 000 CHF est comptabilisée sous la rubrique "</w:t>
      </w:r>
      <w:r w:rsidRPr="00164529">
        <w:rPr>
          <w:i/>
        </w:rPr>
        <w:t>Avantages du personnel</w:t>
      </w:r>
      <w:r w:rsidRPr="00DD066D">
        <w:t xml:space="preserve">", conformément à une évaluation actuarielle effectuée en 2010. </w:t>
      </w:r>
    </w:p>
    <w:p w14:paraId="61AAD742" w14:textId="10DD2455" w:rsidR="008B51C7" w:rsidRPr="00DD066D" w:rsidRDefault="008B51C7" w:rsidP="00B53AD7">
      <w:r w:rsidRPr="00DD066D">
        <w:t>122</w:t>
      </w:r>
      <w:r w:rsidRPr="00DD066D">
        <w:tab/>
        <w:t>Comme indiqué dans la Note</w:t>
      </w:r>
      <w:r w:rsidR="0018444B">
        <w:t> </w:t>
      </w:r>
      <w:r w:rsidRPr="00DD066D">
        <w:t>2 du Rapport de gestion financière</w:t>
      </w:r>
      <w:r w:rsidR="008F3D3C">
        <w:t>,</w:t>
      </w:r>
      <w:r w:rsidRPr="00DD066D">
        <w:t xml:space="preserve"> "Ces fonds servent à assurer le paiement des pensions des membres du personnel qui étaient en service avant le 1er janvier</w:t>
      </w:r>
      <w:r w:rsidR="0018444B">
        <w:t> </w:t>
      </w:r>
      <w:r w:rsidRPr="00DD066D">
        <w:t>1960, date à laquelle l</w:t>
      </w:r>
      <w:r w:rsidR="001B30ED">
        <w:t>'</w:t>
      </w:r>
      <w:r w:rsidRPr="00DD066D">
        <w:t>UIT a été affiliée à la Caisse commune des pensions du personnel des Nations Unies. En 2017, le Fonds de réserve et des compléments a assuré le paiement de 24 pensions de retraite et de 22 pensions de réversion. Le Fonds d</w:t>
      </w:r>
      <w:r w:rsidR="001B30ED">
        <w:t>'</w:t>
      </w:r>
      <w:r w:rsidRPr="00DD066D">
        <w:t>intervention a servi à aider les fonctionnaires pensionnés ou en service qui se trouvent en difficulté financière".</w:t>
      </w:r>
    </w:p>
    <w:p w14:paraId="7210D704" w14:textId="6CADE973" w:rsidR="008B51C7" w:rsidRPr="00DD066D" w:rsidRDefault="008B51C7" w:rsidP="00E265F5">
      <w:pPr>
        <w:pStyle w:val="Headingb"/>
        <w:ind w:left="0" w:firstLine="0"/>
      </w:pPr>
      <w:bookmarkStart w:id="434" w:name="_Toc358123342"/>
      <w:bookmarkStart w:id="435" w:name="_Toc396386979"/>
      <w:bookmarkStart w:id="436" w:name="_Toc396387859"/>
      <w:bookmarkStart w:id="437" w:name="_Toc396387973"/>
      <w:bookmarkStart w:id="438" w:name="_Toc398277658"/>
      <w:bookmarkStart w:id="439" w:name="_Toc419407206"/>
      <w:bookmarkStart w:id="440" w:name="_Toc452140239"/>
      <w:bookmarkStart w:id="441" w:name="_Toc482966383"/>
      <w:bookmarkStart w:id="442" w:name="_Toc482967269"/>
      <w:bookmarkStart w:id="443" w:name="_Toc522685337"/>
      <w:r w:rsidRPr="00DD066D">
        <w:t xml:space="preserve">PROGRAMME DES NATIONS UNIES POUR LE DÉVELOPPEMENT (PNUD), </w:t>
      </w:r>
      <w:r w:rsidRPr="00DD066D">
        <w:rPr>
          <w:caps/>
        </w:rPr>
        <w:t>Fonds pour le développement des technologies de l</w:t>
      </w:r>
      <w:r w:rsidR="001B30ED">
        <w:rPr>
          <w:caps/>
        </w:rPr>
        <w:t>'</w:t>
      </w:r>
      <w:r w:rsidRPr="00DD066D">
        <w:rPr>
          <w:caps/>
        </w:rPr>
        <w:t>information et de la communication</w:t>
      </w:r>
      <w:r w:rsidRPr="00DD066D">
        <w:t xml:space="preserve"> (FD-TIC) ET FONDS D</w:t>
      </w:r>
      <w:r w:rsidR="001B30ED">
        <w:t>'</w:t>
      </w:r>
      <w:r w:rsidRPr="00DD066D">
        <w:t>AFFECTATION SPÉCIALE</w:t>
      </w:r>
      <w:bookmarkEnd w:id="434"/>
      <w:bookmarkEnd w:id="435"/>
      <w:bookmarkEnd w:id="436"/>
      <w:bookmarkEnd w:id="437"/>
      <w:bookmarkEnd w:id="438"/>
      <w:bookmarkEnd w:id="439"/>
      <w:bookmarkEnd w:id="440"/>
      <w:bookmarkEnd w:id="441"/>
      <w:bookmarkEnd w:id="442"/>
      <w:bookmarkEnd w:id="443"/>
    </w:p>
    <w:p w14:paraId="2D62E21D" w14:textId="5C220C70" w:rsidR="009473E2" w:rsidRPr="00DD066D" w:rsidRDefault="00046565" w:rsidP="00B53AD7">
      <w:r w:rsidRPr="00DD066D">
        <w:t>123</w:t>
      </w:r>
      <w:r w:rsidRPr="00DD066D">
        <w:tab/>
      </w:r>
      <w:r w:rsidR="009473E2" w:rsidRPr="00DD066D">
        <w:t>La Note</w:t>
      </w:r>
      <w:r w:rsidR="0018444B">
        <w:t> </w:t>
      </w:r>
      <w:r w:rsidR="009473E2" w:rsidRPr="00DD066D">
        <w:t>2</w:t>
      </w:r>
      <w:r w:rsidR="00A7617C">
        <w:t>0</w:t>
      </w:r>
      <w:r w:rsidR="009473E2" w:rsidRPr="00DD066D">
        <w:t xml:space="preserve"> du Rapport de gestion financière indique la répartition de ces deux catégories de passifs non courants: </w:t>
      </w:r>
      <w:r w:rsidR="0018444B">
        <w:t>"</w:t>
      </w:r>
      <w:r w:rsidR="009473E2" w:rsidRPr="00DD066D">
        <w:rPr>
          <w:rStyle w:val="bri2"/>
        </w:rPr>
        <w:t>Fonds de tiers affectés</w:t>
      </w:r>
      <w:r w:rsidR="0018444B">
        <w:rPr>
          <w:rStyle w:val="bri2"/>
        </w:rPr>
        <w:t>"</w:t>
      </w:r>
      <w:r w:rsidR="009473E2" w:rsidRPr="00DD066D">
        <w:rPr>
          <w:rStyle w:val="bri2"/>
        </w:rPr>
        <w:t xml:space="preserve"> et </w:t>
      </w:r>
      <w:r w:rsidR="0018444B">
        <w:rPr>
          <w:rStyle w:val="bri2"/>
        </w:rPr>
        <w:t>"</w:t>
      </w:r>
      <w:r w:rsidR="009473E2" w:rsidRPr="00DD066D">
        <w:rPr>
          <w:rStyle w:val="bri2"/>
        </w:rPr>
        <w:t>Fonds de tiers en cours d</w:t>
      </w:r>
      <w:r w:rsidR="001B30ED">
        <w:rPr>
          <w:rStyle w:val="bri2"/>
        </w:rPr>
        <w:t>'</w:t>
      </w:r>
      <w:r w:rsidR="009473E2" w:rsidRPr="00DD066D">
        <w:rPr>
          <w:rStyle w:val="bri2"/>
        </w:rPr>
        <w:t>affectation</w:t>
      </w:r>
      <w:r w:rsidR="0018444B">
        <w:rPr>
          <w:rStyle w:val="bri2"/>
        </w:rPr>
        <w:t>"</w:t>
      </w:r>
      <w:r w:rsidR="009473E2" w:rsidRPr="00DD066D">
        <w:rPr>
          <w:rStyle w:val="bri2"/>
        </w:rPr>
        <w:t>. Le tableau indique également les fonds propres de l</w:t>
      </w:r>
      <w:r w:rsidR="001B30ED">
        <w:rPr>
          <w:rStyle w:val="bri2"/>
        </w:rPr>
        <w:t>'</w:t>
      </w:r>
      <w:r w:rsidR="009473E2" w:rsidRPr="00DD066D">
        <w:rPr>
          <w:rStyle w:val="bri2"/>
        </w:rPr>
        <w:t>UIT affectés aux projets extrabudgétaires.</w:t>
      </w:r>
    </w:p>
    <w:p w14:paraId="577628BF" w14:textId="19FDBDB7" w:rsidR="00046565" w:rsidRPr="00DD066D" w:rsidRDefault="00046565" w:rsidP="00B53AD7">
      <w:r w:rsidRPr="00DD066D">
        <w:t>124</w:t>
      </w:r>
      <w:r w:rsidRPr="00DD066D">
        <w:tab/>
        <w:t>La Règle N°</w:t>
      </w:r>
      <w:r w:rsidR="0018444B">
        <w:t> </w:t>
      </w:r>
      <w:r w:rsidRPr="00DD066D">
        <w:t>5 de l</w:t>
      </w:r>
      <w:r w:rsidR="001B30ED">
        <w:t>'</w:t>
      </w:r>
      <w:r w:rsidRPr="00DD066D">
        <w:t>Annexe</w:t>
      </w:r>
      <w:r w:rsidR="0018444B">
        <w:t> </w:t>
      </w:r>
      <w:r w:rsidRPr="00DD066D">
        <w:t>2 du Règlement financier prévoit qu</w:t>
      </w:r>
      <w:r w:rsidR="001B30ED">
        <w:t>'</w:t>
      </w:r>
      <w:r w:rsidRPr="00DD066D">
        <w:t>"</w:t>
      </w:r>
      <w:r w:rsidRPr="00DD066D">
        <w:rPr>
          <w:i/>
          <w:iCs/>
        </w:rPr>
        <w:t>un compte distinct est ouvert pour chaque versement de contribution volontaire ou de fonds d</w:t>
      </w:r>
      <w:r w:rsidR="001B30ED">
        <w:rPr>
          <w:i/>
          <w:iCs/>
        </w:rPr>
        <w:t>'</w:t>
      </w:r>
      <w:r w:rsidRPr="00DD066D">
        <w:rPr>
          <w:i/>
          <w:iCs/>
        </w:rPr>
        <w:t>affectation spéciale dans un compte spécial de l</w:t>
      </w:r>
      <w:r w:rsidR="001B30ED">
        <w:rPr>
          <w:i/>
          <w:iCs/>
        </w:rPr>
        <w:t>'</w:t>
      </w:r>
      <w:r w:rsidRPr="00DD066D">
        <w:rPr>
          <w:i/>
          <w:iCs/>
        </w:rPr>
        <w:t>Union</w:t>
      </w:r>
      <w:r w:rsidRPr="00DD066D">
        <w:t>".</w:t>
      </w:r>
    </w:p>
    <w:p w14:paraId="6B05FA8E" w14:textId="7A58AC4A" w:rsidR="00046565" w:rsidRPr="00DD066D" w:rsidRDefault="00046565" w:rsidP="00B53AD7">
      <w:r w:rsidRPr="00DD066D">
        <w:t>125</w:t>
      </w:r>
      <w:r w:rsidRPr="00DD066D">
        <w:tab/>
        <w:t>Dans l</w:t>
      </w:r>
      <w:r w:rsidR="001B30ED">
        <w:t>'</w:t>
      </w:r>
      <w:r w:rsidRPr="00DD066D">
        <w:t>Annexe</w:t>
      </w:r>
      <w:r w:rsidR="0018444B">
        <w:t> </w:t>
      </w:r>
      <w:r w:rsidRPr="00DD066D">
        <w:t xml:space="preserve">A4 du Rapport de gestion financière </w:t>
      </w:r>
      <w:r w:rsidR="0054184A" w:rsidRPr="00DD066D">
        <w:t>est répertorié</w:t>
      </w:r>
      <w:r w:rsidRPr="00DD066D">
        <w:t xml:space="preserve"> </w:t>
      </w:r>
      <w:r w:rsidR="0054184A" w:rsidRPr="00DD066D">
        <w:t>un projet lié</w:t>
      </w:r>
      <w:r w:rsidRPr="00DD066D">
        <w:t xml:space="preserve"> à l</w:t>
      </w:r>
      <w:r w:rsidR="001B30ED">
        <w:t>'</w:t>
      </w:r>
      <w:r w:rsidRPr="00DD066D">
        <w:t>activité du PNUD. L</w:t>
      </w:r>
      <w:r w:rsidR="001B30ED">
        <w:t>'</w:t>
      </w:r>
      <w:r w:rsidRPr="00DD066D">
        <w:t>Annexe</w:t>
      </w:r>
      <w:r w:rsidR="0018444B">
        <w:t> </w:t>
      </w:r>
      <w:r w:rsidRPr="00DD066D">
        <w:t>A5 du Rapport de gestion financière présente les projets relevant du Fonds d</w:t>
      </w:r>
      <w:r w:rsidR="001B30ED">
        <w:t>'</w:t>
      </w:r>
      <w:r w:rsidRPr="00DD066D">
        <w:t>affectation spéciale, qui sont</w:t>
      </w:r>
      <w:r w:rsidR="0054184A" w:rsidRPr="00DD066D">
        <w:t xml:space="preserve"> </w:t>
      </w:r>
      <w:r w:rsidRPr="00DD066D">
        <w:t xml:space="preserve">financés </w:t>
      </w:r>
      <w:r w:rsidR="0054184A" w:rsidRPr="00DD066D">
        <w:t>en partie par le F</w:t>
      </w:r>
      <w:r w:rsidR="0054184A" w:rsidRPr="00DD066D">
        <w:rPr>
          <w:rStyle w:val="bri2"/>
        </w:rPr>
        <w:t>onds spécial de coopération technique (SFTC) – conçu pour répondre aux besoins des pays en développement demandant une aide urgente et fondé sur des contributions volontaires – et, en partie, par</w:t>
      </w:r>
      <w:r w:rsidR="0054184A" w:rsidRPr="00DD066D">
        <w:t xml:space="preserve"> </w:t>
      </w:r>
      <w:r w:rsidR="00E265F5">
        <w:t>un prélèvement sur le FD</w:t>
      </w:r>
      <w:r w:rsidR="00E265F5">
        <w:noBreakHyphen/>
      </w:r>
      <w:r w:rsidRPr="00DD066D">
        <w:t>TIC, autorisé par une décision de la commission de direction du FD-TIC. D</w:t>
      </w:r>
      <w:r w:rsidR="001B30ED">
        <w:t>'</w:t>
      </w:r>
      <w:r w:rsidRPr="00DD066D">
        <w:t xml:space="preserve">autres sont financés par des contributions </w:t>
      </w:r>
      <w:r w:rsidR="0054184A" w:rsidRPr="00DD066D">
        <w:t xml:space="preserve">volontaires </w:t>
      </w:r>
      <w:r w:rsidRPr="00DD066D">
        <w:t>spécifiques (voir l</w:t>
      </w:r>
      <w:r w:rsidR="001B30ED">
        <w:t>'</w:t>
      </w:r>
      <w:r w:rsidRPr="00DD066D">
        <w:t>Annexe</w:t>
      </w:r>
      <w:r w:rsidR="0018444B">
        <w:t> </w:t>
      </w:r>
      <w:r w:rsidRPr="00DD066D">
        <w:t>A6) et régis par des accords avec les donateurs. A l</w:t>
      </w:r>
      <w:r w:rsidR="001B30ED">
        <w:t>'</w:t>
      </w:r>
      <w:r w:rsidRPr="00DD066D">
        <w:t>Annexe A7 sont énumérés les projets liés au FD-TIC.</w:t>
      </w:r>
    </w:p>
    <w:p w14:paraId="5F6A0B40" w14:textId="4E74C3F0" w:rsidR="00046565" w:rsidRPr="00DD066D" w:rsidRDefault="00046565" w:rsidP="00B53AD7">
      <w:r w:rsidRPr="00DD066D">
        <w:t>126</w:t>
      </w:r>
      <w:r w:rsidR="001F5CDD">
        <w:tab/>
      </w:r>
      <w:r w:rsidR="0054184A" w:rsidRPr="00DD066D">
        <w:t>Comme indiqué dans le tableau susmentionné de la Note</w:t>
      </w:r>
      <w:r w:rsidR="0018444B">
        <w:t> </w:t>
      </w:r>
      <w:r w:rsidR="0054184A" w:rsidRPr="00DD066D">
        <w:t xml:space="preserve">20, </w:t>
      </w:r>
      <w:r w:rsidR="00C8650C" w:rsidRPr="00DD066D">
        <w:t>les fonds propres de l</w:t>
      </w:r>
      <w:r w:rsidR="001B30ED">
        <w:t>'</w:t>
      </w:r>
      <w:r w:rsidR="00C8650C" w:rsidRPr="00DD066D">
        <w:t>UIT affectés à des projets ont diminué en 2017, pour atteindre 7,0 millions CHF contre 7,7 millions CHF en 2016. Par ailleurs, les fonds de tiers affectés à des projets en</w:t>
      </w:r>
      <w:r w:rsidR="00472972">
        <w:t xml:space="preserve"> 2017 ont diminué pour passer à </w:t>
      </w:r>
      <w:r w:rsidR="00C8650C" w:rsidRPr="00DD066D">
        <w:t>23,0 millions CHF contre 23,6 millions CHF en 2016.</w:t>
      </w:r>
    </w:p>
    <w:p w14:paraId="54FE4343" w14:textId="77777777" w:rsidR="00E265F5" w:rsidRDefault="00E265F5" w:rsidP="00B53AD7">
      <w:r>
        <w:br w:type="page"/>
      </w:r>
    </w:p>
    <w:p w14:paraId="0CFD2D65" w14:textId="063FB48D" w:rsidR="00F85E79" w:rsidRPr="00DD066D" w:rsidRDefault="00C8650C" w:rsidP="00B53AD7">
      <w:r w:rsidRPr="00DD066D">
        <w:t>127</w:t>
      </w:r>
      <w:r w:rsidR="001F5CDD">
        <w:tab/>
      </w:r>
      <w:r w:rsidR="00F85E79" w:rsidRPr="00DD066D">
        <w:t>Les fonds de tiers n</w:t>
      </w:r>
      <w:r w:rsidR="001B30ED">
        <w:t>'</w:t>
      </w:r>
      <w:r w:rsidR="00F85E79" w:rsidRPr="00DD066D">
        <w:t>ont connu qu</w:t>
      </w:r>
      <w:r w:rsidR="001B30ED">
        <w:t>'</w:t>
      </w:r>
      <w:r w:rsidR="00F85E79" w:rsidRPr="00DD066D">
        <w:t xml:space="preserve">une légère </w:t>
      </w:r>
      <w:r w:rsidR="00AD02C3">
        <w:t>baisse, pour deux raisons: i) l</w:t>
      </w:r>
      <w:r w:rsidR="00F85E79" w:rsidRPr="00DD066D">
        <w:t xml:space="preserve">es contributions extérieures </w:t>
      </w:r>
      <w:r w:rsidR="00AD02C3">
        <w:t xml:space="preserve">ont </w:t>
      </w:r>
      <w:r w:rsidR="00AD02C3" w:rsidRPr="00DD066D">
        <w:t>augment</w:t>
      </w:r>
      <w:r w:rsidR="00AD02C3">
        <w:t>é</w:t>
      </w:r>
      <w:r w:rsidR="00AD02C3" w:rsidRPr="00DD066D">
        <w:t xml:space="preserve"> </w:t>
      </w:r>
      <w:r w:rsidR="00F85E79" w:rsidRPr="00DD066D">
        <w:t xml:space="preserve">(10,2 millions CHF en 2017 contre 5,4 millions CHF en 2016); et ii) la mise en </w:t>
      </w:r>
      <w:r w:rsidR="00A55BE4">
        <w:t>oe</w:t>
      </w:r>
      <w:r w:rsidR="00F85E79" w:rsidRPr="00DD066D">
        <w:t xml:space="preserve">uvre de </w:t>
      </w:r>
      <w:r w:rsidR="00F85E79" w:rsidRPr="00DD066D">
        <w:rPr>
          <w:rStyle w:val="bri2"/>
        </w:rPr>
        <w:t>projets</w:t>
      </w:r>
      <w:r w:rsidR="00F85E79" w:rsidRPr="00DD066D">
        <w:t xml:space="preserve"> spécifiques est restée à un niveau semblable à celui des années précédentes (10,8 millions CHF en 2017 contre 10,5 millions CHF en 2016).</w:t>
      </w:r>
    </w:p>
    <w:p w14:paraId="0C9BAE4C" w14:textId="60D1FFC4" w:rsidR="00F85E79" w:rsidRPr="00DD066D" w:rsidRDefault="00C8650C" w:rsidP="00B53AD7">
      <w:r w:rsidRPr="00DD066D">
        <w:t>128</w:t>
      </w:r>
      <w:r w:rsidRPr="00DD066D">
        <w:tab/>
      </w:r>
      <w:r w:rsidR="00F85E79" w:rsidRPr="00DD066D">
        <w:t xml:space="preserve">La baisse du </w:t>
      </w:r>
      <w:r w:rsidRPr="00DD066D">
        <w:t>montant des fonds propres de l</w:t>
      </w:r>
      <w:r w:rsidR="001B30ED">
        <w:t>'</w:t>
      </w:r>
      <w:r w:rsidRPr="00DD066D">
        <w:t xml:space="preserve">UIT affectés à des projets </w:t>
      </w:r>
      <w:r w:rsidR="00F85E79" w:rsidRPr="00DD066D">
        <w:t>est</w:t>
      </w:r>
      <w:r w:rsidR="00472972">
        <w:t xml:space="preserve"> en grande partie </w:t>
      </w:r>
      <w:r w:rsidR="00F85E79" w:rsidRPr="00DD066D">
        <w:t>due, comme l</w:t>
      </w:r>
      <w:r w:rsidR="001B30ED">
        <w:t>'</w:t>
      </w:r>
      <w:r w:rsidR="00F85E79" w:rsidRPr="00DD066D">
        <w:t>a indiqué la direction, à l</w:t>
      </w:r>
      <w:r w:rsidR="001B30ED">
        <w:t>'</w:t>
      </w:r>
      <w:r w:rsidR="00F85E79" w:rsidRPr="00DD066D">
        <w:t>intensification des efforts déployés pour mener divers projets en 2017. Les fonds de tiers attendant d</w:t>
      </w:r>
      <w:r w:rsidR="001B30ED">
        <w:t>'</w:t>
      </w:r>
      <w:r w:rsidR="00F85E79" w:rsidRPr="00DD066D">
        <w:t>être affectés</w:t>
      </w:r>
      <w:r w:rsidR="00472972">
        <w:t xml:space="preserve"> ont diminué en 2017, passant à </w:t>
      </w:r>
      <w:r w:rsidR="00F85E79" w:rsidRPr="00DD066D">
        <w:t>3,3 millions CHF (contre 3,8 millions CHF en 2016).</w:t>
      </w:r>
    </w:p>
    <w:p w14:paraId="3F552F1A" w14:textId="4C2C7DDE" w:rsidR="00A952F8" w:rsidRPr="00DD066D" w:rsidRDefault="00A952F8" w:rsidP="00E62632">
      <w:pPr>
        <w:pStyle w:val="Headingb"/>
      </w:pPr>
      <w:bookmarkStart w:id="444" w:name="_Toc482176263"/>
      <w:bookmarkStart w:id="445" w:name="_Toc522685338"/>
      <w:r w:rsidRPr="00DD066D">
        <w:t>UNIT</w:t>
      </w:r>
      <w:r w:rsidR="00E62632">
        <w:t>É</w:t>
      </w:r>
      <w:r w:rsidRPr="00DD066D">
        <w:t xml:space="preserve"> DE L</w:t>
      </w:r>
      <w:r w:rsidR="001B30ED">
        <w:t>'</w:t>
      </w:r>
      <w:r w:rsidRPr="00DD066D">
        <w:t>AUDIT INTERNE (IAU)</w:t>
      </w:r>
      <w:bookmarkEnd w:id="444"/>
      <w:bookmarkEnd w:id="445"/>
    </w:p>
    <w:p w14:paraId="41FCD43C" w14:textId="79BC5BDF" w:rsidR="00A952F8" w:rsidRPr="00DD066D" w:rsidRDefault="00A952F8" w:rsidP="00B53AD7">
      <w:r w:rsidRPr="00DD066D">
        <w:t>129</w:t>
      </w:r>
      <w:r w:rsidRPr="00DD066D">
        <w:tab/>
        <w:t>Dans cette partie de notre rapport, nous examinons brièvement les liens entre le Vérificateur extérieur des comptes et l</w:t>
      </w:r>
      <w:r w:rsidR="001B30ED">
        <w:t>'</w:t>
      </w:r>
      <w:r w:rsidRPr="00DD066D">
        <w:t>Unité de l</w:t>
      </w:r>
      <w:r w:rsidR="001B30ED">
        <w:t>'</w:t>
      </w:r>
      <w:r w:rsidRPr="00DD066D">
        <w:t xml:space="preserve">audit interne. </w:t>
      </w:r>
    </w:p>
    <w:p w14:paraId="1B66C8D5" w14:textId="3801FBCD" w:rsidR="00A952F8" w:rsidRPr="00DD066D" w:rsidRDefault="008547E7" w:rsidP="00B53AD7">
      <w:r w:rsidRPr="00DD066D">
        <w:t>130</w:t>
      </w:r>
      <w:r w:rsidRPr="00DD066D">
        <w:tab/>
        <w:t>Nous saluons la coopération dont ont fait preuve les fonctionnaires de l</w:t>
      </w:r>
      <w:r w:rsidR="001B30ED">
        <w:t>'</w:t>
      </w:r>
      <w:r w:rsidRPr="00DD066D">
        <w:t>Unité de l</w:t>
      </w:r>
      <w:r w:rsidR="001B30ED">
        <w:t>'</w:t>
      </w:r>
      <w:r w:rsidRPr="00DD066D">
        <w:t>audit interne qui sont par ailleurs chargés d</w:t>
      </w:r>
      <w:r w:rsidR="001B30ED">
        <w:t>'</w:t>
      </w:r>
      <w:r w:rsidRPr="00DD066D">
        <w:t>apporter un soutien logistique au Vérificateur extérieur des comptes. L</w:t>
      </w:r>
      <w:r w:rsidR="001B30ED">
        <w:t>'</w:t>
      </w:r>
      <w:r w:rsidRPr="00DD066D">
        <w:t>Unité de l</w:t>
      </w:r>
      <w:r w:rsidR="001B30ED">
        <w:t>'</w:t>
      </w:r>
      <w:r w:rsidRPr="00DD066D">
        <w:t>audit interne communique ses rapports d</w:t>
      </w:r>
      <w:r w:rsidR="001B30ED">
        <w:t>'</w:t>
      </w:r>
      <w:r w:rsidRPr="00DD066D">
        <w:t>audit au vérificateur extérieur des comptes ainsi que ses plans d</w:t>
      </w:r>
      <w:r w:rsidR="001B30ED">
        <w:t>'</w:t>
      </w:r>
      <w:r w:rsidRPr="00DD066D">
        <w:t>audit.</w:t>
      </w:r>
    </w:p>
    <w:p w14:paraId="51334E59" w14:textId="2FC572C6" w:rsidR="008547E7" w:rsidRPr="00DD066D" w:rsidRDefault="008547E7" w:rsidP="00B53AD7">
      <w:r w:rsidRPr="00DD066D">
        <w:t>131</w:t>
      </w:r>
      <w:r w:rsidRPr="00DD066D">
        <w:tab/>
        <w:t>Conformément aux bonnes pratiques, nous continuons de suivre de près les activités de l</w:t>
      </w:r>
      <w:r w:rsidR="001B30ED">
        <w:t>'</w:t>
      </w:r>
      <w:r w:rsidRPr="00DD066D">
        <w:t>Unité de l</w:t>
      </w:r>
      <w:r w:rsidR="001B30ED">
        <w:t>'</w:t>
      </w:r>
      <w:r w:rsidRPr="00DD066D">
        <w:t>audit interne.</w:t>
      </w:r>
    </w:p>
    <w:p w14:paraId="3851844C" w14:textId="77777777" w:rsidR="008547E7" w:rsidRPr="00DD066D" w:rsidRDefault="008547E7" w:rsidP="00B53AD7">
      <w:pPr>
        <w:pStyle w:val="Headingb"/>
      </w:pPr>
      <w:bookmarkStart w:id="446" w:name="_Toc419407209"/>
      <w:bookmarkStart w:id="447" w:name="_Toc452140243"/>
      <w:bookmarkStart w:id="448" w:name="_Toc522685339"/>
      <w:r w:rsidRPr="00DD066D">
        <w:t>SUIVI DE NOS RECOMMANDATIONS ET SUGGESTIONS PRÉCÉDENTES</w:t>
      </w:r>
      <w:bookmarkEnd w:id="446"/>
      <w:bookmarkEnd w:id="447"/>
      <w:bookmarkEnd w:id="448"/>
    </w:p>
    <w:p w14:paraId="2A4D3AE4" w14:textId="77FF45C7" w:rsidR="008547E7" w:rsidRPr="00DD066D" w:rsidRDefault="008547E7" w:rsidP="00B53AD7">
      <w:r w:rsidRPr="00DD066D">
        <w:t>132</w:t>
      </w:r>
      <w:r w:rsidRPr="00DD066D">
        <w:tab/>
        <w:t>L</w:t>
      </w:r>
      <w:r w:rsidR="001B30ED">
        <w:t>'</w:t>
      </w:r>
      <w:hyperlink w:anchor="AnnexeI" w:history="1">
        <w:r w:rsidRPr="00472972">
          <w:rPr>
            <w:rStyle w:val="Hyperlink"/>
          </w:rPr>
          <w:t>Annexe I</w:t>
        </w:r>
      </w:hyperlink>
      <w:r w:rsidRPr="00DD066D">
        <w:t xml:space="preserve"> reprend toutes les recommandations que nous avons formulées précédemment et les commentaires soumis par la direction de l</w:t>
      </w:r>
      <w:r w:rsidR="001B30ED">
        <w:t>'</w:t>
      </w:r>
      <w:r w:rsidRPr="00DD066D">
        <w:t>UIT lorsque nous avons remis notre rapport. L</w:t>
      </w:r>
      <w:r w:rsidR="001B30ED">
        <w:t>'</w:t>
      </w:r>
      <w:hyperlink w:anchor="AnnexeII" w:history="1">
        <w:r w:rsidRPr="00D6755E">
          <w:rPr>
            <w:rStyle w:val="Hyperlink"/>
          </w:rPr>
          <w:t>Annexe II</w:t>
        </w:r>
      </w:hyperlink>
      <w:r w:rsidRPr="00DD066D">
        <w:t xml:space="preserve"> montre la suite donnée à toutes nos suggestions.</w:t>
      </w:r>
    </w:p>
    <w:p w14:paraId="6FD90A27" w14:textId="1D43DC3A" w:rsidR="008547E7" w:rsidRDefault="008547E7" w:rsidP="00B53AD7">
      <w:r w:rsidRPr="00DD066D">
        <w:t>133</w:t>
      </w:r>
      <w:r w:rsidRPr="00DD066D">
        <w:tab/>
        <w:t>Les recommandations pour lesquelles l</w:t>
      </w:r>
      <w:r w:rsidR="001B30ED">
        <w:t>'</w:t>
      </w:r>
      <w:r w:rsidRPr="00DD066D">
        <w:t>évaluation indique "clos" dans les Annexes I et II ne figureront plus dans le rapport sur la vérification extérieure des comptes de l</w:t>
      </w:r>
      <w:r w:rsidR="001B30ED">
        <w:t>'</w:t>
      </w:r>
      <w:r w:rsidRPr="00DD066D">
        <w:t>année prochaine, à moins qu</w:t>
      </w:r>
      <w:r w:rsidR="001B30ED">
        <w:t>'</w:t>
      </w:r>
      <w:r w:rsidRPr="00DD066D">
        <w:t>elles nécessitent un suivi annuel.</w:t>
      </w:r>
    </w:p>
    <w:p w14:paraId="39674A77" w14:textId="77777777" w:rsidR="00E265F5" w:rsidRPr="00DD066D" w:rsidRDefault="00E265F5" w:rsidP="00B53AD7"/>
    <w:p w14:paraId="74676563" w14:textId="77777777" w:rsidR="008547E7" w:rsidRPr="00DD066D" w:rsidRDefault="008547E7" w:rsidP="00B53AD7"/>
    <w:p w14:paraId="3DA98478" w14:textId="77777777" w:rsidR="008547E7" w:rsidRPr="00DD066D" w:rsidRDefault="008547E7" w:rsidP="00B53AD7">
      <w:pPr>
        <w:sectPr w:rsidR="008547E7" w:rsidRPr="00DD066D" w:rsidSect="004B5BA3">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docGrid w:linePitch="326"/>
        </w:sectPr>
      </w:pPr>
    </w:p>
    <w:p w14:paraId="16EB6872" w14:textId="1037F6D4" w:rsidR="004609CC" w:rsidRPr="00DD066D" w:rsidRDefault="00396C8A" w:rsidP="00E265F5">
      <w:pPr>
        <w:pStyle w:val="Annextitle"/>
        <w:spacing w:before="120" w:after="120"/>
      </w:pPr>
      <w:bookmarkStart w:id="449" w:name="Annexe1"/>
      <w:bookmarkStart w:id="450" w:name="AnnexeI"/>
      <w:bookmarkStart w:id="451" w:name="_Toc396386995"/>
      <w:bookmarkStart w:id="452" w:name="_Toc396387868"/>
      <w:bookmarkStart w:id="453" w:name="_Toc396387982"/>
      <w:bookmarkStart w:id="454" w:name="lt_pId001"/>
      <w:bookmarkStart w:id="455" w:name="_Toc419407211"/>
      <w:bookmarkStart w:id="456" w:name="_Toc452140245"/>
      <w:bookmarkEnd w:id="449"/>
      <w:bookmarkEnd w:id="450"/>
      <w:r>
        <w:t xml:space="preserve">Annexe I – </w:t>
      </w:r>
      <w:r w:rsidR="004609CC" w:rsidRPr="00DD066D">
        <w:t>Suivi des recommandations de nos rapports précédents</w:t>
      </w:r>
      <w:bookmarkEnd w:id="451"/>
      <w:bookmarkEnd w:id="452"/>
      <w:bookmarkEnd w:id="453"/>
      <w:bookmarkEnd w:id="454"/>
      <w:bookmarkEnd w:id="455"/>
      <w:bookmarkEnd w:id="456"/>
    </w:p>
    <w:tbl>
      <w:tblPr>
        <w:tblStyle w:val="TableGrid"/>
        <w:tblW w:w="5073" w:type="pct"/>
        <w:tblLook w:val="0000" w:firstRow="0" w:lastRow="0" w:firstColumn="0" w:lastColumn="0" w:noHBand="0" w:noVBand="0"/>
      </w:tblPr>
      <w:tblGrid>
        <w:gridCol w:w="921"/>
        <w:gridCol w:w="4216"/>
        <w:gridCol w:w="3773"/>
        <w:gridCol w:w="3913"/>
        <w:gridCol w:w="2792"/>
      </w:tblGrid>
      <w:tr w:rsidR="00984441" w:rsidRPr="00DD066D" w14:paraId="50A76AAB" w14:textId="77777777" w:rsidTr="00396C8A">
        <w:tc>
          <w:tcPr>
            <w:tcW w:w="295" w:type="pct"/>
          </w:tcPr>
          <w:p w14:paraId="60129A08" w14:textId="77777777" w:rsidR="004609CC" w:rsidRPr="00E265F5" w:rsidRDefault="004609CC" w:rsidP="003A473D">
            <w:pPr>
              <w:pStyle w:val="Tablehead"/>
              <w:rPr>
                <w:rFonts w:asciiTheme="minorHAnsi" w:hAnsiTheme="minorHAnsi" w:cstheme="minorHAnsi"/>
                <w:sz w:val="20"/>
                <w:szCs w:val="20"/>
                <w:lang w:eastAsia="it-IT"/>
              </w:rPr>
            </w:pPr>
          </w:p>
        </w:tc>
        <w:tc>
          <w:tcPr>
            <w:tcW w:w="1350" w:type="pct"/>
          </w:tcPr>
          <w:p w14:paraId="44ABFCB9" w14:textId="77777777" w:rsidR="004609CC" w:rsidRPr="00E265F5" w:rsidRDefault="004609CC" w:rsidP="00B53AD7">
            <w:pPr>
              <w:pStyle w:val="Tablehead"/>
              <w:rPr>
                <w:rFonts w:asciiTheme="minorHAnsi" w:hAnsiTheme="minorHAnsi" w:cstheme="minorHAnsi"/>
                <w:sz w:val="20"/>
                <w:szCs w:val="20"/>
                <w:lang w:eastAsia="it-IT"/>
              </w:rPr>
            </w:pPr>
            <w:bookmarkStart w:id="457" w:name="lt_pId002"/>
            <w:r w:rsidRPr="00E265F5">
              <w:rPr>
                <w:rFonts w:asciiTheme="minorHAnsi" w:hAnsiTheme="minorHAnsi" w:cstheme="minorHAnsi"/>
                <w:sz w:val="20"/>
                <w:szCs w:val="20"/>
                <w:lang w:eastAsia="it-IT"/>
              </w:rPr>
              <w:t>Recommandation faite par la</w:t>
            </w:r>
            <w:bookmarkEnd w:id="457"/>
            <w:r w:rsidRPr="00E265F5">
              <w:rPr>
                <w:rFonts w:asciiTheme="minorHAnsi" w:hAnsiTheme="minorHAnsi" w:cstheme="minorHAnsi"/>
                <w:sz w:val="20"/>
                <w:szCs w:val="20"/>
                <w:lang w:eastAsia="it-IT"/>
              </w:rPr>
              <w:br/>
            </w:r>
            <w:bookmarkStart w:id="458" w:name="lt_pId003"/>
            <w:r w:rsidRPr="00E265F5">
              <w:rPr>
                <w:rFonts w:asciiTheme="minorHAnsi" w:hAnsiTheme="minorHAnsi" w:cstheme="minorHAnsi"/>
                <w:sz w:val="20"/>
                <w:szCs w:val="20"/>
                <w:lang w:eastAsia="it-IT"/>
              </w:rPr>
              <w:t>Cour des comptes italienne</w:t>
            </w:r>
            <w:bookmarkEnd w:id="458"/>
          </w:p>
        </w:tc>
        <w:tc>
          <w:tcPr>
            <w:tcW w:w="1208" w:type="pct"/>
          </w:tcPr>
          <w:p w14:paraId="150B1A8E" w14:textId="77777777" w:rsidR="004609CC" w:rsidRPr="00E265F5" w:rsidRDefault="004609CC" w:rsidP="00B53AD7">
            <w:pPr>
              <w:pStyle w:val="Tablehead"/>
              <w:rPr>
                <w:rFonts w:asciiTheme="minorHAnsi" w:hAnsiTheme="minorHAnsi" w:cstheme="minorHAnsi"/>
                <w:sz w:val="20"/>
                <w:szCs w:val="20"/>
                <w:lang w:eastAsia="it-IT"/>
              </w:rPr>
            </w:pPr>
            <w:bookmarkStart w:id="459" w:name="lt_pId004"/>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bookmarkEnd w:id="459"/>
          </w:p>
        </w:tc>
        <w:tc>
          <w:tcPr>
            <w:tcW w:w="1253" w:type="pct"/>
          </w:tcPr>
          <w:p w14:paraId="660668CA" w14:textId="577E3081" w:rsidR="004609CC" w:rsidRPr="00E265F5" w:rsidRDefault="004609CC" w:rsidP="00B53AD7">
            <w:pPr>
              <w:pStyle w:val="Tablehead"/>
              <w:rPr>
                <w:rFonts w:asciiTheme="minorHAnsi" w:hAnsiTheme="minorHAnsi" w:cstheme="minorHAnsi"/>
                <w:sz w:val="20"/>
                <w:szCs w:val="20"/>
                <w:lang w:eastAsia="it-IT"/>
              </w:rPr>
            </w:pPr>
            <w:bookmarkStart w:id="460" w:name="lt_pId005"/>
            <w:r w:rsidRPr="00E265F5">
              <w:rPr>
                <w:rFonts w:asciiTheme="minorHAnsi" w:hAnsiTheme="minorHAnsi" w:cstheme="minorHAnsi"/>
                <w:sz w:val="20"/>
                <w:szCs w:val="20"/>
                <w:lang w:eastAsia="it-IT"/>
              </w:rPr>
              <w:t>Etat de la situation indiqué</w:t>
            </w:r>
            <w:bookmarkEnd w:id="460"/>
            <w:r w:rsidRPr="00E265F5">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br/>
            </w:r>
            <w:bookmarkStart w:id="461" w:name="lt_pId006"/>
            <w:r w:rsidRPr="00E265F5">
              <w:rPr>
                <w:rFonts w:asciiTheme="minorHAnsi" w:hAnsiTheme="minorHAnsi" w:cstheme="minorHAnsi"/>
                <w:sz w:val="20"/>
                <w:szCs w:val="20"/>
                <w:lang w:eastAsia="it-IT"/>
              </w:rPr>
              <w:t>par la direction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w:t>
            </w:r>
            <w:bookmarkEnd w:id="461"/>
            <w:r w:rsidRPr="00E265F5">
              <w:rPr>
                <w:rFonts w:asciiTheme="minorHAnsi" w:hAnsiTheme="minorHAnsi" w:cstheme="minorHAnsi"/>
                <w:sz w:val="20"/>
                <w:szCs w:val="20"/>
                <w:lang w:eastAsia="it-IT"/>
              </w:rPr>
              <w:t xml:space="preserve"> </w:t>
            </w:r>
          </w:p>
        </w:tc>
        <w:tc>
          <w:tcPr>
            <w:tcW w:w="894" w:type="pct"/>
          </w:tcPr>
          <w:p w14:paraId="1EEEF7DC" w14:textId="4E8307AB" w:rsidR="004609CC" w:rsidRPr="00E265F5" w:rsidRDefault="004609CC" w:rsidP="00B53AD7">
            <w:pPr>
              <w:pStyle w:val="Tablehead"/>
              <w:rPr>
                <w:rFonts w:asciiTheme="minorHAnsi" w:hAnsiTheme="minorHAnsi" w:cstheme="minorHAnsi"/>
                <w:sz w:val="20"/>
                <w:szCs w:val="20"/>
                <w:lang w:eastAsia="it-IT"/>
              </w:rPr>
            </w:pPr>
            <w:bookmarkStart w:id="462" w:name="lt_pId007"/>
            <w:r w:rsidRPr="00E265F5">
              <w:rPr>
                <w:rFonts w:asciiTheme="minorHAnsi" w:hAnsiTheme="minorHAnsi" w:cstheme="minorHAnsi"/>
                <w:sz w:val="20"/>
                <w:szCs w:val="20"/>
                <w:lang w:eastAsia="it-IT"/>
              </w:rPr>
              <w:t>Etat des mesures prises par la direction selon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évaluation de la Cour des comptes italienne</w:t>
            </w:r>
            <w:bookmarkEnd w:id="462"/>
          </w:p>
        </w:tc>
      </w:tr>
      <w:tr w:rsidR="00984441" w:rsidRPr="00DD066D" w14:paraId="597D4B73" w14:textId="77777777" w:rsidTr="00396C8A">
        <w:tc>
          <w:tcPr>
            <w:tcW w:w="295" w:type="pct"/>
          </w:tcPr>
          <w:p w14:paraId="41B4015B" w14:textId="77777777" w:rsidR="004609CC" w:rsidRPr="00E265F5" w:rsidRDefault="004609CC"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1/201</w:t>
            </w:r>
            <w:r w:rsidR="00196130" w:rsidRPr="00E265F5">
              <w:rPr>
                <w:rFonts w:asciiTheme="minorHAnsi" w:hAnsiTheme="minorHAnsi" w:cstheme="minorHAnsi"/>
                <w:b/>
                <w:bCs/>
                <w:sz w:val="20"/>
                <w:szCs w:val="20"/>
                <w:lang w:eastAsia="it-IT"/>
              </w:rPr>
              <w:t>6</w:t>
            </w:r>
          </w:p>
        </w:tc>
        <w:tc>
          <w:tcPr>
            <w:tcW w:w="1350" w:type="pct"/>
          </w:tcPr>
          <w:p w14:paraId="31A4D4BB" w14:textId="145A2403" w:rsidR="004609CC" w:rsidRPr="00E265F5" w:rsidRDefault="00196130"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 xml:space="preserve">Compte tenu des prévisions de départ à la retraite au cours des dix prochaines années et du risque de discontinuité potentiellement encouru,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que la direction adopte une stratégie officielle de planification du renouvellement des effectifs, à intégrer dans le plan stratégique pour les ressources humaines. Dans cette stratégie, il convient de préciser les fonctions et postes essentiels au regard des objectifs et des besoins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et de définir des plans pour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avenir immédiat (transfert de connaissances) et à plus long terme (reposant, entre autres, sur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inventaire des compétences figurant dans le cadre des compétences adopté récemment afin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identifier les possibilités de pourvoi de poste en interne).</w:t>
            </w:r>
          </w:p>
        </w:tc>
        <w:tc>
          <w:tcPr>
            <w:tcW w:w="1208" w:type="pct"/>
          </w:tcPr>
          <w:p w14:paraId="1B81C727" w14:textId="2717796E" w:rsidR="004609CC" w:rsidRPr="00E265F5" w:rsidRDefault="000D25FA"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Le Département HRMD consultera les départements des Bureaux et du Secrétariat général pour élaborer une stratégie de planification du renouvellement des effectifs visant à préserver les connaissances institutionnelles et à garantir la continuité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exercice du mandat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Union.</w:t>
            </w:r>
          </w:p>
        </w:tc>
        <w:tc>
          <w:tcPr>
            <w:tcW w:w="1253" w:type="pct"/>
          </w:tcPr>
          <w:p w14:paraId="0047E557" w14:textId="18E75DAC" w:rsidR="009F24C5" w:rsidRPr="00E265F5" w:rsidRDefault="006E39F8"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004609CC"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004609CC" w:rsidRPr="00E265F5">
              <w:rPr>
                <w:rFonts w:asciiTheme="minorHAnsi" w:hAnsiTheme="minorHAnsi" w:cstheme="minorHAnsi"/>
                <w:b/>
                <w:bCs/>
                <w:sz w:val="20"/>
                <w:szCs w:val="20"/>
                <w:lang w:eastAsia="it-IT"/>
              </w:rPr>
              <w:t>201</w:t>
            </w:r>
            <w:r w:rsidR="000D25FA" w:rsidRPr="00E265F5">
              <w:rPr>
                <w:rFonts w:asciiTheme="minorHAnsi" w:hAnsiTheme="minorHAnsi" w:cstheme="minorHAnsi"/>
                <w:b/>
                <w:bCs/>
                <w:sz w:val="20"/>
                <w:szCs w:val="20"/>
                <w:lang w:eastAsia="it-IT"/>
              </w:rPr>
              <w:t>8</w:t>
            </w:r>
            <w:r w:rsidR="004609CC" w:rsidRPr="00E265F5">
              <w:rPr>
                <w:rFonts w:asciiTheme="minorHAnsi" w:hAnsiTheme="minorHAnsi" w:cstheme="minorHAnsi"/>
                <w:b/>
                <w:bCs/>
                <w:sz w:val="20"/>
                <w:szCs w:val="20"/>
                <w:lang w:eastAsia="it-IT"/>
              </w:rPr>
              <w:t>:</w:t>
            </w:r>
          </w:p>
          <w:p w14:paraId="71FBB102" w14:textId="0D8C7314" w:rsidR="004609CC" w:rsidRPr="00E265F5" w:rsidRDefault="00726BD7" w:rsidP="00396C8A">
            <w:pPr>
              <w:pStyle w:val="Tabletext"/>
              <w:rPr>
                <w:rFonts w:asciiTheme="minorHAnsi" w:hAnsiTheme="minorHAnsi" w:cstheme="minorHAnsi"/>
                <w:sz w:val="20"/>
                <w:szCs w:val="20"/>
              </w:rPr>
            </w:pPr>
            <w:r w:rsidRPr="00E265F5">
              <w:rPr>
                <w:rFonts w:asciiTheme="minorHAnsi" w:hAnsiTheme="minorHAnsi" w:cstheme="minorHAnsi"/>
                <w:sz w:val="20"/>
                <w:szCs w:val="20"/>
                <w:lang w:eastAsia="it-IT"/>
              </w:rPr>
              <w:t xml:space="preserve">Le service du </w:t>
            </w:r>
            <w:r w:rsidR="0062579C" w:rsidRPr="00E265F5">
              <w:rPr>
                <w:rFonts w:asciiTheme="minorHAnsi" w:hAnsiTheme="minorHAnsi" w:cstheme="minorHAnsi"/>
                <w:sz w:val="20"/>
                <w:szCs w:val="20"/>
                <w:lang w:val="fr-CH" w:eastAsia="it-IT"/>
              </w:rPr>
              <w:t xml:space="preserve">Département de la gestion des ressources humaines </w:t>
            </w:r>
            <w:r w:rsidR="001619A6" w:rsidRPr="00E265F5">
              <w:rPr>
                <w:rFonts w:asciiTheme="minorHAnsi" w:hAnsiTheme="minorHAnsi" w:cstheme="minorHAnsi"/>
                <w:sz w:val="20"/>
                <w:szCs w:val="20"/>
                <w:lang w:eastAsia="it-IT"/>
              </w:rPr>
              <w:t>responsable</w:t>
            </w:r>
            <w:r w:rsidRPr="00E265F5">
              <w:rPr>
                <w:rFonts w:asciiTheme="minorHAnsi" w:hAnsiTheme="minorHAnsi" w:cstheme="minorHAnsi"/>
                <w:sz w:val="20"/>
                <w:szCs w:val="20"/>
                <w:lang w:eastAsia="it-IT"/>
              </w:rPr>
              <w:t xml:space="preserve"> de ces activités</w:t>
            </w:r>
            <w:r w:rsidR="001619A6"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 </w:t>
            </w:r>
            <w:r w:rsidR="00E265F5">
              <w:rPr>
                <w:rFonts w:asciiTheme="minorHAnsi" w:hAnsiTheme="minorHAnsi" w:cstheme="minorHAnsi"/>
                <w:sz w:val="20"/>
                <w:szCs w:val="20"/>
                <w:lang w:eastAsia="it-IT"/>
              </w:rPr>
              <w:t>très impliqué dans</w:t>
            </w:r>
            <w:r w:rsidRPr="00E265F5">
              <w:rPr>
                <w:rFonts w:asciiTheme="minorHAnsi" w:hAnsiTheme="minorHAnsi" w:cstheme="minorHAnsi"/>
                <w:sz w:val="20"/>
                <w:szCs w:val="20"/>
                <w:lang w:eastAsia="it-IT"/>
              </w:rPr>
              <w:t xml:space="preserve"> la mise en </w:t>
            </w:r>
            <w:r w:rsidR="00A55BE4" w:rsidRPr="00E265F5">
              <w:rPr>
                <w:rFonts w:asciiTheme="minorHAnsi" w:hAnsiTheme="minorHAnsi" w:cstheme="minorHAnsi"/>
                <w:sz w:val="20"/>
                <w:szCs w:val="20"/>
                <w:lang w:eastAsia="it-IT"/>
              </w:rPr>
              <w:t>oe</w:t>
            </w:r>
            <w:r w:rsidRPr="00E265F5">
              <w:rPr>
                <w:rFonts w:asciiTheme="minorHAnsi" w:hAnsiTheme="minorHAnsi" w:cstheme="minorHAnsi"/>
                <w:sz w:val="20"/>
                <w:szCs w:val="20"/>
                <w:lang w:eastAsia="it-IT"/>
              </w:rPr>
              <w:t xml:space="preserve">uvre du nouveau </w:t>
            </w:r>
            <w:r w:rsidR="001619A6" w:rsidRPr="00E265F5">
              <w:rPr>
                <w:rFonts w:asciiTheme="minorHAnsi" w:hAnsiTheme="minorHAnsi" w:cstheme="minorHAnsi"/>
                <w:sz w:val="20"/>
                <w:szCs w:val="20"/>
                <w:lang w:eastAsia="it-IT"/>
              </w:rPr>
              <w:t xml:space="preserve">Système de gestion de la performance et de perfectionnement, confirme que la recommandation sera mise en </w:t>
            </w:r>
            <w:r w:rsidR="00A55BE4" w:rsidRPr="00E265F5">
              <w:rPr>
                <w:rFonts w:asciiTheme="minorHAnsi" w:hAnsiTheme="minorHAnsi" w:cstheme="minorHAnsi"/>
                <w:sz w:val="20"/>
                <w:szCs w:val="20"/>
                <w:lang w:eastAsia="it-IT"/>
              </w:rPr>
              <w:t>oe</w:t>
            </w:r>
            <w:r w:rsidR="001619A6" w:rsidRPr="00E265F5">
              <w:rPr>
                <w:rFonts w:asciiTheme="minorHAnsi" w:hAnsiTheme="minorHAnsi" w:cstheme="minorHAnsi"/>
                <w:sz w:val="20"/>
                <w:szCs w:val="20"/>
                <w:lang w:eastAsia="it-IT"/>
              </w:rPr>
              <w:t>uvre a</w:t>
            </w:r>
            <w:r w:rsidR="00E265F5">
              <w:rPr>
                <w:rFonts w:asciiTheme="minorHAnsi" w:hAnsiTheme="minorHAnsi" w:cstheme="minorHAnsi"/>
                <w:sz w:val="20"/>
                <w:szCs w:val="20"/>
                <w:lang w:eastAsia="it-IT"/>
              </w:rPr>
              <w:t>u cours du premier trimestre de </w:t>
            </w:r>
            <w:r w:rsidR="001619A6" w:rsidRPr="00E265F5">
              <w:rPr>
                <w:rFonts w:asciiTheme="minorHAnsi" w:hAnsiTheme="minorHAnsi" w:cstheme="minorHAnsi"/>
                <w:sz w:val="20"/>
                <w:szCs w:val="20"/>
                <w:lang w:eastAsia="it-IT"/>
              </w:rPr>
              <w:t>2018.</w:t>
            </w:r>
          </w:p>
        </w:tc>
        <w:tc>
          <w:tcPr>
            <w:tcW w:w="894" w:type="pct"/>
          </w:tcPr>
          <w:p w14:paraId="45DD6520" w14:textId="02C29C43" w:rsidR="004609CC" w:rsidRPr="00E265F5" w:rsidRDefault="004609CC" w:rsidP="00396C8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r w:rsidR="00984441" w:rsidRPr="00DD066D" w14:paraId="7392D52B" w14:textId="77777777" w:rsidTr="00396C8A">
        <w:tc>
          <w:tcPr>
            <w:tcW w:w="295" w:type="pct"/>
          </w:tcPr>
          <w:p w14:paraId="36C457EA" w14:textId="77777777" w:rsidR="004609CC" w:rsidRPr="00E265F5" w:rsidRDefault="004609CC"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2/201</w:t>
            </w:r>
            <w:r w:rsidR="000D25FA" w:rsidRPr="00E265F5">
              <w:rPr>
                <w:rFonts w:asciiTheme="minorHAnsi" w:hAnsiTheme="minorHAnsi" w:cstheme="minorHAnsi"/>
                <w:b/>
                <w:bCs/>
                <w:sz w:val="20"/>
                <w:szCs w:val="20"/>
                <w:lang w:eastAsia="it-IT"/>
              </w:rPr>
              <w:t>6</w:t>
            </w:r>
          </w:p>
        </w:tc>
        <w:tc>
          <w:tcPr>
            <w:tcW w:w="1350" w:type="pct"/>
          </w:tcPr>
          <w:p w14:paraId="256D7D62" w14:textId="77777777" w:rsidR="004609CC" w:rsidRPr="00E265F5" w:rsidRDefault="000D25FA" w:rsidP="00B53AD7">
            <w:pPr>
              <w:pStyle w:val="Tabletext"/>
              <w:rPr>
                <w:rFonts w:asciiTheme="minorHAnsi" w:hAnsiTheme="minorHAnsi" w:cstheme="minorHAnsi"/>
                <w:b/>
                <w:bCs/>
                <w:i/>
                <w:iCs/>
                <w:sz w:val="20"/>
                <w:szCs w:val="20"/>
                <w:lang w:eastAsia="it-IT"/>
              </w:rPr>
            </w:pPr>
            <w:bookmarkStart w:id="463" w:name="_Toc482176246"/>
            <w:bookmarkStart w:id="464" w:name="_Toc482958335"/>
            <w:r w:rsidRPr="00E265F5">
              <w:rPr>
                <w:rFonts w:asciiTheme="minorHAnsi" w:hAnsiTheme="minorHAnsi" w:cstheme="minorHAnsi"/>
                <w:b/>
                <w:bCs/>
                <w:i/>
                <w:iCs/>
                <w:sz w:val="20"/>
                <w:szCs w:val="20"/>
              </w:rPr>
              <w:t>Absence de "lignes directrices principales" dans le Règlement financier et les Règles financières</w:t>
            </w:r>
            <w:bookmarkEnd w:id="463"/>
            <w:bookmarkEnd w:id="464"/>
            <w:r w:rsidRPr="00E265F5">
              <w:rPr>
                <w:rFonts w:asciiTheme="minorHAnsi" w:hAnsiTheme="minorHAnsi" w:cstheme="minorHAnsi"/>
                <w:b/>
                <w:bCs/>
                <w:i/>
                <w:iCs/>
                <w:sz w:val="20"/>
                <w:szCs w:val="20"/>
              </w:rPr>
              <w:t xml:space="preserve"> </w:t>
            </w:r>
          </w:p>
          <w:p w14:paraId="746FD61D" w14:textId="33D4C548" w:rsidR="004609CC" w:rsidRPr="00E265F5" w:rsidRDefault="000F0C0C"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u w:val="single"/>
              </w:rPr>
              <w:t>Nous recommandons donc</w:t>
            </w:r>
            <w:r w:rsidRPr="00E265F5">
              <w:rPr>
                <w:rFonts w:asciiTheme="minorHAnsi" w:hAnsiTheme="minorHAnsi" w:cstheme="minorHAnsi"/>
                <w:sz w:val="20"/>
                <w:szCs w:val="20"/>
              </w:rPr>
              <w:t xml:space="preserve"> que la direction soumette au Conseil une proposition de modification du Règlement financier et des Règles financières dans un souci de cohérence avec les principes applicables aux achats énoncés dans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Ordre de service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il faudra harmoniser.</w:t>
            </w:r>
          </w:p>
        </w:tc>
        <w:tc>
          <w:tcPr>
            <w:tcW w:w="1208" w:type="pct"/>
          </w:tcPr>
          <w:p w14:paraId="01761B9D" w14:textId="07801CFD" w:rsidR="004609CC" w:rsidRPr="00E265F5" w:rsidRDefault="00BE2C31"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prend note de cette recommandation et envisagera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élaborer une proposition qui sera soumise au Conseil.</w:t>
            </w:r>
          </w:p>
        </w:tc>
        <w:tc>
          <w:tcPr>
            <w:tcW w:w="1253" w:type="pct"/>
          </w:tcPr>
          <w:p w14:paraId="2B0DF9ED" w14:textId="5EA3CEE4" w:rsidR="004609CC" w:rsidRPr="00E265F5" w:rsidRDefault="006E39F8"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004609CC"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004609CC" w:rsidRPr="00E265F5">
              <w:rPr>
                <w:rFonts w:asciiTheme="minorHAnsi" w:hAnsiTheme="minorHAnsi" w:cstheme="minorHAnsi"/>
                <w:b/>
                <w:bCs/>
                <w:sz w:val="20"/>
                <w:szCs w:val="20"/>
                <w:lang w:eastAsia="it-IT"/>
              </w:rPr>
              <w:t>201</w:t>
            </w:r>
            <w:r w:rsidR="00BE2C31" w:rsidRPr="00E265F5">
              <w:rPr>
                <w:rFonts w:asciiTheme="minorHAnsi" w:hAnsiTheme="minorHAnsi" w:cstheme="minorHAnsi"/>
                <w:b/>
                <w:bCs/>
                <w:sz w:val="20"/>
                <w:szCs w:val="20"/>
                <w:lang w:eastAsia="it-IT"/>
              </w:rPr>
              <w:t>8</w:t>
            </w:r>
            <w:r w:rsidR="004609CC" w:rsidRPr="00E265F5">
              <w:rPr>
                <w:rFonts w:asciiTheme="minorHAnsi" w:hAnsiTheme="minorHAnsi" w:cstheme="minorHAnsi"/>
                <w:b/>
                <w:bCs/>
                <w:sz w:val="20"/>
                <w:szCs w:val="20"/>
                <w:lang w:eastAsia="it-IT"/>
              </w:rPr>
              <w:t>:</w:t>
            </w:r>
          </w:p>
          <w:p w14:paraId="5239D329" w14:textId="53B38FEF" w:rsidR="006E103C" w:rsidRPr="00E265F5" w:rsidRDefault="006E103C"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Une version modifiée du Règlement financier et des Règles financières est présentée </w:t>
            </w:r>
            <w:r w:rsidR="009F24C5" w:rsidRPr="00E265F5">
              <w:rPr>
                <w:rFonts w:asciiTheme="minorHAnsi" w:hAnsiTheme="minorHAnsi" w:cstheme="minorHAnsi"/>
                <w:sz w:val="20"/>
                <w:szCs w:val="20"/>
                <w:lang w:eastAsia="it-IT"/>
              </w:rPr>
              <w:t xml:space="preserve">à cette </w:t>
            </w:r>
            <w:r w:rsidR="006E39F8" w:rsidRPr="00E265F5">
              <w:rPr>
                <w:rFonts w:asciiTheme="minorHAnsi" w:hAnsiTheme="minorHAnsi" w:cstheme="minorHAnsi"/>
                <w:sz w:val="20"/>
                <w:szCs w:val="20"/>
                <w:lang w:eastAsia="it-IT"/>
              </w:rPr>
              <w:t>session</w:t>
            </w:r>
            <w:r w:rsidR="009F24C5" w:rsidRPr="00E265F5">
              <w:rPr>
                <w:rFonts w:asciiTheme="minorHAnsi" w:hAnsiTheme="minorHAnsi" w:cstheme="minorHAnsi"/>
                <w:sz w:val="20"/>
                <w:szCs w:val="20"/>
                <w:lang w:eastAsia="it-IT"/>
              </w:rPr>
              <w:t xml:space="preserve"> du</w:t>
            </w:r>
            <w:r w:rsidRPr="00E265F5">
              <w:rPr>
                <w:rFonts w:asciiTheme="minorHAnsi" w:hAnsiTheme="minorHAnsi" w:cstheme="minorHAnsi"/>
                <w:sz w:val="20"/>
                <w:szCs w:val="20"/>
                <w:lang w:eastAsia="it-IT"/>
              </w:rPr>
              <w:t xml:space="preserve"> Groupe GTC-FHR pour appliquer cette recommandation.</w:t>
            </w:r>
          </w:p>
        </w:tc>
        <w:tc>
          <w:tcPr>
            <w:tcW w:w="894" w:type="pct"/>
          </w:tcPr>
          <w:p w14:paraId="0F66BDFA" w14:textId="7EF163BE" w:rsidR="004609CC" w:rsidRPr="00E265F5" w:rsidRDefault="004609CC"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r w:rsidR="00984441" w:rsidRPr="00DD066D" w14:paraId="22FB05E6" w14:textId="77777777" w:rsidTr="00396C8A">
        <w:tc>
          <w:tcPr>
            <w:tcW w:w="295" w:type="pct"/>
          </w:tcPr>
          <w:p w14:paraId="6308B90C" w14:textId="77777777" w:rsidR="004609CC" w:rsidRPr="00E265F5" w:rsidRDefault="004609CC" w:rsidP="003A473D">
            <w:pPr>
              <w:pStyle w:val="Tablehead"/>
              <w:pageBreakBefore/>
              <w:rPr>
                <w:rFonts w:asciiTheme="minorHAnsi" w:hAnsiTheme="minorHAnsi" w:cstheme="minorHAnsi"/>
                <w:sz w:val="20"/>
                <w:szCs w:val="20"/>
                <w:lang w:eastAsia="it-IT"/>
              </w:rPr>
            </w:pPr>
          </w:p>
        </w:tc>
        <w:tc>
          <w:tcPr>
            <w:tcW w:w="1350" w:type="pct"/>
          </w:tcPr>
          <w:p w14:paraId="60AFE6E3" w14:textId="77777777"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57397106" w14:textId="77777777"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51B1D5DC" w14:textId="6723912B"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par la direction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UIT </w:t>
            </w:r>
          </w:p>
        </w:tc>
        <w:tc>
          <w:tcPr>
            <w:tcW w:w="894" w:type="pct"/>
          </w:tcPr>
          <w:p w14:paraId="2E663B3B" w14:textId="3D393624"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évaluation de la Cour des comptes italienne</w:t>
            </w:r>
          </w:p>
        </w:tc>
      </w:tr>
      <w:tr w:rsidR="00984441" w:rsidRPr="00DD066D" w14:paraId="3D2F7F83" w14:textId="77777777" w:rsidTr="00396C8A">
        <w:tc>
          <w:tcPr>
            <w:tcW w:w="295" w:type="pct"/>
          </w:tcPr>
          <w:p w14:paraId="131E1CA1" w14:textId="77777777" w:rsidR="004609CC" w:rsidRPr="00E265F5" w:rsidRDefault="004609CC"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3/201</w:t>
            </w:r>
            <w:r w:rsidR="00042F28" w:rsidRPr="00E265F5">
              <w:rPr>
                <w:rFonts w:asciiTheme="minorHAnsi" w:hAnsiTheme="minorHAnsi" w:cstheme="minorHAnsi"/>
                <w:b/>
                <w:bCs/>
                <w:sz w:val="20"/>
                <w:szCs w:val="20"/>
                <w:lang w:eastAsia="it-IT"/>
              </w:rPr>
              <w:t>6</w:t>
            </w:r>
          </w:p>
        </w:tc>
        <w:tc>
          <w:tcPr>
            <w:tcW w:w="1350" w:type="pct"/>
          </w:tcPr>
          <w:p w14:paraId="053CF853" w14:textId="77777777" w:rsidR="004609CC" w:rsidRPr="00E265F5" w:rsidRDefault="00042F28" w:rsidP="00B53AD7">
            <w:pPr>
              <w:pStyle w:val="TabletextItalic"/>
              <w:ind w:left="0"/>
              <w:rPr>
                <w:rFonts w:asciiTheme="minorHAnsi" w:hAnsiTheme="minorHAnsi" w:cstheme="minorHAnsi"/>
                <w:b/>
                <w:bCs/>
                <w:sz w:val="20"/>
                <w:szCs w:val="20"/>
              </w:rPr>
            </w:pPr>
            <w:bookmarkStart w:id="465" w:name="_Toc482958336"/>
            <w:bookmarkStart w:id="466" w:name="_Toc452140209"/>
            <w:r w:rsidRPr="00E265F5">
              <w:rPr>
                <w:rFonts w:asciiTheme="minorHAnsi" w:hAnsiTheme="minorHAnsi" w:cstheme="minorHAnsi"/>
                <w:b/>
                <w:bCs/>
                <w:sz w:val="20"/>
                <w:szCs w:val="20"/>
              </w:rPr>
              <w:t>Le portail mondial pour les fournisseurs des organismes des Nations Unies</w:t>
            </w:r>
            <w:bookmarkEnd w:id="465"/>
            <w:r w:rsidRPr="00E265F5">
              <w:rPr>
                <w:rFonts w:asciiTheme="minorHAnsi" w:hAnsiTheme="minorHAnsi" w:cstheme="minorHAnsi"/>
                <w:b/>
                <w:bCs/>
                <w:sz w:val="20"/>
                <w:szCs w:val="20"/>
              </w:rPr>
              <w:t xml:space="preserve"> </w:t>
            </w:r>
            <w:bookmarkEnd w:id="466"/>
          </w:p>
          <w:p w14:paraId="0F0F4599" w14:textId="2F1ADD62" w:rsidR="004609CC" w:rsidRPr="00E265F5" w:rsidRDefault="00042F28"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rPr>
              <w:t>Nous prenons note du fait que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UIT publie systématiquement tous les appels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offres pour un montant supérieur à 50 000 CHF sur le portail UNGM; toutefois, afin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améliorer la transparence du processus de passation des marchés et, de manière générale, afin de réaliser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objectif prévu par le mandat de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 xml:space="preserve">Assemblée générale des Nations Unies, </w:t>
            </w:r>
            <w:r w:rsidRPr="00E265F5">
              <w:rPr>
                <w:rFonts w:asciiTheme="minorHAnsi" w:hAnsiTheme="minorHAnsi" w:cstheme="minorHAnsi"/>
                <w:i w:val="0"/>
                <w:iCs w:val="0"/>
                <w:sz w:val="20"/>
                <w:szCs w:val="20"/>
                <w:u w:val="single"/>
              </w:rPr>
              <w:t>nous recommandons</w:t>
            </w:r>
            <w:r w:rsidRPr="00E265F5">
              <w:rPr>
                <w:rFonts w:asciiTheme="minorHAnsi" w:hAnsiTheme="minorHAnsi" w:cstheme="minorHAnsi"/>
                <w:i w:val="0"/>
                <w:iCs w:val="0"/>
                <w:sz w:val="20"/>
                <w:szCs w:val="20"/>
              </w:rPr>
              <w:t xml:space="preserve"> que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Union publie aussi systématiquement tous les appels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offres (concernant des biens et des services) pour un montant inférieur à 50 000 CHF.</w:t>
            </w:r>
          </w:p>
        </w:tc>
        <w:tc>
          <w:tcPr>
            <w:tcW w:w="1208" w:type="pct"/>
          </w:tcPr>
          <w:p w14:paraId="57EDAFF5" w14:textId="21A143A4" w:rsidR="004609CC" w:rsidRPr="00E265F5" w:rsidRDefault="00CE48C8"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lang w:eastAsia="it-IT"/>
              </w:rPr>
              <w:t>L</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UIT prend note de cette recommandation et confirme que le but de la publication sur le portail UNGM est que la concurrence internationale puisse s</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exercer, ce qui est obligatoire pour les appels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offres pour un montant supérieur à 100 000</w:t>
            </w:r>
            <w:r w:rsidR="0018444B" w:rsidRPr="00E265F5">
              <w:rPr>
                <w:rFonts w:asciiTheme="minorHAnsi" w:hAnsiTheme="minorHAnsi" w:cstheme="minorHAnsi"/>
                <w:i w:val="0"/>
                <w:iCs w:val="0"/>
                <w:sz w:val="20"/>
                <w:szCs w:val="20"/>
                <w:lang w:eastAsia="it-IT"/>
              </w:rPr>
              <w:t> </w:t>
            </w:r>
            <w:r w:rsidRPr="00E265F5">
              <w:rPr>
                <w:rFonts w:asciiTheme="minorHAnsi" w:hAnsiTheme="minorHAnsi" w:cstheme="minorHAnsi"/>
                <w:i w:val="0"/>
                <w:iCs w:val="0"/>
                <w:sz w:val="20"/>
                <w:szCs w:val="20"/>
                <w:lang w:eastAsia="it-IT"/>
              </w:rPr>
              <w:t>CHF conformément à l</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Ordre de service en vigueur. La pratique actuellement suivie consiste à publier également les appels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offres pour un montant supérieur à 50 000 CHF (et inférieur à 100 000 CHF) sur le portail UNGM. Lorsque les circonstances l</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exigent, il peut également être fait appel à la concurrence internationale concernant des appels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offres pour un montant inférieur.</w:t>
            </w:r>
          </w:p>
        </w:tc>
        <w:tc>
          <w:tcPr>
            <w:tcW w:w="1253" w:type="pct"/>
          </w:tcPr>
          <w:p w14:paraId="54843EBE" w14:textId="74DEDDBE" w:rsidR="004609CC" w:rsidRPr="00E265F5" w:rsidRDefault="004609CC" w:rsidP="00B53AD7">
            <w:pPr>
              <w:pStyle w:val="TabletextItalic"/>
              <w:ind w:left="0"/>
              <w:rPr>
                <w:rFonts w:asciiTheme="minorHAnsi" w:hAnsiTheme="minorHAnsi" w:cstheme="minorHAnsi"/>
                <w:b/>
                <w:bCs/>
                <w:i w:val="0"/>
                <w:iCs w:val="0"/>
                <w:sz w:val="20"/>
                <w:szCs w:val="20"/>
                <w:lang w:eastAsia="it-IT"/>
              </w:rPr>
            </w:pPr>
            <w:r w:rsidRPr="00E265F5">
              <w:rPr>
                <w:rFonts w:asciiTheme="minorHAnsi" w:hAnsiTheme="minorHAnsi" w:cstheme="minorHAnsi"/>
                <w:b/>
                <w:bCs/>
                <w:i w:val="0"/>
                <w:iCs w:val="0"/>
                <w:sz w:val="20"/>
                <w:szCs w:val="20"/>
                <w:lang w:eastAsia="it-IT"/>
              </w:rPr>
              <w:t>Mise à</w:t>
            </w:r>
            <w:r w:rsidR="006E39F8" w:rsidRPr="00E265F5">
              <w:rPr>
                <w:rFonts w:asciiTheme="minorHAnsi" w:hAnsiTheme="minorHAnsi" w:cstheme="minorHAnsi"/>
                <w:b/>
                <w:bCs/>
                <w:i w:val="0"/>
                <w:iCs w:val="0"/>
                <w:sz w:val="20"/>
                <w:szCs w:val="20"/>
                <w:lang w:eastAsia="it-IT"/>
              </w:rPr>
              <w:t xml:space="preserve"> jour d</w:t>
            </w:r>
            <w:r w:rsidR="001B30ED" w:rsidRPr="00E265F5">
              <w:rPr>
                <w:rFonts w:asciiTheme="minorHAnsi" w:hAnsiTheme="minorHAnsi" w:cstheme="minorHAnsi"/>
                <w:b/>
                <w:bCs/>
                <w:i w:val="0"/>
                <w:iCs w:val="0"/>
                <w:sz w:val="20"/>
                <w:szCs w:val="20"/>
                <w:lang w:eastAsia="it-IT"/>
              </w:rPr>
              <w:t>'</w:t>
            </w:r>
            <w:r w:rsidR="00312561" w:rsidRPr="00E265F5">
              <w:rPr>
                <w:rFonts w:asciiTheme="minorHAnsi" w:hAnsiTheme="minorHAnsi" w:cstheme="minorHAnsi"/>
                <w:b/>
                <w:bCs/>
                <w:i w:val="0"/>
                <w:iCs w:val="0"/>
                <w:sz w:val="20"/>
                <w:szCs w:val="20"/>
                <w:lang w:eastAsia="it-IT"/>
              </w:rPr>
              <w:t>avril</w:t>
            </w:r>
            <w:r w:rsidR="0018444B" w:rsidRPr="00E265F5">
              <w:rPr>
                <w:rFonts w:asciiTheme="minorHAnsi" w:hAnsiTheme="minorHAnsi" w:cstheme="minorHAnsi"/>
                <w:b/>
                <w:bCs/>
                <w:i w:val="0"/>
                <w:iCs w:val="0"/>
                <w:sz w:val="20"/>
                <w:szCs w:val="20"/>
                <w:lang w:eastAsia="it-IT"/>
              </w:rPr>
              <w:t> </w:t>
            </w:r>
            <w:r w:rsidR="00312561" w:rsidRPr="00E265F5">
              <w:rPr>
                <w:rFonts w:asciiTheme="minorHAnsi" w:hAnsiTheme="minorHAnsi" w:cstheme="minorHAnsi"/>
                <w:b/>
                <w:bCs/>
                <w:i w:val="0"/>
                <w:iCs w:val="0"/>
                <w:sz w:val="20"/>
                <w:szCs w:val="20"/>
                <w:lang w:eastAsia="it-IT"/>
              </w:rPr>
              <w:t>2018</w:t>
            </w:r>
            <w:r w:rsidRPr="00E265F5">
              <w:rPr>
                <w:rFonts w:asciiTheme="minorHAnsi" w:hAnsiTheme="minorHAnsi" w:cstheme="minorHAnsi"/>
                <w:b/>
                <w:bCs/>
                <w:i w:val="0"/>
                <w:iCs w:val="0"/>
                <w:sz w:val="20"/>
                <w:szCs w:val="20"/>
                <w:lang w:eastAsia="it-IT"/>
              </w:rPr>
              <w:t>:</w:t>
            </w:r>
          </w:p>
          <w:p w14:paraId="06FA780A" w14:textId="51DBD55F" w:rsidR="00973141" w:rsidRPr="00E265F5" w:rsidRDefault="00973141"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5AF1A837" w14:textId="51634FAE" w:rsidR="00973141" w:rsidRPr="00E265F5" w:rsidRDefault="00973141"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lang w:eastAsia="it-IT"/>
              </w:rPr>
              <w:t>Le Manuel sur la passation des marchés est en cours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élaboration.</w:t>
            </w:r>
          </w:p>
        </w:tc>
        <w:tc>
          <w:tcPr>
            <w:tcW w:w="894" w:type="pct"/>
          </w:tcPr>
          <w:p w14:paraId="03CF279E" w14:textId="4E04DAFD" w:rsidR="004609CC" w:rsidRPr="00E265F5" w:rsidRDefault="004609CC"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lang w:eastAsia="it-IT"/>
              </w:rPr>
              <w:t>En cours</w:t>
            </w:r>
            <w:r w:rsidR="00396C8A">
              <w:rPr>
                <w:rFonts w:asciiTheme="minorHAnsi" w:hAnsiTheme="minorHAnsi" w:cstheme="minorHAnsi"/>
                <w:i w:val="0"/>
                <w:iCs w:val="0"/>
                <w:sz w:val="20"/>
                <w:szCs w:val="20"/>
                <w:lang w:eastAsia="it-IT"/>
              </w:rPr>
              <w:t>.</w:t>
            </w:r>
          </w:p>
        </w:tc>
      </w:tr>
      <w:tr w:rsidR="00984441" w:rsidRPr="00DD066D" w14:paraId="40079AA8" w14:textId="77777777" w:rsidTr="00396C8A">
        <w:tc>
          <w:tcPr>
            <w:tcW w:w="295" w:type="pct"/>
          </w:tcPr>
          <w:p w14:paraId="79E65277" w14:textId="77777777" w:rsidR="004609CC" w:rsidRPr="00E265F5" w:rsidRDefault="004609CC"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4/201</w:t>
            </w:r>
            <w:r w:rsidR="00CE48C8" w:rsidRPr="00E265F5">
              <w:rPr>
                <w:rFonts w:asciiTheme="minorHAnsi" w:hAnsiTheme="minorHAnsi" w:cstheme="minorHAnsi"/>
                <w:b/>
                <w:bCs/>
                <w:sz w:val="20"/>
                <w:szCs w:val="20"/>
                <w:lang w:eastAsia="it-IT"/>
              </w:rPr>
              <w:t>6</w:t>
            </w:r>
          </w:p>
        </w:tc>
        <w:tc>
          <w:tcPr>
            <w:tcW w:w="1350" w:type="pct"/>
          </w:tcPr>
          <w:p w14:paraId="13F69FA9" w14:textId="24A7E589" w:rsidR="004609CC" w:rsidRPr="00E265F5" w:rsidRDefault="00CE48C8"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Nous partageons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avis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Auditeur interne et </w:t>
            </w:r>
            <w:r w:rsidRPr="00E265F5">
              <w:rPr>
                <w:rFonts w:asciiTheme="minorHAnsi" w:hAnsiTheme="minorHAnsi" w:cstheme="minorHAnsi"/>
                <w:sz w:val="20"/>
                <w:szCs w:val="20"/>
                <w:u w:val="single"/>
              </w:rPr>
              <w:t>recommandons</w:t>
            </w:r>
            <w:r w:rsidRPr="00E265F5">
              <w:rPr>
                <w:rFonts w:asciiTheme="minorHAnsi" w:hAnsiTheme="minorHAnsi" w:cstheme="minorHAnsi"/>
                <w:sz w:val="20"/>
                <w:szCs w:val="20"/>
              </w:rPr>
              <w:t xml:space="preserv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adoption: </w:t>
            </w:r>
            <w:r w:rsidRPr="00E265F5">
              <w:rPr>
                <w:rFonts w:asciiTheme="minorHAnsi" w:hAnsiTheme="minorHAnsi" w:cstheme="minorHAnsi"/>
                <w:b/>
                <w:bCs/>
                <w:sz w:val="20"/>
                <w:szCs w:val="20"/>
              </w:rPr>
              <w:t>A</w:t>
            </w:r>
            <w:r w:rsidRPr="00E265F5">
              <w:rPr>
                <w:rFonts w:asciiTheme="minorHAnsi" w:hAnsiTheme="minorHAnsi" w:cstheme="minorHAnsi"/>
                <w:sz w:val="20"/>
                <w:szCs w:val="20"/>
              </w:rPr>
              <w:t>)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un manuel sur la passation des marchés couvrant toutes les étapes du processus de passation des marchés conformément aux bonnes pratiques adoptées par les Nations Unies en la matière et aussi; </w:t>
            </w:r>
            <w:r w:rsidRPr="00E265F5">
              <w:rPr>
                <w:rFonts w:asciiTheme="minorHAnsi" w:hAnsiTheme="minorHAnsi" w:cstheme="minorHAnsi"/>
                <w:b/>
                <w:bCs/>
                <w:sz w:val="20"/>
                <w:szCs w:val="20"/>
              </w:rPr>
              <w:t>B</w:t>
            </w:r>
            <w:r w:rsidRPr="00E265F5">
              <w:rPr>
                <w:rFonts w:asciiTheme="minorHAnsi" w:hAnsiTheme="minorHAnsi" w:cstheme="minorHAnsi"/>
                <w:sz w:val="20"/>
                <w:szCs w:val="20"/>
              </w:rPr>
              <w:t xml:space="preserve">) de mesures de mise en </w:t>
            </w:r>
            <w:r w:rsidR="00A55BE4" w:rsidRPr="00E265F5">
              <w:rPr>
                <w:rFonts w:asciiTheme="minorHAnsi" w:hAnsiTheme="minorHAnsi" w:cstheme="minorHAnsi"/>
                <w:sz w:val="20"/>
                <w:szCs w:val="20"/>
              </w:rPr>
              <w:t>oe</w:t>
            </w:r>
            <w:r w:rsidRPr="00E265F5">
              <w:rPr>
                <w:rFonts w:asciiTheme="minorHAnsi" w:hAnsiTheme="minorHAnsi" w:cstheme="minorHAnsi"/>
                <w:sz w:val="20"/>
                <w:szCs w:val="20"/>
              </w:rPr>
              <w:t>uvre basées sur des politiques et des procédures qui devraient servir de guide à tous les membres du personnel intervenant dans les différentes étapes du processus de passation des marchés.</w:t>
            </w:r>
          </w:p>
        </w:tc>
        <w:tc>
          <w:tcPr>
            <w:tcW w:w="1208" w:type="pct"/>
          </w:tcPr>
          <w:p w14:paraId="7757D6C1" w14:textId="129E8B47" w:rsidR="004609CC" w:rsidRPr="00E265F5" w:rsidRDefault="00CE48C8"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accepte cette recommandation. Un manuel sur la passation des marchés est en cours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élaboration. Il couvrira toutes les étapes du processus de passation des marchés et fournira des indications sur les politiques et les procédures à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intention de tous les membres du personnel intervenant dans les différentes étapes du processus de passation des marchés.</w:t>
            </w:r>
          </w:p>
        </w:tc>
        <w:tc>
          <w:tcPr>
            <w:tcW w:w="1253" w:type="pct"/>
          </w:tcPr>
          <w:p w14:paraId="42972DC6" w14:textId="4C4D8771" w:rsidR="00312561" w:rsidRPr="00E265F5" w:rsidRDefault="006E39F8"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00312561"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00312561" w:rsidRPr="00E265F5">
              <w:rPr>
                <w:rFonts w:asciiTheme="minorHAnsi" w:hAnsiTheme="minorHAnsi" w:cstheme="minorHAnsi"/>
                <w:b/>
                <w:bCs/>
                <w:sz w:val="20"/>
                <w:szCs w:val="20"/>
                <w:lang w:eastAsia="it-IT"/>
              </w:rPr>
              <w:t>2018:</w:t>
            </w:r>
          </w:p>
          <w:p w14:paraId="1DFBEA9E" w14:textId="77777777" w:rsidR="006E39F8" w:rsidRPr="00E265F5" w:rsidRDefault="006E39F8"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4EB307A6" w14:textId="3F2F2405" w:rsidR="00973141" w:rsidRPr="00E265F5" w:rsidRDefault="006E39F8" w:rsidP="00B53AD7">
            <w:pPr>
              <w:pStyle w:val="Tabletext"/>
              <w:rPr>
                <w:rFonts w:asciiTheme="minorHAnsi" w:hAnsiTheme="minorHAnsi" w:cstheme="minorHAnsi"/>
                <w:sz w:val="20"/>
                <w:szCs w:val="20"/>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45393DE0" w14:textId="30E4A2B4" w:rsidR="004609CC" w:rsidRPr="00E265F5" w:rsidRDefault="004609CC"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A473D">
              <w:rPr>
                <w:rFonts w:asciiTheme="minorHAnsi" w:hAnsiTheme="minorHAnsi" w:cstheme="minorHAnsi"/>
                <w:sz w:val="20"/>
                <w:szCs w:val="20"/>
                <w:lang w:eastAsia="it-IT"/>
              </w:rPr>
              <w:t>.</w:t>
            </w:r>
          </w:p>
        </w:tc>
      </w:tr>
      <w:tr w:rsidR="00984441" w:rsidRPr="00DD066D" w14:paraId="45D50F2D" w14:textId="77777777" w:rsidTr="00396C8A">
        <w:tc>
          <w:tcPr>
            <w:tcW w:w="295" w:type="pct"/>
          </w:tcPr>
          <w:p w14:paraId="7EC50887" w14:textId="77777777" w:rsidR="004609CC" w:rsidRPr="00E265F5" w:rsidRDefault="004609CC" w:rsidP="003A473D">
            <w:pPr>
              <w:pStyle w:val="Tablehead"/>
              <w:pageBreakBefore/>
              <w:rPr>
                <w:rFonts w:asciiTheme="minorHAnsi" w:hAnsiTheme="minorHAnsi" w:cstheme="minorHAnsi"/>
                <w:sz w:val="20"/>
                <w:szCs w:val="20"/>
                <w:lang w:eastAsia="it-IT"/>
              </w:rPr>
            </w:pPr>
          </w:p>
        </w:tc>
        <w:tc>
          <w:tcPr>
            <w:tcW w:w="1350" w:type="pct"/>
          </w:tcPr>
          <w:p w14:paraId="67E519A7" w14:textId="77777777"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5B160A30" w14:textId="77777777"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7791AA34" w14:textId="360B3E3E"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par la direction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UIT </w:t>
            </w:r>
          </w:p>
        </w:tc>
        <w:tc>
          <w:tcPr>
            <w:tcW w:w="894" w:type="pct"/>
          </w:tcPr>
          <w:p w14:paraId="2A3B73C5" w14:textId="39178375" w:rsidR="004609CC" w:rsidRPr="00E265F5" w:rsidRDefault="004609CC" w:rsidP="00B53AD7">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évaluation de la Cour des comptes italienne</w:t>
            </w:r>
          </w:p>
        </w:tc>
      </w:tr>
      <w:tr w:rsidR="00984441" w:rsidRPr="00DD066D" w14:paraId="232966A8" w14:textId="77777777" w:rsidTr="00396C8A">
        <w:tc>
          <w:tcPr>
            <w:tcW w:w="295" w:type="pct"/>
          </w:tcPr>
          <w:p w14:paraId="19B41D8C" w14:textId="77777777" w:rsidR="004609CC" w:rsidRPr="00E265F5" w:rsidRDefault="004609CC" w:rsidP="003A473D">
            <w:pPr>
              <w:pStyle w:val="Tabletext"/>
              <w:jc w:val="center"/>
              <w:rPr>
                <w:rFonts w:asciiTheme="minorHAnsi" w:hAnsiTheme="minorHAnsi" w:cstheme="minorHAnsi"/>
                <w:b/>
                <w:bCs/>
                <w:sz w:val="20"/>
                <w:szCs w:val="20"/>
                <w:lang w:eastAsia="it-IT"/>
              </w:rPr>
            </w:pPr>
            <w:bookmarkStart w:id="467" w:name="lt_pId008"/>
            <w:r w:rsidRPr="00E265F5">
              <w:rPr>
                <w:rFonts w:asciiTheme="minorHAnsi" w:hAnsiTheme="minorHAnsi" w:cstheme="minorHAnsi"/>
                <w:b/>
                <w:bCs/>
                <w:sz w:val="20"/>
                <w:szCs w:val="20"/>
                <w:lang w:eastAsia="it-IT"/>
              </w:rPr>
              <w:t>Rec.</w:t>
            </w:r>
            <w:bookmarkEnd w:id="467"/>
            <w:r w:rsidRPr="00E265F5">
              <w:rPr>
                <w:rFonts w:asciiTheme="minorHAnsi" w:hAnsiTheme="minorHAnsi" w:cstheme="minorHAnsi"/>
                <w:b/>
                <w:bCs/>
                <w:sz w:val="20"/>
                <w:szCs w:val="20"/>
                <w:lang w:eastAsia="it-IT"/>
              </w:rPr>
              <w:t xml:space="preserve"> 5/201</w:t>
            </w:r>
            <w:r w:rsidR="00CE48C8" w:rsidRPr="00E265F5">
              <w:rPr>
                <w:rFonts w:asciiTheme="minorHAnsi" w:hAnsiTheme="minorHAnsi" w:cstheme="minorHAnsi"/>
                <w:b/>
                <w:bCs/>
                <w:sz w:val="20"/>
                <w:szCs w:val="20"/>
                <w:lang w:eastAsia="it-IT"/>
              </w:rPr>
              <w:t>6</w:t>
            </w:r>
          </w:p>
        </w:tc>
        <w:tc>
          <w:tcPr>
            <w:tcW w:w="1350" w:type="pct"/>
          </w:tcPr>
          <w:p w14:paraId="2DDE426D" w14:textId="02DBDA0A" w:rsidR="004609CC" w:rsidRPr="00E265F5" w:rsidRDefault="008362B3" w:rsidP="00B53AD7">
            <w:pPr>
              <w:pStyle w:val="Tabletext"/>
              <w:rPr>
                <w:rFonts w:asciiTheme="minorHAnsi" w:hAnsiTheme="minorHAnsi" w:cstheme="minorHAnsi"/>
                <w:sz w:val="20"/>
                <w:szCs w:val="20"/>
              </w:rPr>
            </w:pP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donc que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établisse une procédure écrite que le personnel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devra suivre pour les marchés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un montant inférieur à 20 000 CHF.</w:t>
            </w:r>
          </w:p>
        </w:tc>
        <w:tc>
          <w:tcPr>
            <w:tcW w:w="1208" w:type="pct"/>
          </w:tcPr>
          <w:p w14:paraId="42A71CC6" w14:textId="3EBABC17" w:rsidR="004609CC" w:rsidRPr="00E265F5" w:rsidRDefault="008362B3"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accepte cette recommandation. Il en sera tenu compte dans le nouveau manuel sur la passation des marchés.</w:t>
            </w:r>
          </w:p>
        </w:tc>
        <w:tc>
          <w:tcPr>
            <w:tcW w:w="1253" w:type="pct"/>
          </w:tcPr>
          <w:p w14:paraId="100F0E76" w14:textId="3A6A0217" w:rsidR="00312561" w:rsidRPr="00E265F5" w:rsidRDefault="006E39F8"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00312561"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00312561" w:rsidRPr="00E265F5">
              <w:rPr>
                <w:rFonts w:asciiTheme="minorHAnsi" w:hAnsiTheme="minorHAnsi" w:cstheme="minorHAnsi"/>
                <w:b/>
                <w:bCs/>
                <w:sz w:val="20"/>
                <w:szCs w:val="20"/>
                <w:lang w:eastAsia="it-IT"/>
              </w:rPr>
              <w:t>2018:</w:t>
            </w:r>
          </w:p>
          <w:p w14:paraId="0B698050" w14:textId="77777777" w:rsidR="006E39F8" w:rsidRPr="00E265F5" w:rsidRDefault="006E39F8"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75BF9884" w14:textId="78CFAB69" w:rsidR="004609CC" w:rsidRPr="00E265F5" w:rsidRDefault="006E39F8" w:rsidP="00B53AD7">
            <w:pPr>
              <w:pStyle w:val="Tabletext"/>
              <w:rPr>
                <w:rFonts w:asciiTheme="minorHAnsi" w:hAnsiTheme="minorHAnsi" w:cstheme="minorHAnsi"/>
                <w:sz w:val="20"/>
                <w:szCs w:val="20"/>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524B05C6" w14:textId="68C64B89" w:rsidR="004609CC" w:rsidRPr="00E265F5" w:rsidRDefault="008362B3"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E265F5">
              <w:rPr>
                <w:rFonts w:asciiTheme="minorHAnsi" w:hAnsiTheme="minorHAnsi" w:cstheme="minorHAnsi"/>
                <w:sz w:val="20"/>
                <w:szCs w:val="20"/>
                <w:lang w:eastAsia="it-IT"/>
              </w:rPr>
              <w:t>.</w:t>
            </w:r>
          </w:p>
        </w:tc>
      </w:tr>
      <w:tr w:rsidR="00984441" w:rsidRPr="00DD066D" w14:paraId="547295F0" w14:textId="77777777" w:rsidTr="00396C8A">
        <w:tc>
          <w:tcPr>
            <w:tcW w:w="295" w:type="pct"/>
          </w:tcPr>
          <w:p w14:paraId="0653F9D3" w14:textId="77777777" w:rsidR="0077618B" w:rsidRPr="00E265F5" w:rsidRDefault="0077618B" w:rsidP="003A473D">
            <w:pPr>
              <w:widowControl w:val="0"/>
              <w:kinsoku w:val="0"/>
              <w:adjustRightInd/>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6/2016</w:t>
            </w:r>
          </w:p>
        </w:tc>
        <w:tc>
          <w:tcPr>
            <w:tcW w:w="1350" w:type="pct"/>
          </w:tcPr>
          <w:p w14:paraId="5EA3CF5E" w14:textId="77777777" w:rsidR="0077618B" w:rsidRPr="00E265F5" w:rsidRDefault="002B3973" w:rsidP="00B53AD7">
            <w:pPr>
              <w:widowControl w:val="0"/>
              <w:kinsoku w:val="0"/>
              <w:rPr>
                <w:rFonts w:asciiTheme="minorHAnsi" w:hAnsiTheme="minorHAnsi" w:cstheme="minorHAnsi"/>
                <w:b/>
                <w:i/>
                <w:sz w:val="20"/>
                <w:szCs w:val="20"/>
                <w:highlight w:val="yellow"/>
                <w:lang w:eastAsia="it-IT"/>
              </w:rPr>
            </w:pPr>
            <w:r w:rsidRPr="00E265F5">
              <w:rPr>
                <w:rFonts w:asciiTheme="minorHAnsi" w:hAnsiTheme="minorHAnsi" w:cstheme="minorHAnsi"/>
                <w:b/>
                <w:bCs/>
                <w:i/>
                <w:iCs/>
                <w:sz w:val="20"/>
                <w:szCs w:val="20"/>
              </w:rPr>
              <w:t>Améliorer la transparence du processus de passation des marchés</w:t>
            </w:r>
          </w:p>
          <w:p w14:paraId="4D57406F" w14:textId="0234408E" w:rsidR="0077618B" w:rsidRPr="00E265F5" w:rsidRDefault="002B3973" w:rsidP="00B53AD7">
            <w:pPr>
              <w:widowControl w:val="0"/>
              <w:kinsoku w:val="0"/>
              <w:rPr>
                <w:rFonts w:asciiTheme="minorHAnsi" w:hAnsiTheme="minorHAnsi" w:cstheme="minorHAnsi"/>
                <w:sz w:val="20"/>
                <w:szCs w:val="20"/>
                <w:lang w:eastAsia="it-IT"/>
              </w:rPr>
            </w:pPr>
            <w:r w:rsidRPr="00E265F5">
              <w:rPr>
                <w:rFonts w:asciiTheme="minorHAnsi" w:hAnsiTheme="minorHAnsi" w:cstheme="minorHAnsi"/>
                <w:sz w:val="20"/>
                <w:szCs w:val="20"/>
              </w:rPr>
              <w:t>Nous prenons note que la Division des achats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publie systématiquement tous les avis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attribution de marché sur le portail UNGM; toutefois, afin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améliorer la transparence du processus de passation des marchés,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que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UIT: </w:t>
            </w:r>
            <w:r w:rsidRPr="00E265F5">
              <w:rPr>
                <w:rFonts w:asciiTheme="minorHAnsi" w:hAnsiTheme="minorHAnsi" w:cstheme="minorHAnsi"/>
                <w:b/>
                <w:bCs/>
                <w:sz w:val="20"/>
                <w:szCs w:val="20"/>
              </w:rPr>
              <w:t>A</w:t>
            </w:r>
            <w:r w:rsidRPr="00E265F5">
              <w:rPr>
                <w:rFonts w:asciiTheme="minorHAnsi" w:hAnsiTheme="minorHAnsi" w:cstheme="minorHAnsi"/>
                <w:sz w:val="20"/>
                <w:szCs w:val="20"/>
              </w:rPr>
              <w:t xml:space="preserve">) informe individuellement tous les soumissionnaires participants dès que la passation de marché a été conclue ou annulée; </w:t>
            </w:r>
            <w:r w:rsidRPr="00E265F5">
              <w:rPr>
                <w:rFonts w:asciiTheme="minorHAnsi" w:hAnsiTheme="minorHAnsi" w:cstheme="minorHAnsi"/>
                <w:b/>
                <w:bCs/>
                <w:sz w:val="20"/>
                <w:szCs w:val="20"/>
              </w:rPr>
              <w:t>B</w:t>
            </w:r>
            <w:r w:rsidRPr="00E265F5">
              <w:rPr>
                <w:rFonts w:asciiTheme="minorHAnsi" w:hAnsiTheme="minorHAnsi" w:cstheme="minorHAnsi"/>
                <w:sz w:val="20"/>
                <w:szCs w:val="20"/>
              </w:rPr>
              <w:t>) organise, sur demande, une séance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information à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intention de tous les soumissionnaires non retenus/exclus qui ont participé au processus de passation de marché, afin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ils puissent mieux concourir pour des sollicitations futures; </w:t>
            </w:r>
            <w:r w:rsidRPr="00E265F5">
              <w:rPr>
                <w:rFonts w:asciiTheme="minorHAnsi" w:hAnsiTheme="minorHAnsi" w:cstheme="minorHAnsi"/>
                <w:b/>
                <w:bCs/>
                <w:sz w:val="20"/>
                <w:szCs w:val="20"/>
              </w:rPr>
              <w:t>C</w:t>
            </w:r>
            <w:r w:rsidRPr="00E265F5">
              <w:rPr>
                <w:rFonts w:asciiTheme="minorHAnsi" w:hAnsiTheme="minorHAnsi" w:cstheme="minorHAnsi"/>
                <w:sz w:val="20"/>
                <w:szCs w:val="20"/>
              </w:rPr>
              <w:t>) pendant la séance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information, explique aux fournisseurs non retenus les motifs pour lesquels leur offre n</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 pas été retenue.</w:t>
            </w:r>
          </w:p>
        </w:tc>
        <w:tc>
          <w:tcPr>
            <w:tcW w:w="1208" w:type="pct"/>
          </w:tcPr>
          <w:p w14:paraId="274FC2C2" w14:textId="2C1C01C2" w:rsidR="0077618B" w:rsidRPr="00E265F5" w:rsidRDefault="002B3973" w:rsidP="00B53AD7">
            <w:pPr>
              <w:widowControl w:val="0"/>
              <w:kinsoku w:val="0"/>
              <w:rPr>
                <w:rFonts w:asciiTheme="minorHAnsi" w:hAnsiTheme="minorHAnsi" w:cstheme="minorHAnsi"/>
                <w:sz w:val="20"/>
                <w:szCs w:val="20"/>
              </w:rPr>
            </w:pPr>
            <w:r w:rsidRPr="00E265F5">
              <w:rPr>
                <w:rFonts w:asciiTheme="minorHAnsi" w:hAnsiTheme="minorHAnsi" w:cstheme="minorHAnsi"/>
                <w:sz w:val="20"/>
                <w:szCs w:val="20"/>
              </w:rPr>
              <w:t>La pratique actuellement suivie par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consiste à envoyer des lettres de regrets (courriel lorsque le montant est inférieur à 50 000 CHF) à tous les fournisseurs non retenus pour les informer que leur offre n</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 pas été retenue. Dans le dossier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appel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 les fournisseurs sont invités à demander des informations sur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de leur offre.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accepte la recommandation visant à informer également les fournisseurs, dans la lettre de regrets,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ils peuvent demander des informations sur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de leur offre. Il en sera tenu compte dans le nouveau manuel sur la passation des marchés.</w:t>
            </w:r>
          </w:p>
        </w:tc>
        <w:tc>
          <w:tcPr>
            <w:tcW w:w="1253" w:type="pct"/>
          </w:tcPr>
          <w:p w14:paraId="16ECD511" w14:textId="3E21509A" w:rsidR="00312561" w:rsidRPr="00E265F5" w:rsidRDefault="006E39F8"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00312561"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00312561" w:rsidRPr="00E265F5">
              <w:rPr>
                <w:rFonts w:asciiTheme="minorHAnsi" w:hAnsiTheme="minorHAnsi" w:cstheme="minorHAnsi"/>
                <w:b/>
                <w:bCs/>
                <w:sz w:val="20"/>
                <w:szCs w:val="20"/>
                <w:lang w:eastAsia="it-IT"/>
              </w:rPr>
              <w:t>2018:</w:t>
            </w:r>
          </w:p>
          <w:p w14:paraId="6A420E6F" w14:textId="77777777" w:rsidR="000F1552" w:rsidRPr="00E265F5" w:rsidRDefault="000F1552"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1EABDB76" w14:textId="5AC66EE6" w:rsidR="0077618B" w:rsidRPr="00E265F5" w:rsidRDefault="000F1552" w:rsidP="00B53AD7">
            <w:pPr>
              <w:rPr>
                <w:rFonts w:asciiTheme="minorHAnsi" w:hAnsiTheme="minorHAnsi" w:cstheme="minorHAnsi"/>
                <w:b/>
                <w:bCs/>
                <w:sz w:val="20"/>
                <w:szCs w:val="20"/>
                <w:lang w:eastAsia="it-IT"/>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420EFFA8" w14:textId="1A4CB6CA" w:rsidR="0077618B" w:rsidRPr="00E265F5" w:rsidRDefault="002B3973" w:rsidP="00B53AD7">
            <w:pPr>
              <w:widowControl w:val="0"/>
              <w:kinsoku w:val="0"/>
              <w:adjustRightIn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E265F5">
              <w:rPr>
                <w:rFonts w:asciiTheme="minorHAnsi" w:hAnsiTheme="minorHAnsi" w:cstheme="minorHAnsi"/>
                <w:sz w:val="20"/>
                <w:szCs w:val="20"/>
                <w:lang w:eastAsia="it-IT"/>
              </w:rPr>
              <w:t>.</w:t>
            </w:r>
          </w:p>
        </w:tc>
      </w:tr>
      <w:tr w:rsidR="00984441" w:rsidRPr="00DD066D" w14:paraId="176A381B" w14:textId="77777777" w:rsidTr="00396C8A">
        <w:tc>
          <w:tcPr>
            <w:tcW w:w="295" w:type="pct"/>
          </w:tcPr>
          <w:p w14:paraId="4AEF0415" w14:textId="77777777" w:rsidR="0077618B" w:rsidRPr="00E265F5" w:rsidRDefault="0077618B" w:rsidP="003A473D">
            <w:pPr>
              <w:widowControl w:val="0"/>
              <w:kinsoku w:val="0"/>
              <w:adjustRightInd/>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7/2016</w:t>
            </w:r>
          </w:p>
        </w:tc>
        <w:tc>
          <w:tcPr>
            <w:tcW w:w="1350" w:type="pct"/>
          </w:tcPr>
          <w:p w14:paraId="4E7C890C" w14:textId="282C3E82" w:rsidR="0077618B" w:rsidRPr="00E265F5" w:rsidRDefault="002B3973" w:rsidP="00B53AD7">
            <w:pPr>
              <w:widowControl w:val="0"/>
              <w:kinsoku w:val="0"/>
              <w:rPr>
                <w:rFonts w:asciiTheme="minorHAnsi" w:hAnsiTheme="minorHAnsi" w:cstheme="minorHAnsi"/>
                <w:sz w:val="20"/>
                <w:szCs w:val="20"/>
              </w:rPr>
            </w:pP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que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veille à ce que des critères clairs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acceptation/refus (ou de conformité/non-conformité) soient appliqués systématiquement pour tous les appels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w:t>
            </w:r>
          </w:p>
        </w:tc>
        <w:tc>
          <w:tcPr>
            <w:tcW w:w="1208" w:type="pct"/>
          </w:tcPr>
          <w:p w14:paraId="1AA26F06" w14:textId="1892C846" w:rsidR="0077618B" w:rsidRPr="00E265F5" w:rsidRDefault="002B3973" w:rsidP="00B53AD7">
            <w:pPr>
              <w:widowControl w:val="0"/>
              <w:tabs>
                <w:tab w:val="clear" w:pos="2268"/>
                <w:tab w:val="clear" w:pos="2835"/>
                <w:tab w:val="right" w:pos="3017"/>
              </w:tabs>
              <w:kinsoku w:val="0"/>
              <w:rPr>
                <w:rFonts w:asciiTheme="minorHAnsi" w:hAnsiTheme="minorHAnsi" w:cstheme="minorHAnsi"/>
                <w:sz w:val="20"/>
                <w:szCs w:val="20"/>
              </w:rPr>
            </w:pPr>
            <w:r w:rsidRPr="00E265F5">
              <w:rPr>
                <w:rFonts w:asciiTheme="minorHAnsi" w:hAnsiTheme="minorHAnsi" w:cstheme="minorHAnsi"/>
                <w:sz w:val="20"/>
                <w:szCs w:val="20"/>
              </w:rPr>
              <w:t>La pratique actuellement suivie par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consiste à appliquer des critères clairs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acceptation/refus pour tous les appels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 qui sont déterminés avant la publication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appel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 Cette pratique figurera dans le nouveau manuel sur la passation des marchés.</w:t>
            </w:r>
          </w:p>
        </w:tc>
        <w:tc>
          <w:tcPr>
            <w:tcW w:w="1253" w:type="pct"/>
          </w:tcPr>
          <w:p w14:paraId="6489EE9A" w14:textId="5FD08F4A" w:rsidR="0077618B" w:rsidRPr="00E265F5" w:rsidRDefault="00312561" w:rsidP="003A473D">
            <w:pPr>
              <w:pStyle w:val="Tabletext"/>
              <w:spacing w:before="12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5CEA726B" w14:textId="77777777" w:rsidR="000F1552" w:rsidRPr="00E265F5" w:rsidRDefault="000F1552"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51FA4027" w14:textId="65B1432C" w:rsidR="0077618B" w:rsidRPr="00E265F5" w:rsidRDefault="000F1552" w:rsidP="00B53AD7">
            <w:pPr>
              <w:rPr>
                <w:rFonts w:asciiTheme="minorHAnsi" w:hAnsiTheme="minorHAnsi" w:cstheme="minorHAnsi"/>
                <w:b/>
                <w:bCs/>
                <w:sz w:val="20"/>
                <w:szCs w:val="20"/>
                <w:lang w:eastAsia="it-IT"/>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087BFB74" w14:textId="61D824CF" w:rsidR="0077618B" w:rsidRPr="00E265F5" w:rsidRDefault="002B3973" w:rsidP="00B53AD7">
            <w:pPr>
              <w:widowControl w:val="0"/>
              <w:kinsoku w:val="0"/>
              <w:adjustRightIn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bl>
    <w:p w14:paraId="1675852C" w14:textId="77777777" w:rsidR="00396C8A" w:rsidRDefault="00396C8A">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396C8A" w:rsidRPr="00DD066D" w14:paraId="7E774391" w14:textId="77777777" w:rsidTr="00396C8A">
        <w:tc>
          <w:tcPr>
            <w:tcW w:w="295" w:type="pct"/>
          </w:tcPr>
          <w:p w14:paraId="31FBA3A3" w14:textId="77777777" w:rsidR="00396C8A" w:rsidRPr="00E265F5" w:rsidRDefault="00396C8A" w:rsidP="0071366C">
            <w:pPr>
              <w:pStyle w:val="Tablehead"/>
              <w:pageBreakBefore/>
              <w:rPr>
                <w:rFonts w:asciiTheme="minorHAnsi" w:hAnsiTheme="minorHAnsi" w:cstheme="minorHAnsi"/>
                <w:sz w:val="20"/>
                <w:szCs w:val="20"/>
                <w:lang w:eastAsia="it-IT"/>
              </w:rPr>
            </w:pPr>
          </w:p>
        </w:tc>
        <w:tc>
          <w:tcPr>
            <w:tcW w:w="1350" w:type="pct"/>
          </w:tcPr>
          <w:p w14:paraId="1DC17A16"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2275579D"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0AAEEFAA"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742D0720"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73AC599D" w14:textId="77777777" w:rsidTr="00396C8A">
        <w:tblPrEx>
          <w:tblLook w:val="0000" w:firstRow="0" w:lastRow="0" w:firstColumn="0" w:lastColumn="0" w:noHBand="0" w:noVBand="0"/>
        </w:tblPrEx>
        <w:tc>
          <w:tcPr>
            <w:tcW w:w="295" w:type="pct"/>
          </w:tcPr>
          <w:p w14:paraId="60F728AA" w14:textId="407CFFFE" w:rsidR="0077618B" w:rsidRPr="00E265F5" w:rsidRDefault="0077618B" w:rsidP="00B53AD7">
            <w:pPr>
              <w:widowControl w:val="0"/>
              <w:kinsoku w:val="0"/>
              <w:adjustRightInd/>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8/2016</w:t>
            </w:r>
          </w:p>
        </w:tc>
        <w:tc>
          <w:tcPr>
            <w:tcW w:w="1350" w:type="pct"/>
          </w:tcPr>
          <w:p w14:paraId="04DFFF31" w14:textId="08031431" w:rsidR="0077618B" w:rsidRPr="00E265F5" w:rsidRDefault="006E2BB6" w:rsidP="00B53AD7">
            <w:pPr>
              <w:widowControl w:val="0"/>
              <w:kinsoku w:val="0"/>
              <w:rPr>
                <w:rFonts w:asciiTheme="minorHAnsi" w:hAnsiTheme="minorHAnsi" w:cstheme="minorHAnsi"/>
                <w:b/>
                <w:bCs/>
                <w:i/>
                <w:iCs/>
                <w:sz w:val="20"/>
                <w:szCs w:val="20"/>
              </w:rPr>
            </w:pPr>
            <w:bookmarkStart w:id="468" w:name="_Toc482967264"/>
            <w:bookmarkStart w:id="469" w:name="_Toc482176250"/>
            <w:r w:rsidRPr="00E265F5">
              <w:rPr>
                <w:rFonts w:asciiTheme="minorHAnsi" w:hAnsiTheme="minorHAnsi" w:cstheme="minorHAnsi"/>
                <w:b/>
                <w:bCs/>
                <w:i/>
                <w:iCs/>
                <w:sz w:val="20"/>
                <w:szCs w:val="20"/>
              </w:rPr>
              <w:t>Renforcer le rôle du Comité d</w:t>
            </w:r>
            <w:r w:rsidR="001B30ED" w:rsidRPr="00E265F5">
              <w:rPr>
                <w:rFonts w:asciiTheme="minorHAnsi" w:hAnsiTheme="minorHAnsi" w:cstheme="minorHAnsi"/>
                <w:b/>
                <w:bCs/>
                <w:i/>
                <w:iCs/>
                <w:sz w:val="20"/>
                <w:szCs w:val="20"/>
              </w:rPr>
              <w:t>'</w:t>
            </w:r>
            <w:r w:rsidRPr="00E265F5">
              <w:rPr>
                <w:rFonts w:asciiTheme="minorHAnsi" w:hAnsiTheme="minorHAnsi" w:cstheme="minorHAnsi"/>
                <w:b/>
                <w:bCs/>
                <w:i/>
                <w:iCs/>
                <w:sz w:val="20"/>
                <w:szCs w:val="20"/>
              </w:rPr>
              <w:t>évaluation</w:t>
            </w:r>
            <w:bookmarkEnd w:id="468"/>
            <w:bookmarkEnd w:id="469"/>
          </w:p>
          <w:p w14:paraId="204DB0D4" w14:textId="47B79AD8" w:rsidR="0077618B" w:rsidRPr="00E265F5" w:rsidRDefault="006E2BB6" w:rsidP="00B53AD7">
            <w:pPr>
              <w:widowControl w:val="0"/>
              <w:kinsoku w:val="0"/>
              <w:rPr>
                <w:rFonts w:asciiTheme="minorHAnsi" w:hAnsiTheme="minorHAnsi" w:cstheme="minorHAnsi"/>
                <w:sz w:val="20"/>
                <w:szCs w:val="20"/>
                <w:highlight w:val="yellow"/>
                <w:lang w:eastAsia="it-IT"/>
              </w:rPr>
            </w:pPr>
            <w:r w:rsidRPr="00E265F5">
              <w:rPr>
                <w:rFonts w:asciiTheme="minorHAnsi" w:hAnsiTheme="minorHAnsi" w:cstheme="minorHAnsi"/>
                <w:sz w:val="20"/>
                <w:szCs w:val="20"/>
              </w:rPr>
              <w:t xml:space="preserve">Pour que la procédure de passation de marchés se déroule de manière équitable et transparente et compte tenu du rapport coût-résultats,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que: </w:t>
            </w:r>
            <w:r w:rsidRPr="00E265F5">
              <w:rPr>
                <w:rFonts w:asciiTheme="minorHAnsi" w:hAnsiTheme="minorHAnsi" w:cstheme="minorHAnsi"/>
                <w:b/>
                <w:bCs/>
                <w:sz w:val="20"/>
                <w:szCs w:val="20"/>
              </w:rPr>
              <w:t>A</w:t>
            </w:r>
            <w:r w:rsidRPr="00E265F5">
              <w:rPr>
                <w:rFonts w:asciiTheme="minorHAnsi" w:hAnsiTheme="minorHAnsi" w:cstheme="minorHAnsi"/>
                <w:sz w:val="20"/>
                <w:szCs w:val="20"/>
              </w:rPr>
              <w:t>) le Comité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pendant le processus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applique les critères et la méthode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définis au préalable dans le document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invitation à soumettre des offres/dossier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appel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 En outre, nous jugeons inapproprié le critère énoncé dans la Demande de propositions (RFP) selon lequel "la disponibilité de soumissionnaires à la mi-novembre (2012) sera un critère important de sélection" car ce critère pourrait restreindre la concurrence en limitant la participation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autres fournisseurs à la procédure de passation de marchés (en fait dans la passation de marchés pour laquelle nous avons procédé à un audit, le contrat n</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avait été signé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en février</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 xml:space="preserve">2013); </w:t>
            </w:r>
            <w:r w:rsidRPr="00E265F5">
              <w:rPr>
                <w:rFonts w:asciiTheme="minorHAnsi" w:hAnsiTheme="minorHAnsi" w:cstheme="minorHAnsi"/>
                <w:b/>
                <w:bCs/>
                <w:sz w:val="20"/>
                <w:szCs w:val="20"/>
              </w:rPr>
              <w:t>B</w:t>
            </w:r>
            <w:r w:rsidRPr="00E265F5">
              <w:rPr>
                <w:rFonts w:asciiTheme="minorHAnsi" w:hAnsiTheme="minorHAnsi" w:cstheme="minorHAnsi"/>
                <w:sz w:val="20"/>
                <w:szCs w:val="20"/>
              </w:rPr>
              <w:t>) le Comité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élabore des rapports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clairs résumant les points techniques et commerciaux dans les offres afin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avoir un classement clair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 recommandée pour le contrat conformément aux critères énoncés dans le dossier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appel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offres; </w:t>
            </w:r>
            <w:r w:rsidRPr="00E265F5">
              <w:rPr>
                <w:rFonts w:asciiTheme="minorHAnsi" w:hAnsiTheme="minorHAnsi" w:cstheme="minorHAnsi"/>
                <w:b/>
                <w:bCs/>
                <w:sz w:val="20"/>
                <w:szCs w:val="20"/>
              </w:rPr>
              <w:t>C</w:t>
            </w:r>
            <w:r w:rsidRPr="00E265F5">
              <w:rPr>
                <w:rFonts w:asciiTheme="minorHAnsi" w:hAnsiTheme="minorHAnsi" w:cstheme="minorHAnsi"/>
                <w:sz w:val="20"/>
                <w:szCs w:val="20"/>
              </w:rPr>
              <w:t>) en cas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exception au principe de rejet automatique des offres reçues tardivement,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Ordre de service</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14/06 indique clairement dans quels cas ces exceptions s</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appliquent.</w:t>
            </w:r>
          </w:p>
        </w:tc>
        <w:tc>
          <w:tcPr>
            <w:tcW w:w="1208" w:type="pct"/>
          </w:tcPr>
          <w:p w14:paraId="5F856711" w14:textId="605C1146" w:rsidR="0077618B" w:rsidRPr="00E265F5" w:rsidRDefault="006E2BB6" w:rsidP="00B53AD7">
            <w:pPr>
              <w:widowControl w:val="0"/>
              <w:kinsoku w:val="0"/>
              <w:rPr>
                <w:rFonts w:asciiTheme="minorHAnsi" w:hAnsiTheme="minorHAnsi" w:cstheme="minorHAnsi"/>
                <w:sz w:val="20"/>
                <w:szCs w:val="20"/>
                <w:highlight w:val="yellow"/>
                <w:lang w:eastAsia="it-IT"/>
              </w:rPr>
            </w:pPr>
            <w:r w:rsidRPr="00E265F5">
              <w:rPr>
                <w:rFonts w:asciiTheme="minorHAnsi" w:hAnsiTheme="minorHAnsi" w:cstheme="minorHAnsi"/>
                <w:sz w:val="20"/>
                <w:szCs w:val="20"/>
              </w:rPr>
              <w:t>La pratique actuellement suivie par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consiste à définir les critères et la méthode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avant la publication de tout appel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 et à faire en sorte que les rapports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correspondants énoncent clairement les points accordés à chaque soumissionnaire et leur classement. Cette pratique doit figurer dans le nouveau manuel sur la passation de marchés.</w:t>
            </w:r>
          </w:p>
        </w:tc>
        <w:tc>
          <w:tcPr>
            <w:tcW w:w="1253" w:type="pct"/>
          </w:tcPr>
          <w:p w14:paraId="36322737" w14:textId="3BFE3DF6" w:rsidR="00312561" w:rsidRPr="00E265F5" w:rsidRDefault="000F1552"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00312561"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00312561" w:rsidRPr="00E265F5">
              <w:rPr>
                <w:rFonts w:asciiTheme="minorHAnsi" w:hAnsiTheme="minorHAnsi" w:cstheme="minorHAnsi"/>
                <w:b/>
                <w:bCs/>
                <w:sz w:val="20"/>
                <w:szCs w:val="20"/>
                <w:lang w:eastAsia="it-IT"/>
              </w:rPr>
              <w:t>2018:</w:t>
            </w:r>
          </w:p>
          <w:p w14:paraId="75317150" w14:textId="77777777" w:rsidR="000F1552" w:rsidRPr="00E265F5" w:rsidRDefault="000F1552"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6A19538D" w14:textId="2AA24935" w:rsidR="0077618B" w:rsidRPr="00E265F5" w:rsidRDefault="000F1552" w:rsidP="00B53AD7">
            <w:pPr>
              <w:rPr>
                <w:rFonts w:asciiTheme="minorHAnsi" w:hAnsiTheme="minorHAnsi" w:cstheme="minorHAnsi"/>
                <w:b/>
                <w:bCs/>
                <w:sz w:val="20"/>
                <w:szCs w:val="20"/>
                <w:lang w:eastAsia="it-IT"/>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68A7426E" w14:textId="3C090120" w:rsidR="0077618B" w:rsidRPr="00E265F5" w:rsidRDefault="006E2BB6" w:rsidP="00B53AD7">
            <w:pPr>
              <w:widowControl w:val="0"/>
              <w:kinsoku w:val="0"/>
              <w:adjustRightIn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bl>
    <w:p w14:paraId="6903D00C" w14:textId="77777777" w:rsidR="00396C8A" w:rsidRDefault="00396C8A">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396C8A" w:rsidRPr="00DD066D" w14:paraId="27D37269" w14:textId="77777777" w:rsidTr="00396C8A">
        <w:tc>
          <w:tcPr>
            <w:tcW w:w="295" w:type="pct"/>
          </w:tcPr>
          <w:p w14:paraId="52514FAC" w14:textId="77777777" w:rsidR="00396C8A" w:rsidRPr="00E265F5" w:rsidRDefault="00396C8A" w:rsidP="0071366C">
            <w:pPr>
              <w:pStyle w:val="Tablehead"/>
              <w:pageBreakBefore/>
              <w:rPr>
                <w:rFonts w:asciiTheme="minorHAnsi" w:hAnsiTheme="minorHAnsi" w:cstheme="minorHAnsi"/>
                <w:sz w:val="20"/>
                <w:szCs w:val="20"/>
                <w:lang w:eastAsia="it-IT"/>
              </w:rPr>
            </w:pPr>
          </w:p>
        </w:tc>
        <w:tc>
          <w:tcPr>
            <w:tcW w:w="1350" w:type="pct"/>
          </w:tcPr>
          <w:p w14:paraId="146A683B"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512D64BE"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557EA789"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76EE1CCA"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726DEE64" w14:textId="77777777" w:rsidTr="00396C8A">
        <w:tblPrEx>
          <w:tblLook w:val="0000" w:firstRow="0" w:lastRow="0" w:firstColumn="0" w:lastColumn="0" w:noHBand="0" w:noVBand="0"/>
        </w:tblPrEx>
        <w:tc>
          <w:tcPr>
            <w:tcW w:w="295" w:type="pct"/>
          </w:tcPr>
          <w:p w14:paraId="35F6CC34" w14:textId="4391FA3D" w:rsidR="0077618B" w:rsidRPr="00E265F5" w:rsidRDefault="0077618B" w:rsidP="00B53AD7">
            <w:pPr>
              <w:widowControl w:val="0"/>
              <w:kinsoku w:val="0"/>
              <w:adjustRightInd/>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9/2016</w:t>
            </w:r>
          </w:p>
        </w:tc>
        <w:tc>
          <w:tcPr>
            <w:tcW w:w="1350" w:type="pct"/>
          </w:tcPr>
          <w:p w14:paraId="5804BD95" w14:textId="46D4489E" w:rsidR="0077618B" w:rsidRPr="00E265F5" w:rsidRDefault="004B5BA3" w:rsidP="00B53AD7">
            <w:pPr>
              <w:widowControl w:val="0"/>
              <w:kinsoku w:val="0"/>
              <w:rPr>
                <w:rFonts w:asciiTheme="minorHAnsi" w:hAnsiTheme="minorHAnsi" w:cstheme="minorHAnsi"/>
                <w:b/>
                <w:i/>
                <w:sz w:val="20"/>
                <w:szCs w:val="20"/>
                <w:highlight w:val="yellow"/>
                <w:lang w:eastAsia="it-IT"/>
              </w:rPr>
            </w:pPr>
            <w:bookmarkStart w:id="470" w:name="_Toc482176251"/>
            <w:r w:rsidRPr="00E265F5">
              <w:rPr>
                <w:rFonts w:asciiTheme="minorHAnsi" w:hAnsiTheme="minorHAnsi" w:cstheme="minorHAnsi"/>
                <w:b/>
                <w:bCs/>
                <w:i/>
                <w:iCs/>
                <w:sz w:val="20"/>
                <w:szCs w:val="20"/>
              </w:rPr>
              <w:t>Améliorer l</w:t>
            </w:r>
            <w:r w:rsidR="001B30ED" w:rsidRPr="00E265F5">
              <w:rPr>
                <w:rFonts w:asciiTheme="minorHAnsi" w:hAnsiTheme="minorHAnsi" w:cstheme="minorHAnsi"/>
                <w:b/>
                <w:bCs/>
                <w:i/>
                <w:iCs/>
                <w:sz w:val="20"/>
                <w:szCs w:val="20"/>
              </w:rPr>
              <w:t>'</w:t>
            </w:r>
            <w:r w:rsidRPr="00E265F5">
              <w:rPr>
                <w:rFonts w:asciiTheme="minorHAnsi" w:hAnsiTheme="minorHAnsi" w:cstheme="minorHAnsi"/>
                <w:b/>
                <w:bCs/>
                <w:i/>
                <w:iCs/>
                <w:sz w:val="20"/>
                <w:szCs w:val="20"/>
              </w:rPr>
              <w:t>évaluation technique obligatoire</w:t>
            </w:r>
            <w:bookmarkEnd w:id="470"/>
          </w:p>
          <w:p w14:paraId="48E9DD09" w14:textId="56BCFA2A" w:rsidR="0077618B" w:rsidRPr="00E265F5" w:rsidRDefault="0007534E" w:rsidP="00B53AD7">
            <w:pPr>
              <w:widowControl w:val="0"/>
              <w:kinsoku w:val="0"/>
              <w:rPr>
                <w:rFonts w:asciiTheme="minorHAnsi" w:hAnsiTheme="minorHAnsi" w:cstheme="minorHAnsi"/>
                <w:sz w:val="20"/>
                <w:szCs w:val="20"/>
                <w:highlight w:val="yellow"/>
                <w:lang w:eastAsia="it-IT"/>
              </w:rPr>
            </w:pPr>
            <w:r w:rsidRPr="00E265F5">
              <w:rPr>
                <w:rFonts w:asciiTheme="minorHAnsi" w:hAnsiTheme="minorHAnsi" w:cstheme="minorHAnsi"/>
                <w:sz w:val="20"/>
                <w:szCs w:val="20"/>
              </w:rPr>
              <w:t>Nous recommandons, comme le prévoient les bonnes pratiques suivies par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ONU, que pour les demandes RFP, seules les propositions conformes aux exigences (ou points) obligatoires ou minimales soient prises en considération aux fins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commerciale et que les offres commerciales soumises par les fournisseurs dont on estime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elles ne sont pas conformes sur le plan technique au cahier des charges ne soient pas évaluées.</w:t>
            </w:r>
          </w:p>
        </w:tc>
        <w:tc>
          <w:tcPr>
            <w:tcW w:w="1208" w:type="pct"/>
          </w:tcPr>
          <w:p w14:paraId="4ED18F4A" w14:textId="3D5FCFE7" w:rsidR="0077618B" w:rsidRPr="00E265F5" w:rsidRDefault="0007534E" w:rsidP="00B53AD7">
            <w:pPr>
              <w:widowControl w:val="0"/>
              <w:kinsoku w:val="0"/>
              <w:rPr>
                <w:rFonts w:asciiTheme="minorHAnsi" w:hAnsiTheme="minorHAnsi" w:cstheme="minorHAnsi"/>
                <w:sz w:val="20"/>
                <w:szCs w:val="20"/>
              </w:rPr>
            </w:pPr>
            <w:r w:rsidRPr="00E265F5">
              <w:rPr>
                <w:rFonts w:asciiTheme="minorHAnsi" w:hAnsiTheme="minorHAnsi" w:cstheme="minorHAnsi"/>
                <w:sz w:val="20"/>
                <w:szCs w:val="20"/>
              </w:rPr>
              <w:t>La pratique actuellement suivie par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consiste à n</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évaluer que les propositions commerciales des fournisseurs techniquement conformes. Cette pratique doit figurer dans le nouveau manuel sur la passation des marchés.</w:t>
            </w:r>
          </w:p>
        </w:tc>
        <w:tc>
          <w:tcPr>
            <w:tcW w:w="1253" w:type="pct"/>
          </w:tcPr>
          <w:p w14:paraId="3D173F26" w14:textId="61E85FA0" w:rsidR="00312561" w:rsidRPr="00E265F5" w:rsidRDefault="00312561" w:rsidP="003A473D">
            <w:pPr>
              <w:pStyle w:val="Tabletext"/>
              <w:spacing w:before="12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 xml:space="preserve">Mise à jour </w:t>
            </w:r>
            <w:r w:rsidR="000F1552" w:rsidRPr="00E265F5">
              <w:rPr>
                <w:rFonts w:asciiTheme="minorHAnsi" w:hAnsiTheme="minorHAnsi" w:cstheme="minorHAnsi"/>
                <w:b/>
                <w:bCs/>
                <w:sz w:val="20"/>
                <w:szCs w:val="20"/>
                <w:lang w:eastAsia="it-IT"/>
              </w:rPr>
              <w:t>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609606F7" w14:textId="77777777" w:rsidR="000F1552" w:rsidRPr="00E265F5" w:rsidRDefault="000F1552"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14A14406" w14:textId="3E576972" w:rsidR="0077618B" w:rsidRPr="00E265F5" w:rsidRDefault="000F1552" w:rsidP="00B53AD7">
            <w:pPr>
              <w:rPr>
                <w:rFonts w:asciiTheme="minorHAnsi" w:hAnsiTheme="minorHAnsi" w:cstheme="minorHAnsi"/>
                <w:b/>
                <w:bCs/>
                <w:sz w:val="20"/>
                <w:szCs w:val="20"/>
                <w:highlight w:val="lightGray"/>
                <w:lang w:eastAsia="it-IT"/>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09BB530E" w14:textId="5219D1C9" w:rsidR="0077618B" w:rsidRPr="00E265F5" w:rsidRDefault="00947B57" w:rsidP="00B53AD7">
            <w:pPr>
              <w:widowControl w:val="0"/>
              <w:kinsoku w:val="0"/>
              <w:adjustRightIn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r w:rsidR="00984441" w:rsidRPr="00DD066D" w14:paraId="0A037646" w14:textId="77777777" w:rsidTr="00396C8A">
        <w:tblPrEx>
          <w:tblLook w:val="0000" w:firstRow="0" w:lastRow="0" w:firstColumn="0" w:lastColumn="0" w:noHBand="0" w:noVBand="0"/>
        </w:tblPrEx>
        <w:tc>
          <w:tcPr>
            <w:tcW w:w="295" w:type="pct"/>
          </w:tcPr>
          <w:p w14:paraId="7E5F55E8" w14:textId="77777777" w:rsidR="0077618B" w:rsidRPr="00E265F5" w:rsidRDefault="0077618B" w:rsidP="00B53AD7">
            <w:pPr>
              <w:widowControl w:val="0"/>
              <w:kinsoku w:val="0"/>
              <w:adjustRightInd/>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10/2016</w:t>
            </w:r>
          </w:p>
        </w:tc>
        <w:tc>
          <w:tcPr>
            <w:tcW w:w="1350" w:type="pct"/>
          </w:tcPr>
          <w:p w14:paraId="2A6F8E8F" w14:textId="77777777" w:rsidR="0077618B" w:rsidRPr="00E265F5" w:rsidRDefault="00947B57" w:rsidP="00B53AD7">
            <w:pPr>
              <w:widowControl w:val="0"/>
              <w:kinsoku w:val="0"/>
              <w:rPr>
                <w:rFonts w:asciiTheme="minorHAnsi" w:hAnsiTheme="minorHAnsi" w:cstheme="minorHAnsi"/>
                <w:b/>
                <w:bCs/>
                <w:i/>
                <w:iCs/>
                <w:sz w:val="20"/>
                <w:szCs w:val="20"/>
              </w:rPr>
            </w:pPr>
            <w:r w:rsidRPr="00E265F5">
              <w:rPr>
                <w:rFonts w:asciiTheme="minorHAnsi" w:hAnsiTheme="minorHAnsi" w:cstheme="minorHAnsi"/>
                <w:b/>
                <w:bCs/>
                <w:i/>
                <w:iCs/>
                <w:sz w:val="20"/>
                <w:szCs w:val="20"/>
              </w:rPr>
              <w:t>Contrôler les prestations des fournisseurs</w:t>
            </w:r>
          </w:p>
          <w:p w14:paraId="14BCBF5F" w14:textId="39E18BBF" w:rsidR="0077618B" w:rsidRPr="00E265F5" w:rsidRDefault="00014088" w:rsidP="00B53AD7">
            <w:pPr>
              <w:widowControl w:val="0"/>
              <w:kinsoku w:val="0"/>
              <w:rPr>
                <w:rFonts w:asciiTheme="minorHAnsi" w:hAnsiTheme="minorHAnsi" w:cstheme="minorHAnsi"/>
                <w:sz w:val="20"/>
                <w:szCs w:val="20"/>
                <w:highlight w:val="yellow"/>
                <w:lang w:eastAsia="it-IT"/>
              </w:rPr>
            </w:pPr>
            <w:r w:rsidRPr="00E265F5">
              <w:rPr>
                <w:rFonts w:asciiTheme="minorHAnsi" w:hAnsiTheme="minorHAnsi" w:cstheme="minorHAnsi"/>
                <w:sz w:val="20"/>
                <w:szCs w:val="20"/>
              </w:rPr>
              <w:t>Nous partageons le point de vue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auditeur interne et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de mettre en place un système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des prestations du fournisseur afin de contrôler ses prestations et de mesurer les résultats contractuels effectivement obtenus en ce qui concerne la qualité,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exécution, le respect des délais, la maîtrise des coûts, le respect du mandat ou du cahier des charges ainsi que tous les autres indicateurs de performance définis dans le contrat.</w:t>
            </w:r>
          </w:p>
        </w:tc>
        <w:tc>
          <w:tcPr>
            <w:tcW w:w="1208" w:type="pct"/>
          </w:tcPr>
          <w:p w14:paraId="28065490" w14:textId="4C6CD3C2" w:rsidR="0077618B" w:rsidRPr="00E265F5" w:rsidRDefault="00014088" w:rsidP="00B53AD7">
            <w:pPr>
              <w:widowControl w:val="0"/>
              <w:kinsoku w:val="0"/>
              <w:rPr>
                <w:rFonts w:asciiTheme="minorHAnsi" w:hAnsiTheme="minorHAnsi" w:cstheme="minorHAnsi"/>
                <w:sz w:val="20"/>
                <w:szCs w:val="20"/>
              </w:rPr>
            </w:pPr>
            <w:r w:rsidRPr="00E265F5">
              <w:rPr>
                <w:rFonts w:asciiTheme="minorHAnsi" w:hAnsiTheme="minorHAnsi" w:cstheme="minorHAnsi"/>
                <w:sz w:val="20"/>
                <w:szCs w:val="20"/>
              </w:rPr>
              <w:t>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fait sienne cette recommandation. Une politique sur la gestion des prestations des fournisseurs figurera dans le nouveau manuel sur la passation des marchés.</w:t>
            </w:r>
          </w:p>
        </w:tc>
        <w:tc>
          <w:tcPr>
            <w:tcW w:w="1253" w:type="pct"/>
          </w:tcPr>
          <w:p w14:paraId="3FDE6A4C" w14:textId="79A84FAE" w:rsidR="00312561" w:rsidRPr="00E265F5" w:rsidRDefault="00312561" w:rsidP="003A473D">
            <w:pPr>
              <w:pStyle w:val="Tabletext"/>
              <w:spacing w:before="12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 xml:space="preserve">Mise à jour </w:t>
            </w:r>
            <w:r w:rsidR="000F1552" w:rsidRPr="00E265F5">
              <w:rPr>
                <w:rFonts w:asciiTheme="minorHAnsi" w:hAnsiTheme="minorHAnsi" w:cstheme="minorHAnsi"/>
                <w:b/>
                <w:bCs/>
                <w:sz w:val="20"/>
                <w:szCs w:val="20"/>
                <w:lang w:eastAsia="it-IT"/>
              </w:rPr>
              <w:t>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74648FFD" w14:textId="77777777" w:rsidR="000F1552" w:rsidRPr="00E265F5" w:rsidRDefault="000F1552" w:rsidP="00B53AD7">
            <w:pPr>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p>
          <w:p w14:paraId="7A3384FF" w14:textId="7BBC77B8" w:rsidR="0077618B" w:rsidRPr="00E265F5" w:rsidRDefault="000F1552" w:rsidP="00B53AD7">
            <w:pPr>
              <w:rPr>
                <w:rFonts w:asciiTheme="minorHAnsi" w:hAnsiTheme="minorHAnsi" w:cstheme="minorHAnsi"/>
                <w:b/>
                <w:bCs/>
                <w:sz w:val="20"/>
                <w:szCs w:val="20"/>
                <w:highlight w:val="lightGray"/>
                <w:lang w:eastAsia="it-IT"/>
              </w:rPr>
            </w:pPr>
            <w:r w:rsidRPr="00E265F5">
              <w:rPr>
                <w:rFonts w:asciiTheme="minorHAnsi" w:hAnsiTheme="minorHAnsi" w:cstheme="minorHAnsi"/>
                <w:iCs/>
                <w:sz w:val="20"/>
                <w:szCs w:val="20"/>
                <w:lang w:eastAsia="it-IT"/>
              </w:rPr>
              <w:t>Le Manuel sur la passation des marchés est en cours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élaboration.</w:t>
            </w:r>
          </w:p>
        </w:tc>
        <w:tc>
          <w:tcPr>
            <w:tcW w:w="894" w:type="pct"/>
          </w:tcPr>
          <w:p w14:paraId="25821244" w14:textId="75D8F7E3" w:rsidR="0077618B" w:rsidRPr="00E265F5" w:rsidRDefault="00947B57" w:rsidP="00B53AD7">
            <w:pPr>
              <w:widowControl w:val="0"/>
              <w:kinsoku w:val="0"/>
              <w:adjustRightIn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r w:rsidR="00984441" w:rsidRPr="00DD066D" w14:paraId="4658D185" w14:textId="77777777" w:rsidTr="00396C8A">
        <w:tblPrEx>
          <w:tblLook w:val="0000" w:firstRow="0" w:lastRow="0" w:firstColumn="0" w:lastColumn="0" w:noHBand="0" w:noVBand="0"/>
        </w:tblPrEx>
        <w:tc>
          <w:tcPr>
            <w:tcW w:w="295" w:type="pct"/>
          </w:tcPr>
          <w:p w14:paraId="41DD1E6A" w14:textId="77777777" w:rsidR="0077618B" w:rsidRPr="00E265F5" w:rsidRDefault="0077618B" w:rsidP="00B53AD7">
            <w:pPr>
              <w:widowControl w:val="0"/>
              <w:kinsoku w:val="0"/>
              <w:adjustRightInd/>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11/2016</w:t>
            </w:r>
          </w:p>
        </w:tc>
        <w:tc>
          <w:tcPr>
            <w:tcW w:w="1350" w:type="pct"/>
          </w:tcPr>
          <w:p w14:paraId="5AE4B12E" w14:textId="0BA37551" w:rsidR="0077618B" w:rsidRPr="00E265F5" w:rsidRDefault="00014088" w:rsidP="00B53AD7">
            <w:pPr>
              <w:widowControl w:val="0"/>
              <w:kinsoku w:val="0"/>
              <w:rPr>
                <w:rFonts w:asciiTheme="minorHAnsi" w:hAnsiTheme="minorHAnsi" w:cstheme="minorHAnsi"/>
                <w:sz w:val="20"/>
                <w:szCs w:val="20"/>
                <w:highlight w:val="yellow"/>
                <w:lang w:eastAsia="it-IT"/>
              </w:rPr>
            </w:pP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que la direction adopte une politique en matière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éthique pour la passation de marchés, de fraude et de corruption et que cette politique donne une définition de ce que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on entend par "conflit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intérêts" à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w:t>
            </w:r>
          </w:p>
        </w:tc>
        <w:tc>
          <w:tcPr>
            <w:tcW w:w="1208" w:type="pct"/>
          </w:tcPr>
          <w:p w14:paraId="126E2867" w14:textId="3FDEDD03" w:rsidR="0077618B" w:rsidRPr="00E265F5" w:rsidRDefault="00560563" w:rsidP="00B53AD7">
            <w:pPr>
              <w:widowControl w:val="0"/>
              <w:kinsoku w:val="0"/>
              <w:rPr>
                <w:rFonts w:asciiTheme="minorHAnsi" w:hAnsiTheme="minorHAnsi" w:cstheme="minorHAnsi"/>
                <w:sz w:val="20"/>
                <w:szCs w:val="20"/>
              </w:rPr>
            </w:pPr>
            <w:r w:rsidRPr="00E265F5">
              <w:rPr>
                <w:rFonts w:asciiTheme="minorHAnsi" w:hAnsiTheme="minorHAnsi" w:cstheme="minorHAnsi"/>
                <w:sz w:val="20"/>
                <w:szCs w:val="20"/>
              </w:rPr>
              <w:t>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fait sienne cette recommandation et élabora une telle politique en vue de son adoption.</w:t>
            </w:r>
          </w:p>
        </w:tc>
        <w:tc>
          <w:tcPr>
            <w:tcW w:w="1253" w:type="pct"/>
          </w:tcPr>
          <w:p w14:paraId="52A0C91D" w14:textId="78C55066" w:rsidR="00312561" w:rsidRPr="00E265F5" w:rsidRDefault="00312561" w:rsidP="003A473D">
            <w:pPr>
              <w:pStyle w:val="Tabletext"/>
              <w:spacing w:before="12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42553B6B" w14:textId="0C0D2C11" w:rsidR="0077618B" w:rsidRPr="00E265F5" w:rsidRDefault="00973141" w:rsidP="00E265F5">
            <w:pPr>
              <w:rPr>
                <w:rFonts w:asciiTheme="minorHAnsi" w:hAnsiTheme="minorHAnsi" w:cstheme="minorHAnsi"/>
                <w:b/>
                <w:bCs/>
                <w:sz w:val="20"/>
                <w:szCs w:val="20"/>
                <w:lang w:eastAsia="it-IT"/>
              </w:rPr>
            </w:pPr>
            <w:r w:rsidRPr="00E265F5">
              <w:rPr>
                <w:rFonts w:asciiTheme="minorHAnsi" w:hAnsiTheme="minorHAnsi" w:cstheme="minorHAnsi"/>
                <w:sz w:val="20"/>
                <w:szCs w:val="20"/>
                <w:lang w:eastAsia="it-IT"/>
              </w:rPr>
              <w:t>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élaboration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une politique de lutte contre la fraude, la corruption et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autres pratiques prohibées a progressé. Cette politique devrait comprendre une définition du conflit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intérêts. Le projet de politique fait actuellement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objet de consultations internes.</w:t>
            </w:r>
          </w:p>
        </w:tc>
        <w:tc>
          <w:tcPr>
            <w:tcW w:w="894" w:type="pct"/>
          </w:tcPr>
          <w:p w14:paraId="5AD55CE0" w14:textId="1FAAC630" w:rsidR="0077618B" w:rsidRPr="00E265F5" w:rsidRDefault="00560563" w:rsidP="00B53AD7">
            <w:pPr>
              <w:widowControl w:val="0"/>
              <w:kinsoku w:val="0"/>
              <w:adjustRightIn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tc>
      </w:tr>
    </w:tbl>
    <w:p w14:paraId="00572D69" w14:textId="77777777" w:rsidR="00396C8A" w:rsidRDefault="00396C8A">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396C8A" w:rsidRPr="00DD066D" w14:paraId="7C0A587E" w14:textId="77777777" w:rsidTr="00396C8A">
        <w:tc>
          <w:tcPr>
            <w:tcW w:w="295" w:type="pct"/>
          </w:tcPr>
          <w:p w14:paraId="3E3A331E" w14:textId="77777777" w:rsidR="00396C8A" w:rsidRPr="00E265F5" w:rsidRDefault="00396C8A" w:rsidP="0071366C">
            <w:pPr>
              <w:pStyle w:val="Tablehead"/>
              <w:pageBreakBefore/>
              <w:rPr>
                <w:rFonts w:asciiTheme="minorHAnsi" w:hAnsiTheme="minorHAnsi" w:cstheme="minorHAnsi"/>
                <w:sz w:val="20"/>
                <w:szCs w:val="20"/>
                <w:lang w:eastAsia="it-IT"/>
              </w:rPr>
            </w:pPr>
          </w:p>
        </w:tc>
        <w:tc>
          <w:tcPr>
            <w:tcW w:w="1350" w:type="pct"/>
          </w:tcPr>
          <w:p w14:paraId="59C7E2E2"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6457E1E6"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1A8220AE"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0D2C6AD0"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396C8A" w:rsidRPr="00DD066D" w14:paraId="381C529F" w14:textId="77777777" w:rsidTr="00396C8A">
        <w:tblPrEx>
          <w:tblLook w:val="0000" w:firstRow="0" w:lastRow="0" w:firstColumn="0" w:lastColumn="0" w:noHBand="0" w:noVBand="0"/>
        </w:tblPrEx>
        <w:tc>
          <w:tcPr>
            <w:tcW w:w="295" w:type="pct"/>
          </w:tcPr>
          <w:p w14:paraId="23D850B1" w14:textId="497A9FF4" w:rsidR="00396C8A" w:rsidRPr="00E265F5" w:rsidRDefault="00396C8A" w:rsidP="00B53AD7">
            <w:pPr>
              <w:widowControl w:val="0"/>
              <w:kinsoku w:val="0"/>
              <w:adjustRightInd/>
              <w:jc w:val="center"/>
              <w:rPr>
                <w:rFonts w:asciiTheme="minorHAnsi" w:hAnsiTheme="minorHAnsi" w:cstheme="minorHAnsi"/>
                <w:b/>
                <w:bCs/>
                <w:sz w:val="20"/>
                <w:lang w:eastAsia="it-IT"/>
              </w:rPr>
            </w:pPr>
            <w:r w:rsidRPr="00E265F5">
              <w:rPr>
                <w:rFonts w:asciiTheme="minorHAnsi" w:hAnsiTheme="minorHAnsi" w:cstheme="minorHAnsi"/>
                <w:b/>
                <w:bCs/>
                <w:sz w:val="20"/>
                <w:szCs w:val="20"/>
                <w:lang w:eastAsia="it-IT"/>
              </w:rPr>
              <w:t>Rec. 12/2016</w:t>
            </w:r>
          </w:p>
        </w:tc>
        <w:tc>
          <w:tcPr>
            <w:tcW w:w="1350" w:type="pct"/>
          </w:tcPr>
          <w:p w14:paraId="15B3B7A9" w14:textId="77777777" w:rsidR="00396C8A" w:rsidRPr="00E265F5" w:rsidRDefault="00396C8A" w:rsidP="00396C8A">
            <w:pPr>
              <w:widowControl w:val="0"/>
              <w:kinsoku w:val="0"/>
              <w:rPr>
                <w:rFonts w:asciiTheme="minorHAnsi" w:hAnsiTheme="minorHAnsi" w:cstheme="minorHAnsi"/>
                <w:b/>
                <w:i/>
                <w:iCs/>
                <w:sz w:val="20"/>
                <w:szCs w:val="20"/>
                <w:highlight w:val="yellow"/>
                <w:lang w:eastAsia="it-IT"/>
              </w:rPr>
            </w:pPr>
            <w:r w:rsidRPr="00E265F5">
              <w:rPr>
                <w:rFonts w:asciiTheme="minorHAnsi" w:hAnsiTheme="minorHAnsi" w:cstheme="minorHAnsi"/>
                <w:b/>
                <w:bCs/>
                <w:i/>
                <w:iCs/>
                <w:sz w:val="20"/>
                <w:szCs w:val="20"/>
              </w:rPr>
              <w:t>Cadre de l'éthique</w:t>
            </w:r>
          </w:p>
          <w:p w14:paraId="3C9C553E" w14:textId="64F80904" w:rsidR="00396C8A" w:rsidRPr="00E265F5" w:rsidRDefault="00396C8A" w:rsidP="00396C8A">
            <w:pPr>
              <w:widowControl w:val="0"/>
              <w:kinsoku w:val="0"/>
              <w:rPr>
                <w:rFonts w:asciiTheme="minorHAnsi" w:hAnsiTheme="minorHAnsi" w:cstheme="minorHAnsi"/>
                <w:sz w:val="20"/>
                <w:u w:val="single"/>
              </w:rPr>
            </w:pPr>
            <w:r w:rsidRPr="00E265F5">
              <w:rPr>
                <w:rFonts w:asciiTheme="minorHAnsi" w:hAnsiTheme="minorHAnsi" w:cstheme="minorHAnsi"/>
                <w:sz w:val="20"/>
                <w:szCs w:val="20"/>
              </w:rPr>
              <w:t xml:space="preserve">Une étude détaillée des dispositions relatives à l'éthique qui figurent dans le cadre juridique est actuellement menée au sein du Bureau de l'éthique. Suite à cet examen,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que la direction mette à jour, améliore et respecte pleinement les dispositions juridiques relatives aux questions d'éthique, en particulier dans des domaines essentiels comme la passation de marchés et le recrutement des ressources humaines</w:t>
            </w:r>
            <w:r w:rsidR="003A473D">
              <w:rPr>
                <w:rFonts w:asciiTheme="minorHAnsi" w:hAnsiTheme="minorHAnsi" w:cstheme="minorHAnsi"/>
                <w:sz w:val="20"/>
                <w:szCs w:val="20"/>
              </w:rPr>
              <w:t xml:space="preserve"> (voir également la Recommandation N° 11)</w:t>
            </w:r>
            <w:r w:rsidRPr="00E265F5">
              <w:rPr>
                <w:rFonts w:asciiTheme="minorHAnsi" w:hAnsiTheme="minorHAnsi" w:cstheme="minorHAnsi"/>
                <w:sz w:val="20"/>
                <w:szCs w:val="20"/>
              </w:rPr>
              <w:t>. Dans cette optique, il conviendrait de se référer aux bonnes pratiques suivies par le système des Nations Unies compte tenu des besoins spécifiques et des conditions particulières de l'UIT.</w:t>
            </w:r>
          </w:p>
        </w:tc>
        <w:tc>
          <w:tcPr>
            <w:tcW w:w="1208" w:type="pct"/>
          </w:tcPr>
          <w:p w14:paraId="547EF52D" w14:textId="20F70B82" w:rsidR="00396C8A" w:rsidRPr="00E265F5" w:rsidRDefault="00396C8A" w:rsidP="00B53AD7">
            <w:pPr>
              <w:widowControl w:val="0"/>
              <w:kinsoku w:val="0"/>
              <w:rPr>
                <w:rFonts w:asciiTheme="minorHAnsi" w:hAnsiTheme="minorHAnsi" w:cstheme="minorHAnsi"/>
                <w:sz w:val="20"/>
              </w:rPr>
            </w:pPr>
            <w:r w:rsidRPr="00E265F5">
              <w:rPr>
                <w:rFonts w:asciiTheme="minorHAnsi" w:hAnsiTheme="minorHAnsi" w:cstheme="minorHAnsi"/>
                <w:sz w:val="20"/>
                <w:szCs w:val="20"/>
              </w:rPr>
              <w:t>L'UIT souscrit à cette recommandation qui est conforme à la stratégie générale en matière d'éthique à laquelle se conforment la direction et le Bureau de l'éthique.</w:t>
            </w:r>
          </w:p>
        </w:tc>
        <w:tc>
          <w:tcPr>
            <w:tcW w:w="1253" w:type="pct"/>
          </w:tcPr>
          <w:p w14:paraId="659A4972" w14:textId="77777777" w:rsidR="00396C8A" w:rsidRPr="00E265F5" w:rsidRDefault="00396C8A" w:rsidP="003A473D">
            <w:pPr>
              <w:pStyle w:val="Tabletext"/>
              <w:spacing w:before="12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d'avril 2018:</w:t>
            </w:r>
          </w:p>
          <w:p w14:paraId="2590AE65" w14:textId="6B008D94" w:rsidR="00396C8A" w:rsidRPr="00E265F5" w:rsidRDefault="00396C8A" w:rsidP="00396C8A">
            <w:pPr>
              <w:pStyle w:val="Tabletext"/>
              <w:rPr>
                <w:rFonts w:asciiTheme="minorHAnsi" w:hAnsiTheme="minorHAnsi" w:cstheme="minorHAnsi"/>
                <w:b/>
                <w:bCs/>
                <w:sz w:val="20"/>
                <w:lang w:eastAsia="it-IT"/>
              </w:rPr>
            </w:pPr>
            <w:r w:rsidRPr="00E265F5">
              <w:rPr>
                <w:rFonts w:asciiTheme="minorHAnsi" w:hAnsiTheme="minorHAnsi" w:cstheme="minorHAnsi"/>
                <w:sz w:val="20"/>
                <w:szCs w:val="20"/>
                <w:lang w:eastAsia="it-IT"/>
              </w:rPr>
              <w:t xml:space="preserve">Le projet susmentionné de politique de lutte contre la fraude, la corruption et d'autres pratiques prohibées devrait répondre à certains des éléments soulevés dans cette recommandation. </w:t>
            </w:r>
            <w:r>
              <w:rPr>
                <w:rFonts w:asciiTheme="minorHAnsi" w:hAnsiTheme="minorHAnsi" w:cstheme="minorHAnsi"/>
                <w:sz w:val="20"/>
                <w:szCs w:val="20"/>
                <w:lang w:eastAsia="it-IT"/>
              </w:rPr>
              <w:t>Le projet final</w:t>
            </w:r>
            <w:r w:rsidRPr="00E265F5">
              <w:rPr>
                <w:rFonts w:asciiTheme="minorHAnsi" w:hAnsiTheme="minorHAnsi" w:cstheme="minorHAnsi"/>
                <w:sz w:val="20"/>
                <w:szCs w:val="20"/>
                <w:lang w:eastAsia="it-IT"/>
              </w:rPr>
              <w:t xml:space="preserve"> de</w:t>
            </w:r>
            <w:r>
              <w:rPr>
                <w:rFonts w:asciiTheme="minorHAnsi" w:hAnsiTheme="minorHAnsi" w:cstheme="minorHAnsi"/>
                <w:sz w:val="20"/>
                <w:szCs w:val="20"/>
                <w:lang w:eastAsia="it-IT"/>
              </w:rPr>
              <w:t xml:space="preserve"> cette politique a été présenté</w:t>
            </w:r>
            <w:r w:rsidRPr="00E265F5">
              <w:rPr>
                <w:rFonts w:asciiTheme="minorHAnsi" w:hAnsiTheme="minorHAnsi" w:cstheme="minorHAnsi"/>
                <w:sz w:val="20"/>
                <w:szCs w:val="20"/>
                <w:lang w:eastAsia="it-IT"/>
              </w:rPr>
              <w:t xml:space="preserve"> pour commentaires</w:t>
            </w:r>
            <w:r>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t xml:space="preserve">au Comité consultatif indépendant pour les questions de gestion à sa réunion de mars 2018, et est en cours de </w:t>
            </w:r>
            <w:r>
              <w:rPr>
                <w:rFonts w:asciiTheme="minorHAnsi" w:hAnsiTheme="minorHAnsi" w:cstheme="minorHAnsi"/>
                <w:sz w:val="20"/>
                <w:szCs w:val="20"/>
                <w:lang w:eastAsia="it-IT"/>
              </w:rPr>
              <w:t>finalisation en vue de sa</w:t>
            </w:r>
            <w:r w:rsidRPr="00E265F5">
              <w:rPr>
                <w:rFonts w:asciiTheme="minorHAnsi" w:hAnsiTheme="minorHAnsi" w:cstheme="minorHAnsi"/>
                <w:sz w:val="20"/>
                <w:szCs w:val="20"/>
                <w:lang w:eastAsia="it-IT"/>
              </w:rPr>
              <w:t xml:space="preserve"> publication. En outre, le Bureau de l'éthique a produit des notes d'orientation pour l'application du cadre juridique existant à certaines situations spécifiques et travaille avec d'autres bureaux à la mise au point d'un programme obligatoire de formation en ligne aux questions d'éthique. Il est également envisagé d'améliorer d'autres aspects du cadre juridique sur les questions de déontologie, en particulier une fois que la politique susmentionnée aura été </w:t>
            </w:r>
            <w:r>
              <w:rPr>
                <w:rFonts w:asciiTheme="minorHAnsi" w:hAnsiTheme="minorHAnsi" w:cstheme="minorHAnsi"/>
                <w:sz w:val="20"/>
                <w:szCs w:val="20"/>
                <w:lang w:eastAsia="it-IT"/>
              </w:rPr>
              <w:t>finalis</w:t>
            </w:r>
            <w:r w:rsidRPr="00E265F5">
              <w:rPr>
                <w:rFonts w:asciiTheme="minorHAnsi" w:hAnsiTheme="minorHAnsi" w:cstheme="minorHAnsi"/>
                <w:sz w:val="20"/>
                <w:szCs w:val="20"/>
                <w:lang w:eastAsia="it-IT"/>
              </w:rPr>
              <w:t>ée.</w:t>
            </w:r>
          </w:p>
        </w:tc>
        <w:tc>
          <w:tcPr>
            <w:tcW w:w="894" w:type="pct"/>
          </w:tcPr>
          <w:p w14:paraId="3A7F1383" w14:textId="0F444794" w:rsidR="00396C8A" w:rsidRPr="00E265F5" w:rsidRDefault="00396C8A" w:rsidP="00B53AD7">
            <w:pPr>
              <w:widowControl w:val="0"/>
              <w:kinsoku w:val="0"/>
              <w:adjustRightInd/>
              <w:rPr>
                <w:rFonts w:asciiTheme="minorHAnsi" w:hAnsiTheme="minorHAnsi" w:cstheme="minorHAnsi"/>
                <w:sz w:val="20"/>
                <w:lang w:eastAsia="it-IT"/>
              </w:rPr>
            </w:pPr>
            <w:r>
              <w:rPr>
                <w:rFonts w:asciiTheme="minorHAnsi" w:hAnsiTheme="minorHAnsi" w:cstheme="minorHAnsi"/>
                <w:sz w:val="20"/>
                <w:lang w:eastAsia="it-IT"/>
              </w:rPr>
              <w:t>En cours.</w:t>
            </w:r>
          </w:p>
        </w:tc>
      </w:tr>
    </w:tbl>
    <w:p w14:paraId="60B9F830" w14:textId="77777777" w:rsidR="00396C8A" w:rsidRDefault="00396C8A">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396C8A" w:rsidRPr="00DD066D" w14:paraId="1DDA9870" w14:textId="77777777" w:rsidTr="00396C8A">
        <w:tc>
          <w:tcPr>
            <w:tcW w:w="295" w:type="pct"/>
          </w:tcPr>
          <w:p w14:paraId="3478A5CC" w14:textId="77777777" w:rsidR="00396C8A" w:rsidRPr="00E265F5" w:rsidRDefault="00396C8A" w:rsidP="003A473D">
            <w:pPr>
              <w:pStyle w:val="Tablehead"/>
              <w:pageBreakBefore/>
              <w:rPr>
                <w:rFonts w:asciiTheme="minorHAnsi" w:hAnsiTheme="minorHAnsi" w:cstheme="minorHAnsi"/>
                <w:sz w:val="20"/>
                <w:szCs w:val="20"/>
                <w:lang w:eastAsia="it-IT"/>
              </w:rPr>
            </w:pPr>
          </w:p>
        </w:tc>
        <w:tc>
          <w:tcPr>
            <w:tcW w:w="1350" w:type="pct"/>
          </w:tcPr>
          <w:p w14:paraId="137D57EE"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4AA3109D"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6CC137FD"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4B8DE6C3" w14:textId="77777777" w:rsidR="00396C8A" w:rsidRPr="00E265F5" w:rsidRDefault="00396C8A"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6D095DE6" w14:textId="77777777" w:rsidTr="00396C8A">
        <w:tblPrEx>
          <w:tblLook w:val="0000" w:firstRow="0" w:lastRow="0" w:firstColumn="0" w:lastColumn="0" w:noHBand="0" w:noVBand="0"/>
        </w:tblPrEx>
        <w:tc>
          <w:tcPr>
            <w:tcW w:w="295" w:type="pct"/>
          </w:tcPr>
          <w:p w14:paraId="5DFA1064" w14:textId="33F1DD0D" w:rsidR="00101F96" w:rsidRPr="00E265F5" w:rsidRDefault="00101F96" w:rsidP="003A473D">
            <w:pPr>
              <w:pStyle w:val="Tabletext"/>
              <w:spacing w:before="120"/>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1/2015</w:t>
            </w:r>
          </w:p>
        </w:tc>
        <w:tc>
          <w:tcPr>
            <w:tcW w:w="1350" w:type="pct"/>
          </w:tcPr>
          <w:p w14:paraId="5D53AE08" w14:textId="47D3F40C" w:rsidR="00101F96" w:rsidRPr="00E265F5" w:rsidRDefault="00101F96" w:rsidP="003A473D">
            <w:pPr>
              <w:pStyle w:val="Tabletext"/>
              <w:spacing w:before="120"/>
              <w:rPr>
                <w:rFonts w:asciiTheme="minorHAnsi" w:hAnsiTheme="minorHAnsi" w:cstheme="minorHAnsi"/>
                <w:b/>
                <w:bCs/>
                <w:i/>
                <w:iCs/>
                <w:sz w:val="20"/>
                <w:szCs w:val="20"/>
              </w:rPr>
            </w:pPr>
            <w:r w:rsidRPr="00E265F5">
              <w:rPr>
                <w:rFonts w:asciiTheme="minorHAnsi" w:hAnsiTheme="minorHAnsi" w:cstheme="minorHAnsi"/>
                <w:b/>
                <w:bCs/>
                <w:i/>
                <w:iCs/>
                <w:sz w:val="20"/>
                <w:szCs w:val="20"/>
              </w:rPr>
              <w:t>L</w:t>
            </w:r>
            <w:r w:rsidR="001B30ED" w:rsidRPr="00E265F5">
              <w:rPr>
                <w:rFonts w:asciiTheme="minorHAnsi" w:hAnsiTheme="minorHAnsi" w:cstheme="minorHAnsi"/>
                <w:b/>
                <w:bCs/>
                <w:i/>
                <w:iCs/>
                <w:sz w:val="20"/>
                <w:szCs w:val="20"/>
              </w:rPr>
              <w:t>'</w:t>
            </w:r>
            <w:r w:rsidRPr="00E265F5">
              <w:rPr>
                <w:rFonts w:asciiTheme="minorHAnsi" w:hAnsiTheme="minorHAnsi" w:cstheme="minorHAnsi"/>
                <w:b/>
                <w:bCs/>
                <w:i/>
                <w:iCs/>
                <w:sz w:val="20"/>
                <w:szCs w:val="20"/>
              </w:rPr>
              <w:t>exactitude du registre des actifs doit être améliorée</w:t>
            </w:r>
          </w:p>
          <w:p w14:paraId="6E4863B6" w14:textId="6599D8B1" w:rsidR="00101F96" w:rsidRPr="00E265F5" w:rsidRDefault="00396C8A" w:rsidP="00B53AD7">
            <w:pPr>
              <w:pStyle w:val="Tabletext"/>
              <w:rPr>
                <w:rFonts w:asciiTheme="minorHAnsi" w:hAnsiTheme="minorHAnsi" w:cstheme="minorHAnsi"/>
                <w:sz w:val="20"/>
                <w:szCs w:val="20"/>
                <w:lang w:eastAsia="it-IT"/>
              </w:rPr>
            </w:pPr>
            <w:r>
              <w:rPr>
                <w:rFonts w:asciiTheme="minorHAnsi" w:hAnsiTheme="minorHAnsi" w:cstheme="minorHAnsi"/>
                <w:sz w:val="20"/>
                <w:szCs w:val="20"/>
              </w:rPr>
              <w:t xml:space="preserve">A </w:t>
            </w:r>
            <w:r w:rsidR="00101F96" w:rsidRPr="00E265F5">
              <w:rPr>
                <w:rFonts w:asciiTheme="minorHAnsi" w:hAnsiTheme="minorHAnsi" w:cstheme="minorHAnsi"/>
                <w:sz w:val="20"/>
                <w:szCs w:val="20"/>
              </w:rPr>
              <w:t xml:space="preserve">cet égard, </w:t>
            </w:r>
            <w:r w:rsidR="00101F96" w:rsidRPr="00E265F5">
              <w:rPr>
                <w:rFonts w:asciiTheme="minorHAnsi" w:hAnsiTheme="minorHAnsi" w:cstheme="minorHAnsi"/>
                <w:sz w:val="20"/>
                <w:szCs w:val="20"/>
                <w:u w:val="single"/>
              </w:rPr>
              <w:t>nous recommandons</w:t>
            </w:r>
            <w:r w:rsidR="00101F96" w:rsidRPr="00E265F5">
              <w:rPr>
                <w:rFonts w:asciiTheme="minorHAnsi" w:hAnsiTheme="minorHAnsi" w:cstheme="minorHAnsi"/>
                <w:sz w:val="20"/>
                <w:szCs w:val="20"/>
              </w:rPr>
              <w:t xml:space="preserve"> à la direction d</w:t>
            </w:r>
            <w:r w:rsidR="001B30ED" w:rsidRPr="00E265F5">
              <w:rPr>
                <w:rFonts w:asciiTheme="minorHAnsi" w:hAnsiTheme="minorHAnsi" w:cstheme="minorHAnsi"/>
                <w:sz w:val="20"/>
                <w:szCs w:val="20"/>
              </w:rPr>
              <w:t>'</w:t>
            </w:r>
            <w:r w:rsidR="00101F96" w:rsidRPr="00E265F5">
              <w:rPr>
                <w:rFonts w:asciiTheme="minorHAnsi" w:hAnsiTheme="minorHAnsi" w:cstheme="minorHAnsi"/>
                <w:sz w:val="20"/>
                <w:szCs w:val="20"/>
              </w:rPr>
              <w:t>accentuer les efforts déployés pour comptabiliser, étiqueter et capitaliser les immobilisations corporelles à l</w:t>
            </w:r>
            <w:r w:rsidR="001B30ED" w:rsidRPr="00E265F5">
              <w:rPr>
                <w:rFonts w:asciiTheme="minorHAnsi" w:hAnsiTheme="minorHAnsi" w:cstheme="minorHAnsi"/>
                <w:sz w:val="20"/>
                <w:szCs w:val="20"/>
              </w:rPr>
              <w:t>'</w:t>
            </w:r>
            <w:r w:rsidR="00101F96" w:rsidRPr="00E265F5">
              <w:rPr>
                <w:rFonts w:asciiTheme="minorHAnsi" w:hAnsiTheme="minorHAnsi" w:cstheme="minorHAnsi"/>
                <w:sz w:val="20"/>
                <w:szCs w:val="20"/>
              </w:rPr>
              <w:t>UIT, afin de disposer d</w:t>
            </w:r>
            <w:r w:rsidR="001B30ED" w:rsidRPr="00E265F5">
              <w:rPr>
                <w:rFonts w:asciiTheme="minorHAnsi" w:hAnsiTheme="minorHAnsi" w:cstheme="minorHAnsi"/>
                <w:sz w:val="20"/>
                <w:szCs w:val="20"/>
              </w:rPr>
              <w:t>'</w:t>
            </w:r>
            <w:r w:rsidR="00101F96" w:rsidRPr="00E265F5">
              <w:rPr>
                <w:rFonts w:asciiTheme="minorHAnsi" w:hAnsiTheme="minorHAnsi" w:cstheme="minorHAnsi"/>
                <w:sz w:val="20"/>
                <w:szCs w:val="20"/>
              </w:rPr>
              <w:t>un registre des actifs plus juste grâce à des procédures et des procédés qui stimuleront la coordination entre les différents départements.</w:t>
            </w:r>
          </w:p>
        </w:tc>
        <w:tc>
          <w:tcPr>
            <w:tcW w:w="1208" w:type="pct"/>
          </w:tcPr>
          <w:p w14:paraId="6A263227" w14:textId="77777777" w:rsidR="00101F96" w:rsidRPr="00E265F5" w:rsidRDefault="00101F96" w:rsidP="003A473D">
            <w:pPr>
              <w:pStyle w:val="Tabletext"/>
              <w:spacing w:before="120"/>
              <w:rPr>
                <w:rFonts w:asciiTheme="minorHAnsi" w:hAnsiTheme="minorHAnsi" w:cstheme="minorHAnsi"/>
                <w:sz w:val="20"/>
                <w:szCs w:val="20"/>
                <w:lang w:eastAsia="it-IT"/>
              </w:rPr>
            </w:pPr>
            <w:r w:rsidRPr="00E265F5">
              <w:rPr>
                <w:rFonts w:asciiTheme="minorHAnsi" w:hAnsiTheme="minorHAnsi" w:cstheme="minorHAnsi"/>
                <w:sz w:val="20"/>
                <w:szCs w:val="20"/>
              </w:rPr>
              <w:t>Le secrétariat poursuivra les efforts déjà déployés pour faire en sorte que tous les actifs soient comptabilisés dans les bases de données correspondantes.</w:t>
            </w:r>
          </w:p>
        </w:tc>
        <w:tc>
          <w:tcPr>
            <w:tcW w:w="1253" w:type="pct"/>
          </w:tcPr>
          <w:p w14:paraId="565EF7E1" w14:textId="5AA35B39" w:rsidR="00101F96" w:rsidRPr="00E265F5" w:rsidRDefault="00101F96" w:rsidP="003A473D">
            <w:pPr>
              <w:pStyle w:val="Tabletext"/>
              <w:spacing w:before="12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de fin 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14585A4B" w14:textId="72863C2F" w:rsidR="00101F96" w:rsidRPr="00E265F5" w:rsidRDefault="00101F96"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Grâce à une collaboration étroite entre différents départements, des améliorations ont été apportées en ce qui concerne de la cohérence des données dans les deux modules SAP pour la comptabilité des actifs et la gestion des équipements au siège et dans les bureaux régionaux. Par ailleurs, un Ordre de service sur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inventaire et la protection des équipements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UIT a été publié. </w:t>
            </w:r>
          </w:p>
          <w:p w14:paraId="0AAB2111" w14:textId="35B544E7" w:rsidR="00312561" w:rsidRPr="00E265F5" w:rsidRDefault="00312561"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5A73A311" w14:textId="4CF4647B" w:rsidR="00E82CD8" w:rsidRPr="00E265F5" w:rsidRDefault="00E82CD8" w:rsidP="00E265F5">
            <w:pPr>
              <w:pStyle w:val="Tabletext"/>
              <w:rPr>
                <w:rFonts w:asciiTheme="minorHAnsi" w:hAnsiTheme="minorHAnsi" w:cstheme="minorHAnsi"/>
                <w:sz w:val="20"/>
                <w:szCs w:val="20"/>
              </w:rPr>
            </w:pPr>
            <w:r w:rsidRPr="00E265F5">
              <w:rPr>
                <w:rFonts w:asciiTheme="minorHAnsi" w:hAnsiTheme="minorHAnsi" w:cstheme="minorHAnsi"/>
                <w:sz w:val="20"/>
                <w:szCs w:val="20"/>
                <w:lang w:eastAsia="it-IT"/>
              </w:rPr>
              <w:t xml:space="preserve">Les différentes données du système </w:t>
            </w:r>
            <w:r w:rsidR="00E265F5">
              <w:rPr>
                <w:rFonts w:asciiTheme="minorHAnsi" w:hAnsiTheme="minorHAnsi" w:cstheme="minorHAnsi"/>
                <w:sz w:val="20"/>
                <w:szCs w:val="20"/>
                <w:lang w:eastAsia="it-IT"/>
              </w:rPr>
              <w:t xml:space="preserve">SAP pour les </w:t>
            </w:r>
            <w:r w:rsidRPr="00E265F5">
              <w:rPr>
                <w:rFonts w:asciiTheme="minorHAnsi" w:hAnsiTheme="minorHAnsi" w:cstheme="minorHAnsi"/>
                <w:sz w:val="20"/>
                <w:szCs w:val="20"/>
                <w:lang w:eastAsia="it-IT"/>
              </w:rPr>
              <w:t>équipement</w:t>
            </w:r>
            <w:r w:rsidR="00E265F5">
              <w:rPr>
                <w:rFonts w:asciiTheme="minorHAnsi" w:hAnsiTheme="minorHAnsi" w:cstheme="minorHAnsi"/>
                <w:sz w:val="20"/>
                <w:szCs w:val="20"/>
                <w:lang w:eastAsia="it-IT"/>
              </w:rPr>
              <w:t>s</w:t>
            </w:r>
            <w:r w:rsidRPr="00E265F5">
              <w:rPr>
                <w:rFonts w:asciiTheme="minorHAnsi" w:hAnsiTheme="minorHAnsi" w:cstheme="minorHAnsi"/>
                <w:sz w:val="20"/>
                <w:szCs w:val="20"/>
                <w:lang w:eastAsia="it-IT"/>
              </w:rPr>
              <w:t xml:space="preserve"> et du module SAP pour la gestion des </w:t>
            </w:r>
            <w:r w:rsidR="00E265F5">
              <w:rPr>
                <w:rFonts w:asciiTheme="minorHAnsi" w:hAnsiTheme="minorHAnsi" w:cstheme="minorHAnsi"/>
                <w:sz w:val="20"/>
                <w:szCs w:val="20"/>
                <w:lang w:eastAsia="it-IT"/>
              </w:rPr>
              <w:t>actifs</w:t>
            </w:r>
            <w:r w:rsidRPr="00E265F5">
              <w:rPr>
                <w:rFonts w:asciiTheme="minorHAnsi" w:hAnsiTheme="minorHAnsi" w:cstheme="minorHAnsi"/>
                <w:sz w:val="20"/>
                <w:szCs w:val="20"/>
                <w:lang w:eastAsia="it-IT"/>
              </w:rPr>
              <w:t xml:space="preserve"> sont maintenant synchronisées. Cependant, la mise en relation des données est un exercice permanent et régulier qui continuera à être réalisé par les départements concernés.</w:t>
            </w:r>
          </w:p>
        </w:tc>
        <w:tc>
          <w:tcPr>
            <w:tcW w:w="894" w:type="pct"/>
          </w:tcPr>
          <w:p w14:paraId="2143AF99" w14:textId="0956636C" w:rsidR="00101F96" w:rsidRPr="00E265F5" w:rsidRDefault="00101F96" w:rsidP="003A473D">
            <w:pPr>
              <w:pStyle w:val="Tabletext"/>
              <w:spacing w:before="120"/>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396C8A">
              <w:rPr>
                <w:rFonts w:asciiTheme="minorHAnsi" w:hAnsiTheme="minorHAnsi" w:cstheme="minorHAnsi"/>
                <w:sz w:val="20"/>
                <w:szCs w:val="20"/>
                <w:lang w:eastAsia="it-IT"/>
              </w:rPr>
              <w:t>.</w:t>
            </w:r>
          </w:p>
          <w:p w14:paraId="3CB4540D" w14:textId="77777777" w:rsidR="00101F96" w:rsidRPr="00E265F5" w:rsidRDefault="00101F96" w:rsidP="00B53AD7">
            <w:pPr>
              <w:pStyle w:val="Tabletext"/>
              <w:rPr>
                <w:rFonts w:asciiTheme="minorHAnsi" w:hAnsiTheme="minorHAnsi" w:cstheme="minorHAnsi"/>
                <w:sz w:val="20"/>
                <w:szCs w:val="20"/>
                <w:lang w:eastAsia="it-IT"/>
              </w:rPr>
            </w:pPr>
          </w:p>
        </w:tc>
      </w:tr>
      <w:tr w:rsidR="00984441" w:rsidRPr="00DD066D" w14:paraId="6A4B694D" w14:textId="77777777" w:rsidTr="00396C8A">
        <w:tblPrEx>
          <w:tblLook w:val="0000" w:firstRow="0" w:lastRow="0" w:firstColumn="0" w:lastColumn="0" w:noHBand="0" w:noVBand="0"/>
        </w:tblPrEx>
        <w:tc>
          <w:tcPr>
            <w:tcW w:w="295" w:type="pct"/>
          </w:tcPr>
          <w:p w14:paraId="1B641EF8" w14:textId="77777777" w:rsidR="00101F96" w:rsidRPr="00E265F5" w:rsidRDefault="00101F96"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2/2015</w:t>
            </w:r>
          </w:p>
        </w:tc>
        <w:tc>
          <w:tcPr>
            <w:tcW w:w="1350" w:type="pct"/>
          </w:tcPr>
          <w:p w14:paraId="6B04BE79" w14:textId="3EE4C2AF" w:rsidR="00101F96" w:rsidRPr="00E265F5" w:rsidRDefault="00101F96" w:rsidP="00B53AD7">
            <w:pPr>
              <w:pStyle w:val="Tabletext"/>
              <w:rPr>
                <w:rFonts w:asciiTheme="minorHAnsi" w:hAnsiTheme="minorHAnsi" w:cstheme="minorHAnsi"/>
                <w:b/>
                <w:bCs/>
                <w:i/>
                <w:iCs/>
                <w:sz w:val="20"/>
                <w:szCs w:val="20"/>
                <w:lang w:eastAsia="it-IT"/>
              </w:rPr>
            </w:pPr>
            <w:r w:rsidRPr="00E265F5">
              <w:rPr>
                <w:rFonts w:asciiTheme="minorHAnsi" w:hAnsiTheme="minorHAnsi" w:cstheme="minorHAnsi"/>
                <w:b/>
                <w:bCs/>
                <w:i/>
                <w:iCs/>
                <w:sz w:val="20"/>
                <w:szCs w:val="20"/>
              </w:rPr>
              <w:t>Il est nécessaire de revoir les coefficients d</w:t>
            </w:r>
            <w:r w:rsidR="001B30ED" w:rsidRPr="00E265F5">
              <w:rPr>
                <w:rFonts w:asciiTheme="minorHAnsi" w:hAnsiTheme="minorHAnsi" w:cstheme="minorHAnsi"/>
                <w:b/>
                <w:bCs/>
                <w:i/>
                <w:iCs/>
                <w:sz w:val="20"/>
                <w:szCs w:val="20"/>
              </w:rPr>
              <w:t>'</w:t>
            </w:r>
            <w:r w:rsidRPr="00E265F5">
              <w:rPr>
                <w:rFonts w:asciiTheme="minorHAnsi" w:hAnsiTheme="minorHAnsi" w:cstheme="minorHAnsi"/>
                <w:b/>
                <w:bCs/>
                <w:i/>
                <w:iCs/>
                <w:sz w:val="20"/>
                <w:szCs w:val="20"/>
              </w:rPr>
              <w:t>amortissement</w:t>
            </w:r>
          </w:p>
          <w:p w14:paraId="300C1282" w14:textId="48334A77"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rPr>
              <w:t xml:space="preserve">A cet égard,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à la direction de revoir les durées de vie associées aux différentes catégories et les amortissements connexes conformément aux pratiques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ONU. Un ajustement de la valeur comptable nette sera nécessaire pour les catégories mises à jour.</w:t>
            </w:r>
          </w:p>
        </w:tc>
        <w:tc>
          <w:tcPr>
            <w:tcW w:w="1208" w:type="pct"/>
          </w:tcPr>
          <w:p w14:paraId="5A2EC417" w14:textId="458C62EE"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rPr>
              <w:t>Le secrétariat analysera plus en détail cette recommandation et les conséquences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elle pourrait avoir.</w:t>
            </w:r>
          </w:p>
        </w:tc>
        <w:tc>
          <w:tcPr>
            <w:tcW w:w="1253" w:type="pct"/>
          </w:tcPr>
          <w:p w14:paraId="4F258F68" w14:textId="042D3C1A" w:rsidR="00101F96" w:rsidRPr="00E265F5" w:rsidRDefault="00101F96"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de fin 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6EFB5595" w14:textId="7F40F6DA"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Une étude sur la durée de vie a été réalisée pour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autres organisations internationales dont le siège est à Genève.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éventuelle modification de la durée de vie associée à certaines catégories est en cours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examen et la décision concernant la mise en </w:t>
            </w:r>
            <w:r w:rsidR="00A55BE4" w:rsidRPr="00E265F5">
              <w:rPr>
                <w:rFonts w:asciiTheme="minorHAnsi" w:hAnsiTheme="minorHAnsi" w:cstheme="minorHAnsi"/>
                <w:sz w:val="20"/>
                <w:szCs w:val="20"/>
                <w:lang w:eastAsia="it-IT"/>
              </w:rPr>
              <w:t>oe</w:t>
            </w:r>
            <w:r w:rsidRPr="00E265F5">
              <w:rPr>
                <w:rFonts w:asciiTheme="minorHAnsi" w:hAnsiTheme="minorHAnsi" w:cstheme="minorHAnsi"/>
                <w:sz w:val="20"/>
                <w:szCs w:val="20"/>
                <w:lang w:eastAsia="it-IT"/>
              </w:rPr>
              <w:t>uvre de cette recommandation est subordonnée à la construction du nouveau bâtiment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w:t>
            </w:r>
          </w:p>
          <w:p w14:paraId="62203B27" w14:textId="306AB214" w:rsidR="00312561" w:rsidRPr="00E265F5" w:rsidRDefault="00312561"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4CC965BD" w14:textId="56BFA104" w:rsidR="006E5941" w:rsidRPr="00E265F5" w:rsidRDefault="00E82CD8"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Aucune</w:t>
            </w:r>
            <w:r w:rsidR="00E265F5">
              <w:rPr>
                <w:rFonts w:asciiTheme="minorHAnsi" w:hAnsiTheme="minorHAnsi" w:cstheme="minorHAnsi"/>
                <w:sz w:val="20"/>
                <w:szCs w:val="20"/>
                <w:lang w:eastAsia="it-IT"/>
              </w:rPr>
              <w:t>.</w:t>
            </w:r>
          </w:p>
        </w:tc>
        <w:tc>
          <w:tcPr>
            <w:tcW w:w="894" w:type="pct"/>
          </w:tcPr>
          <w:p w14:paraId="6550DD6C" w14:textId="7351E458"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E1265A">
              <w:rPr>
                <w:rFonts w:asciiTheme="minorHAnsi" w:hAnsiTheme="minorHAnsi" w:cstheme="minorHAnsi"/>
                <w:sz w:val="20"/>
                <w:szCs w:val="20"/>
                <w:lang w:eastAsia="it-IT"/>
              </w:rPr>
              <w:t>.</w:t>
            </w:r>
          </w:p>
        </w:tc>
      </w:tr>
    </w:tbl>
    <w:p w14:paraId="3CA8D35F"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39FB5C68" w14:textId="77777777" w:rsidTr="00607E37">
        <w:tc>
          <w:tcPr>
            <w:tcW w:w="295" w:type="pct"/>
          </w:tcPr>
          <w:p w14:paraId="33C1B87B" w14:textId="77777777" w:rsidR="00607E37" w:rsidRPr="00E265F5" w:rsidRDefault="00607E37" w:rsidP="003A473D">
            <w:pPr>
              <w:pStyle w:val="Tablehead"/>
              <w:pageBreakBefore/>
              <w:rPr>
                <w:rFonts w:asciiTheme="minorHAnsi" w:hAnsiTheme="minorHAnsi" w:cstheme="minorHAnsi"/>
                <w:sz w:val="20"/>
                <w:szCs w:val="20"/>
                <w:lang w:eastAsia="it-IT"/>
              </w:rPr>
            </w:pPr>
          </w:p>
        </w:tc>
        <w:tc>
          <w:tcPr>
            <w:tcW w:w="1350" w:type="pct"/>
          </w:tcPr>
          <w:p w14:paraId="29CF1FC6"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0A02C7A6"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27B1E12E"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6E186C30"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3CE5C589" w14:textId="77777777" w:rsidTr="00396C8A">
        <w:tblPrEx>
          <w:tblLook w:val="0000" w:firstRow="0" w:lastRow="0" w:firstColumn="0" w:lastColumn="0" w:noHBand="0" w:noVBand="0"/>
        </w:tblPrEx>
        <w:tc>
          <w:tcPr>
            <w:tcW w:w="295" w:type="pct"/>
          </w:tcPr>
          <w:p w14:paraId="6A138C7B" w14:textId="56D30E9B" w:rsidR="00101F96" w:rsidRPr="00E265F5" w:rsidRDefault="00101F96"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3/2015</w:t>
            </w:r>
          </w:p>
        </w:tc>
        <w:tc>
          <w:tcPr>
            <w:tcW w:w="1350" w:type="pct"/>
          </w:tcPr>
          <w:p w14:paraId="0B013EE7" w14:textId="2BC2BF15" w:rsidR="00101F96" w:rsidRPr="00E265F5" w:rsidRDefault="00101F96" w:rsidP="00B53AD7">
            <w:pPr>
              <w:pStyle w:val="TabletextItalic"/>
              <w:ind w:left="0"/>
              <w:rPr>
                <w:rFonts w:asciiTheme="minorHAnsi" w:hAnsiTheme="minorHAnsi" w:cstheme="minorHAnsi"/>
                <w:b/>
                <w:bCs/>
                <w:sz w:val="20"/>
                <w:szCs w:val="20"/>
              </w:rPr>
            </w:pPr>
            <w:r w:rsidRPr="00E265F5">
              <w:rPr>
                <w:rFonts w:asciiTheme="minorHAnsi" w:hAnsiTheme="minorHAnsi" w:cstheme="minorHAnsi"/>
                <w:b/>
                <w:bCs/>
                <w:sz w:val="20"/>
                <w:szCs w:val="20"/>
              </w:rPr>
              <w:t xml:space="preserve">La mise en </w:t>
            </w:r>
            <w:r w:rsidR="00A55BE4" w:rsidRPr="00E265F5">
              <w:rPr>
                <w:rFonts w:asciiTheme="minorHAnsi" w:hAnsiTheme="minorHAnsi" w:cstheme="minorHAnsi"/>
                <w:b/>
                <w:bCs/>
                <w:sz w:val="20"/>
                <w:szCs w:val="20"/>
              </w:rPr>
              <w:t>oe</w:t>
            </w:r>
            <w:r w:rsidRPr="00E265F5">
              <w:rPr>
                <w:rFonts w:asciiTheme="minorHAnsi" w:hAnsiTheme="minorHAnsi" w:cstheme="minorHAnsi"/>
                <w:b/>
                <w:bCs/>
                <w:sz w:val="20"/>
                <w:szCs w:val="20"/>
              </w:rPr>
              <w:t>uvre d</w:t>
            </w:r>
            <w:r w:rsidR="001B30ED" w:rsidRPr="00E265F5">
              <w:rPr>
                <w:rFonts w:asciiTheme="minorHAnsi" w:hAnsiTheme="minorHAnsi" w:cstheme="minorHAnsi"/>
                <w:b/>
                <w:bCs/>
                <w:sz w:val="20"/>
                <w:szCs w:val="20"/>
              </w:rPr>
              <w:t>'</w:t>
            </w:r>
            <w:r w:rsidRPr="00E265F5">
              <w:rPr>
                <w:rFonts w:asciiTheme="minorHAnsi" w:hAnsiTheme="minorHAnsi" w:cstheme="minorHAnsi"/>
                <w:b/>
                <w:bCs/>
                <w:sz w:val="20"/>
                <w:szCs w:val="20"/>
              </w:rPr>
              <w:t>une "gestion des immobilisations corporelles" doit être plus rigoureuse</w:t>
            </w:r>
          </w:p>
          <w:p w14:paraId="49D6CCD4" w14:textId="2C011818" w:rsidR="00101F96" w:rsidRPr="00E265F5" w:rsidRDefault="00101F96"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rPr>
              <w:t xml:space="preserve">Nous estimons que le cadre de gestion des actifs doit être encore amélioré, par conséquent </w:t>
            </w:r>
            <w:r w:rsidRPr="00E265F5">
              <w:rPr>
                <w:rFonts w:asciiTheme="minorHAnsi" w:hAnsiTheme="minorHAnsi" w:cstheme="minorHAnsi"/>
                <w:i w:val="0"/>
                <w:iCs w:val="0"/>
                <w:sz w:val="20"/>
                <w:szCs w:val="20"/>
                <w:u w:val="single"/>
              </w:rPr>
              <w:t>nous recommandons</w:t>
            </w:r>
            <w:r w:rsidRPr="00E265F5">
              <w:rPr>
                <w:rFonts w:asciiTheme="minorHAnsi" w:hAnsiTheme="minorHAnsi" w:cstheme="minorHAnsi"/>
                <w:i w:val="0"/>
                <w:iCs w:val="0"/>
                <w:sz w:val="20"/>
                <w:szCs w:val="20"/>
              </w:rPr>
              <w:t xml:space="preserve"> à la direction: i)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étudier dans quelle mesure il était possible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évaluer la situation et le niveau d</w:t>
            </w:r>
            <w:r w:rsidR="001B30ED" w:rsidRPr="00E265F5">
              <w:rPr>
                <w:rFonts w:asciiTheme="minorHAnsi" w:hAnsiTheme="minorHAnsi" w:cstheme="minorHAnsi"/>
                <w:i w:val="0"/>
                <w:iCs w:val="0"/>
                <w:sz w:val="20"/>
                <w:szCs w:val="20"/>
              </w:rPr>
              <w:t>'</w:t>
            </w:r>
            <w:r w:rsidR="00E1265A">
              <w:rPr>
                <w:rFonts w:asciiTheme="minorHAnsi" w:hAnsiTheme="minorHAnsi" w:cstheme="minorHAnsi"/>
                <w:i w:val="0"/>
                <w:iCs w:val="0"/>
                <w:sz w:val="20"/>
                <w:szCs w:val="20"/>
              </w:rPr>
              <w:t>utilisation des actifs; ii) </w:t>
            </w:r>
            <w:r w:rsidRPr="00E265F5">
              <w:rPr>
                <w:rFonts w:asciiTheme="minorHAnsi" w:hAnsiTheme="minorHAnsi" w:cstheme="minorHAnsi"/>
                <w:i w:val="0"/>
                <w:iCs w:val="0"/>
                <w:sz w:val="20"/>
                <w:szCs w:val="20"/>
              </w:rPr>
              <w:t>de surveiller régulièrement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obsolescence des articles, également en vue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évaluer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exactitude du registre des actifs; iii) d</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étendre ces processus et procédures à tous les départements et bureaux régionaux de l</w:t>
            </w:r>
            <w:r w:rsidR="001B30ED" w:rsidRPr="00E265F5">
              <w:rPr>
                <w:rFonts w:asciiTheme="minorHAnsi" w:hAnsiTheme="minorHAnsi" w:cstheme="minorHAnsi"/>
                <w:i w:val="0"/>
                <w:iCs w:val="0"/>
                <w:sz w:val="20"/>
                <w:szCs w:val="20"/>
              </w:rPr>
              <w:t>'</w:t>
            </w:r>
            <w:r w:rsidRPr="00E265F5">
              <w:rPr>
                <w:rFonts w:asciiTheme="minorHAnsi" w:hAnsiTheme="minorHAnsi" w:cstheme="minorHAnsi"/>
                <w:i w:val="0"/>
                <w:iCs w:val="0"/>
                <w:sz w:val="20"/>
                <w:szCs w:val="20"/>
              </w:rPr>
              <w:t>UIT.</w:t>
            </w:r>
          </w:p>
        </w:tc>
        <w:tc>
          <w:tcPr>
            <w:tcW w:w="1208" w:type="pct"/>
          </w:tcPr>
          <w:p w14:paraId="507CC199" w14:textId="77777777" w:rsidR="00101F96" w:rsidRPr="00E265F5" w:rsidRDefault="00101F96"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rPr>
              <w:t>Le secrétariat analysera plus en détail cette recommandation et communiquera aux vérificateurs extérieurs des comptes les résultats et les conclusions.</w:t>
            </w:r>
          </w:p>
        </w:tc>
        <w:tc>
          <w:tcPr>
            <w:tcW w:w="1253" w:type="pct"/>
          </w:tcPr>
          <w:p w14:paraId="5D1BE997" w14:textId="6E54C1A0" w:rsidR="00101F96" w:rsidRPr="00E265F5" w:rsidRDefault="00101F96" w:rsidP="00B53AD7">
            <w:pPr>
              <w:pStyle w:val="TabletextItalic"/>
              <w:ind w:left="0"/>
              <w:rPr>
                <w:rFonts w:asciiTheme="minorHAnsi" w:hAnsiTheme="minorHAnsi" w:cstheme="minorHAnsi"/>
                <w:b/>
                <w:bCs/>
                <w:i w:val="0"/>
                <w:iCs w:val="0"/>
                <w:sz w:val="20"/>
                <w:szCs w:val="20"/>
                <w:lang w:eastAsia="it-IT"/>
              </w:rPr>
            </w:pPr>
            <w:r w:rsidRPr="00E265F5">
              <w:rPr>
                <w:rFonts w:asciiTheme="minorHAnsi" w:hAnsiTheme="minorHAnsi" w:cstheme="minorHAnsi"/>
                <w:b/>
                <w:bCs/>
                <w:i w:val="0"/>
                <w:iCs w:val="0"/>
                <w:sz w:val="20"/>
                <w:szCs w:val="20"/>
                <w:lang w:eastAsia="it-IT"/>
              </w:rPr>
              <w:t>Mise à jour de fin avril</w:t>
            </w:r>
            <w:r w:rsidR="0018444B" w:rsidRPr="00E265F5">
              <w:rPr>
                <w:rFonts w:asciiTheme="minorHAnsi" w:hAnsiTheme="minorHAnsi" w:cstheme="minorHAnsi"/>
                <w:b/>
                <w:bCs/>
                <w:i w:val="0"/>
                <w:iCs w:val="0"/>
                <w:sz w:val="20"/>
                <w:szCs w:val="20"/>
                <w:lang w:eastAsia="it-IT"/>
              </w:rPr>
              <w:t> </w:t>
            </w:r>
            <w:r w:rsidRPr="00E265F5">
              <w:rPr>
                <w:rFonts w:asciiTheme="minorHAnsi" w:hAnsiTheme="minorHAnsi" w:cstheme="minorHAnsi"/>
                <w:b/>
                <w:bCs/>
                <w:i w:val="0"/>
                <w:iCs w:val="0"/>
                <w:sz w:val="20"/>
                <w:szCs w:val="20"/>
                <w:lang w:eastAsia="it-IT"/>
              </w:rPr>
              <w:t>2017:</w:t>
            </w:r>
          </w:p>
          <w:p w14:paraId="12DD2BFC" w14:textId="1A045D51" w:rsidR="00101F96" w:rsidRPr="00E265F5" w:rsidRDefault="00101F96"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lang w:eastAsia="it-IT"/>
              </w:rPr>
              <w:t>Une étude détaillée a été entreprise en 2016 concernant le niveau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utilisation des actifs placés sous la responsabilité du personnel de l</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UIT, ce qui a permis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identifier dans une large mesure les équipements obsolètes dans le but de mettre à jour les documents comptables. De nouvelles procédures sont en cours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élaboration pour la gestion des équipements et leur protection au siège et dans les bureaux régionaux.</w:t>
            </w:r>
          </w:p>
          <w:p w14:paraId="40FC5772" w14:textId="2EB59412" w:rsidR="00987CCE" w:rsidRPr="00E265F5" w:rsidRDefault="00987CCE"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2AC2AFB4" w14:textId="0E714FC9" w:rsidR="00E82CD8" w:rsidRPr="00E265F5" w:rsidRDefault="00E82CD8" w:rsidP="00B53AD7">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lang w:eastAsia="it-IT"/>
              </w:rPr>
              <w:t>Une étude détaillée des actifs sous la responsabilité du personnel de l</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UIT a été conduite en 2017.</w:t>
            </w:r>
            <w:r w:rsidR="00987CCE" w:rsidRPr="00E265F5">
              <w:rPr>
                <w:rFonts w:asciiTheme="minorHAnsi" w:hAnsiTheme="minorHAnsi" w:cstheme="minorHAnsi"/>
                <w:i w:val="0"/>
                <w:iCs w:val="0"/>
                <w:sz w:val="20"/>
                <w:szCs w:val="20"/>
                <w:lang w:eastAsia="it-IT"/>
              </w:rPr>
              <w:t xml:space="preserve"> Un nouvel O</w:t>
            </w:r>
            <w:r w:rsidR="009D4217" w:rsidRPr="00E265F5">
              <w:rPr>
                <w:rFonts w:asciiTheme="minorHAnsi" w:hAnsiTheme="minorHAnsi" w:cstheme="minorHAnsi"/>
                <w:i w:val="0"/>
                <w:iCs w:val="0"/>
                <w:sz w:val="20"/>
                <w:szCs w:val="20"/>
                <w:lang w:eastAsia="it-IT"/>
              </w:rPr>
              <w:t>rdre de service</w:t>
            </w:r>
            <w:r w:rsidR="0018444B" w:rsidRPr="00E265F5">
              <w:rPr>
                <w:rFonts w:asciiTheme="minorHAnsi" w:hAnsiTheme="minorHAnsi" w:cstheme="minorHAnsi"/>
                <w:i w:val="0"/>
                <w:iCs w:val="0"/>
                <w:sz w:val="20"/>
                <w:szCs w:val="20"/>
                <w:lang w:eastAsia="it-IT"/>
              </w:rPr>
              <w:t> </w:t>
            </w:r>
            <w:r w:rsidR="009D4217" w:rsidRPr="00E265F5">
              <w:rPr>
                <w:rFonts w:asciiTheme="minorHAnsi" w:hAnsiTheme="minorHAnsi" w:cstheme="minorHAnsi"/>
                <w:i w:val="0"/>
                <w:iCs w:val="0"/>
                <w:sz w:val="20"/>
                <w:szCs w:val="20"/>
                <w:lang w:eastAsia="it-IT"/>
              </w:rPr>
              <w:t>17/1</w:t>
            </w:r>
            <w:r w:rsidRPr="00E265F5">
              <w:rPr>
                <w:rFonts w:asciiTheme="minorHAnsi" w:hAnsiTheme="minorHAnsi" w:cstheme="minorHAnsi"/>
                <w:i w:val="0"/>
                <w:iCs w:val="0"/>
                <w:sz w:val="20"/>
                <w:szCs w:val="20"/>
                <w:lang w:eastAsia="it-IT"/>
              </w:rPr>
              <w:t>0 a été publié en septembre</w:t>
            </w:r>
            <w:r w:rsidR="0018444B" w:rsidRPr="00E265F5">
              <w:rPr>
                <w:rFonts w:asciiTheme="minorHAnsi" w:hAnsiTheme="minorHAnsi" w:cstheme="minorHAnsi"/>
                <w:i w:val="0"/>
                <w:iCs w:val="0"/>
                <w:sz w:val="20"/>
                <w:szCs w:val="20"/>
                <w:lang w:eastAsia="it-IT"/>
              </w:rPr>
              <w:t> </w:t>
            </w:r>
            <w:r w:rsidRPr="00E265F5">
              <w:rPr>
                <w:rFonts w:asciiTheme="minorHAnsi" w:hAnsiTheme="minorHAnsi" w:cstheme="minorHAnsi"/>
                <w:i w:val="0"/>
                <w:iCs w:val="0"/>
                <w:sz w:val="20"/>
                <w:szCs w:val="20"/>
                <w:lang w:eastAsia="it-IT"/>
              </w:rPr>
              <w:t>2017 pour définir les conditions d</w:t>
            </w:r>
            <w:r w:rsidR="001B30ED" w:rsidRPr="00E265F5">
              <w:rPr>
                <w:rFonts w:asciiTheme="minorHAnsi" w:hAnsiTheme="minorHAnsi" w:cstheme="minorHAnsi"/>
                <w:i w:val="0"/>
                <w:iCs w:val="0"/>
                <w:sz w:val="20"/>
                <w:szCs w:val="20"/>
                <w:lang w:eastAsia="it-IT"/>
              </w:rPr>
              <w:t>'</w:t>
            </w:r>
            <w:r w:rsidRPr="00E265F5">
              <w:rPr>
                <w:rFonts w:asciiTheme="minorHAnsi" w:hAnsiTheme="minorHAnsi" w:cstheme="minorHAnsi"/>
                <w:i w:val="0"/>
                <w:iCs w:val="0"/>
                <w:sz w:val="20"/>
                <w:szCs w:val="20"/>
                <w:lang w:eastAsia="it-IT"/>
              </w:rPr>
              <w:t xml:space="preserve">achat, de remplacement et de réaffectation du matériel informatique ainsi que les processus de livraison et de </w:t>
            </w:r>
            <w:r w:rsidR="00987CCE" w:rsidRPr="00E265F5">
              <w:rPr>
                <w:rFonts w:asciiTheme="minorHAnsi" w:hAnsiTheme="minorHAnsi" w:cstheme="minorHAnsi"/>
                <w:i w:val="0"/>
                <w:iCs w:val="0"/>
                <w:sz w:val="20"/>
                <w:szCs w:val="20"/>
                <w:lang w:eastAsia="it-IT"/>
              </w:rPr>
              <w:t>restitution</w:t>
            </w:r>
            <w:r w:rsidRPr="00E265F5">
              <w:rPr>
                <w:rFonts w:asciiTheme="minorHAnsi" w:hAnsiTheme="minorHAnsi" w:cstheme="minorHAnsi"/>
                <w:i w:val="0"/>
                <w:iCs w:val="0"/>
                <w:sz w:val="20"/>
                <w:szCs w:val="20"/>
                <w:lang w:eastAsia="it-IT"/>
              </w:rPr>
              <w:t>.</w:t>
            </w:r>
          </w:p>
        </w:tc>
        <w:tc>
          <w:tcPr>
            <w:tcW w:w="894" w:type="pct"/>
          </w:tcPr>
          <w:p w14:paraId="09DB4B56" w14:textId="4A88C662" w:rsidR="00101F96" w:rsidRPr="00E265F5" w:rsidRDefault="006E5941" w:rsidP="00E265F5">
            <w:pPr>
              <w:pStyle w:val="TabletextItalic"/>
              <w:ind w:left="0"/>
              <w:rPr>
                <w:rFonts w:asciiTheme="minorHAnsi" w:hAnsiTheme="minorHAnsi" w:cstheme="minorHAnsi"/>
                <w:i w:val="0"/>
                <w:iCs w:val="0"/>
                <w:sz w:val="20"/>
                <w:szCs w:val="20"/>
                <w:lang w:eastAsia="it-IT"/>
              </w:rPr>
            </w:pPr>
            <w:r w:rsidRPr="00E265F5">
              <w:rPr>
                <w:rFonts w:asciiTheme="minorHAnsi" w:hAnsiTheme="minorHAnsi" w:cstheme="minorHAnsi"/>
                <w:i w:val="0"/>
                <w:iCs w:val="0"/>
                <w:sz w:val="20"/>
                <w:szCs w:val="20"/>
                <w:lang w:eastAsia="it-IT"/>
              </w:rPr>
              <w:t>Clos</w:t>
            </w:r>
            <w:r w:rsidR="00E265F5">
              <w:rPr>
                <w:rFonts w:asciiTheme="minorHAnsi" w:hAnsiTheme="minorHAnsi" w:cstheme="minorHAnsi"/>
                <w:i w:val="0"/>
                <w:iCs w:val="0"/>
                <w:sz w:val="20"/>
                <w:szCs w:val="20"/>
                <w:lang w:eastAsia="it-IT"/>
              </w:rPr>
              <w:t>.</w:t>
            </w:r>
          </w:p>
        </w:tc>
      </w:tr>
    </w:tbl>
    <w:p w14:paraId="53DDA0DF"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18BB329A" w14:textId="77777777" w:rsidTr="00607E37">
        <w:tc>
          <w:tcPr>
            <w:tcW w:w="295" w:type="pct"/>
          </w:tcPr>
          <w:p w14:paraId="78715C61" w14:textId="77777777" w:rsidR="00607E37" w:rsidRPr="00E265F5" w:rsidRDefault="00607E37" w:rsidP="003A473D">
            <w:pPr>
              <w:pStyle w:val="Tablehead"/>
              <w:pageBreakBefore/>
              <w:rPr>
                <w:rFonts w:asciiTheme="minorHAnsi" w:hAnsiTheme="minorHAnsi" w:cstheme="minorHAnsi"/>
                <w:sz w:val="20"/>
                <w:szCs w:val="20"/>
                <w:lang w:eastAsia="it-IT"/>
              </w:rPr>
            </w:pPr>
          </w:p>
        </w:tc>
        <w:tc>
          <w:tcPr>
            <w:tcW w:w="1350" w:type="pct"/>
          </w:tcPr>
          <w:p w14:paraId="2FF1FF7B"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71E2F077"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2A2FFCD1"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0E02B3DF"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7EF6D2B8" w14:textId="77777777" w:rsidTr="00396C8A">
        <w:tblPrEx>
          <w:tblLook w:val="0000" w:firstRow="0" w:lastRow="0" w:firstColumn="0" w:lastColumn="0" w:noHBand="0" w:noVBand="0"/>
        </w:tblPrEx>
        <w:tc>
          <w:tcPr>
            <w:tcW w:w="295" w:type="pct"/>
          </w:tcPr>
          <w:p w14:paraId="55D7E173" w14:textId="6A4B73A8" w:rsidR="00101F96" w:rsidRPr="00E265F5" w:rsidRDefault="00101F96"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4/2015</w:t>
            </w:r>
          </w:p>
        </w:tc>
        <w:tc>
          <w:tcPr>
            <w:tcW w:w="1350" w:type="pct"/>
          </w:tcPr>
          <w:p w14:paraId="55F0D9F5" w14:textId="65619D05" w:rsidR="00101F96" w:rsidRPr="00E265F5" w:rsidRDefault="00101F96" w:rsidP="00BD6831">
            <w:pPr>
              <w:pStyle w:val="Tabletext"/>
              <w:rPr>
                <w:rFonts w:asciiTheme="minorHAnsi" w:hAnsiTheme="minorHAnsi" w:cstheme="minorHAnsi"/>
                <w:iCs/>
                <w:sz w:val="20"/>
                <w:szCs w:val="20"/>
                <w:lang w:eastAsia="it-IT"/>
              </w:rPr>
            </w:pPr>
            <w:r w:rsidRPr="00E265F5">
              <w:rPr>
                <w:rFonts w:asciiTheme="minorHAnsi" w:hAnsiTheme="minorHAnsi" w:cstheme="minorHAnsi"/>
                <w:sz w:val="20"/>
                <w:szCs w:val="20"/>
              </w:rPr>
              <w:t>Vu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objectif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évaluation demandée par la norme IPS</w:t>
            </w:r>
            <w:r w:rsidR="00BD6831">
              <w:rPr>
                <w:rFonts w:asciiTheme="minorHAnsi" w:hAnsiTheme="minorHAnsi" w:cstheme="minorHAnsi"/>
                <w:sz w:val="20"/>
                <w:szCs w:val="20"/>
              </w:rPr>
              <w:t>A</w:t>
            </w:r>
            <w:r w:rsidRPr="00E265F5">
              <w:rPr>
                <w:rFonts w:asciiTheme="minorHAnsi" w:hAnsiTheme="minorHAnsi" w:cstheme="minorHAnsi"/>
                <w:sz w:val="20"/>
                <w:szCs w:val="20"/>
              </w:rPr>
              <w:t>S</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 xml:space="preserve">25 et les orientations données dans les § 92 à 94 de cette norme, </w:t>
            </w:r>
            <w:r w:rsidRPr="00E265F5">
              <w:rPr>
                <w:rFonts w:asciiTheme="minorHAnsi" w:hAnsiTheme="minorHAnsi" w:cstheme="minorHAnsi"/>
                <w:sz w:val="20"/>
                <w:szCs w:val="20"/>
                <w:u w:val="single"/>
              </w:rPr>
              <w:t>nous recommandons</w:t>
            </w:r>
            <w:r w:rsidRPr="00E265F5">
              <w:rPr>
                <w:rFonts w:asciiTheme="minorHAnsi" w:hAnsiTheme="minorHAnsi" w:cstheme="minorHAnsi"/>
                <w:sz w:val="20"/>
                <w:szCs w:val="20"/>
              </w:rPr>
              <w:t xml:space="preserve"> à la direction, pour les années à venir, de demander à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actuaire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utiliser un taux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actualisation égal au taux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actualisation des obligations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Etat suisses à long terme.</w:t>
            </w:r>
          </w:p>
        </w:tc>
        <w:tc>
          <w:tcPr>
            <w:tcW w:w="1208" w:type="pct"/>
          </w:tcPr>
          <w:p w14:paraId="13E67C66" w14:textId="61F7103D"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rPr>
              <w:t>La direction prend note de cette recommandation et examinera cette question avec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actuaire nommé, afin de déterminer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approche la mieux adaptée, compte tenu des bonnes pratiques appliquées par les organisations du système des Nations Unies.</w:t>
            </w:r>
          </w:p>
        </w:tc>
        <w:tc>
          <w:tcPr>
            <w:tcW w:w="1253" w:type="pct"/>
          </w:tcPr>
          <w:p w14:paraId="0C3F1A38" w14:textId="3C9E7DC6" w:rsidR="00101F96" w:rsidRPr="00E265F5" w:rsidRDefault="00101F96"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de fin 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6BDD7C8E" w14:textId="708E8B79" w:rsidR="00101F96" w:rsidRPr="00E265F5" w:rsidRDefault="00101F96"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Un nouvel actuaire a été sélectionné à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issue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un appel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offres. Cette question a été examinée avec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actuaire, compte tenu de la recommandation formulée par le Groupe de travail des Nations Unies sur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ASHI, et a été soumise à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Assemblée générale en décembre. Cette recommandation s</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appuie sur les travaux du Groupe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 xml:space="preserve">action des Nations Unies pour la mise en </w:t>
            </w:r>
            <w:r w:rsidR="00A55BE4" w:rsidRPr="00E265F5">
              <w:rPr>
                <w:rFonts w:asciiTheme="minorHAnsi" w:hAnsiTheme="minorHAnsi" w:cstheme="minorHAnsi"/>
                <w:sz w:val="20"/>
                <w:szCs w:val="20"/>
              </w:rPr>
              <w:t>oe</w:t>
            </w:r>
            <w:r w:rsidRPr="00E265F5">
              <w:rPr>
                <w:rFonts w:asciiTheme="minorHAnsi" w:hAnsiTheme="minorHAnsi" w:cstheme="minorHAnsi"/>
                <w:sz w:val="20"/>
                <w:szCs w:val="20"/>
              </w:rPr>
              <w:t>uvre des normes IPSAS qui a convenu, en principe, qu</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une courbe de rendement sur 30</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ans relative aux obligations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entreprises de première catégorie, serait établie chaque année pour chacune des trois devises dans lesquelles les prestations au titre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assurance maladie so</w:t>
            </w:r>
            <w:r w:rsidR="009D4217" w:rsidRPr="00E265F5">
              <w:rPr>
                <w:rFonts w:asciiTheme="minorHAnsi" w:hAnsiTheme="minorHAnsi" w:cstheme="minorHAnsi"/>
                <w:sz w:val="20"/>
                <w:szCs w:val="20"/>
              </w:rPr>
              <w:t>nt le plus couramment libellées</w:t>
            </w:r>
            <w:r w:rsidRPr="00E265F5">
              <w:rPr>
                <w:rFonts w:asciiTheme="minorHAnsi" w:hAnsiTheme="minorHAnsi" w:cstheme="minorHAnsi"/>
                <w:sz w:val="20"/>
                <w:szCs w:val="20"/>
              </w:rPr>
              <w:t>: dollar EU, franc suisse et euro.</w:t>
            </w:r>
          </w:p>
          <w:p w14:paraId="20D0407E" w14:textId="03D60E5B" w:rsidR="00F410F6" w:rsidRPr="00E265F5" w:rsidRDefault="00F410F6" w:rsidP="00B53AD7">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4484962F" w14:textId="657964F5" w:rsidR="006C1900" w:rsidRPr="00E265F5" w:rsidRDefault="006C1900" w:rsidP="00B53AD7">
            <w:pPr>
              <w:pStyle w:val="Tabletext"/>
              <w:rPr>
                <w:rFonts w:asciiTheme="minorHAnsi" w:hAnsiTheme="minorHAnsi" w:cstheme="minorHAnsi"/>
                <w:sz w:val="20"/>
                <w:szCs w:val="20"/>
              </w:rPr>
            </w:pPr>
            <w:r w:rsidRPr="00E265F5">
              <w:rPr>
                <w:rFonts w:asciiTheme="minorHAnsi" w:hAnsiTheme="minorHAnsi" w:cstheme="minorHAnsi"/>
                <w:sz w:val="20"/>
                <w:szCs w:val="20"/>
                <w:lang w:eastAsia="it-IT"/>
              </w:rPr>
              <w:t>Conformément à la recommandation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harmonisation examinée par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équipe de mise en </w:t>
            </w:r>
            <w:r w:rsidR="00A55BE4" w:rsidRPr="00E265F5">
              <w:rPr>
                <w:rFonts w:asciiTheme="minorHAnsi" w:hAnsiTheme="minorHAnsi" w:cstheme="minorHAnsi"/>
                <w:sz w:val="20"/>
                <w:szCs w:val="20"/>
                <w:lang w:eastAsia="it-IT"/>
              </w:rPr>
              <w:t>oe</w:t>
            </w:r>
            <w:r w:rsidRPr="00E265F5">
              <w:rPr>
                <w:rFonts w:asciiTheme="minorHAnsi" w:hAnsiTheme="minorHAnsi" w:cstheme="minorHAnsi"/>
                <w:sz w:val="20"/>
                <w:szCs w:val="20"/>
                <w:lang w:eastAsia="it-IT"/>
              </w:rPr>
              <w:t xml:space="preserve">uvre des normes </w:t>
            </w:r>
            <w:r w:rsidRPr="00E265F5">
              <w:rPr>
                <w:rFonts w:asciiTheme="minorHAnsi" w:hAnsiTheme="minorHAnsi" w:cstheme="minorHAnsi"/>
                <w:iCs/>
                <w:sz w:val="20"/>
                <w:szCs w:val="20"/>
                <w:lang w:eastAsia="it-IT"/>
              </w:rPr>
              <w:t xml:space="preserve">IPSAS des Nations Unies, </w:t>
            </w:r>
            <w:r w:rsidR="00E1265A">
              <w:rPr>
                <w:rFonts w:asciiTheme="minorHAnsi" w:hAnsiTheme="minorHAnsi" w:cstheme="minorHAnsi"/>
                <w:sz w:val="20"/>
                <w:szCs w:val="20"/>
              </w:rPr>
              <w:t>une courbe de rendement sur </w:t>
            </w:r>
            <w:r w:rsidRPr="00E265F5">
              <w:rPr>
                <w:rFonts w:asciiTheme="minorHAnsi" w:hAnsiTheme="minorHAnsi" w:cstheme="minorHAnsi"/>
                <w:sz w:val="20"/>
                <w:szCs w:val="20"/>
              </w:rPr>
              <w:t>30</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ans relative aux obligations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entreprises de première catégorie</w:t>
            </w:r>
            <w:r w:rsidR="0041537A" w:rsidRPr="00E265F5">
              <w:rPr>
                <w:rFonts w:asciiTheme="minorHAnsi" w:hAnsiTheme="minorHAnsi" w:cstheme="minorHAnsi"/>
                <w:sz w:val="20"/>
                <w:szCs w:val="20"/>
              </w:rPr>
              <w:t xml:space="preserve"> en francs suisses a été utilisée pour la valorisation</w:t>
            </w:r>
            <w:r w:rsidR="00F410F6" w:rsidRPr="00E265F5">
              <w:rPr>
                <w:rFonts w:asciiTheme="minorHAnsi" w:hAnsiTheme="minorHAnsi" w:cstheme="minorHAnsi"/>
                <w:sz w:val="20"/>
                <w:szCs w:val="20"/>
              </w:rPr>
              <w:t xml:space="preserve"> de 2017.</w:t>
            </w:r>
          </w:p>
        </w:tc>
        <w:tc>
          <w:tcPr>
            <w:tcW w:w="894" w:type="pct"/>
          </w:tcPr>
          <w:p w14:paraId="2D8268AF" w14:textId="7B14DC11"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607E37">
              <w:rPr>
                <w:rFonts w:asciiTheme="minorHAnsi" w:hAnsiTheme="minorHAnsi" w:cstheme="minorHAnsi"/>
                <w:sz w:val="20"/>
                <w:szCs w:val="20"/>
                <w:lang w:eastAsia="it-IT"/>
              </w:rPr>
              <w:t>.</w:t>
            </w:r>
          </w:p>
        </w:tc>
      </w:tr>
    </w:tbl>
    <w:p w14:paraId="4B466E53" w14:textId="77777777" w:rsidR="00607E37" w:rsidRDefault="00607E37">
      <w:r>
        <w:br w:type="page"/>
      </w:r>
    </w:p>
    <w:tbl>
      <w:tblPr>
        <w:tblStyle w:val="TableGrid"/>
        <w:tblW w:w="5073" w:type="pct"/>
        <w:tblLook w:val="04A0" w:firstRow="1" w:lastRow="0" w:firstColumn="1" w:lastColumn="0" w:noHBand="0" w:noVBand="1"/>
      </w:tblPr>
      <w:tblGrid>
        <w:gridCol w:w="922"/>
        <w:gridCol w:w="4215"/>
        <w:gridCol w:w="3773"/>
        <w:gridCol w:w="3913"/>
        <w:gridCol w:w="2792"/>
      </w:tblGrid>
      <w:tr w:rsidR="00607E37" w:rsidRPr="00DD066D" w14:paraId="0F4D2A2F" w14:textId="77777777" w:rsidTr="00E1265A">
        <w:tc>
          <w:tcPr>
            <w:tcW w:w="295" w:type="pct"/>
          </w:tcPr>
          <w:p w14:paraId="6803325A" w14:textId="77777777" w:rsidR="00607E37" w:rsidRPr="00E265F5" w:rsidRDefault="00607E37" w:rsidP="003A473D">
            <w:pPr>
              <w:pStyle w:val="Tablehead"/>
              <w:pageBreakBefore/>
              <w:rPr>
                <w:rFonts w:asciiTheme="minorHAnsi" w:hAnsiTheme="minorHAnsi" w:cstheme="minorHAnsi"/>
                <w:sz w:val="20"/>
                <w:szCs w:val="20"/>
                <w:lang w:eastAsia="it-IT"/>
              </w:rPr>
            </w:pPr>
          </w:p>
        </w:tc>
        <w:tc>
          <w:tcPr>
            <w:tcW w:w="1350" w:type="pct"/>
          </w:tcPr>
          <w:p w14:paraId="5DAF9C7B"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35130934"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3654E6A9"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7221A1E8"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231C50A9" w14:textId="77777777" w:rsidTr="00E1265A">
        <w:tblPrEx>
          <w:tblLook w:val="0000" w:firstRow="0" w:lastRow="0" w:firstColumn="0" w:lastColumn="0" w:noHBand="0" w:noVBand="0"/>
        </w:tblPrEx>
        <w:tc>
          <w:tcPr>
            <w:tcW w:w="295" w:type="pct"/>
          </w:tcPr>
          <w:p w14:paraId="5DFED22E" w14:textId="60910773" w:rsidR="00101F96" w:rsidRPr="00E265F5" w:rsidRDefault="00101F96" w:rsidP="003A473D">
            <w:pPr>
              <w:pStyle w:val="Tabletext"/>
              <w:ind w:left="113"/>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3/2014</w:t>
            </w:r>
          </w:p>
        </w:tc>
        <w:tc>
          <w:tcPr>
            <w:tcW w:w="1350" w:type="pct"/>
          </w:tcPr>
          <w:p w14:paraId="13D219F0" w14:textId="45FFE32A" w:rsidR="00101F96" w:rsidRPr="00E265F5" w:rsidRDefault="00101F96" w:rsidP="00BD6831">
            <w:pPr>
              <w:pStyle w:val="Tabletext"/>
              <w:rPr>
                <w:rFonts w:asciiTheme="minorHAnsi" w:hAnsiTheme="minorHAnsi" w:cstheme="minorHAnsi"/>
                <w:sz w:val="20"/>
                <w:szCs w:val="20"/>
                <w:lang w:eastAsia="it-IT"/>
              </w:rPr>
            </w:pPr>
            <w:r w:rsidRPr="00E265F5">
              <w:rPr>
                <w:rFonts w:asciiTheme="minorHAnsi" w:hAnsiTheme="minorHAnsi" w:cstheme="minorHAnsi"/>
                <w:iCs/>
                <w:sz w:val="20"/>
                <w:szCs w:val="20"/>
                <w:lang w:eastAsia="it-IT"/>
              </w:rPr>
              <w:t xml:space="preserve">Nous </w:t>
            </w:r>
            <w:r w:rsidRPr="00E265F5">
              <w:rPr>
                <w:rFonts w:asciiTheme="minorHAnsi" w:hAnsiTheme="minorHAnsi" w:cstheme="minorHAnsi"/>
                <w:iCs/>
                <w:sz w:val="20"/>
                <w:szCs w:val="20"/>
                <w:u w:val="single"/>
                <w:lang w:eastAsia="it-IT"/>
              </w:rPr>
              <w:t>recommandons</w:t>
            </w:r>
            <w:r w:rsidRPr="00E265F5">
              <w:rPr>
                <w:rFonts w:asciiTheme="minorHAnsi" w:hAnsiTheme="minorHAnsi" w:cstheme="minorHAnsi"/>
                <w:iCs/>
                <w:sz w:val="20"/>
                <w:szCs w:val="20"/>
                <w:lang w:eastAsia="it-IT"/>
              </w:rPr>
              <w:t xml:space="preserve"> à la direction de réaliser une étude actuarielle complète, pour évaluer si la santé financière de l</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UIT risque, dans le scénario à long terme, d</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être compromise par les provisions pour l</w:t>
            </w:r>
            <w:r w:rsidR="001B30ED" w:rsidRPr="00E265F5">
              <w:rPr>
                <w:rFonts w:asciiTheme="minorHAnsi" w:hAnsiTheme="minorHAnsi" w:cstheme="minorHAnsi"/>
                <w:iCs/>
                <w:sz w:val="20"/>
                <w:szCs w:val="20"/>
                <w:lang w:eastAsia="it-IT"/>
              </w:rPr>
              <w:t>'</w:t>
            </w:r>
            <w:r w:rsidRPr="00E265F5">
              <w:rPr>
                <w:rFonts w:asciiTheme="minorHAnsi" w:hAnsiTheme="minorHAnsi" w:cstheme="minorHAnsi"/>
                <w:iCs/>
                <w:sz w:val="20"/>
                <w:szCs w:val="20"/>
                <w:lang w:eastAsia="it-IT"/>
              </w:rPr>
              <w:t>assurance maladie. Toutefois, le passage au nouveau régime étant toujours en cours, cette étude devra être réalisée après le retrait de la CAPS et une fois que des données suffisantes seront disponibles dans le cadre de la</w:t>
            </w:r>
            <w:r w:rsidR="00BD6831">
              <w:rPr>
                <w:rFonts w:asciiTheme="minorHAnsi" w:hAnsiTheme="minorHAnsi" w:cstheme="minorHAnsi"/>
                <w:iCs/>
                <w:sz w:val="20"/>
                <w:szCs w:val="20"/>
                <w:lang w:eastAsia="it-IT"/>
              </w:rPr>
              <w:t> </w:t>
            </w:r>
            <w:r w:rsidRPr="00E265F5">
              <w:rPr>
                <w:rFonts w:asciiTheme="minorHAnsi" w:hAnsiTheme="minorHAnsi" w:cstheme="minorHAnsi"/>
                <w:iCs/>
                <w:sz w:val="20"/>
                <w:szCs w:val="20"/>
                <w:lang w:eastAsia="it-IT"/>
              </w:rPr>
              <w:t>CCAM, pas avant la fin</w:t>
            </w:r>
            <w:r w:rsidR="0018444B" w:rsidRPr="00E265F5">
              <w:rPr>
                <w:rFonts w:asciiTheme="minorHAnsi" w:hAnsiTheme="minorHAnsi" w:cstheme="minorHAnsi"/>
                <w:iCs/>
                <w:sz w:val="20"/>
                <w:szCs w:val="20"/>
                <w:lang w:eastAsia="it-IT"/>
              </w:rPr>
              <w:t> </w:t>
            </w:r>
            <w:r w:rsidRPr="00E265F5">
              <w:rPr>
                <w:rFonts w:asciiTheme="minorHAnsi" w:hAnsiTheme="minorHAnsi" w:cstheme="minorHAnsi"/>
                <w:iCs/>
                <w:sz w:val="20"/>
                <w:szCs w:val="20"/>
                <w:lang w:eastAsia="it-IT"/>
              </w:rPr>
              <w:t>2016. Cette recommandation remplace les recommand</w:t>
            </w:r>
            <w:r w:rsidR="00E1265A">
              <w:rPr>
                <w:rFonts w:asciiTheme="minorHAnsi" w:hAnsiTheme="minorHAnsi" w:cstheme="minorHAnsi"/>
                <w:iCs/>
                <w:sz w:val="20"/>
                <w:szCs w:val="20"/>
                <w:lang w:eastAsia="it-IT"/>
              </w:rPr>
              <w:t>ations précédentes N° 6/2012 et </w:t>
            </w:r>
            <w:r w:rsidRPr="00E265F5">
              <w:rPr>
                <w:rFonts w:asciiTheme="minorHAnsi" w:hAnsiTheme="minorHAnsi" w:cstheme="minorHAnsi"/>
                <w:iCs/>
                <w:sz w:val="20"/>
                <w:szCs w:val="20"/>
                <w:lang w:eastAsia="it-IT"/>
              </w:rPr>
              <w:t>3/2013, qui sont considérées comme closes.</w:t>
            </w:r>
          </w:p>
        </w:tc>
        <w:tc>
          <w:tcPr>
            <w:tcW w:w="1208" w:type="pct"/>
          </w:tcPr>
          <w:p w14:paraId="7E39BCE3" w14:textId="77777777" w:rsidR="00101F96" w:rsidRPr="00E265F5" w:rsidRDefault="00101F96" w:rsidP="00E1265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Il est pris note de cette recommandation. Une étude actuarielle complète sera réalisée conformément à la recommandation.</w:t>
            </w:r>
          </w:p>
        </w:tc>
        <w:tc>
          <w:tcPr>
            <w:tcW w:w="1253" w:type="pct"/>
          </w:tcPr>
          <w:p w14:paraId="08105338" w14:textId="46E0EF28" w:rsidR="00101F96" w:rsidRPr="00E265F5" w:rsidRDefault="00101F96" w:rsidP="00E1265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Conformément à la recommandation, une étude actuarielle complète sera réalisée à la fin de 2016, sur la base des données et des résultats fournis dans le cadre de la Convention collective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assurance maladie. (CCAM).</w:t>
            </w:r>
          </w:p>
          <w:p w14:paraId="75553D78" w14:textId="6FBB88DF" w:rsidR="00101F96" w:rsidRPr="00E265F5" w:rsidRDefault="00101F96" w:rsidP="00E1265A">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janvier</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2016:</w:t>
            </w:r>
          </w:p>
          <w:p w14:paraId="62241249" w14:textId="75173CF9" w:rsidR="00101F96" w:rsidRPr="00E265F5" w:rsidRDefault="00101F96" w:rsidP="00E1265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La nécessité de cette étude sera indiquée dans la principale étude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actuaire relative la norme IPSAS</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25 (Rec</w:t>
            </w:r>
            <w:r w:rsidR="00E1265A">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 2/2014)</w:t>
            </w:r>
          </w:p>
          <w:p w14:paraId="1CDE77BA" w14:textId="0531AE74" w:rsidR="00101F96" w:rsidRPr="00E265F5" w:rsidRDefault="00101F96" w:rsidP="00E1265A">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1DA3E20E" w14:textId="7F170ECE" w:rsidR="00101F96" w:rsidRPr="00E265F5" w:rsidRDefault="00101F96" w:rsidP="00E1265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De nouveaux actuaires ont été désignés pour réaliser une évaluation actuarielle complète du régime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assurance maladie. Les résultats de cette étude complète seront connus au milieu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année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2017.</w:t>
            </w:r>
          </w:p>
          <w:p w14:paraId="6B8B71CC" w14:textId="0159CA8C" w:rsidR="00F410F6" w:rsidRPr="00E265F5" w:rsidRDefault="00F410F6" w:rsidP="00E1265A">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décembre</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640CB8C4" w14:textId="190D0225" w:rsidR="00F410F6" w:rsidRPr="00E265F5" w:rsidRDefault="00F410F6" w:rsidP="00E1265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Les discussions avec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actuaire ont déjà </w:t>
            </w:r>
            <w:r w:rsidR="00242E34" w:rsidRPr="00E265F5">
              <w:rPr>
                <w:rFonts w:asciiTheme="minorHAnsi" w:hAnsiTheme="minorHAnsi" w:cstheme="minorHAnsi"/>
                <w:sz w:val="20"/>
                <w:szCs w:val="20"/>
                <w:lang w:eastAsia="it-IT"/>
              </w:rPr>
              <w:t>commencé</w:t>
            </w:r>
            <w:r w:rsidRPr="00E265F5">
              <w:rPr>
                <w:rFonts w:asciiTheme="minorHAnsi" w:hAnsiTheme="minorHAnsi" w:cstheme="minorHAnsi"/>
                <w:sz w:val="20"/>
                <w:szCs w:val="20"/>
                <w:lang w:eastAsia="it-IT"/>
              </w:rPr>
              <w:t>, et le résultat final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évaluation actuarielle complète devrait être envoyé à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 au début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année à venir en vue de sa présentation à la prochaine session du Conseil </w:t>
            </w:r>
            <w:r w:rsidR="00242E34" w:rsidRPr="00E265F5">
              <w:rPr>
                <w:rFonts w:asciiTheme="minorHAnsi" w:hAnsiTheme="minorHAnsi" w:cstheme="minorHAnsi"/>
                <w:sz w:val="20"/>
                <w:szCs w:val="20"/>
                <w:lang w:eastAsia="it-IT"/>
              </w:rPr>
              <w:t>dans le cadre</w:t>
            </w:r>
            <w:r w:rsidRPr="00E265F5">
              <w:rPr>
                <w:rFonts w:asciiTheme="minorHAnsi" w:hAnsiTheme="minorHAnsi" w:cstheme="minorHAnsi"/>
                <w:sz w:val="20"/>
                <w:szCs w:val="20"/>
                <w:lang w:eastAsia="it-IT"/>
              </w:rPr>
              <w:t xml:space="preserve"> du document sur les passifs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Assurance maladie après la cessation de service.</w:t>
            </w:r>
          </w:p>
          <w:p w14:paraId="28E2BB45" w14:textId="6DDF9110" w:rsidR="00F410F6" w:rsidRPr="00E265F5" w:rsidRDefault="00F410F6" w:rsidP="00E1265A">
            <w:pPr>
              <w:pStyle w:val="Tabletext"/>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0C36FA05" w14:textId="5AC3011B" w:rsidR="00873B91" w:rsidRPr="00E265F5" w:rsidRDefault="00873B91" w:rsidP="00E1265A">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Une discussion finale lors de laquelle seront présentés les résultats de différents scénarios aura lieu en mai</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2018.</w:t>
            </w:r>
          </w:p>
        </w:tc>
        <w:tc>
          <w:tcPr>
            <w:tcW w:w="894" w:type="pct"/>
          </w:tcPr>
          <w:p w14:paraId="34224E22" w14:textId="1E580BF1" w:rsidR="00101F96" w:rsidRPr="00E265F5" w:rsidRDefault="00101F96" w:rsidP="00E1265A">
            <w:pPr>
              <w:pStyle w:val="Tabletext"/>
              <w:rPr>
                <w:rFonts w:asciiTheme="minorHAnsi" w:hAnsiTheme="minorHAnsi" w:cstheme="minorHAnsi"/>
                <w:bCs/>
                <w:sz w:val="20"/>
                <w:szCs w:val="20"/>
                <w:lang w:eastAsia="it-IT"/>
              </w:rPr>
            </w:pPr>
            <w:r w:rsidRPr="00E265F5">
              <w:rPr>
                <w:rFonts w:asciiTheme="minorHAnsi" w:hAnsiTheme="minorHAnsi" w:cstheme="minorHAnsi"/>
                <w:bCs/>
                <w:sz w:val="20"/>
                <w:szCs w:val="20"/>
                <w:lang w:eastAsia="it-IT"/>
              </w:rPr>
              <w:t>En cours</w:t>
            </w:r>
            <w:r w:rsidR="00607E37">
              <w:rPr>
                <w:rFonts w:asciiTheme="minorHAnsi" w:hAnsiTheme="minorHAnsi" w:cstheme="minorHAnsi"/>
                <w:bCs/>
                <w:sz w:val="20"/>
                <w:szCs w:val="20"/>
                <w:lang w:eastAsia="it-IT"/>
              </w:rPr>
              <w:t>.</w:t>
            </w:r>
          </w:p>
        </w:tc>
      </w:tr>
    </w:tbl>
    <w:p w14:paraId="4556F3F6"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5EBAB9DC" w14:textId="77777777" w:rsidTr="00607E37">
        <w:tc>
          <w:tcPr>
            <w:tcW w:w="295" w:type="pct"/>
          </w:tcPr>
          <w:p w14:paraId="4E055CE6" w14:textId="77777777" w:rsidR="00607E37" w:rsidRPr="00E265F5" w:rsidRDefault="00607E37" w:rsidP="003A473D">
            <w:pPr>
              <w:pStyle w:val="Tablehead"/>
              <w:pageBreakBefore/>
              <w:rPr>
                <w:rFonts w:asciiTheme="minorHAnsi" w:hAnsiTheme="minorHAnsi" w:cstheme="minorHAnsi"/>
                <w:sz w:val="20"/>
                <w:szCs w:val="20"/>
                <w:lang w:eastAsia="it-IT"/>
              </w:rPr>
            </w:pPr>
          </w:p>
        </w:tc>
        <w:tc>
          <w:tcPr>
            <w:tcW w:w="1350" w:type="pct"/>
          </w:tcPr>
          <w:p w14:paraId="3EC9BD52"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5C70BD7E"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6C226848"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7F07865E"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2658FD03" w14:textId="77777777" w:rsidTr="00396C8A">
        <w:tblPrEx>
          <w:tblLook w:val="0000" w:firstRow="0" w:lastRow="0" w:firstColumn="0" w:lastColumn="0" w:noHBand="0" w:noVBand="0"/>
        </w:tblPrEx>
        <w:tc>
          <w:tcPr>
            <w:tcW w:w="295" w:type="pct"/>
          </w:tcPr>
          <w:p w14:paraId="104F22DD" w14:textId="32CEDF3D" w:rsidR="00101F96" w:rsidRPr="00E265F5" w:rsidRDefault="00101F96"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4/2014</w:t>
            </w:r>
          </w:p>
        </w:tc>
        <w:tc>
          <w:tcPr>
            <w:tcW w:w="1350" w:type="pct"/>
          </w:tcPr>
          <w:p w14:paraId="46F925FE" w14:textId="77777777"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iCs/>
                <w:sz w:val="20"/>
                <w:szCs w:val="20"/>
                <w:lang w:eastAsia="it-IT"/>
              </w:rPr>
              <w:t xml:space="preserve">Etant donné que des mesures correctives sont nécessaires, ces leviers pourraient être pris en considération par le Conseil: </w:t>
            </w:r>
            <w:r w:rsidRPr="00E1265A">
              <w:rPr>
                <w:rFonts w:asciiTheme="minorHAnsi" w:hAnsiTheme="minorHAnsi" w:cstheme="minorHAnsi"/>
                <w:iCs/>
                <w:sz w:val="20"/>
                <w:szCs w:val="20"/>
                <w:u w:val="single"/>
                <w:lang w:eastAsia="it-IT"/>
              </w:rPr>
              <w:t>nous</w:t>
            </w:r>
            <w:r w:rsidRPr="00E265F5">
              <w:rPr>
                <w:rFonts w:asciiTheme="minorHAnsi" w:hAnsiTheme="minorHAnsi" w:cstheme="minorHAnsi"/>
                <w:iCs/>
                <w:sz w:val="20"/>
                <w:szCs w:val="20"/>
                <w:lang w:eastAsia="it-IT"/>
              </w:rPr>
              <w:t xml:space="preserve"> </w:t>
            </w:r>
            <w:r w:rsidRPr="00E265F5">
              <w:rPr>
                <w:rFonts w:asciiTheme="minorHAnsi" w:hAnsiTheme="minorHAnsi" w:cstheme="minorHAnsi"/>
                <w:iCs/>
                <w:sz w:val="20"/>
                <w:szCs w:val="20"/>
                <w:u w:val="single"/>
                <w:lang w:eastAsia="it-IT"/>
              </w:rPr>
              <w:t>recommandons</w:t>
            </w:r>
            <w:r w:rsidRPr="00E265F5">
              <w:rPr>
                <w:rFonts w:asciiTheme="minorHAnsi" w:hAnsiTheme="minorHAnsi" w:cstheme="minorHAnsi"/>
                <w:iCs/>
                <w:sz w:val="20"/>
                <w:szCs w:val="20"/>
                <w:lang w:eastAsia="it-IT"/>
              </w:rPr>
              <w:t xml:space="preserve"> à la direction de contrôler ces leviers pour garantir un financement par répartition et à long terme qui soit suffisant.</w:t>
            </w:r>
            <w:bookmarkStart w:id="471" w:name="lt_pId077"/>
            <w:bookmarkEnd w:id="471"/>
          </w:p>
        </w:tc>
        <w:tc>
          <w:tcPr>
            <w:tcW w:w="1208" w:type="pct"/>
          </w:tcPr>
          <w:p w14:paraId="5F335378" w14:textId="26156323"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Le financement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assurance maladie suivant la méthode par répartition ainsi que du passif actuariel relatif à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ASHI est extrêmement important pour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Union et est suivi de près. Les leviers mentionnés ci-dessus ont été, entre autres, pris en compte lors de la planification du passage à la CCAM et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élaboration du budget pour la période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2014-2015, du plan financier pour la période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2016-2019 et du budget pour la période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2016-2017, qui seront présentés pendant la session de 2015 du Conseil. Le contrôle permanent des résultats de la CCAM, associé à une communication proactive régulière avec toutes les parties prenantes et à des ajustements et des décisions proposés en temps utile, permettra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assurer le financement par répartition.</w:t>
            </w:r>
          </w:p>
        </w:tc>
        <w:tc>
          <w:tcPr>
            <w:tcW w:w="1253" w:type="pct"/>
          </w:tcPr>
          <w:p w14:paraId="4F160666" w14:textId="28D4098F"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La direction assure le suivi de cette recommandation et contrôle attentivement les différents leviers afin de garantir la bonne santé financière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w:t>
            </w:r>
          </w:p>
          <w:p w14:paraId="1B004ECC" w14:textId="6B95B22F"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75DBB67B" w14:textId="7E5C2926" w:rsidR="00101F96" w:rsidRPr="00E265F5" w:rsidRDefault="00101F96"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La direction continue de contrôler attentivement ces leviers: elle les examinera et les ajustera en fonction des résultats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étude actuarielle complète réalisée à la fin de 2016. Chaque année, la direction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fait le point de la situation en ce qui concerne les passifs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assurance-maladie après la cessation de service (ASHI).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continuera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axer tous ses efforts sur la maîtrise des coûts avec le prestataire de services. Elle a proposé une augmentation du pourcentage des cotisations pour les affiliés à la CCAM et pour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dans le budget</w:t>
            </w:r>
            <w:r w:rsidR="0018444B" w:rsidRPr="00E265F5">
              <w:rPr>
                <w:rFonts w:asciiTheme="minorHAnsi" w:hAnsiTheme="minorHAnsi" w:cstheme="minorHAnsi"/>
                <w:sz w:val="20"/>
                <w:szCs w:val="20"/>
              </w:rPr>
              <w:t> </w:t>
            </w:r>
            <w:r w:rsidR="00E1265A">
              <w:rPr>
                <w:rFonts w:asciiTheme="minorHAnsi" w:hAnsiTheme="minorHAnsi" w:cstheme="minorHAnsi"/>
                <w:sz w:val="20"/>
                <w:szCs w:val="20"/>
              </w:rPr>
              <w:t>2016</w:t>
            </w:r>
            <w:r w:rsidR="00E1265A">
              <w:rPr>
                <w:rFonts w:asciiTheme="minorHAnsi" w:hAnsiTheme="minorHAnsi" w:cstheme="minorHAnsi"/>
                <w:sz w:val="20"/>
                <w:szCs w:val="20"/>
              </w:rPr>
              <w:noBreakHyphen/>
            </w:r>
            <w:r w:rsidRPr="00E265F5">
              <w:rPr>
                <w:rFonts w:asciiTheme="minorHAnsi" w:hAnsiTheme="minorHAnsi" w:cstheme="minorHAnsi"/>
                <w:sz w:val="20"/>
                <w:szCs w:val="20"/>
              </w:rPr>
              <w:t>2017 afin de garantir le financement par répartition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assurance maladie. En outre,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UIT continuera, dans la mesure du possible, d</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alimenter la réserve du Fonds ASHI en fonction des excédents budgétaires.</w:t>
            </w:r>
          </w:p>
          <w:p w14:paraId="7F3E5E8E" w14:textId="31092F30" w:rsidR="00873B91" w:rsidRPr="00E265F5" w:rsidRDefault="00873B91" w:rsidP="00607E37">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décembre</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20954A7D" w14:textId="61F27F8C" w:rsidR="00873B91" w:rsidRPr="00E265F5" w:rsidRDefault="00873B91" w:rsidP="00607E37">
            <w:pPr>
              <w:widowControl w:val="0"/>
              <w:kinsoku w:val="0"/>
              <w:spacing w:before="100"/>
              <w:rPr>
                <w:rFonts w:asciiTheme="minorHAnsi" w:hAnsiTheme="minorHAnsi" w:cstheme="minorHAnsi"/>
                <w:sz w:val="20"/>
                <w:szCs w:val="20"/>
                <w:lang w:eastAsia="it-IT"/>
              </w:rPr>
            </w:pPr>
            <w:r w:rsidRPr="00E265F5">
              <w:rPr>
                <w:rFonts w:asciiTheme="minorHAnsi" w:hAnsiTheme="minorHAnsi" w:cstheme="minorHAnsi"/>
                <w:sz w:val="20"/>
                <w:szCs w:val="20"/>
                <w:lang w:eastAsia="it-IT"/>
              </w:rPr>
              <w:t>Dans le cadre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étude actuarielle complète, tous les leviers sont étudiés et surveillés avec attention. Leur incidence à long terme sera calculée pour les différentes hypoth</w:t>
            </w:r>
            <w:r w:rsidR="008F3D3C" w:rsidRPr="00E265F5">
              <w:rPr>
                <w:rFonts w:asciiTheme="minorHAnsi" w:hAnsiTheme="minorHAnsi" w:cstheme="minorHAnsi"/>
                <w:sz w:val="20"/>
                <w:szCs w:val="20"/>
                <w:lang w:eastAsia="it-IT"/>
              </w:rPr>
              <w:t>è</w:t>
            </w:r>
            <w:r w:rsidRPr="00E265F5">
              <w:rPr>
                <w:rFonts w:asciiTheme="minorHAnsi" w:hAnsiTheme="minorHAnsi" w:cstheme="minorHAnsi"/>
                <w:sz w:val="20"/>
                <w:szCs w:val="20"/>
                <w:lang w:eastAsia="it-IT"/>
              </w:rPr>
              <w:t>ses. En outre,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 continuera</w:t>
            </w:r>
            <w:r w:rsidR="00242E34" w:rsidRPr="00E265F5">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t>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alimenter la réserve du Fonds ASHI en fonction des excédents budgétaires. </w:t>
            </w:r>
          </w:p>
        </w:tc>
        <w:tc>
          <w:tcPr>
            <w:tcW w:w="894" w:type="pct"/>
          </w:tcPr>
          <w:p w14:paraId="1A5768B7" w14:textId="7DEC80D4"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E1265A">
              <w:rPr>
                <w:rFonts w:asciiTheme="minorHAnsi" w:hAnsiTheme="minorHAnsi" w:cstheme="minorHAnsi"/>
                <w:sz w:val="20"/>
                <w:szCs w:val="20"/>
                <w:lang w:eastAsia="it-IT"/>
              </w:rPr>
              <w:t>.</w:t>
            </w:r>
          </w:p>
        </w:tc>
      </w:tr>
    </w:tbl>
    <w:p w14:paraId="4F3EBDB1" w14:textId="77777777" w:rsidR="00607E37" w:rsidRDefault="00607E37">
      <w:r>
        <w:br w:type="page"/>
      </w:r>
    </w:p>
    <w:tbl>
      <w:tblPr>
        <w:tblStyle w:val="TableGrid"/>
        <w:tblW w:w="5073" w:type="pct"/>
        <w:tblLook w:val="04A0" w:firstRow="1" w:lastRow="0" w:firstColumn="1" w:lastColumn="0" w:noHBand="0" w:noVBand="1"/>
      </w:tblPr>
      <w:tblGrid>
        <w:gridCol w:w="922"/>
        <w:gridCol w:w="4215"/>
        <w:gridCol w:w="3773"/>
        <w:gridCol w:w="3913"/>
        <w:gridCol w:w="2792"/>
      </w:tblGrid>
      <w:tr w:rsidR="00607E37" w:rsidRPr="00DD066D" w14:paraId="217B7985" w14:textId="77777777" w:rsidTr="00607E37">
        <w:tc>
          <w:tcPr>
            <w:tcW w:w="295" w:type="pct"/>
          </w:tcPr>
          <w:p w14:paraId="35DB09A2" w14:textId="77777777" w:rsidR="00607E37" w:rsidRPr="00E265F5" w:rsidRDefault="00607E37" w:rsidP="003A473D">
            <w:pPr>
              <w:pStyle w:val="Tablehead"/>
              <w:pageBreakBefore/>
              <w:rPr>
                <w:rFonts w:asciiTheme="minorHAnsi" w:hAnsiTheme="minorHAnsi" w:cstheme="minorHAnsi"/>
                <w:sz w:val="20"/>
                <w:szCs w:val="20"/>
                <w:lang w:eastAsia="it-IT"/>
              </w:rPr>
            </w:pPr>
          </w:p>
        </w:tc>
        <w:tc>
          <w:tcPr>
            <w:tcW w:w="1350" w:type="pct"/>
          </w:tcPr>
          <w:p w14:paraId="2F0D4A58"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2BE9D82E"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451717C1"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21F7260D"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607E37" w:rsidRPr="00DD066D" w14:paraId="0FF4FA37" w14:textId="77777777" w:rsidTr="00396C8A">
        <w:tblPrEx>
          <w:tblLook w:val="0000" w:firstRow="0" w:lastRow="0" w:firstColumn="0" w:lastColumn="0" w:noHBand="0" w:noVBand="0"/>
        </w:tblPrEx>
        <w:tc>
          <w:tcPr>
            <w:tcW w:w="295" w:type="pct"/>
          </w:tcPr>
          <w:p w14:paraId="5DB00EB9" w14:textId="36C56EF7" w:rsidR="00607E37" w:rsidRPr="00E265F5" w:rsidRDefault="00607E37" w:rsidP="003A473D">
            <w:pPr>
              <w:pStyle w:val="Tabletext"/>
              <w:jc w:val="center"/>
              <w:rPr>
                <w:rFonts w:asciiTheme="minorHAnsi" w:hAnsiTheme="minorHAnsi" w:cstheme="minorHAnsi"/>
                <w:b/>
                <w:bCs/>
                <w:sz w:val="20"/>
                <w:lang w:eastAsia="it-IT"/>
              </w:rPr>
            </w:pPr>
          </w:p>
        </w:tc>
        <w:tc>
          <w:tcPr>
            <w:tcW w:w="1350" w:type="pct"/>
          </w:tcPr>
          <w:p w14:paraId="4631BB7A" w14:textId="77777777" w:rsidR="00607E37" w:rsidRPr="00E265F5" w:rsidRDefault="00607E37" w:rsidP="00B53AD7">
            <w:pPr>
              <w:pStyle w:val="Tabletext"/>
              <w:rPr>
                <w:rFonts w:asciiTheme="minorHAnsi" w:hAnsiTheme="minorHAnsi" w:cstheme="minorHAnsi"/>
                <w:iCs/>
                <w:sz w:val="20"/>
                <w:lang w:eastAsia="it-IT"/>
              </w:rPr>
            </w:pPr>
          </w:p>
        </w:tc>
        <w:tc>
          <w:tcPr>
            <w:tcW w:w="1208" w:type="pct"/>
          </w:tcPr>
          <w:p w14:paraId="7CF22337" w14:textId="77777777" w:rsidR="00607E37" w:rsidRPr="00E265F5" w:rsidRDefault="00607E37" w:rsidP="00B53AD7">
            <w:pPr>
              <w:pStyle w:val="Tabletext"/>
              <w:rPr>
                <w:rFonts w:asciiTheme="minorHAnsi" w:hAnsiTheme="minorHAnsi" w:cstheme="minorHAnsi"/>
                <w:sz w:val="20"/>
                <w:lang w:eastAsia="it-IT"/>
              </w:rPr>
            </w:pPr>
          </w:p>
        </w:tc>
        <w:tc>
          <w:tcPr>
            <w:tcW w:w="1253" w:type="pct"/>
          </w:tcPr>
          <w:p w14:paraId="2F13F97F" w14:textId="77777777" w:rsidR="00607E37" w:rsidRPr="00E265F5" w:rsidRDefault="00607E37" w:rsidP="00607E37">
            <w:pPr>
              <w:widowControl w:val="0"/>
              <w:kinsoku w:val="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d'avril 2018:</w:t>
            </w:r>
          </w:p>
          <w:p w14:paraId="2C575C99" w14:textId="77777777" w:rsidR="00607E37" w:rsidRPr="00E265F5" w:rsidRDefault="00607E37" w:rsidP="00607E37">
            <w:pPr>
              <w:widowControl w:val="0"/>
              <w:kinsoku w:val="0"/>
              <w:spacing w:before="100"/>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L'UIT continuera d'alimenter la réserve du Fonds ASHI en fonction des excédents budgétaires ainsi que par l'intermédiaire des crédits budgétaires fixés. </w:t>
            </w:r>
          </w:p>
          <w:p w14:paraId="703DE465" w14:textId="2E881CCB" w:rsidR="00607E37" w:rsidRPr="00E265F5" w:rsidRDefault="00607E37" w:rsidP="00607E37">
            <w:pPr>
              <w:pStyle w:val="Tabletext"/>
              <w:rPr>
                <w:rFonts w:asciiTheme="minorHAnsi" w:hAnsiTheme="minorHAnsi" w:cstheme="minorHAnsi"/>
                <w:sz w:val="20"/>
                <w:lang w:eastAsia="it-IT"/>
              </w:rPr>
            </w:pPr>
            <w:r w:rsidRPr="00E265F5">
              <w:rPr>
                <w:rFonts w:asciiTheme="minorHAnsi" w:hAnsiTheme="minorHAnsi" w:cstheme="minorHAnsi"/>
                <w:sz w:val="20"/>
                <w:szCs w:val="20"/>
                <w:lang w:eastAsia="it-IT"/>
              </w:rPr>
              <w:t>En fonction des résultats de l'évaluation actuarielle complète, l'UIT examinera les principaux leviers pour garantir la viabilité du plan.</w:t>
            </w:r>
          </w:p>
        </w:tc>
        <w:tc>
          <w:tcPr>
            <w:tcW w:w="894" w:type="pct"/>
          </w:tcPr>
          <w:p w14:paraId="116FFACB" w14:textId="77777777" w:rsidR="00607E37" w:rsidRPr="00E265F5" w:rsidRDefault="00607E37" w:rsidP="00B53AD7">
            <w:pPr>
              <w:pStyle w:val="Tabletext"/>
              <w:rPr>
                <w:rFonts w:asciiTheme="minorHAnsi" w:hAnsiTheme="minorHAnsi" w:cstheme="minorHAnsi"/>
                <w:sz w:val="20"/>
                <w:lang w:eastAsia="it-IT"/>
              </w:rPr>
            </w:pPr>
          </w:p>
        </w:tc>
      </w:tr>
      <w:tr w:rsidR="00984441" w:rsidRPr="00DD066D" w14:paraId="6A3FDF54" w14:textId="77777777" w:rsidTr="00396C8A">
        <w:tblPrEx>
          <w:tblLook w:val="0000" w:firstRow="0" w:lastRow="0" w:firstColumn="0" w:lastColumn="0" w:noHBand="0" w:noVBand="0"/>
        </w:tblPrEx>
        <w:tc>
          <w:tcPr>
            <w:tcW w:w="295" w:type="pct"/>
          </w:tcPr>
          <w:p w14:paraId="3EEF2F56" w14:textId="77777777" w:rsidR="00101F96" w:rsidRPr="00E265F5" w:rsidRDefault="00101F96" w:rsidP="003A473D">
            <w:pPr>
              <w:pStyle w:val="Tabletext"/>
              <w:ind w:left="113"/>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3/2012</w:t>
            </w:r>
          </w:p>
        </w:tc>
        <w:tc>
          <w:tcPr>
            <w:tcW w:w="1350" w:type="pct"/>
          </w:tcPr>
          <w:p w14:paraId="78F7C883" w14:textId="77777777" w:rsidR="00101F96" w:rsidRPr="00E265F5" w:rsidRDefault="00101F96" w:rsidP="00B53AD7">
            <w:pPr>
              <w:pStyle w:val="Tabletext"/>
              <w:ind w:left="113"/>
              <w:rPr>
                <w:rFonts w:asciiTheme="minorHAnsi" w:hAnsiTheme="minorHAnsi" w:cstheme="minorHAnsi"/>
                <w:b/>
                <w:bCs/>
                <w:i/>
                <w:iCs/>
                <w:sz w:val="20"/>
                <w:szCs w:val="20"/>
                <w:lang w:eastAsia="it-IT"/>
              </w:rPr>
            </w:pPr>
            <w:bookmarkStart w:id="472" w:name="lt_pId088"/>
            <w:r w:rsidRPr="00E265F5">
              <w:rPr>
                <w:rFonts w:asciiTheme="minorHAnsi" w:hAnsiTheme="minorHAnsi" w:cstheme="minorHAnsi"/>
                <w:b/>
                <w:bCs/>
                <w:i/>
                <w:iCs/>
                <w:sz w:val="20"/>
                <w:szCs w:val="20"/>
                <w:lang w:eastAsia="it-IT"/>
              </w:rPr>
              <w:t>"Droit de superficie"</w:t>
            </w:r>
            <w:bookmarkEnd w:id="472"/>
          </w:p>
          <w:p w14:paraId="54D4345D" w14:textId="240FA743" w:rsidR="00101F96" w:rsidRPr="00E265F5" w:rsidRDefault="00101F96" w:rsidP="00B53AD7">
            <w:pPr>
              <w:pStyle w:val="Tabletext"/>
              <w:ind w:left="113"/>
              <w:rPr>
                <w:rFonts w:asciiTheme="minorHAnsi" w:hAnsiTheme="minorHAnsi" w:cstheme="minorHAnsi"/>
                <w:sz w:val="20"/>
                <w:szCs w:val="20"/>
                <w:lang w:eastAsia="it-IT"/>
              </w:rPr>
            </w:pPr>
            <w:bookmarkStart w:id="473" w:name="lt_pId089"/>
            <w:r w:rsidRPr="00E265F5">
              <w:rPr>
                <w:rFonts w:asciiTheme="minorHAnsi" w:hAnsiTheme="minorHAnsi" w:cstheme="minorHAnsi"/>
                <w:sz w:val="20"/>
                <w:szCs w:val="20"/>
                <w:lang w:eastAsia="it-IT"/>
              </w:rPr>
              <w:t>Etant donné qu</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il est important et dans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intérêt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 de renouveler le "droit de superficie" qui lui est accordé par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Etat de Genève depuis 1967, nous recommandons à la direction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engager, dès que possible, des négociations sur ce sujet avec les autorités compétentes du pays hôte.</w:t>
            </w:r>
            <w:bookmarkEnd w:id="473"/>
          </w:p>
        </w:tc>
        <w:tc>
          <w:tcPr>
            <w:tcW w:w="1208" w:type="pct"/>
          </w:tcPr>
          <w:p w14:paraId="6BE9A77A" w14:textId="0EAA4261" w:rsidR="00101F96" w:rsidRPr="00E265F5" w:rsidRDefault="00101F96" w:rsidP="00B53AD7">
            <w:pPr>
              <w:pStyle w:val="Tabletext"/>
              <w:ind w:left="113"/>
              <w:rPr>
                <w:rFonts w:asciiTheme="minorHAnsi" w:hAnsiTheme="minorHAnsi" w:cstheme="minorHAnsi"/>
                <w:sz w:val="20"/>
                <w:szCs w:val="20"/>
                <w:lang w:eastAsia="it-IT"/>
              </w:rPr>
            </w:pPr>
            <w:bookmarkStart w:id="474" w:name="lt_pId090"/>
            <w:r w:rsidRPr="00E265F5">
              <w:rPr>
                <w:rFonts w:asciiTheme="minorHAnsi" w:hAnsiTheme="minorHAnsi" w:cstheme="minorHAnsi"/>
                <w:sz w:val="20"/>
                <w:szCs w:val="20"/>
                <w:lang w:eastAsia="it-IT"/>
              </w:rPr>
              <w:t>Le Conseiller juridique a pris contact dès janvier</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2013 avec les autorités compétentes du pays hôte afin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engager un processus de négociation.</w:t>
            </w:r>
            <w:bookmarkEnd w:id="474"/>
          </w:p>
        </w:tc>
        <w:tc>
          <w:tcPr>
            <w:tcW w:w="1253" w:type="pct"/>
          </w:tcPr>
          <w:p w14:paraId="7DCAEF66" w14:textId="4977A404" w:rsidR="00101F96" w:rsidRPr="00E265F5" w:rsidRDefault="00101F96" w:rsidP="00B53AD7">
            <w:pPr>
              <w:pStyle w:val="Tabletext"/>
              <w:rPr>
                <w:rFonts w:asciiTheme="minorHAnsi" w:hAnsiTheme="minorHAnsi" w:cstheme="minorHAnsi"/>
                <w:sz w:val="20"/>
                <w:szCs w:val="20"/>
                <w:lang w:eastAsia="it-IT"/>
              </w:rPr>
            </w:pPr>
            <w:bookmarkStart w:id="475" w:name="lt_pId091"/>
            <w:r w:rsidRPr="00E265F5">
              <w:rPr>
                <w:rFonts w:asciiTheme="minorHAnsi" w:hAnsiTheme="minorHAnsi" w:cstheme="minorHAnsi"/>
                <w:sz w:val="20"/>
                <w:szCs w:val="20"/>
                <w:lang w:eastAsia="it-IT"/>
              </w:rPr>
              <w:t>Les autorités compétentes du pays hôte ont accueilli favorablement la demande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 dans son principe et confirmé leur intérêt ainsi que le fait que les décisions concernant le remplacement du bâtiment Varembé, toujours à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étude, entraîneront de nouveaux développements.</w:t>
            </w:r>
            <w:bookmarkEnd w:id="475"/>
          </w:p>
          <w:p w14:paraId="0E75118B" w14:textId="4C759264" w:rsidR="00D233D2" w:rsidRPr="00E265F5" w:rsidRDefault="00101F96" w:rsidP="00607E37">
            <w:pPr>
              <w:pStyle w:val="Tabletext"/>
              <w:rPr>
                <w:rFonts w:asciiTheme="minorHAnsi" w:hAnsiTheme="minorHAnsi" w:cstheme="minorHAnsi"/>
                <w:sz w:val="20"/>
                <w:szCs w:val="20"/>
                <w:lang w:eastAsia="it-IT"/>
              </w:rPr>
            </w:pPr>
            <w:bookmarkStart w:id="476" w:name="lt_pId092"/>
            <w:r w:rsidRPr="00E265F5">
              <w:rPr>
                <w:rFonts w:asciiTheme="minorHAnsi" w:hAnsiTheme="minorHAnsi" w:cstheme="minorHAnsi"/>
                <w:sz w:val="20"/>
                <w:szCs w:val="20"/>
                <w:lang w:eastAsia="it-IT"/>
              </w:rPr>
              <w:t>La PP-14 a décidé de créer un Groupe de travail du Conseil</w:t>
            </w:r>
            <w:bookmarkEnd w:id="476"/>
            <w:r w:rsidRPr="00E265F5">
              <w:rPr>
                <w:rFonts w:asciiTheme="minorHAnsi" w:hAnsiTheme="minorHAnsi" w:cstheme="minorHAnsi"/>
                <w:sz w:val="20"/>
                <w:szCs w:val="20"/>
                <w:lang w:eastAsia="it-IT"/>
              </w:rPr>
              <w:t xml:space="preserve"> </w:t>
            </w:r>
            <w:bookmarkStart w:id="477" w:name="lt_pId093"/>
            <w:r w:rsidRPr="00E265F5">
              <w:rPr>
                <w:rFonts w:asciiTheme="minorHAnsi" w:hAnsiTheme="minorHAnsi" w:cstheme="minorHAnsi"/>
                <w:sz w:val="20"/>
                <w:szCs w:val="20"/>
                <w:lang w:eastAsia="it-IT"/>
              </w:rPr>
              <w:t>qui, avec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appui du Secrétariat, examinera la situation en ce qui concerne les locaux du siège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Union et continuera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analyser les options qui auront été soumises ainsi que toute autre proposition soumise par les États </w:t>
            </w:r>
            <w:r w:rsidR="008F3D3C" w:rsidRPr="00E265F5">
              <w:rPr>
                <w:rFonts w:asciiTheme="minorHAnsi" w:hAnsiTheme="minorHAnsi" w:cstheme="minorHAnsi"/>
                <w:sz w:val="20"/>
                <w:szCs w:val="20"/>
                <w:lang w:eastAsia="it-IT"/>
              </w:rPr>
              <w:t>m</w:t>
            </w:r>
            <w:r w:rsidRPr="00E265F5">
              <w:rPr>
                <w:rFonts w:asciiTheme="minorHAnsi" w:hAnsiTheme="minorHAnsi" w:cstheme="minorHAnsi"/>
                <w:sz w:val="20"/>
                <w:szCs w:val="20"/>
                <w:lang w:eastAsia="it-IT"/>
              </w:rPr>
              <w:t>embres, en vue de procéder avec prudence en ce qui concerne la question à long terme des locaux, afin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établir une recommandation à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intention du Conseil.</w:t>
            </w:r>
            <w:bookmarkEnd w:id="477"/>
            <w:r w:rsidRPr="00E265F5">
              <w:rPr>
                <w:rFonts w:asciiTheme="minorHAnsi" w:hAnsiTheme="minorHAnsi" w:cstheme="minorHAnsi"/>
                <w:sz w:val="20"/>
                <w:szCs w:val="20"/>
                <w:lang w:eastAsia="it-IT"/>
              </w:rPr>
              <w:t xml:space="preserve"> </w:t>
            </w:r>
            <w:bookmarkStart w:id="478" w:name="lt_pId094"/>
            <w:r w:rsidRPr="00E265F5">
              <w:rPr>
                <w:rFonts w:asciiTheme="minorHAnsi" w:hAnsiTheme="minorHAnsi" w:cstheme="minorHAnsi"/>
                <w:sz w:val="20"/>
                <w:szCs w:val="20"/>
                <w:lang w:eastAsia="it-IT"/>
              </w:rPr>
              <w:t>La première réunion de ce Groupe de travail du Conseil a eu lieu à Genève le 28 janvier 2015.</w:t>
            </w:r>
            <w:bookmarkEnd w:id="478"/>
          </w:p>
        </w:tc>
        <w:tc>
          <w:tcPr>
            <w:tcW w:w="894" w:type="pct"/>
          </w:tcPr>
          <w:p w14:paraId="3C2ECB73" w14:textId="18F1B105" w:rsidR="00101F96" w:rsidRPr="00E265F5" w:rsidRDefault="00101F96" w:rsidP="00B53AD7">
            <w:pPr>
              <w:pStyle w:val="Tabletext"/>
              <w:ind w:left="113"/>
              <w:rPr>
                <w:rFonts w:asciiTheme="minorHAnsi" w:hAnsiTheme="minorHAnsi" w:cstheme="minorHAnsi"/>
                <w:sz w:val="20"/>
                <w:szCs w:val="20"/>
                <w:lang w:eastAsia="it-IT"/>
              </w:rPr>
            </w:pPr>
            <w:bookmarkStart w:id="479" w:name="lt_pId095"/>
            <w:r w:rsidRPr="00E265F5">
              <w:rPr>
                <w:rFonts w:asciiTheme="minorHAnsi" w:hAnsiTheme="minorHAnsi" w:cstheme="minorHAnsi"/>
                <w:sz w:val="20"/>
                <w:szCs w:val="20"/>
                <w:lang w:eastAsia="it-IT"/>
              </w:rPr>
              <w:t>En cours</w:t>
            </w:r>
            <w:bookmarkEnd w:id="479"/>
            <w:r w:rsidR="00607E37">
              <w:rPr>
                <w:rFonts w:asciiTheme="minorHAnsi" w:hAnsiTheme="minorHAnsi" w:cstheme="minorHAnsi"/>
                <w:sz w:val="20"/>
                <w:szCs w:val="20"/>
                <w:lang w:eastAsia="it-IT"/>
              </w:rPr>
              <w:t>.</w:t>
            </w:r>
          </w:p>
        </w:tc>
      </w:tr>
    </w:tbl>
    <w:p w14:paraId="45E46438"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69DC6A9E" w14:textId="77777777" w:rsidTr="00607E37">
        <w:tc>
          <w:tcPr>
            <w:tcW w:w="295" w:type="pct"/>
          </w:tcPr>
          <w:p w14:paraId="528F97F9" w14:textId="77777777" w:rsidR="00607E37" w:rsidRPr="00E265F5" w:rsidRDefault="00607E37" w:rsidP="0071366C">
            <w:pPr>
              <w:pStyle w:val="Tablehead"/>
              <w:pageBreakBefore/>
              <w:rPr>
                <w:rFonts w:asciiTheme="minorHAnsi" w:hAnsiTheme="minorHAnsi" w:cstheme="minorHAnsi"/>
                <w:sz w:val="20"/>
                <w:szCs w:val="20"/>
                <w:lang w:eastAsia="it-IT"/>
              </w:rPr>
            </w:pPr>
          </w:p>
        </w:tc>
        <w:tc>
          <w:tcPr>
            <w:tcW w:w="1350" w:type="pct"/>
          </w:tcPr>
          <w:p w14:paraId="69C5FF00"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6BD49124"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54D112BB"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73C86520"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607E37" w:rsidRPr="00DD066D" w14:paraId="0F8316A1" w14:textId="77777777" w:rsidTr="00396C8A">
        <w:tblPrEx>
          <w:tblLook w:val="0000" w:firstRow="0" w:lastRow="0" w:firstColumn="0" w:lastColumn="0" w:noHBand="0" w:noVBand="0"/>
        </w:tblPrEx>
        <w:tc>
          <w:tcPr>
            <w:tcW w:w="295" w:type="pct"/>
          </w:tcPr>
          <w:p w14:paraId="47C56821" w14:textId="50A7869F" w:rsidR="00607E37" w:rsidRPr="00E265F5" w:rsidRDefault="00607E37" w:rsidP="00B53AD7">
            <w:pPr>
              <w:pStyle w:val="Tabletext"/>
              <w:ind w:left="113"/>
              <w:rPr>
                <w:rFonts w:asciiTheme="minorHAnsi" w:hAnsiTheme="minorHAnsi" w:cstheme="minorHAnsi"/>
                <w:b/>
                <w:bCs/>
                <w:sz w:val="20"/>
                <w:lang w:eastAsia="it-IT"/>
              </w:rPr>
            </w:pPr>
          </w:p>
        </w:tc>
        <w:tc>
          <w:tcPr>
            <w:tcW w:w="1350" w:type="pct"/>
          </w:tcPr>
          <w:p w14:paraId="7B389C24" w14:textId="77777777" w:rsidR="00607E37" w:rsidRPr="00E265F5" w:rsidRDefault="00607E37" w:rsidP="00B53AD7">
            <w:pPr>
              <w:pStyle w:val="Tabletext"/>
              <w:ind w:left="113"/>
              <w:rPr>
                <w:rFonts w:asciiTheme="minorHAnsi" w:hAnsiTheme="minorHAnsi" w:cstheme="minorHAnsi"/>
                <w:b/>
                <w:bCs/>
                <w:i/>
                <w:iCs/>
                <w:sz w:val="20"/>
                <w:lang w:eastAsia="it-IT"/>
              </w:rPr>
            </w:pPr>
          </w:p>
        </w:tc>
        <w:tc>
          <w:tcPr>
            <w:tcW w:w="1208" w:type="pct"/>
          </w:tcPr>
          <w:p w14:paraId="45CB0F55" w14:textId="77777777" w:rsidR="00607E37" w:rsidRPr="00E265F5" w:rsidRDefault="00607E37" w:rsidP="00B53AD7">
            <w:pPr>
              <w:pStyle w:val="Tabletext"/>
              <w:ind w:left="113"/>
              <w:rPr>
                <w:rFonts w:asciiTheme="minorHAnsi" w:hAnsiTheme="minorHAnsi" w:cstheme="minorHAnsi"/>
                <w:sz w:val="20"/>
                <w:lang w:eastAsia="it-IT"/>
              </w:rPr>
            </w:pPr>
          </w:p>
        </w:tc>
        <w:tc>
          <w:tcPr>
            <w:tcW w:w="1253" w:type="pct"/>
          </w:tcPr>
          <w:p w14:paraId="557DF66B" w14:textId="77777777" w:rsidR="00607E37" w:rsidRPr="00E265F5" w:rsidRDefault="00607E37" w:rsidP="00607E37">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janvier 2016:</w:t>
            </w:r>
          </w:p>
          <w:p w14:paraId="5C635CE2" w14:textId="77777777" w:rsidR="00607E37" w:rsidRPr="00E265F5" w:rsidRDefault="00607E37" w:rsidP="00607E3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Les travaux du GTC sur les options à long terme pour les locaux du siège de l'Union sont toujours en cours. Une deuxième réunion a eu lieu le 28 septembre 2015. </w:t>
            </w:r>
          </w:p>
          <w:p w14:paraId="6AEF2729" w14:textId="77777777" w:rsidR="00607E37" w:rsidRPr="00E265F5" w:rsidRDefault="00607E37" w:rsidP="00607E37">
            <w:pPr>
              <w:pStyle w:val="Tabletext"/>
              <w:rPr>
                <w:rFonts w:asciiTheme="minorHAnsi" w:hAnsiTheme="minorHAnsi" w:cstheme="minorHAnsi"/>
                <w:b/>
                <w:sz w:val="20"/>
                <w:szCs w:val="20"/>
                <w:lang w:eastAsia="it-IT"/>
              </w:rPr>
            </w:pPr>
            <w:r w:rsidRPr="00E265F5">
              <w:rPr>
                <w:rFonts w:asciiTheme="minorHAnsi" w:hAnsiTheme="minorHAnsi" w:cstheme="minorHAnsi"/>
                <w:b/>
                <w:sz w:val="20"/>
                <w:szCs w:val="20"/>
                <w:lang w:eastAsia="it-IT"/>
              </w:rPr>
              <w:t>Mise à jour de fin avril 2017:</w:t>
            </w:r>
          </w:p>
          <w:p w14:paraId="1A180C45" w14:textId="0753446F" w:rsidR="00607E37" w:rsidRPr="00E265F5" w:rsidRDefault="00607E37" w:rsidP="00607E37">
            <w:pPr>
              <w:pStyle w:val="Tabletext"/>
              <w:rPr>
                <w:rFonts w:asciiTheme="minorHAnsi" w:hAnsiTheme="minorHAnsi" w:cstheme="minorHAnsi"/>
                <w:sz w:val="20"/>
                <w:lang w:eastAsia="it-IT"/>
              </w:rPr>
            </w:pPr>
            <w:r w:rsidRPr="00E265F5">
              <w:rPr>
                <w:rFonts w:asciiTheme="minorHAnsi" w:hAnsiTheme="minorHAnsi" w:cstheme="minorHAnsi"/>
                <w:sz w:val="20"/>
                <w:szCs w:val="20"/>
              </w:rPr>
              <w:t>Par sa Décision 588, le Conseil a décidé de remplacer le bâtiment de Varembé de l'UIT par une nouvelle construction incluant aussi les bureaux et les installations du bâtiment de la Tour, en complément du bâtiment Montbrillant. Dans ce contexte, le "droit de superficie" dont jouit actuellement l'UIT et ce jusqu'en 2079 pour tous ses bâtiments devra être renégocié avec les autorités suisses. Toutefois, l'UIT a déjà obtenu certaines assurances des autorités suisses selon lesquelles les conditions actuellement accordées à l'UIT ne sauraient être revues à la baisse et le délai de 2079 ne sera en aucun cas remis en question. Un groupe de travail composé de représentants de l'UIT, du Canton de Genève (propriétaire du terrain) de la Confédération suisse et de la FIPOI sera constitué début 2017 et aura pour mission d'examiner spécifiquement la question du "droit de superficie".</w:t>
            </w:r>
          </w:p>
        </w:tc>
        <w:tc>
          <w:tcPr>
            <w:tcW w:w="894" w:type="pct"/>
          </w:tcPr>
          <w:p w14:paraId="279B651F" w14:textId="77777777" w:rsidR="00607E37" w:rsidRPr="00E265F5" w:rsidRDefault="00607E37" w:rsidP="00B53AD7">
            <w:pPr>
              <w:pStyle w:val="Tabletext"/>
              <w:ind w:left="113"/>
              <w:rPr>
                <w:rFonts w:asciiTheme="minorHAnsi" w:hAnsiTheme="minorHAnsi" w:cstheme="minorHAnsi"/>
                <w:sz w:val="20"/>
                <w:lang w:eastAsia="it-IT"/>
              </w:rPr>
            </w:pPr>
          </w:p>
        </w:tc>
      </w:tr>
    </w:tbl>
    <w:p w14:paraId="5D63151C"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06B23D60" w14:textId="77777777" w:rsidTr="00607E37">
        <w:tc>
          <w:tcPr>
            <w:tcW w:w="295" w:type="pct"/>
          </w:tcPr>
          <w:p w14:paraId="3D2DB301" w14:textId="77777777" w:rsidR="00607E37" w:rsidRPr="00E265F5" w:rsidRDefault="00607E37" w:rsidP="0071366C">
            <w:pPr>
              <w:pStyle w:val="Tablehead"/>
              <w:pageBreakBefore/>
              <w:rPr>
                <w:rFonts w:asciiTheme="minorHAnsi" w:hAnsiTheme="minorHAnsi" w:cstheme="minorHAnsi"/>
                <w:sz w:val="20"/>
                <w:szCs w:val="20"/>
                <w:lang w:eastAsia="it-IT"/>
              </w:rPr>
            </w:pPr>
          </w:p>
        </w:tc>
        <w:tc>
          <w:tcPr>
            <w:tcW w:w="1350" w:type="pct"/>
          </w:tcPr>
          <w:p w14:paraId="1D39136B"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31AAB27C"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7C8E04E0"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6F5E10AA"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607E37" w:rsidRPr="00DD066D" w14:paraId="4F7D0576" w14:textId="77777777" w:rsidTr="00396C8A">
        <w:tblPrEx>
          <w:tblLook w:val="0000" w:firstRow="0" w:lastRow="0" w:firstColumn="0" w:lastColumn="0" w:noHBand="0" w:noVBand="0"/>
        </w:tblPrEx>
        <w:tc>
          <w:tcPr>
            <w:tcW w:w="295" w:type="pct"/>
          </w:tcPr>
          <w:p w14:paraId="6992255D" w14:textId="47F3221D" w:rsidR="00607E37" w:rsidRPr="00E265F5" w:rsidRDefault="00607E37" w:rsidP="00B53AD7">
            <w:pPr>
              <w:pStyle w:val="Tabletext"/>
              <w:rPr>
                <w:rFonts w:asciiTheme="minorHAnsi" w:hAnsiTheme="minorHAnsi" w:cstheme="minorHAnsi"/>
                <w:b/>
                <w:bCs/>
                <w:sz w:val="20"/>
                <w:lang w:eastAsia="it-IT"/>
              </w:rPr>
            </w:pPr>
          </w:p>
        </w:tc>
        <w:tc>
          <w:tcPr>
            <w:tcW w:w="1350" w:type="pct"/>
          </w:tcPr>
          <w:p w14:paraId="26B03F1F" w14:textId="77777777" w:rsidR="00607E37" w:rsidRPr="00E265F5" w:rsidRDefault="00607E37" w:rsidP="00B53AD7">
            <w:pPr>
              <w:pStyle w:val="Tabletext"/>
              <w:rPr>
                <w:rFonts w:asciiTheme="minorHAnsi" w:hAnsiTheme="minorHAnsi" w:cstheme="minorHAnsi"/>
                <w:b/>
                <w:bCs/>
                <w:i/>
                <w:iCs/>
                <w:sz w:val="20"/>
                <w:lang w:eastAsia="it-IT"/>
              </w:rPr>
            </w:pPr>
          </w:p>
        </w:tc>
        <w:tc>
          <w:tcPr>
            <w:tcW w:w="1208" w:type="pct"/>
          </w:tcPr>
          <w:p w14:paraId="52725609" w14:textId="77777777" w:rsidR="00607E37" w:rsidRPr="00E265F5" w:rsidRDefault="00607E37" w:rsidP="00B53AD7">
            <w:pPr>
              <w:pStyle w:val="Tabletext"/>
              <w:rPr>
                <w:rFonts w:asciiTheme="minorHAnsi" w:hAnsiTheme="minorHAnsi" w:cstheme="minorHAnsi"/>
                <w:sz w:val="20"/>
                <w:lang w:eastAsia="it-IT"/>
              </w:rPr>
            </w:pPr>
          </w:p>
        </w:tc>
        <w:tc>
          <w:tcPr>
            <w:tcW w:w="1253" w:type="pct"/>
          </w:tcPr>
          <w:p w14:paraId="20751C89" w14:textId="77777777" w:rsidR="00607E37" w:rsidRPr="00E265F5" w:rsidRDefault="00607E37" w:rsidP="00607E37">
            <w:pPr>
              <w:widowControl w:val="0"/>
              <w:kinsoku w:val="0"/>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Mise à jour d'avril 2018:</w:t>
            </w:r>
          </w:p>
          <w:p w14:paraId="47D46ED0" w14:textId="77777777" w:rsidR="00607E37" w:rsidRPr="00E265F5" w:rsidRDefault="00607E37" w:rsidP="00607E37">
            <w:pPr>
              <w:widowControl w:val="0"/>
              <w:kinsoku w:val="0"/>
              <w:rPr>
                <w:rFonts w:asciiTheme="minorHAnsi" w:hAnsiTheme="minorHAnsi" w:cstheme="minorHAnsi"/>
                <w:sz w:val="20"/>
                <w:szCs w:val="20"/>
                <w:lang w:eastAsia="it-IT"/>
              </w:rPr>
            </w:pPr>
            <w:r w:rsidRPr="00E265F5">
              <w:rPr>
                <w:rFonts w:asciiTheme="minorHAnsi" w:hAnsiTheme="minorHAnsi" w:cstheme="minorHAnsi"/>
                <w:sz w:val="20"/>
                <w:szCs w:val="20"/>
                <w:lang w:eastAsia="it-IT"/>
              </w:rPr>
              <w:t>Le Groupe de travail UIT/pays hôte sur le "Droit de superficie" a tenu sa première réunion le 15 novembre 2017. Les discussions ont porté sur les éléments suivants:</w:t>
            </w:r>
          </w:p>
          <w:p w14:paraId="3BAC007F" w14:textId="6B43AF06" w:rsidR="00607E37" w:rsidRPr="00607E37" w:rsidRDefault="00607E37" w:rsidP="00607E37">
            <w:pPr>
              <w:pStyle w:val="enumlev1"/>
              <w:tabs>
                <w:tab w:val="clear" w:pos="567"/>
              </w:tabs>
              <w:spacing w:before="0"/>
              <w:ind w:left="335" w:hanging="335"/>
              <w:rPr>
                <w:sz w:val="20"/>
                <w:szCs w:val="20"/>
                <w:lang w:eastAsia="it-IT"/>
              </w:rPr>
            </w:pPr>
            <w:r w:rsidRPr="00607E37">
              <w:rPr>
                <w:sz w:val="20"/>
                <w:szCs w:val="20"/>
                <w:lang w:eastAsia="it-IT"/>
              </w:rPr>
              <w:t>1)</w:t>
            </w:r>
            <w:r w:rsidRPr="00607E37">
              <w:rPr>
                <w:sz w:val="20"/>
                <w:szCs w:val="20"/>
                <w:lang w:eastAsia="it-IT"/>
              </w:rPr>
              <w:tab/>
              <w:t>La répartition de la parcelle, qui, selon l'accord, ne devrait pas être modifiée par la c</w:t>
            </w:r>
            <w:r>
              <w:rPr>
                <w:sz w:val="20"/>
                <w:szCs w:val="20"/>
                <w:lang w:eastAsia="it-IT"/>
              </w:rPr>
              <w:t>onstruction du nouveau bâtiment.</w:t>
            </w:r>
          </w:p>
          <w:p w14:paraId="509BE74C" w14:textId="77777777" w:rsidR="00607E37" w:rsidRPr="00607E37" w:rsidRDefault="00607E37" w:rsidP="00607E37">
            <w:pPr>
              <w:pStyle w:val="enumlev1"/>
              <w:tabs>
                <w:tab w:val="clear" w:pos="567"/>
              </w:tabs>
              <w:spacing w:before="0"/>
              <w:ind w:left="335" w:hanging="335"/>
              <w:rPr>
                <w:sz w:val="20"/>
                <w:szCs w:val="20"/>
                <w:lang w:eastAsia="it-IT"/>
              </w:rPr>
            </w:pPr>
            <w:r w:rsidRPr="00607E37">
              <w:rPr>
                <w:sz w:val="20"/>
                <w:szCs w:val="20"/>
                <w:lang w:eastAsia="it-IT"/>
              </w:rPr>
              <w:t>2)</w:t>
            </w:r>
            <w:r w:rsidRPr="00607E37">
              <w:rPr>
                <w:sz w:val="20"/>
                <w:szCs w:val="20"/>
                <w:lang w:eastAsia="it-IT"/>
              </w:rPr>
              <w:tab/>
              <w:t>Une présentation des représentants du pays hôte sur le "Droit de superficie" applicable selon la nouvelle législation suisse.</w:t>
            </w:r>
          </w:p>
          <w:p w14:paraId="08051C50" w14:textId="7276A152" w:rsidR="00607E37" w:rsidRPr="00607E37" w:rsidRDefault="00607E37" w:rsidP="00607E37">
            <w:pPr>
              <w:pStyle w:val="enumlev1"/>
              <w:tabs>
                <w:tab w:val="clear" w:pos="567"/>
              </w:tabs>
              <w:spacing w:before="0"/>
              <w:ind w:left="335" w:hanging="335"/>
              <w:rPr>
                <w:sz w:val="20"/>
                <w:szCs w:val="20"/>
                <w:lang w:eastAsia="it-IT"/>
              </w:rPr>
            </w:pPr>
            <w:r>
              <w:rPr>
                <w:sz w:val="20"/>
                <w:szCs w:val="20"/>
                <w:lang w:eastAsia="it-IT"/>
              </w:rPr>
              <w:tab/>
            </w:r>
            <w:r w:rsidRPr="00607E37">
              <w:rPr>
                <w:sz w:val="20"/>
                <w:szCs w:val="20"/>
                <w:lang w:eastAsia="it-IT"/>
              </w:rPr>
              <w:t>L'UIT a déjà obtenu la confirmation que la durée actuelle du "Droit de superficie" (jusqu'en 2079) ne serait pas remise en question, malgré la nouvelle réglementation qui limite ce droit à une durée maximale de 50 ans.</w:t>
            </w:r>
          </w:p>
          <w:p w14:paraId="471BEA66" w14:textId="4C17AFB0" w:rsidR="00607E37" w:rsidRPr="00607E37" w:rsidRDefault="00607E37" w:rsidP="00607E37">
            <w:pPr>
              <w:pStyle w:val="enumlev1"/>
              <w:tabs>
                <w:tab w:val="clear" w:pos="567"/>
              </w:tabs>
              <w:spacing w:before="0"/>
              <w:ind w:left="335" w:hanging="335"/>
              <w:rPr>
                <w:sz w:val="20"/>
                <w:szCs w:val="20"/>
                <w:lang w:eastAsia="it-IT"/>
              </w:rPr>
            </w:pPr>
            <w:r>
              <w:rPr>
                <w:sz w:val="20"/>
                <w:szCs w:val="20"/>
                <w:lang w:eastAsia="it-IT"/>
              </w:rPr>
              <w:tab/>
            </w:r>
            <w:r w:rsidRPr="00607E37">
              <w:rPr>
                <w:sz w:val="20"/>
                <w:szCs w:val="20"/>
                <w:lang w:eastAsia="it-IT"/>
              </w:rPr>
              <w:t>L'UIT a également reçu confirmation du fait que certains éléments essentiels du droit, par exemple la gratuité de l'occupation du terrain, ne seraient pas remis en question.</w:t>
            </w:r>
          </w:p>
          <w:p w14:paraId="14FC33E2" w14:textId="2D82EAA2" w:rsidR="00607E37" w:rsidRPr="00607E37" w:rsidRDefault="00607E37" w:rsidP="00607E37">
            <w:pPr>
              <w:pStyle w:val="enumlev1"/>
              <w:tabs>
                <w:tab w:val="clear" w:pos="567"/>
              </w:tabs>
              <w:spacing w:before="0"/>
              <w:ind w:left="335" w:hanging="335"/>
              <w:rPr>
                <w:sz w:val="20"/>
                <w:szCs w:val="20"/>
                <w:lang w:eastAsia="it-IT"/>
              </w:rPr>
            </w:pPr>
            <w:r w:rsidRPr="00607E37">
              <w:rPr>
                <w:sz w:val="20"/>
                <w:szCs w:val="20"/>
                <w:lang w:eastAsia="it-IT"/>
              </w:rPr>
              <w:t>3)</w:t>
            </w:r>
            <w:r w:rsidRPr="00607E37">
              <w:rPr>
                <w:sz w:val="20"/>
                <w:szCs w:val="20"/>
                <w:lang w:eastAsia="it-IT"/>
              </w:rPr>
              <w:tab/>
              <w:t>Le pays hôte a établi un modèle de contrat relatif au "Droit de superficie". Ce modèle sera rapidement envoyé à l'UIT pour examen et commentaires. Les représentants du pays hôte ont confirmé qu'ils étaient ouverts à des discussions sur les dispositions prévues par le modèle.</w:t>
            </w:r>
          </w:p>
          <w:p w14:paraId="075B85F1" w14:textId="0364A562" w:rsidR="00607E37" w:rsidRPr="00E265F5" w:rsidRDefault="00607E37" w:rsidP="00607E37">
            <w:pPr>
              <w:pStyle w:val="enumlev1"/>
              <w:tabs>
                <w:tab w:val="clear" w:pos="567"/>
              </w:tabs>
              <w:spacing w:before="0"/>
              <w:ind w:left="335" w:hanging="335"/>
              <w:rPr>
                <w:lang w:eastAsia="it-IT"/>
              </w:rPr>
            </w:pPr>
            <w:r w:rsidRPr="00607E37">
              <w:rPr>
                <w:sz w:val="20"/>
                <w:szCs w:val="20"/>
                <w:lang w:eastAsia="it-IT"/>
              </w:rPr>
              <w:t>4)</w:t>
            </w:r>
            <w:r w:rsidRPr="00607E37">
              <w:rPr>
                <w:sz w:val="20"/>
                <w:szCs w:val="20"/>
                <w:lang w:eastAsia="it-IT"/>
              </w:rPr>
              <w:tab/>
              <w:t>Le projet de contrat relatif au "Droit de superficie" devrait idéalement être finalisé d'ici à fin octobre 2018.</w:t>
            </w:r>
          </w:p>
        </w:tc>
        <w:tc>
          <w:tcPr>
            <w:tcW w:w="894" w:type="pct"/>
          </w:tcPr>
          <w:p w14:paraId="5D2E2CE4" w14:textId="77777777" w:rsidR="00607E37" w:rsidRPr="00E265F5" w:rsidRDefault="00607E37" w:rsidP="00B53AD7">
            <w:pPr>
              <w:pStyle w:val="Tabletext"/>
              <w:rPr>
                <w:rFonts w:asciiTheme="minorHAnsi" w:hAnsiTheme="minorHAnsi" w:cstheme="minorHAnsi"/>
                <w:sz w:val="20"/>
                <w:lang w:eastAsia="it-IT"/>
              </w:rPr>
            </w:pPr>
          </w:p>
        </w:tc>
      </w:tr>
      <w:tr w:rsidR="00607E37" w:rsidRPr="00DD066D" w14:paraId="3C3BBF51" w14:textId="77777777" w:rsidTr="00607E37">
        <w:tc>
          <w:tcPr>
            <w:tcW w:w="295" w:type="pct"/>
          </w:tcPr>
          <w:p w14:paraId="30141545" w14:textId="77777777" w:rsidR="00607E37" w:rsidRPr="00E265F5" w:rsidRDefault="00607E37" w:rsidP="0071366C">
            <w:pPr>
              <w:pStyle w:val="Tablehead"/>
              <w:pageBreakBefore/>
              <w:rPr>
                <w:rFonts w:asciiTheme="minorHAnsi" w:hAnsiTheme="minorHAnsi" w:cstheme="minorHAnsi"/>
                <w:sz w:val="20"/>
                <w:szCs w:val="20"/>
                <w:lang w:eastAsia="it-IT"/>
              </w:rPr>
            </w:pPr>
            <w:bookmarkStart w:id="480" w:name="lt_pId096"/>
          </w:p>
        </w:tc>
        <w:tc>
          <w:tcPr>
            <w:tcW w:w="1350" w:type="pct"/>
          </w:tcPr>
          <w:p w14:paraId="0D80C459"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1FF93A5D"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3740C5D2"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4AF1E06E"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211DFDB2" w14:textId="77777777" w:rsidTr="00396C8A">
        <w:tblPrEx>
          <w:tblLook w:val="0000" w:firstRow="0" w:lastRow="0" w:firstColumn="0" w:lastColumn="0" w:noHBand="0" w:noVBand="0"/>
        </w:tblPrEx>
        <w:tc>
          <w:tcPr>
            <w:tcW w:w="295" w:type="pct"/>
          </w:tcPr>
          <w:p w14:paraId="2F679094" w14:textId="1E9E78EF" w:rsidR="00101F96" w:rsidRPr="00E265F5" w:rsidRDefault="00101F96"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w:t>
            </w:r>
            <w:bookmarkEnd w:id="480"/>
            <w:r w:rsidRPr="00E265F5">
              <w:rPr>
                <w:rFonts w:asciiTheme="minorHAnsi" w:hAnsiTheme="minorHAnsi" w:cstheme="minorHAnsi"/>
                <w:b/>
                <w:bCs/>
                <w:sz w:val="20"/>
                <w:szCs w:val="20"/>
                <w:lang w:eastAsia="it-IT"/>
              </w:rPr>
              <w:t xml:space="preserve"> 4/2012</w:t>
            </w:r>
          </w:p>
        </w:tc>
        <w:tc>
          <w:tcPr>
            <w:tcW w:w="1350" w:type="pct"/>
          </w:tcPr>
          <w:p w14:paraId="3322494B" w14:textId="204FBB06" w:rsidR="00101F96" w:rsidRPr="00E265F5" w:rsidRDefault="00101F96" w:rsidP="00B53AD7">
            <w:pPr>
              <w:pStyle w:val="Tabletext"/>
              <w:rPr>
                <w:rFonts w:asciiTheme="minorHAnsi" w:hAnsiTheme="minorHAnsi" w:cstheme="minorHAnsi"/>
                <w:b/>
                <w:bCs/>
                <w:i/>
                <w:iCs/>
                <w:sz w:val="20"/>
                <w:szCs w:val="20"/>
                <w:lang w:eastAsia="it-IT"/>
              </w:rPr>
            </w:pPr>
            <w:bookmarkStart w:id="481" w:name="lt_pId098"/>
            <w:r w:rsidRPr="00E265F5">
              <w:rPr>
                <w:rFonts w:asciiTheme="minorHAnsi" w:hAnsiTheme="minorHAnsi" w:cstheme="minorHAnsi"/>
                <w:b/>
                <w:bCs/>
                <w:i/>
                <w:iCs/>
                <w:sz w:val="20"/>
                <w:szCs w:val="20"/>
                <w:lang w:eastAsia="it-IT"/>
              </w:rPr>
              <w:t>Comptabilisation de l</w:t>
            </w:r>
            <w:r w:rsidR="001B30ED" w:rsidRPr="00E265F5">
              <w:rPr>
                <w:rFonts w:asciiTheme="minorHAnsi" w:hAnsiTheme="minorHAnsi" w:cstheme="minorHAnsi"/>
                <w:b/>
                <w:bCs/>
                <w:i/>
                <w:iCs/>
                <w:sz w:val="20"/>
                <w:szCs w:val="20"/>
                <w:lang w:eastAsia="it-IT"/>
              </w:rPr>
              <w:t>'</w:t>
            </w:r>
            <w:r w:rsidRPr="00E265F5">
              <w:rPr>
                <w:rFonts w:asciiTheme="minorHAnsi" w:hAnsiTheme="minorHAnsi" w:cstheme="minorHAnsi"/>
                <w:b/>
                <w:bCs/>
                <w:i/>
                <w:iCs/>
                <w:sz w:val="20"/>
                <w:szCs w:val="20"/>
                <w:lang w:eastAsia="it-IT"/>
              </w:rPr>
              <w:t>actif dans le registre</w:t>
            </w:r>
            <w:bookmarkEnd w:id="481"/>
            <w:r w:rsidRPr="00E265F5">
              <w:rPr>
                <w:rFonts w:asciiTheme="minorHAnsi" w:hAnsiTheme="minorHAnsi" w:cstheme="minorHAnsi"/>
                <w:b/>
                <w:bCs/>
                <w:i/>
                <w:iCs/>
                <w:sz w:val="20"/>
                <w:szCs w:val="20"/>
                <w:lang w:eastAsia="it-IT"/>
              </w:rPr>
              <w:t xml:space="preserve"> </w:t>
            </w:r>
          </w:p>
          <w:p w14:paraId="45629FAF" w14:textId="437C11FD" w:rsidR="00101F96" w:rsidRPr="00E265F5" w:rsidRDefault="00101F96" w:rsidP="00B53AD7">
            <w:pPr>
              <w:pStyle w:val="Tabletext"/>
              <w:rPr>
                <w:rFonts w:asciiTheme="minorHAnsi" w:hAnsiTheme="minorHAnsi" w:cstheme="minorHAnsi"/>
                <w:sz w:val="20"/>
                <w:szCs w:val="20"/>
                <w:lang w:eastAsia="it-IT"/>
              </w:rPr>
            </w:pPr>
            <w:bookmarkStart w:id="482" w:name="lt_pId099"/>
            <w:r w:rsidRPr="00E265F5">
              <w:rPr>
                <w:rFonts w:asciiTheme="minorHAnsi" w:hAnsiTheme="minorHAnsi" w:cstheme="minorHAnsi"/>
                <w:sz w:val="20"/>
                <w:szCs w:val="20"/>
                <w:lang w:eastAsia="it-IT"/>
              </w:rPr>
              <w:t>[…] nous avons effectué un inventaire physique des stocks de certaines catégories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immobilisations corporelles, mobilier et équipements informatiques par exemple, et nous avons recherché leur trace dans les comptes.</w:t>
            </w:r>
            <w:bookmarkEnd w:id="482"/>
            <w:r w:rsidRPr="00E265F5">
              <w:rPr>
                <w:rFonts w:asciiTheme="minorHAnsi" w:hAnsiTheme="minorHAnsi" w:cstheme="minorHAnsi"/>
                <w:sz w:val="20"/>
                <w:szCs w:val="20"/>
                <w:lang w:eastAsia="it-IT"/>
              </w:rPr>
              <w:t xml:space="preserve"> </w:t>
            </w:r>
            <w:bookmarkStart w:id="483" w:name="lt_pId100"/>
            <w:r w:rsidRPr="00E265F5">
              <w:rPr>
                <w:rFonts w:asciiTheme="minorHAnsi" w:hAnsiTheme="minorHAnsi" w:cstheme="minorHAnsi"/>
                <w:sz w:val="20"/>
                <w:szCs w:val="20"/>
                <w:lang w:eastAsia="it-IT"/>
              </w:rPr>
              <w:t>Nous avons constaté que les fonctionnaires responsables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UIT de la Division de la gestion des installations (Département de la gestion des ressources humaines) n</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avaient pas retrouvé certains des actifs pendant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inventaire physique des stocks en fin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exercice (ce qui représente environ 0,73% de la valeur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acquisition des actifs concernés).</w:t>
            </w:r>
            <w:bookmarkEnd w:id="483"/>
            <w:r w:rsidRPr="00E265F5">
              <w:rPr>
                <w:rFonts w:asciiTheme="minorHAnsi" w:hAnsiTheme="minorHAnsi" w:cstheme="minorHAnsi"/>
                <w:sz w:val="20"/>
                <w:szCs w:val="20"/>
                <w:lang w:eastAsia="it-IT"/>
              </w:rPr>
              <w:t xml:space="preserve"> </w:t>
            </w:r>
            <w:bookmarkStart w:id="484" w:name="lt_pId101"/>
            <w:r w:rsidRPr="00E265F5">
              <w:rPr>
                <w:rFonts w:asciiTheme="minorHAnsi" w:hAnsiTheme="minorHAnsi" w:cstheme="minorHAnsi"/>
                <w:sz w:val="20"/>
                <w:szCs w:val="20"/>
                <w:lang w:eastAsia="it-IT"/>
              </w:rPr>
              <w:t>Nous n</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ignorons pas que les contrôles effectués ont permis de retrouver une partie des actifs qui manquaient en fin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exercice, mais nous recommandons à la direction de poursuivre ses recherches et de passer par pertes et profits les articles qui n</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auront pas été retrouvés au cours de 2013.</w:t>
            </w:r>
            <w:bookmarkEnd w:id="484"/>
          </w:p>
        </w:tc>
        <w:tc>
          <w:tcPr>
            <w:tcW w:w="1208" w:type="pct"/>
          </w:tcPr>
          <w:p w14:paraId="7394C374" w14:textId="3145D199" w:rsidR="00101F96" w:rsidRPr="00E265F5" w:rsidRDefault="00101F96" w:rsidP="00B53AD7">
            <w:pPr>
              <w:pStyle w:val="Tabletext"/>
              <w:rPr>
                <w:rFonts w:asciiTheme="minorHAnsi" w:hAnsiTheme="minorHAnsi" w:cstheme="minorHAnsi"/>
                <w:sz w:val="20"/>
                <w:szCs w:val="20"/>
                <w:lang w:eastAsia="it-IT"/>
              </w:rPr>
            </w:pPr>
            <w:bookmarkStart w:id="485" w:name="lt_pId102"/>
            <w:r w:rsidRPr="00E265F5">
              <w:rPr>
                <w:rFonts w:asciiTheme="minorHAnsi" w:hAnsiTheme="minorHAnsi" w:cstheme="minorHAnsi"/>
                <w:sz w:val="20"/>
                <w:szCs w:val="20"/>
                <w:lang w:eastAsia="it-IT"/>
              </w:rPr>
              <w:t>Je vais charger le Département de la gestion des ressources financières de collaborer avec la Division de la gestion des installations pour qu</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en 2013 les efforts se poursuivent et je ferai toute la lumière sur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existence et le traitement des actifs qui n</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ont pas été saisis lors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inventaire.</w:t>
            </w:r>
            <w:bookmarkEnd w:id="485"/>
          </w:p>
        </w:tc>
        <w:tc>
          <w:tcPr>
            <w:tcW w:w="1253" w:type="pct"/>
          </w:tcPr>
          <w:p w14:paraId="2D1B32E7" w14:textId="7FF6CF31" w:rsidR="00101F96" w:rsidRPr="00E265F5" w:rsidRDefault="00101F96" w:rsidP="00B53AD7">
            <w:pPr>
              <w:pStyle w:val="Tabletext"/>
              <w:rPr>
                <w:rFonts w:asciiTheme="minorHAnsi" w:hAnsiTheme="minorHAnsi" w:cstheme="minorHAnsi"/>
                <w:sz w:val="20"/>
                <w:szCs w:val="20"/>
                <w:lang w:eastAsia="it-IT"/>
              </w:rPr>
            </w:pPr>
            <w:bookmarkStart w:id="486" w:name="lt_pId103"/>
            <w:r w:rsidRPr="00E265F5">
              <w:rPr>
                <w:rFonts w:asciiTheme="minorHAnsi" w:hAnsiTheme="minorHAnsi" w:cstheme="minorHAnsi"/>
                <w:sz w:val="20"/>
                <w:szCs w:val="20"/>
                <w:lang w:eastAsia="it-IT"/>
              </w:rPr>
              <w:t>Le processus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identification et de localisation et/ou passation par pertes et profits des actifs non retrouvés pendant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inventaire a débuté les années passées et avance selon le plan.</w:t>
            </w:r>
            <w:bookmarkEnd w:id="486"/>
          </w:p>
          <w:p w14:paraId="077C81D7" w14:textId="6421E4DE" w:rsidR="00101F96" w:rsidRPr="00E265F5" w:rsidRDefault="00101F96" w:rsidP="00B53AD7">
            <w:pPr>
              <w:pStyle w:val="Tabletext"/>
              <w:rPr>
                <w:rFonts w:asciiTheme="minorHAnsi" w:hAnsiTheme="minorHAnsi" w:cstheme="minorHAnsi"/>
                <w:sz w:val="20"/>
                <w:szCs w:val="20"/>
                <w:lang w:eastAsia="it-IT"/>
              </w:rPr>
            </w:pPr>
            <w:bookmarkStart w:id="487" w:name="lt_pId104"/>
            <w:r w:rsidRPr="00E265F5">
              <w:rPr>
                <w:rFonts w:asciiTheme="minorHAnsi" w:hAnsiTheme="minorHAnsi" w:cstheme="minorHAnsi"/>
                <w:b/>
                <w:bCs/>
                <w:sz w:val="20"/>
                <w:szCs w:val="20"/>
                <w:lang w:eastAsia="it-IT"/>
              </w:rPr>
              <w:t>Fin</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2014</w:t>
            </w:r>
            <w:r w:rsidRPr="00E265F5">
              <w:rPr>
                <w:rFonts w:asciiTheme="minorHAnsi" w:hAnsiTheme="minorHAnsi" w:cstheme="minorHAnsi"/>
                <w:sz w:val="20"/>
                <w:szCs w:val="20"/>
                <w:lang w:eastAsia="it-IT"/>
              </w:rPr>
              <w:t>, la valeur des actifs non retrouvés avait considérablement diminué (de 83%) par rapport à la valeur enregistrée en 2012.</w:t>
            </w:r>
            <w:bookmarkEnd w:id="487"/>
          </w:p>
          <w:p w14:paraId="4E8DD83E" w14:textId="00B8612C"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janvier</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2016:</w:t>
            </w:r>
          </w:p>
          <w:p w14:paraId="32AD92C6" w14:textId="4E08E812"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Le niveau d</w:t>
            </w:r>
            <w:r w:rsidR="001B30ED" w:rsidRPr="00E265F5">
              <w:rPr>
                <w:rFonts w:asciiTheme="minorHAnsi" w:hAnsiTheme="minorHAnsi" w:cstheme="minorHAnsi"/>
                <w:sz w:val="20"/>
                <w:szCs w:val="20"/>
                <w:lang w:eastAsia="it-IT"/>
              </w:rPr>
              <w:t>'</w:t>
            </w:r>
            <w:r w:rsidR="006A0D6B">
              <w:rPr>
                <w:rFonts w:asciiTheme="minorHAnsi" w:hAnsiTheme="minorHAnsi" w:cstheme="minorHAnsi"/>
                <w:sz w:val="20"/>
                <w:szCs w:val="20"/>
                <w:lang w:eastAsia="it-IT"/>
              </w:rPr>
              <w:t>identification des actifs non </w:t>
            </w:r>
            <w:r w:rsidRPr="00E265F5">
              <w:rPr>
                <w:rFonts w:asciiTheme="minorHAnsi" w:hAnsiTheme="minorHAnsi" w:cstheme="minorHAnsi"/>
                <w:sz w:val="20"/>
                <w:szCs w:val="20"/>
                <w:lang w:eastAsia="it-IT"/>
              </w:rPr>
              <w:t>retrouvés</w:t>
            </w:r>
            <w:r w:rsidR="006A0D6B">
              <w:rPr>
                <w:rFonts w:asciiTheme="minorHAnsi" w:hAnsiTheme="minorHAnsi" w:cstheme="minorHAnsi"/>
                <w:sz w:val="20"/>
                <w:szCs w:val="20"/>
                <w:lang w:eastAsia="it-IT"/>
              </w:rPr>
              <w:t xml:space="preserve"> sera connu avec le résultat de </w:t>
            </w:r>
            <w:r w:rsidRPr="00E265F5">
              <w:rPr>
                <w:rFonts w:asciiTheme="minorHAnsi" w:hAnsiTheme="minorHAnsi" w:cstheme="minorHAnsi"/>
                <w:sz w:val="20"/>
                <w:szCs w:val="20"/>
                <w:lang w:eastAsia="it-IT"/>
              </w:rPr>
              <w:t>l</w:t>
            </w:r>
            <w:r w:rsidR="001B30ED" w:rsidRPr="00E265F5">
              <w:rPr>
                <w:rFonts w:asciiTheme="minorHAnsi" w:hAnsiTheme="minorHAnsi" w:cstheme="minorHAnsi"/>
                <w:sz w:val="20"/>
                <w:szCs w:val="20"/>
                <w:lang w:eastAsia="it-IT"/>
              </w:rPr>
              <w:t>'</w:t>
            </w:r>
            <w:r w:rsidR="006A0D6B">
              <w:rPr>
                <w:rFonts w:asciiTheme="minorHAnsi" w:hAnsiTheme="minorHAnsi" w:cstheme="minorHAnsi"/>
                <w:sz w:val="20"/>
                <w:szCs w:val="20"/>
                <w:lang w:eastAsia="it-IT"/>
              </w:rPr>
              <w:t>inventaire physique achevé le </w:t>
            </w:r>
            <w:r w:rsidRPr="00E265F5">
              <w:rPr>
                <w:rFonts w:asciiTheme="minorHAnsi" w:hAnsiTheme="minorHAnsi" w:cstheme="minorHAnsi"/>
                <w:sz w:val="20"/>
                <w:szCs w:val="20"/>
                <w:lang w:eastAsia="it-IT"/>
              </w:rPr>
              <w:t>31 décembre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2015.</w:t>
            </w:r>
          </w:p>
          <w:p w14:paraId="47E47E03" w14:textId="3CE9F4C1"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2017:</w:t>
            </w:r>
          </w:p>
          <w:p w14:paraId="23C308E4" w14:textId="062930A5" w:rsidR="00101F96" w:rsidRPr="00E265F5" w:rsidRDefault="00101F96" w:rsidP="00B53AD7">
            <w:pPr>
              <w:pStyle w:val="Tabletext"/>
              <w:rPr>
                <w:rFonts w:asciiTheme="minorHAnsi" w:hAnsiTheme="minorHAnsi" w:cstheme="minorHAnsi"/>
                <w:sz w:val="20"/>
                <w:szCs w:val="20"/>
              </w:rPr>
            </w:pPr>
            <w:r w:rsidRPr="00E265F5">
              <w:rPr>
                <w:rFonts w:asciiTheme="minorHAnsi" w:hAnsiTheme="minorHAnsi" w:cstheme="minorHAnsi"/>
                <w:sz w:val="20"/>
                <w:szCs w:val="20"/>
              </w:rPr>
              <w:t>La situatio</w:t>
            </w:r>
            <w:r w:rsidR="006A0D6B">
              <w:rPr>
                <w:rFonts w:asciiTheme="minorHAnsi" w:hAnsiTheme="minorHAnsi" w:cstheme="minorHAnsi"/>
                <w:sz w:val="20"/>
                <w:szCs w:val="20"/>
              </w:rPr>
              <w:t>n en ce qui concerne les actifs </w:t>
            </w:r>
            <w:r w:rsidRPr="00E265F5">
              <w:rPr>
                <w:rFonts w:asciiTheme="minorHAnsi" w:hAnsiTheme="minorHAnsi" w:cstheme="minorHAnsi"/>
                <w:sz w:val="20"/>
                <w:szCs w:val="20"/>
              </w:rPr>
              <w:t>retrouvés était meilleure au 31</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décembre</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2016 par rapport à 2014 et aux années précédentes. Le même effort a été engagé au cours de l</w:t>
            </w:r>
            <w:r w:rsidR="001B30ED" w:rsidRPr="00E265F5">
              <w:rPr>
                <w:rFonts w:asciiTheme="minorHAnsi" w:hAnsiTheme="minorHAnsi" w:cstheme="minorHAnsi"/>
                <w:sz w:val="20"/>
                <w:szCs w:val="20"/>
              </w:rPr>
              <w:t>'</w:t>
            </w:r>
            <w:r w:rsidRPr="00E265F5">
              <w:rPr>
                <w:rFonts w:asciiTheme="minorHAnsi" w:hAnsiTheme="minorHAnsi" w:cstheme="minorHAnsi"/>
                <w:sz w:val="20"/>
                <w:szCs w:val="20"/>
              </w:rPr>
              <w:t>année</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2016. à titre de comparaison, la valeur des actifs non retrouvés au 31</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décembre</w:t>
            </w:r>
            <w:r w:rsidR="0018444B" w:rsidRPr="00E265F5">
              <w:rPr>
                <w:rFonts w:asciiTheme="minorHAnsi" w:hAnsiTheme="minorHAnsi" w:cstheme="minorHAnsi"/>
                <w:sz w:val="20"/>
                <w:szCs w:val="20"/>
              </w:rPr>
              <w:t> </w:t>
            </w:r>
            <w:r w:rsidR="006A0D6B">
              <w:rPr>
                <w:rFonts w:asciiTheme="minorHAnsi" w:hAnsiTheme="minorHAnsi" w:cstheme="minorHAnsi"/>
                <w:sz w:val="20"/>
                <w:szCs w:val="20"/>
              </w:rPr>
              <w:t>2012 se chiffrait à </w:t>
            </w:r>
            <w:r w:rsidRPr="00E265F5">
              <w:rPr>
                <w:rFonts w:asciiTheme="minorHAnsi" w:hAnsiTheme="minorHAnsi" w:cstheme="minorHAnsi"/>
                <w:sz w:val="20"/>
                <w:szCs w:val="20"/>
              </w:rPr>
              <w:t>392 744</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CHF, contre 22</w:t>
            </w:r>
            <w:r w:rsidR="0018444B" w:rsidRPr="00E265F5">
              <w:rPr>
                <w:rFonts w:asciiTheme="minorHAnsi" w:hAnsiTheme="minorHAnsi" w:cstheme="minorHAnsi"/>
                <w:sz w:val="20"/>
                <w:szCs w:val="20"/>
              </w:rPr>
              <w:t> 024 </w:t>
            </w:r>
            <w:r w:rsidR="006A0D6B">
              <w:rPr>
                <w:rFonts w:asciiTheme="minorHAnsi" w:hAnsiTheme="minorHAnsi" w:cstheme="minorHAnsi"/>
                <w:sz w:val="20"/>
                <w:szCs w:val="20"/>
              </w:rPr>
              <w:t>CHF le </w:t>
            </w:r>
            <w:r w:rsidRPr="00E265F5">
              <w:rPr>
                <w:rFonts w:asciiTheme="minorHAnsi" w:hAnsiTheme="minorHAnsi" w:cstheme="minorHAnsi"/>
                <w:sz w:val="20"/>
                <w:szCs w:val="20"/>
              </w:rPr>
              <w:t>31 décembre</w:t>
            </w:r>
            <w:r w:rsidR="0018444B" w:rsidRPr="00E265F5">
              <w:rPr>
                <w:rFonts w:asciiTheme="minorHAnsi" w:hAnsiTheme="minorHAnsi" w:cstheme="minorHAnsi"/>
                <w:sz w:val="20"/>
                <w:szCs w:val="20"/>
              </w:rPr>
              <w:t> </w:t>
            </w:r>
            <w:r w:rsidRPr="00E265F5">
              <w:rPr>
                <w:rFonts w:asciiTheme="minorHAnsi" w:hAnsiTheme="minorHAnsi" w:cstheme="minorHAnsi"/>
                <w:sz w:val="20"/>
                <w:szCs w:val="20"/>
              </w:rPr>
              <w:t>2016.</w:t>
            </w:r>
          </w:p>
          <w:p w14:paraId="0C38D777" w14:textId="6C0358DD" w:rsidR="004259E1" w:rsidRPr="00E265F5" w:rsidRDefault="00C047DC" w:rsidP="00B53AD7">
            <w:pPr>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w:t>
            </w:r>
            <w:r w:rsidR="001B30ED" w:rsidRPr="00E265F5">
              <w:rPr>
                <w:rFonts w:asciiTheme="minorHAnsi" w:hAnsiTheme="minorHAnsi" w:cstheme="minorHAnsi"/>
                <w:b/>
                <w:bCs/>
                <w:sz w:val="20"/>
                <w:szCs w:val="20"/>
                <w:lang w:eastAsia="it-IT"/>
              </w:rPr>
              <w:t>'</w:t>
            </w:r>
            <w:r w:rsidRPr="00E265F5">
              <w:rPr>
                <w:rFonts w:asciiTheme="minorHAnsi" w:hAnsiTheme="minorHAnsi" w:cstheme="minorHAnsi"/>
                <w:b/>
                <w:bCs/>
                <w:sz w:val="20"/>
                <w:szCs w:val="20"/>
                <w:lang w:eastAsia="it-IT"/>
              </w:rPr>
              <w:t>avril</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2018:</w:t>
            </w:r>
          </w:p>
          <w:p w14:paraId="6166AAF2" w14:textId="753BE309" w:rsidR="00B77099" w:rsidRPr="00E265F5" w:rsidRDefault="00B77099" w:rsidP="00B53AD7">
            <w:pPr>
              <w:widowControl w:val="0"/>
              <w:kinsoku w:val="0"/>
              <w:rPr>
                <w:rFonts w:asciiTheme="minorHAnsi" w:hAnsiTheme="minorHAnsi" w:cstheme="minorHAnsi"/>
                <w:sz w:val="20"/>
                <w:szCs w:val="20"/>
                <w:lang w:eastAsia="it-IT"/>
              </w:rPr>
            </w:pPr>
            <w:r w:rsidRPr="00E265F5">
              <w:rPr>
                <w:rFonts w:asciiTheme="minorHAnsi" w:hAnsiTheme="minorHAnsi" w:cstheme="minorHAnsi"/>
                <w:sz w:val="20"/>
                <w:szCs w:val="20"/>
                <w:lang w:eastAsia="it-IT"/>
              </w:rPr>
              <w:t>La valeur des actifs non retrouvés au 31</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décembre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2017 se montait à 29</w:t>
            </w:r>
            <w:r w:rsidR="0018444B" w:rsidRPr="00E265F5">
              <w:rPr>
                <w:rFonts w:asciiTheme="minorHAnsi" w:hAnsiTheme="minorHAnsi" w:cstheme="minorHAnsi"/>
                <w:sz w:val="20"/>
                <w:szCs w:val="20"/>
                <w:lang w:eastAsia="it-IT"/>
              </w:rPr>
              <w:t> 792 </w:t>
            </w:r>
            <w:r w:rsidRPr="00E265F5">
              <w:rPr>
                <w:rFonts w:asciiTheme="minorHAnsi" w:hAnsiTheme="minorHAnsi" w:cstheme="minorHAnsi"/>
                <w:sz w:val="20"/>
                <w:szCs w:val="20"/>
                <w:lang w:eastAsia="it-IT"/>
              </w:rPr>
              <w:t>CHF, dont 3</w:t>
            </w:r>
            <w:r w:rsidR="006A0D6B">
              <w:rPr>
                <w:rFonts w:asciiTheme="minorHAnsi" w:hAnsiTheme="minorHAnsi" w:cstheme="minorHAnsi"/>
                <w:sz w:val="20"/>
                <w:szCs w:val="20"/>
                <w:lang w:eastAsia="it-IT"/>
              </w:rPr>
              <w:t> </w:t>
            </w:r>
            <w:r w:rsidR="0018444B" w:rsidRPr="00E265F5">
              <w:rPr>
                <w:rFonts w:asciiTheme="minorHAnsi" w:hAnsiTheme="minorHAnsi" w:cstheme="minorHAnsi"/>
                <w:sz w:val="20"/>
                <w:szCs w:val="20"/>
                <w:lang w:eastAsia="it-IT"/>
              </w:rPr>
              <w:t>901 </w:t>
            </w:r>
            <w:r w:rsidRPr="00E265F5">
              <w:rPr>
                <w:rFonts w:asciiTheme="minorHAnsi" w:hAnsiTheme="minorHAnsi" w:cstheme="minorHAnsi"/>
                <w:sz w:val="20"/>
                <w:szCs w:val="20"/>
                <w:lang w:eastAsia="it-IT"/>
              </w:rPr>
              <w:t xml:space="preserve">CHF </w:t>
            </w:r>
            <w:r w:rsidR="007C598D" w:rsidRPr="00E265F5">
              <w:rPr>
                <w:rFonts w:asciiTheme="minorHAnsi" w:hAnsiTheme="minorHAnsi" w:cstheme="minorHAnsi"/>
                <w:sz w:val="20"/>
                <w:szCs w:val="20"/>
                <w:lang w:eastAsia="it-IT"/>
              </w:rPr>
              <w:t>pour</w:t>
            </w:r>
            <w:r w:rsidRPr="00E265F5">
              <w:rPr>
                <w:rFonts w:asciiTheme="minorHAnsi" w:hAnsiTheme="minorHAnsi" w:cstheme="minorHAnsi"/>
                <w:sz w:val="20"/>
                <w:szCs w:val="20"/>
                <w:lang w:eastAsia="it-IT"/>
              </w:rPr>
              <w:t xml:space="preserv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année</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2016.</w:t>
            </w:r>
          </w:p>
          <w:p w14:paraId="77FE8F13" w14:textId="294610C6" w:rsidR="00B77099" w:rsidRPr="00E265F5" w:rsidRDefault="00B77099" w:rsidP="007C598D">
            <w:pPr>
              <w:pStyle w:val="Tabletext"/>
              <w:rPr>
                <w:rFonts w:asciiTheme="minorHAnsi" w:hAnsiTheme="minorHAnsi" w:cstheme="minorHAnsi"/>
                <w:sz w:val="20"/>
                <w:szCs w:val="20"/>
              </w:rPr>
            </w:pPr>
            <w:r w:rsidRPr="00E265F5">
              <w:rPr>
                <w:rFonts w:asciiTheme="minorHAnsi" w:hAnsiTheme="minorHAnsi" w:cstheme="minorHAnsi"/>
                <w:sz w:val="20"/>
                <w:szCs w:val="20"/>
                <w:lang w:eastAsia="it-IT"/>
              </w:rPr>
              <w:t xml:space="preserve">Les recherches se poursuivront pendant </w:t>
            </w:r>
            <w:r w:rsidR="007C598D" w:rsidRPr="00E265F5">
              <w:rPr>
                <w:rFonts w:asciiTheme="minorHAnsi" w:hAnsiTheme="minorHAnsi" w:cstheme="minorHAnsi"/>
                <w:sz w:val="20"/>
                <w:szCs w:val="20"/>
                <w:lang w:eastAsia="it-IT"/>
              </w:rPr>
              <w:t>l</w:t>
            </w:r>
            <w:r w:rsidR="001B30ED" w:rsidRPr="00E265F5">
              <w:rPr>
                <w:rFonts w:asciiTheme="minorHAnsi" w:hAnsiTheme="minorHAnsi" w:cstheme="minorHAnsi"/>
                <w:sz w:val="20"/>
                <w:szCs w:val="20"/>
                <w:lang w:eastAsia="it-IT"/>
              </w:rPr>
              <w:t>'</w:t>
            </w:r>
            <w:r w:rsidR="007C598D" w:rsidRPr="00E265F5">
              <w:rPr>
                <w:rFonts w:asciiTheme="minorHAnsi" w:hAnsiTheme="minorHAnsi" w:cstheme="minorHAnsi"/>
                <w:sz w:val="20"/>
                <w:szCs w:val="20"/>
                <w:lang w:eastAsia="it-IT"/>
              </w:rPr>
              <w:t xml:space="preserve">exercice de </w:t>
            </w:r>
            <w:r w:rsidRPr="00E265F5">
              <w:rPr>
                <w:rFonts w:asciiTheme="minorHAnsi" w:hAnsiTheme="minorHAnsi" w:cstheme="minorHAnsi"/>
                <w:sz w:val="20"/>
                <w:szCs w:val="20"/>
                <w:lang w:eastAsia="it-IT"/>
              </w:rPr>
              <w:t>2018 pour retrouver le plus possible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actifs manquants.</w:t>
            </w:r>
          </w:p>
        </w:tc>
        <w:tc>
          <w:tcPr>
            <w:tcW w:w="894" w:type="pct"/>
          </w:tcPr>
          <w:p w14:paraId="7BC3C9B4" w14:textId="0174B4AB" w:rsidR="00101F96" w:rsidRPr="00E265F5" w:rsidRDefault="00101F96" w:rsidP="00B53AD7">
            <w:pPr>
              <w:pStyle w:val="Tabletext"/>
              <w:rPr>
                <w:rFonts w:asciiTheme="minorHAnsi" w:hAnsiTheme="minorHAnsi" w:cstheme="minorHAnsi"/>
                <w:sz w:val="20"/>
                <w:szCs w:val="20"/>
                <w:lang w:eastAsia="it-IT"/>
              </w:rPr>
            </w:pPr>
            <w:bookmarkStart w:id="488" w:name="lt_pId105"/>
            <w:r w:rsidRPr="00E265F5">
              <w:rPr>
                <w:rFonts w:asciiTheme="minorHAnsi" w:hAnsiTheme="minorHAnsi" w:cstheme="minorHAnsi"/>
                <w:sz w:val="20"/>
                <w:szCs w:val="20"/>
                <w:lang w:eastAsia="it-IT"/>
              </w:rPr>
              <w:t>En cours</w:t>
            </w:r>
            <w:bookmarkEnd w:id="488"/>
            <w:r w:rsidR="00607E37">
              <w:rPr>
                <w:rFonts w:asciiTheme="minorHAnsi" w:hAnsiTheme="minorHAnsi" w:cstheme="minorHAnsi"/>
                <w:sz w:val="20"/>
                <w:szCs w:val="20"/>
                <w:lang w:eastAsia="it-IT"/>
              </w:rPr>
              <w:t>.</w:t>
            </w:r>
          </w:p>
        </w:tc>
      </w:tr>
    </w:tbl>
    <w:p w14:paraId="033700E9"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4FE959A1" w14:textId="77777777" w:rsidTr="00607E37">
        <w:tc>
          <w:tcPr>
            <w:tcW w:w="295" w:type="pct"/>
          </w:tcPr>
          <w:p w14:paraId="702AACF4" w14:textId="77777777" w:rsidR="00607E37" w:rsidRPr="00E265F5" w:rsidRDefault="00607E37" w:rsidP="0071366C">
            <w:pPr>
              <w:pStyle w:val="Tablehead"/>
              <w:pageBreakBefore/>
              <w:rPr>
                <w:rFonts w:asciiTheme="minorHAnsi" w:hAnsiTheme="minorHAnsi" w:cstheme="minorHAnsi"/>
                <w:sz w:val="20"/>
                <w:szCs w:val="20"/>
                <w:lang w:eastAsia="it-IT"/>
              </w:rPr>
            </w:pPr>
          </w:p>
        </w:tc>
        <w:tc>
          <w:tcPr>
            <w:tcW w:w="1350" w:type="pct"/>
          </w:tcPr>
          <w:p w14:paraId="303A0355"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3C9E93A5"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2A92EA86"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613BD864"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984441" w:rsidRPr="00DD066D" w14:paraId="7FDF4394" w14:textId="77777777" w:rsidTr="00396C8A">
        <w:tblPrEx>
          <w:tblLook w:val="0000" w:firstRow="0" w:lastRow="0" w:firstColumn="0" w:lastColumn="0" w:noHBand="0" w:noVBand="0"/>
        </w:tblPrEx>
        <w:tc>
          <w:tcPr>
            <w:tcW w:w="295" w:type="pct"/>
          </w:tcPr>
          <w:p w14:paraId="169A6085" w14:textId="0FD02BF3" w:rsidR="00101F96" w:rsidRPr="00E265F5" w:rsidRDefault="00101F96" w:rsidP="003A473D">
            <w:pPr>
              <w:pStyle w:val="Tabletext"/>
              <w:jc w:val="center"/>
              <w:rPr>
                <w:rFonts w:asciiTheme="minorHAnsi" w:hAnsiTheme="minorHAnsi" w:cstheme="minorHAnsi"/>
                <w:b/>
                <w:bCs/>
                <w:sz w:val="20"/>
                <w:szCs w:val="20"/>
                <w:lang w:eastAsia="it-IT"/>
              </w:rPr>
            </w:pPr>
            <w:r w:rsidRPr="00E265F5">
              <w:rPr>
                <w:rFonts w:asciiTheme="minorHAnsi" w:hAnsiTheme="minorHAnsi" w:cstheme="minorHAnsi"/>
                <w:b/>
                <w:bCs/>
                <w:sz w:val="20"/>
                <w:szCs w:val="20"/>
                <w:lang w:eastAsia="it-IT"/>
              </w:rPr>
              <w:t>Rec. 10/2012</w:t>
            </w:r>
          </w:p>
        </w:tc>
        <w:tc>
          <w:tcPr>
            <w:tcW w:w="1350" w:type="pct"/>
          </w:tcPr>
          <w:p w14:paraId="3B759367" w14:textId="77777777" w:rsidR="00101F96" w:rsidRPr="00E265F5" w:rsidRDefault="00101F96" w:rsidP="00B53AD7">
            <w:pPr>
              <w:pStyle w:val="Tabletext"/>
              <w:rPr>
                <w:rFonts w:asciiTheme="minorHAnsi" w:hAnsiTheme="minorHAnsi" w:cstheme="minorHAnsi"/>
                <w:b/>
                <w:bCs/>
                <w:i/>
                <w:iCs/>
                <w:sz w:val="20"/>
                <w:szCs w:val="20"/>
                <w:lang w:eastAsia="it-IT"/>
              </w:rPr>
            </w:pPr>
            <w:r w:rsidRPr="00E265F5">
              <w:rPr>
                <w:rFonts w:asciiTheme="minorHAnsi" w:hAnsiTheme="minorHAnsi" w:cstheme="minorHAnsi"/>
                <w:b/>
                <w:bCs/>
                <w:i/>
                <w:iCs/>
                <w:sz w:val="20"/>
                <w:szCs w:val="20"/>
                <w:lang w:eastAsia="it-IT"/>
              </w:rPr>
              <w:t>Numérisation des dossiers du personnel</w:t>
            </w:r>
          </w:p>
          <w:p w14:paraId="28A49C07" w14:textId="02F96011"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Bien que notre analyse de la correspondance des données introduites dans le système informatique avec les dossiers du personnel n</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ait pas révélé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écarts majeurs, nous recommandons à la Direction de commencer à évaluer le rapport coût-efficacité d</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une numérisation des dossiers du personnel, non seulement pour éviter qu</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un événement accidentel provoque la perte de données essentielles, mais aussi pour permettre une interface directe des dossiers du personnel avec SAP HR.</w:t>
            </w:r>
          </w:p>
        </w:tc>
        <w:tc>
          <w:tcPr>
            <w:tcW w:w="1208" w:type="pct"/>
          </w:tcPr>
          <w:p w14:paraId="4E028891" w14:textId="77777777" w:rsidR="00101F9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Je prends note de cette recommandation et vous informe que le HRMD étudie cette possibilité.</w:t>
            </w:r>
          </w:p>
        </w:tc>
        <w:tc>
          <w:tcPr>
            <w:tcW w:w="1253" w:type="pct"/>
          </w:tcPr>
          <w:p w14:paraId="523DFC37" w14:textId="51FDC246" w:rsidR="00101F96" w:rsidRPr="00E265F5" w:rsidRDefault="00101F96" w:rsidP="00B53AD7">
            <w:pPr>
              <w:pStyle w:val="Tabletext"/>
              <w:rPr>
                <w:rFonts w:asciiTheme="minorHAnsi" w:hAnsiTheme="minorHAnsi" w:cstheme="minorHAnsi"/>
                <w:sz w:val="20"/>
                <w:szCs w:val="20"/>
                <w:lang w:eastAsia="it-IT"/>
              </w:rPr>
            </w:pPr>
            <w:bookmarkStart w:id="489" w:name="lt_pId121"/>
            <w:r w:rsidRPr="00E265F5">
              <w:rPr>
                <w:rFonts w:asciiTheme="minorHAnsi" w:hAnsiTheme="minorHAnsi" w:cstheme="minorHAnsi"/>
                <w:sz w:val="20"/>
                <w:szCs w:val="20"/>
                <w:lang w:eastAsia="it-IT"/>
              </w:rPr>
              <w:t>Le plan détaillé (DBBP) du système de numérisation des dossiers du personnel a été établi le 19</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avril</w:t>
            </w:r>
            <w:r w:rsidR="0018444B" w:rsidRPr="00E265F5">
              <w:rPr>
                <w:rFonts w:asciiTheme="minorHAnsi" w:hAnsiTheme="minorHAnsi" w:cstheme="minorHAnsi"/>
                <w:sz w:val="20"/>
                <w:szCs w:val="20"/>
                <w:lang w:eastAsia="it-IT"/>
              </w:rPr>
              <w:t> </w:t>
            </w:r>
            <w:r w:rsidRPr="00E265F5">
              <w:rPr>
                <w:rFonts w:asciiTheme="minorHAnsi" w:hAnsiTheme="minorHAnsi" w:cstheme="minorHAnsi"/>
                <w:sz w:val="20"/>
                <w:szCs w:val="20"/>
                <w:lang w:eastAsia="it-IT"/>
              </w:rPr>
              <w:t>2013.</w:t>
            </w:r>
            <w:bookmarkEnd w:id="489"/>
          </w:p>
          <w:p w14:paraId="2F01A625" w14:textId="7E9433E9" w:rsidR="00101F96" w:rsidRPr="00E265F5" w:rsidRDefault="00101F96" w:rsidP="00B53AD7">
            <w:pPr>
              <w:pStyle w:val="Tabletext"/>
              <w:rPr>
                <w:rFonts w:asciiTheme="minorHAnsi" w:hAnsiTheme="minorHAnsi" w:cstheme="minorHAnsi"/>
                <w:sz w:val="20"/>
                <w:szCs w:val="20"/>
                <w:lang w:eastAsia="it-IT"/>
              </w:rPr>
            </w:pPr>
            <w:bookmarkStart w:id="490" w:name="lt_pId122"/>
            <w:r w:rsidRPr="00E265F5">
              <w:rPr>
                <w:rFonts w:asciiTheme="minorHAnsi" w:hAnsiTheme="minorHAnsi" w:cstheme="minorHAnsi"/>
                <w:sz w:val="20"/>
                <w:szCs w:val="20"/>
                <w:lang w:eastAsia="it-IT"/>
              </w:rPr>
              <w:t>Ce plan intègre le processus métier HRAD (Service E</w:t>
            </w:r>
            <w:r w:rsidR="0018444B" w:rsidRPr="00E265F5">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t>&amp;</w:t>
            </w:r>
            <w:r w:rsidR="0018444B" w:rsidRPr="00E265F5">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t>B) et prévoit la mise en correspondance de la structure des dossiers du personnel (imprimés) des fonctionnaires. Le système est relié à SAP-ERP_HCM.</w:t>
            </w:r>
            <w:bookmarkEnd w:id="490"/>
            <w:r w:rsidRPr="00E265F5">
              <w:rPr>
                <w:rFonts w:asciiTheme="minorHAnsi" w:hAnsiTheme="minorHAnsi" w:cstheme="minorHAnsi"/>
                <w:sz w:val="20"/>
                <w:szCs w:val="20"/>
                <w:lang w:eastAsia="it-IT"/>
              </w:rPr>
              <w:t xml:space="preserve"> </w:t>
            </w:r>
          </w:p>
          <w:p w14:paraId="29C7185C" w14:textId="77777777" w:rsidR="006A0D6B" w:rsidRDefault="00101F96" w:rsidP="00B53AD7">
            <w:pPr>
              <w:pStyle w:val="Tabletext"/>
              <w:rPr>
                <w:rFonts w:asciiTheme="minorHAnsi" w:hAnsiTheme="minorHAnsi" w:cstheme="minorHAnsi"/>
                <w:sz w:val="20"/>
                <w:szCs w:val="20"/>
                <w:lang w:eastAsia="it-IT"/>
              </w:rPr>
            </w:pPr>
            <w:bookmarkStart w:id="491" w:name="lt_pId124"/>
            <w:r w:rsidRPr="00E265F5">
              <w:rPr>
                <w:rFonts w:asciiTheme="minorHAnsi" w:hAnsiTheme="minorHAnsi" w:cstheme="minorHAnsi"/>
                <w:b/>
                <w:bCs/>
                <w:sz w:val="20"/>
                <w:szCs w:val="20"/>
                <w:lang w:eastAsia="it-IT"/>
              </w:rPr>
              <w:t>Mise à jour de fin janvier</w:t>
            </w:r>
            <w:r w:rsidR="0018444B" w:rsidRPr="00E265F5">
              <w:rPr>
                <w:rFonts w:asciiTheme="minorHAnsi" w:hAnsiTheme="minorHAnsi" w:cstheme="minorHAnsi"/>
                <w:b/>
                <w:bCs/>
                <w:sz w:val="20"/>
                <w:szCs w:val="20"/>
                <w:lang w:eastAsia="it-IT"/>
              </w:rPr>
              <w:t> </w:t>
            </w:r>
            <w:r w:rsidRPr="00E265F5">
              <w:rPr>
                <w:rFonts w:asciiTheme="minorHAnsi" w:hAnsiTheme="minorHAnsi" w:cstheme="minorHAnsi"/>
                <w:b/>
                <w:bCs/>
                <w:sz w:val="20"/>
                <w:szCs w:val="20"/>
                <w:lang w:eastAsia="it-IT"/>
              </w:rPr>
              <w:t>2015</w:t>
            </w:r>
            <w:r w:rsidRPr="00E265F5">
              <w:rPr>
                <w:rFonts w:asciiTheme="minorHAnsi" w:hAnsiTheme="minorHAnsi" w:cstheme="minorHAnsi"/>
                <w:sz w:val="20"/>
                <w:szCs w:val="20"/>
                <w:lang w:eastAsia="it-IT"/>
              </w:rPr>
              <w:t xml:space="preserve">: </w:t>
            </w:r>
          </w:p>
          <w:p w14:paraId="6D4F9CF3" w14:textId="55FE3CB0" w:rsidR="00B10166" w:rsidRPr="00E265F5" w:rsidRDefault="00101F9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La première phase de création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xml:space="preserve">outil est achevée. </w:t>
            </w:r>
            <w:bookmarkStart w:id="492" w:name="lt_pId125"/>
            <w:bookmarkEnd w:id="491"/>
            <w:r w:rsidRPr="00E265F5">
              <w:rPr>
                <w:rFonts w:asciiTheme="minorHAnsi" w:hAnsiTheme="minorHAnsi" w:cstheme="minorHAnsi"/>
                <w:sz w:val="20"/>
                <w:szCs w:val="20"/>
                <w:lang w:eastAsia="it-IT"/>
              </w:rPr>
              <w:t>Le système de numérisation des dossiers du personnel est désormais opérationnel.</w:t>
            </w:r>
            <w:bookmarkEnd w:id="492"/>
          </w:p>
          <w:p w14:paraId="2245095F" w14:textId="3C7EDD20" w:rsidR="00B10166" w:rsidRPr="00E265F5" w:rsidRDefault="00B10166"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La prochaine phase de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exercice concernant la Division HRAD (Service E</w:t>
            </w:r>
            <w:r w:rsidR="0018444B" w:rsidRPr="00E265F5">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t>&amp;</w:t>
            </w:r>
            <w:r w:rsidR="0018444B" w:rsidRPr="00E265F5">
              <w:rPr>
                <w:rFonts w:asciiTheme="minorHAnsi" w:hAnsiTheme="minorHAnsi" w:cstheme="minorHAnsi"/>
                <w:sz w:val="20"/>
                <w:szCs w:val="20"/>
                <w:lang w:eastAsia="it-IT"/>
              </w:rPr>
              <w:t xml:space="preserve"> </w:t>
            </w:r>
            <w:r w:rsidRPr="00E265F5">
              <w:rPr>
                <w:rFonts w:asciiTheme="minorHAnsi" w:hAnsiTheme="minorHAnsi" w:cstheme="minorHAnsi"/>
                <w:sz w:val="20"/>
                <w:szCs w:val="20"/>
                <w:lang w:eastAsia="it-IT"/>
              </w:rPr>
              <w:t>B) se déroulera essentiellement autour de deux axes:</w:t>
            </w:r>
          </w:p>
          <w:p w14:paraId="4D8534FD" w14:textId="77777777" w:rsidR="00B10166" w:rsidRPr="00E265F5" w:rsidRDefault="00B10166" w:rsidP="006A0D6B">
            <w:pPr>
              <w:pStyle w:val="Tabletext"/>
              <w:ind w:left="333" w:hanging="333"/>
              <w:rPr>
                <w:rFonts w:asciiTheme="minorHAnsi" w:hAnsiTheme="minorHAnsi" w:cstheme="minorHAnsi"/>
                <w:sz w:val="20"/>
                <w:szCs w:val="20"/>
                <w:lang w:eastAsia="it-IT"/>
              </w:rPr>
            </w:pPr>
            <w:r w:rsidRPr="00E265F5">
              <w:rPr>
                <w:rFonts w:asciiTheme="minorHAnsi" w:hAnsiTheme="minorHAnsi" w:cstheme="minorHAnsi"/>
                <w:sz w:val="20"/>
                <w:szCs w:val="20"/>
                <w:lang w:eastAsia="it-IT"/>
              </w:rPr>
              <w:t>1)</w:t>
            </w:r>
            <w:r w:rsidRPr="00E265F5">
              <w:rPr>
                <w:rFonts w:asciiTheme="minorHAnsi" w:hAnsiTheme="minorHAnsi" w:cstheme="minorHAnsi"/>
                <w:sz w:val="20"/>
                <w:szCs w:val="20"/>
                <w:lang w:eastAsia="it-IT"/>
              </w:rPr>
              <w:tab/>
              <w:t>Réduction des anciens espaces de stockage (placards et répertoires informatisés) pour que les documents à archiver soient dirigés vers le nouveau système de numérisation.</w:t>
            </w:r>
          </w:p>
          <w:p w14:paraId="42FE030D" w14:textId="409BC11A" w:rsidR="00B77099" w:rsidRPr="00E265F5" w:rsidRDefault="00B10166" w:rsidP="006A0D6B">
            <w:pPr>
              <w:pStyle w:val="Tabletext"/>
              <w:ind w:left="333" w:hanging="333"/>
              <w:rPr>
                <w:rFonts w:asciiTheme="minorHAnsi" w:hAnsiTheme="minorHAnsi" w:cstheme="minorHAnsi"/>
                <w:sz w:val="20"/>
                <w:szCs w:val="20"/>
                <w:lang w:eastAsia="it-IT"/>
              </w:rPr>
            </w:pPr>
            <w:r w:rsidRPr="00E265F5">
              <w:rPr>
                <w:rFonts w:asciiTheme="minorHAnsi" w:hAnsiTheme="minorHAnsi" w:cstheme="minorHAnsi"/>
                <w:sz w:val="20"/>
                <w:szCs w:val="20"/>
                <w:lang w:eastAsia="it-IT"/>
              </w:rPr>
              <w:t>2)</w:t>
            </w:r>
            <w:r w:rsidRPr="00E265F5">
              <w:rPr>
                <w:rFonts w:asciiTheme="minorHAnsi" w:hAnsiTheme="minorHAnsi" w:cstheme="minorHAnsi"/>
                <w:sz w:val="20"/>
                <w:szCs w:val="20"/>
                <w:lang w:eastAsia="it-IT"/>
              </w:rPr>
              <w:tab/>
              <w:t>Réduction du nombre de documents papier sur la base des méthodes de travail révisées (redondance, chevauchement, impression non nécessaire, etc</w:t>
            </w:r>
            <w:r w:rsidR="008F3D3C"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 Les documents papier ne seront jamais éliminés compl</w:t>
            </w:r>
            <w:r w:rsidR="008F3D3C" w:rsidRPr="00E265F5">
              <w:rPr>
                <w:rFonts w:asciiTheme="minorHAnsi" w:hAnsiTheme="minorHAnsi" w:cstheme="minorHAnsi"/>
                <w:sz w:val="20"/>
                <w:szCs w:val="20"/>
                <w:lang w:eastAsia="it-IT"/>
              </w:rPr>
              <w:t>ètement,</w:t>
            </w:r>
            <w:r w:rsidRPr="00E265F5">
              <w:rPr>
                <w:rFonts w:asciiTheme="minorHAnsi" w:hAnsiTheme="minorHAnsi" w:cstheme="minorHAnsi"/>
                <w:sz w:val="20"/>
                <w:szCs w:val="20"/>
                <w:lang w:eastAsia="it-IT"/>
              </w:rPr>
              <w:t xml:space="preserve"> car les documents originaux signés doivent être conservés pour des raisons juridiques et pour attester l</w:t>
            </w:r>
            <w:r w:rsidR="001B30ED" w:rsidRPr="00E265F5">
              <w:rPr>
                <w:rFonts w:asciiTheme="minorHAnsi" w:hAnsiTheme="minorHAnsi" w:cstheme="minorHAnsi"/>
                <w:sz w:val="20"/>
                <w:szCs w:val="20"/>
                <w:lang w:eastAsia="it-IT"/>
              </w:rPr>
              <w:t>'</w:t>
            </w:r>
            <w:r w:rsidRPr="00E265F5">
              <w:rPr>
                <w:rFonts w:asciiTheme="minorHAnsi" w:hAnsiTheme="minorHAnsi" w:cstheme="minorHAnsi"/>
                <w:sz w:val="20"/>
                <w:szCs w:val="20"/>
                <w:lang w:eastAsia="it-IT"/>
              </w:rPr>
              <w:t>exactitude des renseignements enregistrés dans SAP</w:t>
            </w:r>
            <w:r w:rsidRPr="00E265F5">
              <w:rPr>
                <w:rFonts w:asciiTheme="minorHAnsi" w:hAnsiTheme="minorHAnsi" w:cstheme="minorHAnsi"/>
                <w:sz w:val="20"/>
                <w:szCs w:val="20"/>
                <w:lang w:eastAsia="it-IT"/>
              </w:rPr>
              <w:noBreakHyphen/>
              <w:t>ERP_HCM.</w:t>
            </w:r>
          </w:p>
        </w:tc>
        <w:tc>
          <w:tcPr>
            <w:tcW w:w="894" w:type="pct"/>
          </w:tcPr>
          <w:p w14:paraId="25C7DFBE" w14:textId="3CE3926A" w:rsidR="00101F96" w:rsidRPr="00E265F5" w:rsidRDefault="007C598D" w:rsidP="00B53AD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En cours</w:t>
            </w:r>
            <w:r w:rsidR="00607E37">
              <w:rPr>
                <w:rFonts w:asciiTheme="minorHAnsi" w:hAnsiTheme="minorHAnsi" w:cstheme="minorHAnsi"/>
                <w:sz w:val="20"/>
                <w:szCs w:val="20"/>
                <w:lang w:eastAsia="it-IT"/>
              </w:rPr>
              <w:t>.</w:t>
            </w:r>
          </w:p>
        </w:tc>
      </w:tr>
    </w:tbl>
    <w:p w14:paraId="121EBCFC" w14:textId="77777777" w:rsidR="00607E37" w:rsidRDefault="00607E37">
      <w:r>
        <w:br w:type="page"/>
      </w:r>
    </w:p>
    <w:tbl>
      <w:tblPr>
        <w:tblStyle w:val="TableGrid"/>
        <w:tblW w:w="5073" w:type="pct"/>
        <w:tblLook w:val="04A0" w:firstRow="1" w:lastRow="0" w:firstColumn="1" w:lastColumn="0" w:noHBand="0" w:noVBand="1"/>
      </w:tblPr>
      <w:tblGrid>
        <w:gridCol w:w="921"/>
        <w:gridCol w:w="4216"/>
        <w:gridCol w:w="3773"/>
        <w:gridCol w:w="3913"/>
        <w:gridCol w:w="2792"/>
      </w:tblGrid>
      <w:tr w:rsidR="00607E37" w:rsidRPr="00DD066D" w14:paraId="5179897F" w14:textId="77777777" w:rsidTr="00607E37">
        <w:tc>
          <w:tcPr>
            <w:tcW w:w="295" w:type="pct"/>
          </w:tcPr>
          <w:p w14:paraId="4044B9A8" w14:textId="77777777" w:rsidR="00607E37" w:rsidRPr="00E265F5" w:rsidRDefault="00607E37" w:rsidP="0071366C">
            <w:pPr>
              <w:pStyle w:val="Tablehead"/>
              <w:pageBreakBefore/>
              <w:rPr>
                <w:rFonts w:asciiTheme="minorHAnsi" w:hAnsiTheme="minorHAnsi" w:cstheme="minorHAnsi"/>
                <w:sz w:val="20"/>
                <w:szCs w:val="20"/>
                <w:lang w:eastAsia="it-IT"/>
              </w:rPr>
            </w:pPr>
          </w:p>
        </w:tc>
        <w:tc>
          <w:tcPr>
            <w:tcW w:w="1350" w:type="pct"/>
          </w:tcPr>
          <w:p w14:paraId="27934A85"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Recommandation faite par la</w:t>
            </w:r>
            <w:r w:rsidRPr="00E265F5">
              <w:rPr>
                <w:rFonts w:asciiTheme="minorHAnsi" w:hAnsiTheme="minorHAnsi" w:cstheme="minorHAnsi"/>
                <w:sz w:val="20"/>
                <w:szCs w:val="20"/>
                <w:lang w:eastAsia="it-IT"/>
              </w:rPr>
              <w:br/>
              <w:t>Cour des comptes italienne</w:t>
            </w:r>
          </w:p>
        </w:tc>
        <w:tc>
          <w:tcPr>
            <w:tcW w:w="1208" w:type="pct"/>
          </w:tcPr>
          <w:p w14:paraId="589EA270"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Commentaires formulés </w:t>
            </w:r>
            <w:r w:rsidRPr="00E265F5">
              <w:rPr>
                <w:rFonts w:asciiTheme="minorHAnsi" w:hAnsiTheme="minorHAnsi" w:cstheme="minorHAnsi"/>
                <w:sz w:val="20"/>
                <w:szCs w:val="20"/>
                <w:lang w:eastAsia="it-IT"/>
              </w:rPr>
              <w:br/>
              <w:t xml:space="preserve">par le Secrétaire général lors de </w:t>
            </w:r>
            <w:r w:rsidRPr="00E265F5">
              <w:rPr>
                <w:rFonts w:asciiTheme="minorHAnsi" w:hAnsiTheme="minorHAnsi" w:cstheme="minorHAnsi"/>
                <w:sz w:val="20"/>
                <w:szCs w:val="20"/>
                <w:lang w:eastAsia="it-IT"/>
              </w:rPr>
              <w:br/>
              <w:t>la publication du rapport</w:t>
            </w:r>
          </w:p>
        </w:tc>
        <w:tc>
          <w:tcPr>
            <w:tcW w:w="1253" w:type="pct"/>
          </w:tcPr>
          <w:p w14:paraId="58CA7F86"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Etat de la situation indiqué </w:t>
            </w:r>
            <w:r w:rsidRPr="00E265F5">
              <w:rPr>
                <w:rFonts w:asciiTheme="minorHAnsi" w:hAnsiTheme="minorHAnsi" w:cstheme="minorHAnsi"/>
                <w:sz w:val="20"/>
                <w:szCs w:val="20"/>
                <w:lang w:eastAsia="it-IT"/>
              </w:rPr>
              <w:br/>
              <w:t xml:space="preserve">par la direction de l'UIT </w:t>
            </w:r>
          </w:p>
        </w:tc>
        <w:tc>
          <w:tcPr>
            <w:tcW w:w="894" w:type="pct"/>
          </w:tcPr>
          <w:p w14:paraId="6B8B138A" w14:textId="77777777" w:rsidR="00607E37" w:rsidRPr="00E265F5" w:rsidRDefault="00607E37" w:rsidP="0071366C">
            <w:pPr>
              <w:pStyle w:val="Tablehead"/>
              <w:rPr>
                <w:rFonts w:asciiTheme="minorHAnsi" w:hAnsiTheme="minorHAnsi" w:cstheme="minorHAnsi"/>
                <w:sz w:val="20"/>
                <w:szCs w:val="20"/>
                <w:lang w:eastAsia="it-IT"/>
              </w:rPr>
            </w:pPr>
            <w:r w:rsidRPr="00E265F5">
              <w:rPr>
                <w:rFonts w:asciiTheme="minorHAnsi" w:hAnsiTheme="minorHAnsi" w:cstheme="minorHAnsi"/>
                <w:sz w:val="20"/>
                <w:szCs w:val="20"/>
                <w:lang w:eastAsia="it-IT"/>
              </w:rPr>
              <w:t>Etat des mesures prises par la direction selon l'évaluation de la Cour des comptes italienne</w:t>
            </w:r>
          </w:p>
        </w:tc>
      </w:tr>
      <w:tr w:rsidR="00607E37" w:rsidRPr="00DD066D" w14:paraId="37FEC857" w14:textId="77777777" w:rsidTr="00396C8A">
        <w:tblPrEx>
          <w:tblLook w:val="0000" w:firstRow="0" w:lastRow="0" w:firstColumn="0" w:lastColumn="0" w:noHBand="0" w:noVBand="0"/>
        </w:tblPrEx>
        <w:tc>
          <w:tcPr>
            <w:tcW w:w="295" w:type="pct"/>
          </w:tcPr>
          <w:p w14:paraId="219E67DC" w14:textId="1AADF665" w:rsidR="00607E37" w:rsidRPr="00E265F5" w:rsidRDefault="00607E37" w:rsidP="00B53AD7">
            <w:pPr>
              <w:pStyle w:val="Tabletext"/>
              <w:rPr>
                <w:rFonts w:asciiTheme="minorHAnsi" w:hAnsiTheme="minorHAnsi" w:cstheme="minorHAnsi"/>
                <w:b/>
                <w:bCs/>
                <w:sz w:val="20"/>
                <w:lang w:eastAsia="it-IT"/>
              </w:rPr>
            </w:pPr>
          </w:p>
        </w:tc>
        <w:tc>
          <w:tcPr>
            <w:tcW w:w="1350" w:type="pct"/>
          </w:tcPr>
          <w:p w14:paraId="550338CA" w14:textId="77777777" w:rsidR="00607E37" w:rsidRPr="00E265F5" w:rsidRDefault="00607E37" w:rsidP="00B53AD7">
            <w:pPr>
              <w:pStyle w:val="Tabletext"/>
              <w:rPr>
                <w:rFonts w:asciiTheme="minorHAnsi" w:hAnsiTheme="minorHAnsi" w:cstheme="minorHAnsi"/>
                <w:b/>
                <w:bCs/>
                <w:i/>
                <w:iCs/>
                <w:sz w:val="20"/>
                <w:lang w:eastAsia="it-IT"/>
              </w:rPr>
            </w:pPr>
          </w:p>
        </w:tc>
        <w:tc>
          <w:tcPr>
            <w:tcW w:w="1208" w:type="pct"/>
          </w:tcPr>
          <w:p w14:paraId="77A67D5D" w14:textId="77777777" w:rsidR="00607E37" w:rsidRPr="00E265F5" w:rsidRDefault="00607E37" w:rsidP="00B53AD7">
            <w:pPr>
              <w:pStyle w:val="Tabletext"/>
              <w:rPr>
                <w:rFonts w:asciiTheme="minorHAnsi" w:hAnsiTheme="minorHAnsi" w:cstheme="minorHAnsi"/>
                <w:sz w:val="20"/>
                <w:lang w:eastAsia="it-IT"/>
              </w:rPr>
            </w:pPr>
          </w:p>
        </w:tc>
        <w:tc>
          <w:tcPr>
            <w:tcW w:w="1253" w:type="pct"/>
          </w:tcPr>
          <w:p w14:paraId="188A459C" w14:textId="77777777" w:rsidR="00607E37" w:rsidRPr="00E265F5" w:rsidRDefault="00607E37" w:rsidP="00607E37">
            <w:pPr>
              <w:pStyle w:val="Tabletext"/>
              <w:keepNext/>
              <w:keepLines/>
              <w:tabs>
                <w:tab w:val="left" w:pos="362"/>
              </w:tabs>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janvier 2016:</w:t>
            </w:r>
          </w:p>
          <w:p w14:paraId="0B9D2035" w14:textId="77777777" w:rsidR="00607E37" w:rsidRPr="00E265F5" w:rsidRDefault="00607E37" w:rsidP="00607E37">
            <w:pPr>
              <w:pStyle w:val="Tabletext"/>
              <w:keepNext/>
              <w:keepLines/>
              <w:tabs>
                <w:tab w:val="left" w:pos="362"/>
              </w:tabs>
              <w:rPr>
                <w:rFonts w:asciiTheme="minorHAnsi" w:hAnsiTheme="minorHAnsi" w:cstheme="minorHAnsi"/>
                <w:sz w:val="20"/>
                <w:szCs w:val="20"/>
                <w:lang w:eastAsia="it-IT"/>
              </w:rPr>
            </w:pPr>
            <w:r w:rsidRPr="00E265F5">
              <w:rPr>
                <w:rFonts w:asciiTheme="minorHAnsi" w:hAnsiTheme="minorHAnsi" w:cstheme="minorHAnsi"/>
                <w:sz w:val="20"/>
                <w:szCs w:val="20"/>
                <w:lang w:eastAsia="it-IT"/>
              </w:rPr>
              <w:t>La numérisation est en cours. Le Département de la gestion des ressources humaines procède actuellement à un examen approfondi de toutes ses procédures et de tous les flux de document, en vue de créer une infrastructure électronique de gestion de l'information centralisée, structurée et sécurisée pour appuyer la fourniture de services de ressources humaines.</w:t>
            </w:r>
          </w:p>
          <w:p w14:paraId="25E93D04" w14:textId="77777777" w:rsidR="00607E37" w:rsidRPr="00E265F5" w:rsidRDefault="00607E37" w:rsidP="00607E37">
            <w:pPr>
              <w:pStyle w:val="Tabletext"/>
              <w:keepNext/>
              <w:keepLines/>
              <w:tabs>
                <w:tab w:val="left" w:pos="362"/>
              </w:tabs>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de fin avril 2017:</w:t>
            </w:r>
          </w:p>
          <w:p w14:paraId="7FD678EC" w14:textId="77777777" w:rsidR="00607E37" w:rsidRPr="00E265F5" w:rsidRDefault="00607E37" w:rsidP="00607E37">
            <w:pPr>
              <w:pStyle w:val="Tabletext"/>
              <w:rPr>
                <w:rFonts w:asciiTheme="minorHAnsi" w:hAnsiTheme="minorHAnsi" w:cstheme="minorHAnsi"/>
                <w:sz w:val="20"/>
                <w:szCs w:val="20"/>
                <w:lang w:eastAsia="it-IT"/>
              </w:rPr>
            </w:pPr>
            <w:r w:rsidRPr="00E265F5">
              <w:rPr>
                <w:rFonts w:asciiTheme="minorHAnsi" w:hAnsiTheme="minorHAnsi" w:cstheme="minorHAnsi"/>
                <w:sz w:val="20"/>
                <w:szCs w:val="20"/>
                <w:lang w:eastAsia="it-IT"/>
              </w:rPr>
              <w:t xml:space="preserve">Le projet est toujours en cours. Comme prévu, un fonctionnaire du Département de la gestion des ressources humaines travaille actuellement à ce projet. </w:t>
            </w:r>
          </w:p>
          <w:p w14:paraId="61E9F7F5" w14:textId="77777777" w:rsidR="00607E37" w:rsidRPr="00E265F5" w:rsidRDefault="00607E37" w:rsidP="00607E37">
            <w:pPr>
              <w:rPr>
                <w:rFonts w:asciiTheme="minorHAnsi" w:hAnsiTheme="minorHAnsi" w:cstheme="minorHAnsi"/>
                <w:sz w:val="20"/>
                <w:szCs w:val="20"/>
                <w:lang w:eastAsia="it-IT"/>
              </w:rPr>
            </w:pPr>
            <w:r w:rsidRPr="00E265F5">
              <w:rPr>
                <w:rFonts w:asciiTheme="minorHAnsi" w:hAnsiTheme="minorHAnsi" w:cstheme="minorHAnsi"/>
                <w:b/>
                <w:bCs/>
                <w:sz w:val="20"/>
                <w:szCs w:val="20"/>
                <w:lang w:eastAsia="it-IT"/>
              </w:rPr>
              <w:t>Mise à jour d'avril 2018:</w:t>
            </w:r>
          </w:p>
          <w:p w14:paraId="49244CC6" w14:textId="67DA6684" w:rsidR="00607E37" w:rsidRPr="00E265F5" w:rsidRDefault="00607E37" w:rsidP="00607E37">
            <w:pPr>
              <w:pStyle w:val="Tabletext"/>
              <w:rPr>
                <w:rFonts w:asciiTheme="minorHAnsi" w:hAnsiTheme="minorHAnsi" w:cstheme="minorHAnsi"/>
                <w:sz w:val="20"/>
                <w:lang w:eastAsia="it-IT"/>
              </w:rPr>
            </w:pPr>
            <w:r w:rsidRPr="00E265F5">
              <w:rPr>
                <w:rFonts w:asciiTheme="minorHAnsi" w:hAnsiTheme="minorHAnsi" w:cstheme="minorHAnsi"/>
                <w:sz w:val="20"/>
                <w:szCs w:val="20"/>
                <w:lang w:eastAsia="it-IT"/>
              </w:rPr>
              <w:t>Les travaux préparatoires relatifs à la migration des données ont été achevés. Toutetois, des discussions avec le Département des services informatiques doivent être menées au sujet de la mise en oeuvre d'un système et d'une architecture robustes pour la gestion des informations, notamment la possibilité d'une mise en relation avec le système SAP ERP HR.</w:t>
            </w:r>
          </w:p>
        </w:tc>
        <w:tc>
          <w:tcPr>
            <w:tcW w:w="894" w:type="pct"/>
          </w:tcPr>
          <w:p w14:paraId="10A228AA" w14:textId="77777777" w:rsidR="00607E37" w:rsidRPr="00E265F5" w:rsidRDefault="00607E37" w:rsidP="00B53AD7">
            <w:pPr>
              <w:pStyle w:val="Tabletext"/>
              <w:rPr>
                <w:rFonts w:asciiTheme="minorHAnsi" w:hAnsiTheme="minorHAnsi" w:cstheme="minorHAnsi"/>
                <w:sz w:val="20"/>
                <w:lang w:eastAsia="it-IT"/>
              </w:rPr>
            </w:pPr>
          </w:p>
        </w:tc>
      </w:tr>
    </w:tbl>
    <w:p w14:paraId="33307083" w14:textId="77777777" w:rsidR="005D254F" w:rsidRPr="00DD066D" w:rsidRDefault="005D254F" w:rsidP="00B53AD7">
      <w:pPr>
        <w:adjustRightInd/>
        <w:rPr>
          <w:rFonts w:ascii="Times New Roman" w:hAnsi="Times New Roman"/>
          <w:lang w:eastAsia="it-IT"/>
        </w:rPr>
      </w:pPr>
    </w:p>
    <w:p w14:paraId="64593338" w14:textId="77777777" w:rsidR="005D254F" w:rsidRPr="00DD066D" w:rsidRDefault="005D254F" w:rsidP="00B53AD7">
      <w:pPr>
        <w:adjustRightInd/>
        <w:spacing w:before="0" w:after="200"/>
        <w:rPr>
          <w:rFonts w:ascii="Times New Roman" w:hAnsi="Times New Roman"/>
          <w:lang w:eastAsia="it-IT"/>
        </w:rPr>
        <w:sectPr w:rsidR="005D254F" w:rsidRPr="00DD066D" w:rsidSect="00231DB7">
          <w:headerReference w:type="even" r:id="rId21"/>
          <w:headerReference w:type="default" r:id="rId22"/>
          <w:pgSz w:w="16840" w:h="11907" w:orient="landscape" w:code="9"/>
          <w:pgMar w:top="624" w:right="720" w:bottom="624" w:left="720" w:header="624" w:footer="624" w:gutter="0"/>
          <w:cols w:space="720"/>
          <w:noEndnote/>
          <w:docGrid w:linePitch="326"/>
        </w:sectPr>
      </w:pPr>
    </w:p>
    <w:p w14:paraId="4E94E0DF" w14:textId="0FBA3DA4" w:rsidR="005D254F" w:rsidRPr="00DD066D" w:rsidRDefault="007C598D" w:rsidP="00F33205">
      <w:pPr>
        <w:pStyle w:val="Annextitle"/>
        <w:rPr>
          <w:lang w:eastAsia="it-IT"/>
        </w:rPr>
      </w:pPr>
      <w:bookmarkStart w:id="493" w:name="AnnexeII"/>
      <w:bookmarkStart w:id="494" w:name="_Toc419407215"/>
      <w:bookmarkStart w:id="495" w:name="_Toc452140249"/>
      <w:bookmarkEnd w:id="493"/>
      <w:r>
        <w:rPr>
          <w:lang w:eastAsia="it-IT"/>
        </w:rPr>
        <w:t>Annexe</w:t>
      </w:r>
      <w:r w:rsidR="0018444B">
        <w:rPr>
          <w:lang w:eastAsia="it-IT"/>
        </w:rPr>
        <w:t> </w:t>
      </w:r>
      <w:r>
        <w:rPr>
          <w:lang w:eastAsia="it-IT"/>
        </w:rPr>
        <w:t xml:space="preserve">II </w:t>
      </w:r>
      <w:r w:rsidR="0018444B">
        <w:rPr>
          <w:lang w:eastAsia="it-IT"/>
        </w:rPr>
        <w:t>—</w:t>
      </w:r>
      <w:r>
        <w:rPr>
          <w:lang w:eastAsia="it-IT"/>
        </w:rPr>
        <w:t xml:space="preserve"> </w:t>
      </w:r>
      <w:r w:rsidR="005D254F" w:rsidRPr="00DD066D">
        <w:rPr>
          <w:lang w:eastAsia="it-IT"/>
        </w:rPr>
        <w:t>Suivi des suggestions de nos rapports précédents</w:t>
      </w:r>
      <w:bookmarkEnd w:id="494"/>
      <w:bookmarkEnd w:id="495"/>
    </w:p>
    <w:tbl>
      <w:tblPr>
        <w:tblW w:w="5530" w:type="pct"/>
        <w:jc w:val="center"/>
        <w:tblCellMar>
          <w:left w:w="85" w:type="dxa"/>
          <w:right w:w="85" w:type="dxa"/>
        </w:tblCellMar>
        <w:tblLook w:val="0000" w:firstRow="0" w:lastRow="0" w:firstColumn="0" w:lastColumn="0" w:noHBand="0" w:noVBand="0"/>
      </w:tblPr>
      <w:tblGrid>
        <w:gridCol w:w="1077"/>
        <w:gridCol w:w="4052"/>
        <w:gridCol w:w="3841"/>
        <w:gridCol w:w="3891"/>
        <w:gridCol w:w="2616"/>
      </w:tblGrid>
      <w:tr w:rsidR="00607E37" w:rsidRPr="00F33205" w14:paraId="17BF3F95" w14:textId="77777777" w:rsidTr="00144AFF">
        <w:trPr>
          <w:cantSplit/>
          <w:tblHeader/>
          <w:jc w:val="center"/>
        </w:trPr>
        <w:tc>
          <w:tcPr>
            <w:tcW w:w="348" w:type="pct"/>
            <w:tcBorders>
              <w:top w:val="single" w:sz="4" w:space="0" w:color="auto"/>
              <w:left w:val="single" w:sz="4" w:space="0" w:color="auto"/>
              <w:bottom w:val="single" w:sz="4" w:space="0" w:color="auto"/>
              <w:right w:val="single" w:sz="4" w:space="0" w:color="auto"/>
            </w:tcBorders>
          </w:tcPr>
          <w:p w14:paraId="408399D6" w14:textId="77777777" w:rsidR="005D254F" w:rsidRPr="00F33205" w:rsidRDefault="005D254F" w:rsidP="00B53AD7">
            <w:pPr>
              <w:pStyle w:val="Tablehead"/>
              <w:rPr>
                <w:rFonts w:asciiTheme="minorHAnsi" w:hAnsiTheme="minorHAnsi" w:cstheme="minorHAnsi"/>
                <w:sz w:val="20"/>
              </w:rPr>
            </w:pPr>
          </w:p>
        </w:tc>
        <w:tc>
          <w:tcPr>
            <w:tcW w:w="1309" w:type="pct"/>
            <w:tcBorders>
              <w:top w:val="single" w:sz="4" w:space="0" w:color="auto"/>
              <w:left w:val="single" w:sz="4" w:space="0" w:color="auto"/>
              <w:bottom w:val="single" w:sz="4" w:space="0" w:color="auto"/>
              <w:right w:val="single" w:sz="4" w:space="0" w:color="auto"/>
            </w:tcBorders>
          </w:tcPr>
          <w:p w14:paraId="13B183E2" w14:textId="270BCECF" w:rsidR="005D254F" w:rsidRPr="00F33205" w:rsidRDefault="005D254F" w:rsidP="00B53AD7">
            <w:pPr>
              <w:pStyle w:val="Tablehead"/>
              <w:rPr>
                <w:rFonts w:asciiTheme="minorHAnsi" w:hAnsiTheme="minorHAnsi" w:cstheme="minorHAnsi"/>
                <w:sz w:val="20"/>
              </w:rPr>
            </w:pPr>
            <w:r w:rsidRPr="00F33205">
              <w:rPr>
                <w:rFonts w:asciiTheme="minorHAnsi" w:hAnsiTheme="minorHAnsi" w:cstheme="minorHAnsi"/>
                <w:sz w:val="20"/>
              </w:rPr>
              <w:t xml:space="preserve">Suggestion faite par la Cour </w:t>
            </w:r>
            <w:r w:rsidR="00607E37">
              <w:rPr>
                <w:rFonts w:asciiTheme="minorHAnsi" w:hAnsiTheme="minorHAnsi" w:cstheme="minorHAnsi"/>
                <w:sz w:val="20"/>
              </w:rPr>
              <w:br/>
            </w:r>
            <w:r w:rsidRPr="00F33205">
              <w:rPr>
                <w:rFonts w:asciiTheme="minorHAnsi" w:hAnsiTheme="minorHAnsi" w:cstheme="minorHAnsi"/>
                <w:sz w:val="20"/>
              </w:rPr>
              <w:t>des comptes italienne</w:t>
            </w:r>
          </w:p>
        </w:tc>
        <w:tc>
          <w:tcPr>
            <w:tcW w:w="1241" w:type="pct"/>
            <w:tcBorders>
              <w:top w:val="single" w:sz="4" w:space="0" w:color="auto"/>
              <w:left w:val="single" w:sz="4" w:space="0" w:color="auto"/>
              <w:bottom w:val="single" w:sz="4" w:space="0" w:color="auto"/>
              <w:right w:val="single" w:sz="4" w:space="0" w:color="auto"/>
            </w:tcBorders>
          </w:tcPr>
          <w:p w14:paraId="1C1D201D" w14:textId="77777777" w:rsidR="005D254F" w:rsidRPr="00F33205" w:rsidRDefault="005D254F" w:rsidP="00B53AD7">
            <w:pPr>
              <w:pStyle w:val="Tablehead"/>
              <w:rPr>
                <w:rFonts w:asciiTheme="minorHAnsi" w:hAnsiTheme="minorHAnsi" w:cstheme="minorHAnsi"/>
                <w:sz w:val="20"/>
              </w:rPr>
            </w:pPr>
            <w:r w:rsidRPr="00F33205">
              <w:rPr>
                <w:rFonts w:asciiTheme="minorHAnsi" w:hAnsiTheme="minorHAnsi" w:cstheme="minorHAnsi"/>
                <w:sz w:val="20"/>
              </w:rPr>
              <w:t>Commentaires formulés par le Secrétaire général lors de la publication du rapport</w:t>
            </w:r>
          </w:p>
        </w:tc>
        <w:tc>
          <w:tcPr>
            <w:tcW w:w="1257" w:type="pct"/>
            <w:tcBorders>
              <w:top w:val="single" w:sz="4" w:space="0" w:color="auto"/>
              <w:left w:val="single" w:sz="4" w:space="0" w:color="auto"/>
              <w:bottom w:val="single" w:sz="4" w:space="0" w:color="auto"/>
              <w:right w:val="single" w:sz="4" w:space="0" w:color="auto"/>
            </w:tcBorders>
          </w:tcPr>
          <w:p w14:paraId="2465B60E" w14:textId="303A0521" w:rsidR="005D254F" w:rsidRPr="00F33205" w:rsidRDefault="005D254F" w:rsidP="00B53AD7">
            <w:pPr>
              <w:pStyle w:val="Tablehead"/>
              <w:rPr>
                <w:rFonts w:asciiTheme="minorHAnsi" w:hAnsiTheme="minorHAnsi" w:cstheme="minorHAnsi"/>
                <w:sz w:val="20"/>
              </w:rPr>
            </w:pPr>
            <w:r w:rsidRPr="00F33205">
              <w:rPr>
                <w:rFonts w:asciiTheme="minorHAnsi" w:hAnsiTheme="minorHAnsi" w:cstheme="minorHAnsi"/>
                <w:sz w:val="20"/>
              </w:rPr>
              <w:t xml:space="preserve">Etat de la situation indiqué </w:t>
            </w:r>
            <w:r w:rsidR="00607E37">
              <w:rPr>
                <w:rFonts w:asciiTheme="minorHAnsi" w:hAnsiTheme="minorHAnsi" w:cstheme="minorHAnsi"/>
                <w:sz w:val="20"/>
              </w:rPr>
              <w:br/>
            </w:r>
            <w:r w:rsidRPr="00F33205">
              <w:rPr>
                <w:rFonts w:asciiTheme="minorHAnsi" w:hAnsiTheme="minorHAnsi" w:cstheme="minorHAnsi"/>
                <w:sz w:val="20"/>
              </w:rPr>
              <w:t>par la direction de l</w:t>
            </w:r>
            <w:r w:rsidR="001B30ED" w:rsidRPr="00F33205">
              <w:rPr>
                <w:rFonts w:asciiTheme="minorHAnsi" w:hAnsiTheme="minorHAnsi" w:cstheme="minorHAnsi"/>
                <w:sz w:val="20"/>
              </w:rPr>
              <w:t>'</w:t>
            </w:r>
            <w:r w:rsidRPr="00F33205">
              <w:rPr>
                <w:rFonts w:asciiTheme="minorHAnsi" w:hAnsiTheme="minorHAnsi" w:cstheme="minorHAnsi"/>
                <w:sz w:val="20"/>
              </w:rPr>
              <w:t>UIT</w:t>
            </w:r>
          </w:p>
        </w:tc>
        <w:tc>
          <w:tcPr>
            <w:tcW w:w="845" w:type="pct"/>
            <w:tcBorders>
              <w:top w:val="single" w:sz="4" w:space="0" w:color="auto"/>
              <w:left w:val="single" w:sz="4" w:space="0" w:color="auto"/>
              <w:bottom w:val="single" w:sz="4" w:space="0" w:color="auto"/>
              <w:right w:val="single" w:sz="4" w:space="0" w:color="auto"/>
            </w:tcBorders>
          </w:tcPr>
          <w:p w14:paraId="6D05EF6E" w14:textId="67B6A76B" w:rsidR="005D254F" w:rsidRPr="00F33205" w:rsidRDefault="005D254F" w:rsidP="00B53AD7">
            <w:pPr>
              <w:pStyle w:val="Tablehead"/>
              <w:rPr>
                <w:rFonts w:asciiTheme="minorHAnsi" w:hAnsiTheme="minorHAnsi" w:cstheme="minorHAnsi"/>
                <w:sz w:val="20"/>
              </w:rPr>
            </w:pPr>
            <w:r w:rsidRPr="00F33205">
              <w:rPr>
                <w:rFonts w:asciiTheme="minorHAnsi" w:hAnsiTheme="minorHAnsi" w:cstheme="minorHAnsi"/>
                <w:sz w:val="20"/>
              </w:rPr>
              <w:t>Etat des mesures prises par la direction selon l</w:t>
            </w:r>
            <w:r w:rsidR="001B30ED" w:rsidRPr="00F33205">
              <w:rPr>
                <w:rFonts w:asciiTheme="minorHAnsi" w:hAnsiTheme="minorHAnsi" w:cstheme="minorHAnsi"/>
                <w:sz w:val="20"/>
              </w:rPr>
              <w:t>'</w:t>
            </w:r>
            <w:r w:rsidRPr="00F33205">
              <w:rPr>
                <w:rFonts w:asciiTheme="minorHAnsi" w:hAnsiTheme="minorHAnsi" w:cstheme="minorHAnsi"/>
                <w:sz w:val="20"/>
              </w:rPr>
              <w:t>évaluation de la Cour des comptes italienne</w:t>
            </w:r>
          </w:p>
        </w:tc>
      </w:tr>
      <w:tr w:rsidR="00607E37" w:rsidRPr="00F33205" w14:paraId="69BE668D" w14:textId="77777777" w:rsidTr="00144AFF">
        <w:trPr>
          <w:cantSplit/>
          <w:jc w:val="center"/>
        </w:trPr>
        <w:tc>
          <w:tcPr>
            <w:tcW w:w="348" w:type="pct"/>
            <w:tcBorders>
              <w:top w:val="single" w:sz="4" w:space="0" w:color="auto"/>
              <w:left w:val="single" w:sz="4" w:space="0" w:color="auto"/>
              <w:bottom w:val="single" w:sz="4" w:space="0" w:color="auto"/>
              <w:right w:val="single" w:sz="4" w:space="0" w:color="auto"/>
            </w:tcBorders>
          </w:tcPr>
          <w:p w14:paraId="1EF6EAE8" w14:textId="77777777"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1/2016</w:t>
            </w:r>
          </w:p>
        </w:tc>
        <w:tc>
          <w:tcPr>
            <w:tcW w:w="1309" w:type="pct"/>
            <w:tcBorders>
              <w:top w:val="single" w:sz="4" w:space="0" w:color="auto"/>
              <w:left w:val="single" w:sz="4" w:space="0" w:color="auto"/>
              <w:bottom w:val="single" w:sz="4" w:space="0" w:color="auto"/>
              <w:right w:val="single" w:sz="4" w:space="0" w:color="auto"/>
            </w:tcBorders>
          </w:tcPr>
          <w:p w14:paraId="019E8D78" w14:textId="77777777" w:rsidR="005D254F" w:rsidRPr="00F33205" w:rsidRDefault="00231DB7" w:rsidP="00B53AD7">
            <w:pPr>
              <w:widowControl w:val="0"/>
              <w:kinsoku w:val="0"/>
              <w:rPr>
                <w:rFonts w:asciiTheme="minorHAnsi" w:hAnsiTheme="minorHAnsi" w:cstheme="minorHAnsi"/>
                <w:b/>
                <w:bCs/>
                <w:i/>
                <w:sz w:val="20"/>
                <w:lang w:eastAsia="it-IT"/>
              </w:rPr>
            </w:pPr>
            <w:bookmarkStart w:id="496" w:name="_Toc482176229"/>
            <w:bookmarkStart w:id="497" w:name="_Toc482967248"/>
            <w:r w:rsidRPr="00F33205">
              <w:rPr>
                <w:rFonts w:asciiTheme="minorHAnsi" w:hAnsiTheme="minorHAnsi" w:cstheme="minorHAnsi"/>
                <w:b/>
                <w:bCs/>
                <w:i/>
                <w:iCs/>
                <w:sz w:val="20"/>
                <w:lang w:eastAsia="it-IT"/>
              </w:rPr>
              <w:t>Responsabilit</w:t>
            </w:r>
            <w:bookmarkEnd w:id="496"/>
            <w:r w:rsidRPr="00F33205">
              <w:rPr>
                <w:rFonts w:asciiTheme="minorHAnsi" w:hAnsiTheme="minorHAnsi" w:cstheme="minorHAnsi"/>
                <w:b/>
                <w:bCs/>
                <w:i/>
                <w:iCs/>
                <w:sz w:val="20"/>
                <w:lang w:eastAsia="it-IT"/>
              </w:rPr>
              <w:t>é financière</w:t>
            </w:r>
            <w:bookmarkEnd w:id="497"/>
          </w:p>
          <w:p w14:paraId="3AA5D723" w14:textId="43CBC751" w:rsidR="005D254F" w:rsidRPr="00F33205" w:rsidRDefault="00231DB7" w:rsidP="00B53AD7">
            <w:pPr>
              <w:widowControl w:val="0"/>
              <w:kinsoku w:val="0"/>
              <w:rPr>
                <w:rFonts w:asciiTheme="minorHAnsi" w:hAnsiTheme="minorHAnsi" w:cstheme="minorHAnsi"/>
                <w:bCs/>
                <w:sz w:val="20"/>
                <w:lang w:eastAsia="it-IT"/>
              </w:rPr>
            </w:pPr>
            <w:r w:rsidRPr="00F33205">
              <w:rPr>
                <w:rFonts w:asciiTheme="minorHAnsi" w:hAnsiTheme="minorHAnsi" w:cstheme="minorHAnsi"/>
                <w:sz w:val="20"/>
                <w:u w:val="single"/>
                <w:lang w:eastAsia="it-IT"/>
              </w:rPr>
              <w:t>Nous suggérons</w:t>
            </w:r>
            <w:r w:rsidRPr="00F33205">
              <w:rPr>
                <w:rFonts w:asciiTheme="minorHAnsi" w:hAnsiTheme="minorHAnsi" w:cstheme="minorHAnsi"/>
                <w:sz w:val="20"/>
                <w:lang w:eastAsia="it-IT"/>
              </w:rPr>
              <w:t xml:space="preserve"> donc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envisager la possibilité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établir une procédure pour pouvoir récupérer les montants que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pourrait être condamnée par le Tribunal administratif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OIT à verser à un fonctionnaire, en raison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une faute grave commise par un autre fonctionnaire.</w:t>
            </w:r>
          </w:p>
        </w:tc>
        <w:tc>
          <w:tcPr>
            <w:tcW w:w="1241" w:type="pct"/>
            <w:tcBorders>
              <w:top w:val="single" w:sz="4" w:space="0" w:color="auto"/>
              <w:left w:val="single" w:sz="4" w:space="0" w:color="auto"/>
              <w:bottom w:val="single" w:sz="4" w:space="0" w:color="auto"/>
              <w:right w:val="single" w:sz="4" w:space="0" w:color="auto"/>
            </w:tcBorders>
          </w:tcPr>
          <w:p w14:paraId="073B2972" w14:textId="30CCA6FC" w:rsidR="005D254F" w:rsidRPr="00F33205" w:rsidRDefault="00231DB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Nous sommes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accord avec cette suggestion. La direction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attirera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attention des fonctionnaires à tous les niveaux sur les conséquences possibles, en particulier en ce qui concerne la responsabilité financière potentielle,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une faute grave commise envers un autre fonctionnaire et prendra des mesures appropriées dans son cadre réglementaire.</w:t>
            </w:r>
          </w:p>
        </w:tc>
        <w:tc>
          <w:tcPr>
            <w:tcW w:w="1257" w:type="pct"/>
            <w:tcBorders>
              <w:top w:val="single" w:sz="4" w:space="0" w:color="auto"/>
              <w:left w:val="single" w:sz="4" w:space="0" w:color="auto"/>
              <w:bottom w:val="single" w:sz="4" w:space="0" w:color="auto"/>
              <w:right w:val="single" w:sz="4" w:space="0" w:color="auto"/>
            </w:tcBorders>
          </w:tcPr>
          <w:p w14:paraId="4EBFEE37" w14:textId="416AC23D"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0B7D2B46" w14:textId="371F48E8" w:rsidR="005D254F" w:rsidRPr="00F33205" w:rsidRDefault="00A10BED" w:rsidP="00CD06C1">
            <w:pPr>
              <w:widowControl w:val="0"/>
              <w:kinsoku w:val="0"/>
              <w:rPr>
                <w:rFonts w:asciiTheme="minorHAnsi" w:hAnsiTheme="minorHAnsi" w:cstheme="minorHAnsi"/>
                <w:b/>
                <w:sz w:val="20"/>
                <w:lang w:eastAsia="it-IT"/>
              </w:rPr>
            </w:pPr>
            <w:r w:rsidRPr="00F33205">
              <w:rPr>
                <w:rFonts w:asciiTheme="minorHAnsi" w:hAnsiTheme="minorHAnsi" w:cstheme="minorHAnsi"/>
                <w:sz w:val="20"/>
                <w:lang w:eastAsia="it-IT"/>
              </w:rPr>
              <w:t>La direction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a pris note de cette sugges</w:t>
            </w:r>
            <w:r w:rsidR="007C598D" w:rsidRPr="00F33205">
              <w:rPr>
                <w:rFonts w:asciiTheme="minorHAnsi" w:hAnsiTheme="minorHAnsi" w:cstheme="minorHAnsi"/>
                <w:sz w:val="20"/>
                <w:lang w:eastAsia="it-IT"/>
              </w:rPr>
              <w:t>tion. Nous proposons de clore</w:t>
            </w:r>
            <w:r w:rsidRPr="00F33205">
              <w:rPr>
                <w:rFonts w:asciiTheme="minorHAnsi" w:hAnsiTheme="minorHAnsi" w:cstheme="minorHAnsi"/>
                <w:sz w:val="20"/>
                <w:lang w:eastAsia="it-IT"/>
              </w:rPr>
              <w:t xml:space="preserve"> cette suggestion.</w:t>
            </w:r>
          </w:p>
        </w:tc>
        <w:tc>
          <w:tcPr>
            <w:tcW w:w="845" w:type="pct"/>
            <w:tcBorders>
              <w:top w:val="single" w:sz="4" w:space="0" w:color="auto"/>
              <w:left w:val="single" w:sz="4" w:space="0" w:color="auto"/>
              <w:bottom w:val="single" w:sz="4" w:space="0" w:color="auto"/>
              <w:right w:val="single" w:sz="4" w:space="0" w:color="auto"/>
            </w:tcBorders>
          </w:tcPr>
          <w:p w14:paraId="5BF1E3D6" w14:textId="1B40ECAF" w:rsidR="005D254F" w:rsidRPr="00F33205" w:rsidRDefault="00ED3CB9"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Clos</w:t>
            </w:r>
            <w:r w:rsidR="00F33205">
              <w:rPr>
                <w:rFonts w:asciiTheme="minorHAnsi" w:hAnsiTheme="minorHAnsi" w:cstheme="minorHAnsi"/>
                <w:sz w:val="20"/>
                <w:lang w:eastAsia="it-IT"/>
              </w:rPr>
              <w:t>.</w:t>
            </w:r>
          </w:p>
        </w:tc>
      </w:tr>
      <w:tr w:rsidR="00607E37" w:rsidRPr="00F33205" w14:paraId="10EDA479" w14:textId="77777777" w:rsidTr="00144AFF">
        <w:trPr>
          <w:cantSplit/>
          <w:jc w:val="center"/>
        </w:trPr>
        <w:tc>
          <w:tcPr>
            <w:tcW w:w="348" w:type="pct"/>
            <w:tcBorders>
              <w:top w:val="single" w:sz="4" w:space="0" w:color="auto"/>
              <w:left w:val="single" w:sz="4" w:space="0" w:color="auto"/>
              <w:bottom w:val="single" w:sz="4" w:space="0" w:color="auto"/>
              <w:right w:val="single" w:sz="4" w:space="0" w:color="auto"/>
            </w:tcBorders>
          </w:tcPr>
          <w:p w14:paraId="487118F2" w14:textId="77777777"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2/2016</w:t>
            </w:r>
          </w:p>
        </w:tc>
        <w:tc>
          <w:tcPr>
            <w:tcW w:w="1309" w:type="pct"/>
            <w:tcBorders>
              <w:top w:val="single" w:sz="4" w:space="0" w:color="auto"/>
              <w:left w:val="single" w:sz="4" w:space="0" w:color="auto"/>
              <w:bottom w:val="single" w:sz="4" w:space="0" w:color="auto"/>
              <w:right w:val="single" w:sz="4" w:space="0" w:color="auto"/>
            </w:tcBorders>
          </w:tcPr>
          <w:p w14:paraId="35D6E111" w14:textId="747C342D" w:rsidR="005D254F" w:rsidRPr="00F33205" w:rsidRDefault="00231DB7" w:rsidP="00B53AD7">
            <w:pPr>
              <w:widowControl w:val="0"/>
              <w:kinsoku w:val="0"/>
              <w:rPr>
                <w:rFonts w:asciiTheme="minorHAnsi" w:hAnsiTheme="minorHAnsi" w:cstheme="minorHAnsi"/>
                <w:b/>
                <w:bCs/>
                <w:i/>
                <w:sz w:val="20"/>
                <w:lang w:eastAsia="it-IT"/>
              </w:rPr>
            </w:pPr>
            <w:bookmarkStart w:id="498" w:name="_Toc482176248"/>
            <w:bookmarkStart w:id="499" w:name="_Toc482958337"/>
            <w:r w:rsidRPr="00F33205">
              <w:rPr>
                <w:rFonts w:asciiTheme="minorHAnsi" w:hAnsiTheme="minorHAnsi" w:cstheme="minorHAnsi"/>
                <w:b/>
                <w:bCs/>
                <w:i/>
                <w:iCs/>
                <w:sz w:val="20"/>
                <w:lang w:eastAsia="it-IT"/>
              </w:rPr>
              <w:t>Adoption d</w:t>
            </w:r>
            <w:r w:rsidR="001B30ED" w:rsidRPr="00F33205">
              <w:rPr>
                <w:rFonts w:asciiTheme="minorHAnsi" w:hAnsiTheme="minorHAnsi" w:cstheme="minorHAnsi"/>
                <w:b/>
                <w:bCs/>
                <w:i/>
                <w:iCs/>
                <w:sz w:val="20"/>
                <w:lang w:eastAsia="it-IT"/>
              </w:rPr>
              <w:t>'</w:t>
            </w:r>
            <w:r w:rsidRPr="00F33205">
              <w:rPr>
                <w:rFonts w:asciiTheme="minorHAnsi" w:hAnsiTheme="minorHAnsi" w:cstheme="minorHAnsi"/>
                <w:b/>
                <w:bCs/>
                <w:i/>
                <w:iCs/>
                <w:sz w:val="20"/>
                <w:lang w:eastAsia="it-IT"/>
              </w:rPr>
              <w:t>un manuel sur la passation des marchés et d</w:t>
            </w:r>
            <w:r w:rsidR="001B30ED" w:rsidRPr="00F33205">
              <w:rPr>
                <w:rFonts w:asciiTheme="minorHAnsi" w:hAnsiTheme="minorHAnsi" w:cstheme="minorHAnsi"/>
                <w:b/>
                <w:bCs/>
                <w:i/>
                <w:iCs/>
                <w:sz w:val="20"/>
                <w:lang w:eastAsia="it-IT"/>
              </w:rPr>
              <w:t>'</w:t>
            </w:r>
            <w:r w:rsidRPr="00F33205">
              <w:rPr>
                <w:rFonts w:asciiTheme="minorHAnsi" w:hAnsiTheme="minorHAnsi" w:cstheme="minorHAnsi"/>
                <w:b/>
                <w:bCs/>
                <w:i/>
                <w:iCs/>
                <w:sz w:val="20"/>
                <w:lang w:eastAsia="it-IT"/>
              </w:rPr>
              <w:t xml:space="preserve">une procédure codifiée </w:t>
            </w:r>
            <w:bookmarkEnd w:id="498"/>
            <w:r w:rsidRPr="00F33205">
              <w:rPr>
                <w:rFonts w:asciiTheme="minorHAnsi" w:hAnsiTheme="minorHAnsi" w:cstheme="minorHAnsi"/>
                <w:b/>
                <w:bCs/>
                <w:i/>
                <w:iCs/>
                <w:sz w:val="20"/>
                <w:lang w:eastAsia="it-IT"/>
              </w:rPr>
              <w:t>à l</w:t>
            </w:r>
            <w:r w:rsidR="001B30ED" w:rsidRPr="00F33205">
              <w:rPr>
                <w:rFonts w:asciiTheme="minorHAnsi" w:hAnsiTheme="minorHAnsi" w:cstheme="minorHAnsi"/>
                <w:b/>
                <w:bCs/>
                <w:i/>
                <w:iCs/>
                <w:sz w:val="20"/>
                <w:lang w:eastAsia="it-IT"/>
              </w:rPr>
              <w:t>'</w:t>
            </w:r>
            <w:r w:rsidRPr="00F33205">
              <w:rPr>
                <w:rFonts w:asciiTheme="minorHAnsi" w:hAnsiTheme="minorHAnsi" w:cstheme="minorHAnsi"/>
                <w:b/>
                <w:bCs/>
                <w:i/>
                <w:iCs/>
                <w:sz w:val="20"/>
                <w:lang w:eastAsia="it-IT"/>
              </w:rPr>
              <w:t>UIT</w:t>
            </w:r>
            <w:bookmarkEnd w:id="499"/>
          </w:p>
          <w:p w14:paraId="0F852B43" w14:textId="1C7DB912" w:rsidR="005D254F" w:rsidRPr="00F33205" w:rsidRDefault="00231DB7" w:rsidP="00B53AD7">
            <w:pPr>
              <w:widowControl w:val="0"/>
              <w:kinsoku w:val="0"/>
              <w:rPr>
                <w:rFonts w:asciiTheme="minorHAnsi" w:hAnsiTheme="minorHAnsi" w:cstheme="minorHAnsi"/>
                <w:bCs/>
                <w:sz w:val="20"/>
                <w:lang w:eastAsia="it-IT"/>
              </w:rPr>
            </w:pPr>
            <w:r w:rsidRPr="00F33205">
              <w:rPr>
                <w:rFonts w:asciiTheme="minorHAnsi" w:hAnsiTheme="minorHAnsi" w:cstheme="minorHAnsi"/>
                <w:sz w:val="20"/>
                <w:lang w:eastAsia="it-IT"/>
              </w:rPr>
              <w:t xml:space="preserve">En outre, </w:t>
            </w:r>
            <w:r w:rsidRPr="00F33205">
              <w:rPr>
                <w:rFonts w:asciiTheme="minorHAnsi" w:hAnsiTheme="minorHAnsi" w:cstheme="minorHAnsi"/>
                <w:sz w:val="20"/>
                <w:u w:val="single"/>
                <w:lang w:eastAsia="it-IT"/>
              </w:rPr>
              <w:t>nous suggérons</w:t>
            </w:r>
            <w:r w:rsidRPr="00F33205">
              <w:rPr>
                <w:rFonts w:asciiTheme="minorHAnsi" w:hAnsiTheme="minorHAnsi" w:cstheme="minorHAnsi"/>
                <w:sz w:val="20"/>
                <w:lang w:eastAsia="it-IT"/>
              </w:rPr>
              <w:t xml:space="preserve"> que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fixe à au moins trois le nombre de devis à demander, afin de garantir la bonne gestion financière du processus.</w:t>
            </w:r>
          </w:p>
        </w:tc>
        <w:tc>
          <w:tcPr>
            <w:tcW w:w="1241" w:type="pct"/>
            <w:tcBorders>
              <w:top w:val="single" w:sz="4" w:space="0" w:color="auto"/>
              <w:left w:val="single" w:sz="4" w:space="0" w:color="auto"/>
              <w:bottom w:val="single" w:sz="4" w:space="0" w:color="auto"/>
              <w:right w:val="single" w:sz="4" w:space="0" w:color="auto"/>
            </w:tcBorders>
          </w:tcPr>
          <w:p w14:paraId="02D953E7" w14:textId="727BDE72" w:rsidR="005D254F" w:rsidRPr="00F33205" w:rsidRDefault="00231DB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fait sienne cette suggestion. Il en sera tenu compte dans le nouveau manuel sur la passation des marchés.</w:t>
            </w:r>
          </w:p>
        </w:tc>
        <w:tc>
          <w:tcPr>
            <w:tcW w:w="1257" w:type="pct"/>
            <w:tcBorders>
              <w:top w:val="single" w:sz="4" w:space="0" w:color="auto"/>
              <w:left w:val="single" w:sz="4" w:space="0" w:color="auto"/>
              <w:bottom w:val="single" w:sz="4" w:space="0" w:color="auto"/>
              <w:right w:val="single" w:sz="4" w:space="0" w:color="auto"/>
            </w:tcBorders>
          </w:tcPr>
          <w:p w14:paraId="34229517" w14:textId="64576E25"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26FDB237" w14:textId="77777777"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sz w:val="20"/>
                <w:lang w:eastAsia="it-IT"/>
              </w:rPr>
              <w:t>En cours.</w:t>
            </w:r>
          </w:p>
          <w:p w14:paraId="716F87B6" w14:textId="1399BF94" w:rsidR="005D254F" w:rsidRPr="00F33205" w:rsidRDefault="00A10BED" w:rsidP="00B53AD7">
            <w:pPr>
              <w:widowControl w:val="0"/>
              <w:kinsoku w:val="0"/>
              <w:rPr>
                <w:rFonts w:asciiTheme="minorHAnsi" w:hAnsiTheme="minorHAnsi" w:cstheme="minorHAnsi"/>
                <w:b/>
                <w:color w:val="800000"/>
                <w:sz w:val="20"/>
                <w:lang w:eastAsia="it-IT"/>
              </w:rPr>
            </w:pPr>
            <w:r w:rsidRPr="00F33205">
              <w:rPr>
                <w:rFonts w:asciiTheme="minorHAnsi" w:hAnsiTheme="minorHAnsi" w:cstheme="minorHAnsi"/>
                <w:iCs/>
                <w:sz w:val="20"/>
                <w:lang w:eastAsia="it-IT"/>
              </w:rPr>
              <w:t>Le</w:t>
            </w:r>
            <w:r w:rsidRPr="00F33205">
              <w:rPr>
                <w:rFonts w:asciiTheme="minorHAnsi" w:hAnsiTheme="minorHAnsi" w:cstheme="minorHAnsi"/>
                <w:sz w:val="20"/>
                <w:lang w:eastAsia="it-IT"/>
              </w:rPr>
              <w:t xml:space="preserve"> </w:t>
            </w:r>
            <w:r w:rsidRPr="00F33205">
              <w:rPr>
                <w:rFonts w:asciiTheme="minorHAnsi" w:hAnsiTheme="minorHAnsi" w:cstheme="minorHAnsi"/>
                <w:iCs/>
                <w:sz w:val="20"/>
                <w:lang w:eastAsia="it-IT"/>
              </w:rPr>
              <w:t>M</w:t>
            </w:r>
            <w:r w:rsidRPr="00F33205">
              <w:rPr>
                <w:rFonts w:asciiTheme="minorHAnsi" w:hAnsiTheme="minorHAnsi" w:cstheme="minorHAnsi"/>
                <w:sz w:val="20"/>
                <w:lang w:eastAsia="it-IT"/>
              </w:rPr>
              <w:t>anuel sur la passation des marchés est en cours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élaboration</w:t>
            </w:r>
            <w:r w:rsidRPr="00F33205">
              <w:rPr>
                <w:rFonts w:asciiTheme="minorHAnsi" w:hAnsiTheme="minorHAnsi" w:cstheme="minorHAnsi"/>
                <w:i/>
                <w:iCs/>
                <w:sz w:val="20"/>
                <w:lang w:eastAsia="it-IT"/>
              </w:rPr>
              <w:t>.</w:t>
            </w:r>
          </w:p>
        </w:tc>
        <w:tc>
          <w:tcPr>
            <w:tcW w:w="845" w:type="pct"/>
            <w:tcBorders>
              <w:top w:val="single" w:sz="4" w:space="0" w:color="auto"/>
              <w:left w:val="single" w:sz="4" w:space="0" w:color="auto"/>
              <w:bottom w:val="single" w:sz="4" w:space="0" w:color="auto"/>
              <w:right w:val="single" w:sz="4" w:space="0" w:color="auto"/>
            </w:tcBorders>
          </w:tcPr>
          <w:p w14:paraId="5EB64122" w14:textId="24C4AC93" w:rsidR="005D254F" w:rsidRPr="00F33205" w:rsidRDefault="00231DB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En cours</w:t>
            </w:r>
            <w:r w:rsidR="00F33205">
              <w:rPr>
                <w:rFonts w:asciiTheme="minorHAnsi" w:hAnsiTheme="minorHAnsi" w:cstheme="minorHAnsi"/>
                <w:sz w:val="20"/>
                <w:lang w:eastAsia="it-IT"/>
              </w:rPr>
              <w:t>.</w:t>
            </w:r>
          </w:p>
        </w:tc>
      </w:tr>
      <w:tr w:rsidR="00607E37" w:rsidRPr="00F33205" w14:paraId="1EE7EC9C" w14:textId="77777777" w:rsidTr="00144AFF">
        <w:trPr>
          <w:cantSplit/>
          <w:jc w:val="center"/>
        </w:trPr>
        <w:tc>
          <w:tcPr>
            <w:tcW w:w="348" w:type="pct"/>
            <w:tcBorders>
              <w:top w:val="single" w:sz="4" w:space="0" w:color="auto"/>
              <w:left w:val="single" w:sz="4" w:space="0" w:color="auto"/>
              <w:bottom w:val="single" w:sz="4" w:space="0" w:color="auto"/>
              <w:right w:val="single" w:sz="4" w:space="0" w:color="auto"/>
            </w:tcBorders>
          </w:tcPr>
          <w:p w14:paraId="07CB77BF" w14:textId="77777777"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3/2016</w:t>
            </w:r>
          </w:p>
        </w:tc>
        <w:tc>
          <w:tcPr>
            <w:tcW w:w="1309" w:type="pct"/>
            <w:tcBorders>
              <w:top w:val="single" w:sz="4" w:space="0" w:color="auto"/>
              <w:left w:val="single" w:sz="4" w:space="0" w:color="auto"/>
              <w:bottom w:val="single" w:sz="4" w:space="0" w:color="auto"/>
              <w:right w:val="single" w:sz="4" w:space="0" w:color="auto"/>
            </w:tcBorders>
          </w:tcPr>
          <w:p w14:paraId="23BDA04C" w14:textId="77777777" w:rsidR="005D254F" w:rsidRPr="00F33205" w:rsidRDefault="00231DB7" w:rsidP="00B53AD7">
            <w:pPr>
              <w:widowControl w:val="0"/>
              <w:kinsoku w:val="0"/>
              <w:rPr>
                <w:rFonts w:asciiTheme="minorHAnsi" w:hAnsiTheme="minorHAnsi" w:cstheme="minorHAnsi"/>
                <w:b/>
                <w:bCs/>
                <w:i/>
                <w:sz w:val="20"/>
                <w:lang w:eastAsia="it-IT"/>
              </w:rPr>
            </w:pPr>
            <w:bookmarkStart w:id="500" w:name="_Toc482176252"/>
            <w:r w:rsidRPr="00F33205">
              <w:rPr>
                <w:rFonts w:asciiTheme="minorHAnsi" w:hAnsiTheme="minorHAnsi" w:cstheme="minorHAnsi"/>
                <w:b/>
                <w:bCs/>
                <w:i/>
                <w:iCs/>
                <w:sz w:val="20"/>
                <w:lang w:eastAsia="it-IT"/>
              </w:rPr>
              <w:t>Communiquer le budget disponible pour donner des indications concernant les offres</w:t>
            </w:r>
            <w:bookmarkEnd w:id="500"/>
          </w:p>
          <w:p w14:paraId="3CBB4925" w14:textId="05E33F5D" w:rsidR="005D254F" w:rsidRPr="00F33205" w:rsidRDefault="00231DB7" w:rsidP="004F6DF1">
            <w:pPr>
              <w:widowControl w:val="0"/>
              <w:kinsoku w:val="0"/>
              <w:spacing w:after="60"/>
              <w:rPr>
                <w:rFonts w:asciiTheme="minorHAnsi" w:hAnsiTheme="minorHAnsi" w:cstheme="minorHAnsi"/>
                <w:bCs/>
                <w:sz w:val="20"/>
                <w:lang w:eastAsia="it-IT"/>
              </w:rPr>
            </w:pPr>
            <w:r w:rsidRPr="00F33205">
              <w:rPr>
                <w:rFonts w:asciiTheme="minorHAnsi" w:hAnsiTheme="minorHAnsi" w:cstheme="minorHAnsi"/>
                <w:sz w:val="20"/>
                <w:lang w:eastAsia="it-IT"/>
              </w:rPr>
              <w:t>Lorsque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décide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engager un processus de passation de marchés en attribuant des ressources limitées pour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 xml:space="preserve">achat de biens ou de services, </w:t>
            </w:r>
            <w:r w:rsidRPr="006A0D6B">
              <w:rPr>
                <w:rFonts w:asciiTheme="minorHAnsi" w:hAnsiTheme="minorHAnsi" w:cstheme="minorHAnsi"/>
                <w:sz w:val="20"/>
                <w:u w:val="single"/>
                <w:lang w:eastAsia="it-IT"/>
              </w:rPr>
              <w:t>nous suggérons</w:t>
            </w:r>
            <w:r w:rsidRPr="00F33205">
              <w:rPr>
                <w:rFonts w:asciiTheme="minorHAnsi" w:hAnsiTheme="minorHAnsi" w:cstheme="minorHAnsi"/>
                <w:sz w:val="20"/>
                <w:lang w:eastAsia="it-IT"/>
              </w:rPr>
              <w:t>, pour stimuler la concurrence et éviter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exclusion automatique de fournisseurs, de communiquer, selon qu</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il conviendra, le budget maximal disponible.</w:t>
            </w:r>
          </w:p>
        </w:tc>
        <w:tc>
          <w:tcPr>
            <w:tcW w:w="1241" w:type="pct"/>
            <w:tcBorders>
              <w:top w:val="single" w:sz="4" w:space="0" w:color="auto"/>
              <w:left w:val="single" w:sz="4" w:space="0" w:color="auto"/>
              <w:bottom w:val="single" w:sz="4" w:space="0" w:color="auto"/>
              <w:right w:val="single" w:sz="4" w:space="0" w:color="auto"/>
            </w:tcBorders>
          </w:tcPr>
          <w:p w14:paraId="77F1D97E" w14:textId="537A0025" w:rsidR="005D254F" w:rsidRPr="00F33205" w:rsidRDefault="00231DB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souscrit à cette suggestion et communiquera, selon qu</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il conviendra, le budget maximal.</w:t>
            </w:r>
          </w:p>
        </w:tc>
        <w:tc>
          <w:tcPr>
            <w:tcW w:w="1257" w:type="pct"/>
            <w:tcBorders>
              <w:top w:val="single" w:sz="4" w:space="0" w:color="auto"/>
              <w:left w:val="single" w:sz="4" w:space="0" w:color="auto"/>
              <w:bottom w:val="single" w:sz="4" w:space="0" w:color="auto"/>
              <w:right w:val="single" w:sz="4" w:space="0" w:color="auto"/>
            </w:tcBorders>
          </w:tcPr>
          <w:p w14:paraId="28A34112" w14:textId="46F05F73"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52D8000C" w14:textId="10E2D947" w:rsidR="00A10BED" w:rsidRPr="00F33205" w:rsidRDefault="00231DB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souscrit</w:t>
            </w:r>
            <w:r w:rsidR="00A10BED" w:rsidRPr="00F33205">
              <w:rPr>
                <w:rFonts w:asciiTheme="minorHAnsi" w:hAnsiTheme="minorHAnsi" w:cstheme="minorHAnsi"/>
                <w:sz w:val="20"/>
                <w:lang w:eastAsia="it-IT"/>
              </w:rPr>
              <w:t xml:space="preserve"> toujours</w:t>
            </w:r>
            <w:r w:rsidRPr="00F33205">
              <w:rPr>
                <w:rFonts w:asciiTheme="minorHAnsi" w:hAnsiTheme="minorHAnsi" w:cstheme="minorHAnsi"/>
                <w:sz w:val="20"/>
                <w:lang w:eastAsia="it-IT"/>
              </w:rPr>
              <w:t xml:space="preserve"> à cette suggestion et communiquera, selon qu</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 xml:space="preserve">il conviendra, le budget maximal. </w:t>
            </w:r>
            <w:r w:rsidR="00A10BED" w:rsidRPr="00F33205">
              <w:rPr>
                <w:rFonts w:asciiTheme="minorHAnsi" w:hAnsiTheme="minorHAnsi" w:cstheme="minorHAnsi"/>
                <w:sz w:val="20"/>
                <w:lang w:eastAsia="it-IT"/>
              </w:rPr>
              <w:t>Il convient par ailleur</w:t>
            </w:r>
            <w:r w:rsidR="008F3D3C" w:rsidRPr="00F33205">
              <w:rPr>
                <w:rFonts w:asciiTheme="minorHAnsi" w:hAnsiTheme="minorHAnsi" w:cstheme="minorHAnsi"/>
                <w:sz w:val="20"/>
                <w:lang w:eastAsia="it-IT"/>
              </w:rPr>
              <w:t>s</w:t>
            </w:r>
            <w:r w:rsidR="00A10BED" w:rsidRPr="00F33205">
              <w:rPr>
                <w:rFonts w:asciiTheme="minorHAnsi" w:hAnsiTheme="minorHAnsi" w:cstheme="minorHAnsi"/>
                <w:sz w:val="20"/>
                <w:lang w:eastAsia="it-IT"/>
              </w:rPr>
              <w:t xml:space="preserve"> de noter que </w:t>
            </w:r>
            <w:r w:rsidR="00ED3CB9" w:rsidRPr="00F33205">
              <w:rPr>
                <w:rFonts w:asciiTheme="minorHAnsi" w:hAnsiTheme="minorHAnsi" w:cstheme="minorHAnsi"/>
                <w:sz w:val="20"/>
                <w:lang w:eastAsia="it-IT"/>
              </w:rPr>
              <w:t>cette information</w:t>
            </w:r>
            <w:r w:rsidR="00A10BED" w:rsidRPr="00F33205">
              <w:rPr>
                <w:rFonts w:asciiTheme="minorHAnsi" w:hAnsiTheme="minorHAnsi" w:cstheme="minorHAnsi"/>
                <w:sz w:val="20"/>
                <w:lang w:eastAsia="it-IT"/>
              </w:rPr>
              <w:t xml:space="preserve"> sera inclus</w:t>
            </w:r>
            <w:r w:rsidR="00ED3CB9" w:rsidRPr="00F33205">
              <w:rPr>
                <w:rFonts w:asciiTheme="minorHAnsi" w:hAnsiTheme="minorHAnsi" w:cstheme="minorHAnsi"/>
                <w:sz w:val="20"/>
                <w:lang w:eastAsia="it-IT"/>
              </w:rPr>
              <w:t>e</w:t>
            </w:r>
            <w:r w:rsidR="00A10BED" w:rsidRPr="00F33205">
              <w:rPr>
                <w:rFonts w:asciiTheme="minorHAnsi" w:hAnsiTheme="minorHAnsi" w:cstheme="minorHAnsi"/>
                <w:sz w:val="20"/>
                <w:lang w:eastAsia="it-IT"/>
              </w:rPr>
              <w:t xml:space="preserve"> dans le Manuel sur la passation des marchés qui est en cours d</w:t>
            </w:r>
            <w:r w:rsidR="001B30ED" w:rsidRPr="00F33205">
              <w:rPr>
                <w:rFonts w:asciiTheme="minorHAnsi" w:hAnsiTheme="minorHAnsi" w:cstheme="minorHAnsi"/>
                <w:sz w:val="20"/>
                <w:lang w:eastAsia="it-IT"/>
              </w:rPr>
              <w:t>'</w:t>
            </w:r>
            <w:r w:rsidR="00A10BED" w:rsidRPr="00F33205">
              <w:rPr>
                <w:rFonts w:asciiTheme="minorHAnsi" w:hAnsiTheme="minorHAnsi" w:cstheme="minorHAnsi"/>
                <w:sz w:val="20"/>
                <w:lang w:eastAsia="it-IT"/>
              </w:rPr>
              <w:t>élaboration.</w:t>
            </w:r>
          </w:p>
        </w:tc>
        <w:tc>
          <w:tcPr>
            <w:tcW w:w="845" w:type="pct"/>
            <w:tcBorders>
              <w:top w:val="single" w:sz="4" w:space="0" w:color="auto"/>
              <w:left w:val="single" w:sz="4" w:space="0" w:color="auto"/>
              <w:bottom w:val="single" w:sz="4" w:space="0" w:color="auto"/>
              <w:right w:val="single" w:sz="4" w:space="0" w:color="auto"/>
            </w:tcBorders>
          </w:tcPr>
          <w:p w14:paraId="4386A154" w14:textId="281D4351" w:rsidR="005D254F" w:rsidRPr="00F33205" w:rsidRDefault="007C598D"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Clos</w:t>
            </w:r>
            <w:r w:rsidR="00F33205">
              <w:rPr>
                <w:rFonts w:asciiTheme="minorHAnsi" w:hAnsiTheme="minorHAnsi" w:cstheme="minorHAnsi"/>
                <w:sz w:val="20"/>
                <w:lang w:eastAsia="it-IT"/>
              </w:rPr>
              <w:t>.</w:t>
            </w:r>
          </w:p>
        </w:tc>
      </w:tr>
      <w:tr w:rsidR="00607E37" w:rsidRPr="00F33205" w14:paraId="4D15D715" w14:textId="77777777" w:rsidTr="00144AFF">
        <w:trPr>
          <w:cantSplit/>
          <w:jc w:val="center"/>
        </w:trPr>
        <w:tc>
          <w:tcPr>
            <w:tcW w:w="348" w:type="pct"/>
            <w:tcBorders>
              <w:top w:val="single" w:sz="4" w:space="0" w:color="auto"/>
              <w:left w:val="single" w:sz="4" w:space="0" w:color="auto"/>
              <w:bottom w:val="single" w:sz="4" w:space="0" w:color="auto"/>
              <w:right w:val="single" w:sz="4" w:space="0" w:color="auto"/>
            </w:tcBorders>
          </w:tcPr>
          <w:p w14:paraId="426CCF06" w14:textId="77777777"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4/2016</w:t>
            </w:r>
          </w:p>
        </w:tc>
        <w:tc>
          <w:tcPr>
            <w:tcW w:w="1309" w:type="pct"/>
            <w:tcBorders>
              <w:top w:val="single" w:sz="4" w:space="0" w:color="auto"/>
              <w:left w:val="single" w:sz="4" w:space="0" w:color="auto"/>
              <w:bottom w:val="single" w:sz="4" w:space="0" w:color="auto"/>
              <w:right w:val="single" w:sz="4" w:space="0" w:color="auto"/>
            </w:tcBorders>
          </w:tcPr>
          <w:p w14:paraId="634EF56A" w14:textId="77777777" w:rsidR="005D254F" w:rsidRPr="00F33205" w:rsidRDefault="00231DB7" w:rsidP="00B53AD7">
            <w:pPr>
              <w:widowControl w:val="0"/>
              <w:kinsoku w:val="0"/>
              <w:rPr>
                <w:rFonts w:asciiTheme="minorHAnsi" w:hAnsiTheme="minorHAnsi" w:cstheme="minorHAnsi"/>
                <w:b/>
                <w:bCs/>
                <w:i/>
                <w:iCs/>
                <w:sz w:val="20"/>
                <w:lang w:eastAsia="it-IT"/>
              </w:rPr>
            </w:pPr>
            <w:r w:rsidRPr="00F33205">
              <w:rPr>
                <w:rFonts w:asciiTheme="minorHAnsi" w:hAnsiTheme="minorHAnsi" w:cstheme="minorHAnsi"/>
                <w:b/>
                <w:bCs/>
                <w:i/>
                <w:iCs/>
                <w:sz w:val="20"/>
                <w:lang w:eastAsia="it-IT"/>
              </w:rPr>
              <w:t>Publications</w:t>
            </w:r>
          </w:p>
          <w:p w14:paraId="6729D459" w14:textId="77777777" w:rsidR="005D254F" w:rsidRPr="00F33205" w:rsidRDefault="00231DB7" w:rsidP="00B53AD7">
            <w:pPr>
              <w:widowControl w:val="0"/>
              <w:kinsoku w:val="0"/>
              <w:rPr>
                <w:rFonts w:asciiTheme="minorHAnsi" w:hAnsiTheme="minorHAnsi" w:cstheme="minorHAnsi"/>
                <w:bCs/>
                <w:sz w:val="20"/>
                <w:lang w:eastAsia="it-IT"/>
              </w:rPr>
            </w:pPr>
            <w:r w:rsidRPr="00F33205">
              <w:rPr>
                <w:rFonts w:asciiTheme="minorHAnsi" w:hAnsiTheme="minorHAnsi" w:cstheme="minorHAnsi"/>
                <w:sz w:val="20"/>
                <w:lang w:eastAsia="it-IT"/>
              </w:rPr>
              <w:t xml:space="preserve">Pour réduire le coût des publications et dans le même temps accroître les recettes tirées de la vente de ses publications, </w:t>
            </w:r>
            <w:r w:rsidRPr="00F33205">
              <w:rPr>
                <w:rFonts w:asciiTheme="minorHAnsi" w:hAnsiTheme="minorHAnsi" w:cstheme="minorHAnsi"/>
                <w:sz w:val="20"/>
                <w:u w:val="single"/>
                <w:lang w:eastAsia="it-IT"/>
              </w:rPr>
              <w:t>nous suggérons</w:t>
            </w:r>
            <w:r w:rsidRPr="00F33205">
              <w:rPr>
                <w:rFonts w:asciiTheme="minorHAnsi" w:hAnsiTheme="minorHAnsi" w:cstheme="minorHAnsi"/>
                <w:sz w:val="20"/>
                <w:lang w:eastAsia="it-IT"/>
              </w:rPr>
              <w:t xml:space="preserve"> donc que de nouveaux efforts soient engagés pour accroître le pourcentage des ventes des publications sur support numérique.</w:t>
            </w:r>
          </w:p>
        </w:tc>
        <w:tc>
          <w:tcPr>
            <w:tcW w:w="1241" w:type="pct"/>
            <w:tcBorders>
              <w:top w:val="single" w:sz="4" w:space="0" w:color="auto"/>
              <w:left w:val="single" w:sz="4" w:space="0" w:color="auto"/>
              <w:bottom w:val="single" w:sz="4" w:space="0" w:color="auto"/>
              <w:right w:val="single" w:sz="4" w:space="0" w:color="auto"/>
            </w:tcBorders>
          </w:tcPr>
          <w:p w14:paraId="4AC4494D" w14:textId="105C5BBF" w:rsidR="005D254F" w:rsidRPr="00F33205" w:rsidRDefault="00231DB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souscrit à cette suggestion et confirme que cet objectif sera poursuivi afin de réduire les coûts injustifiés.</w:t>
            </w:r>
          </w:p>
        </w:tc>
        <w:tc>
          <w:tcPr>
            <w:tcW w:w="1257" w:type="pct"/>
            <w:tcBorders>
              <w:top w:val="single" w:sz="4" w:space="0" w:color="auto"/>
              <w:left w:val="single" w:sz="4" w:space="0" w:color="auto"/>
              <w:bottom w:val="single" w:sz="4" w:space="0" w:color="auto"/>
              <w:right w:val="single" w:sz="4" w:space="0" w:color="auto"/>
            </w:tcBorders>
          </w:tcPr>
          <w:p w14:paraId="1A042675" w14:textId="07B0513A"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4C393413" w14:textId="05AC51F2" w:rsidR="00ED3CB9" w:rsidRPr="00F33205" w:rsidRDefault="00A10BED" w:rsidP="00B53AD7">
            <w:pPr>
              <w:rPr>
                <w:rFonts w:asciiTheme="minorHAnsi" w:hAnsiTheme="minorHAnsi" w:cstheme="minorHAnsi"/>
                <w:sz w:val="20"/>
                <w:lang w:eastAsia="it-IT"/>
              </w:rPr>
            </w:pPr>
            <w:r w:rsidRPr="00F33205">
              <w:rPr>
                <w:rFonts w:asciiTheme="minorHAnsi" w:hAnsiTheme="minorHAnsi" w:cstheme="minorHAnsi"/>
                <w:sz w:val="20"/>
                <w:lang w:eastAsia="it-IT"/>
              </w:rPr>
              <w:t>Sur les quatre titres les plus vendus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w:t>
            </w:r>
            <w:r w:rsidR="005D1620" w:rsidRPr="00F33205">
              <w:rPr>
                <w:rFonts w:asciiTheme="minorHAnsi" w:hAnsiTheme="minorHAnsi" w:cstheme="minorHAnsi"/>
                <w:sz w:val="20"/>
                <w:lang w:eastAsia="it-IT"/>
              </w:rPr>
              <w:t>, qui représentent 90% des recettes t</w:t>
            </w:r>
            <w:r w:rsidR="00ED3CB9" w:rsidRPr="00F33205">
              <w:rPr>
                <w:rFonts w:asciiTheme="minorHAnsi" w:hAnsiTheme="minorHAnsi" w:cstheme="minorHAnsi"/>
                <w:sz w:val="20"/>
                <w:lang w:eastAsia="it-IT"/>
              </w:rPr>
              <w:t xml:space="preserve">otales </w:t>
            </w:r>
            <w:r w:rsidR="00F33205">
              <w:rPr>
                <w:rFonts w:asciiTheme="minorHAnsi" w:hAnsiTheme="minorHAnsi" w:cstheme="minorHAnsi"/>
                <w:sz w:val="20"/>
                <w:lang w:eastAsia="it-IT"/>
              </w:rPr>
              <w:t xml:space="preserve">annuelles provenant </w:t>
            </w:r>
            <w:r w:rsidR="00ED3CB9" w:rsidRPr="00F33205">
              <w:rPr>
                <w:rFonts w:asciiTheme="minorHAnsi" w:hAnsiTheme="minorHAnsi" w:cstheme="minorHAnsi"/>
                <w:sz w:val="20"/>
                <w:lang w:eastAsia="it-IT"/>
              </w:rPr>
              <w:t>des publications de l</w:t>
            </w:r>
            <w:r w:rsidR="001B30ED" w:rsidRPr="00F33205">
              <w:rPr>
                <w:rFonts w:asciiTheme="minorHAnsi" w:hAnsiTheme="minorHAnsi" w:cstheme="minorHAnsi"/>
                <w:sz w:val="20"/>
                <w:lang w:eastAsia="it-IT"/>
              </w:rPr>
              <w:t>'</w:t>
            </w:r>
            <w:r w:rsidR="00ED3CB9" w:rsidRPr="00F33205">
              <w:rPr>
                <w:rFonts w:asciiTheme="minorHAnsi" w:hAnsiTheme="minorHAnsi" w:cstheme="minorHAnsi"/>
                <w:sz w:val="20"/>
                <w:lang w:eastAsia="it-IT"/>
              </w:rPr>
              <w:t>Union</w:t>
            </w:r>
            <w:r w:rsidR="005D1620" w:rsidRPr="00F33205">
              <w:rPr>
                <w:rFonts w:asciiTheme="minorHAnsi" w:hAnsiTheme="minorHAnsi" w:cstheme="minorHAnsi"/>
                <w:sz w:val="20"/>
                <w:lang w:eastAsia="it-IT"/>
              </w:rPr>
              <w:t>, deux sont maintenant exclusivement disponibles au format numérique (Liste</w:t>
            </w:r>
            <w:r w:rsidR="0018444B" w:rsidRPr="00F33205">
              <w:rPr>
                <w:rFonts w:asciiTheme="minorHAnsi" w:hAnsiTheme="minorHAnsi" w:cstheme="minorHAnsi"/>
                <w:sz w:val="20"/>
                <w:lang w:eastAsia="it-IT"/>
              </w:rPr>
              <w:t> </w:t>
            </w:r>
            <w:r w:rsidR="005D1620" w:rsidRPr="00F33205">
              <w:rPr>
                <w:rFonts w:asciiTheme="minorHAnsi" w:hAnsiTheme="minorHAnsi" w:cstheme="minorHAnsi"/>
                <w:sz w:val="20"/>
                <w:lang w:eastAsia="it-IT"/>
              </w:rPr>
              <w:t>IV et Liste V).</w:t>
            </w:r>
            <w:r w:rsidR="00ED3CB9" w:rsidRPr="00F33205">
              <w:rPr>
                <w:rFonts w:asciiTheme="minorHAnsi" w:hAnsiTheme="minorHAnsi" w:cstheme="minorHAnsi"/>
                <w:sz w:val="20"/>
                <w:lang w:eastAsia="it-IT"/>
              </w:rPr>
              <w:t xml:space="preserve"> </w:t>
            </w:r>
          </w:p>
          <w:p w14:paraId="625A8366" w14:textId="553E1D12" w:rsidR="005D1620" w:rsidRPr="00F33205" w:rsidRDefault="005D1620" w:rsidP="00B53AD7">
            <w:pPr>
              <w:rPr>
                <w:rFonts w:asciiTheme="minorHAnsi" w:hAnsiTheme="minorHAnsi" w:cstheme="minorHAnsi"/>
                <w:sz w:val="20"/>
                <w:lang w:eastAsia="it-IT"/>
              </w:rPr>
            </w:pPr>
            <w:r w:rsidRPr="00F33205">
              <w:rPr>
                <w:rFonts w:asciiTheme="minorHAnsi" w:hAnsiTheme="minorHAnsi" w:cstheme="minorHAnsi"/>
                <w:sz w:val="20"/>
                <w:lang w:eastAsia="it-IT"/>
              </w:rPr>
              <w:t>Plus aucun exemplaire papier n</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est produit, ce qui a réduit les coûts de manière significative.</w:t>
            </w:r>
          </w:p>
          <w:p w14:paraId="5DA02320" w14:textId="1D75B834" w:rsidR="005D1620" w:rsidRPr="00F33205" w:rsidRDefault="005D1620" w:rsidP="00B53AD7">
            <w:pPr>
              <w:rPr>
                <w:rFonts w:asciiTheme="minorHAnsi" w:hAnsiTheme="minorHAnsi" w:cstheme="minorHAnsi"/>
                <w:sz w:val="20"/>
                <w:lang w:eastAsia="it-IT"/>
              </w:rPr>
            </w:pPr>
            <w:r w:rsidRPr="00F33205">
              <w:rPr>
                <w:rFonts w:asciiTheme="minorHAnsi" w:hAnsiTheme="minorHAnsi" w:cstheme="minorHAnsi"/>
                <w:sz w:val="20"/>
                <w:lang w:eastAsia="it-IT"/>
              </w:rPr>
              <w:t>En ce qui concerne les deux autres titres les mieux vendus (le Manuel sur le service maritime en deux volumes et le Règlement des radi</w:t>
            </w:r>
            <w:r w:rsidR="008F3D3C" w:rsidRPr="00F33205">
              <w:rPr>
                <w:rFonts w:asciiTheme="minorHAnsi" w:hAnsiTheme="minorHAnsi" w:cstheme="minorHAnsi"/>
                <w:sz w:val="20"/>
                <w:lang w:eastAsia="it-IT"/>
              </w:rPr>
              <w:t>o</w:t>
            </w:r>
            <w:r w:rsidRPr="00F33205">
              <w:rPr>
                <w:rFonts w:asciiTheme="minorHAnsi" w:hAnsiTheme="minorHAnsi" w:cstheme="minorHAnsi"/>
                <w:sz w:val="20"/>
                <w:lang w:eastAsia="it-IT"/>
              </w:rPr>
              <w:t>communications en quatre volumes</w:t>
            </w:r>
            <w:r w:rsidR="00ED3CB9" w:rsidRPr="00F33205">
              <w:rPr>
                <w:rFonts w:asciiTheme="minorHAnsi" w:hAnsiTheme="minorHAnsi" w:cstheme="minorHAnsi"/>
                <w:sz w:val="20"/>
                <w:lang w:eastAsia="it-IT"/>
              </w:rPr>
              <w:t>)</w:t>
            </w:r>
            <w:r w:rsidRPr="00F33205">
              <w:rPr>
                <w:rFonts w:asciiTheme="minorHAnsi" w:hAnsiTheme="minorHAnsi" w:cstheme="minorHAnsi"/>
                <w:sz w:val="20"/>
                <w:lang w:eastAsia="it-IT"/>
              </w:rPr>
              <w:t>,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surveille avec davantage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attention les quantités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exemplaires papier produits selon les préférences exprimées par les acheteurs.</w:t>
            </w:r>
          </w:p>
          <w:p w14:paraId="23178C1A" w14:textId="356BBF1A" w:rsidR="005D254F" w:rsidRPr="00F33205" w:rsidRDefault="00ED3CB9" w:rsidP="004F6DF1">
            <w:pPr>
              <w:spacing w:after="60"/>
              <w:rPr>
                <w:rFonts w:asciiTheme="minorHAnsi" w:hAnsiTheme="minorHAnsi" w:cstheme="minorHAnsi"/>
                <w:b/>
                <w:sz w:val="20"/>
                <w:lang w:eastAsia="it-IT"/>
              </w:rPr>
            </w:pPr>
            <w:r w:rsidRPr="00F33205">
              <w:rPr>
                <w:rFonts w:asciiTheme="minorHAnsi" w:hAnsiTheme="minorHAnsi" w:cstheme="minorHAnsi"/>
                <w:sz w:val="20"/>
                <w:lang w:eastAsia="it-IT"/>
              </w:rPr>
              <w:t>Même s</w:t>
            </w:r>
            <w:r w:rsidR="005D1620" w:rsidRPr="00F33205">
              <w:rPr>
                <w:rFonts w:asciiTheme="minorHAnsi" w:hAnsiTheme="minorHAnsi" w:cstheme="minorHAnsi"/>
                <w:sz w:val="20"/>
                <w:lang w:eastAsia="it-IT"/>
              </w:rPr>
              <w:t>i</w:t>
            </w:r>
            <w:r w:rsidRPr="00F33205">
              <w:rPr>
                <w:rFonts w:asciiTheme="minorHAnsi" w:hAnsiTheme="minorHAnsi" w:cstheme="minorHAnsi"/>
                <w:sz w:val="20"/>
                <w:lang w:eastAsia="it-IT"/>
              </w:rPr>
              <w:t xml:space="preserve"> </w:t>
            </w:r>
            <w:r w:rsidR="005D1620" w:rsidRPr="00F33205">
              <w:rPr>
                <w:rFonts w:asciiTheme="minorHAnsi" w:hAnsiTheme="minorHAnsi" w:cstheme="minorHAnsi"/>
                <w:sz w:val="20"/>
                <w:lang w:eastAsia="it-IT"/>
              </w:rPr>
              <w:t>ces publications sont également disponibles au format numérique, ell</w:t>
            </w:r>
            <w:r w:rsidRPr="00F33205">
              <w:rPr>
                <w:rFonts w:asciiTheme="minorHAnsi" w:hAnsiTheme="minorHAnsi" w:cstheme="minorHAnsi"/>
                <w:sz w:val="20"/>
                <w:lang w:eastAsia="it-IT"/>
              </w:rPr>
              <w:t>e</w:t>
            </w:r>
            <w:r w:rsidR="005D1620" w:rsidRPr="00F33205">
              <w:rPr>
                <w:rFonts w:asciiTheme="minorHAnsi" w:hAnsiTheme="minorHAnsi" w:cstheme="minorHAnsi"/>
                <w:sz w:val="20"/>
                <w:lang w:eastAsia="it-IT"/>
              </w:rPr>
              <w:t xml:space="preserve">s restent fortement demandées sur le marché </w:t>
            </w:r>
            <w:r w:rsidR="007C598D" w:rsidRPr="00F33205">
              <w:rPr>
                <w:rFonts w:asciiTheme="minorHAnsi" w:hAnsiTheme="minorHAnsi" w:cstheme="minorHAnsi"/>
                <w:sz w:val="20"/>
                <w:lang w:eastAsia="it-IT"/>
              </w:rPr>
              <w:t>dans des</w:t>
            </w:r>
            <w:r w:rsidR="005D1620" w:rsidRPr="00F33205">
              <w:rPr>
                <w:rFonts w:asciiTheme="minorHAnsi" w:hAnsiTheme="minorHAnsi" w:cstheme="minorHAnsi"/>
                <w:sz w:val="20"/>
                <w:lang w:eastAsia="it-IT"/>
              </w:rPr>
              <w:t xml:space="preserve"> formats papier plus traditionnels.</w:t>
            </w:r>
          </w:p>
        </w:tc>
        <w:tc>
          <w:tcPr>
            <w:tcW w:w="845" w:type="pct"/>
            <w:tcBorders>
              <w:top w:val="single" w:sz="4" w:space="0" w:color="auto"/>
              <w:left w:val="single" w:sz="4" w:space="0" w:color="auto"/>
              <w:bottom w:val="single" w:sz="4" w:space="0" w:color="auto"/>
              <w:right w:val="single" w:sz="4" w:space="0" w:color="auto"/>
            </w:tcBorders>
          </w:tcPr>
          <w:p w14:paraId="59668554" w14:textId="7543B486" w:rsidR="005D254F" w:rsidRPr="00F33205" w:rsidRDefault="00ED3CB9"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Clos</w:t>
            </w:r>
            <w:r w:rsidR="00607E37">
              <w:rPr>
                <w:rFonts w:asciiTheme="minorHAnsi" w:hAnsiTheme="minorHAnsi" w:cstheme="minorHAnsi"/>
                <w:sz w:val="20"/>
                <w:lang w:eastAsia="it-IT"/>
              </w:rPr>
              <w:t>.</w:t>
            </w:r>
          </w:p>
        </w:tc>
      </w:tr>
      <w:tr w:rsidR="00607E37" w:rsidRPr="00F33205" w14:paraId="4B287496" w14:textId="77777777" w:rsidTr="00144AFF">
        <w:trPr>
          <w:cantSplit/>
          <w:jc w:val="center"/>
        </w:trPr>
        <w:tc>
          <w:tcPr>
            <w:tcW w:w="348" w:type="pct"/>
            <w:tcBorders>
              <w:top w:val="single" w:sz="4" w:space="0" w:color="auto"/>
              <w:left w:val="single" w:sz="4" w:space="0" w:color="auto"/>
              <w:bottom w:val="single" w:sz="4" w:space="0" w:color="auto"/>
              <w:right w:val="single" w:sz="4" w:space="0" w:color="auto"/>
            </w:tcBorders>
          </w:tcPr>
          <w:p w14:paraId="59E92C3A" w14:textId="498F9C96"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1/2015</w:t>
            </w:r>
          </w:p>
        </w:tc>
        <w:tc>
          <w:tcPr>
            <w:tcW w:w="1309" w:type="pct"/>
            <w:tcBorders>
              <w:top w:val="single" w:sz="4" w:space="0" w:color="auto"/>
              <w:left w:val="single" w:sz="4" w:space="0" w:color="auto"/>
              <w:bottom w:val="single" w:sz="4" w:space="0" w:color="auto"/>
              <w:right w:val="single" w:sz="4" w:space="0" w:color="auto"/>
            </w:tcBorders>
          </w:tcPr>
          <w:p w14:paraId="6152809D" w14:textId="5C8E17A7" w:rsidR="00231DB7" w:rsidRPr="00F33205" w:rsidRDefault="00F33205" w:rsidP="00607E37">
            <w:pPr>
              <w:pStyle w:val="Tabletext"/>
              <w:spacing w:before="120"/>
              <w:rPr>
                <w:rFonts w:asciiTheme="minorHAnsi" w:hAnsiTheme="minorHAnsi" w:cstheme="minorHAnsi"/>
                <w:b/>
                <w:bCs/>
                <w:i/>
                <w:iCs/>
                <w:sz w:val="20"/>
                <w:lang w:eastAsia="it-IT"/>
              </w:rPr>
            </w:pPr>
            <w:r>
              <w:rPr>
                <w:rFonts w:asciiTheme="minorHAnsi" w:hAnsiTheme="minorHAnsi" w:cstheme="minorHAnsi"/>
                <w:b/>
                <w:bCs/>
                <w:i/>
                <w:iCs/>
                <w:sz w:val="20"/>
                <w:lang w:eastAsia="it-IT"/>
              </w:rPr>
              <w:t>Passation d'actifs par pertes et profits</w:t>
            </w:r>
          </w:p>
          <w:p w14:paraId="351CF52E" w14:textId="19CBB2C2" w:rsidR="005D254F" w:rsidRPr="00F33205" w:rsidRDefault="00231DB7" w:rsidP="00B53AD7">
            <w:pPr>
              <w:widowControl w:val="0"/>
              <w:kinsoku w:val="0"/>
              <w:rPr>
                <w:rFonts w:asciiTheme="minorHAnsi" w:hAnsiTheme="minorHAnsi" w:cstheme="minorHAnsi"/>
                <w:b/>
                <w:color w:val="800000"/>
                <w:sz w:val="20"/>
                <w:lang w:eastAsia="it-IT"/>
              </w:rPr>
            </w:pPr>
            <w:r w:rsidRPr="00F33205">
              <w:rPr>
                <w:rFonts w:asciiTheme="minorHAnsi" w:hAnsiTheme="minorHAnsi" w:cstheme="minorHAnsi"/>
                <w:sz w:val="20"/>
                <w:u w:val="single"/>
              </w:rPr>
              <w:t>Nous suggérons</w:t>
            </w:r>
            <w:r w:rsidRPr="00F33205">
              <w:rPr>
                <w:rFonts w:asciiTheme="minorHAnsi" w:hAnsiTheme="minorHAnsi" w:cstheme="minorHAnsi"/>
                <w:sz w:val="20"/>
              </w:rPr>
              <w:t xml:space="preserve"> que la gestion des actifs en ce qui concerne les cessions et les dons soit encore améliorée, en particulièrement moyennant l</w:t>
            </w:r>
            <w:r w:rsidR="001B30ED" w:rsidRPr="00F33205">
              <w:rPr>
                <w:rFonts w:asciiTheme="minorHAnsi" w:hAnsiTheme="minorHAnsi" w:cstheme="minorHAnsi"/>
                <w:sz w:val="20"/>
              </w:rPr>
              <w:t>'</w:t>
            </w:r>
            <w:r w:rsidRPr="00F33205">
              <w:rPr>
                <w:rFonts w:asciiTheme="minorHAnsi" w:hAnsiTheme="minorHAnsi" w:cstheme="minorHAnsi"/>
                <w:sz w:val="20"/>
              </w:rPr>
              <w:t>optimisation des procédures, par exemple en créant une commission ad hoc. Il pourrait en outre être utile d</w:t>
            </w:r>
            <w:r w:rsidR="001B30ED" w:rsidRPr="00F33205">
              <w:rPr>
                <w:rFonts w:asciiTheme="minorHAnsi" w:hAnsiTheme="minorHAnsi" w:cstheme="minorHAnsi"/>
                <w:sz w:val="20"/>
              </w:rPr>
              <w:t>'</w:t>
            </w:r>
            <w:r w:rsidRPr="00F33205">
              <w:rPr>
                <w:rFonts w:asciiTheme="minorHAnsi" w:hAnsiTheme="minorHAnsi" w:cstheme="minorHAnsi"/>
                <w:sz w:val="20"/>
              </w:rPr>
              <w:t>envisager, sous réserve d</w:t>
            </w:r>
            <w:r w:rsidR="001B30ED" w:rsidRPr="00F33205">
              <w:rPr>
                <w:rFonts w:asciiTheme="minorHAnsi" w:hAnsiTheme="minorHAnsi" w:cstheme="minorHAnsi"/>
                <w:sz w:val="20"/>
              </w:rPr>
              <w:t>'</w:t>
            </w:r>
            <w:r w:rsidRPr="00F33205">
              <w:rPr>
                <w:rFonts w:asciiTheme="minorHAnsi" w:hAnsiTheme="minorHAnsi" w:cstheme="minorHAnsi"/>
                <w:sz w:val="20"/>
              </w:rPr>
              <w:t>une évaluation coût-avantage, la possibilité d</w:t>
            </w:r>
            <w:r w:rsidR="001B30ED" w:rsidRPr="00F33205">
              <w:rPr>
                <w:rFonts w:asciiTheme="minorHAnsi" w:hAnsiTheme="minorHAnsi" w:cstheme="minorHAnsi"/>
                <w:sz w:val="20"/>
              </w:rPr>
              <w:t>'</w:t>
            </w:r>
            <w:r w:rsidRPr="00F33205">
              <w:rPr>
                <w:rFonts w:asciiTheme="minorHAnsi" w:hAnsiTheme="minorHAnsi" w:cstheme="minorHAnsi"/>
                <w:sz w:val="20"/>
              </w:rPr>
              <w:t>échanger des actifs entre les départements et les bureaux régionaux, avant de décider d</w:t>
            </w:r>
            <w:r w:rsidR="001B30ED" w:rsidRPr="00F33205">
              <w:rPr>
                <w:rFonts w:asciiTheme="minorHAnsi" w:hAnsiTheme="minorHAnsi" w:cstheme="minorHAnsi"/>
                <w:sz w:val="20"/>
              </w:rPr>
              <w:t>'</w:t>
            </w:r>
            <w:r w:rsidRPr="00F33205">
              <w:rPr>
                <w:rFonts w:asciiTheme="minorHAnsi" w:hAnsiTheme="minorHAnsi" w:cstheme="minorHAnsi"/>
                <w:sz w:val="20"/>
              </w:rPr>
              <w:t>acheter un nouvel article.</w:t>
            </w:r>
          </w:p>
        </w:tc>
        <w:tc>
          <w:tcPr>
            <w:tcW w:w="1241" w:type="pct"/>
            <w:tcBorders>
              <w:top w:val="single" w:sz="4" w:space="0" w:color="auto"/>
              <w:left w:val="single" w:sz="4" w:space="0" w:color="auto"/>
              <w:bottom w:val="single" w:sz="4" w:space="0" w:color="auto"/>
              <w:right w:val="single" w:sz="4" w:space="0" w:color="auto"/>
            </w:tcBorders>
          </w:tcPr>
          <w:p w14:paraId="32F6C000" w14:textId="7EE69D35" w:rsidR="005D254F" w:rsidRPr="00F33205" w:rsidRDefault="00231DB7" w:rsidP="00607E37">
            <w:pPr>
              <w:spacing w:after="60"/>
              <w:rPr>
                <w:rFonts w:asciiTheme="minorHAnsi" w:hAnsiTheme="minorHAnsi" w:cstheme="minorHAnsi"/>
                <w:sz w:val="20"/>
                <w:highlight w:val="yellow"/>
                <w:lang w:eastAsia="it-IT"/>
              </w:rPr>
            </w:pPr>
            <w:r w:rsidRPr="00F33205">
              <w:rPr>
                <w:rFonts w:asciiTheme="minorHAnsi" w:hAnsiTheme="minorHAnsi" w:cstheme="minorHAnsi"/>
                <w:sz w:val="20"/>
              </w:rPr>
              <w:t>Le secrétariat étudiera le niveau de faisabilité de cette suggestion et examinera plusieurs options, comme la création d</w:t>
            </w:r>
            <w:r w:rsidR="001B30ED" w:rsidRPr="00F33205">
              <w:rPr>
                <w:rFonts w:asciiTheme="minorHAnsi" w:hAnsiTheme="minorHAnsi" w:cstheme="minorHAnsi"/>
                <w:sz w:val="20"/>
              </w:rPr>
              <w:t>'</w:t>
            </w:r>
            <w:r w:rsidRPr="00F33205">
              <w:rPr>
                <w:rFonts w:asciiTheme="minorHAnsi" w:hAnsiTheme="minorHAnsi" w:cstheme="minorHAnsi"/>
                <w:sz w:val="20"/>
              </w:rPr>
              <w:t>une commission interne, la mise en place d</w:t>
            </w:r>
            <w:r w:rsidR="001B30ED" w:rsidRPr="00F33205">
              <w:rPr>
                <w:rFonts w:asciiTheme="minorHAnsi" w:hAnsiTheme="minorHAnsi" w:cstheme="minorHAnsi"/>
                <w:sz w:val="20"/>
              </w:rPr>
              <w:t>'</w:t>
            </w:r>
            <w:r w:rsidRPr="00F33205">
              <w:rPr>
                <w:rFonts w:asciiTheme="minorHAnsi" w:hAnsiTheme="minorHAnsi" w:cstheme="minorHAnsi"/>
                <w:sz w:val="20"/>
              </w:rPr>
              <w:t>un flux de travail électronique ou de processus internes équivalents.</w:t>
            </w:r>
          </w:p>
        </w:tc>
        <w:tc>
          <w:tcPr>
            <w:tcW w:w="1257" w:type="pct"/>
            <w:tcBorders>
              <w:top w:val="single" w:sz="4" w:space="0" w:color="auto"/>
              <w:left w:val="single" w:sz="4" w:space="0" w:color="auto"/>
              <w:bottom w:val="single" w:sz="4" w:space="0" w:color="auto"/>
              <w:right w:val="single" w:sz="4" w:space="0" w:color="auto"/>
            </w:tcBorders>
          </w:tcPr>
          <w:p w14:paraId="3F30951E" w14:textId="77777777" w:rsidR="00231DB7" w:rsidRPr="00F33205" w:rsidRDefault="00231DB7" w:rsidP="00607E37">
            <w:pPr>
              <w:pStyle w:val="Tabletext"/>
              <w:spacing w:before="120"/>
              <w:rPr>
                <w:rFonts w:asciiTheme="minorHAnsi" w:hAnsiTheme="minorHAnsi" w:cstheme="minorHAnsi"/>
                <w:b/>
                <w:bCs/>
                <w:sz w:val="20"/>
                <w:lang w:eastAsia="it-IT"/>
              </w:rPr>
            </w:pPr>
            <w:r w:rsidRPr="00F33205">
              <w:rPr>
                <w:rFonts w:asciiTheme="minorHAnsi" w:hAnsiTheme="minorHAnsi" w:cstheme="minorHAnsi"/>
                <w:b/>
                <w:bCs/>
                <w:sz w:val="20"/>
                <w:lang w:eastAsia="it-IT"/>
              </w:rPr>
              <w:t>Mise à jour de fin avril 2017:</w:t>
            </w:r>
          </w:p>
          <w:p w14:paraId="45D586ED" w14:textId="12EAC9BD" w:rsidR="00231DB7" w:rsidRPr="00F33205" w:rsidRDefault="00231DB7" w:rsidP="00B53AD7">
            <w:pPr>
              <w:pStyle w:val="Tabletext"/>
              <w:rPr>
                <w:rFonts w:asciiTheme="minorHAnsi" w:hAnsiTheme="minorHAnsi" w:cstheme="minorHAnsi"/>
                <w:sz w:val="20"/>
                <w:lang w:eastAsia="it-IT"/>
              </w:rPr>
            </w:pPr>
            <w:r w:rsidRPr="00F33205">
              <w:rPr>
                <w:rFonts w:asciiTheme="minorHAnsi" w:hAnsiTheme="minorHAnsi" w:cstheme="minorHAnsi"/>
                <w:sz w:val="20"/>
                <w:lang w:eastAsia="it-IT"/>
              </w:rPr>
              <w:t>En collaboration avec le Département des services informatiques et les utilisateurs, des vérifications approfondies ont été réalisées pendant une grande partie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année</w:t>
            </w:r>
            <w:r w:rsidR="0018444B" w:rsidRPr="00F33205">
              <w:rPr>
                <w:rFonts w:asciiTheme="minorHAnsi" w:hAnsiTheme="minorHAnsi" w:cstheme="minorHAnsi"/>
                <w:sz w:val="20"/>
                <w:lang w:eastAsia="it-IT"/>
              </w:rPr>
              <w:t> </w:t>
            </w:r>
            <w:r w:rsidRPr="00F33205">
              <w:rPr>
                <w:rFonts w:asciiTheme="minorHAnsi" w:hAnsiTheme="minorHAnsi" w:cstheme="minorHAnsi"/>
                <w:sz w:val="20"/>
                <w:lang w:eastAsia="it-IT"/>
              </w:rPr>
              <w:t>2016 pour mettre à jour les documents comptables et effectuer les suppressions nécessaires.</w:t>
            </w:r>
          </w:p>
          <w:p w14:paraId="2BA60292" w14:textId="0786503A" w:rsidR="005D254F" w:rsidRPr="00F33205" w:rsidRDefault="00231DB7" w:rsidP="00B53AD7">
            <w:pPr>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lang w:eastAsia="it-IT"/>
              </w:rPr>
              <w:t>Des efforts sont également engagés pour encourager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échange et le prêt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actifs au sein des départements et des secteurs.</w:t>
            </w:r>
          </w:p>
          <w:p w14:paraId="2C4424F5" w14:textId="62B0D498"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71B267FA" w14:textId="0C8F1E7C" w:rsidR="005D1620" w:rsidRPr="00F33205" w:rsidRDefault="005D1620" w:rsidP="004F6DF1">
            <w:pPr>
              <w:widowControl w:val="0"/>
              <w:kinsoku w:val="0"/>
              <w:spacing w:after="60"/>
              <w:rPr>
                <w:rFonts w:asciiTheme="minorHAnsi" w:hAnsiTheme="minorHAnsi" w:cstheme="minorHAnsi"/>
                <w:sz w:val="20"/>
                <w:lang w:eastAsia="it-IT"/>
              </w:rPr>
            </w:pPr>
            <w:r w:rsidRPr="00F33205">
              <w:rPr>
                <w:rFonts w:asciiTheme="minorHAnsi" w:hAnsiTheme="minorHAnsi" w:cstheme="minorHAnsi"/>
                <w:sz w:val="20"/>
                <w:lang w:eastAsia="it-IT"/>
              </w:rPr>
              <w:t xml:space="preserve">Une surveillance rigoureuse est </w:t>
            </w:r>
            <w:r w:rsidR="00530799" w:rsidRPr="00F33205">
              <w:rPr>
                <w:rFonts w:asciiTheme="minorHAnsi" w:hAnsiTheme="minorHAnsi" w:cstheme="minorHAnsi"/>
                <w:sz w:val="20"/>
                <w:lang w:eastAsia="it-IT"/>
              </w:rPr>
              <w:t>effectuée pour optimiser la gestion de l</w:t>
            </w:r>
            <w:r w:rsidR="001B30ED" w:rsidRPr="00F33205">
              <w:rPr>
                <w:rFonts w:asciiTheme="minorHAnsi" w:hAnsiTheme="minorHAnsi" w:cstheme="minorHAnsi"/>
                <w:sz w:val="20"/>
                <w:lang w:eastAsia="it-IT"/>
              </w:rPr>
              <w:t>'</w:t>
            </w:r>
            <w:r w:rsidR="00530799" w:rsidRPr="00F33205">
              <w:rPr>
                <w:rFonts w:asciiTheme="minorHAnsi" w:hAnsiTheme="minorHAnsi" w:cstheme="minorHAnsi"/>
                <w:sz w:val="20"/>
                <w:lang w:eastAsia="it-IT"/>
              </w:rPr>
              <w:t>utilisation rationnelle des équipements de l</w:t>
            </w:r>
            <w:r w:rsidR="001B30ED" w:rsidRPr="00F33205">
              <w:rPr>
                <w:rFonts w:asciiTheme="minorHAnsi" w:hAnsiTheme="minorHAnsi" w:cstheme="minorHAnsi"/>
                <w:sz w:val="20"/>
                <w:lang w:eastAsia="it-IT"/>
              </w:rPr>
              <w:t>'</w:t>
            </w:r>
            <w:r w:rsidR="00530799" w:rsidRPr="00F33205">
              <w:rPr>
                <w:rFonts w:asciiTheme="minorHAnsi" w:hAnsiTheme="minorHAnsi" w:cstheme="minorHAnsi"/>
                <w:sz w:val="20"/>
                <w:lang w:eastAsia="it-IT"/>
              </w:rPr>
              <w:t>UIT entre les différents départements.</w:t>
            </w:r>
          </w:p>
        </w:tc>
        <w:tc>
          <w:tcPr>
            <w:tcW w:w="845" w:type="pct"/>
            <w:tcBorders>
              <w:top w:val="single" w:sz="4" w:space="0" w:color="auto"/>
              <w:left w:val="single" w:sz="4" w:space="0" w:color="auto"/>
              <w:bottom w:val="single" w:sz="4" w:space="0" w:color="auto"/>
              <w:right w:val="single" w:sz="4" w:space="0" w:color="auto"/>
            </w:tcBorders>
          </w:tcPr>
          <w:p w14:paraId="644BCDF1" w14:textId="41715F8F" w:rsidR="005D254F" w:rsidRPr="00F33205" w:rsidRDefault="00ED3CB9"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Clos</w:t>
            </w:r>
            <w:r w:rsidR="00607E37">
              <w:rPr>
                <w:rFonts w:asciiTheme="minorHAnsi" w:hAnsiTheme="minorHAnsi" w:cstheme="minorHAnsi"/>
                <w:sz w:val="20"/>
                <w:lang w:eastAsia="it-IT"/>
              </w:rPr>
              <w:t>.</w:t>
            </w:r>
          </w:p>
        </w:tc>
      </w:tr>
      <w:tr w:rsidR="00607E37" w:rsidRPr="00F33205" w14:paraId="057CF76B" w14:textId="77777777" w:rsidTr="00144AFF">
        <w:trPr>
          <w:jc w:val="center"/>
        </w:trPr>
        <w:tc>
          <w:tcPr>
            <w:tcW w:w="348" w:type="pct"/>
            <w:tcBorders>
              <w:top w:val="single" w:sz="4" w:space="0" w:color="auto"/>
              <w:left w:val="single" w:sz="4" w:space="0" w:color="auto"/>
              <w:bottom w:val="single" w:sz="4" w:space="0" w:color="auto"/>
              <w:right w:val="single" w:sz="4" w:space="0" w:color="auto"/>
            </w:tcBorders>
          </w:tcPr>
          <w:p w14:paraId="6A0D76C1" w14:textId="77777777" w:rsidR="005D254F" w:rsidRPr="00F33205" w:rsidRDefault="00A14867" w:rsidP="00B53AD7">
            <w:pPr>
              <w:keepNext/>
              <w:keepLines/>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2/2015</w:t>
            </w:r>
          </w:p>
        </w:tc>
        <w:tc>
          <w:tcPr>
            <w:tcW w:w="1309" w:type="pct"/>
            <w:tcBorders>
              <w:top w:val="single" w:sz="4" w:space="0" w:color="auto"/>
              <w:left w:val="single" w:sz="4" w:space="0" w:color="auto"/>
              <w:bottom w:val="single" w:sz="4" w:space="0" w:color="auto"/>
              <w:right w:val="single" w:sz="4" w:space="0" w:color="auto"/>
            </w:tcBorders>
          </w:tcPr>
          <w:p w14:paraId="2191C945" w14:textId="77777777" w:rsidR="00231DB7" w:rsidRPr="00F33205" w:rsidRDefault="00231DB7" w:rsidP="00607E37">
            <w:pPr>
              <w:pStyle w:val="Tabletext"/>
              <w:spacing w:before="120"/>
              <w:rPr>
                <w:rFonts w:asciiTheme="minorHAnsi" w:hAnsiTheme="minorHAnsi" w:cstheme="minorHAnsi"/>
                <w:b/>
                <w:bCs/>
                <w:i/>
                <w:iCs/>
                <w:sz w:val="20"/>
              </w:rPr>
            </w:pPr>
            <w:bookmarkStart w:id="501" w:name="_Toc452140241"/>
            <w:r w:rsidRPr="00F33205">
              <w:rPr>
                <w:rFonts w:asciiTheme="minorHAnsi" w:hAnsiTheme="minorHAnsi" w:cstheme="minorHAnsi"/>
                <w:b/>
                <w:bCs/>
                <w:i/>
                <w:iCs/>
                <w:sz w:val="20"/>
              </w:rPr>
              <w:t>Accords de pays hôte pour les bureaux hors siège</w:t>
            </w:r>
            <w:bookmarkEnd w:id="501"/>
          </w:p>
          <w:p w14:paraId="70E318E8" w14:textId="23C0787C" w:rsidR="005D254F" w:rsidRPr="00F33205" w:rsidRDefault="00231DB7" w:rsidP="00B53AD7">
            <w:pPr>
              <w:keepNext/>
              <w:keepLines/>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u w:val="single"/>
              </w:rPr>
              <w:t>Nous suggérons</w:t>
            </w:r>
            <w:r w:rsidRPr="00F33205">
              <w:rPr>
                <w:rFonts w:asciiTheme="minorHAnsi" w:hAnsiTheme="minorHAnsi" w:cstheme="minorHAnsi"/>
                <w:sz w:val="20"/>
              </w:rPr>
              <w:t xml:space="preserve"> par conséquent à la direction de l</w:t>
            </w:r>
            <w:r w:rsidR="001B30ED" w:rsidRPr="00F33205">
              <w:rPr>
                <w:rFonts w:asciiTheme="minorHAnsi" w:hAnsiTheme="minorHAnsi" w:cstheme="minorHAnsi"/>
                <w:sz w:val="20"/>
              </w:rPr>
              <w:t>'</w:t>
            </w:r>
            <w:r w:rsidRPr="00F33205">
              <w:rPr>
                <w:rFonts w:asciiTheme="minorHAnsi" w:hAnsiTheme="minorHAnsi" w:cstheme="minorHAnsi"/>
                <w:sz w:val="20"/>
              </w:rPr>
              <w:t>UIT de continuer à revoir les accords de pays hôte en vigueur, en vue d</w:t>
            </w:r>
            <w:r w:rsidR="001B30ED" w:rsidRPr="00F33205">
              <w:rPr>
                <w:rFonts w:asciiTheme="minorHAnsi" w:hAnsiTheme="minorHAnsi" w:cstheme="minorHAnsi"/>
                <w:sz w:val="20"/>
              </w:rPr>
              <w:t>'</w:t>
            </w:r>
            <w:r w:rsidRPr="00F33205">
              <w:rPr>
                <w:rFonts w:asciiTheme="minorHAnsi" w:hAnsiTheme="minorHAnsi" w:cstheme="minorHAnsi"/>
                <w:sz w:val="20"/>
              </w:rPr>
              <w:t>officialiser les "pratiques acceptées" et les conditions prévues dans le cadre des accords de pays hôte, afin de renforcer le rôle de l</w:t>
            </w:r>
            <w:r w:rsidR="001B30ED" w:rsidRPr="00F33205">
              <w:rPr>
                <w:rFonts w:asciiTheme="minorHAnsi" w:hAnsiTheme="minorHAnsi" w:cstheme="minorHAnsi"/>
                <w:sz w:val="20"/>
              </w:rPr>
              <w:t>'</w:t>
            </w:r>
            <w:r w:rsidRPr="00F33205">
              <w:rPr>
                <w:rFonts w:asciiTheme="minorHAnsi" w:hAnsiTheme="minorHAnsi" w:cstheme="minorHAnsi"/>
                <w:sz w:val="20"/>
              </w:rPr>
              <w:t>Union et de protéger ses actifs.</w:t>
            </w:r>
          </w:p>
        </w:tc>
        <w:tc>
          <w:tcPr>
            <w:tcW w:w="1241" w:type="pct"/>
            <w:tcBorders>
              <w:top w:val="single" w:sz="4" w:space="0" w:color="auto"/>
              <w:left w:val="single" w:sz="4" w:space="0" w:color="auto"/>
              <w:bottom w:val="single" w:sz="4" w:space="0" w:color="auto"/>
              <w:right w:val="single" w:sz="4" w:space="0" w:color="auto"/>
            </w:tcBorders>
          </w:tcPr>
          <w:p w14:paraId="533F6900" w14:textId="2133FE27" w:rsidR="00231DB7" w:rsidRPr="00F33205" w:rsidRDefault="00231DB7" w:rsidP="00607E37">
            <w:pPr>
              <w:pStyle w:val="Tabletext"/>
              <w:spacing w:before="120"/>
              <w:rPr>
                <w:rFonts w:asciiTheme="minorHAnsi" w:hAnsiTheme="minorHAnsi" w:cstheme="minorHAnsi"/>
                <w:sz w:val="20"/>
              </w:rPr>
            </w:pPr>
            <w:r w:rsidRPr="00F33205">
              <w:rPr>
                <w:rFonts w:asciiTheme="minorHAnsi" w:hAnsiTheme="minorHAnsi" w:cstheme="minorHAnsi"/>
                <w:sz w:val="20"/>
              </w:rPr>
              <w:t>La suggestion N°</w:t>
            </w:r>
            <w:r w:rsidR="0018444B" w:rsidRPr="00F33205">
              <w:rPr>
                <w:rFonts w:asciiTheme="minorHAnsi" w:hAnsiTheme="minorHAnsi" w:cstheme="minorHAnsi"/>
                <w:sz w:val="20"/>
              </w:rPr>
              <w:t> </w:t>
            </w:r>
            <w:r w:rsidRPr="00F33205">
              <w:rPr>
                <w:rFonts w:asciiTheme="minorHAnsi" w:hAnsiTheme="minorHAnsi" w:cstheme="minorHAnsi"/>
                <w:sz w:val="20"/>
              </w:rPr>
              <w:t xml:space="preserve">2 est légitime et, dans la pratique, sa mise en </w:t>
            </w:r>
            <w:r w:rsidR="00A55BE4" w:rsidRPr="00F33205">
              <w:rPr>
                <w:rFonts w:asciiTheme="minorHAnsi" w:hAnsiTheme="minorHAnsi" w:cstheme="minorHAnsi"/>
                <w:sz w:val="20"/>
              </w:rPr>
              <w:t>oe</w:t>
            </w:r>
            <w:r w:rsidRPr="00F33205">
              <w:rPr>
                <w:rFonts w:asciiTheme="minorHAnsi" w:hAnsiTheme="minorHAnsi" w:cstheme="minorHAnsi"/>
                <w:sz w:val="20"/>
              </w:rPr>
              <w:t xml:space="preserve">uvre est en cours depuis plusieurs années et se poursuivra </w:t>
            </w:r>
            <w:r w:rsidR="008F3D3C" w:rsidRPr="00F33205">
              <w:rPr>
                <w:rFonts w:asciiTheme="minorHAnsi" w:hAnsiTheme="minorHAnsi" w:cstheme="minorHAnsi"/>
                <w:sz w:val="20"/>
              </w:rPr>
              <w:t>à</w:t>
            </w:r>
            <w:r w:rsidRPr="00F33205">
              <w:rPr>
                <w:rFonts w:asciiTheme="minorHAnsi" w:hAnsiTheme="minorHAnsi" w:cstheme="minorHAnsi"/>
                <w:sz w:val="20"/>
              </w:rPr>
              <w:t xml:space="preserve"> l</w:t>
            </w:r>
            <w:r w:rsidR="001B30ED" w:rsidRPr="00F33205">
              <w:rPr>
                <w:rFonts w:asciiTheme="minorHAnsi" w:hAnsiTheme="minorHAnsi" w:cstheme="minorHAnsi"/>
                <w:sz w:val="20"/>
              </w:rPr>
              <w:t>'</w:t>
            </w:r>
            <w:r w:rsidRPr="00F33205">
              <w:rPr>
                <w:rFonts w:asciiTheme="minorHAnsi" w:hAnsiTheme="minorHAnsi" w:cstheme="minorHAnsi"/>
                <w:sz w:val="20"/>
              </w:rPr>
              <w:t>avenir.</w:t>
            </w:r>
          </w:p>
          <w:p w14:paraId="42AC146B" w14:textId="3B99ECAD" w:rsidR="00231DB7" w:rsidRPr="00F33205" w:rsidRDefault="00231DB7" w:rsidP="00B53AD7">
            <w:pPr>
              <w:pStyle w:val="Tabletext"/>
              <w:rPr>
                <w:rFonts w:asciiTheme="minorHAnsi" w:hAnsiTheme="minorHAnsi" w:cstheme="minorHAnsi"/>
                <w:sz w:val="20"/>
              </w:rPr>
            </w:pPr>
            <w:r w:rsidRPr="00F33205">
              <w:rPr>
                <w:rFonts w:asciiTheme="minorHAnsi" w:hAnsiTheme="minorHAnsi" w:cstheme="minorHAnsi"/>
                <w:sz w:val="20"/>
              </w:rPr>
              <w:t>Ainsi, un accord particulier pour le bureau de zone du Honduras, pour lequel il n</w:t>
            </w:r>
            <w:r w:rsidR="001B30ED" w:rsidRPr="00F33205">
              <w:rPr>
                <w:rFonts w:asciiTheme="minorHAnsi" w:hAnsiTheme="minorHAnsi" w:cstheme="minorHAnsi"/>
                <w:sz w:val="20"/>
              </w:rPr>
              <w:t>'</w:t>
            </w:r>
            <w:r w:rsidRPr="00F33205">
              <w:rPr>
                <w:rFonts w:asciiTheme="minorHAnsi" w:hAnsiTheme="minorHAnsi" w:cstheme="minorHAnsi"/>
                <w:sz w:val="20"/>
              </w:rPr>
              <w:t>existait pas d</w:t>
            </w:r>
            <w:r w:rsidR="001B30ED" w:rsidRPr="00F33205">
              <w:rPr>
                <w:rFonts w:asciiTheme="minorHAnsi" w:hAnsiTheme="minorHAnsi" w:cstheme="minorHAnsi"/>
                <w:sz w:val="20"/>
              </w:rPr>
              <w:t>'</w:t>
            </w:r>
            <w:r w:rsidRPr="00F33205">
              <w:rPr>
                <w:rFonts w:asciiTheme="minorHAnsi" w:hAnsiTheme="minorHAnsi" w:cstheme="minorHAnsi"/>
                <w:sz w:val="20"/>
              </w:rPr>
              <w:t>accord concret, a été conclu en 2013.</w:t>
            </w:r>
          </w:p>
          <w:p w14:paraId="5E982A88" w14:textId="13CE3ADB" w:rsidR="00231DB7" w:rsidRPr="00F33205" w:rsidRDefault="00231DB7" w:rsidP="00B53AD7">
            <w:pPr>
              <w:pStyle w:val="Tabletext"/>
              <w:rPr>
                <w:rFonts w:asciiTheme="minorHAnsi" w:hAnsiTheme="minorHAnsi" w:cstheme="minorHAnsi"/>
                <w:sz w:val="20"/>
              </w:rPr>
            </w:pPr>
            <w:r w:rsidRPr="00F33205">
              <w:rPr>
                <w:rFonts w:asciiTheme="minorHAnsi" w:hAnsiTheme="minorHAnsi" w:cstheme="minorHAnsi"/>
                <w:sz w:val="20"/>
              </w:rPr>
              <w:t>De même, un accord formel devrait être signé très prochainement pour le bureau de zone d</w:t>
            </w:r>
            <w:r w:rsidR="001B30ED" w:rsidRPr="00F33205">
              <w:rPr>
                <w:rFonts w:asciiTheme="minorHAnsi" w:hAnsiTheme="minorHAnsi" w:cstheme="minorHAnsi"/>
                <w:sz w:val="20"/>
              </w:rPr>
              <w:t>'</w:t>
            </w:r>
            <w:r w:rsidRPr="00F33205">
              <w:rPr>
                <w:rFonts w:asciiTheme="minorHAnsi" w:hAnsiTheme="minorHAnsi" w:cstheme="minorHAnsi"/>
                <w:sz w:val="20"/>
              </w:rPr>
              <w:t>Indonésie (pour lequel il n</w:t>
            </w:r>
            <w:r w:rsidR="001B30ED" w:rsidRPr="00F33205">
              <w:rPr>
                <w:rFonts w:asciiTheme="minorHAnsi" w:hAnsiTheme="minorHAnsi" w:cstheme="minorHAnsi"/>
                <w:sz w:val="20"/>
              </w:rPr>
              <w:t>'</w:t>
            </w:r>
            <w:r w:rsidRPr="00F33205">
              <w:rPr>
                <w:rFonts w:asciiTheme="minorHAnsi" w:hAnsiTheme="minorHAnsi" w:cstheme="minorHAnsi"/>
                <w:sz w:val="20"/>
              </w:rPr>
              <w:t>existe actuellement aucun accord formel); le projet d</w:t>
            </w:r>
            <w:r w:rsidR="001B30ED" w:rsidRPr="00F33205">
              <w:rPr>
                <w:rFonts w:asciiTheme="minorHAnsi" w:hAnsiTheme="minorHAnsi" w:cstheme="minorHAnsi"/>
                <w:sz w:val="20"/>
              </w:rPr>
              <w:t>'</w:t>
            </w:r>
            <w:r w:rsidRPr="00F33205">
              <w:rPr>
                <w:rFonts w:asciiTheme="minorHAnsi" w:hAnsiTheme="minorHAnsi" w:cstheme="minorHAnsi"/>
                <w:sz w:val="20"/>
              </w:rPr>
              <w:t>accord a reçu l</w:t>
            </w:r>
            <w:r w:rsidR="001B30ED" w:rsidRPr="00F33205">
              <w:rPr>
                <w:rFonts w:asciiTheme="minorHAnsi" w:hAnsiTheme="minorHAnsi" w:cstheme="minorHAnsi"/>
                <w:sz w:val="20"/>
              </w:rPr>
              <w:t>'</w:t>
            </w:r>
            <w:r w:rsidRPr="00F33205">
              <w:rPr>
                <w:rFonts w:asciiTheme="minorHAnsi" w:hAnsiTheme="minorHAnsi" w:cstheme="minorHAnsi"/>
                <w:sz w:val="20"/>
              </w:rPr>
              <w:t>accord de principe des deux parties, à l</w:t>
            </w:r>
            <w:r w:rsidR="001B30ED" w:rsidRPr="00F33205">
              <w:rPr>
                <w:rFonts w:asciiTheme="minorHAnsi" w:hAnsiTheme="minorHAnsi" w:cstheme="minorHAnsi"/>
                <w:sz w:val="20"/>
              </w:rPr>
              <w:t>'</w:t>
            </w:r>
            <w:r w:rsidRPr="00F33205">
              <w:rPr>
                <w:rFonts w:asciiTheme="minorHAnsi" w:hAnsiTheme="minorHAnsi" w:cstheme="minorHAnsi"/>
                <w:sz w:val="20"/>
              </w:rPr>
              <w:t>exception d</w:t>
            </w:r>
            <w:r w:rsidR="001B30ED" w:rsidRPr="00F33205">
              <w:rPr>
                <w:rFonts w:asciiTheme="minorHAnsi" w:hAnsiTheme="minorHAnsi" w:cstheme="minorHAnsi"/>
                <w:sz w:val="20"/>
              </w:rPr>
              <w:t>'</w:t>
            </w:r>
            <w:r w:rsidRPr="00F33205">
              <w:rPr>
                <w:rFonts w:asciiTheme="minorHAnsi" w:hAnsiTheme="minorHAnsi" w:cstheme="minorHAnsi"/>
                <w:sz w:val="20"/>
              </w:rPr>
              <w:t>un paragraphe qui est en suspens en raison de consultations internes au sein du Gouvernement de l</w:t>
            </w:r>
            <w:r w:rsidR="001B30ED" w:rsidRPr="00F33205">
              <w:rPr>
                <w:rFonts w:asciiTheme="minorHAnsi" w:hAnsiTheme="minorHAnsi" w:cstheme="minorHAnsi"/>
                <w:sz w:val="20"/>
              </w:rPr>
              <w:t>'</w:t>
            </w:r>
            <w:r w:rsidRPr="00F33205">
              <w:rPr>
                <w:rFonts w:asciiTheme="minorHAnsi" w:hAnsiTheme="minorHAnsi" w:cstheme="minorHAnsi"/>
                <w:sz w:val="20"/>
              </w:rPr>
              <w:t>Indonésie. Une révision de l</w:t>
            </w:r>
            <w:r w:rsidR="001B30ED" w:rsidRPr="00F33205">
              <w:rPr>
                <w:rFonts w:asciiTheme="minorHAnsi" w:hAnsiTheme="minorHAnsi" w:cstheme="minorHAnsi"/>
                <w:sz w:val="20"/>
              </w:rPr>
              <w:t>'</w:t>
            </w:r>
            <w:r w:rsidRPr="00F33205">
              <w:rPr>
                <w:rFonts w:asciiTheme="minorHAnsi" w:hAnsiTheme="minorHAnsi" w:cstheme="minorHAnsi"/>
                <w:sz w:val="20"/>
              </w:rPr>
              <w:t>accord de pays hôte actuellement en vigueur pour le bureau régional de Bangkok pourrait également être achevée sous peu. Enfin, des négociations relatives à la conclusion d</w:t>
            </w:r>
            <w:r w:rsidR="001B30ED" w:rsidRPr="00F33205">
              <w:rPr>
                <w:rFonts w:asciiTheme="minorHAnsi" w:hAnsiTheme="minorHAnsi" w:cstheme="minorHAnsi"/>
                <w:sz w:val="20"/>
              </w:rPr>
              <w:t>'</w:t>
            </w:r>
            <w:r w:rsidRPr="00F33205">
              <w:rPr>
                <w:rFonts w:asciiTheme="minorHAnsi" w:hAnsiTheme="minorHAnsi" w:cstheme="minorHAnsi"/>
                <w:sz w:val="20"/>
              </w:rPr>
              <w:t>un accord de pays hôte pour le bureau de zone du Chili sont également en cours.</w:t>
            </w:r>
          </w:p>
          <w:p w14:paraId="0EA47F32" w14:textId="3B739C73" w:rsidR="005D254F" w:rsidRPr="00F33205" w:rsidRDefault="00231DB7" w:rsidP="00B53AD7">
            <w:pPr>
              <w:keepNext/>
              <w:keepLines/>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rPr>
              <w:t>L</w:t>
            </w:r>
            <w:r w:rsidR="001B30ED" w:rsidRPr="00F33205">
              <w:rPr>
                <w:rFonts w:asciiTheme="minorHAnsi" w:hAnsiTheme="minorHAnsi" w:cstheme="minorHAnsi"/>
                <w:sz w:val="20"/>
              </w:rPr>
              <w:t>'</w:t>
            </w:r>
            <w:r w:rsidRPr="00F33205">
              <w:rPr>
                <w:rFonts w:asciiTheme="minorHAnsi" w:hAnsiTheme="minorHAnsi" w:cstheme="minorHAnsi"/>
                <w:sz w:val="20"/>
              </w:rPr>
              <w:t>objectif des négociations en cours concernant les bureaux hors siège pour lesquels il n</w:t>
            </w:r>
            <w:r w:rsidR="001B30ED" w:rsidRPr="00F33205">
              <w:rPr>
                <w:rFonts w:asciiTheme="minorHAnsi" w:hAnsiTheme="minorHAnsi" w:cstheme="minorHAnsi"/>
                <w:sz w:val="20"/>
              </w:rPr>
              <w:t>'</w:t>
            </w:r>
            <w:r w:rsidRPr="00F33205">
              <w:rPr>
                <w:rFonts w:asciiTheme="minorHAnsi" w:hAnsiTheme="minorHAnsi" w:cstheme="minorHAnsi"/>
                <w:sz w:val="20"/>
              </w:rPr>
              <w:t>existe pas d</w:t>
            </w:r>
            <w:r w:rsidR="001B30ED" w:rsidRPr="00F33205">
              <w:rPr>
                <w:rFonts w:asciiTheme="minorHAnsi" w:hAnsiTheme="minorHAnsi" w:cstheme="minorHAnsi"/>
                <w:sz w:val="20"/>
              </w:rPr>
              <w:t>'</w:t>
            </w:r>
            <w:r w:rsidRPr="00F33205">
              <w:rPr>
                <w:rFonts w:asciiTheme="minorHAnsi" w:hAnsiTheme="minorHAnsi" w:cstheme="minorHAnsi"/>
                <w:sz w:val="20"/>
              </w:rPr>
              <w:t>accord officiel de pays hôte, est de codifier la pratique existante dans le cadre d</w:t>
            </w:r>
            <w:r w:rsidR="001B30ED" w:rsidRPr="00F33205">
              <w:rPr>
                <w:rFonts w:asciiTheme="minorHAnsi" w:hAnsiTheme="minorHAnsi" w:cstheme="minorHAnsi"/>
                <w:sz w:val="20"/>
              </w:rPr>
              <w:t>'</w:t>
            </w:r>
            <w:r w:rsidRPr="00F33205">
              <w:rPr>
                <w:rFonts w:asciiTheme="minorHAnsi" w:hAnsiTheme="minorHAnsi" w:cstheme="minorHAnsi"/>
                <w:sz w:val="20"/>
              </w:rPr>
              <w:t>un accord avec les pays hôtes concernés.</w:t>
            </w:r>
          </w:p>
        </w:tc>
        <w:tc>
          <w:tcPr>
            <w:tcW w:w="1257" w:type="pct"/>
            <w:tcBorders>
              <w:top w:val="single" w:sz="4" w:space="0" w:color="auto"/>
              <w:left w:val="single" w:sz="4" w:space="0" w:color="auto"/>
              <w:bottom w:val="single" w:sz="4" w:space="0" w:color="auto"/>
              <w:right w:val="single" w:sz="4" w:space="0" w:color="auto"/>
            </w:tcBorders>
          </w:tcPr>
          <w:p w14:paraId="57B06832" w14:textId="77777777" w:rsidR="00231DB7" w:rsidRPr="00F33205" w:rsidRDefault="00231DB7" w:rsidP="00607E37">
            <w:pPr>
              <w:pStyle w:val="Tabletext"/>
              <w:spacing w:before="120"/>
              <w:rPr>
                <w:rFonts w:asciiTheme="minorHAnsi" w:hAnsiTheme="minorHAnsi" w:cstheme="minorHAnsi"/>
                <w:b/>
                <w:bCs/>
                <w:sz w:val="20"/>
                <w:lang w:eastAsia="it-IT"/>
              </w:rPr>
            </w:pPr>
            <w:r w:rsidRPr="00F33205">
              <w:rPr>
                <w:rFonts w:asciiTheme="minorHAnsi" w:hAnsiTheme="minorHAnsi" w:cstheme="minorHAnsi"/>
                <w:b/>
                <w:bCs/>
                <w:sz w:val="20"/>
                <w:lang w:eastAsia="it-IT"/>
              </w:rPr>
              <w:t>Mise à jour de fin avril 2017:</w:t>
            </w:r>
          </w:p>
          <w:p w14:paraId="259A277F" w14:textId="01E21353" w:rsidR="005D254F" w:rsidRPr="00F33205" w:rsidRDefault="00231DB7" w:rsidP="00B53AD7">
            <w:pPr>
              <w:keepNext/>
              <w:keepLines/>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rPr>
              <w:t>Après huit années de négociations, un accord en bonne et due forme a été signé en avril</w:t>
            </w:r>
            <w:r w:rsidR="0018444B" w:rsidRPr="00F33205">
              <w:rPr>
                <w:rFonts w:asciiTheme="minorHAnsi" w:hAnsiTheme="minorHAnsi" w:cstheme="minorHAnsi"/>
                <w:sz w:val="20"/>
              </w:rPr>
              <w:t> </w:t>
            </w:r>
            <w:r w:rsidRPr="00F33205">
              <w:rPr>
                <w:rFonts w:asciiTheme="minorHAnsi" w:hAnsiTheme="minorHAnsi" w:cstheme="minorHAnsi"/>
                <w:sz w:val="20"/>
              </w:rPr>
              <w:t>2017 pour le Bureau de zone pour l</w:t>
            </w:r>
            <w:r w:rsidR="001B30ED" w:rsidRPr="00F33205">
              <w:rPr>
                <w:rFonts w:asciiTheme="minorHAnsi" w:hAnsiTheme="minorHAnsi" w:cstheme="minorHAnsi"/>
                <w:sz w:val="20"/>
              </w:rPr>
              <w:t>'</w:t>
            </w:r>
            <w:r w:rsidRPr="00F33205">
              <w:rPr>
                <w:rFonts w:asciiTheme="minorHAnsi" w:hAnsiTheme="minorHAnsi" w:cstheme="minorHAnsi"/>
                <w:sz w:val="20"/>
              </w:rPr>
              <w:t>Indonésie (pour lequel il n</w:t>
            </w:r>
            <w:r w:rsidR="001B30ED" w:rsidRPr="00F33205">
              <w:rPr>
                <w:rFonts w:asciiTheme="minorHAnsi" w:hAnsiTheme="minorHAnsi" w:cstheme="minorHAnsi"/>
                <w:sz w:val="20"/>
              </w:rPr>
              <w:t>'</w:t>
            </w:r>
            <w:r w:rsidRPr="00F33205">
              <w:rPr>
                <w:rFonts w:asciiTheme="minorHAnsi" w:hAnsiTheme="minorHAnsi" w:cstheme="minorHAnsi"/>
                <w:sz w:val="20"/>
              </w:rPr>
              <w:t>y avait pas d</w:t>
            </w:r>
            <w:r w:rsidR="001B30ED" w:rsidRPr="00F33205">
              <w:rPr>
                <w:rFonts w:asciiTheme="minorHAnsi" w:hAnsiTheme="minorHAnsi" w:cstheme="minorHAnsi"/>
                <w:sz w:val="20"/>
              </w:rPr>
              <w:t>'</w:t>
            </w:r>
            <w:r w:rsidRPr="00F33205">
              <w:rPr>
                <w:rFonts w:asciiTheme="minorHAnsi" w:hAnsiTheme="minorHAnsi" w:cstheme="minorHAnsi"/>
                <w:sz w:val="20"/>
              </w:rPr>
              <w:t>accord en bonne et due forme). La révision de l</w:t>
            </w:r>
            <w:r w:rsidR="001B30ED" w:rsidRPr="00F33205">
              <w:rPr>
                <w:rFonts w:asciiTheme="minorHAnsi" w:hAnsiTheme="minorHAnsi" w:cstheme="minorHAnsi"/>
                <w:sz w:val="20"/>
              </w:rPr>
              <w:t>'</w:t>
            </w:r>
            <w:r w:rsidRPr="00F33205">
              <w:rPr>
                <w:rFonts w:asciiTheme="minorHAnsi" w:hAnsiTheme="minorHAnsi" w:cstheme="minorHAnsi"/>
                <w:sz w:val="20"/>
              </w:rPr>
              <w:t>accord de pays hôte actuellement en vigueur pour le bureau régional de Bangkok pourrait elle aussi être bientôt finalisée. Enfin, les négociations pour la conclusion d</w:t>
            </w:r>
            <w:r w:rsidR="001B30ED" w:rsidRPr="00F33205">
              <w:rPr>
                <w:rFonts w:asciiTheme="minorHAnsi" w:hAnsiTheme="minorHAnsi" w:cstheme="minorHAnsi"/>
                <w:sz w:val="20"/>
              </w:rPr>
              <w:t>'</w:t>
            </w:r>
            <w:r w:rsidRPr="00F33205">
              <w:rPr>
                <w:rFonts w:asciiTheme="minorHAnsi" w:hAnsiTheme="minorHAnsi" w:cstheme="minorHAnsi"/>
                <w:sz w:val="20"/>
              </w:rPr>
              <w:t>un accord de pays hôte concernant le bureau de zone ou Chili sont en cours.</w:t>
            </w:r>
          </w:p>
          <w:p w14:paraId="4D4A854C" w14:textId="3C06AAED"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1EB8C7BA" w14:textId="7EFE3B85" w:rsidR="005D254F" w:rsidRPr="00F33205" w:rsidRDefault="00530799" w:rsidP="00B53AD7">
            <w:pPr>
              <w:keepNext/>
              <w:keepLines/>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Aucune</w:t>
            </w:r>
            <w:r w:rsidR="00607E37">
              <w:rPr>
                <w:rFonts w:asciiTheme="minorHAnsi" w:hAnsiTheme="minorHAnsi" w:cstheme="minorHAnsi"/>
                <w:sz w:val="20"/>
                <w:lang w:eastAsia="it-IT"/>
              </w:rPr>
              <w:t>.</w:t>
            </w:r>
          </w:p>
        </w:tc>
        <w:tc>
          <w:tcPr>
            <w:tcW w:w="845" w:type="pct"/>
            <w:tcBorders>
              <w:top w:val="single" w:sz="4" w:space="0" w:color="auto"/>
              <w:left w:val="single" w:sz="4" w:space="0" w:color="auto"/>
              <w:bottom w:val="single" w:sz="4" w:space="0" w:color="auto"/>
              <w:right w:val="single" w:sz="4" w:space="0" w:color="auto"/>
            </w:tcBorders>
          </w:tcPr>
          <w:p w14:paraId="31D2F7E6" w14:textId="018F0D3C" w:rsidR="005D254F" w:rsidRPr="00F33205" w:rsidRDefault="00231DB7" w:rsidP="00B53AD7">
            <w:pPr>
              <w:keepNext/>
              <w:keepLines/>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En cours</w:t>
            </w:r>
            <w:r w:rsidR="00607E37">
              <w:rPr>
                <w:rFonts w:asciiTheme="minorHAnsi" w:hAnsiTheme="minorHAnsi" w:cstheme="minorHAnsi"/>
                <w:sz w:val="20"/>
                <w:lang w:eastAsia="it-IT"/>
              </w:rPr>
              <w:t>.</w:t>
            </w:r>
          </w:p>
        </w:tc>
      </w:tr>
      <w:tr w:rsidR="00607E37" w:rsidRPr="00F33205" w14:paraId="06AA9C45" w14:textId="77777777" w:rsidTr="00144AFF">
        <w:trPr>
          <w:jc w:val="center"/>
        </w:trPr>
        <w:tc>
          <w:tcPr>
            <w:tcW w:w="348" w:type="pct"/>
            <w:tcBorders>
              <w:top w:val="single" w:sz="4" w:space="0" w:color="auto"/>
              <w:left w:val="single" w:sz="4" w:space="0" w:color="auto"/>
              <w:bottom w:val="single" w:sz="4" w:space="0" w:color="auto"/>
              <w:right w:val="single" w:sz="4" w:space="0" w:color="auto"/>
            </w:tcBorders>
          </w:tcPr>
          <w:p w14:paraId="262C7494" w14:textId="77777777"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1/2014</w:t>
            </w:r>
          </w:p>
        </w:tc>
        <w:tc>
          <w:tcPr>
            <w:tcW w:w="1309" w:type="pct"/>
            <w:tcBorders>
              <w:top w:val="single" w:sz="4" w:space="0" w:color="auto"/>
              <w:left w:val="single" w:sz="4" w:space="0" w:color="auto"/>
              <w:bottom w:val="single" w:sz="4" w:space="0" w:color="auto"/>
              <w:right w:val="single" w:sz="4" w:space="0" w:color="auto"/>
            </w:tcBorders>
          </w:tcPr>
          <w:p w14:paraId="128107CB" w14:textId="142AA8F5" w:rsidR="00A14867" w:rsidRPr="00F33205" w:rsidRDefault="00A14867" w:rsidP="00607E37">
            <w:pPr>
              <w:pStyle w:val="Tabletext"/>
              <w:keepNext/>
              <w:keepLines/>
              <w:spacing w:before="120"/>
              <w:rPr>
                <w:rFonts w:asciiTheme="minorHAnsi" w:hAnsiTheme="minorHAnsi" w:cstheme="minorHAnsi"/>
                <w:b/>
                <w:bCs/>
                <w:i/>
                <w:iCs/>
                <w:sz w:val="20"/>
                <w:lang w:eastAsia="it-IT"/>
              </w:rPr>
            </w:pPr>
            <w:r w:rsidRPr="00F33205">
              <w:rPr>
                <w:rFonts w:asciiTheme="minorHAnsi" w:hAnsiTheme="minorHAnsi" w:cstheme="minorHAnsi"/>
                <w:b/>
                <w:bCs/>
                <w:i/>
                <w:iCs/>
                <w:sz w:val="20"/>
                <w:lang w:eastAsia="it-IT"/>
              </w:rPr>
              <w:t>Actifs de faible valeur</w:t>
            </w:r>
          </w:p>
          <w:p w14:paraId="7B14A8CB" w14:textId="3090156D" w:rsidR="005D254F" w:rsidRPr="00F33205" w:rsidRDefault="00A14867" w:rsidP="00B53AD7">
            <w:pPr>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lang w:eastAsia="it-IT"/>
              </w:rPr>
              <w:t xml:space="preserve">A cet égard, </w:t>
            </w:r>
            <w:r w:rsidRPr="006A0D6B">
              <w:rPr>
                <w:rFonts w:asciiTheme="minorHAnsi" w:hAnsiTheme="minorHAnsi" w:cstheme="minorHAnsi"/>
                <w:sz w:val="20"/>
                <w:u w:val="single"/>
                <w:lang w:eastAsia="it-IT"/>
              </w:rPr>
              <w:t xml:space="preserve">nous </w:t>
            </w:r>
            <w:r w:rsidRPr="00F33205">
              <w:rPr>
                <w:rFonts w:asciiTheme="minorHAnsi" w:hAnsiTheme="minorHAnsi" w:cstheme="minorHAnsi"/>
                <w:sz w:val="20"/>
                <w:u w:val="single"/>
                <w:lang w:eastAsia="it-IT"/>
              </w:rPr>
              <w:t>suggérons</w:t>
            </w:r>
            <w:r w:rsidRPr="00F33205">
              <w:rPr>
                <w:rFonts w:asciiTheme="minorHAnsi" w:hAnsiTheme="minorHAnsi" w:cstheme="minorHAnsi"/>
                <w:sz w:val="20"/>
                <w:lang w:eastAsia="it-IT"/>
              </w:rPr>
              <w:t xml:space="preserve"> à la direction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envisager de revoir le seuil des actifs de faible valeur et, en particulier, de spécifier les différentes catégories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actifs et les amortissements correspondants en fonction de la durée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utilité.</w:t>
            </w:r>
          </w:p>
        </w:tc>
        <w:tc>
          <w:tcPr>
            <w:tcW w:w="1241" w:type="pct"/>
            <w:tcBorders>
              <w:top w:val="single" w:sz="4" w:space="0" w:color="auto"/>
              <w:left w:val="single" w:sz="4" w:space="0" w:color="auto"/>
              <w:bottom w:val="single" w:sz="4" w:space="0" w:color="auto"/>
              <w:right w:val="single" w:sz="4" w:space="0" w:color="auto"/>
            </w:tcBorders>
          </w:tcPr>
          <w:p w14:paraId="629C80D6" w14:textId="299FC450" w:rsidR="005D254F" w:rsidRPr="00F33205" w:rsidRDefault="00A14867" w:rsidP="00607E37">
            <w:pPr>
              <w:keepNext/>
              <w:keepLines/>
              <w:spacing w:after="60"/>
              <w:rPr>
                <w:rFonts w:asciiTheme="minorHAnsi" w:hAnsiTheme="minorHAnsi" w:cstheme="minorHAnsi"/>
                <w:sz w:val="20"/>
                <w:highlight w:val="yellow"/>
                <w:lang w:eastAsia="it-IT"/>
              </w:rPr>
            </w:pPr>
            <w:r w:rsidRPr="00F33205">
              <w:rPr>
                <w:rFonts w:asciiTheme="minorHAnsi" w:hAnsiTheme="minorHAnsi" w:cstheme="minorHAnsi"/>
                <w:sz w:val="20"/>
                <w:lang w:eastAsia="it-IT"/>
              </w:rPr>
              <w:t>Cette suggestion sera examinée afin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analyser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incidence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introduction de seuils différenciés en fonction de la catégorie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immobilisations. Il est à noter que le montant de 15,2 millions CHF représente le montant cumulatif des actifs de faible valeur pris en compte dans le modèle des immobilisations depuis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 xml:space="preserve">introduction des normes IPSAS (y compris le solde avant la mise en </w:t>
            </w:r>
            <w:r w:rsidR="00A55BE4" w:rsidRPr="00F33205">
              <w:rPr>
                <w:rFonts w:asciiTheme="minorHAnsi" w:hAnsiTheme="minorHAnsi" w:cstheme="minorHAnsi"/>
                <w:sz w:val="20"/>
                <w:lang w:eastAsia="it-IT"/>
              </w:rPr>
              <w:t>oe</w:t>
            </w:r>
            <w:r w:rsidRPr="00F33205">
              <w:rPr>
                <w:rFonts w:asciiTheme="minorHAnsi" w:hAnsiTheme="minorHAnsi" w:cstheme="minorHAnsi"/>
                <w:sz w:val="20"/>
                <w:lang w:eastAsia="it-IT"/>
              </w:rPr>
              <w:t>uvre des normes IPSAS).</w:t>
            </w:r>
          </w:p>
        </w:tc>
        <w:tc>
          <w:tcPr>
            <w:tcW w:w="1257" w:type="pct"/>
            <w:tcBorders>
              <w:top w:val="single" w:sz="4" w:space="0" w:color="auto"/>
              <w:left w:val="single" w:sz="4" w:space="0" w:color="auto"/>
              <w:bottom w:val="single" w:sz="4" w:space="0" w:color="auto"/>
              <w:right w:val="single" w:sz="4" w:space="0" w:color="auto"/>
            </w:tcBorders>
          </w:tcPr>
          <w:p w14:paraId="29076CC8" w14:textId="7C136BA7" w:rsidR="00A14867" w:rsidRPr="00F33205" w:rsidRDefault="00A14867" w:rsidP="00607E37">
            <w:pPr>
              <w:pStyle w:val="Tabletext"/>
              <w:keepNext/>
              <w:keepLines/>
              <w:spacing w:before="120"/>
              <w:rPr>
                <w:rFonts w:asciiTheme="minorHAnsi" w:hAnsiTheme="minorHAnsi" w:cstheme="minorHAnsi"/>
                <w:sz w:val="20"/>
                <w:lang w:eastAsia="it-IT"/>
              </w:rPr>
            </w:pPr>
            <w:r w:rsidRPr="00F33205">
              <w:rPr>
                <w:rFonts w:asciiTheme="minorHAnsi" w:hAnsiTheme="minorHAnsi" w:cstheme="minorHAnsi"/>
                <w:sz w:val="20"/>
                <w:lang w:eastAsia="it-IT"/>
              </w:rPr>
              <w:t xml:space="preserve">La mise en </w:t>
            </w:r>
            <w:r w:rsidR="00A55BE4" w:rsidRPr="00F33205">
              <w:rPr>
                <w:rFonts w:asciiTheme="minorHAnsi" w:hAnsiTheme="minorHAnsi" w:cstheme="minorHAnsi"/>
                <w:sz w:val="20"/>
                <w:lang w:eastAsia="it-IT"/>
              </w:rPr>
              <w:t>oe</w:t>
            </w:r>
            <w:r w:rsidRPr="00F33205">
              <w:rPr>
                <w:rFonts w:asciiTheme="minorHAnsi" w:hAnsiTheme="minorHAnsi" w:cstheme="minorHAnsi"/>
                <w:sz w:val="20"/>
                <w:lang w:eastAsia="it-IT"/>
              </w:rPr>
              <w:t>uvre de cette suggestion est en cours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évaluation.</w:t>
            </w:r>
          </w:p>
          <w:p w14:paraId="1CE502BC" w14:textId="77777777" w:rsidR="00A14867" w:rsidRPr="00F33205" w:rsidRDefault="00A14867" w:rsidP="00B53AD7">
            <w:pPr>
              <w:pStyle w:val="Tabletext"/>
              <w:keepNext/>
              <w:keepLines/>
              <w:rPr>
                <w:rFonts w:asciiTheme="minorHAnsi" w:hAnsiTheme="minorHAnsi" w:cstheme="minorHAnsi"/>
                <w:sz w:val="20"/>
                <w:lang w:eastAsia="it-IT"/>
              </w:rPr>
            </w:pPr>
            <w:r w:rsidRPr="00F33205">
              <w:rPr>
                <w:rFonts w:asciiTheme="minorHAnsi" w:hAnsiTheme="minorHAnsi" w:cstheme="minorHAnsi"/>
                <w:b/>
                <w:bCs/>
                <w:sz w:val="20"/>
                <w:lang w:eastAsia="it-IT"/>
              </w:rPr>
              <w:t>Mise à jour de fin avril 2017:</w:t>
            </w:r>
          </w:p>
          <w:p w14:paraId="18A6A41E" w14:textId="4D0C417F" w:rsidR="005D254F" w:rsidRPr="00F33205" w:rsidRDefault="00A14867" w:rsidP="00B53AD7">
            <w:pPr>
              <w:widowControl w:val="0"/>
              <w:kinsoku w:val="0"/>
              <w:rPr>
                <w:rFonts w:asciiTheme="minorHAnsi" w:hAnsiTheme="minorHAnsi" w:cstheme="minorHAnsi"/>
                <w:bCs/>
                <w:sz w:val="20"/>
                <w:highlight w:val="yellow"/>
                <w:lang w:eastAsia="it-IT"/>
              </w:rPr>
            </w:pPr>
            <w:r w:rsidRPr="00F33205">
              <w:rPr>
                <w:rFonts w:asciiTheme="minorHAnsi" w:hAnsiTheme="minorHAnsi" w:cstheme="minorHAnsi"/>
                <w:sz w:val="20"/>
              </w:rPr>
              <w:t>La décision sera prise en fonction des résultats de l</w:t>
            </w:r>
            <w:r w:rsidR="001B30ED" w:rsidRPr="00F33205">
              <w:rPr>
                <w:rFonts w:asciiTheme="minorHAnsi" w:hAnsiTheme="minorHAnsi" w:cstheme="minorHAnsi"/>
                <w:sz w:val="20"/>
              </w:rPr>
              <w:t>'</w:t>
            </w:r>
            <w:r w:rsidRPr="00F33205">
              <w:rPr>
                <w:rFonts w:asciiTheme="minorHAnsi" w:hAnsiTheme="minorHAnsi" w:cstheme="minorHAnsi"/>
                <w:sz w:val="20"/>
              </w:rPr>
              <w:t>examen des incidences comptables qui sont en cours d</w:t>
            </w:r>
            <w:r w:rsidR="001B30ED" w:rsidRPr="00F33205">
              <w:rPr>
                <w:rFonts w:asciiTheme="minorHAnsi" w:hAnsiTheme="minorHAnsi" w:cstheme="minorHAnsi"/>
                <w:sz w:val="20"/>
              </w:rPr>
              <w:t>'</w:t>
            </w:r>
            <w:r w:rsidRPr="00F33205">
              <w:rPr>
                <w:rFonts w:asciiTheme="minorHAnsi" w:hAnsiTheme="minorHAnsi" w:cstheme="minorHAnsi"/>
                <w:sz w:val="20"/>
              </w:rPr>
              <w:t>examen.</w:t>
            </w:r>
          </w:p>
          <w:p w14:paraId="3EE89A96" w14:textId="3B55E828"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3AD98C3F" w14:textId="34681F04" w:rsidR="001A2A51" w:rsidRPr="00F33205" w:rsidRDefault="001A2A51" w:rsidP="004F6DF1">
            <w:pPr>
              <w:widowControl w:val="0"/>
              <w:kinsoku w:val="0"/>
              <w:spacing w:after="60"/>
              <w:rPr>
                <w:rFonts w:asciiTheme="minorHAnsi" w:hAnsiTheme="minorHAnsi" w:cstheme="minorHAnsi"/>
                <w:sz w:val="20"/>
                <w:lang w:eastAsia="it-IT"/>
              </w:rPr>
            </w:pPr>
            <w:r w:rsidRPr="00F33205">
              <w:rPr>
                <w:rFonts w:asciiTheme="minorHAnsi" w:hAnsiTheme="minorHAnsi" w:cstheme="minorHAnsi"/>
                <w:spacing w:val="-2"/>
                <w:sz w:val="20"/>
                <w:lang w:eastAsia="it-IT"/>
              </w:rPr>
              <w:t xml:space="preserve">La mise en </w:t>
            </w:r>
            <w:r w:rsidR="00A55BE4" w:rsidRPr="00F33205">
              <w:rPr>
                <w:rFonts w:asciiTheme="minorHAnsi" w:hAnsiTheme="minorHAnsi" w:cstheme="minorHAnsi"/>
                <w:spacing w:val="-2"/>
                <w:sz w:val="20"/>
                <w:lang w:eastAsia="it-IT"/>
              </w:rPr>
              <w:t>oe</w:t>
            </w:r>
            <w:r w:rsidRPr="00F33205">
              <w:rPr>
                <w:rFonts w:asciiTheme="minorHAnsi" w:hAnsiTheme="minorHAnsi" w:cstheme="minorHAnsi"/>
                <w:spacing w:val="-2"/>
                <w:sz w:val="20"/>
                <w:lang w:eastAsia="it-IT"/>
              </w:rPr>
              <w:t>uvre de cette suggestion est encore en cours d</w:t>
            </w:r>
            <w:r w:rsidR="001B30ED" w:rsidRPr="00F33205">
              <w:rPr>
                <w:rFonts w:asciiTheme="minorHAnsi" w:hAnsiTheme="minorHAnsi" w:cstheme="minorHAnsi"/>
                <w:spacing w:val="-2"/>
                <w:sz w:val="20"/>
                <w:lang w:eastAsia="it-IT"/>
              </w:rPr>
              <w:t>'</w:t>
            </w:r>
            <w:r w:rsidRPr="00F33205">
              <w:rPr>
                <w:rFonts w:asciiTheme="minorHAnsi" w:hAnsiTheme="minorHAnsi" w:cstheme="minorHAnsi"/>
                <w:spacing w:val="-2"/>
                <w:sz w:val="20"/>
                <w:lang w:eastAsia="it-IT"/>
              </w:rPr>
              <w:t>évaluation, et l</w:t>
            </w:r>
            <w:r w:rsidR="001B30ED" w:rsidRPr="00F33205">
              <w:rPr>
                <w:rFonts w:asciiTheme="minorHAnsi" w:hAnsiTheme="minorHAnsi" w:cstheme="minorHAnsi"/>
                <w:spacing w:val="-2"/>
                <w:sz w:val="20"/>
                <w:lang w:eastAsia="it-IT"/>
              </w:rPr>
              <w:t>'</w:t>
            </w:r>
            <w:r w:rsidRPr="00F33205">
              <w:rPr>
                <w:rFonts w:asciiTheme="minorHAnsi" w:hAnsiTheme="minorHAnsi" w:cstheme="minorHAnsi"/>
                <w:spacing w:val="-2"/>
                <w:sz w:val="20"/>
                <w:lang w:eastAsia="it-IT"/>
              </w:rPr>
              <w:t>on note que la valeur de 15,2 millions CHF</w:t>
            </w:r>
            <w:r w:rsidR="0049748E" w:rsidRPr="00F33205">
              <w:rPr>
                <w:rFonts w:asciiTheme="minorHAnsi" w:hAnsiTheme="minorHAnsi" w:cstheme="minorHAnsi"/>
                <w:spacing w:val="-2"/>
                <w:sz w:val="20"/>
                <w:lang w:eastAsia="it-IT"/>
              </w:rPr>
              <w:t>, qui représente le montant cumulatif des actifs de faible valeur, n</w:t>
            </w:r>
            <w:r w:rsidR="001B30ED" w:rsidRPr="00F33205">
              <w:rPr>
                <w:rFonts w:asciiTheme="minorHAnsi" w:hAnsiTheme="minorHAnsi" w:cstheme="minorHAnsi"/>
                <w:spacing w:val="-2"/>
                <w:sz w:val="20"/>
                <w:lang w:eastAsia="it-IT"/>
              </w:rPr>
              <w:t>'</w:t>
            </w:r>
            <w:r w:rsidR="0049748E" w:rsidRPr="00F33205">
              <w:rPr>
                <w:rFonts w:asciiTheme="minorHAnsi" w:hAnsiTheme="minorHAnsi" w:cstheme="minorHAnsi"/>
                <w:spacing w:val="-2"/>
                <w:sz w:val="20"/>
                <w:lang w:eastAsia="it-IT"/>
              </w:rPr>
              <w:t>a pas connu d</w:t>
            </w:r>
            <w:r w:rsidR="001B30ED" w:rsidRPr="00F33205">
              <w:rPr>
                <w:rFonts w:asciiTheme="minorHAnsi" w:hAnsiTheme="minorHAnsi" w:cstheme="minorHAnsi"/>
                <w:spacing w:val="-2"/>
                <w:sz w:val="20"/>
                <w:lang w:eastAsia="it-IT"/>
              </w:rPr>
              <w:t>'</w:t>
            </w:r>
            <w:r w:rsidR="0049748E" w:rsidRPr="00F33205">
              <w:rPr>
                <w:rFonts w:asciiTheme="minorHAnsi" w:hAnsiTheme="minorHAnsi" w:cstheme="minorHAnsi"/>
                <w:spacing w:val="-2"/>
                <w:sz w:val="20"/>
                <w:lang w:eastAsia="it-IT"/>
              </w:rPr>
              <w:t>augmentation significative depuis le 1</w:t>
            </w:r>
            <w:r w:rsidR="0049748E" w:rsidRPr="00F33205">
              <w:rPr>
                <w:sz w:val="20"/>
              </w:rPr>
              <w:t>er</w:t>
            </w:r>
            <w:r w:rsidR="0018444B" w:rsidRPr="00F33205">
              <w:rPr>
                <w:rFonts w:asciiTheme="minorHAnsi" w:hAnsiTheme="minorHAnsi" w:cstheme="minorHAnsi"/>
                <w:spacing w:val="-2"/>
                <w:sz w:val="20"/>
                <w:lang w:eastAsia="it-IT"/>
              </w:rPr>
              <w:t> </w:t>
            </w:r>
            <w:r w:rsidR="0049748E" w:rsidRPr="00F33205">
              <w:rPr>
                <w:rFonts w:asciiTheme="minorHAnsi" w:hAnsiTheme="minorHAnsi" w:cstheme="minorHAnsi"/>
                <w:spacing w:val="-2"/>
                <w:sz w:val="20"/>
                <w:lang w:eastAsia="it-IT"/>
              </w:rPr>
              <w:t>janvier</w:t>
            </w:r>
            <w:r w:rsidR="0018444B" w:rsidRPr="00F33205">
              <w:rPr>
                <w:rFonts w:asciiTheme="minorHAnsi" w:hAnsiTheme="minorHAnsi" w:cstheme="minorHAnsi"/>
                <w:spacing w:val="-2"/>
                <w:sz w:val="20"/>
                <w:lang w:eastAsia="it-IT"/>
              </w:rPr>
              <w:t> </w:t>
            </w:r>
            <w:r w:rsidR="0049748E" w:rsidRPr="00F33205">
              <w:rPr>
                <w:rFonts w:asciiTheme="minorHAnsi" w:hAnsiTheme="minorHAnsi" w:cstheme="minorHAnsi"/>
                <w:spacing w:val="-2"/>
                <w:sz w:val="20"/>
                <w:lang w:eastAsia="it-IT"/>
              </w:rPr>
              <w:t>2010.</w:t>
            </w:r>
          </w:p>
        </w:tc>
        <w:tc>
          <w:tcPr>
            <w:tcW w:w="845" w:type="pct"/>
            <w:tcBorders>
              <w:top w:val="single" w:sz="4" w:space="0" w:color="auto"/>
              <w:left w:val="single" w:sz="4" w:space="0" w:color="auto"/>
              <w:bottom w:val="single" w:sz="4" w:space="0" w:color="auto"/>
              <w:right w:val="single" w:sz="4" w:space="0" w:color="auto"/>
            </w:tcBorders>
          </w:tcPr>
          <w:p w14:paraId="46E62873" w14:textId="67FB6088" w:rsidR="005D254F" w:rsidRPr="00F33205" w:rsidRDefault="00A1486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En cours</w:t>
            </w:r>
            <w:r w:rsidR="00607E37">
              <w:rPr>
                <w:rFonts w:asciiTheme="minorHAnsi" w:hAnsiTheme="minorHAnsi" w:cstheme="minorHAnsi"/>
                <w:sz w:val="20"/>
                <w:lang w:eastAsia="it-IT"/>
              </w:rPr>
              <w:t>.</w:t>
            </w:r>
          </w:p>
        </w:tc>
      </w:tr>
      <w:tr w:rsidR="00607E37" w:rsidRPr="00F33205" w14:paraId="1A50BEE5" w14:textId="77777777" w:rsidTr="00144AFF">
        <w:trPr>
          <w:cantSplit/>
          <w:jc w:val="center"/>
        </w:trPr>
        <w:tc>
          <w:tcPr>
            <w:tcW w:w="348" w:type="pct"/>
            <w:tcBorders>
              <w:top w:val="single" w:sz="4" w:space="0" w:color="auto"/>
              <w:left w:val="single" w:sz="4" w:space="0" w:color="auto"/>
              <w:bottom w:val="single" w:sz="4" w:space="0" w:color="auto"/>
              <w:right w:val="single" w:sz="4" w:space="0" w:color="auto"/>
            </w:tcBorders>
          </w:tcPr>
          <w:p w14:paraId="5A39CA66" w14:textId="77777777"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3/2014</w:t>
            </w:r>
          </w:p>
        </w:tc>
        <w:tc>
          <w:tcPr>
            <w:tcW w:w="1309" w:type="pct"/>
            <w:tcBorders>
              <w:top w:val="single" w:sz="4" w:space="0" w:color="auto"/>
              <w:left w:val="single" w:sz="4" w:space="0" w:color="auto"/>
              <w:bottom w:val="single" w:sz="4" w:space="0" w:color="auto"/>
              <w:right w:val="single" w:sz="4" w:space="0" w:color="auto"/>
            </w:tcBorders>
          </w:tcPr>
          <w:p w14:paraId="761681E5" w14:textId="6094DF96" w:rsidR="005D254F" w:rsidRPr="00F33205" w:rsidRDefault="00A14867" w:rsidP="00B53AD7">
            <w:pPr>
              <w:widowControl w:val="0"/>
              <w:kinsoku w:val="0"/>
              <w:rPr>
                <w:rFonts w:asciiTheme="minorHAnsi" w:hAnsiTheme="minorHAnsi" w:cstheme="minorHAnsi"/>
                <w:sz w:val="20"/>
                <w:highlight w:val="yellow"/>
                <w:lang w:eastAsia="it-IT"/>
              </w:rPr>
            </w:pPr>
            <w:r w:rsidRPr="006A0D6B">
              <w:rPr>
                <w:rFonts w:asciiTheme="minorHAnsi" w:hAnsiTheme="minorHAnsi" w:cstheme="minorHAnsi"/>
                <w:sz w:val="20"/>
                <w:u w:val="single"/>
                <w:lang w:eastAsia="it-IT"/>
              </w:rPr>
              <w:t xml:space="preserve">Nous </w:t>
            </w:r>
            <w:r w:rsidRPr="00F33205">
              <w:rPr>
                <w:rFonts w:asciiTheme="minorHAnsi" w:hAnsiTheme="minorHAnsi" w:cstheme="minorHAnsi"/>
                <w:sz w:val="20"/>
                <w:u w:val="single"/>
                <w:lang w:eastAsia="it-IT"/>
              </w:rPr>
              <w:t>suggérons</w:t>
            </w:r>
            <w:r w:rsidRPr="00F33205">
              <w:rPr>
                <w:rFonts w:asciiTheme="minorHAnsi" w:hAnsiTheme="minorHAnsi" w:cstheme="minorHAnsi"/>
                <w:sz w:val="20"/>
                <w:lang w:eastAsia="it-IT"/>
              </w:rPr>
              <w:t xml:space="preserve"> à la direction, au besoin, de définir un ensemble complet de leviers et de sous</w:t>
            </w:r>
            <w:r w:rsidRPr="00F33205">
              <w:rPr>
                <w:rFonts w:asciiTheme="minorHAnsi" w:hAnsiTheme="minorHAnsi" w:cstheme="minorHAnsi"/>
                <w:sz w:val="20"/>
                <w:lang w:eastAsia="it-IT"/>
              </w:rPr>
              <w:noBreakHyphen/>
              <w:t>leviers, et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utiliser les leviers les plus pertinents pour suivre efficacement la situation relative à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ASHI et remédier aux problèmes.</w:t>
            </w:r>
          </w:p>
        </w:tc>
        <w:tc>
          <w:tcPr>
            <w:tcW w:w="1241" w:type="pct"/>
            <w:tcBorders>
              <w:top w:val="single" w:sz="4" w:space="0" w:color="auto"/>
              <w:left w:val="single" w:sz="4" w:space="0" w:color="auto"/>
              <w:bottom w:val="single" w:sz="4" w:space="0" w:color="auto"/>
              <w:right w:val="single" w:sz="4" w:space="0" w:color="auto"/>
            </w:tcBorders>
          </w:tcPr>
          <w:p w14:paraId="58821C09" w14:textId="57BE7D94" w:rsidR="005D254F" w:rsidRPr="00F33205" w:rsidRDefault="00A14867" w:rsidP="00B53AD7">
            <w:pPr>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lang w:eastAsia="it-IT"/>
              </w:rPr>
              <w:t>Le suivi relatif à la CCAM a actuellement pour objet de pouvoir déterminer rapidement les ajustements à apporter pour assurer le financement par répartition. Les leviers mentionnés ci</w:t>
            </w:r>
            <w:r w:rsidRPr="00F33205">
              <w:rPr>
                <w:rFonts w:asciiTheme="minorHAnsi" w:hAnsiTheme="minorHAnsi" w:cstheme="minorHAnsi"/>
                <w:sz w:val="20"/>
                <w:lang w:eastAsia="it-IT"/>
              </w:rPr>
              <w:noBreakHyphen/>
              <w:t>dessus sont pris en compte afin de déterminer les ajustements pertinents. Les engagements au titre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ASHI seront financés en fonction des ressources disponibles à long terme compte tenu des contraintes budgétaires.</w:t>
            </w:r>
          </w:p>
        </w:tc>
        <w:tc>
          <w:tcPr>
            <w:tcW w:w="1257" w:type="pct"/>
            <w:tcBorders>
              <w:top w:val="single" w:sz="4" w:space="0" w:color="auto"/>
              <w:left w:val="single" w:sz="4" w:space="0" w:color="auto"/>
              <w:bottom w:val="single" w:sz="4" w:space="0" w:color="auto"/>
              <w:right w:val="single" w:sz="4" w:space="0" w:color="auto"/>
            </w:tcBorders>
          </w:tcPr>
          <w:p w14:paraId="127A6A33" w14:textId="3C5016F6" w:rsidR="00A14867" w:rsidRPr="00F33205" w:rsidRDefault="00A14867" w:rsidP="00B53AD7">
            <w:pPr>
              <w:pStyle w:val="Tabletext"/>
              <w:rPr>
                <w:rFonts w:asciiTheme="minorHAnsi" w:hAnsiTheme="minorHAnsi" w:cstheme="minorHAnsi"/>
                <w:sz w:val="20"/>
                <w:lang w:eastAsia="it-IT"/>
              </w:rPr>
            </w:pPr>
            <w:r w:rsidRPr="00F33205">
              <w:rPr>
                <w:rFonts w:asciiTheme="minorHAnsi" w:hAnsiTheme="minorHAnsi" w:cstheme="minorHAnsi"/>
                <w:sz w:val="20"/>
                <w:lang w:eastAsia="it-IT"/>
              </w:rPr>
              <w:t>La direction suit cette suggestion; dès que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étude actuarielle complète sera achevée, ses résultats seront examinés en vue de définir des leviers adaptés afin de remédier efficacement aux problèmes liés à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ASHI.</w:t>
            </w:r>
          </w:p>
          <w:p w14:paraId="7D48F3B3" w14:textId="77777777" w:rsidR="00A14867" w:rsidRPr="00F33205" w:rsidRDefault="00A14867" w:rsidP="00B53AD7">
            <w:pPr>
              <w:pStyle w:val="Tabletext"/>
              <w:rPr>
                <w:rFonts w:asciiTheme="minorHAnsi" w:hAnsiTheme="minorHAnsi" w:cstheme="minorHAnsi"/>
                <w:b/>
                <w:bCs/>
                <w:sz w:val="20"/>
                <w:lang w:eastAsia="it-IT"/>
              </w:rPr>
            </w:pPr>
            <w:r w:rsidRPr="00F33205">
              <w:rPr>
                <w:rFonts w:asciiTheme="minorHAnsi" w:hAnsiTheme="minorHAnsi" w:cstheme="minorHAnsi"/>
                <w:b/>
                <w:bCs/>
                <w:sz w:val="20"/>
                <w:lang w:eastAsia="it-IT"/>
              </w:rPr>
              <w:t>Mise à jour de fin avril 2017:</w:t>
            </w:r>
          </w:p>
          <w:p w14:paraId="72BA1DAC" w14:textId="2EF3C9EF" w:rsidR="005D254F" w:rsidRPr="00F33205" w:rsidRDefault="00A14867" w:rsidP="00B53AD7">
            <w:pPr>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rPr>
              <w:t>Les résultats de l</w:t>
            </w:r>
            <w:r w:rsidR="001B30ED" w:rsidRPr="00F33205">
              <w:rPr>
                <w:rFonts w:asciiTheme="minorHAnsi" w:hAnsiTheme="minorHAnsi" w:cstheme="minorHAnsi"/>
                <w:sz w:val="20"/>
              </w:rPr>
              <w:t>'</w:t>
            </w:r>
            <w:r w:rsidRPr="00F33205">
              <w:rPr>
                <w:rFonts w:asciiTheme="minorHAnsi" w:hAnsiTheme="minorHAnsi" w:cstheme="minorHAnsi"/>
                <w:sz w:val="20"/>
              </w:rPr>
              <w:t>étude actuarielle complète seront connus au milieu de l</w:t>
            </w:r>
            <w:r w:rsidR="001B30ED" w:rsidRPr="00F33205">
              <w:rPr>
                <w:rFonts w:asciiTheme="minorHAnsi" w:hAnsiTheme="minorHAnsi" w:cstheme="minorHAnsi"/>
                <w:sz w:val="20"/>
              </w:rPr>
              <w:t>'</w:t>
            </w:r>
            <w:r w:rsidRPr="00F33205">
              <w:rPr>
                <w:rFonts w:asciiTheme="minorHAnsi" w:hAnsiTheme="minorHAnsi" w:cstheme="minorHAnsi"/>
                <w:sz w:val="20"/>
              </w:rPr>
              <w:t>année</w:t>
            </w:r>
            <w:r w:rsidR="0018444B" w:rsidRPr="00F33205">
              <w:rPr>
                <w:rFonts w:asciiTheme="minorHAnsi" w:hAnsiTheme="minorHAnsi" w:cstheme="minorHAnsi"/>
                <w:sz w:val="20"/>
              </w:rPr>
              <w:t> </w:t>
            </w:r>
            <w:r w:rsidRPr="00F33205">
              <w:rPr>
                <w:rFonts w:asciiTheme="minorHAnsi" w:hAnsiTheme="minorHAnsi" w:cstheme="minorHAnsi"/>
                <w:sz w:val="20"/>
              </w:rPr>
              <w:t>2017. En fonction des résultats de cette étude, la direction définira les leviers à utiliser pour suivre concrètement et efficacement l</w:t>
            </w:r>
            <w:r w:rsidR="001B30ED" w:rsidRPr="00F33205">
              <w:rPr>
                <w:rFonts w:asciiTheme="minorHAnsi" w:hAnsiTheme="minorHAnsi" w:cstheme="minorHAnsi"/>
                <w:sz w:val="20"/>
              </w:rPr>
              <w:t>'</w:t>
            </w:r>
            <w:r w:rsidRPr="00F33205">
              <w:rPr>
                <w:rFonts w:asciiTheme="minorHAnsi" w:hAnsiTheme="minorHAnsi" w:cstheme="minorHAnsi"/>
                <w:sz w:val="20"/>
              </w:rPr>
              <w:t>évolution de la situation de l</w:t>
            </w:r>
            <w:r w:rsidR="001B30ED" w:rsidRPr="00F33205">
              <w:rPr>
                <w:rFonts w:asciiTheme="minorHAnsi" w:hAnsiTheme="minorHAnsi" w:cstheme="minorHAnsi"/>
                <w:sz w:val="20"/>
              </w:rPr>
              <w:t>'</w:t>
            </w:r>
            <w:r w:rsidRPr="00F33205">
              <w:rPr>
                <w:rFonts w:asciiTheme="minorHAnsi" w:hAnsiTheme="minorHAnsi" w:cstheme="minorHAnsi"/>
                <w:sz w:val="20"/>
              </w:rPr>
              <w:t>ASHI.</w:t>
            </w:r>
          </w:p>
          <w:p w14:paraId="7C7F4E7F" w14:textId="01A203AE" w:rsidR="00A10BED" w:rsidRPr="00F33205" w:rsidRDefault="00A10BED" w:rsidP="00B53AD7">
            <w:pPr>
              <w:rPr>
                <w:rFonts w:asciiTheme="minorHAnsi" w:hAnsiTheme="minorHAnsi" w:cstheme="minorHAnsi"/>
                <w:sz w:val="20"/>
                <w:lang w:eastAsia="it-IT"/>
              </w:rPr>
            </w:pPr>
            <w:r w:rsidRPr="00F33205">
              <w:rPr>
                <w:rFonts w:asciiTheme="minorHAnsi" w:hAnsiTheme="minorHAnsi" w:cstheme="minorHAnsi"/>
                <w:b/>
                <w:bCs/>
                <w:sz w:val="20"/>
                <w:lang w:eastAsia="it-IT"/>
              </w:rPr>
              <w:t>Mise à jour d</w:t>
            </w:r>
            <w:r w:rsidR="001B30ED" w:rsidRPr="00F33205">
              <w:rPr>
                <w:rFonts w:asciiTheme="minorHAnsi" w:hAnsiTheme="minorHAnsi" w:cstheme="minorHAnsi"/>
                <w:b/>
                <w:bCs/>
                <w:sz w:val="20"/>
                <w:lang w:eastAsia="it-IT"/>
              </w:rPr>
              <w:t>'</w:t>
            </w:r>
            <w:r w:rsidRPr="00F33205">
              <w:rPr>
                <w:rFonts w:asciiTheme="minorHAnsi" w:hAnsiTheme="minorHAnsi" w:cstheme="minorHAnsi"/>
                <w:b/>
                <w:bCs/>
                <w:sz w:val="20"/>
                <w:lang w:eastAsia="it-IT"/>
              </w:rPr>
              <w:t>avril</w:t>
            </w:r>
            <w:r w:rsidR="0018444B" w:rsidRPr="00F33205">
              <w:rPr>
                <w:rFonts w:asciiTheme="minorHAnsi" w:hAnsiTheme="minorHAnsi" w:cstheme="minorHAnsi"/>
                <w:b/>
                <w:bCs/>
                <w:sz w:val="20"/>
                <w:lang w:eastAsia="it-IT"/>
              </w:rPr>
              <w:t> </w:t>
            </w:r>
            <w:r w:rsidRPr="00F33205">
              <w:rPr>
                <w:rFonts w:asciiTheme="minorHAnsi" w:hAnsiTheme="minorHAnsi" w:cstheme="minorHAnsi"/>
                <w:b/>
                <w:bCs/>
                <w:sz w:val="20"/>
                <w:lang w:eastAsia="it-IT"/>
              </w:rPr>
              <w:t>2018:</w:t>
            </w:r>
          </w:p>
          <w:p w14:paraId="4AF1FC01" w14:textId="497B7185" w:rsidR="007C598D" w:rsidRPr="00F33205" w:rsidRDefault="00516F45" w:rsidP="00B53AD7">
            <w:pPr>
              <w:widowControl w:val="0"/>
              <w:kinsoku w:val="0"/>
              <w:spacing w:before="100"/>
              <w:rPr>
                <w:rFonts w:asciiTheme="minorHAnsi" w:hAnsiTheme="minorHAnsi" w:cstheme="minorHAnsi"/>
                <w:sz w:val="20"/>
                <w:lang w:eastAsia="it-IT"/>
              </w:rPr>
            </w:pPr>
            <w:r w:rsidRPr="00F33205">
              <w:rPr>
                <w:rFonts w:asciiTheme="minorHAnsi" w:hAnsiTheme="minorHAnsi" w:cstheme="minorHAnsi"/>
                <w:sz w:val="20"/>
                <w:lang w:eastAsia="it-IT"/>
              </w:rPr>
              <w:t>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continuera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alimenter la réserve du Fonds ASHI en fonction des excédents budgétaires ainsi que par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 xml:space="preserve">intermédiaire des crédits budgétaires fixés. </w:t>
            </w:r>
          </w:p>
          <w:p w14:paraId="60EE89D7" w14:textId="79A012EE" w:rsidR="004246DF" w:rsidRPr="00F33205" w:rsidRDefault="00516F45" w:rsidP="004F6DF1">
            <w:pPr>
              <w:widowControl w:val="0"/>
              <w:kinsoku w:val="0"/>
              <w:spacing w:before="100" w:after="60"/>
              <w:rPr>
                <w:rFonts w:asciiTheme="minorHAnsi" w:hAnsiTheme="minorHAnsi" w:cstheme="minorHAnsi"/>
                <w:b/>
                <w:color w:val="800000"/>
                <w:sz w:val="20"/>
                <w:lang w:eastAsia="it-IT"/>
              </w:rPr>
            </w:pPr>
            <w:r w:rsidRPr="00F33205">
              <w:rPr>
                <w:rFonts w:asciiTheme="minorHAnsi" w:hAnsiTheme="minorHAnsi" w:cstheme="minorHAnsi"/>
                <w:sz w:val="20"/>
                <w:lang w:eastAsia="it-IT"/>
              </w:rPr>
              <w:t>En fonction des résultats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évaluation actuarielle complète,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UIT examinera les principaux leviers pour garantir la viabilité du plan.</w:t>
            </w:r>
          </w:p>
        </w:tc>
        <w:tc>
          <w:tcPr>
            <w:tcW w:w="845" w:type="pct"/>
            <w:tcBorders>
              <w:top w:val="single" w:sz="4" w:space="0" w:color="auto"/>
              <w:left w:val="single" w:sz="4" w:space="0" w:color="auto"/>
              <w:bottom w:val="single" w:sz="4" w:space="0" w:color="auto"/>
              <w:right w:val="single" w:sz="4" w:space="0" w:color="auto"/>
            </w:tcBorders>
          </w:tcPr>
          <w:p w14:paraId="3A2AE2EF" w14:textId="31B321EB" w:rsidR="005D254F" w:rsidRPr="00F33205" w:rsidRDefault="00A14867"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En cours</w:t>
            </w:r>
            <w:r w:rsidR="00607E37">
              <w:rPr>
                <w:rFonts w:asciiTheme="minorHAnsi" w:hAnsiTheme="minorHAnsi" w:cstheme="minorHAnsi"/>
                <w:sz w:val="20"/>
                <w:lang w:eastAsia="it-IT"/>
              </w:rPr>
              <w:t>.</w:t>
            </w:r>
          </w:p>
        </w:tc>
      </w:tr>
    </w:tbl>
    <w:p w14:paraId="48C6343E" w14:textId="77777777" w:rsidR="00144AFF" w:rsidRDefault="00144AFF">
      <w:r>
        <w:br w:type="page"/>
      </w:r>
    </w:p>
    <w:tbl>
      <w:tblPr>
        <w:tblW w:w="5530" w:type="pct"/>
        <w:jc w:val="center"/>
        <w:tblCellMar>
          <w:left w:w="85" w:type="dxa"/>
          <w:right w:w="85" w:type="dxa"/>
        </w:tblCellMar>
        <w:tblLook w:val="0000" w:firstRow="0" w:lastRow="0" w:firstColumn="0" w:lastColumn="0" w:noHBand="0" w:noVBand="0"/>
      </w:tblPr>
      <w:tblGrid>
        <w:gridCol w:w="1077"/>
        <w:gridCol w:w="4052"/>
        <w:gridCol w:w="3841"/>
        <w:gridCol w:w="3891"/>
        <w:gridCol w:w="2616"/>
      </w:tblGrid>
      <w:tr w:rsidR="00144AFF" w:rsidRPr="00144AFF" w14:paraId="394F886B" w14:textId="77777777" w:rsidTr="00144AFF">
        <w:trPr>
          <w:jc w:val="center"/>
        </w:trPr>
        <w:tc>
          <w:tcPr>
            <w:tcW w:w="348" w:type="pct"/>
            <w:tcBorders>
              <w:top w:val="single" w:sz="4" w:space="0" w:color="auto"/>
              <w:left w:val="single" w:sz="4" w:space="0" w:color="auto"/>
              <w:bottom w:val="single" w:sz="4" w:space="0" w:color="auto"/>
              <w:right w:val="single" w:sz="4" w:space="0" w:color="auto"/>
            </w:tcBorders>
          </w:tcPr>
          <w:p w14:paraId="5E19E887" w14:textId="77777777" w:rsidR="00144AFF" w:rsidRPr="00144AFF" w:rsidRDefault="00144AFF" w:rsidP="00144AFF">
            <w:pPr>
              <w:pStyle w:val="Tablehead"/>
              <w:rPr>
                <w:sz w:val="20"/>
                <w:lang w:eastAsia="it-IT"/>
              </w:rPr>
            </w:pPr>
          </w:p>
        </w:tc>
        <w:tc>
          <w:tcPr>
            <w:tcW w:w="1309" w:type="pct"/>
            <w:tcBorders>
              <w:top w:val="single" w:sz="4" w:space="0" w:color="auto"/>
              <w:left w:val="single" w:sz="4" w:space="0" w:color="auto"/>
              <w:bottom w:val="single" w:sz="4" w:space="0" w:color="auto"/>
              <w:right w:val="single" w:sz="4" w:space="0" w:color="auto"/>
            </w:tcBorders>
          </w:tcPr>
          <w:p w14:paraId="22FA75AF" w14:textId="77777777" w:rsidR="00144AFF" w:rsidRPr="00144AFF" w:rsidRDefault="00144AFF" w:rsidP="00144AFF">
            <w:pPr>
              <w:pStyle w:val="Tablehead"/>
              <w:rPr>
                <w:sz w:val="20"/>
                <w:lang w:eastAsia="it-IT"/>
              </w:rPr>
            </w:pPr>
            <w:r w:rsidRPr="00144AFF">
              <w:rPr>
                <w:sz w:val="20"/>
                <w:lang w:eastAsia="it-IT"/>
              </w:rPr>
              <w:t xml:space="preserve">Suggestion faite par la Cour </w:t>
            </w:r>
            <w:r w:rsidRPr="00144AFF">
              <w:rPr>
                <w:sz w:val="20"/>
                <w:lang w:eastAsia="it-IT"/>
              </w:rPr>
              <w:br/>
              <w:t>des comptes italienne</w:t>
            </w:r>
          </w:p>
        </w:tc>
        <w:tc>
          <w:tcPr>
            <w:tcW w:w="1241" w:type="pct"/>
            <w:tcBorders>
              <w:top w:val="single" w:sz="4" w:space="0" w:color="auto"/>
              <w:left w:val="single" w:sz="4" w:space="0" w:color="auto"/>
              <w:bottom w:val="single" w:sz="4" w:space="0" w:color="auto"/>
              <w:right w:val="single" w:sz="4" w:space="0" w:color="auto"/>
            </w:tcBorders>
          </w:tcPr>
          <w:p w14:paraId="7D8190F7" w14:textId="77777777" w:rsidR="00144AFF" w:rsidRPr="00144AFF" w:rsidRDefault="00144AFF" w:rsidP="00144AFF">
            <w:pPr>
              <w:pStyle w:val="Tablehead"/>
              <w:rPr>
                <w:sz w:val="20"/>
                <w:lang w:eastAsia="it-IT"/>
              </w:rPr>
            </w:pPr>
            <w:r w:rsidRPr="00144AFF">
              <w:rPr>
                <w:sz w:val="20"/>
                <w:lang w:eastAsia="it-IT"/>
              </w:rPr>
              <w:t>Commentaires formulés par le Secrétaire général lors de la publication du rapport</w:t>
            </w:r>
          </w:p>
        </w:tc>
        <w:tc>
          <w:tcPr>
            <w:tcW w:w="1257" w:type="pct"/>
            <w:tcBorders>
              <w:top w:val="single" w:sz="4" w:space="0" w:color="auto"/>
              <w:left w:val="single" w:sz="4" w:space="0" w:color="auto"/>
              <w:bottom w:val="single" w:sz="4" w:space="0" w:color="auto"/>
              <w:right w:val="single" w:sz="4" w:space="0" w:color="auto"/>
            </w:tcBorders>
          </w:tcPr>
          <w:p w14:paraId="6EA33E20" w14:textId="77777777" w:rsidR="00144AFF" w:rsidRPr="00144AFF" w:rsidRDefault="00144AFF" w:rsidP="00144AFF">
            <w:pPr>
              <w:pStyle w:val="Tablehead"/>
              <w:rPr>
                <w:sz w:val="20"/>
                <w:lang w:eastAsia="it-IT"/>
              </w:rPr>
            </w:pPr>
            <w:r w:rsidRPr="00144AFF">
              <w:rPr>
                <w:sz w:val="20"/>
                <w:lang w:eastAsia="it-IT"/>
              </w:rPr>
              <w:t xml:space="preserve">Etat de la situation indiqué </w:t>
            </w:r>
            <w:r w:rsidRPr="00144AFF">
              <w:rPr>
                <w:sz w:val="20"/>
                <w:lang w:eastAsia="it-IT"/>
              </w:rPr>
              <w:br/>
              <w:t>par la direction de l'UIT</w:t>
            </w:r>
          </w:p>
        </w:tc>
        <w:tc>
          <w:tcPr>
            <w:tcW w:w="845" w:type="pct"/>
            <w:tcBorders>
              <w:top w:val="single" w:sz="4" w:space="0" w:color="auto"/>
              <w:left w:val="single" w:sz="4" w:space="0" w:color="auto"/>
              <w:bottom w:val="single" w:sz="4" w:space="0" w:color="auto"/>
              <w:right w:val="single" w:sz="4" w:space="0" w:color="auto"/>
            </w:tcBorders>
          </w:tcPr>
          <w:p w14:paraId="07934F22" w14:textId="77777777" w:rsidR="00144AFF" w:rsidRPr="00144AFF" w:rsidRDefault="00144AFF" w:rsidP="00144AFF">
            <w:pPr>
              <w:pStyle w:val="Tablehead"/>
              <w:rPr>
                <w:sz w:val="20"/>
                <w:lang w:eastAsia="it-IT"/>
              </w:rPr>
            </w:pPr>
            <w:r w:rsidRPr="00144AFF">
              <w:rPr>
                <w:sz w:val="20"/>
                <w:lang w:eastAsia="it-IT"/>
              </w:rPr>
              <w:t>Etat des mesures prises par la direction selon l'évaluation de la Cour des comptes italienne</w:t>
            </w:r>
          </w:p>
        </w:tc>
      </w:tr>
      <w:tr w:rsidR="00607E37" w:rsidRPr="00F33205" w14:paraId="60734697" w14:textId="77777777" w:rsidTr="00144AFF">
        <w:trPr>
          <w:jc w:val="center"/>
        </w:trPr>
        <w:tc>
          <w:tcPr>
            <w:tcW w:w="348" w:type="pct"/>
            <w:tcBorders>
              <w:top w:val="single" w:sz="4" w:space="0" w:color="auto"/>
              <w:left w:val="single" w:sz="4" w:space="0" w:color="auto"/>
              <w:bottom w:val="single" w:sz="4" w:space="0" w:color="auto"/>
              <w:right w:val="single" w:sz="4" w:space="0" w:color="auto"/>
            </w:tcBorders>
          </w:tcPr>
          <w:p w14:paraId="26B82964" w14:textId="6816ABB5" w:rsidR="005D254F" w:rsidRPr="00F33205" w:rsidRDefault="00A14867" w:rsidP="00B53AD7">
            <w:pPr>
              <w:adjustRightInd/>
              <w:jc w:val="center"/>
              <w:rPr>
                <w:rFonts w:asciiTheme="minorHAnsi" w:hAnsiTheme="minorHAnsi" w:cstheme="minorHAnsi"/>
                <w:b/>
                <w:bCs/>
                <w:sz w:val="20"/>
                <w:lang w:eastAsia="it-IT"/>
              </w:rPr>
            </w:pPr>
            <w:r w:rsidRPr="00F33205">
              <w:rPr>
                <w:rFonts w:asciiTheme="minorHAnsi" w:hAnsiTheme="minorHAnsi" w:cstheme="minorHAnsi"/>
                <w:b/>
                <w:bCs/>
                <w:sz w:val="20"/>
                <w:lang w:eastAsia="it-IT"/>
              </w:rPr>
              <w:t>Suggestion</w:t>
            </w:r>
            <w:r w:rsidR="005D254F" w:rsidRPr="00F33205">
              <w:rPr>
                <w:rFonts w:asciiTheme="minorHAnsi" w:hAnsiTheme="minorHAnsi" w:cstheme="minorHAnsi"/>
                <w:b/>
                <w:bCs/>
                <w:sz w:val="20"/>
                <w:lang w:eastAsia="it-IT"/>
              </w:rPr>
              <w:t xml:space="preserve"> 7/2014</w:t>
            </w:r>
          </w:p>
        </w:tc>
        <w:tc>
          <w:tcPr>
            <w:tcW w:w="1309" w:type="pct"/>
            <w:tcBorders>
              <w:top w:val="single" w:sz="4" w:space="0" w:color="auto"/>
              <w:left w:val="single" w:sz="4" w:space="0" w:color="auto"/>
              <w:bottom w:val="single" w:sz="4" w:space="0" w:color="auto"/>
              <w:right w:val="single" w:sz="4" w:space="0" w:color="auto"/>
            </w:tcBorders>
          </w:tcPr>
          <w:p w14:paraId="02189EC6" w14:textId="4D3C4432" w:rsidR="005D254F" w:rsidRPr="00F33205" w:rsidRDefault="00A14867" w:rsidP="00B53AD7">
            <w:pPr>
              <w:widowControl w:val="0"/>
              <w:kinsoku w:val="0"/>
              <w:rPr>
                <w:rFonts w:asciiTheme="minorHAnsi" w:hAnsiTheme="minorHAnsi" w:cstheme="minorHAnsi"/>
                <w:sz w:val="20"/>
                <w:highlight w:val="yellow"/>
                <w:lang w:eastAsia="it-IT"/>
              </w:rPr>
            </w:pPr>
            <w:r w:rsidRPr="00BA39D7">
              <w:rPr>
                <w:rFonts w:asciiTheme="minorHAnsi" w:hAnsiTheme="minorHAnsi" w:cstheme="minorHAnsi"/>
                <w:sz w:val="20"/>
                <w:u w:val="single"/>
                <w:lang w:eastAsia="it-IT"/>
              </w:rPr>
              <w:t xml:space="preserve">Nous </w:t>
            </w:r>
            <w:r w:rsidRPr="00F33205">
              <w:rPr>
                <w:rFonts w:asciiTheme="minorHAnsi" w:hAnsiTheme="minorHAnsi" w:cstheme="minorHAnsi"/>
                <w:sz w:val="20"/>
                <w:u w:val="single"/>
                <w:lang w:eastAsia="it-IT"/>
              </w:rPr>
              <w:t>suggérons</w:t>
            </w:r>
            <w:r w:rsidRPr="00F33205">
              <w:rPr>
                <w:rFonts w:asciiTheme="minorHAnsi" w:hAnsiTheme="minorHAnsi" w:cstheme="minorHAnsi"/>
                <w:sz w:val="20"/>
                <w:lang w:eastAsia="it-IT"/>
              </w:rPr>
              <w:t xml:space="preserve"> à la direction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analyser les répercussions en termes de perte de compétences utiles que la rotation rapide du personnel et les départs à la retraite prévus pourraient entraîner, et de définir des priorités stratégiques pour les futurs besoins de personnel à moyen terme.</w:t>
            </w:r>
          </w:p>
        </w:tc>
        <w:tc>
          <w:tcPr>
            <w:tcW w:w="1241" w:type="pct"/>
            <w:tcBorders>
              <w:top w:val="single" w:sz="4" w:space="0" w:color="auto"/>
              <w:left w:val="single" w:sz="4" w:space="0" w:color="auto"/>
              <w:bottom w:val="single" w:sz="4" w:space="0" w:color="auto"/>
              <w:right w:val="single" w:sz="4" w:space="0" w:color="auto"/>
            </w:tcBorders>
          </w:tcPr>
          <w:p w14:paraId="058FC350" w14:textId="08BCA1D0" w:rsidR="005D254F" w:rsidRPr="00F33205" w:rsidRDefault="00A14867" w:rsidP="00B53AD7">
            <w:pPr>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lang w:eastAsia="it-IT"/>
              </w:rPr>
              <w:t>La direction prend note de cette suggestion. En outre, une politique concernant le recours à des prestataires au bénéfice de contrats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engagement spéciaux doit être adoptée afin de veiller à ce que ce type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engagement soit utilisé de manière appropriée et dans le meilleur intérêt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Union.</w:t>
            </w:r>
          </w:p>
        </w:tc>
        <w:tc>
          <w:tcPr>
            <w:tcW w:w="1257" w:type="pct"/>
            <w:tcBorders>
              <w:top w:val="single" w:sz="4" w:space="0" w:color="auto"/>
              <w:left w:val="single" w:sz="4" w:space="0" w:color="auto"/>
              <w:bottom w:val="single" w:sz="4" w:space="0" w:color="auto"/>
              <w:right w:val="single" w:sz="4" w:space="0" w:color="auto"/>
            </w:tcBorders>
          </w:tcPr>
          <w:p w14:paraId="77447C13" w14:textId="2EDCA198" w:rsidR="00A14867" w:rsidRPr="00F33205" w:rsidRDefault="00A14867" w:rsidP="006A0D6B">
            <w:pPr>
              <w:pStyle w:val="Tabletext"/>
              <w:tabs>
                <w:tab w:val="left" w:pos="280"/>
              </w:tabs>
              <w:spacing w:before="120" w:after="0"/>
              <w:rPr>
                <w:rFonts w:asciiTheme="minorHAnsi" w:hAnsiTheme="minorHAnsi" w:cstheme="minorHAnsi"/>
                <w:sz w:val="20"/>
                <w:lang w:eastAsia="it-IT"/>
              </w:rPr>
            </w:pPr>
            <w:r w:rsidRPr="00F33205">
              <w:rPr>
                <w:rFonts w:asciiTheme="minorHAnsi" w:hAnsiTheme="minorHAnsi" w:cstheme="minorHAnsi"/>
                <w:sz w:val="20"/>
                <w:lang w:eastAsia="it-IT"/>
              </w:rPr>
              <w:t>a)</w:t>
            </w:r>
            <w:r w:rsidRPr="00F33205">
              <w:rPr>
                <w:rFonts w:asciiTheme="minorHAnsi" w:hAnsiTheme="minorHAnsi" w:cstheme="minorHAnsi"/>
                <w:sz w:val="20"/>
                <w:lang w:eastAsia="it-IT"/>
              </w:rPr>
              <w:tab/>
              <w:t>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adoption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une politique concernant le recours à des prestataires au bénéfice de contrats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engagement spéciaux (SSA) est toujours en cours. Cette nouvelle politique comprendra les éléments suivants:</w:t>
            </w:r>
          </w:p>
          <w:p w14:paraId="1958D596" w14:textId="0B54B5C6" w:rsidR="00A14867" w:rsidRPr="00F33205" w:rsidRDefault="00A14867" w:rsidP="00B53AD7">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Définition révisée du prestataire au bénéfice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 contrat SSA.</w:t>
            </w:r>
          </w:p>
          <w:p w14:paraId="0006AD65" w14:textId="6380DC10" w:rsidR="00A14867" w:rsidRPr="00F33205" w:rsidRDefault="00A14867" w:rsidP="00B53AD7">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Identification des différentes catégories de tâches pouvant faire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objet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 contrat SSA, compte tenu de la dimension essentielle/non essentielle des fonctions, des tâches liées aux projets et du niveau élevé des compétences requises pour des activités de recherche précises.</w:t>
            </w:r>
          </w:p>
          <w:p w14:paraId="1B369D43" w14:textId="0317D055" w:rsidR="00A14867" w:rsidRPr="00F33205" w:rsidRDefault="00A14867" w:rsidP="00B53AD7">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Mise en place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 processus de recrutement unique pour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ensemble de l</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Union.</w:t>
            </w:r>
          </w:p>
          <w:p w14:paraId="193BD535" w14:textId="6929B809" w:rsidR="00A14867" w:rsidRPr="00F33205" w:rsidRDefault="00A14867" w:rsidP="00B53AD7">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Définition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 barème et de fourchettes de traitement couvrant différents besoins.</w:t>
            </w:r>
          </w:p>
          <w:p w14:paraId="276F0668" w14:textId="77777777" w:rsidR="00A14867" w:rsidRPr="00F33205" w:rsidRDefault="00A14867" w:rsidP="00B53AD7">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Lignes directrices claires concernant le calendrier de fourniture.</w:t>
            </w:r>
          </w:p>
          <w:p w14:paraId="69558770" w14:textId="36A64652" w:rsidR="005D254F" w:rsidRPr="00F33205" w:rsidRDefault="00A14867" w:rsidP="00F33205">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Lignes directrices claires concernant la durée, avec des restrictions et des conditions applicables à la prolongation et à la reconduction de ce type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engagements.</w:t>
            </w:r>
          </w:p>
          <w:p w14:paraId="1139D4B8" w14:textId="77777777" w:rsidR="00A14867" w:rsidRPr="00F33205" w:rsidRDefault="00A14867" w:rsidP="00B53AD7">
            <w:pPr>
              <w:pStyle w:val="Tabletext"/>
              <w:tabs>
                <w:tab w:val="left" w:pos="280"/>
              </w:tabs>
              <w:spacing w:before="0" w:after="0"/>
              <w:ind w:left="280" w:hanging="280"/>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Redéfinition des prestations sociales et autres droits associés (frais de déplacement, indemnité journalière de subsistance pour les non-locaux, etc.).</w:t>
            </w:r>
          </w:p>
          <w:p w14:paraId="65FA3B35" w14:textId="701427AD" w:rsidR="00E014D1" w:rsidRPr="00F33205" w:rsidRDefault="00A14867" w:rsidP="004F6DF1">
            <w:pPr>
              <w:pStyle w:val="Tabletext"/>
              <w:tabs>
                <w:tab w:val="left" w:pos="280"/>
              </w:tabs>
              <w:spacing w:before="0" w:after="40"/>
              <w:ind w:left="278" w:hanging="278"/>
              <w:rPr>
                <w:rFonts w:asciiTheme="minorHAnsi" w:hAnsiTheme="minorHAnsi" w:cstheme="minorHAnsi"/>
                <w:sz w:val="20"/>
                <w:lang w:eastAsia="it-IT"/>
              </w:rPr>
            </w:pPr>
            <w:r w:rsidRPr="00F33205">
              <w:rPr>
                <w:rFonts w:asciiTheme="minorHAnsi" w:hAnsiTheme="minorHAnsi" w:cstheme="minorHAnsi"/>
                <w:sz w:val="20"/>
                <w:lang w:eastAsia="it-IT"/>
              </w:rPr>
              <w:t>–</w:t>
            </w:r>
            <w:r w:rsidRPr="00F33205">
              <w:rPr>
                <w:rFonts w:asciiTheme="minorHAnsi" w:hAnsiTheme="minorHAnsi" w:cstheme="minorHAnsi"/>
                <w:sz w:val="20"/>
                <w:lang w:eastAsia="it-IT"/>
              </w:rPr>
              <w:tab/>
              <w:t>Définition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un outil d</w:t>
            </w:r>
            <w:r w:rsidR="001B30ED" w:rsidRPr="00F33205">
              <w:rPr>
                <w:rFonts w:asciiTheme="minorHAnsi" w:hAnsiTheme="minorHAnsi" w:cstheme="minorHAnsi"/>
                <w:sz w:val="20"/>
                <w:lang w:eastAsia="it-IT"/>
              </w:rPr>
              <w:t>'</w:t>
            </w:r>
            <w:r w:rsidRPr="00F33205">
              <w:rPr>
                <w:rFonts w:asciiTheme="minorHAnsi" w:hAnsiTheme="minorHAnsi" w:cstheme="minorHAnsi"/>
                <w:sz w:val="20"/>
                <w:lang w:eastAsia="it-IT"/>
              </w:rPr>
              <w:t>évaluation du produit fourni.</w:t>
            </w:r>
          </w:p>
        </w:tc>
        <w:tc>
          <w:tcPr>
            <w:tcW w:w="845" w:type="pct"/>
            <w:tcBorders>
              <w:top w:val="single" w:sz="4" w:space="0" w:color="auto"/>
              <w:left w:val="single" w:sz="4" w:space="0" w:color="auto"/>
              <w:bottom w:val="single" w:sz="4" w:space="0" w:color="auto"/>
              <w:right w:val="single" w:sz="4" w:space="0" w:color="auto"/>
            </w:tcBorders>
          </w:tcPr>
          <w:p w14:paraId="4BBE5943" w14:textId="4028F183" w:rsidR="005D254F" w:rsidRPr="00F33205" w:rsidRDefault="00516F45" w:rsidP="00B53AD7">
            <w:pPr>
              <w:widowControl w:val="0"/>
              <w:kinsoku w:val="0"/>
              <w:rPr>
                <w:rFonts w:asciiTheme="minorHAnsi" w:hAnsiTheme="minorHAnsi" w:cstheme="minorHAnsi"/>
                <w:sz w:val="20"/>
                <w:lang w:eastAsia="it-IT"/>
              </w:rPr>
            </w:pPr>
            <w:r w:rsidRPr="00F33205">
              <w:rPr>
                <w:rFonts w:asciiTheme="minorHAnsi" w:hAnsiTheme="minorHAnsi" w:cstheme="minorHAnsi"/>
                <w:sz w:val="20"/>
                <w:lang w:eastAsia="it-IT"/>
              </w:rPr>
              <w:t>En cours</w:t>
            </w:r>
            <w:r w:rsidR="00607E37">
              <w:rPr>
                <w:rFonts w:asciiTheme="minorHAnsi" w:hAnsiTheme="minorHAnsi" w:cstheme="minorHAnsi"/>
                <w:sz w:val="20"/>
                <w:lang w:eastAsia="it-IT"/>
              </w:rPr>
              <w:t>.</w:t>
            </w:r>
          </w:p>
        </w:tc>
      </w:tr>
      <w:tr w:rsidR="00144AFF" w:rsidRPr="00144AFF" w14:paraId="52E1E042" w14:textId="77777777" w:rsidTr="00144AFF">
        <w:trPr>
          <w:jc w:val="center"/>
        </w:trPr>
        <w:tc>
          <w:tcPr>
            <w:tcW w:w="348" w:type="pct"/>
            <w:tcBorders>
              <w:top w:val="single" w:sz="4" w:space="0" w:color="auto"/>
              <w:left w:val="single" w:sz="4" w:space="0" w:color="auto"/>
              <w:bottom w:val="single" w:sz="4" w:space="0" w:color="auto"/>
              <w:right w:val="single" w:sz="4" w:space="0" w:color="auto"/>
            </w:tcBorders>
          </w:tcPr>
          <w:p w14:paraId="7CFD8FD1" w14:textId="77777777" w:rsidR="00144AFF" w:rsidRPr="00144AFF" w:rsidRDefault="00144AFF" w:rsidP="00144AFF">
            <w:pPr>
              <w:pStyle w:val="Tablehead"/>
              <w:rPr>
                <w:sz w:val="20"/>
                <w:lang w:eastAsia="it-IT"/>
              </w:rPr>
            </w:pPr>
          </w:p>
        </w:tc>
        <w:tc>
          <w:tcPr>
            <w:tcW w:w="1309" w:type="pct"/>
            <w:tcBorders>
              <w:top w:val="single" w:sz="4" w:space="0" w:color="auto"/>
              <w:left w:val="single" w:sz="4" w:space="0" w:color="auto"/>
              <w:bottom w:val="single" w:sz="4" w:space="0" w:color="auto"/>
              <w:right w:val="single" w:sz="4" w:space="0" w:color="auto"/>
            </w:tcBorders>
          </w:tcPr>
          <w:p w14:paraId="2683359F" w14:textId="77777777" w:rsidR="00144AFF" w:rsidRPr="00144AFF" w:rsidRDefault="00144AFF" w:rsidP="00144AFF">
            <w:pPr>
              <w:pStyle w:val="Tablehead"/>
              <w:rPr>
                <w:sz w:val="20"/>
                <w:lang w:eastAsia="it-IT"/>
              </w:rPr>
            </w:pPr>
            <w:r w:rsidRPr="00144AFF">
              <w:rPr>
                <w:sz w:val="20"/>
                <w:lang w:eastAsia="it-IT"/>
              </w:rPr>
              <w:t xml:space="preserve">Suggestion faite par la Cour </w:t>
            </w:r>
            <w:r w:rsidRPr="00144AFF">
              <w:rPr>
                <w:sz w:val="20"/>
                <w:lang w:eastAsia="it-IT"/>
              </w:rPr>
              <w:br/>
              <w:t>des comptes italienne</w:t>
            </w:r>
          </w:p>
        </w:tc>
        <w:tc>
          <w:tcPr>
            <w:tcW w:w="1241" w:type="pct"/>
            <w:tcBorders>
              <w:top w:val="single" w:sz="4" w:space="0" w:color="auto"/>
              <w:left w:val="single" w:sz="4" w:space="0" w:color="auto"/>
              <w:bottom w:val="single" w:sz="4" w:space="0" w:color="auto"/>
              <w:right w:val="single" w:sz="4" w:space="0" w:color="auto"/>
            </w:tcBorders>
          </w:tcPr>
          <w:p w14:paraId="12ACCF6F" w14:textId="77777777" w:rsidR="00144AFF" w:rsidRPr="00144AFF" w:rsidRDefault="00144AFF" w:rsidP="00144AFF">
            <w:pPr>
              <w:pStyle w:val="Tablehead"/>
              <w:rPr>
                <w:sz w:val="20"/>
                <w:lang w:eastAsia="it-IT"/>
              </w:rPr>
            </w:pPr>
            <w:r w:rsidRPr="00144AFF">
              <w:rPr>
                <w:sz w:val="20"/>
                <w:lang w:eastAsia="it-IT"/>
              </w:rPr>
              <w:t>Commentaires formulés par le Secrétaire général lors de la publication du rapport</w:t>
            </w:r>
          </w:p>
        </w:tc>
        <w:tc>
          <w:tcPr>
            <w:tcW w:w="1257" w:type="pct"/>
            <w:tcBorders>
              <w:top w:val="single" w:sz="4" w:space="0" w:color="auto"/>
              <w:left w:val="single" w:sz="4" w:space="0" w:color="auto"/>
              <w:bottom w:val="single" w:sz="4" w:space="0" w:color="auto"/>
              <w:right w:val="single" w:sz="4" w:space="0" w:color="auto"/>
            </w:tcBorders>
          </w:tcPr>
          <w:p w14:paraId="0A9E916C" w14:textId="77777777" w:rsidR="00144AFF" w:rsidRPr="00144AFF" w:rsidRDefault="00144AFF" w:rsidP="00144AFF">
            <w:pPr>
              <w:pStyle w:val="Tablehead"/>
              <w:rPr>
                <w:sz w:val="20"/>
                <w:lang w:eastAsia="it-IT"/>
              </w:rPr>
            </w:pPr>
            <w:r w:rsidRPr="00144AFF">
              <w:rPr>
                <w:sz w:val="20"/>
                <w:lang w:eastAsia="it-IT"/>
              </w:rPr>
              <w:t xml:space="preserve">Etat de la situation indiqué </w:t>
            </w:r>
            <w:r w:rsidRPr="00144AFF">
              <w:rPr>
                <w:sz w:val="20"/>
                <w:lang w:eastAsia="it-IT"/>
              </w:rPr>
              <w:br/>
              <w:t>par la direction de l'UIT</w:t>
            </w:r>
          </w:p>
        </w:tc>
        <w:tc>
          <w:tcPr>
            <w:tcW w:w="845" w:type="pct"/>
            <w:tcBorders>
              <w:top w:val="single" w:sz="4" w:space="0" w:color="auto"/>
              <w:left w:val="single" w:sz="4" w:space="0" w:color="auto"/>
              <w:bottom w:val="single" w:sz="4" w:space="0" w:color="auto"/>
              <w:right w:val="single" w:sz="4" w:space="0" w:color="auto"/>
            </w:tcBorders>
          </w:tcPr>
          <w:p w14:paraId="003D8347" w14:textId="77777777" w:rsidR="00144AFF" w:rsidRPr="00144AFF" w:rsidRDefault="00144AFF" w:rsidP="00144AFF">
            <w:pPr>
              <w:pStyle w:val="Tablehead"/>
              <w:rPr>
                <w:sz w:val="20"/>
                <w:lang w:eastAsia="it-IT"/>
              </w:rPr>
            </w:pPr>
            <w:r w:rsidRPr="00144AFF">
              <w:rPr>
                <w:sz w:val="20"/>
                <w:lang w:eastAsia="it-IT"/>
              </w:rPr>
              <w:t>Etat des mesures prises par la direction selon l'évaluation de la Cour des comptes italienne</w:t>
            </w:r>
          </w:p>
        </w:tc>
      </w:tr>
      <w:tr w:rsidR="00144AFF" w:rsidRPr="00F33205" w14:paraId="6BA1BB7D" w14:textId="77777777" w:rsidTr="00144AFF">
        <w:trPr>
          <w:jc w:val="center"/>
        </w:trPr>
        <w:tc>
          <w:tcPr>
            <w:tcW w:w="348" w:type="pct"/>
            <w:tcBorders>
              <w:top w:val="single" w:sz="4" w:space="0" w:color="auto"/>
              <w:left w:val="single" w:sz="4" w:space="0" w:color="auto"/>
              <w:bottom w:val="single" w:sz="4" w:space="0" w:color="auto"/>
              <w:right w:val="single" w:sz="4" w:space="0" w:color="auto"/>
            </w:tcBorders>
          </w:tcPr>
          <w:p w14:paraId="288A88F7" w14:textId="253EFB36" w:rsidR="00144AFF" w:rsidRPr="00F33205" w:rsidRDefault="00144AFF" w:rsidP="00B53AD7">
            <w:pPr>
              <w:adjustRightInd/>
              <w:jc w:val="center"/>
              <w:rPr>
                <w:rFonts w:asciiTheme="minorHAnsi" w:hAnsiTheme="minorHAnsi" w:cstheme="minorHAnsi"/>
                <w:b/>
                <w:bCs/>
                <w:sz w:val="20"/>
                <w:lang w:eastAsia="it-IT"/>
              </w:rPr>
            </w:pPr>
          </w:p>
        </w:tc>
        <w:tc>
          <w:tcPr>
            <w:tcW w:w="1309" w:type="pct"/>
            <w:tcBorders>
              <w:top w:val="single" w:sz="4" w:space="0" w:color="auto"/>
              <w:left w:val="single" w:sz="4" w:space="0" w:color="auto"/>
              <w:bottom w:val="single" w:sz="4" w:space="0" w:color="auto"/>
              <w:right w:val="single" w:sz="4" w:space="0" w:color="auto"/>
            </w:tcBorders>
          </w:tcPr>
          <w:p w14:paraId="65B53336" w14:textId="77777777" w:rsidR="00144AFF" w:rsidRPr="00F33205" w:rsidRDefault="00144AFF" w:rsidP="00B53AD7">
            <w:pPr>
              <w:widowControl w:val="0"/>
              <w:kinsoku w:val="0"/>
              <w:rPr>
                <w:rFonts w:asciiTheme="minorHAnsi" w:hAnsiTheme="minorHAnsi" w:cstheme="minorHAnsi"/>
                <w:sz w:val="20"/>
                <w:lang w:eastAsia="it-IT"/>
              </w:rPr>
            </w:pPr>
          </w:p>
        </w:tc>
        <w:tc>
          <w:tcPr>
            <w:tcW w:w="1241" w:type="pct"/>
            <w:tcBorders>
              <w:top w:val="single" w:sz="4" w:space="0" w:color="auto"/>
              <w:left w:val="single" w:sz="4" w:space="0" w:color="auto"/>
              <w:bottom w:val="single" w:sz="4" w:space="0" w:color="auto"/>
              <w:right w:val="single" w:sz="4" w:space="0" w:color="auto"/>
            </w:tcBorders>
          </w:tcPr>
          <w:p w14:paraId="737A8365" w14:textId="77777777" w:rsidR="00144AFF" w:rsidRPr="00F33205" w:rsidRDefault="00144AFF" w:rsidP="00B53AD7">
            <w:pPr>
              <w:widowControl w:val="0"/>
              <w:kinsoku w:val="0"/>
              <w:rPr>
                <w:rFonts w:asciiTheme="minorHAnsi" w:hAnsiTheme="minorHAnsi" w:cstheme="minorHAnsi"/>
                <w:sz w:val="20"/>
                <w:lang w:eastAsia="it-IT"/>
              </w:rPr>
            </w:pPr>
          </w:p>
        </w:tc>
        <w:tc>
          <w:tcPr>
            <w:tcW w:w="1257" w:type="pct"/>
            <w:tcBorders>
              <w:top w:val="single" w:sz="4" w:space="0" w:color="auto"/>
              <w:left w:val="single" w:sz="4" w:space="0" w:color="auto"/>
              <w:bottom w:val="single" w:sz="4" w:space="0" w:color="auto"/>
              <w:right w:val="single" w:sz="4" w:space="0" w:color="auto"/>
            </w:tcBorders>
          </w:tcPr>
          <w:p w14:paraId="3C8647F0" w14:textId="77777777" w:rsidR="00144AFF" w:rsidRPr="00F33205" w:rsidRDefault="00144AFF" w:rsidP="00144AFF">
            <w:pPr>
              <w:pStyle w:val="Tabletext"/>
              <w:tabs>
                <w:tab w:val="left" w:pos="280"/>
              </w:tabs>
              <w:spacing w:before="0" w:after="0"/>
              <w:rPr>
                <w:rFonts w:asciiTheme="minorHAnsi" w:hAnsiTheme="minorHAnsi" w:cstheme="minorHAnsi"/>
                <w:sz w:val="20"/>
                <w:lang w:eastAsia="it-IT"/>
              </w:rPr>
            </w:pPr>
            <w:r w:rsidRPr="00F33205">
              <w:rPr>
                <w:rFonts w:asciiTheme="minorHAnsi" w:hAnsiTheme="minorHAnsi" w:cstheme="minorHAnsi"/>
                <w:sz w:val="20"/>
                <w:lang w:eastAsia="it-IT"/>
              </w:rPr>
              <w:t>b)</w:t>
            </w:r>
            <w:r w:rsidRPr="00F33205">
              <w:rPr>
                <w:rFonts w:asciiTheme="minorHAnsi" w:hAnsiTheme="minorHAnsi" w:cstheme="minorHAnsi"/>
                <w:sz w:val="20"/>
                <w:lang w:eastAsia="it-IT"/>
              </w:rPr>
              <w:tab/>
              <w:t>Il est en outre important de noter que le travail accompli par les stagiaires et les prestataires au bénéfice de contrats SSA est supervisé par des fonctionnaires nommés, afin d'aider à préserver les compétences institutionnelles.</w:t>
            </w:r>
          </w:p>
          <w:p w14:paraId="06829596" w14:textId="77777777" w:rsidR="00144AFF" w:rsidRPr="00F33205" w:rsidRDefault="00144AFF" w:rsidP="00144AFF">
            <w:pPr>
              <w:pStyle w:val="Tabletext"/>
              <w:tabs>
                <w:tab w:val="left" w:pos="381"/>
              </w:tabs>
              <w:spacing w:before="120" w:after="0"/>
              <w:rPr>
                <w:rFonts w:asciiTheme="minorHAnsi" w:hAnsiTheme="minorHAnsi" w:cstheme="minorHAnsi"/>
                <w:b/>
                <w:bCs/>
                <w:sz w:val="20"/>
                <w:lang w:eastAsia="it-IT"/>
              </w:rPr>
            </w:pPr>
            <w:r w:rsidRPr="00F33205">
              <w:rPr>
                <w:rFonts w:asciiTheme="minorHAnsi" w:hAnsiTheme="minorHAnsi" w:cstheme="minorHAnsi"/>
                <w:b/>
                <w:bCs/>
                <w:sz w:val="20"/>
                <w:lang w:eastAsia="it-IT"/>
              </w:rPr>
              <w:t>Mise à jour de fin avril 2017:</w:t>
            </w:r>
          </w:p>
          <w:p w14:paraId="5AB15556" w14:textId="77777777" w:rsidR="00144AFF" w:rsidRPr="00F33205" w:rsidRDefault="00144AFF" w:rsidP="00144AFF">
            <w:pPr>
              <w:widowControl w:val="0"/>
              <w:kinsoku w:val="0"/>
              <w:rPr>
                <w:rFonts w:asciiTheme="minorHAnsi" w:hAnsiTheme="minorHAnsi" w:cstheme="minorHAnsi"/>
                <w:sz w:val="20"/>
                <w:highlight w:val="yellow"/>
                <w:lang w:eastAsia="it-IT"/>
              </w:rPr>
            </w:pPr>
            <w:r w:rsidRPr="00F33205">
              <w:rPr>
                <w:rFonts w:asciiTheme="minorHAnsi" w:hAnsiTheme="minorHAnsi" w:cstheme="minorHAnsi"/>
                <w:sz w:val="20"/>
              </w:rPr>
              <w:t>Un projet a été élaboré; il est soumis au Conseil, à sa session de 2017, pour information, dans l'attente de son examen dans le cadre de la procédure normale de consultation interne.</w:t>
            </w:r>
          </w:p>
          <w:p w14:paraId="6023A6C5" w14:textId="77777777" w:rsidR="00144AFF" w:rsidRPr="00F33205" w:rsidRDefault="00144AFF" w:rsidP="00144AFF">
            <w:pPr>
              <w:rPr>
                <w:rFonts w:asciiTheme="minorHAnsi" w:hAnsiTheme="minorHAnsi" w:cstheme="minorHAnsi"/>
                <w:sz w:val="20"/>
                <w:lang w:eastAsia="it-IT"/>
              </w:rPr>
            </w:pPr>
            <w:r w:rsidRPr="00F33205">
              <w:rPr>
                <w:rFonts w:asciiTheme="minorHAnsi" w:hAnsiTheme="minorHAnsi" w:cstheme="minorHAnsi"/>
                <w:b/>
                <w:bCs/>
                <w:sz w:val="20"/>
                <w:lang w:eastAsia="it-IT"/>
              </w:rPr>
              <w:t>Mise à jour d'avril 2018:</w:t>
            </w:r>
          </w:p>
          <w:p w14:paraId="3E0F9F4B" w14:textId="52C1CE4C" w:rsidR="00144AFF" w:rsidRPr="00F33205" w:rsidRDefault="00144AFF" w:rsidP="004F6DF1">
            <w:pPr>
              <w:pStyle w:val="Tabletext"/>
              <w:tabs>
                <w:tab w:val="left" w:pos="280"/>
              </w:tabs>
              <w:spacing w:before="120"/>
              <w:rPr>
                <w:rFonts w:asciiTheme="minorHAnsi" w:hAnsiTheme="minorHAnsi" w:cstheme="minorHAnsi"/>
                <w:sz w:val="20"/>
                <w:lang w:eastAsia="it-IT"/>
              </w:rPr>
            </w:pPr>
            <w:r w:rsidRPr="00F33205">
              <w:rPr>
                <w:rFonts w:asciiTheme="minorHAnsi" w:hAnsiTheme="minorHAnsi" w:cstheme="minorHAnsi"/>
                <w:sz w:val="20"/>
                <w:lang w:eastAsia="it-IT"/>
              </w:rPr>
              <w:t xml:space="preserve">Le processus de consultation interne doit être mené à bien. Cependant, des discussions sont en cours pour déterminer si le traitement des demandes de prestataires individuels devrait continuer d'être réalisé par le </w:t>
            </w:r>
            <w:r w:rsidRPr="00F33205">
              <w:rPr>
                <w:rFonts w:asciiTheme="minorHAnsi" w:hAnsiTheme="minorHAnsi" w:cstheme="minorHAnsi"/>
                <w:sz w:val="20"/>
                <w:lang w:val="fr-CH" w:eastAsia="it-IT"/>
              </w:rPr>
              <w:t xml:space="preserve">Département de la gestion des ressources humaines </w:t>
            </w:r>
            <w:r w:rsidRPr="00F33205">
              <w:rPr>
                <w:rFonts w:asciiTheme="minorHAnsi" w:hAnsiTheme="minorHAnsi" w:cstheme="minorHAnsi"/>
                <w:sz w:val="20"/>
                <w:lang w:eastAsia="it-IT"/>
              </w:rPr>
              <w:t xml:space="preserve">en tant que contrats individuels, ou être pris en charge par le Service des achats selon les procédures d'achats relatives aux services. L'élaboration de la politique a été mise en suspens par le </w:t>
            </w:r>
            <w:r w:rsidRPr="00F33205">
              <w:rPr>
                <w:rFonts w:asciiTheme="minorHAnsi" w:hAnsiTheme="minorHAnsi" w:cstheme="minorHAnsi"/>
                <w:sz w:val="20"/>
                <w:lang w:val="fr-CH" w:eastAsia="it-IT"/>
              </w:rPr>
              <w:t xml:space="preserve">Département de la gestion des ressources humaines </w:t>
            </w:r>
            <w:r w:rsidRPr="00F33205">
              <w:rPr>
                <w:rFonts w:asciiTheme="minorHAnsi" w:hAnsiTheme="minorHAnsi" w:cstheme="minorHAnsi"/>
                <w:sz w:val="20"/>
                <w:lang w:eastAsia="it-IT"/>
              </w:rPr>
              <w:t>jusqu'à ce qu'une décision soit prise à cet égard.</w:t>
            </w:r>
          </w:p>
        </w:tc>
        <w:tc>
          <w:tcPr>
            <w:tcW w:w="845" w:type="pct"/>
            <w:tcBorders>
              <w:top w:val="single" w:sz="4" w:space="0" w:color="auto"/>
              <w:left w:val="single" w:sz="4" w:space="0" w:color="auto"/>
              <w:bottom w:val="single" w:sz="4" w:space="0" w:color="auto"/>
              <w:right w:val="single" w:sz="4" w:space="0" w:color="auto"/>
            </w:tcBorders>
          </w:tcPr>
          <w:p w14:paraId="785EE5C5" w14:textId="77777777" w:rsidR="00144AFF" w:rsidRPr="00F33205" w:rsidRDefault="00144AFF" w:rsidP="00B53AD7">
            <w:pPr>
              <w:widowControl w:val="0"/>
              <w:kinsoku w:val="0"/>
              <w:rPr>
                <w:rFonts w:asciiTheme="minorHAnsi" w:hAnsiTheme="minorHAnsi" w:cstheme="minorHAnsi"/>
                <w:sz w:val="20"/>
                <w:lang w:eastAsia="it-IT"/>
              </w:rPr>
            </w:pPr>
          </w:p>
        </w:tc>
      </w:tr>
    </w:tbl>
    <w:p w14:paraId="4167F43C" w14:textId="77777777" w:rsidR="00AB03CF" w:rsidRPr="00DD066D" w:rsidRDefault="00AB03CF" w:rsidP="00B53AD7">
      <w:pPr>
        <w:pStyle w:val="Reasons"/>
      </w:pPr>
    </w:p>
    <w:p w14:paraId="545F5DCB" w14:textId="2C81D3A6" w:rsidR="005D254F" w:rsidRPr="00DD066D" w:rsidRDefault="00AB03CF" w:rsidP="00F33205">
      <w:pPr>
        <w:jc w:val="center"/>
      </w:pPr>
      <w:r w:rsidRPr="00DD066D">
        <w:t>______________</w:t>
      </w:r>
    </w:p>
    <w:sectPr w:rsidR="005D254F" w:rsidRPr="00DD066D" w:rsidSect="004609CC">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877FE" w14:textId="77777777" w:rsidR="0071366C" w:rsidRDefault="0071366C">
      <w:r>
        <w:separator/>
      </w:r>
    </w:p>
  </w:endnote>
  <w:endnote w:type="continuationSeparator" w:id="0">
    <w:p w14:paraId="32569500" w14:textId="77777777" w:rsidR="0071366C" w:rsidRDefault="0071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8DAE" w14:textId="77777777" w:rsidR="0071366C" w:rsidRPr="001612DA" w:rsidRDefault="0071366C">
    <w:pPr>
      <w:pStyle w:val="Footer"/>
    </w:pPr>
    <w:r>
      <w:fldChar w:fldCharType="begin"/>
    </w:r>
    <w:r w:rsidRPr="001612DA">
      <w:instrText xml:space="preserve"> FILENAME \p \* MERGEFORMAT </w:instrText>
    </w:r>
    <w:r>
      <w:fldChar w:fldCharType="separate"/>
    </w:r>
    <w:r w:rsidR="00BD6831">
      <w:t>P:\FRA\SG\CONSEIL\C18\000\040F.docx</w:t>
    </w:r>
    <w:r>
      <w:fldChar w:fldCharType="end"/>
    </w:r>
    <w:r w:rsidRPr="001612DA">
      <w:tab/>
    </w:r>
    <w:r>
      <w:fldChar w:fldCharType="begin"/>
    </w:r>
    <w:r>
      <w:instrText xml:space="preserve"> savedate \@ dd.MM.yy </w:instrText>
    </w:r>
    <w:r>
      <w:fldChar w:fldCharType="separate"/>
    </w:r>
    <w:r w:rsidR="00D87EA5">
      <w:t>22.08.18</w:t>
    </w:r>
    <w:r>
      <w:fldChar w:fldCharType="end"/>
    </w:r>
    <w:r w:rsidRPr="001612DA">
      <w:tab/>
    </w:r>
    <w:r>
      <w:fldChar w:fldCharType="begin"/>
    </w:r>
    <w:r>
      <w:instrText xml:space="preserve"> printdate \@ dd.MM.yy </w:instrText>
    </w:r>
    <w:r>
      <w:fldChar w:fldCharType="separate"/>
    </w:r>
    <w:r w:rsidR="00BD6831">
      <w:t>22.08.18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85DD" w14:textId="77777777" w:rsidR="0071366C" w:rsidRPr="001612DA" w:rsidRDefault="0071366C">
    <w:pPr>
      <w:pStyle w:val="Footer"/>
    </w:pPr>
    <w:r>
      <w:fldChar w:fldCharType="begin"/>
    </w:r>
    <w:r w:rsidRPr="001612DA">
      <w:instrText xml:space="preserve"> FILENAME \p \* MERGEFORMAT </w:instrText>
    </w:r>
    <w:r>
      <w:fldChar w:fldCharType="separate"/>
    </w:r>
    <w:r w:rsidR="00BD6831">
      <w:t>P:\FRA\SG\CONSEIL\C18\000\040F.docx</w:t>
    </w:r>
    <w:r>
      <w:fldChar w:fldCharType="end"/>
    </w:r>
    <w:r w:rsidRPr="001612DA">
      <w:tab/>
    </w:r>
    <w:r>
      <w:fldChar w:fldCharType="begin"/>
    </w:r>
    <w:r>
      <w:instrText xml:space="preserve"> savedate \@ dd.MM.yy </w:instrText>
    </w:r>
    <w:r>
      <w:fldChar w:fldCharType="separate"/>
    </w:r>
    <w:r w:rsidR="00D87EA5">
      <w:t>22.08.18</w:t>
    </w:r>
    <w:r>
      <w:fldChar w:fldCharType="end"/>
    </w:r>
    <w:r w:rsidRPr="001612DA">
      <w:tab/>
    </w:r>
    <w:r>
      <w:fldChar w:fldCharType="begin"/>
    </w:r>
    <w:r>
      <w:instrText xml:space="preserve"> printdate \@ dd.MM.yy </w:instrText>
    </w:r>
    <w:r>
      <w:fldChar w:fldCharType="separate"/>
    </w:r>
    <w:r w:rsidR="00BD6831">
      <w:t>22.08.18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EE23F" w14:textId="77777777" w:rsidR="0071366C" w:rsidRDefault="0071366C" w:rsidP="00C10DF7">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1ACA8" w14:textId="77777777" w:rsidR="0071366C" w:rsidRPr="001612DA" w:rsidRDefault="0071366C">
    <w:pPr>
      <w:pStyle w:val="Footer"/>
    </w:pPr>
    <w:r>
      <w:fldChar w:fldCharType="begin"/>
    </w:r>
    <w:r w:rsidRPr="001612DA">
      <w:instrText xml:space="preserve"> FILENAME \p \* MERGEFORMAT </w:instrText>
    </w:r>
    <w:r>
      <w:fldChar w:fldCharType="separate"/>
    </w:r>
    <w:r w:rsidR="00BD6831">
      <w:t>P:\FRA\SG\CONSEIL\C18\000\040F.docx</w:t>
    </w:r>
    <w:r>
      <w:fldChar w:fldCharType="end"/>
    </w:r>
    <w:r w:rsidRPr="001612DA">
      <w:tab/>
    </w:r>
    <w:r>
      <w:fldChar w:fldCharType="begin"/>
    </w:r>
    <w:r>
      <w:instrText xml:space="preserve"> savedate \@ dd.MM.yy </w:instrText>
    </w:r>
    <w:r>
      <w:fldChar w:fldCharType="separate"/>
    </w:r>
    <w:r w:rsidR="00D87EA5">
      <w:t>22.08.18</w:t>
    </w:r>
    <w:r>
      <w:fldChar w:fldCharType="end"/>
    </w:r>
    <w:r w:rsidRPr="001612DA">
      <w:tab/>
    </w:r>
    <w:r>
      <w:fldChar w:fldCharType="begin"/>
    </w:r>
    <w:r>
      <w:instrText xml:space="preserve"> printdate \@ dd.MM.yy </w:instrText>
    </w:r>
    <w:r>
      <w:fldChar w:fldCharType="separate"/>
    </w:r>
    <w:r w:rsidR="00BD6831">
      <w:t>22.08.18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23DB" w14:textId="6755B6E9" w:rsidR="0071366C" w:rsidRPr="007F1984" w:rsidRDefault="0071366C" w:rsidP="007345C9">
    <w:pPr>
      <w:pStyle w:val="Footer"/>
    </w:pPr>
    <w:r>
      <w:fldChar w:fldCharType="begin"/>
    </w:r>
    <w:r w:rsidRPr="007F1984">
      <w:instrText xml:space="preserve"> FILENAME \p \* MERGEFORMAT </w:instrText>
    </w:r>
    <w:r>
      <w:fldChar w:fldCharType="separate"/>
    </w:r>
    <w:r w:rsidR="00BD6831">
      <w:t>P:\FRA\SG\CONSEIL\C18\000\040F.docx</w:t>
    </w:r>
    <w:r>
      <w:fldChar w:fldCharType="end"/>
    </w:r>
    <w:r w:rsidRPr="007F1984">
      <w:t xml:space="preserve"> (4</w:t>
    </w:r>
    <w:r>
      <w:t>29722</w:t>
    </w:r>
    <w:r w:rsidRPr="007F1984">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F21A6" w14:textId="77777777" w:rsidR="0071366C" w:rsidRPr="001612DA" w:rsidRDefault="0071366C" w:rsidP="004B5BA3">
    <w:pPr>
      <w:pStyle w:val="Footer"/>
    </w:pPr>
    <w:r>
      <w:fldChar w:fldCharType="begin"/>
    </w:r>
    <w:r w:rsidRPr="001612DA">
      <w:instrText xml:space="preserve"> FILENAME \p \* MERGEFORMAT </w:instrText>
    </w:r>
    <w:r>
      <w:fldChar w:fldCharType="separate"/>
    </w:r>
    <w:r w:rsidR="00BD6831">
      <w:t>P:\FRA\SG\CONSEIL\C18\000\040F.docx</w:t>
    </w:r>
    <w:r>
      <w:fldChar w:fldCharType="end"/>
    </w:r>
    <w:r w:rsidRPr="001612DA">
      <w:t xml:space="preserve"> (386662)</w:t>
    </w:r>
    <w:r w:rsidRPr="001612DA">
      <w:tab/>
    </w:r>
    <w:r>
      <w:fldChar w:fldCharType="begin"/>
    </w:r>
    <w:r>
      <w:instrText xml:space="preserve"> savedate \@ dd.MM.yy </w:instrText>
    </w:r>
    <w:r>
      <w:fldChar w:fldCharType="separate"/>
    </w:r>
    <w:r w:rsidR="00D87EA5">
      <w:t>22.08.18</w:t>
    </w:r>
    <w:r>
      <w:fldChar w:fldCharType="end"/>
    </w:r>
    <w:r w:rsidRPr="001612DA">
      <w:tab/>
    </w:r>
    <w:r>
      <w:fldChar w:fldCharType="begin"/>
    </w:r>
    <w:r>
      <w:instrText xml:space="preserve"> printdate \@ dd.MM.yy </w:instrText>
    </w:r>
    <w:r>
      <w:fldChar w:fldCharType="separate"/>
    </w:r>
    <w:r w:rsidR="00BD6831">
      <w:t>22.08.18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E99C2" w14:textId="77777777" w:rsidR="0071366C" w:rsidRDefault="00B21487">
    <w:pPr>
      <w:pStyle w:val="Footer"/>
    </w:pPr>
    <w:r>
      <w:fldChar w:fldCharType="begin"/>
    </w:r>
    <w:r>
      <w:instrText xml:space="preserve"> FILENAME \p \* MERGEFORMAT </w:instrText>
    </w:r>
    <w:r>
      <w:fldChar w:fldCharType="separate"/>
    </w:r>
    <w:r w:rsidR="00BD6831">
      <w:t>P:\FRA\SG\CONSEIL\C18\000\040F.docx</w:t>
    </w:r>
    <w:r>
      <w:fldChar w:fldCharType="end"/>
    </w:r>
    <w:r w:rsidR="0071366C">
      <w:tab/>
    </w:r>
    <w:r w:rsidR="0071366C">
      <w:fldChar w:fldCharType="begin"/>
    </w:r>
    <w:r w:rsidR="0071366C">
      <w:instrText xml:space="preserve"> savedate \@ dd.MM.yy </w:instrText>
    </w:r>
    <w:r w:rsidR="0071366C">
      <w:fldChar w:fldCharType="separate"/>
    </w:r>
    <w:r w:rsidR="00D87EA5">
      <w:t>22.08.18</w:t>
    </w:r>
    <w:r w:rsidR="0071366C">
      <w:fldChar w:fldCharType="end"/>
    </w:r>
    <w:r w:rsidR="0071366C">
      <w:tab/>
    </w:r>
    <w:r w:rsidR="0071366C">
      <w:fldChar w:fldCharType="begin"/>
    </w:r>
    <w:r w:rsidR="0071366C">
      <w:instrText xml:space="preserve"> printdate \@ dd.MM.yy </w:instrText>
    </w:r>
    <w:r w:rsidR="0071366C">
      <w:fldChar w:fldCharType="separate"/>
    </w:r>
    <w:r w:rsidR="00BD6831">
      <w:t>22.08.18</w:t>
    </w:r>
    <w:r w:rsidR="0071366C">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82749" w14:textId="77777777" w:rsidR="0071366C" w:rsidRDefault="00B21487" w:rsidP="00341FC2">
    <w:pPr>
      <w:pStyle w:val="Footer"/>
    </w:pPr>
    <w:r>
      <w:fldChar w:fldCharType="begin"/>
    </w:r>
    <w:r>
      <w:instrText xml:space="preserve"> FILENAME \p  \* MERGEFORMAT </w:instrText>
    </w:r>
    <w:r>
      <w:fldChar w:fldCharType="separate"/>
    </w:r>
    <w:r w:rsidR="00BD6831">
      <w:t>P:\FRA\SG\CONSEIL\C18\000\040F.docx</w:t>
    </w:r>
    <w:r>
      <w:fldChar w:fldCharType="end"/>
    </w:r>
    <w:r w:rsidR="0071366C">
      <w:t xml:space="preserve"> (429722)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1DBC1" w14:textId="77777777" w:rsidR="0071366C" w:rsidRDefault="00B21487" w:rsidP="00EE464D">
    <w:pPr>
      <w:pStyle w:val="Footer"/>
    </w:pPr>
    <w:r>
      <w:fldChar w:fldCharType="begin"/>
    </w:r>
    <w:r>
      <w:instrText xml:space="preserve"> FILENAME \p  \* MERGEFORMAT </w:instrText>
    </w:r>
    <w:r>
      <w:fldChar w:fldCharType="separate"/>
    </w:r>
    <w:r w:rsidR="00BD6831">
      <w:t>P:\FRA\SG\CONSEIL\C18\000\040F.docx</w:t>
    </w:r>
    <w:r>
      <w:fldChar w:fldCharType="end"/>
    </w:r>
    <w:r w:rsidR="0071366C">
      <w:t xml:space="preserve"> (429722)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3A4CF" w14:textId="77777777" w:rsidR="0071366C" w:rsidRDefault="0071366C">
      <w:r>
        <w:t>____________________</w:t>
      </w:r>
    </w:p>
  </w:footnote>
  <w:footnote w:type="continuationSeparator" w:id="0">
    <w:p w14:paraId="4046F5F0" w14:textId="77777777" w:rsidR="0071366C" w:rsidRDefault="0071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A6E6" w14:textId="77777777" w:rsidR="0071366C" w:rsidRDefault="0071366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D99A816" w14:textId="77777777" w:rsidR="0071366C" w:rsidRDefault="0071366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61F5C" w14:textId="77777777" w:rsidR="0071366C" w:rsidRDefault="0071366C" w:rsidP="00475FB3">
    <w:pPr>
      <w:pStyle w:val="Header"/>
    </w:pPr>
    <w:r>
      <w:fldChar w:fldCharType="begin"/>
    </w:r>
    <w:r>
      <w:instrText>PAGE</w:instrText>
    </w:r>
    <w:r>
      <w:fldChar w:fldCharType="separate"/>
    </w:r>
    <w:r>
      <w:rPr>
        <w:noProof/>
      </w:rPr>
      <w:t>5</w:t>
    </w:r>
    <w:r>
      <w:rPr>
        <w:noProof/>
      </w:rPr>
      <w:fldChar w:fldCharType="end"/>
    </w:r>
  </w:p>
  <w:p w14:paraId="47CE0222" w14:textId="77777777" w:rsidR="0071366C" w:rsidRDefault="0071366C" w:rsidP="0093234A">
    <w:pPr>
      <w:pStyle w:val="Header"/>
    </w:pPr>
    <w:r>
      <w:t>C18/40F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C9E11" w14:textId="77777777" w:rsidR="0071366C" w:rsidRDefault="0071366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458D17D" w14:textId="77777777" w:rsidR="0071366C" w:rsidRDefault="0071366C">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E209" w14:textId="77777777" w:rsidR="0071366C" w:rsidRDefault="0071366C" w:rsidP="00475FB3">
    <w:pPr>
      <w:pStyle w:val="Header"/>
    </w:pPr>
    <w:r>
      <w:fldChar w:fldCharType="begin"/>
    </w:r>
    <w:r>
      <w:instrText>PAGE</w:instrText>
    </w:r>
    <w:r>
      <w:fldChar w:fldCharType="separate"/>
    </w:r>
    <w:r w:rsidR="00B21487">
      <w:rPr>
        <w:noProof/>
      </w:rPr>
      <w:t>22</w:t>
    </w:r>
    <w:r>
      <w:rPr>
        <w:noProof/>
      </w:rPr>
      <w:fldChar w:fldCharType="end"/>
    </w:r>
  </w:p>
  <w:p w14:paraId="335B36A2" w14:textId="3B758A80" w:rsidR="0071366C" w:rsidRDefault="0071366C" w:rsidP="004B5BA3">
    <w:pPr>
      <w:pStyle w:val="Header"/>
    </w:pPr>
    <w:r>
      <w:t>C18/40-F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497AF" w14:textId="77777777" w:rsidR="0071366C" w:rsidRPr="00D31FF8" w:rsidRDefault="0071366C" w:rsidP="00231DB7">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14:paraId="531C0830" w14:textId="77777777" w:rsidR="0071366C" w:rsidRPr="00D31FF8" w:rsidRDefault="0071366C" w:rsidP="00231DB7">
    <w:pPr>
      <w:pStyle w:val="Header"/>
      <w:tabs>
        <w:tab w:val="right" w:pos="14034"/>
      </w:tabs>
      <w:ind w:right="360" w:firstLine="360"/>
      <w:rPr>
        <w:sz w:val="20"/>
      </w:rPr>
    </w:pPr>
    <w:r>
      <w:rPr>
        <w:sz w:val="20"/>
      </w:rPr>
      <w:tab/>
    </w:r>
  </w:p>
  <w:p w14:paraId="7572FDB0" w14:textId="77777777" w:rsidR="0071366C" w:rsidRPr="00791787" w:rsidRDefault="0071366C" w:rsidP="00231DB7">
    <w:pPr>
      <w:pStyle w:val="Header"/>
    </w:pPr>
  </w:p>
  <w:p w14:paraId="577B4A7D" w14:textId="77777777" w:rsidR="0071366C" w:rsidRDefault="0071366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5264" w14:textId="77777777" w:rsidR="0071366C" w:rsidRDefault="0071366C" w:rsidP="00475FB3">
    <w:pPr>
      <w:pStyle w:val="Header"/>
    </w:pPr>
    <w:r>
      <w:fldChar w:fldCharType="begin"/>
    </w:r>
    <w:r>
      <w:instrText>PAGE</w:instrText>
    </w:r>
    <w:r>
      <w:fldChar w:fldCharType="separate"/>
    </w:r>
    <w:r w:rsidR="00B21487">
      <w:rPr>
        <w:noProof/>
      </w:rPr>
      <w:t>50</w:t>
    </w:r>
    <w:r>
      <w:rPr>
        <w:noProof/>
      </w:rPr>
      <w:fldChar w:fldCharType="end"/>
    </w:r>
  </w:p>
  <w:p w14:paraId="4F9D9AFF" w14:textId="77777777" w:rsidR="0071366C" w:rsidRDefault="0071366C" w:rsidP="00396C8A">
    <w:pPr>
      <w:pStyle w:val="Header"/>
      <w:spacing w:after="120"/>
    </w:pPr>
    <w:r>
      <w:t>C18/40-F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2E00C" w14:textId="77777777" w:rsidR="0071366C" w:rsidRDefault="0071366C">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F09D6D7" w14:textId="77777777" w:rsidR="0071366C" w:rsidRDefault="0071366C">
    <w:pPr>
      <w:pStyle w:val="Header"/>
    </w:pPr>
    <w:r>
      <w:t>C2001/#-F</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A72B" w14:textId="77777777" w:rsidR="0071366C" w:rsidRDefault="0071366C" w:rsidP="00475FB3">
    <w:pPr>
      <w:pStyle w:val="Header"/>
    </w:pPr>
    <w:r>
      <w:fldChar w:fldCharType="begin"/>
    </w:r>
    <w:r>
      <w:instrText>PAGE</w:instrText>
    </w:r>
    <w:r>
      <w:fldChar w:fldCharType="separate"/>
    </w:r>
    <w:r w:rsidR="00B21487">
      <w:rPr>
        <w:noProof/>
      </w:rPr>
      <w:t>58</w:t>
    </w:r>
    <w:r>
      <w:rPr>
        <w:noProof/>
      </w:rPr>
      <w:fldChar w:fldCharType="end"/>
    </w:r>
  </w:p>
  <w:p w14:paraId="01DFF231" w14:textId="77777777" w:rsidR="0071366C" w:rsidRDefault="0071366C" w:rsidP="00144AFF">
    <w:pPr>
      <w:pStyle w:val="Header"/>
      <w:spacing w:after="120"/>
    </w:pPr>
    <w:r>
      <w:t>C18/40-F</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56221" w14:textId="77777777" w:rsidR="00D6755E" w:rsidRDefault="00D6755E" w:rsidP="00D6755E">
    <w:pPr>
      <w:pStyle w:val="Header"/>
    </w:pPr>
    <w:r>
      <w:fldChar w:fldCharType="begin"/>
    </w:r>
    <w:r>
      <w:instrText>PAGE</w:instrText>
    </w:r>
    <w:r>
      <w:fldChar w:fldCharType="separate"/>
    </w:r>
    <w:r w:rsidR="00D87EA5">
      <w:rPr>
        <w:noProof/>
      </w:rPr>
      <w:t>51</w:t>
    </w:r>
    <w:r>
      <w:rPr>
        <w:noProof/>
      </w:rPr>
      <w:fldChar w:fldCharType="end"/>
    </w:r>
  </w:p>
  <w:p w14:paraId="643486DA" w14:textId="4E2654C0" w:rsidR="00D6755E" w:rsidRDefault="00D6755E" w:rsidP="00D6755E">
    <w:pPr>
      <w:pStyle w:val="Header"/>
      <w:spacing w:after="120"/>
    </w:pPr>
    <w:r>
      <w:t>C18/40-F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C03464D"/>
    <w:multiLevelType w:val="hybridMultilevel"/>
    <w:tmpl w:val="10D05D52"/>
    <w:lvl w:ilvl="0" w:tplc="A7D41124">
      <w:start w:val="4"/>
      <w:numFmt w:val="bullet"/>
      <w:lvlText w:val="-"/>
      <w:lvlJc w:val="left"/>
      <w:pPr>
        <w:ind w:left="920" w:hanging="5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612E4"/>
    <w:multiLevelType w:val="hybridMultilevel"/>
    <w:tmpl w:val="12C0D2E8"/>
    <w:lvl w:ilvl="0" w:tplc="A5821080">
      <w:start w:val="1"/>
      <w:numFmt w:val="decimal"/>
      <w:pStyle w:val="titolorec"/>
      <w:lvlText w:val="Recommendation n. %1"/>
      <w:lvlJc w:val="left"/>
      <w:pPr>
        <w:ind w:left="2204" w:hanging="360"/>
      </w:pPr>
      <w:rPr>
        <w:rFonts w:hint="default"/>
      </w:rPr>
    </w:lvl>
    <w:lvl w:ilvl="1" w:tplc="04100019" w:tentative="1">
      <w:start w:val="1"/>
      <w:numFmt w:val="lowerLetter"/>
      <w:lvlText w:val="%2."/>
      <w:lvlJc w:val="left"/>
      <w:pPr>
        <w:ind w:left="3284" w:hanging="360"/>
      </w:pPr>
    </w:lvl>
    <w:lvl w:ilvl="2" w:tplc="0410001B" w:tentative="1">
      <w:start w:val="1"/>
      <w:numFmt w:val="lowerRoman"/>
      <w:lvlText w:val="%3."/>
      <w:lvlJc w:val="right"/>
      <w:pPr>
        <w:ind w:left="4004" w:hanging="180"/>
      </w:pPr>
    </w:lvl>
    <w:lvl w:ilvl="3" w:tplc="0410000F" w:tentative="1">
      <w:start w:val="1"/>
      <w:numFmt w:val="decimal"/>
      <w:lvlText w:val="%4."/>
      <w:lvlJc w:val="left"/>
      <w:pPr>
        <w:ind w:left="4724" w:hanging="360"/>
      </w:pPr>
    </w:lvl>
    <w:lvl w:ilvl="4" w:tplc="04100019" w:tentative="1">
      <w:start w:val="1"/>
      <w:numFmt w:val="lowerLetter"/>
      <w:lvlText w:val="%5."/>
      <w:lvlJc w:val="left"/>
      <w:pPr>
        <w:ind w:left="5444" w:hanging="360"/>
      </w:pPr>
    </w:lvl>
    <w:lvl w:ilvl="5" w:tplc="0410001B" w:tentative="1">
      <w:start w:val="1"/>
      <w:numFmt w:val="lowerRoman"/>
      <w:lvlText w:val="%6."/>
      <w:lvlJc w:val="right"/>
      <w:pPr>
        <w:ind w:left="6164" w:hanging="180"/>
      </w:pPr>
    </w:lvl>
    <w:lvl w:ilvl="6" w:tplc="0410000F" w:tentative="1">
      <w:start w:val="1"/>
      <w:numFmt w:val="decimal"/>
      <w:lvlText w:val="%7."/>
      <w:lvlJc w:val="left"/>
      <w:pPr>
        <w:ind w:left="6884" w:hanging="360"/>
      </w:pPr>
    </w:lvl>
    <w:lvl w:ilvl="7" w:tplc="04100019" w:tentative="1">
      <w:start w:val="1"/>
      <w:numFmt w:val="lowerLetter"/>
      <w:lvlText w:val="%8."/>
      <w:lvlJc w:val="left"/>
      <w:pPr>
        <w:ind w:left="7604" w:hanging="360"/>
      </w:pPr>
    </w:lvl>
    <w:lvl w:ilvl="8" w:tplc="0410001B" w:tentative="1">
      <w:start w:val="1"/>
      <w:numFmt w:val="lowerRoman"/>
      <w:lvlText w:val="%9."/>
      <w:lvlJc w:val="right"/>
      <w:pPr>
        <w:ind w:left="8324" w:hanging="180"/>
      </w:pPr>
    </w:lvl>
  </w:abstractNum>
  <w:abstractNum w:abstractNumId="4"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D6"/>
    <w:rsid w:val="000060BE"/>
    <w:rsid w:val="0000695E"/>
    <w:rsid w:val="0001206C"/>
    <w:rsid w:val="00014088"/>
    <w:rsid w:val="000202B4"/>
    <w:rsid w:val="00030641"/>
    <w:rsid w:val="0003579F"/>
    <w:rsid w:val="00042F28"/>
    <w:rsid w:val="000441E0"/>
    <w:rsid w:val="00046565"/>
    <w:rsid w:val="000469FB"/>
    <w:rsid w:val="00053A26"/>
    <w:rsid w:val="00067314"/>
    <w:rsid w:val="00072D0C"/>
    <w:rsid w:val="0007534E"/>
    <w:rsid w:val="000769EA"/>
    <w:rsid w:val="00076CA2"/>
    <w:rsid w:val="00077A92"/>
    <w:rsid w:val="000849B4"/>
    <w:rsid w:val="00086289"/>
    <w:rsid w:val="000B08A7"/>
    <w:rsid w:val="000C00E6"/>
    <w:rsid w:val="000C4C00"/>
    <w:rsid w:val="000C72C6"/>
    <w:rsid w:val="000D0D0A"/>
    <w:rsid w:val="000D25FA"/>
    <w:rsid w:val="000D63F7"/>
    <w:rsid w:val="000D6427"/>
    <w:rsid w:val="000F0C0C"/>
    <w:rsid w:val="000F1552"/>
    <w:rsid w:val="000F7447"/>
    <w:rsid w:val="00101F96"/>
    <w:rsid w:val="0010247F"/>
    <w:rsid w:val="0010294E"/>
    <w:rsid w:val="00103163"/>
    <w:rsid w:val="00104DF4"/>
    <w:rsid w:val="00105B39"/>
    <w:rsid w:val="001100EC"/>
    <w:rsid w:val="00113D13"/>
    <w:rsid w:val="00115D93"/>
    <w:rsid w:val="00123187"/>
    <w:rsid w:val="001247A8"/>
    <w:rsid w:val="001378C0"/>
    <w:rsid w:val="00140863"/>
    <w:rsid w:val="00141B55"/>
    <w:rsid w:val="00144AFF"/>
    <w:rsid w:val="001467B7"/>
    <w:rsid w:val="0015238B"/>
    <w:rsid w:val="00157EA5"/>
    <w:rsid w:val="00160AA9"/>
    <w:rsid w:val="001619A6"/>
    <w:rsid w:val="00163334"/>
    <w:rsid w:val="00164529"/>
    <w:rsid w:val="00166539"/>
    <w:rsid w:val="00167004"/>
    <w:rsid w:val="00176F96"/>
    <w:rsid w:val="00180437"/>
    <w:rsid w:val="001809A7"/>
    <w:rsid w:val="0018444B"/>
    <w:rsid w:val="00184A14"/>
    <w:rsid w:val="00184E97"/>
    <w:rsid w:val="0018694A"/>
    <w:rsid w:val="001954B1"/>
    <w:rsid w:val="00196130"/>
    <w:rsid w:val="00197662"/>
    <w:rsid w:val="001A2A51"/>
    <w:rsid w:val="001A3287"/>
    <w:rsid w:val="001A6508"/>
    <w:rsid w:val="001B17D3"/>
    <w:rsid w:val="001B2219"/>
    <w:rsid w:val="001B30ED"/>
    <w:rsid w:val="001B5009"/>
    <w:rsid w:val="001C10B3"/>
    <w:rsid w:val="001D4C31"/>
    <w:rsid w:val="001D5E8E"/>
    <w:rsid w:val="001D6C37"/>
    <w:rsid w:val="001E43EA"/>
    <w:rsid w:val="001E4D21"/>
    <w:rsid w:val="001F515A"/>
    <w:rsid w:val="001F5CDD"/>
    <w:rsid w:val="00204D93"/>
    <w:rsid w:val="0020586F"/>
    <w:rsid w:val="00206BE0"/>
    <w:rsid w:val="00207A8D"/>
    <w:rsid w:val="00207CD1"/>
    <w:rsid w:val="00210C9B"/>
    <w:rsid w:val="002231FE"/>
    <w:rsid w:val="00231DB7"/>
    <w:rsid w:val="002341A6"/>
    <w:rsid w:val="00235589"/>
    <w:rsid w:val="00237057"/>
    <w:rsid w:val="00242E34"/>
    <w:rsid w:val="00243B62"/>
    <w:rsid w:val="00243D68"/>
    <w:rsid w:val="00246923"/>
    <w:rsid w:val="002477A2"/>
    <w:rsid w:val="002522D6"/>
    <w:rsid w:val="0025309A"/>
    <w:rsid w:val="002530FC"/>
    <w:rsid w:val="00257019"/>
    <w:rsid w:val="00263A51"/>
    <w:rsid w:val="00265800"/>
    <w:rsid w:val="00266E4D"/>
    <w:rsid w:val="00267E02"/>
    <w:rsid w:val="0027170D"/>
    <w:rsid w:val="002806AE"/>
    <w:rsid w:val="00283386"/>
    <w:rsid w:val="002943F0"/>
    <w:rsid w:val="00294FA0"/>
    <w:rsid w:val="002963BB"/>
    <w:rsid w:val="002A3350"/>
    <w:rsid w:val="002A5D44"/>
    <w:rsid w:val="002B2B03"/>
    <w:rsid w:val="002B3973"/>
    <w:rsid w:val="002C2F3A"/>
    <w:rsid w:val="002C4F83"/>
    <w:rsid w:val="002C64E9"/>
    <w:rsid w:val="002C6971"/>
    <w:rsid w:val="002E072F"/>
    <w:rsid w:val="002E0BC4"/>
    <w:rsid w:val="002F0002"/>
    <w:rsid w:val="002F1B76"/>
    <w:rsid w:val="002F3330"/>
    <w:rsid w:val="0030421F"/>
    <w:rsid w:val="00307709"/>
    <w:rsid w:val="0031183D"/>
    <w:rsid w:val="00312561"/>
    <w:rsid w:val="00315CCB"/>
    <w:rsid w:val="003160FF"/>
    <w:rsid w:val="00320742"/>
    <w:rsid w:val="00335131"/>
    <w:rsid w:val="0033568E"/>
    <w:rsid w:val="00340BCA"/>
    <w:rsid w:val="00341378"/>
    <w:rsid w:val="00341FC2"/>
    <w:rsid w:val="00355FF5"/>
    <w:rsid w:val="0036080B"/>
    <w:rsid w:val="00361350"/>
    <w:rsid w:val="0036181D"/>
    <w:rsid w:val="00361D51"/>
    <w:rsid w:val="00361DFE"/>
    <w:rsid w:val="003669F7"/>
    <w:rsid w:val="0037765A"/>
    <w:rsid w:val="00386846"/>
    <w:rsid w:val="00396C8A"/>
    <w:rsid w:val="003A00F0"/>
    <w:rsid w:val="003A473D"/>
    <w:rsid w:val="003A5BB8"/>
    <w:rsid w:val="003B2429"/>
    <w:rsid w:val="003B74D0"/>
    <w:rsid w:val="003C3FAE"/>
    <w:rsid w:val="003C5CF9"/>
    <w:rsid w:val="003E39B6"/>
    <w:rsid w:val="004038CB"/>
    <w:rsid w:val="00404937"/>
    <w:rsid w:val="0040546F"/>
    <w:rsid w:val="00413306"/>
    <w:rsid w:val="0041537A"/>
    <w:rsid w:val="0042404A"/>
    <w:rsid w:val="004246DF"/>
    <w:rsid w:val="004259E1"/>
    <w:rsid w:val="00427204"/>
    <w:rsid w:val="00434E08"/>
    <w:rsid w:val="0043573F"/>
    <w:rsid w:val="0044618F"/>
    <w:rsid w:val="00453A44"/>
    <w:rsid w:val="00456BF6"/>
    <w:rsid w:val="004609CC"/>
    <w:rsid w:val="00463F03"/>
    <w:rsid w:val="0046769A"/>
    <w:rsid w:val="00472972"/>
    <w:rsid w:val="00475FB3"/>
    <w:rsid w:val="00476A3A"/>
    <w:rsid w:val="0048542F"/>
    <w:rsid w:val="00485A23"/>
    <w:rsid w:val="00486686"/>
    <w:rsid w:val="0049272F"/>
    <w:rsid w:val="0049748E"/>
    <w:rsid w:val="004B5BA3"/>
    <w:rsid w:val="004C37A9"/>
    <w:rsid w:val="004C578F"/>
    <w:rsid w:val="004D4E51"/>
    <w:rsid w:val="004E02D6"/>
    <w:rsid w:val="004E18F8"/>
    <w:rsid w:val="004E2240"/>
    <w:rsid w:val="004F259E"/>
    <w:rsid w:val="004F274D"/>
    <w:rsid w:val="004F4245"/>
    <w:rsid w:val="004F6DF1"/>
    <w:rsid w:val="00511F1D"/>
    <w:rsid w:val="00514CC0"/>
    <w:rsid w:val="00516F45"/>
    <w:rsid w:val="00520F36"/>
    <w:rsid w:val="00530799"/>
    <w:rsid w:val="00530832"/>
    <w:rsid w:val="00540615"/>
    <w:rsid w:val="00540A6D"/>
    <w:rsid w:val="0054184A"/>
    <w:rsid w:val="005427B6"/>
    <w:rsid w:val="00560563"/>
    <w:rsid w:val="005622BF"/>
    <w:rsid w:val="00565965"/>
    <w:rsid w:val="00571A56"/>
    <w:rsid w:val="00571EEA"/>
    <w:rsid w:val="00575417"/>
    <w:rsid w:val="005768E1"/>
    <w:rsid w:val="00586637"/>
    <w:rsid w:val="00586B26"/>
    <w:rsid w:val="005959FC"/>
    <w:rsid w:val="005A7CD6"/>
    <w:rsid w:val="005B1938"/>
    <w:rsid w:val="005C2894"/>
    <w:rsid w:val="005C3890"/>
    <w:rsid w:val="005C7B92"/>
    <w:rsid w:val="005D1620"/>
    <w:rsid w:val="005D254F"/>
    <w:rsid w:val="005D6498"/>
    <w:rsid w:val="005D6DA1"/>
    <w:rsid w:val="005D6FE9"/>
    <w:rsid w:val="005E4377"/>
    <w:rsid w:val="005F7BFE"/>
    <w:rsid w:val="00600017"/>
    <w:rsid w:val="00604014"/>
    <w:rsid w:val="00607E37"/>
    <w:rsid w:val="006102C2"/>
    <w:rsid w:val="0061203C"/>
    <w:rsid w:val="00617FC3"/>
    <w:rsid w:val="006235CA"/>
    <w:rsid w:val="0062579C"/>
    <w:rsid w:val="00625FFA"/>
    <w:rsid w:val="00626B17"/>
    <w:rsid w:val="00627539"/>
    <w:rsid w:val="006343ED"/>
    <w:rsid w:val="006534D4"/>
    <w:rsid w:val="00654D20"/>
    <w:rsid w:val="00655177"/>
    <w:rsid w:val="006643AB"/>
    <w:rsid w:val="00667A4A"/>
    <w:rsid w:val="006753DE"/>
    <w:rsid w:val="00676342"/>
    <w:rsid w:val="006861E5"/>
    <w:rsid w:val="0068790B"/>
    <w:rsid w:val="006923F1"/>
    <w:rsid w:val="006942F3"/>
    <w:rsid w:val="006A0D6B"/>
    <w:rsid w:val="006A0DD7"/>
    <w:rsid w:val="006A1B78"/>
    <w:rsid w:val="006A55E3"/>
    <w:rsid w:val="006B7998"/>
    <w:rsid w:val="006C1900"/>
    <w:rsid w:val="006D50F2"/>
    <w:rsid w:val="006D7E99"/>
    <w:rsid w:val="006E103C"/>
    <w:rsid w:val="006E2BB6"/>
    <w:rsid w:val="006E349D"/>
    <w:rsid w:val="006E381E"/>
    <w:rsid w:val="006E39F8"/>
    <w:rsid w:val="006E5941"/>
    <w:rsid w:val="006F50A1"/>
    <w:rsid w:val="006F7215"/>
    <w:rsid w:val="007050F6"/>
    <w:rsid w:val="007069F3"/>
    <w:rsid w:val="0071366C"/>
    <w:rsid w:val="007144AE"/>
    <w:rsid w:val="00715DA0"/>
    <w:rsid w:val="00716489"/>
    <w:rsid w:val="007210CD"/>
    <w:rsid w:val="007256D9"/>
    <w:rsid w:val="00725B2F"/>
    <w:rsid w:val="00726BD7"/>
    <w:rsid w:val="00732045"/>
    <w:rsid w:val="007345C9"/>
    <w:rsid w:val="00734AAD"/>
    <w:rsid w:val="0073660D"/>
    <w:rsid w:val="007369DB"/>
    <w:rsid w:val="00741531"/>
    <w:rsid w:val="007535B6"/>
    <w:rsid w:val="007550BF"/>
    <w:rsid w:val="0075586D"/>
    <w:rsid w:val="00756E1F"/>
    <w:rsid w:val="007570B6"/>
    <w:rsid w:val="0076437E"/>
    <w:rsid w:val="00771B54"/>
    <w:rsid w:val="0077618B"/>
    <w:rsid w:val="0078270C"/>
    <w:rsid w:val="007915AB"/>
    <w:rsid w:val="007927A5"/>
    <w:rsid w:val="00792A4B"/>
    <w:rsid w:val="007956C2"/>
    <w:rsid w:val="007972E2"/>
    <w:rsid w:val="007A0783"/>
    <w:rsid w:val="007A187E"/>
    <w:rsid w:val="007A3F9A"/>
    <w:rsid w:val="007A7CEC"/>
    <w:rsid w:val="007B4874"/>
    <w:rsid w:val="007B74EB"/>
    <w:rsid w:val="007C598D"/>
    <w:rsid w:val="007C72C2"/>
    <w:rsid w:val="007D41A8"/>
    <w:rsid w:val="007D4436"/>
    <w:rsid w:val="007E4EDB"/>
    <w:rsid w:val="007E66FC"/>
    <w:rsid w:val="007E6A3A"/>
    <w:rsid w:val="007F257A"/>
    <w:rsid w:val="007F3665"/>
    <w:rsid w:val="00800037"/>
    <w:rsid w:val="00804F8A"/>
    <w:rsid w:val="00811A81"/>
    <w:rsid w:val="00811A9B"/>
    <w:rsid w:val="00812F2E"/>
    <w:rsid w:val="0082209A"/>
    <w:rsid w:val="008259A6"/>
    <w:rsid w:val="00825A62"/>
    <w:rsid w:val="0083112E"/>
    <w:rsid w:val="00835C61"/>
    <w:rsid w:val="008362B3"/>
    <w:rsid w:val="008547E7"/>
    <w:rsid w:val="008555A2"/>
    <w:rsid w:val="00857B13"/>
    <w:rsid w:val="00861D73"/>
    <w:rsid w:val="0086425F"/>
    <w:rsid w:val="00867577"/>
    <w:rsid w:val="00873B91"/>
    <w:rsid w:val="00874F69"/>
    <w:rsid w:val="00895B38"/>
    <w:rsid w:val="008A0601"/>
    <w:rsid w:val="008A397E"/>
    <w:rsid w:val="008A44A7"/>
    <w:rsid w:val="008A4E87"/>
    <w:rsid w:val="008A5EC0"/>
    <w:rsid w:val="008B4FE3"/>
    <w:rsid w:val="008B51C7"/>
    <w:rsid w:val="008C792C"/>
    <w:rsid w:val="008D3A71"/>
    <w:rsid w:val="008D76E6"/>
    <w:rsid w:val="008E4D4C"/>
    <w:rsid w:val="008E6F10"/>
    <w:rsid w:val="008F3D3C"/>
    <w:rsid w:val="008F4487"/>
    <w:rsid w:val="009000DF"/>
    <w:rsid w:val="009011F9"/>
    <w:rsid w:val="009120F6"/>
    <w:rsid w:val="0092392D"/>
    <w:rsid w:val="00927371"/>
    <w:rsid w:val="0093234A"/>
    <w:rsid w:val="0093474D"/>
    <w:rsid w:val="00941289"/>
    <w:rsid w:val="00945867"/>
    <w:rsid w:val="00946C75"/>
    <w:rsid w:val="00946F2E"/>
    <w:rsid w:val="009473E2"/>
    <w:rsid w:val="00947B57"/>
    <w:rsid w:val="00953C7D"/>
    <w:rsid w:val="00956677"/>
    <w:rsid w:val="00956C43"/>
    <w:rsid w:val="00957A72"/>
    <w:rsid w:val="00973141"/>
    <w:rsid w:val="009735B7"/>
    <w:rsid w:val="00976216"/>
    <w:rsid w:val="00984441"/>
    <w:rsid w:val="00985AD3"/>
    <w:rsid w:val="00987CCE"/>
    <w:rsid w:val="00990A6D"/>
    <w:rsid w:val="009958EE"/>
    <w:rsid w:val="009A7531"/>
    <w:rsid w:val="009B46D6"/>
    <w:rsid w:val="009C307F"/>
    <w:rsid w:val="009D11E8"/>
    <w:rsid w:val="009D1CA9"/>
    <w:rsid w:val="009D4217"/>
    <w:rsid w:val="009F04D9"/>
    <w:rsid w:val="009F24C5"/>
    <w:rsid w:val="00A016C5"/>
    <w:rsid w:val="00A0786D"/>
    <w:rsid w:val="00A10BED"/>
    <w:rsid w:val="00A11D21"/>
    <w:rsid w:val="00A14867"/>
    <w:rsid w:val="00A2113E"/>
    <w:rsid w:val="00A22EEE"/>
    <w:rsid w:val="00A23A51"/>
    <w:rsid w:val="00A24607"/>
    <w:rsid w:val="00A24E7F"/>
    <w:rsid w:val="00A25CD3"/>
    <w:rsid w:val="00A32890"/>
    <w:rsid w:val="00A3363F"/>
    <w:rsid w:val="00A36D95"/>
    <w:rsid w:val="00A450B0"/>
    <w:rsid w:val="00A54781"/>
    <w:rsid w:val="00A55BE4"/>
    <w:rsid w:val="00A60A4D"/>
    <w:rsid w:val="00A647D6"/>
    <w:rsid w:val="00A701E1"/>
    <w:rsid w:val="00A745FD"/>
    <w:rsid w:val="00A7617C"/>
    <w:rsid w:val="00A82767"/>
    <w:rsid w:val="00A8776B"/>
    <w:rsid w:val="00A87E9F"/>
    <w:rsid w:val="00A9110A"/>
    <w:rsid w:val="00A9115B"/>
    <w:rsid w:val="00A9274D"/>
    <w:rsid w:val="00A952F8"/>
    <w:rsid w:val="00AA332F"/>
    <w:rsid w:val="00AA7BBB"/>
    <w:rsid w:val="00AB03CF"/>
    <w:rsid w:val="00AB07D7"/>
    <w:rsid w:val="00AB64A8"/>
    <w:rsid w:val="00AC018F"/>
    <w:rsid w:val="00AC0266"/>
    <w:rsid w:val="00AC0BBE"/>
    <w:rsid w:val="00AC0D50"/>
    <w:rsid w:val="00AC22D7"/>
    <w:rsid w:val="00AD02C3"/>
    <w:rsid w:val="00AD24EC"/>
    <w:rsid w:val="00AD51CE"/>
    <w:rsid w:val="00AD51E4"/>
    <w:rsid w:val="00AE20B2"/>
    <w:rsid w:val="00AF1212"/>
    <w:rsid w:val="00B00A9D"/>
    <w:rsid w:val="00B06FDF"/>
    <w:rsid w:val="00B10166"/>
    <w:rsid w:val="00B141D8"/>
    <w:rsid w:val="00B21487"/>
    <w:rsid w:val="00B2550D"/>
    <w:rsid w:val="00B309F9"/>
    <w:rsid w:val="00B32B60"/>
    <w:rsid w:val="00B42BF8"/>
    <w:rsid w:val="00B42E3A"/>
    <w:rsid w:val="00B42FDF"/>
    <w:rsid w:val="00B43148"/>
    <w:rsid w:val="00B53AD7"/>
    <w:rsid w:val="00B56A0E"/>
    <w:rsid w:val="00B61619"/>
    <w:rsid w:val="00B64DE8"/>
    <w:rsid w:val="00B6561E"/>
    <w:rsid w:val="00B663C2"/>
    <w:rsid w:val="00B7461F"/>
    <w:rsid w:val="00B77099"/>
    <w:rsid w:val="00B8773D"/>
    <w:rsid w:val="00B90945"/>
    <w:rsid w:val="00B93178"/>
    <w:rsid w:val="00B94DFD"/>
    <w:rsid w:val="00BA2C8E"/>
    <w:rsid w:val="00BA39D7"/>
    <w:rsid w:val="00BA6A4F"/>
    <w:rsid w:val="00BB3B5A"/>
    <w:rsid w:val="00BB4545"/>
    <w:rsid w:val="00BD5873"/>
    <w:rsid w:val="00BD6831"/>
    <w:rsid w:val="00BE2C31"/>
    <w:rsid w:val="00BE6C7A"/>
    <w:rsid w:val="00BF32FE"/>
    <w:rsid w:val="00C01AD3"/>
    <w:rsid w:val="00C047DC"/>
    <w:rsid w:val="00C04BE3"/>
    <w:rsid w:val="00C0558A"/>
    <w:rsid w:val="00C10DF7"/>
    <w:rsid w:val="00C1171F"/>
    <w:rsid w:val="00C11F47"/>
    <w:rsid w:val="00C14778"/>
    <w:rsid w:val="00C148D1"/>
    <w:rsid w:val="00C215AF"/>
    <w:rsid w:val="00C2562E"/>
    <w:rsid w:val="00C25D29"/>
    <w:rsid w:val="00C27A7C"/>
    <w:rsid w:val="00C30FB2"/>
    <w:rsid w:val="00C40D91"/>
    <w:rsid w:val="00C42DA7"/>
    <w:rsid w:val="00C54C81"/>
    <w:rsid w:val="00C648F4"/>
    <w:rsid w:val="00C7499E"/>
    <w:rsid w:val="00C84AB8"/>
    <w:rsid w:val="00C8650C"/>
    <w:rsid w:val="00C903A3"/>
    <w:rsid w:val="00C94F89"/>
    <w:rsid w:val="00C95D5C"/>
    <w:rsid w:val="00CA08ED"/>
    <w:rsid w:val="00CA12C3"/>
    <w:rsid w:val="00CA4914"/>
    <w:rsid w:val="00CA6C81"/>
    <w:rsid w:val="00CB3CC1"/>
    <w:rsid w:val="00CB4119"/>
    <w:rsid w:val="00CB7E83"/>
    <w:rsid w:val="00CC47CF"/>
    <w:rsid w:val="00CD06C1"/>
    <w:rsid w:val="00CE48C8"/>
    <w:rsid w:val="00CF183B"/>
    <w:rsid w:val="00CF53D2"/>
    <w:rsid w:val="00D01F09"/>
    <w:rsid w:val="00D10C06"/>
    <w:rsid w:val="00D22655"/>
    <w:rsid w:val="00D233D2"/>
    <w:rsid w:val="00D25B9C"/>
    <w:rsid w:val="00D302C5"/>
    <w:rsid w:val="00D375CD"/>
    <w:rsid w:val="00D51929"/>
    <w:rsid w:val="00D54310"/>
    <w:rsid w:val="00D553A2"/>
    <w:rsid w:val="00D6755E"/>
    <w:rsid w:val="00D71FBB"/>
    <w:rsid w:val="00D765E6"/>
    <w:rsid w:val="00D774D3"/>
    <w:rsid w:val="00D81989"/>
    <w:rsid w:val="00D87EA5"/>
    <w:rsid w:val="00D904E8"/>
    <w:rsid w:val="00DA08C3"/>
    <w:rsid w:val="00DB338B"/>
    <w:rsid w:val="00DB593F"/>
    <w:rsid w:val="00DB5A3E"/>
    <w:rsid w:val="00DC22AA"/>
    <w:rsid w:val="00DC65F3"/>
    <w:rsid w:val="00DD066D"/>
    <w:rsid w:val="00DD06B3"/>
    <w:rsid w:val="00DF74DD"/>
    <w:rsid w:val="00DF74F5"/>
    <w:rsid w:val="00E014D1"/>
    <w:rsid w:val="00E01D10"/>
    <w:rsid w:val="00E1265A"/>
    <w:rsid w:val="00E12C40"/>
    <w:rsid w:val="00E248F6"/>
    <w:rsid w:val="00E2522C"/>
    <w:rsid w:val="00E25AD0"/>
    <w:rsid w:val="00E265F5"/>
    <w:rsid w:val="00E320C3"/>
    <w:rsid w:val="00E37CF3"/>
    <w:rsid w:val="00E41D9C"/>
    <w:rsid w:val="00E506E5"/>
    <w:rsid w:val="00E5129D"/>
    <w:rsid w:val="00E62632"/>
    <w:rsid w:val="00E63CF7"/>
    <w:rsid w:val="00E6617B"/>
    <w:rsid w:val="00E73348"/>
    <w:rsid w:val="00E82CD8"/>
    <w:rsid w:val="00E83344"/>
    <w:rsid w:val="00E94746"/>
    <w:rsid w:val="00E95EE5"/>
    <w:rsid w:val="00EA0147"/>
    <w:rsid w:val="00EA5928"/>
    <w:rsid w:val="00EB1614"/>
    <w:rsid w:val="00EB6350"/>
    <w:rsid w:val="00EB7DED"/>
    <w:rsid w:val="00ED3CB9"/>
    <w:rsid w:val="00EE464D"/>
    <w:rsid w:val="00EE54FD"/>
    <w:rsid w:val="00EF0403"/>
    <w:rsid w:val="00EF2F7A"/>
    <w:rsid w:val="00F006D3"/>
    <w:rsid w:val="00F00FE2"/>
    <w:rsid w:val="00F15B57"/>
    <w:rsid w:val="00F21204"/>
    <w:rsid w:val="00F23B96"/>
    <w:rsid w:val="00F33205"/>
    <w:rsid w:val="00F40C9B"/>
    <w:rsid w:val="00F410F6"/>
    <w:rsid w:val="00F427DB"/>
    <w:rsid w:val="00F43B2E"/>
    <w:rsid w:val="00F50BF8"/>
    <w:rsid w:val="00F54D22"/>
    <w:rsid w:val="00F5564D"/>
    <w:rsid w:val="00F56BE6"/>
    <w:rsid w:val="00F6046A"/>
    <w:rsid w:val="00F71ACE"/>
    <w:rsid w:val="00F731A8"/>
    <w:rsid w:val="00F85E79"/>
    <w:rsid w:val="00FA2FAE"/>
    <w:rsid w:val="00FA5EB1"/>
    <w:rsid w:val="00FA7439"/>
    <w:rsid w:val="00FC387E"/>
    <w:rsid w:val="00FC4EC0"/>
    <w:rsid w:val="00FD56A4"/>
    <w:rsid w:val="00FD5A94"/>
    <w:rsid w:val="00FD6CD1"/>
    <w:rsid w:val="00FE33A2"/>
    <w:rsid w:val="00FE3A8F"/>
    <w:rsid w:val="00FE732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423017"/>
  <w15:docId w15:val="{1A50C8C5-E4E0-41B8-BBBE-F2840CA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erChar">
    <w:name w:val="Footer Char"/>
    <w:basedOn w:val="DefaultParagraphFont"/>
    <w:link w:val="Footer"/>
    <w:rsid w:val="00EE464D"/>
    <w:rPr>
      <w:rFonts w:ascii="Calibri" w:hAnsi="Calibri"/>
      <w:caps/>
      <w:noProof/>
      <w:sz w:val="16"/>
      <w:lang w:val="fr-FR" w:eastAsia="en-US"/>
    </w:rPr>
  </w:style>
  <w:style w:type="character" w:customStyle="1" w:styleId="HeaderChar">
    <w:name w:val="Header Char"/>
    <w:basedOn w:val="DefaultParagraphFont"/>
    <w:link w:val="Header"/>
    <w:uiPriority w:val="99"/>
    <w:rsid w:val="00EE464D"/>
    <w:rPr>
      <w:rFonts w:ascii="Calibri" w:hAnsi="Calibri"/>
      <w:sz w:val="18"/>
      <w:lang w:val="fr-FR" w:eastAsia="en-US"/>
    </w:rPr>
  </w:style>
  <w:style w:type="table" w:styleId="TableGrid">
    <w:name w:val="Table Grid"/>
    <w:basedOn w:val="TableNormal"/>
    <w:rsid w:val="00E12C40"/>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AC0D50"/>
    <w:pPr>
      <w:numPr>
        <w:numId w:val="1"/>
      </w:numPr>
      <w:tabs>
        <w:tab w:val="clear" w:pos="567"/>
        <w:tab w:val="clear" w:pos="1134"/>
        <w:tab w:val="clear" w:pos="1701"/>
        <w:tab w:val="clear" w:pos="2268"/>
        <w:tab w:val="clear" w:pos="2835"/>
      </w:tabs>
      <w:overflowPunct/>
      <w:autoSpaceDE/>
      <w:autoSpaceDN/>
      <w:spacing w:line="319" w:lineRule="auto"/>
      <w:ind w:left="567" w:hanging="567"/>
      <w:contextualSpacing w:val="0"/>
      <w:jc w:val="both"/>
      <w:textAlignment w:val="auto"/>
    </w:pPr>
    <w:rPr>
      <w:rFonts w:ascii="Arial" w:eastAsiaTheme="minorHAnsi" w:hAnsi="Arial"/>
      <w:szCs w:val="24"/>
      <w:lang w:val="en-GB" w:eastAsia="it-IT"/>
    </w:rPr>
  </w:style>
  <w:style w:type="character" w:customStyle="1" w:styleId="testobaseCarattere">
    <w:name w:val="testo base Carattere"/>
    <w:basedOn w:val="DefaultParagraphFont"/>
    <w:link w:val="testobase"/>
    <w:rsid w:val="00AC0D50"/>
    <w:rPr>
      <w:rFonts w:ascii="Arial" w:eastAsiaTheme="minorHAnsi" w:hAnsi="Arial"/>
      <w:sz w:val="24"/>
      <w:szCs w:val="24"/>
      <w:lang w:val="en-GB" w:eastAsia="it-IT"/>
    </w:rPr>
  </w:style>
  <w:style w:type="paragraph" w:styleId="ListParagraph">
    <w:name w:val="List Paragraph"/>
    <w:basedOn w:val="Normal"/>
    <w:uiPriority w:val="34"/>
    <w:qFormat/>
    <w:rsid w:val="00AC0D50"/>
    <w:pPr>
      <w:ind w:left="720"/>
      <w:contextualSpacing/>
    </w:pPr>
  </w:style>
  <w:style w:type="table" w:customStyle="1" w:styleId="TableGrid1">
    <w:name w:val="Table Grid1"/>
    <w:basedOn w:val="TableNormal"/>
    <w:next w:val="TableGrid"/>
    <w:rsid w:val="002943F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conlettere1">
    <w:name w:val="elenco con lettere 1"/>
    <w:basedOn w:val="Normal"/>
    <w:qFormat/>
    <w:rsid w:val="00A11D21"/>
    <w:pPr>
      <w:numPr>
        <w:numId w:val="2"/>
      </w:numP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comments">
    <w:name w:val="comments"/>
    <w:basedOn w:val="Normal"/>
    <w:next w:val="Normal"/>
    <w:qFormat/>
    <w:rsid w:val="00FE3A8F"/>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recesug">
    <w:name w:val="rec e sug"/>
    <w:basedOn w:val="testobase"/>
    <w:next w:val="Normal"/>
    <w:qFormat/>
    <w:rsid w:val="00FE3A8F"/>
    <w:pPr>
      <w:keepLines/>
      <w:numPr>
        <w:numId w:val="0"/>
      </w:numPr>
      <w:pBdr>
        <w:top w:val="single" w:sz="4" w:space="1" w:color="auto"/>
        <w:left w:val="single" w:sz="4" w:space="4" w:color="auto"/>
        <w:bottom w:val="single" w:sz="4" w:space="1" w:color="auto"/>
        <w:right w:val="single" w:sz="4" w:space="4" w:color="auto"/>
      </w:pBdr>
      <w:ind w:left="567" w:hanging="567"/>
    </w:pPr>
  </w:style>
  <w:style w:type="paragraph" w:customStyle="1" w:styleId="titolorec">
    <w:name w:val="titolo rec"/>
    <w:basedOn w:val="Normal"/>
    <w:next w:val="recesug"/>
    <w:qFormat/>
    <w:rsid w:val="00FE3A8F"/>
    <w:pPr>
      <w:keepNext/>
      <w:keepLines/>
      <w:numPr>
        <w:numId w:val="3"/>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lang w:val="en-GB"/>
    </w:rPr>
  </w:style>
  <w:style w:type="paragraph" w:customStyle="1" w:styleId="titcomments">
    <w:name w:val="tit comments"/>
    <w:basedOn w:val="titolorec"/>
    <w:qFormat/>
    <w:rsid w:val="00FE3A8F"/>
    <w:pPr>
      <w:numPr>
        <w:numId w:val="0"/>
      </w:numPr>
    </w:pPr>
    <w:rPr>
      <w:u w:val="single"/>
    </w:rPr>
  </w:style>
  <w:style w:type="paragraph" w:customStyle="1" w:styleId="recesugg">
    <w:name w:val="rec e sugg"/>
    <w:basedOn w:val="testobase"/>
    <w:qFormat/>
    <w:rsid w:val="00FE3A8F"/>
    <w:pPr>
      <w:keepLines/>
      <w:numPr>
        <w:numId w:val="0"/>
      </w:numPr>
      <w:pBdr>
        <w:top w:val="single" w:sz="4" w:space="1" w:color="auto"/>
        <w:left w:val="single" w:sz="4" w:space="4" w:color="auto"/>
        <w:bottom w:val="single" w:sz="4" w:space="1" w:color="auto"/>
        <w:right w:val="single" w:sz="4" w:space="4" w:color="auto"/>
      </w:pBdr>
      <w:ind w:left="567" w:hanging="567"/>
    </w:pPr>
  </w:style>
  <w:style w:type="character" w:customStyle="1" w:styleId="Heading1Char">
    <w:name w:val="Heading 1 Char"/>
    <w:basedOn w:val="DefaultParagraphFont"/>
    <w:link w:val="Heading1"/>
    <w:rsid w:val="00895B38"/>
    <w:rPr>
      <w:rFonts w:ascii="Calibri" w:hAnsi="Calibri"/>
      <w:b/>
      <w:sz w:val="28"/>
      <w:lang w:val="fr-FR" w:eastAsia="en-US"/>
    </w:rPr>
  </w:style>
  <w:style w:type="paragraph" w:customStyle="1" w:styleId="TabletextItalic">
    <w:name w:val="Table_text + Italic"/>
    <w:basedOn w:val="Tabletext"/>
    <w:rsid w:val="004609CC"/>
    <w:pPr>
      <w:ind w:left="113"/>
    </w:pPr>
    <w:rPr>
      <w:i/>
      <w:iCs/>
    </w:rPr>
  </w:style>
  <w:style w:type="paragraph" w:styleId="BalloonText">
    <w:name w:val="Balloon Text"/>
    <w:basedOn w:val="Normal"/>
    <w:link w:val="BalloonTextChar"/>
    <w:semiHidden/>
    <w:unhideWhenUsed/>
    <w:rsid w:val="00835C61"/>
    <w:pPr>
      <w:spacing w:before="0"/>
    </w:pPr>
    <w:rPr>
      <w:rFonts w:ascii="Lucida Grande" w:hAnsi="Lucida Grande"/>
      <w:sz w:val="18"/>
      <w:szCs w:val="18"/>
    </w:rPr>
  </w:style>
  <w:style w:type="character" w:customStyle="1" w:styleId="BalloonTextChar">
    <w:name w:val="Balloon Text Char"/>
    <w:basedOn w:val="DefaultParagraphFont"/>
    <w:link w:val="BalloonText"/>
    <w:semiHidden/>
    <w:rsid w:val="00835C61"/>
    <w:rPr>
      <w:rFonts w:ascii="Lucida Grande" w:hAnsi="Lucida Grande"/>
      <w:sz w:val="18"/>
      <w:szCs w:val="18"/>
      <w:lang w:val="fr-FR" w:eastAsia="en-US"/>
    </w:rPr>
  </w:style>
  <w:style w:type="character" w:customStyle="1" w:styleId="bri2">
    <w:name w:val="bri2"/>
    <w:basedOn w:val="DefaultParagraphFont"/>
    <w:rsid w:val="002C6971"/>
  </w:style>
  <w:style w:type="character" w:customStyle="1" w:styleId="preferred">
    <w:name w:val="preferred"/>
    <w:basedOn w:val="DefaultParagraphFont"/>
    <w:rsid w:val="00627539"/>
  </w:style>
  <w:style w:type="character" w:styleId="Emphasis">
    <w:name w:val="Emphasis"/>
    <w:basedOn w:val="DefaultParagraphFont"/>
    <w:uiPriority w:val="20"/>
    <w:qFormat/>
    <w:rsid w:val="00627539"/>
    <w:rPr>
      <w:i/>
      <w:iCs/>
    </w:rPr>
  </w:style>
  <w:style w:type="character" w:styleId="CommentReference">
    <w:name w:val="annotation reference"/>
    <w:basedOn w:val="DefaultParagraphFont"/>
    <w:semiHidden/>
    <w:unhideWhenUsed/>
    <w:rsid w:val="001F515A"/>
    <w:rPr>
      <w:sz w:val="18"/>
      <w:szCs w:val="18"/>
    </w:rPr>
  </w:style>
  <w:style w:type="paragraph" w:styleId="CommentText">
    <w:name w:val="annotation text"/>
    <w:basedOn w:val="Normal"/>
    <w:link w:val="CommentTextChar"/>
    <w:semiHidden/>
    <w:unhideWhenUsed/>
    <w:rsid w:val="001F515A"/>
    <w:rPr>
      <w:szCs w:val="24"/>
    </w:rPr>
  </w:style>
  <w:style w:type="character" w:customStyle="1" w:styleId="CommentTextChar">
    <w:name w:val="Comment Text Char"/>
    <w:basedOn w:val="DefaultParagraphFont"/>
    <w:link w:val="CommentText"/>
    <w:semiHidden/>
    <w:rsid w:val="001F515A"/>
    <w:rPr>
      <w:rFonts w:ascii="Calibri" w:hAnsi="Calibri"/>
      <w:sz w:val="24"/>
      <w:szCs w:val="24"/>
      <w:lang w:val="fr-FR" w:eastAsia="en-US"/>
    </w:rPr>
  </w:style>
  <w:style w:type="paragraph" w:styleId="CommentSubject">
    <w:name w:val="annotation subject"/>
    <w:basedOn w:val="CommentText"/>
    <w:next w:val="CommentText"/>
    <w:link w:val="CommentSubjectChar"/>
    <w:semiHidden/>
    <w:unhideWhenUsed/>
    <w:rsid w:val="001F515A"/>
    <w:rPr>
      <w:b/>
      <w:bCs/>
      <w:sz w:val="20"/>
      <w:szCs w:val="20"/>
    </w:rPr>
  </w:style>
  <w:style w:type="character" w:customStyle="1" w:styleId="CommentSubjectChar">
    <w:name w:val="Comment Subject Char"/>
    <w:basedOn w:val="CommentTextChar"/>
    <w:link w:val="CommentSubject"/>
    <w:semiHidden/>
    <w:rsid w:val="001F515A"/>
    <w:rPr>
      <w:rFonts w:ascii="Calibri" w:hAnsi="Calibri"/>
      <w:b/>
      <w:bCs/>
      <w:sz w:val="24"/>
      <w:szCs w:val="24"/>
      <w:lang w:val="fr-FR" w:eastAsia="en-US"/>
    </w:rPr>
  </w:style>
  <w:style w:type="paragraph" w:styleId="Revision">
    <w:name w:val="Revision"/>
    <w:hidden/>
    <w:uiPriority w:val="99"/>
    <w:semiHidden/>
    <w:rsid w:val="001F515A"/>
    <w:rPr>
      <w:rFonts w:ascii="Calibri" w:hAnsi="Calibri"/>
      <w:sz w:val="24"/>
      <w:lang w:val="fr-FR" w:eastAsia="en-US"/>
    </w:rPr>
  </w:style>
  <w:style w:type="paragraph" w:styleId="Date">
    <w:name w:val="Date"/>
    <w:basedOn w:val="Normal"/>
    <w:next w:val="Normal"/>
    <w:link w:val="DateChar"/>
    <w:rsid w:val="001B30ED"/>
  </w:style>
  <w:style w:type="character" w:customStyle="1" w:styleId="DateChar">
    <w:name w:val="Date Char"/>
    <w:basedOn w:val="DefaultParagraphFont"/>
    <w:link w:val="Date"/>
    <w:rsid w:val="001B30ED"/>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51877">
      <w:bodyDiv w:val="1"/>
      <w:marLeft w:val="0"/>
      <w:marRight w:val="0"/>
      <w:marTop w:val="0"/>
      <w:marBottom w:val="0"/>
      <w:divBdr>
        <w:top w:val="none" w:sz="0" w:space="0" w:color="auto"/>
        <w:left w:val="none" w:sz="0" w:space="0" w:color="auto"/>
        <w:bottom w:val="none" w:sz="0" w:space="0" w:color="auto"/>
        <w:right w:val="none" w:sz="0" w:space="0" w:color="auto"/>
      </w:divBdr>
      <w:divsChild>
        <w:div w:id="1954243780">
          <w:marLeft w:val="0"/>
          <w:marRight w:val="0"/>
          <w:marTop w:val="0"/>
          <w:marBottom w:val="0"/>
          <w:divBdr>
            <w:top w:val="none" w:sz="0" w:space="0" w:color="auto"/>
            <w:left w:val="none" w:sz="0" w:space="0" w:color="auto"/>
            <w:bottom w:val="none" w:sz="0" w:space="0" w:color="auto"/>
            <w:right w:val="none" w:sz="0" w:space="0" w:color="auto"/>
          </w:divBdr>
        </w:div>
        <w:div w:id="1521771131">
          <w:marLeft w:val="0"/>
          <w:marRight w:val="0"/>
          <w:marTop w:val="0"/>
          <w:marBottom w:val="0"/>
          <w:divBdr>
            <w:top w:val="none" w:sz="0" w:space="0" w:color="auto"/>
            <w:left w:val="none" w:sz="0" w:space="0" w:color="auto"/>
            <w:bottom w:val="none" w:sz="0" w:space="0" w:color="auto"/>
            <w:right w:val="none" w:sz="0" w:space="0" w:color="auto"/>
          </w:divBdr>
        </w:div>
        <w:div w:id="988364309">
          <w:marLeft w:val="0"/>
          <w:marRight w:val="0"/>
          <w:marTop w:val="0"/>
          <w:marBottom w:val="0"/>
          <w:divBdr>
            <w:top w:val="none" w:sz="0" w:space="0" w:color="auto"/>
            <w:left w:val="none" w:sz="0" w:space="0" w:color="auto"/>
            <w:bottom w:val="none" w:sz="0" w:space="0" w:color="auto"/>
            <w:right w:val="none" w:sz="0" w:space="0" w:color="auto"/>
          </w:divBdr>
        </w:div>
        <w:div w:id="1382439034">
          <w:marLeft w:val="0"/>
          <w:marRight w:val="0"/>
          <w:marTop w:val="0"/>
          <w:marBottom w:val="0"/>
          <w:divBdr>
            <w:top w:val="none" w:sz="0" w:space="0" w:color="auto"/>
            <w:left w:val="none" w:sz="0" w:space="0" w:color="auto"/>
            <w:bottom w:val="none" w:sz="0" w:space="0" w:color="auto"/>
            <w:right w:val="none" w:sz="0" w:space="0" w:color="auto"/>
          </w:divBdr>
        </w:div>
        <w:div w:id="1674842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dms_pub/itu-s/opb/gen/S-GEN-REG_RGTFIN-2010-U5-PDF-F.pdf"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C305D-10EF-4C36-AC00-DA3C42BB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TotalTime>
  <Pages>58</Pages>
  <Words>21222</Words>
  <Characters>119979</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140920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Acien, Clara</dc:creator>
  <cp:keywords>C2018, C18</cp:keywords>
  <dc:description/>
  <cp:lastModifiedBy>Janin</cp:lastModifiedBy>
  <cp:revision>3</cp:revision>
  <cp:lastPrinted>2018-08-22T07:00:00Z</cp:lastPrinted>
  <dcterms:created xsi:type="dcterms:W3CDTF">2018-08-23T07:29:00Z</dcterms:created>
  <dcterms:modified xsi:type="dcterms:W3CDTF">2018-08-23T07:30:00Z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