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763B8" w:rsidRPr="00813E5E" w14:paraId="624D8F40" w14:textId="77777777">
        <w:trPr>
          <w:cantSplit/>
        </w:trPr>
        <w:tc>
          <w:tcPr>
            <w:tcW w:w="6911" w:type="dxa"/>
          </w:tcPr>
          <w:p w14:paraId="7FDB3EB3" w14:textId="087CFBE1" w:rsidR="00B763B8" w:rsidRPr="00813E5E" w:rsidRDefault="00B763B8" w:rsidP="00133A9E">
            <w:pPr>
              <w:spacing w:before="360" w:after="48" w:line="240" w:lineRule="atLeast"/>
              <w:rPr>
                <w:position w:val="6"/>
              </w:rPr>
            </w:pPr>
            <w:bookmarkStart w:id="0" w:name="dc06"/>
            <w:bookmarkEnd w:id="0"/>
            <w:r w:rsidRPr="00B763B8">
              <w:rPr>
                <w:b/>
                <w:bCs/>
                <w:position w:val="6"/>
                <w:sz w:val="30"/>
                <w:szCs w:val="30"/>
                <w:lang w:val="fr-CH"/>
              </w:rPr>
              <w:t>Council 201</w:t>
            </w:r>
            <w:r w:rsidR="00133A9E">
              <w:rPr>
                <w:b/>
                <w:bCs/>
                <w:position w:val="6"/>
                <w:sz w:val="30"/>
                <w:szCs w:val="30"/>
                <w:lang w:val="fr-CH"/>
              </w:rPr>
              <w:t>8</w:t>
            </w:r>
            <w:r w:rsidRPr="00B763B8">
              <w:rPr>
                <w:rFonts w:cs="Times"/>
                <w:b/>
                <w:position w:val="6"/>
                <w:sz w:val="26"/>
                <w:szCs w:val="26"/>
                <w:lang w:val="en-US"/>
              </w:rPr>
              <w:br/>
            </w:r>
            <w:r w:rsidRPr="00B763B8">
              <w:rPr>
                <w:b/>
                <w:bCs/>
                <w:position w:val="6"/>
                <w:szCs w:val="24"/>
                <w:lang w:val="fr-CH"/>
              </w:rPr>
              <w:t xml:space="preserve">Geneva, </w:t>
            </w:r>
          </w:p>
        </w:tc>
        <w:tc>
          <w:tcPr>
            <w:tcW w:w="3120" w:type="dxa"/>
          </w:tcPr>
          <w:p w14:paraId="19014F58" w14:textId="77777777" w:rsidR="00B763B8" w:rsidRPr="00813E5E" w:rsidRDefault="00B763B8" w:rsidP="00B763B8">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2EB1FFD" wp14:editId="0136EE6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763B8" w:rsidRPr="00813E5E" w14:paraId="7A92285C" w14:textId="77777777">
        <w:trPr>
          <w:cantSplit/>
        </w:trPr>
        <w:tc>
          <w:tcPr>
            <w:tcW w:w="6911" w:type="dxa"/>
            <w:tcBorders>
              <w:bottom w:val="single" w:sz="12" w:space="0" w:color="auto"/>
            </w:tcBorders>
          </w:tcPr>
          <w:p w14:paraId="547D7180" w14:textId="77777777" w:rsidR="00B763B8" w:rsidRPr="00813E5E" w:rsidRDefault="00B763B8">
            <w:pPr>
              <w:spacing w:before="0" w:after="48" w:line="240" w:lineRule="atLeast"/>
              <w:rPr>
                <w:b/>
                <w:smallCaps/>
                <w:szCs w:val="24"/>
              </w:rPr>
            </w:pPr>
          </w:p>
        </w:tc>
        <w:tc>
          <w:tcPr>
            <w:tcW w:w="3120" w:type="dxa"/>
            <w:tcBorders>
              <w:bottom w:val="single" w:sz="12" w:space="0" w:color="auto"/>
            </w:tcBorders>
          </w:tcPr>
          <w:p w14:paraId="6B7820E0" w14:textId="77777777" w:rsidR="00B763B8" w:rsidRPr="00813E5E" w:rsidRDefault="00B763B8">
            <w:pPr>
              <w:spacing w:before="0" w:line="240" w:lineRule="atLeast"/>
              <w:rPr>
                <w:szCs w:val="24"/>
              </w:rPr>
            </w:pPr>
          </w:p>
        </w:tc>
      </w:tr>
      <w:tr w:rsidR="00B763B8" w:rsidRPr="00813E5E" w14:paraId="29182A6C" w14:textId="77777777">
        <w:trPr>
          <w:cantSplit/>
        </w:trPr>
        <w:tc>
          <w:tcPr>
            <w:tcW w:w="6911" w:type="dxa"/>
            <w:tcBorders>
              <w:top w:val="single" w:sz="12" w:space="0" w:color="auto"/>
            </w:tcBorders>
          </w:tcPr>
          <w:p w14:paraId="54233C58" w14:textId="77777777" w:rsidR="00B763B8" w:rsidRPr="00813E5E" w:rsidRDefault="00B763B8" w:rsidP="00B763B8">
            <w:pPr>
              <w:spacing w:before="0" w:line="240" w:lineRule="atLeast"/>
              <w:rPr>
                <w:b/>
                <w:smallCaps/>
                <w:szCs w:val="24"/>
              </w:rPr>
            </w:pPr>
          </w:p>
        </w:tc>
        <w:tc>
          <w:tcPr>
            <w:tcW w:w="3120" w:type="dxa"/>
            <w:tcBorders>
              <w:top w:val="single" w:sz="12" w:space="0" w:color="auto"/>
            </w:tcBorders>
          </w:tcPr>
          <w:p w14:paraId="66CEDD99" w14:textId="77777777" w:rsidR="00B763B8" w:rsidRPr="00813E5E" w:rsidRDefault="00B763B8" w:rsidP="00B763B8">
            <w:pPr>
              <w:spacing w:before="0" w:line="240" w:lineRule="atLeast"/>
              <w:rPr>
                <w:szCs w:val="24"/>
              </w:rPr>
            </w:pPr>
          </w:p>
        </w:tc>
      </w:tr>
      <w:tr w:rsidR="00B763B8" w:rsidRPr="00813E5E" w14:paraId="01EEA413" w14:textId="77777777">
        <w:trPr>
          <w:cantSplit/>
          <w:trHeight w:val="23"/>
        </w:trPr>
        <w:tc>
          <w:tcPr>
            <w:tcW w:w="6911" w:type="dxa"/>
            <w:vMerge w:val="restart"/>
          </w:tcPr>
          <w:p w14:paraId="1F204408" w14:textId="0B892C82" w:rsidR="00B763B8" w:rsidRPr="00B763B8" w:rsidRDefault="00B763B8" w:rsidP="00B763B8">
            <w:pPr>
              <w:tabs>
                <w:tab w:val="left" w:pos="851"/>
              </w:tabs>
              <w:spacing w:before="0" w:line="240" w:lineRule="atLeast"/>
              <w:rPr>
                <w:b/>
              </w:rPr>
            </w:pPr>
            <w:bookmarkStart w:id="2" w:name="dmeeting" w:colFirst="0" w:colLast="0"/>
            <w:bookmarkStart w:id="3" w:name="dnum" w:colFirst="1" w:colLast="1"/>
            <w:r>
              <w:rPr>
                <w:b/>
              </w:rPr>
              <w:t xml:space="preserve">Agenda item: ADM </w:t>
            </w:r>
            <w:r w:rsidR="004C46FF">
              <w:rPr>
                <w:b/>
              </w:rPr>
              <w:t>12</w:t>
            </w:r>
          </w:p>
        </w:tc>
        <w:tc>
          <w:tcPr>
            <w:tcW w:w="3120" w:type="dxa"/>
          </w:tcPr>
          <w:p w14:paraId="33DEB5BB" w14:textId="3283C8A2" w:rsidR="00B763B8" w:rsidRPr="00B763B8" w:rsidRDefault="00133A9E" w:rsidP="00B763B8">
            <w:pPr>
              <w:tabs>
                <w:tab w:val="left" w:pos="851"/>
              </w:tabs>
              <w:spacing w:before="0" w:line="240" w:lineRule="atLeast"/>
              <w:rPr>
                <w:b/>
              </w:rPr>
            </w:pPr>
            <w:r>
              <w:rPr>
                <w:b/>
              </w:rPr>
              <w:t>Document C18</w:t>
            </w:r>
            <w:r w:rsidR="00B763B8">
              <w:rPr>
                <w:b/>
              </w:rPr>
              <w:t>/44-E</w:t>
            </w:r>
          </w:p>
        </w:tc>
      </w:tr>
      <w:tr w:rsidR="00B763B8" w:rsidRPr="00813E5E" w14:paraId="29C0EF65" w14:textId="77777777">
        <w:trPr>
          <w:cantSplit/>
          <w:trHeight w:val="23"/>
        </w:trPr>
        <w:tc>
          <w:tcPr>
            <w:tcW w:w="6911" w:type="dxa"/>
            <w:vMerge/>
          </w:tcPr>
          <w:p w14:paraId="3B1917E9" w14:textId="77777777" w:rsidR="00B763B8" w:rsidRPr="00813E5E" w:rsidRDefault="00B763B8">
            <w:pPr>
              <w:tabs>
                <w:tab w:val="left" w:pos="851"/>
              </w:tabs>
              <w:spacing w:line="240" w:lineRule="atLeast"/>
              <w:rPr>
                <w:b/>
              </w:rPr>
            </w:pPr>
            <w:bookmarkStart w:id="4" w:name="ddate" w:colFirst="1" w:colLast="1"/>
            <w:bookmarkEnd w:id="2"/>
            <w:bookmarkEnd w:id="3"/>
          </w:p>
        </w:tc>
        <w:tc>
          <w:tcPr>
            <w:tcW w:w="3120" w:type="dxa"/>
          </w:tcPr>
          <w:p w14:paraId="4CB72987" w14:textId="1C2A8EB0" w:rsidR="00B763B8" w:rsidRPr="00B763B8" w:rsidRDefault="00F94920" w:rsidP="00B763B8">
            <w:pPr>
              <w:tabs>
                <w:tab w:val="left" w:pos="993"/>
              </w:tabs>
              <w:spacing w:before="0"/>
              <w:rPr>
                <w:b/>
              </w:rPr>
            </w:pPr>
            <w:r>
              <w:rPr>
                <w:b/>
              </w:rPr>
              <w:t>8</w:t>
            </w:r>
            <w:r w:rsidR="00B763B8">
              <w:rPr>
                <w:b/>
              </w:rPr>
              <w:t xml:space="preserve"> March 201</w:t>
            </w:r>
            <w:r w:rsidR="00133A9E">
              <w:rPr>
                <w:b/>
              </w:rPr>
              <w:t>8</w:t>
            </w:r>
          </w:p>
        </w:tc>
      </w:tr>
      <w:tr w:rsidR="00B763B8" w:rsidRPr="00813E5E" w14:paraId="29B4D0A1" w14:textId="77777777">
        <w:trPr>
          <w:cantSplit/>
          <w:trHeight w:val="23"/>
        </w:trPr>
        <w:tc>
          <w:tcPr>
            <w:tcW w:w="6911" w:type="dxa"/>
            <w:vMerge/>
          </w:tcPr>
          <w:p w14:paraId="69ACB6E0" w14:textId="77777777" w:rsidR="00B763B8" w:rsidRPr="00813E5E" w:rsidRDefault="00B763B8">
            <w:pPr>
              <w:tabs>
                <w:tab w:val="left" w:pos="851"/>
              </w:tabs>
              <w:spacing w:line="240" w:lineRule="atLeast"/>
              <w:rPr>
                <w:b/>
              </w:rPr>
            </w:pPr>
            <w:bookmarkStart w:id="5" w:name="dorlang" w:colFirst="1" w:colLast="1"/>
            <w:bookmarkEnd w:id="4"/>
          </w:p>
        </w:tc>
        <w:tc>
          <w:tcPr>
            <w:tcW w:w="3120" w:type="dxa"/>
          </w:tcPr>
          <w:p w14:paraId="21F0B0A1" w14:textId="77777777" w:rsidR="00B763B8" w:rsidRPr="00B763B8" w:rsidRDefault="00B763B8" w:rsidP="00B763B8">
            <w:pPr>
              <w:tabs>
                <w:tab w:val="left" w:pos="993"/>
              </w:tabs>
              <w:spacing w:before="0"/>
              <w:rPr>
                <w:b/>
              </w:rPr>
            </w:pPr>
            <w:r>
              <w:rPr>
                <w:b/>
              </w:rPr>
              <w:t>Original: English</w:t>
            </w:r>
          </w:p>
        </w:tc>
      </w:tr>
      <w:tr w:rsidR="00B763B8" w:rsidRPr="00813E5E" w14:paraId="5E34AC54" w14:textId="77777777">
        <w:trPr>
          <w:cantSplit/>
        </w:trPr>
        <w:tc>
          <w:tcPr>
            <w:tcW w:w="10031" w:type="dxa"/>
            <w:gridSpan w:val="2"/>
          </w:tcPr>
          <w:p w14:paraId="18B4768D" w14:textId="77777777" w:rsidR="00B763B8" w:rsidRPr="00813E5E" w:rsidRDefault="00B763B8">
            <w:pPr>
              <w:pStyle w:val="Source"/>
            </w:pPr>
            <w:bookmarkStart w:id="6" w:name="dsource" w:colFirst="0" w:colLast="0"/>
            <w:bookmarkEnd w:id="5"/>
            <w:r>
              <w:t>Report by the Secretary-General</w:t>
            </w:r>
          </w:p>
        </w:tc>
      </w:tr>
      <w:tr w:rsidR="00B763B8" w:rsidRPr="00813E5E" w14:paraId="6A4ED9B5" w14:textId="77777777">
        <w:trPr>
          <w:cantSplit/>
        </w:trPr>
        <w:tc>
          <w:tcPr>
            <w:tcW w:w="10031" w:type="dxa"/>
            <w:gridSpan w:val="2"/>
          </w:tcPr>
          <w:p w14:paraId="25C3F9B2" w14:textId="77777777" w:rsidR="00B763B8" w:rsidRPr="00813E5E" w:rsidRDefault="00B763B8">
            <w:pPr>
              <w:pStyle w:val="Title1"/>
            </w:pPr>
            <w:bookmarkStart w:id="7" w:name="dtitle1" w:colFirst="0" w:colLast="0"/>
            <w:bookmarkEnd w:id="6"/>
            <w:r w:rsidRPr="00B763B8">
              <w:t>REPORT OF THE INTERNAL AUDITOR ON INTERNAL AUDIT ACTIVITIES</w:t>
            </w:r>
          </w:p>
        </w:tc>
      </w:tr>
      <w:bookmarkEnd w:id="7"/>
    </w:tbl>
    <w:p w14:paraId="6E02EFDC" w14:textId="77777777" w:rsidR="00B763B8" w:rsidRPr="00813E5E" w:rsidRDefault="00B763B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63B8" w:rsidRPr="00813E5E" w14:paraId="612146D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1B8B579" w14:textId="77777777" w:rsidR="00B763B8" w:rsidRPr="00813E5E" w:rsidRDefault="00B763B8">
            <w:pPr>
              <w:pStyle w:val="Headingb"/>
            </w:pPr>
            <w:r w:rsidRPr="00813E5E">
              <w:t>Summary</w:t>
            </w:r>
          </w:p>
          <w:p w14:paraId="2616A1D3" w14:textId="7C06E6E6" w:rsidR="00B763B8" w:rsidRPr="00813E5E" w:rsidRDefault="00B763B8" w:rsidP="002F46AA">
            <w:pPr>
              <w:jc w:val="both"/>
            </w:pPr>
            <w:r w:rsidRPr="00B763B8">
              <w:t>This report covers the internal audit a</w:t>
            </w:r>
            <w:r w:rsidR="00133A9E">
              <w:t>ctivities for the period from March</w:t>
            </w:r>
            <w:r w:rsidRPr="00B763B8">
              <w:t xml:space="preserve"> 2017</w:t>
            </w:r>
            <w:r w:rsidR="00EB7B3B">
              <w:t xml:space="preserve"> to</w:t>
            </w:r>
            <w:r w:rsidR="001C22E9">
              <w:t xml:space="preserve"> March </w:t>
            </w:r>
            <w:r w:rsidR="00133A9E">
              <w:t>2018</w:t>
            </w:r>
            <w:r w:rsidRPr="00B763B8">
              <w:t>.</w:t>
            </w:r>
          </w:p>
          <w:p w14:paraId="4D4ADE57" w14:textId="77777777" w:rsidR="00B763B8" w:rsidRPr="00813E5E" w:rsidRDefault="00B763B8" w:rsidP="003144E5">
            <w:pPr>
              <w:pStyle w:val="Headingb"/>
              <w:jc w:val="both"/>
            </w:pPr>
            <w:r w:rsidRPr="00813E5E">
              <w:t>Action required</w:t>
            </w:r>
          </w:p>
          <w:p w14:paraId="4C409369" w14:textId="77777777" w:rsidR="00B763B8" w:rsidRPr="00813E5E" w:rsidRDefault="00B763B8" w:rsidP="003144E5">
            <w:pPr>
              <w:jc w:val="both"/>
            </w:pPr>
            <w:r w:rsidRPr="00B763B8">
              <w:t xml:space="preserve">This report is transmitted to the Council </w:t>
            </w:r>
            <w:r w:rsidRPr="00B763B8">
              <w:rPr>
                <w:b/>
                <w:bCs/>
              </w:rPr>
              <w:t>for consideration</w:t>
            </w:r>
            <w:r w:rsidRPr="00B763B8">
              <w:t>.</w:t>
            </w:r>
          </w:p>
          <w:p w14:paraId="6463FAE2" w14:textId="77777777" w:rsidR="00B763B8" w:rsidRPr="00813E5E" w:rsidRDefault="00B763B8">
            <w:pPr>
              <w:pStyle w:val="Table"/>
              <w:keepNext w:val="0"/>
              <w:spacing w:before="0" w:after="0"/>
              <w:rPr>
                <w:rFonts w:ascii="Calibri" w:hAnsi="Calibri"/>
                <w:caps w:val="0"/>
                <w:sz w:val="22"/>
              </w:rPr>
            </w:pPr>
            <w:r w:rsidRPr="00813E5E">
              <w:rPr>
                <w:rFonts w:ascii="Calibri" w:hAnsi="Calibri"/>
                <w:caps w:val="0"/>
                <w:sz w:val="22"/>
              </w:rPr>
              <w:t>____________</w:t>
            </w:r>
          </w:p>
          <w:p w14:paraId="6A9CA4D6" w14:textId="77777777" w:rsidR="00B763B8" w:rsidRPr="00813E5E" w:rsidRDefault="00B763B8">
            <w:pPr>
              <w:pStyle w:val="Headingb"/>
            </w:pPr>
            <w:r w:rsidRPr="00813E5E">
              <w:t>References</w:t>
            </w:r>
          </w:p>
          <w:p w14:paraId="166CA5CC" w14:textId="77777777" w:rsidR="00B763B8" w:rsidRPr="00813E5E" w:rsidRDefault="00B763B8" w:rsidP="00B763B8">
            <w:pPr>
              <w:rPr>
                <w:i/>
                <w:iCs/>
              </w:rPr>
            </w:pPr>
            <w:r w:rsidRPr="00B763B8">
              <w:rPr>
                <w:i/>
                <w:iCs/>
              </w:rPr>
              <w:t>ITU Financial Regulations and Rules (2010), Article 29</w:t>
            </w:r>
          </w:p>
        </w:tc>
      </w:tr>
    </w:tbl>
    <w:p w14:paraId="54A7AE19" w14:textId="77777777" w:rsidR="00B763B8" w:rsidRPr="00B763B8"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cstheme="minorHAnsi"/>
          <w:szCs w:val="28"/>
        </w:rPr>
      </w:pPr>
      <w:bookmarkStart w:id="8" w:name="dstart"/>
      <w:bookmarkStart w:id="9" w:name="dbreak"/>
      <w:bookmarkEnd w:id="8"/>
      <w:bookmarkEnd w:id="9"/>
      <w:r w:rsidRPr="00B763B8">
        <w:rPr>
          <w:rFonts w:asciiTheme="minorHAnsi" w:hAnsiTheme="minorHAnsi" w:cstheme="minorHAnsi"/>
          <w:szCs w:val="28"/>
        </w:rPr>
        <w:t>Introduction</w:t>
      </w:r>
    </w:p>
    <w:p w14:paraId="3FCEE8EC" w14:textId="3B000BB9" w:rsidR="00B763B8" w:rsidRPr="00F259FE" w:rsidRDefault="00B763B8" w:rsidP="00DC7F82">
      <w:pPr>
        <w:pStyle w:val="Normalaftertitle"/>
        <w:numPr>
          <w:ilvl w:val="0"/>
          <w:numId w:val="2"/>
        </w:numPr>
        <w:tabs>
          <w:tab w:val="clear" w:pos="567"/>
          <w:tab w:val="clear" w:pos="1134"/>
          <w:tab w:val="clear" w:pos="1701"/>
          <w:tab w:val="clear" w:pos="2268"/>
          <w:tab w:val="clear" w:pos="2835"/>
        </w:tabs>
        <w:overflowPunct/>
        <w:autoSpaceDE/>
        <w:autoSpaceDN/>
        <w:snapToGrid w:val="0"/>
        <w:spacing w:before="120" w:after="120"/>
        <w:ind w:left="0" w:firstLine="0"/>
        <w:jc w:val="both"/>
        <w:textAlignment w:val="auto"/>
        <w:rPr>
          <w:rFonts w:asciiTheme="minorHAnsi" w:hAnsiTheme="minorHAnsi" w:cstheme="minorHAnsi"/>
          <w:szCs w:val="24"/>
        </w:rPr>
      </w:pPr>
      <w:r w:rsidRPr="00F259FE">
        <w:rPr>
          <w:rFonts w:asciiTheme="minorHAnsi" w:hAnsiTheme="minorHAnsi" w:cstheme="minorHAnsi"/>
          <w:szCs w:val="24"/>
        </w:rPr>
        <w:t>This report is transmitted to the Council and responds to Article 29 of the Financial Regulations (2010). In accordance with the ITU Internal Audit charter,</w:t>
      </w:r>
      <w:r w:rsidRPr="00F259FE">
        <w:rPr>
          <w:rStyle w:val="FootnoteReference"/>
          <w:rFonts w:asciiTheme="minorHAnsi" w:hAnsiTheme="minorHAnsi" w:cstheme="minorHAnsi"/>
          <w:sz w:val="18"/>
          <w:szCs w:val="18"/>
        </w:rPr>
        <w:footnoteReference w:id="1"/>
      </w:r>
      <w:r w:rsidRPr="00F259FE">
        <w:rPr>
          <w:rFonts w:asciiTheme="minorHAnsi" w:hAnsiTheme="minorHAnsi" w:cstheme="minorHAnsi"/>
          <w:szCs w:val="24"/>
        </w:rPr>
        <w:t xml:space="preserve"> this report is submitted to the Secretary-General and presented to the Council for consideration. The current report covers activities from the period between </w:t>
      </w:r>
      <w:r w:rsidR="00133A9E" w:rsidRPr="00F259FE">
        <w:rPr>
          <w:rFonts w:asciiTheme="minorHAnsi" w:hAnsiTheme="minorHAnsi" w:cstheme="minorHAnsi"/>
          <w:color w:val="000000" w:themeColor="text1"/>
          <w:szCs w:val="24"/>
        </w:rPr>
        <w:t xml:space="preserve">March </w:t>
      </w:r>
      <w:r w:rsidRPr="00F259FE">
        <w:rPr>
          <w:rFonts w:asciiTheme="minorHAnsi" w:hAnsiTheme="minorHAnsi" w:cstheme="minorHAnsi"/>
          <w:color w:val="000000" w:themeColor="text1"/>
          <w:szCs w:val="24"/>
        </w:rPr>
        <w:t>2017</w:t>
      </w:r>
      <w:r w:rsidR="00133A9E" w:rsidRPr="00F259FE">
        <w:rPr>
          <w:rFonts w:asciiTheme="minorHAnsi" w:hAnsiTheme="minorHAnsi" w:cstheme="minorHAnsi"/>
          <w:color w:val="000000" w:themeColor="text1"/>
          <w:szCs w:val="24"/>
        </w:rPr>
        <w:t xml:space="preserve"> and </w:t>
      </w:r>
      <w:r w:rsidR="00DC7F82" w:rsidRPr="00F259FE">
        <w:rPr>
          <w:rFonts w:asciiTheme="minorHAnsi" w:hAnsiTheme="minorHAnsi" w:cstheme="minorHAnsi"/>
          <w:color w:val="000000" w:themeColor="text1"/>
          <w:szCs w:val="24"/>
        </w:rPr>
        <w:t xml:space="preserve">March </w:t>
      </w:r>
      <w:r w:rsidR="00133A9E" w:rsidRPr="00F259FE">
        <w:rPr>
          <w:rFonts w:asciiTheme="minorHAnsi" w:hAnsiTheme="minorHAnsi" w:cstheme="minorHAnsi"/>
          <w:color w:val="000000" w:themeColor="text1"/>
          <w:szCs w:val="24"/>
        </w:rPr>
        <w:t>2018</w:t>
      </w:r>
      <w:r w:rsidRPr="00F259FE">
        <w:rPr>
          <w:rFonts w:asciiTheme="minorHAnsi" w:hAnsiTheme="minorHAnsi" w:cstheme="minorHAnsi"/>
          <w:color w:val="000000" w:themeColor="text1"/>
          <w:szCs w:val="24"/>
        </w:rPr>
        <w:t>.</w:t>
      </w:r>
    </w:p>
    <w:p w14:paraId="157EC83C" w14:textId="4570BEA6" w:rsidR="00B763B8" w:rsidRPr="00F259FE" w:rsidRDefault="00B763B8" w:rsidP="001C22E9">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For the period reported on, the Internal Audit Unit comprised </w:t>
      </w:r>
      <w:r w:rsidR="003144E5" w:rsidRPr="00F259FE">
        <w:rPr>
          <w:rFonts w:asciiTheme="minorHAnsi" w:hAnsiTheme="minorHAnsi" w:cstheme="minorHAnsi"/>
          <w:sz w:val="24"/>
          <w:szCs w:val="24"/>
          <w:lang w:val="en-US"/>
        </w:rPr>
        <w:t>two P</w:t>
      </w:r>
      <w:r w:rsidRPr="00F259FE">
        <w:rPr>
          <w:rFonts w:asciiTheme="minorHAnsi" w:hAnsiTheme="minorHAnsi" w:cstheme="minorHAnsi"/>
          <w:sz w:val="24"/>
          <w:szCs w:val="24"/>
          <w:lang w:val="en-US"/>
        </w:rPr>
        <w:t>rofessional staff – a P.5 (Head of the Unit) and a P.2 (Junior Internal Auditor)</w:t>
      </w:r>
      <w:r w:rsidR="00133A9E" w:rsidRPr="00F259FE">
        <w:rPr>
          <w:rFonts w:asciiTheme="minorHAnsi" w:hAnsiTheme="minorHAnsi" w:cstheme="minorHAnsi"/>
          <w:sz w:val="24"/>
          <w:szCs w:val="24"/>
          <w:lang w:val="en-US"/>
        </w:rPr>
        <w:t xml:space="preserve"> until the incumbent of the vacant P3 position (Internal Auditor) took up his functions on 1 September 2017.</w:t>
      </w:r>
      <w:r w:rsidRPr="00F259FE">
        <w:rPr>
          <w:rFonts w:asciiTheme="minorHAnsi" w:hAnsiTheme="minorHAnsi" w:cstheme="minorHAnsi"/>
          <w:sz w:val="24"/>
          <w:szCs w:val="24"/>
          <w:lang w:val="en-US"/>
        </w:rPr>
        <w:t xml:space="preserve"> </w:t>
      </w:r>
      <w:r w:rsidR="00133A9E" w:rsidRPr="00F259FE">
        <w:rPr>
          <w:rFonts w:asciiTheme="minorHAnsi" w:hAnsiTheme="minorHAnsi" w:cstheme="minorHAnsi"/>
          <w:sz w:val="24"/>
          <w:szCs w:val="24"/>
          <w:lang w:val="en-US"/>
        </w:rPr>
        <w:t>A</w:t>
      </w:r>
      <w:r w:rsidRPr="00F259FE">
        <w:rPr>
          <w:rFonts w:asciiTheme="minorHAnsi" w:hAnsiTheme="minorHAnsi" w:cstheme="minorHAnsi"/>
          <w:sz w:val="24"/>
          <w:szCs w:val="24"/>
          <w:lang w:val="en-US"/>
        </w:rPr>
        <w:t xml:space="preserve"> General Services staff (Audit Assistant) was working in the Unit on a full-time basis. </w:t>
      </w:r>
      <w:r w:rsidR="00EB41B6" w:rsidRPr="00F259FE">
        <w:rPr>
          <w:rFonts w:asciiTheme="minorHAnsi" w:hAnsiTheme="minorHAnsi" w:cstheme="minorHAnsi"/>
          <w:color w:val="000000"/>
          <w:sz w:val="24"/>
          <w:szCs w:val="24"/>
          <w:lang w:val="en-US"/>
        </w:rPr>
        <w:t xml:space="preserve">Thus, </w:t>
      </w:r>
      <w:r w:rsidR="001C22E9" w:rsidRPr="00F259FE">
        <w:rPr>
          <w:rFonts w:asciiTheme="minorHAnsi" w:hAnsiTheme="minorHAnsi" w:cstheme="minorHAnsi"/>
          <w:color w:val="000000"/>
          <w:sz w:val="24"/>
          <w:szCs w:val="24"/>
          <w:lang w:val="en-US"/>
        </w:rPr>
        <w:t>currently the</w:t>
      </w:r>
      <w:r w:rsidR="003144E5" w:rsidRPr="00F259FE">
        <w:rPr>
          <w:rFonts w:asciiTheme="minorHAnsi" w:hAnsiTheme="minorHAnsi" w:cstheme="minorHAnsi"/>
          <w:color w:val="000000"/>
          <w:sz w:val="24"/>
          <w:szCs w:val="24"/>
          <w:lang w:val="en-US"/>
        </w:rPr>
        <w:t xml:space="preserve"> Unit consists of three </w:t>
      </w:r>
      <w:r w:rsidR="00133A9E" w:rsidRPr="00F259FE">
        <w:rPr>
          <w:rFonts w:asciiTheme="minorHAnsi" w:hAnsiTheme="minorHAnsi" w:cstheme="minorHAnsi"/>
          <w:color w:val="000000"/>
          <w:sz w:val="24"/>
          <w:szCs w:val="24"/>
          <w:lang w:val="en-US"/>
        </w:rPr>
        <w:t>professional pos</w:t>
      </w:r>
      <w:r w:rsidRPr="00F259FE">
        <w:rPr>
          <w:rFonts w:asciiTheme="minorHAnsi" w:hAnsiTheme="minorHAnsi" w:cstheme="minorHAnsi"/>
          <w:color w:val="000000"/>
          <w:sz w:val="24"/>
          <w:szCs w:val="24"/>
          <w:lang w:val="en-US"/>
        </w:rPr>
        <w:t>ts and one General Services post</w:t>
      </w:r>
      <w:r w:rsidRPr="00F259FE">
        <w:rPr>
          <w:rFonts w:asciiTheme="minorHAnsi" w:hAnsiTheme="minorHAnsi" w:cstheme="minorHAnsi"/>
          <w:sz w:val="24"/>
          <w:szCs w:val="24"/>
          <w:lang w:val="en-US"/>
        </w:rPr>
        <w:t>.</w:t>
      </w:r>
    </w:p>
    <w:p w14:paraId="3BD45C92" w14:textId="6808B5C2" w:rsidR="00B763B8" w:rsidRPr="00F259FE" w:rsidRDefault="00B763B8" w:rsidP="0031207A">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Internal Audit (IA) confirms that it conducts its audits in accordance with the International Standards for the Professional Practice of Internal Auditing and the Code of Ethics established by the Institute of Internal Auditors</w:t>
      </w:r>
      <w:r w:rsidR="0031207A" w:rsidRPr="00F259FE">
        <w:rPr>
          <w:rFonts w:asciiTheme="minorHAnsi" w:hAnsiTheme="minorHAnsi" w:cstheme="minorHAnsi"/>
          <w:sz w:val="24"/>
          <w:szCs w:val="24"/>
          <w:lang w:val="en-US"/>
        </w:rPr>
        <w:t xml:space="preserve"> (IIA),</w:t>
      </w:r>
      <w:r w:rsidRPr="00F259FE">
        <w:rPr>
          <w:rStyle w:val="FootnoteReference"/>
          <w:rFonts w:asciiTheme="minorHAnsi" w:hAnsiTheme="minorHAnsi" w:cstheme="minorHAnsi"/>
          <w:sz w:val="18"/>
          <w:szCs w:val="18"/>
        </w:rPr>
        <w:footnoteReference w:id="2"/>
      </w:r>
      <w:r w:rsidRPr="00F259FE">
        <w:rPr>
          <w:rFonts w:asciiTheme="minorHAnsi" w:hAnsiTheme="minorHAnsi" w:cstheme="minorHAnsi"/>
          <w:sz w:val="24"/>
          <w:szCs w:val="24"/>
          <w:lang w:val="en-US"/>
        </w:rPr>
        <w:t xml:space="preserve"> as well as with the provisions of the ITU Internal Audit </w:t>
      </w:r>
      <w:r w:rsidRPr="00F259FE">
        <w:rPr>
          <w:rFonts w:asciiTheme="minorHAnsi" w:hAnsiTheme="minorHAnsi" w:cstheme="minorHAnsi"/>
          <w:sz w:val="24"/>
          <w:szCs w:val="24"/>
          <w:lang w:val="en-US"/>
        </w:rPr>
        <w:lastRenderedPageBreak/>
        <w:t>Charter.</w:t>
      </w:r>
      <w:r w:rsidRPr="00F259FE">
        <w:rPr>
          <w:rStyle w:val="FootnoteReference"/>
          <w:rFonts w:asciiTheme="minorHAnsi" w:hAnsiTheme="minorHAnsi" w:cstheme="minorHAnsi"/>
          <w:sz w:val="18"/>
          <w:szCs w:val="18"/>
        </w:rPr>
        <w:footnoteReference w:id="3"/>
      </w:r>
      <w:r w:rsidRPr="00F259FE">
        <w:rPr>
          <w:rFonts w:asciiTheme="minorHAnsi" w:hAnsiTheme="minorHAnsi" w:cstheme="minorHAnsi"/>
          <w:sz w:val="24"/>
          <w:szCs w:val="24"/>
          <w:lang w:val="en-US"/>
        </w:rPr>
        <w:t xml:space="preserve"> In addition, IA confirms that, for the period reported on, its staff had no managerial authority over, nor responsibility for any of the activities audited and did not perform accounting or operational functions within ITU.</w:t>
      </w:r>
    </w:p>
    <w:p w14:paraId="5CF01E69" w14:textId="77777777" w:rsidR="00B763B8" w:rsidRPr="00F259FE"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cstheme="minorHAnsi"/>
          <w:szCs w:val="28"/>
          <w:lang w:val="en-CA"/>
        </w:rPr>
      </w:pPr>
      <w:r w:rsidRPr="00F259FE">
        <w:rPr>
          <w:rFonts w:asciiTheme="minorHAnsi" w:hAnsiTheme="minorHAnsi" w:cstheme="minorHAnsi"/>
          <w:szCs w:val="28"/>
          <w:lang w:val="en-CA"/>
        </w:rPr>
        <w:t>Orientation and scope of the internal audit activities</w:t>
      </w:r>
    </w:p>
    <w:p w14:paraId="6D3DD0DB" w14:textId="6E927662" w:rsidR="00753A8D" w:rsidRPr="00F259FE" w:rsidRDefault="00B763B8" w:rsidP="0068792C">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CA"/>
        </w:rPr>
        <w:t>In line with the IA Charter, t</w:t>
      </w:r>
      <w:r w:rsidRPr="00F259FE">
        <w:rPr>
          <w:rFonts w:asciiTheme="minorHAnsi" w:hAnsiTheme="minorHAnsi" w:cstheme="minorHAnsi"/>
          <w:sz w:val="24"/>
          <w:szCs w:val="24"/>
          <w:lang w:val="en-US"/>
        </w:rPr>
        <w:t>he proposed IA plan for 201</w:t>
      </w:r>
      <w:r w:rsidR="005F2817" w:rsidRPr="00F259FE">
        <w:rPr>
          <w:rFonts w:asciiTheme="minorHAnsi" w:hAnsiTheme="minorHAnsi" w:cstheme="minorHAnsi"/>
          <w:sz w:val="24"/>
          <w:szCs w:val="24"/>
          <w:lang w:val="en-US"/>
        </w:rPr>
        <w:t>7</w:t>
      </w:r>
      <w:r w:rsidRPr="00F259FE">
        <w:rPr>
          <w:rFonts w:asciiTheme="minorHAnsi" w:hAnsiTheme="minorHAnsi" w:cstheme="minorHAnsi"/>
          <w:sz w:val="24"/>
          <w:szCs w:val="24"/>
          <w:lang w:val="en-US"/>
        </w:rPr>
        <w:t xml:space="preserve"> was reviewed by the Independent Management Advisory Committee (IMAC) in </w:t>
      </w:r>
      <w:r w:rsidR="005F2817" w:rsidRPr="00F259FE">
        <w:rPr>
          <w:rFonts w:asciiTheme="minorHAnsi" w:hAnsiTheme="minorHAnsi" w:cstheme="minorHAnsi"/>
          <w:sz w:val="24"/>
          <w:szCs w:val="24"/>
          <w:lang w:val="en-US"/>
        </w:rPr>
        <w:t>March 2017</w:t>
      </w:r>
      <w:r w:rsidRPr="00F259FE">
        <w:rPr>
          <w:rFonts w:asciiTheme="minorHAnsi" w:hAnsiTheme="minorHAnsi" w:cstheme="minorHAnsi"/>
          <w:sz w:val="24"/>
          <w:szCs w:val="24"/>
          <w:lang w:val="en-US"/>
        </w:rPr>
        <w:t xml:space="preserve"> and subsequently approved by the Secretary-General. It was also communicated to the External Auditor in an effort to promote efficiency and coordination. The orientation of the audit work was mainly towards the areas of </w:t>
      </w:r>
      <w:r w:rsidRPr="00F259FE">
        <w:rPr>
          <w:rFonts w:asciiTheme="minorHAnsi" w:hAnsiTheme="minorHAnsi" w:cstheme="minorHAnsi"/>
          <w:i/>
          <w:iCs/>
          <w:sz w:val="24"/>
          <w:szCs w:val="24"/>
          <w:lang w:val="en-US"/>
        </w:rPr>
        <w:t>assurance engagements.</w:t>
      </w:r>
      <w:r w:rsidRPr="00F259FE">
        <w:rPr>
          <w:rFonts w:asciiTheme="minorHAnsi" w:hAnsiTheme="minorHAnsi" w:cstheme="minorHAnsi"/>
          <w:sz w:val="24"/>
          <w:szCs w:val="24"/>
          <w:lang w:val="en-US"/>
        </w:rPr>
        <w:t xml:space="preserve"> </w:t>
      </w:r>
      <w:r w:rsidR="00753A8D" w:rsidRPr="00F259FE">
        <w:rPr>
          <w:rFonts w:asciiTheme="minorHAnsi" w:hAnsiTheme="minorHAnsi" w:cstheme="minorHAnsi"/>
          <w:sz w:val="24"/>
          <w:szCs w:val="24"/>
          <w:lang w:val="en-US"/>
        </w:rPr>
        <w:t>For 2017 two audits were carried forward partly into 2018 whilst one audit was not conducted because in July 2017</w:t>
      </w:r>
      <w:r w:rsidR="00114C0C" w:rsidRPr="00F259FE">
        <w:rPr>
          <w:rFonts w:asciiTheme="minorHAnsi" w:hAnsiTheme="minorHAnsi" w:cstheme="minorHAnsi"/>
          <w:sz w:val="24"/>
          <w:szCs w:val="24"/>
          <w:lang w:val="en-US"/>
        </w:rPr>
        <w:t>,</w:t>
      </w:r>
      <w:r w:rsidR="00753A8D" w:rsidRPr="00F259FE">
        <w:rPr>
          <w:rFonts w:asciiTheme="minorHAnsi" w:hAnsiTheme="minorHAnsi" w:cstheme="minorHAnsi"/>
          <w:sz w:val="24"/>
          <w:szCs w:val="24"/>
          <w:lang w:val="en-US"/>
        </w:rPr>
        <w:t xml:space="preserve"> the Secretary-General asked for an additional topic to be audited (which meant that a shift in audit planning priorities had to take place). In addition to assurance engagements, the Internal Audit Charter </w:t>
      </w:r>
      <w:r w:rsidR="00691F85" w:rsidRPr="00F259FE">
        <w:rPr>
          <w:rFonts w:asciiTheme="minorHAnsi" w:hAnsiTheme="minorHAnsi" w:cstheme="minorHAnsi"/>
          <w:sz w:val="24"/>
          <w:szCs w:val="24"/>
          <w:lang w:val="en-US"/>
        </w:rPr>
        <w:t xml:space="preserve">stipulates </w:t>
      </w:r>
      <w:r w:rsidR="0068792C" w:rsidRPr="00F259FE">
        <w:rPr>
          <w:rFonts w:asciiTheme="minorHAnsi" w:hAnsiTheme="minorHAnsi" w:cstheme="minorHAnsi"/>
          <w:sz w:val="24"/>
          <w:szCs w:val="24"/>
          <w:lang w:val="en-US"/>
        </w:rPr>
        <w:t xml:space="preserve">also </w:t>
      </w:r>
      <w:r w:rsidR="00753A8D" w:rsidRPr="00F259FE">
        <w:rPr>
          <w:rFonts w:asciiTheme="minorHAnsi" w:hAnsiTheme="minorHAnsi" w:cstheme="minorHAnsi"/>
          <w:sz w:val="24"/>
          <w:szCs w:val="24"/>
          <w:lang w:val="en-US"/>
        </w:rPr>
        <w:t xml:space="preserve">that </w:t>
      </w:r>
      <w:r w:rsidR="00753A8D" w:rsidRPr="00F259FE">
        <w:rPr>
          <w:rFonts w:asciiTheme="minorHAnsi" w:hAnsiTheme="minorHAnsi" w:cstheme="minorHAnsi"/>
          <w:i/>
          <w:iCs/>
          <w:sz w:val="24"/>
          <w:szCs w:val="24"/>
          <w:lang w:val="en-US"/>
        </w:rPr>
        <w:t xml:space="preserve">IA </w:t>
      </w:r>
      <w:r w:rsidR="0068792C" w:rsidRPr="00F259FE">
        <w:rPr>
          <w:rFonts w:asciiTheme="minorHAnsi" w:hAnsiTheme="minorHAnsi" w:cstheme="minorHAnsi"/>
          <w:i/>
          <w:iCs/>
          <w:sz w:val="24"/>
          <w:szCs w:val="24"/>
          <w:lang w:val="en-US"/>
        </w:rPr>
        <w:t>shall investigate allegations, or presumptions, of fraud or mismanagement</w:t>
      </w:r>
      <w:r w:rsidR="0068792C" w:rsidRPr="00F259FE">
        <w:rPr>
          <w:rFonts w:asciiTheme="minorHAnsi" w:hAnsiTheme="minorHAnsi" w:cstheme="minorHAnsi"/>
          <w:sz w:val="24"/>
          <w:szCs w:val="24"/>
          <w:lang w:val="en-US"/>
        </w:rPr>
        <w:t xml:space="preserve"> </w:t>
      </w:r>
      <w:r w:rsidR="00753A8D" w:rsidRPr="00F259FE">
        <w:rPr>
          <w:rFonts w:asciiTheme="minorHAnsi" w:hAnsiTheme="minorHAnsi" w:cstheme="minorHAnsi"/>
          <w:sz w:val="24"/>
          <w:szCs w:val="24"/>
          <w:lang w:val="en-US"/>
        </w:rPr>
        <w:t xml:space="preserve">as well as </w:t>
      </w:r>
      <w:r w:rsidR="0068792C" w:rsidRPr="00F259FE">
        <w:rPr>
          <w:rFonts w:asciiTheme="minorHAnsi" w:hAnsiTheme="minorHAnsi" w:cstheme="minorHAnsi"/>
          <w:sz w:val="24"/>
          <w:szCs w:val="24"/>
          <w:lang w:val="en-US"/>
        </w:rPr>
        <w:t xml:space="preserve">that </w:t>
      </w:r>
      <w:r w:rsidR="0068792C" w:rsidRPr="00F259FE">
        <w:rPr>
          <w:rFonts w:asciiTheme="minorHAnsi" w:hAnsiTheme="minorHAnsi" w:cstheme="minorHAnsi"/>
          <w:i/>
          <w:iCs/>
          <w:sz w:val="24"/>
          <w:szCs w:val="24"/>
          <w:lang w:val="en-US"/>
        </w:rPr>
        <w:t>Internal Audit may provide consulting services within ITU</w:t>
      </w:r>
      <w:r w:rsidR="0068792C" w:rsidRPr="00F259FE">
        <w:rPr>
          <w:rFonts w:asciiTheme="minorHAnsi" w:hAnsiTheme="minorHAnsi" w:cstheme="minorHAnsi"/>
          <w:sz w:val="24"/>
          <w:szCs w:val="24"/>
          <w:lang w:val="en-US"/>
        </w:rPr>
        <w:t>.</w:t>
      </w:r>
    </w:p>
    <w:p w14:paraId="54E172E3" w14:textId="0BFB3503" w:rsidR="00B763B8" w:rsidRPr="00F259FE" w:rsidRDefault="00B763B8" w:rsidP="005C06E7">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IA systematically shares copies of internal audit reports with the ITU External Auditor and with the IMAC. In accordance with ITU Financial Regulation 29.5, final internal audit reports can be made available to Member States or their designated representatives. A facilitated mechanism for accessing internal audit reports is in place since October 2015. During the period reported on, two requests for accessing internal audit reports were received </w:t>
      </w:r>
      <w:r w:rsidR="005C06E7">
        <w:rPr>
          <w:rFonts w:asciiTheme="minorHAnsi" w:hAnsiTheme="minorHAnsi" w:cstheme="minorHAnsi"/>
          <w:sz w:val="24"/>
          <w:szCs w:val="24"/>
          <w:lang w:val="en-US"/>
        </w:rPr>
        <w:t xml:space="preserve">(and responded to) </w:t>
      </w:r>
      <w:r w:rsidRPr="00F259FE">
        <w:rPr>
          <w:rFonts w:asciiTheme="minorHAnsi" w:hAnsiTheme="minorHAnsi" w:cstheme="minorHAnsi"/>
          <w:sz w:val="24"/>
          <w:szCs w:val="24"/>
          <w:lang w:val="en-US"/>
        </w:rPr>
        <w:t xml:space="preserve">via the online mechanism. </w:t>
      </w:r>
    </w:p>
    <w:p w14:paraId="68015F15" w14:textId="77777777" w:rsidR="00B763B8" w:rsidRPr="00F259FE"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Cs w:val="28"/>
          <w:lang w:val="en-CA"/>
        </w:rPr>
      </w:pPr>
      <w:r w:rsidRPr="00F259FE">
        <w:rPr>
          <w:rFonts w:asciiTheme="minorHAnsi" w:hAnsiTheme="minorHAnsi" w:cstheme="minorHAnsi"/>
          <w:szCs w:val="28"/>
          <w:lang w:val="en-CA"/>
        </w:rPr>
        <w:t>Objectives and conclusions of the assurance engagements</w:t>
      </w:r>
    </w:p>
    <w:p w14:paraId="17A999B3" w14:textId="77777777" w:rsidR="00B763B8" w:rsidRPr="00F259FE"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The objectives of the assurance engagements were to assess</w:t>
      </w:r>
      <w:r w:rsidR="003144E5" w:rsidRPr="00F259FE">
        <w:rPr>
          <w:rFonts w:asciiTheme="minorHAnsi" w:hAnsiTheme="minorHAnsi" w:cstheme="minorHAnsi"/>
          <w:sz w:val="24"/>
          <w:szCs w:val="24"/>
          <w:lang w:val="en-US"/>
        </w:rPr>
        <w:t>:</w:t>
      </w:r>
      <w:r w:rsidRPr="00F259FE">
        <w:rPr>
          <w:rFonts w:asciiTheme="minorHAnsi" w:hAnsiTheme="minorHAnsi" w:cstheme="minorHAnsi"/>
          <w:sz w:val="24"/>
          <w:szCs w:val="24"/>
          <w:lang w:val="en-US"/>
        </w:rPr>
        <w:t xml:space="preserve"> (</w:t>
      </w:r>
      <w:proofErr w:type="spellStart"/>
      <w:r w:rsidRPr="00F259FE">
        <w:rPr>
          <w:rFonts w:asciiTheme="minorHAnsi" w:hAnsiTheme="minorHAnsi" w:cstheme="minorHAnsi"/>
          <w:sz w:val="24"/>
          <w:szCs w:val="24"/>
          <w:lang w:val="en-US"/>
        </w:rPr>
        <w:t>i</w:t>
      </w:r>
      <w:proofErr w:type="spellEnd"/>
      <w:r w:rsidRPr="00F259FE">
        <w:rPr>
          <w:rFonts w:asciiTheme="minorHAnsi" w:hAnsiTheme="minorHAnsi" w:cstheme="minorHAnsi"/>
          <w:sz w:val="24"/>
          <w:szCs w:val="24"/>
          <w:lang w:val="en-US"/>
        </w:rPr>
        <w:t>) the governance aspects of</w:t>
      </w:r>
      <w:r w:rsidR="003144E5" w:rsidRPr="00F259FE">
        <w:rPr>
          <w:rFonts w:asciiTheme="minorHAnsi" w:hAnsiTheme="minorHAnsi" w:cstheme="minorHAnsi"/>
          <w:sz w:val="24"/>
          <w:szCs w:val="24"/>
          <w:lang w:val="en-US"/>
        </w:rPr>
        <w:t xml:space="preserve"> the Union’s operations audited;</w:t>
      </w:r>
      <w:r w:rsidRPr="00F259FE">
        <w:rPr>
          <w:rFonts w:asciiTheme="minorHAnsi" w:hAnsiTheme="minorHAnsi" w:cstheme="minorHAnsi"/>
          <w:sz w:val="24"/>
          <w:szCs w:val="24"/>
          <w:lang w:val="en-US"/>
        </w:rPr>
        <w:t xml:space="preserve"> (ii) the risk management practices</w:t>
      </w:r>
      <w:r w:rsidR="003144E5" w:rsidRPr="00F259FE">
        <w:rPr>
          <w:rFonts w:asciiTheme="minorHAnsi" w:hAnsiTheme="minorHAnsi" w:cstheme="minorHAnsi"/>
          <w:sz w:val="24"/>
          <w:szCs w:val="24"/>
          <w:lang w:val="en-US"/>
        </w:rPr>
        <w:t>;</w:t>
      </w:r>
      <w:r w:rsidRPr="00F259FE">
        <w:rPr>
          <w:rFonts w:asciiTheme="minorHAnsi" w:hAnsiTheme="minorHAnsi" w:cstheme="minorHAnsi"/>
          <w:sz w:val="24"/>
          <w:szCs w:val="24"/>
          <w:lang w:val="en-US"/>
        </w:rPr>
        <w:t xml:space="preserve"> and (iii) the effectiveness of (internal) controls. The priority of the recommendations resulting from the audit work is classified according to the impact and likelihood of the deficiency (critical, high, medium, low).</w:t>
      </w:r>
    </w:p>
    <w:p w14:paraId="607A1F2C" w14:textId="3F2D586E" w:rsidR="00B763B8" w:rsidRPr="00F259FE" w:rsidRDefault="00B763B8" w:rsidP="00414FD9">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259FE">
        <w:rPr>
          <w:rFonts w:asciiTheme="minorHAnsi" w:hAnsiTheme="minorHAnsi" w:cstheme="minorHAnsi"/>
          <w:szCs w:val="24"/>
        </w:rPr>
        <w:t>Based on the various assurance engagements performed, IA concluded that, overall, the</w:t>
      </w:r>
      <w:r w:rsidR="00414FD9" w:rsidRPr="00F259FE">
        <w:rPr>
          <w:rFonts w:asciiTheme="minorHAnsi" w:hAnsiTheme="minorHAnsi" w:cstheme="minorHAnsi"/>
          <w:szCs w:val="24"/>
        </w:rPr>
        <w:t xml:space="preserve">re is a need to improve governance and risk management of the processes </w:t>
      </w:r>
      <w:r w:rsidR="00D64BCA" w:rsidRPr="00F259FE">
        <w:rPr>
          <w:rFonts w:asciiTheme="minorHAnsi" w:hAnsiTheme="minorHAnsi" w:cstheme="minorHAnsi"/>
          <w:szCs w:val="24"/>
        </w:rPr>
        <w:t>reviewed</w:t>
      </w:r>
      <w:r w:rsidR="00414FD9" w:rsidRPr="00F259FE">
        <w:rPr>
          <w:rFonts w:asciiTheme="minorHAnsi" w:hAnsiTheme="minorHAnsi" w:cstheme="minorHAnsi"/>
          <w:szCs w:val="24"/>
        </w:rPr>
        <w:t xml:space="preserve"> and to render the controls more effective in the various areas audited. I</w:t>
      </w:r>
      <w:r w:rsidRPr="00F259FE">
        <w:rPr>
          <w:rFonts w:asciiTheme="minorHAnsi" w:hAnsiTheme="minorHAnsi" w:cstheme="minorHAnsi"/>
          <w:szCs w:val="24"/>
        </w:rPr>
        <w:t>mprovement in these areas would allow IA to provide to the Secretary-General reasonable assurance that there is adequate governance and risk management, and that controls are effe</w:t>
      </w:r>
      <w:r w:rsidR="00E76CE6" w:rsidRPr="00F259FE">
        <w:rPr>
          <w:rFonts w:asciiTheme="minorHAnsi" w:hAnsiTheme="minorHAnsi" w:cstheme="minorHAnsi"/>
          <w:szCs w:val="24"/>
        </w:rPr>
        <w:t>ctive. Recommendations made to m</w:t>
      </w:r>
      <w:r w:rsidRPr="00F259FE">
        <w:rPr>
          <w:rFonts w:asciiTheme="minorHAnsi" w:hAnsiTheme="minorHAnsi" w:cstheme="minorHAnsi"/>
          <w:szCs w:val="24"/>
        </w:rPr>
        <w:t>anagement are being actioned, with the support of the Secretary-General, and this will further strengthen ITU to fulfil its mandate.</w:t>
      </w:r>
    </w:p>
    <w:p w14:paraId="480ACF33" w14:textId="77777777" w:rsidR="00B763B8" w:rsidRPr="00F259FE" w:rsidRDefault="00B763B8"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The implementation of recommended actions is followed up by IA, as and when required (see also paragraph on follow-up further in this report).</w:t>
      </w:r>
    </w:p>
    <w:p w14:paraId="61BBA6CD" w14:textId="77777777" w:rsidR="00B763B8" w:rsidRPr="00F259FE" w:rsidRDefault="00B763B8" w:rsidP="00B763B8">
      <w:pPr>
        <w:tabs>
          <w:tab w:val="clear" w:pos="567"/>
          <w:tab w:val="clear" w:pos="1134"/>
          <w:tab w:val="clear" w:pos="1701"/>
          <w:tab w:val="clear" w:pos="2268"/>
          <w:tab w:val="clear" w:pos="2835"/>
        </w:tabs>
        <w:snapToGrid w:val="0"/>
        <w:spacing w:after="120"/>
        <w:jc w:val="both"/>
        <w:rPr>
          <w:rFonts w:asciiTheme="minorHAnsi" w:hAnsiTheme="minorHAnsi" w:cstheme="minorHAnsi"/>
          <w:i/>
          <w:iCs/>
          <w:szCs w:val="24"/>
        </w:rPr>
      </w:pPr>
      <w:r w:rsidRPr="00F259FE">
        <w:rPr>
          <w:rFonts w:asciiTheme="minorHAnsi" w:hAnsiTheme="minorHAnsi" w:cstheme="minorHAnsi"/>
          <w:i/>
          <w:iCs/>
          <w:szCs w:val="24"/>
        </w:rPr>
        <w:t>The following assurance engagements have been conducted:</w:t>
      </w:r>
    </w:p>
    <w:p w14:paraId="6D973FD9" w14:textId="77777777" w:rsidR="00B763B8" w:rsidRPr="00F259FE" w:rsidRDefault="00B763B8" w:rsidP="00706AAD">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jc w:val="both"/>
        <w:textAlignment w:val="auto"/>
        <w:rPr>
          <w:rFonts w:asciiTheme="minorHAnsi" w:hAnsiTheme="minorHAnsi" w:cstheme="minorHAnsi"/>
          <w:szCs w:val="24"/>
        </w:rPr>
      </w:pPr>
      <w:r w:rsidRPr="00F259FE">
        <w:rPr>
          <w:rFonts w:asciiTheme="minorHAnsi" w:hAnsiTheme="minorHAnsi" w:cstheme="minorHAnsi"/>
          <w:b/>
          <w:i/>
          <w:szCs w:val="24"/>
        </w:rPr>
        <w:t>Corporate Fraud Risk Assessment</w:t>
      </w:r>
    </w:p>
    <w:p w14:paraId="7CA36D67" w14:textId="0C905CD0" w:rsidR="00C556C6" w:rsidRPr="00F259FE" w:rsidRDefault="00B763B8" w:rsidP="005C06E7">
      <w:pPr>
        <w:pStyle w:val="Default"/>
        <w:jc w:val="both"/>
        <w:rPr>
          <w:rFonts w:asciiTheme="minorHAnsi" w:hAnsiTheme="minorHAnsi" w:cstheme="minorHAnsi"/>
        </w:rPr>
      </w:pPr>
      <w:r w:rsidRPr="00F259FE">
        <w:rPr>
          <w:rFonts w:asciiTheme="minorHAnsi" w:hAnsiTheme="minorHAnsi" w:cstheme="minorHAnsi"/>
        </w:rPr>
        <w:t xml:space="preserve">The </w:t>
      </w:r>
      <w:r w:rsidR="00C95BA3" w:rsidRPr="00F259FE">
        <w:rPr>
          <w:rFonts w:asciiTheme="minorHAnsi" w:hAnsiTheme="minorHAnsi" w:cstheme="minorHAnsi"/>
        </w:rPr>
        <w:t xml:space="preserve">2016 </w:t>
      </w:r>
      <w:r w:rsidRPr="00F259FE">
        <w:rPr>
          <w:rFonts w:asciiTheme="minorHAnsi" w:hAnsiTheme="minorHAnsi" w:cstheme="minorHAnsi"/>
        </w:rPr>
        <w:t>JIU report on “fraud prevention, detection and response in UN Organizations” highlight</w:t>
      </w:r>
      <w:r w:rsidR="00C95BA3" w:rsidRPr="00F259FE">
        <w:rPr>
          <w:rFonts w:asciiTheme="minorHAnsi" w:hAnsiTheme="minorHAnsi" w:cstheme="minorHAnsi"/>
        </w:rPr>
        <w:t>ed</w:t>
      </w:r>
      <w:r w:rsidRPr="00F259FE">
        <w:rPr>
          <w:rFonts w:asciiTheme="minorHAnsi" w:hAnsiTheme="minorHAnsi" w:cstheme="minorHAnsi"/>
        </w:rPr>
        <w:t xml:space="preserve"> a number of deficiencies in th</w:t>
      </w:r>
      <w:r w:rsidR="0063373E" w:rsidRPr="00F259FE">
        <w:rPr>
          <w:rFonts w:asciiTheme="minorHAnsi" w:hAnsiTheme="minorHAnsi" w:cstheme="minorHAnsi"/>
        </w:rPr>
        <w:t>e</w:t>
      </w:r>
      <w:r w:rsidRPr="00F259FE">
        <w:rPr>
          <w:rFonts w:asciiTheme="minorHAnsi" w:hAnsiTheme="minorHAnsi" w:cstheme="minorHAnsi"/>
        </w:rPr>
        <w:t xml:space="preserve"> area</w:t>
      </w:r>
      <w:r w:rsidR="0063373E" w:rsidRPr="00F259FE">
        <w:rPr>
          <w:rFonts w:asciiTheme="minorHAnsi" w:hAnsiTheme="minorHAnsi" w:cstheme="minorHAnsi"/>
        </w:rPr>
        <w:t xml:space="preserve">, </w:t>
      </w:r>
      <w:r w:rsidRPr="00F259FE">
        <w:rPr>
          <w:rFonts w:asciiTheme="minorHAnsi" w:hAnsiTheme="minorHAnsi" w:cstheme="minorHAnsi"/>
        </w:rPr>
        <w:t xml:space="preserve">and some of those </w:t>
      </w:r>
      <w:r w:rsidR="0063373E" w:rsidRPr="00F259FE">
        <w:rPr>
          <w:rFonts w:asciiTheme="minorHAnsi" w:hAnsiTheme="minorHAnsi" w:cstheme="minorHAnsi"/>
        </w:rPr>
        <w:t>were</w:t>
      </w:r>
      <w:r w:rsidRPr="00F259FE">
        <w:rPr>
          <w:rFonts w:asciiTheme="minorHAnsi" w:hAnsiTheme="minorHAnsi" w:cstheme="minorHAnsi"/>
        </w:rPr>
        <w:t xml:space="preserve"> applicable to ITU. </w:t>
      </w:r>
      <w:r w:rsidR="00C95BA3" w:rsidRPr="00F259FE">
        <w:rPr>
          <w:rFonts w:asciiTheme="minorHAnsi" w:hAnsiTheme="minorHAnsi" w:cstheme="minorHAnsi"/>
        </w:rPr>
        <w:t xml:space="preserve">The fraud risk assessment was geared towards improving communication and awareness of fraud and identifying where an Organization is most vulnerable to fraud and which activities/processes put it at greatest risk. </w:t>
      </w:r>
    </w:p>
    <w:p w14:paraId="115048F3" w14:textId="5564012A" w:rsidR="00C95BA3" w:rsidRPr="00F259FE" w:rsidRDefault="00C95BA3"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The main objectives of the assessment (conducted in 2016 and finalized in the course of 2017) were to: </w:t>
      </w:r>
    </w:p>
    <w:p w14:paraId="500B5975" w14:textId="4BFE3302" w:rsidR="00C95BA3" w:rsidRPr="00F259FE" w:rsidRDefault="00C95BA3" w:rsidP="00706AAD">
      <w:pPr>
        <w:pStyle w:val="Default"/>
        <w:numPr>
          <w:ilvl w:val="0"/>
          <w:numId w:val="6"/>
        </w:numPr>
        <w:spacing w:after="30"/>
        <w:jc w:val="both"/>
        <w:rPr>
          <w:rFonts w:asciiTheme="minorHAnsi" w:hAnsiTheme="minorHAnsi" w:cstheme="minorHAnsi"/>
        </w:rPr>
      </w:pPr>
      <w:r w:rsidRPr="00F259FE">
        <w:rPr>
          <w:rFonts w:asciiTheme="minorHAnsi" w:hAnsiTheme="minorHAnsi" w:cstheme="minorHAnsi"/>
        </w:rPr>
        <w:t xml:space="preserve">Identify inherent fraud risk factors and potential fraud schemes </w:t>
      </w:r>
    </w:p>
    <w:p w14:paraId="5E73CCC5" w14:textId="0244B74E" w:rsidR="00C95BA3" w:rsidRPr="00F259FE" w:rsidRDefault="00C95BA3" w:rsidP="00706AAD">
      <w:pPr>
        <w:pStyle w:val="Default"/>
        <w:numPr>
          <w:ilvl w:val="0"/>
          <w:numId w:val="6"/>
        </w:numPr>
        <w:spacing w:after="30"/>
        <w:jc w:val="both"/>
        <w:rPr>
          <w:rFonts w:asciiTheme="minorHAnsi" w:hAnsiTheme="minorHAnsi" w:cstheme="minorHAnsi"/>
        </w:rPr>
      </w:pPr>
      <w:r w:rsidRPr="00F259FE">
        <w:rPr>
          <w:rFonts w:asciiTheme="minorHAnsi" w:hAnsiTheme="minorHAnsi" w:cstheme="minorHAnsi"/>
        </w:rPr>
        <w:t xml:space="preserve">Assess the likelihood and impact of the risks </w:t>
      </w:r>
    </w:p>
    <w:p w14:paraId="1B8397A8" w14:textId="7B5DB679" w:rsidR="00C95BA3" w:rsidRPr="00F259FE" w:rsidRDefault="00C95BA3" w:rsidP="00706AAD">
      <w:pPr>
        <w:pStyle w:val="Default"/>
        <w:numPr>
          <w:ilvl w:val="0"/>
          <w:numId w:val="6"/>
        </w:numPr>
        <w:spacing w:after="30"/>
        <w:jc w:val="both"/>
        <w:rPr>
          <w:rFonts w:asciiTheme="minorHAnsi" w:hAnsiTheme="minorHAnsi" w:cstheme="minorHAnsi"/>
        </w:rPr>
      </w:pPr>
      <w:r w:rsidRPr="00F259FE">
        <w:rPr>
          <w:rFonts w:asciiTheme="minorHAnsi" w:hAnsiTheme="minorHAnsi" w:cstheme="minorHAnsi"/>
        </w:rPr>
        <w:t xml:space="preserve">Determine fraud risk tolerance levels </w:t>
      </w:r>
    </w:p>
    <w:p w14:paraId="225DC5B3" w14:textId="68C24943" w:rsidR="00C95BA3" w:rsidRPr="00F259FE" w:rsidRDefault="00C95BA3" w:rsidP="00706AAD">
      <w:pPr>
        <w:pStyle w:val="Default"/>
        <w:numPr>
          <w:ilvl w:val="0"/>
          <w:numId w:val="6"/>
        </w:numPr>
        <w:spacing w:after="30"/>
        <w:jc w:val="both"/>
        <w:rPr>
          <w:rFonts w:asciiTheme="minorHAnsi" w:hAnsiTheme="minorHAnsi" w:cstheme="minorHAnsi"/>
        </w:rPr>
      </w:pPr>
      <w:r w:rsidRPr="00F259FE">
        <w:rPr>
          <w:rFonts w:asciiTheme="minorHAnsi" w:hAnsiTheme="minorHAnsi" w:cstheme="minorHAnsi"/>
        </w:rPr>
        <w:t xml:space="preserve">Mapping fraud risks to relevant controls </w:t>
      </w:r>
    </w:p>
    <w:p w14:paraId="02762A50" w14:textId="0358D119" w:rsidR="00C95BA3" w:rsidRPr="00F259FE" w:rsidRDefault="00C95BA3" w:rsidP="00706AAD">
      <w:pPr>
        <w:pStyle w:val="Default"/>
        <w:numPr>
          <w:ilvl w:val="0"/>
          <w:numId w:val="6"/>
        </w:numPr>
        <w:jc w:val="both"/>
        <w:rPr>
          <w:rFonts w:asciiTheme="minorHAnsi" w:hAnsiTheme="minorHAnsi" w:cstheme="minorHAnsi"/>
        </w:rPr>
      </w:pPr>
      <w:r w:rsidRPr="00F259FE">
        <w:rPr>
          <w:rFonts w:asciiTheme="minorHAnsi" w:hAnsiTheme="minorHAnsi" w:cstheme="minorHAnsi"/>
        </w:rPr>
        <w:t xml:space="preserve">Propose risk mitigation measures – in proportion to the risk </w:t>
      </w:r>
    </w:p>
    <w:p w14:paraId="54A80C5E" w14:textId="47508724" w:rsidR="00C95BA3" w:rsidRPr="00F259FE" w:rsidRDefault="00C95BA3" w:rsidP="00706AAD">
      <w:pPr>
        <w:pStyle w:val="Default"/>
        <w:jc w:val="both"/>
        <w:rPr>
          <w:rFonts w:asciiTheme="minorHAnsi" w:hAnsiTheme="minorHAnsi" w:cstheme="minorHAnsi"/>
        </w:rPr>
      </w:pPr>
    </w:p>
    <w:p w14:paraId="4DEF586D" w14:textId="52C0F8D5" w:rsidR="00C95BA3" w:rsidRPr="00F259FE" w:rsidRDefault="00C95BA3" w:rsidP="005C06E7">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The Fraud Risk Assessment report underlines the areas </w:t>
      </w:r>
      <w:r w:rsidR="00C556C6" w:rsidRPr="00F259FE">
        <w:rPr>
          <w:rFonts w:asciiTheme="minorHAnsi" w:hAnsiTheme="minorHAnsi" w:cstheme="minorHAnsi"/>
          <w:sz w:val="24"/>
          <w:szCs w:val="24"/>
          <w:lang w:val="en-US"/>
        </w:rPr>
        <w:t>(</w:t>
      </w:r>
      <w:proofErr w:type="spellStart"/>
      <w:r w:rsidR="00C556C6" w:rsidRPr="00F259FE">
        <w:rPr>
          <w:rFonts w:asciiTheme="minorHAnsi" w:hAnsiTheme="minorHAnsi" w:cstheme="minorHAnsi"/>
          <w:sz w:val="24"/>
          <w:szCs w:val="24"/>
          <w:lang w:val="en-US"/>
        </w:rPr>
        <w:t>i</w:t>
      </w:r>
      <w:proofErr w:type="spellEnd"/>
      <w:r w:rsidR="00C556C6" w:rsidRPr="00F259FE">
        <w:rPr>
          <w:rFonts w:asciiTheme="minorHAnsi" w:hAnsiTheme="minorHAnsi" w:cstheme="minorHAnsi"/>
          <w:sz w:val="24"/>
          <w:szCs w:val="24"/>
          <w:lang w:val="en-US"/>
        </w:rPr>
        <w:t xml:space="preserve">) </w:t>
      </w:r>
      <w:r w:rsidRPr="00F259FE">
        <w:rPr>
          <w:rFonts w:asciiTheme="minorHAnsi" w:hAnsiTheme="minorHAnsi" w:cstheme="minorHAnsi"/>
          <w:sz w:val="24"/>
          <w:szCs w:val="24"/>
          <w:lang w:val="en-US"/>
        </w:rPr>
        <w:t xml:space="preserve">in which the Union is either considered to be exposed to some fraud risk or </w:t>
      </w:r>
      <w:r w:rsidR="00C556C6" w:rsidRPr="00F259FE">
        <w:rPr>
          <w:rFonts w:asciiTheme="minorHAnsi" w:hAnsiTheme="minorHAnsi" w:cstheme="minorHAnsi"/>
          <w:sz w:val="24"/>
          <w:szCs w:val="24"/>
          <w:lang w:val="en-US"/>
        </w:rPr>
        <w:t xml:space="preserve">(ii) </w:t>
      </w:r>
      <w:r w:rsidRPr="00F259FE">
        <w:rPr>
          <w:rFonts w:asciiTheme="minorHAnsi" w:hAnsiTheme="minorHAnsi" w:cstheme="minorHAnsi"/>
          <w:sz w:val="24"/>
          <w:szCs w:val="24"/>
          <w:lang w:val="en-US"/>
        </w:rPr>
        <w:t>that contribute to increasing the likelihood of fraud occurring. The likelihood of fraud occurring in the areas identified and the significance of this has been noted where applicable</w:t>
      </w:r>
      <w:r w:rsidR="005C06E7">
        <w:rPr>
          <w:rFonts w:asciiTheme="minorHAnsi" w:hAnsiTheme="minorHAnsi" w:cstheme="minorHAnsi"/>
          <w:sz w:val="24"/>
          <w:szCs w:val="24"/>
          <w:lang w:val="en-US"/>
        </w:rPr>
        <w:t>.</w:t>
      </w:r>
      <w:r w:rsidRPr="00F259FE">
        <w:rPr>
          <w:rFonts w:asciiTheme="minorHAnsi" w:hAnsiTheme="minorHAnsi" w:cstheme="minorHAnsi"/>
          <w:sz w:val="24"/>
          <w:szCs w:val="24"/>
          <w:lang w:val="en-US"/>
        </w:rPr>
        <w:t xml:space="preserve"> </w:t>
      </w:r>
    </w:p>
    <w:p w14:paraId="18BF3791" w14:textId="2B015CB2" w:rsidR="00706AAD" w:rsidRPr="00F259FE" w:rsidRDefault="00254031"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bCs/>
          <w:iCs/>
          <w:color w:val="000000"/>
          <w:sz w:val="24"/>
          <w:szCs w:val="24"/>
          <w:lang w:val="en-US"/>
        </w:rPr>
      </w:pPr>
      <w:r w:rsidRPr="00F259FE">
        <w:rPr>
          <w:rFonts w:asciiTheme="minorHAnsi" w:hAnsiTheme="minorHAnsi" w:cstheme="minorHAnsi"/>
          <w:sz w:val="24"/>
          <w:szCs w:val="24"/>
          <w:lang w:val="en-US"/>
        </w:rPr>
        <w:t>The final report sent to the</w:t>
      </w:r>
      <w:r w:rsidR="008D3C4A" w:rsidRPr="00F259FE">
        <w:rPr>
          <w:rFonts w:asciiTheme="minorHAnsi" w:hAnsiTheme="minorHAnsi" w:cstheme="minorHAnsi"/>
          <w:sz w:val="24"/>
          <w:szCs w:val="24"/>
          <w:lang w:val="en-US"/>
        </w:rPr>
        <w:t xml:space="preserve"> Secretary-General</w:t>
      </w:r>
      <w:r w:rsidRPr="00F259FE">
        <w:rPr>
          <w:rFonts w:asciiTheme="minorHAnsi" w:hAnsiTheme="minorHAnsi" w:cstheme="minorHAnsi"/>
          <w:sz w:val="24"/>
          <w:szCs w:val="24"/>
          <w:lang w:val="en-US"/>
        </w:rPr>
        <w:t xml:space="preserve"> contains the comments from managers concerned and a </w:t>
      </w:r>
      <w:r w:rsidR="007F2004" w:rsidRPr="00F259FE">
        <w:rPr>
          <w:rFonts w:asciiTheme="minorHAnsi" w:hAnsiTheme="minorHAnsi" w:cstheme="minorHAnsi"/>
          <w:sz w:val="24"/>
          <w:szCs w:val="24"/>
          <w:lang w:val="en-US"/>
        </w:rPr>
        <w:t>clear attribution of roles (for implementation of the recommendations).</w:t>
      </w:r>
    </w:p>
    <w:p w14:paraId="614F36DE" w14:textId="77777777" w:rsidR="00706AAD" w:rsidRPr="00F259FE" w:rsidRDefault="00706AAD" w:rsidP="00706AAD">
      <w:pPr>
        <w:pStyle w:val="ListParagraph"/>
        <w:tabs>
          <w:tab w:val="clear" w:pos="794"/>
          <w:tab w:val="clear" w:pos="1191"/>
          <w:tab w:val="clear" w:pos="1588"/>
          <w:tab w:val="clear" w:pos="1985"/>
        </w:tabs>
        <w:adjustRightInd w:val="0"/>
        <w:snapToGrid w:val="0"/>
        <w:spacing w:before="120" w:after="120" w:line="240" w:lineRule="auto"/>
        <w:ind w:left="0"/>
        <w:contextualSpacing w:val="0"/>
        <w:jc w:val="both"/>
        <w:rPr>
          <w:rFonts w:asciiTheme="minorHAnsi" w:hAnsiTheme="minorHAnsi" w:cstheme="minorHAnsi"/>
          <w:bCs/>
          <w:iCs/>
          <w:color w:val="000000"/>
          <w:sz w:val="24"/>
          <w:szCs w:val="24"/>
          <w:lang w:val="en-US"/>
        </w:rPr>
      </w:pPr>
    </w:p>
    <w:p w14:paraId="6E12870F" w14:textId="58A36CA0" w:rsidR="00B763B8" w:rsidRPr="00F259FE" w:rsidRDefault="00B763B8" w:rsidP="00706AAD">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after="120"/>
        <w:ind w:left="709" w:firstLine="0"/>
        <w:jc w:val="both"/>
        <w:textAlignment w:val="auto"/>
        <w:rPr>
          <w:rFonts w:asciiTheme="minorHAnsi" w:hAnsiTheme="minorHAnsi" w:cstheme="minorHAnsi"/>
          <w:b/>
          <w:bCs/>
          <w:i/>
          <w:iCs/>
          <w:szCs w:val="24"/>
        </w:rPr>
      </w:pPr>
      <w:r w:rsidRPr="00F259FE">
        <w:rPr>
          <w:rFonts w:asciiTheme="minorHAnsi" w:hAnsiTheme="minorHAnsi" w:cstheme="minorHAnsi"/>
          <w:b/>
          <w:bCs/>
          <w:i/>
          <w:iCs/>
          <w:szCs w:val="24"/>
        </w:rPr>
        <w:t xml:space="preserve">Audit of </w:t>
      </w:r>
      <w:r w:rsidR="0030275D" w:rsidRPr="00F259FE">
        <w:rPr>
          <w:rFonts w:asciiTheme="minorHAnsi" w:hAnsiTheme="minorHAnsi" w:cstheme="minorHAnsi"/>
          <w:b/>
          <w:bCs/>
          <w:i/>
          <w:iCs/>
          <w:szCs w:val="24"/>
        </w:rPr>
        <w:t>Gender Equality and Mainstreaming (GEM)</w:t>
      </w:r>
    </w:p>
    <w:p w14:paraId="57D42F00" w14:textId="3BC34965" w:rsidR="00B763B8" w:rsidRPr="00F259FE" w:rsidRDefault="0030275D"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IA </w:t>
      </w:r>
      <w:r w:rsidRPr="00F259FE">
        <w:rPr>
          <w:rFonts w:asciiTheme="minorHAnsi" w:hAnsiTheme="minorHAnsi" w:cstheme="minorHAnsi"/>
          <w:sz w:val="24"/>
          <w:szCs w:val="24"/>
          <w:lang w:val="en-GB"/>
        </w:rPr>
        <w:t xml:space="preserve">conducted a review of the </w:t>
      </w:r>
      <w:r w:rsidRPr="00F259FE">
        <w:rPr>
          <w:rFonts w:asciiTheme="minorHAnsi" w:hAnsiTheme="minorHAnsi" w:cstheme="minorHAnsi"/>
          <w:sz w:val="24"/>
          <w:szCs w:val="24"/>
          <w:lang w:val="en-US"/>
        </w:rPr>
        <w:t>GEM for the period from 2013 to 2016. The main objectives of the audit were to (</w:t>
      </w:r>
      <w:proofErr w:type="spellStart"/>
      <w:r w:rsidRPr="00F259FE">
        <w:rPr>
          <w:rFonts w:asciiTheme="minorHAnsi" w:hAnsiTheme="minorHAnsi" w:cstheme="minorHAnsi"/>
          <w:sz w:val="24"/>
          <w:szCs w:val="24"/>
          <w:lang w:val="en-US"/>
        </w:rPr>
        <w:t>i</w:t>
      </w:r>
      <w:proofErr w:type="spellEnd"/>
      <w:r w:rsidRPr="00F259FE">
        <w:rPr>
          <w:rFonts w:asciiTheme="minorHAnsi" w:hAnsiTheme="minorHAnsi" w:cstheme="minorHAnsi"/>
          <w:sz w:val="24"/>
          <w:szCs w:val="24"/>
          <w:lang w:val="en-US"/>
        </w:rPr>
        <w:t xml:space="preserve">) assess ITU’s institutional framework for enhancing GEM, (ii) assess staff awareness and understanding of GEM policies, gender </w:t>
      </w:r>
      <w:proofErr w:type="spellStart"/>
      <w:r w:rsidRPr="00F259FE">
        <w:rPr>
          <w:rFonts w:asciiTheme="minorHAnsi" w:hAnsiTheme="minorHAnsi" w:cstheme="minorHAnsi"/>
          <w:sz w:val="24"/>
          <w:szCs w:val="24"/>
          <w:lang w:val="en-US"/>
        </w:rPr>
        <w:t>programmes</w:t>
      </w:r>
      <w:proofErr w:type="spellEnd"/>
      <w:r w:rsidRPr="00F259FE">
        <w:rPr>
          <w:rFonts w:asciiTheme="minorHAnsi" w:hAnsiTheme="minorHAnsi" w:cstheme="minorHAnsi"/>
          <w:sz w:val="24"/>
          <w:szCs w:val="24"/>
          <w:lang w:val="en-US"/>
        </w:rPr>
        <w:t>, projects and gender knowledge-building activities in the Union, (iii) assess the achievement of gender equality in the Union as manifested by number of male and female staff, members of formal and informal groups such as task forces, statutory committees, etc. in the Union, (iv) identify and evaluate good practices on gender initiatives in ITU and potential gaps that limit gender mainstreaming at all levels of the Union, and (v) assess and evaluate the status of ITU in implementing the UN-SWAP performance</w:t>
      </w:r>
      <w:r w:rsidR="002072BE" w:rsidRPr="00F259FE">
        <w:rPr>
          <w:rFonts w:asciiTheme="minorHAnsi" w:hAnsiTheme="minorHAnsi" w:cstheme="minorHAnsi"/>
          <w:sz w:val="24"/>
          <w:szCs w:val="24"/>
          <w:lang w:val="en-US"/>
        </w:rPr>
        <w:t xml:space="preserve"> </w:t>
      </w:r>
      <w:r w:rsidRPr="00F259FE">
        <w:rPr>
          <w:rFonts w:asciiTheme="minorHAnsi" w:hAnsiTheme="minorHAnsi" w:cstheme="minorHAnsi"/>
          <w:sz w:val="24"/>
          <w:szCs w:val="24"/>
          <w:lang w:val="en-US"/>
        </w:rPr>
        <w:t xml:space="preserve"> indicators.</w:t>
      </w:r>
    </w:p>
    <w:p w14:paraId="19635933" w14:textId="7AA48099" w:rsidR="0030275D" w:rsidRPr="00F259FE" w:rsidRDefault="0030275D" w:rsidP="00DC7F97">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IA </w:t>
      </w:r>
      <w:r w:rsidR="00706AAD" w:rsidRPr="00F259FE">
        <w:rPr>
          <w:rFonts w:asciiTheme="minorHAnsi" w:hAnsiTheme="minorHAnsi" w:cstheme="minorHAnsi"/>
          <w:sz w:val="24"/>
          <w:szCs w:val="24"/>
          <w:lang w:val="en-US"/>
        </w:rPr>
        <w:t>concluded, as high priority matters on a number of issues</w:t>
      </w:r>
      <w:r w:rsidR="00DC7F97" w:rsidRPr="00F259FE">
        <w:rPr>
          <w:rFonts w:asciiTheme="minorHAnsi" w:hAnsiTheme="minorHAnsi" w:cstheme="minorHAnsi"/>
          <w:sz w:val="24"/>
          <w:szCs w:val="24"/>
          <w:lang w:val="en-US"/>
        </w:rPr>
        <w:t xml:space="preserve"> as follows</w:t>
      </w:r>
      <w:r w:rsidRPr="00F259FE">
        <w:rPr>
          <w:rFonts w:asciiTheme="minorHAnsi" w:hAnsiTheme="minorHAnsi" w:cstheme="minorHAnsi"/>
          <w:sz w:val="24"/>
          <w:szCs w:val="24"/>
          <w:lang w:val="en-US"/>
        </w:rPr>
        <w:t xml:space="preserve">: </w:t>
      </w:r>
    </w:p>
    <w:p w14:paraId="52ACA433" w14:textId="31A1F844" w:rsidR="0030275D" w:rsidRPr="00F259FE" w:rsidRDefault="0030275D" w:rsidP="00B131D7">
      <w:pPr>
        <w:pStyle w:val="Default"/>
        <w:numPr>
          <w:ilvl w:val="0"/>
          <w:numId w:val="7"/>
        </w:numPr>
        <w:jc w:val="both"/>
        <w:rPr>
          <w:rFonts w:asciiTheme="minorHAnsi" w:hAnsiTheme="minorHAnsi" w:cstheme="minorHAnsi"/>
        </w:rPr>
      </w:pPr>
      <w:r w:rsidRPr="00F259FE">
        <w:rPr>
          <w:rFonts w:asciiTheme="minorHAnsi" w:hAnsiTheme="minorHAnsi" w:cstheme="minorHAnsi"/>
        </w:rPr>
        <w:t xml:space="preserve">The existing institutional framework for GEM is not adequate. This framework comprises the Governing Bodies Resolutions on gender, the GEM policy, the Gender Task Force (GTF) and the associated accountability structure. It was recommended that the possibility to centralize gender equality and mainstreaming responsibilities in a specifically dedicated staff post/function, directly under the SG’s authority and within existing budgetary resources </w:t>
      </w:r>
      <w:r w:rsidR="00DC7F97" w:rsidRPr="00F259FE">
        <w:rPr>
          <w:rFonts w:asciiTheme="minorHAnsi" w:hAnsiTheme="minorHAnsi" w:cstheme="minorHAnsi"/>
        </w:rPr>
        <w:t xml:space="preserve">be </w:t>
      </w:r>
      <w:r w:rsidRPr="00F259FE">
        <w:rPr>
          <w:rFonts w:asciiTheme="minorHAnsi" w:hAnsiTheme="minorHAnsi" w:cstheme="minorHAnsi"/>
        </w:rPr>
        <w:t xml:space="preserve">explored (in e.g. a Senior Corporate Gender/Diversity Officer position). </w:t>
      </w:r>
    </w:p>
    <w:p w14:paraId="3762CC00" w14:textId="2DBE0FE3" w:rsidR="0030275D" w:rsidRPr="00F259FE" w:rsidRDefault="0030275D" w:rsidP="00B131D7">
      <w:pPr>
        <w:pStyle w:val="Default"/>
        <w:numPr>
          <w:ilvl w:val="0"/>
          <w:numId w:val="7"/>
        </w:numPr>
        <w:jc w:val="both"/>
        <w:rPr>
          <w:rFonts w:asciiTheme="minorHAnsi" w:hAnsiTheme="minorHAnsi" w:cstheme="minorHAnsi"/>
        </w:rPr>
      </w:pPr>
      <w:r w:rsidRPr="00F259FE">
        <w:rPr>
          <w:rFonts w:asciiTheme="minorHAnsi" w:hAnsiTheme="minorHAnsi" w:cstheme="minorHAnsi"/>
        </w:rPr>
        <w:t xml:space="preserve">Furthermore it was concluded that risks associated with awareness of GEM policies, </w:t>
      </w:r>
      <w:proofErr w:type="spellStart"/>
      <w:r w:rsidRPr="00F259FE">
        <w:rPr>
          <w:rFonts w:asciiTheme="minorHAnsi" w:hAnsiTheme="minorHAnsi" w:cstheme="minorHAnsi"/>
        </w:rPr>
        <w:t>programmes</w:t>
      </w:r>
      <w:proofErr w:type="spellEnd"/>
      <w:r w:rsidRPr="00F259FE">
        <w:rPr>
          <w:rFonts w:asciiTheme="minorHAnsi" w:hAnsiTheme="minorHAnsi" w:cstheme="minorHAnsi"/>
        </w:rPr>
        <w:t xml:space="preserve"> are not adequately managed. It was thus recommended that newly arrived staff receive a particular awareness training on GEM and its policy at ITU and that GEM is included in the job description of relevant staff members and/or that it becomes part of the competencies in the periodical performance appraisal as well as a periodic objective, when applicable, for the incumbent of specific posts. </w:t>
      </w:r>
    </w:p>
    <w:p w14:paraId="03B505D0" w14:textId="44BB422F" w:rsidR="0030275D" w:rsidRPr="00F259FE" w:rsidRDefault="0030275D" w:rsidP="00B131D7">
      <w:pPr>
        <w:pStyle w:val="Default"/>
        <w:numPr>
          <w:ilvl w:val="0"/>
          <w:numId w:val="7"/>
        </w:numPr>
        <w:jc w:val="both"/>
        <w:rPr>
          <w:rFonts w:asciiTheme="minorHAnsi" w:hAnsiTheme="minorHAnsi" w:cstheme="minorHAnsi"/>
        </w:rPr>
      </w:pPr>
      <w:r w:rsidRPr="00F259FE">
        <w:rPr>
          <w:rFonts w:asciiTheme="minorHAnsi" w:hAnsiTheme="minorHAnsi" w:cstheme="minorHAnsi"/>
        </w:rPr>
        <w:t xml:space="preserve">Another conclusion of the audit is that female and male staff are not represented equally in the staffing and groups of the Union. Women are underrepresented in higher categories while men are underrepresented in lower job categories. It was recommended that composition of Statutory Committees is reviewed to include more female staff (as </w:t>
      </w:r>
      <w:r w:rsidRPr="00F259FE">
        <w:rPr>
          <w:rFonts w:asciiTheme="minorHAnsi" w:hAnsiTheme="minorHAnsi" w:cstheme="minorHAnsi"/>
          <w:i/>
          <w:iCs/>
        </w:rPr>
        <w:t xml:space="preserve">principal </w:t>
      </w:r>
      <w:r w:rsidRPr="00F259FE">
        <w:rPr>
          <w:rFonts w:asciiTheme="minorHAnsi" w:hAnsiTheme="minorHAnsi" w:cstheme="minorHAnsi"/>
        </w:rPr>
        <w:t xml:space="preserve">members of such Committees) and that a plan with timeline targets to achieve gender parity in the workforce both general service and professional/higher categories is prepared. </w:t>
      </w:r>
    </w:p>
    <w:p w14:paraId="67E1B687" w14:textId="5EE6D82B" w:rsidR="0030275D" w:rsidRDefault="0030275D" w:rsidP="00B131D7">
      <w:pPr>
        <w:pStyle w:val="Default"/>
        <w:numPr>
          <w:ilvl w:val="0"/>
          <w:numId w:val="7"/>
        </w:numPr>
        <w:jc w:val="both"/>
        <w:rPr>
          <w:rFonts w:asciiTheme="minorHAnsi" w:hAnsiTheme="minorHAnsi" w:cstheme="minorHAnsi"/>
        </w:rPr>
      </w:pPr>
      <w:r w:rsidRPr="00F259FE">
        <w:rPr>
          <w:rFonts w:asciiTheme="minorHAnsi" w:hAnsiTheme="minorHAnsi" w:cstheme="minorHAnsi"/>
        </w:rPr>
        <w:t>A fourth high priority issue concluded is that the effectiveness of controls in implementing and reporting on Resolution 70 and UN-SWAP is assessed as not adequate. It was recommended that an action plan for gender equality and mainstreaming is prepared and submitted to the Coordination Committee (</w:t>
      </w:r>
      <w:proofErr w:type="spellStart"/>
      <w:r w:rsidRPr="00F259FE">
        <w:rPr>
          <w:rFonts w:asciiTheme="minorHAnsi" w:hAnsiTheme="minorHAnsi" w:cstheme="minorHAnsi"/>
        </w:rPr>
        <w:t>CoCo</w:t>
      </w:r>
      <w:proofErr w:type="spellEnd"/>
      <w:r w:rsidRPr="00F259FE">
        <w:rPr>
          <w:rFonts w:asciiTheme="minorHAnsi" w:hAnsiTheme="minorHAnsi" w:cstheme="minorHAnsi"/>
        </w:rPr>
        <w:t xml:space="preserve">) for approval. </w:t>
      </w:r>
    </w:p>
    <w:p w14:paraId="58FFD451" w14:textId="5CDAD440" w:rsidR="00B131D7" w:rsidRPr="00F259FE" w:rsidRDefault="00035B7B" w:rsidP="00B131D7">
      <w:pPr>
        <w:pStyle w:val="Default"/>
        <w:jc w:val="both"/>
        <w:rPr>
          <w:rFonts w:asciiTheme="minorHAnsi" w:hAnsiTheme="minorHAnsi" w:cstheme="minorHAnsi"/>
        </w:rPr>
      </w:pPr>
      <w:r>
        <w:rPr>
          <w:rFonts w:asciiTheme="minorHAnsi" w:hAnsiTheme="minorHAnsi" w:cstheme="minorHAnsi"/>
        </w:rPr>
        <w:t>R</w:t>
      </w:r>
      <w:r w:rsidR="00B131D7">
        <w:rPr>
          <w:rFonts w:asciiTheme="minorHAnsi" w:hAnsiTheme="minorHAnsi" w:cstheme="minorHAnsi"/>
        </w:rPr>
        <w:t>ecommendations were accepted by the respective managers.</w:t>
      </w:r>
    </w:p>
    <w:p w14:paraId="08C09316" w14:textId="67406E20" w:rsidR="00B763B8" w:rsidRPr="00F259FE" w:rsidRDefault="00B763B8"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 </w:t>
      </w:r>
      <w:r w:rsidR="0030275D" w:rsidRPr="00F259FE">
        <w:rPr>
          <w:rFonts w:asciiTheme="minorHAnsi" w:hAnsiTheme="minorHAnsi" w:cstheme="minorHAnsi"/>
          <w:sz w:val="24"/>
          <w:szCs w:val="24"/>
          <w:lang w:val="en-US"/>
        </w:rPr>
        <w:t>Overall, IA is of the opinion that the governance, risk management processes, and internal controls are not adequate enough and lack in certain areas effectiveness. There are good practices on gender in ITU that demonstrate a culture sufficiently willing to embrace GEM. If the identified shortcomings were addressed, the Secretary-General could be provided with reasonable assurance that there is adequate governance and risk management with respect to GEM, and that the internal controls are effective for the implementation of GEM policy and activities</w:t>
      </w:r>
      <w:r w:rsidR="0030275D" w:rsidRPr="00F259FE">
        <w:rPr>
          <w:lang w:val="en-US"/>
        </w:rPr>
        <w:t>.</w:t>
      </w:r>
    </w:p>
    <w:p w14:paraId="114005F2" w14:textId="77777777" w:rsidR="00286B22" w:rsidRPr="00F259FE" w:rsidRDefault="00286B22" w:rsidP="00706AAD">
      <w:pPr>
        <w:pStyle w:val="ListParagraph"/>
        <w:tabs>
          <w:tab w:val="clear" w:pos="794"/>
          <w:tab w:val="clear" w:pos="1191"/>
          <w:tab w:val="clear" w:pos="1588"/>
          <w:tab w:val="clear" w:pos="1985"/>
        </w:tabs>
        <w:adjustRightInd w:val="0"/>
        <w:snapToGrid w:val="0"/>
        <w:spacing w:before="120" w:after="120" w:line="240" w:lineRule="auto"/>
        <w:ind w:left="0"/>
        <w:contextualSpacing w:val="0"/>
        <w:jc w:val="both"/>
        <w:rPr>
          <w:rFonts w:asciiTheme="minorHAnsi" w:hAnsiTheme="minorHAnsi" w:cstheme="minorHAnsi"/>
          <w:sz w:val="24"/>
          <w:szCs w:val="24"/>
          <w:lang w:val="en-US"/>
        </w:rPr>
      </w:pPr>
    </w:p>
    <w:p w14:paraId="4CDA5B1A" w14:textId="4C156039" w:rsidR="00286B22" w:rsidRPr="00F259FE" w:rsidRDefault="00286B22" w:rsidP="00706AAD">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after="120"/>
        <w:ind w:left="709" w:firstLine="0"/>
        <w:jc w:val="both"/>
        <w:textAlignment w:val="auto"/>
        <w:rPr>
          <w:rFonts w:asciiTheme="minorHAnsi" w:hAnsiTheme="minorHAnsi" w:cstheme="minorHAnsi"/>
          <w:b/>
          <w:bCs/>
          <w:i/>
          <w:iCs/>
          <w:szCs w:val="24"/>
        </w:rPr>
      </w:pPr>
      <w:r w:rsidRPr="00F259FE">
        <w:rPr>
          <w:rFonts w:asciiTheme="minorHAnsi" w:hAnsiTheme="minorHAnsi" w:cstheme="minorHAnsi"/>
          <w:b/>
          <w:bCs/>
          <w:i/>
          <w:iCs/>
          <w:szCs w:val="24"/>
        </w:rPr>
        <w:t>Audit of Financial Transactions Data</w:t>
      </w:r>
    </w:p>
    <w:p w14:paraId="6FE5C0A5" w14:textId="73F19577" w:rsidR="00286B22" w:rsidRPr="00F259FE" w:rsidRDefault="00286B22"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IA conducted an audit of Financial Transactions Data for the period from 2014 to 2016. This audit reviewed financial transactions from selected general ledger accounts on categories of expenses and revenue. The objectives of the audit were (</w:t>
      </w:r>
      <w:proofErr w:type="spellStart"/>
      <w:r w:rsidRPr="00F259FE">
        <w:rPr>
          <w:rFonts w:asciiTheme="minorHAnsi" w:hAnsiTheme="minorHAnsi" w:cstheme="minorHAnsi"/>
          <w:sz w:val="24"/>
          <w:szCs w:val="24"/>
          <w:lang w:val="en-US"/>
        </w:rPr>
        <w:t>i</w:t>
      </w:r>
      <w:proofErr w:type="spellEnd"/>
      <w:r w:rsidRPr="00F259FE">
        <w:rPr>
          <w:rFonts w:asciiTheme="minorHAnsi" w:hAnsiTheme="minorHAnsi" w:cstheme="minorHAnsi"/>
          <w:sz w:val="24"/>
          <w:szCs w:val="24"/>
          <w:lang w:val="en-US"/>
        </w:rPr>
        <w:t xml:space="preserve">) to assess adequacy of policies and procedures relevant to financial transactions, (ii) to assess for adequacy and reliability of internal controls relevant to the financial transactions data, (iii) to assess financial transactions’ compliance with policies and procedures and, </w:t>
      </w:r>
      <w:proofErr w:type="gramStart"/>
      <w:r w:rsidRPr="00F259FE">
        <w:rPr>
          <w:rFonts w:asciiTheme="minorHAnsi" w:hAnsiTheme="minorHAnsi" w:cstheme="minorHAnsi"/>
          <w:sz w:val="24"/>
          <w:szCs w:val="24"/>
          <w:lang w:val="en-US"/>
        </w:rPr>
        <w:t>(iv) to</w:t>
      </w:r>
      <w:proofErr w:type="gramEnd"/>
      <w:r w:rsidRPr="00F259FE">
        <w:rPr>
          <w:rFonts w:asciiTheme="minorHAnsi" w:hAnsiTheme="minorHAnsi" w:cstheme="minorHAnsi"/>
          <w:sz w:val="24"/>
          <w:szCs w:val="24"/>
          <w:lang w:val="en-US"/>
        </w:rPr>
        <w:t xml:space="preserve"> analyze the existing financial transactions data and review any trends and patterns.</w:t>
      </w:r>
    </w:p>
    <w:p w14:paraId="5FB9F997" w14:textId="77777777" w:rsidR="00035B7B" w:rsidRDefault="007678FA" w:rsidP="00035B7B">
      <w:pPr>
        <w:pStyle w:val="ListParagraph"/>
        <w:numPr>
          <w:ilvl w:val="0"/>
          <w:numId w:val="2"/>
        </w:numPr>
        <w:tabs>
          <w:tab w:val="clear" w:pos="794"/>
          <w:tab w:val="clear" w:pos="1191"/>
          <w:tab w:val="clear" w:pos="1588"/>
          <w:tab w:val="clear" w:pos="1985"/>
        </w:tabs>
        <w:adjustRightInd w:val="0"/>
        <w:snapToGrid w:val="0"/>
        <w:spacing w:after="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In its conclusion, IA did not come up with high significance issues. The existing policies relevant to financial transactions data are assessed as largely adequate. The controls are effective as reflected by coherent patterns that imply lack of material misstatement or errors in the financial data recorded. The existing internal controls to safeguard financial data against risks such as material errors are largely adequate, although some level of risk still exists in regards to data involving manual entry processes. It is recommended that consideration is given to the introduction of an automated mechanism for the currently manual processes, such as the processing of the education grant and overtime compensation process. There is a risk of non-compliance with policies such as on limits set for overtime. At this time no recommendation was issued but IA intends to include an audit of overtime in its future audit plan in order to conduct an in-depth review on overtime for permanent and temporary staff</w:t>
      </w:r>
      <w:r w:rsidR="001E68EF">
        <w:rPr>
          <w:rStyle w:val="FootnoteReference"/>
          <w:rFonts w:cstheme="minorHAnsi"/>
          <w:szCs w:val="24"/>
          <w:lang w:val="en-US"/>
        </w:rPr>
        <w:footnoteReference w:id="4"/>
      </w:r>
      <w:r w:rsidR="00286B22" w:rsidRPr="00F259FE">
        <w:rPr>
          <w:rFonts w:asciiTheme="minorHAnsi" w:hAnsiTheme="minorHAnsi" w:cstheme="minorHAnsi"/>
          <w:sz w:val="24"/>
          <w:szCs w:val="24"/>
          <w:lang w:val="en-US"/>
        </w:rPr>
        <w:t>.</w:t>
      </w:r>
      <w:r w:rsidR="00035B7B">
        <w:rPr>
          <w:rFonts w:asciiTheme="minorHAnsi" w:hAnsiTheme="minorHAnsi" w:cstheme="minorHAnsi"/>
          <w:sz w:val="24"/>
          <w:szCs w:val="24"/>
          <w:lang w:val="en-US"/>
        </w:rPr>
        <w:t xml:space="preserve"> </w:t>
      </w:r>
    </w:p>
    <w:p w14:paraId="2A814B60" w14:textId="78482E1A" w:rsidR="00035B7B" w:rsidRPr="00035B7B" w:rsidRDefault="00035B7B" w:rsidP="00035B7B">
      <w:pPr>
        <w:pStyle w:val="ListParagraph"/>
        <w:tabs>
          <w:tab w:val="clear" w:pos="794"/>
          <w:tab w:val="clear" w:pos="1191"/>
          <w:tab w:val="clear" w:pos="1588"/>
          <w:tab w:val="clear" w:pos="1985"/>
        </w:tabs>
        <w:adjustRightInd w:val="0"/>
        <w:snapToGrid w:val="0"/>
        <w:spacing w:after="0" w:line="240" w:lineRule="auto"/>
        <w:ind w:left="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R</w:t>
      </w:r>
      <w:r w:rsidRPr="00035B7B">
        <w:rPr>
          <w:rFonts w:asciiTheme="minorHAnsi" w:hAnsiTheme="minorHAnsi" w:cstheme="minorHAnsi"/>
          <w:lang w:val="en-US"/>
        </w:rPr>
        <w:t>ecommendations were accepted by the respective managers.</w:t>
      </w:r>
    </w:p>
    <w:p w14:paraId="49F72117" w14:textId="6EB1882E" w:rsidR="00286B22" w:rsidRPr="00F259FE" w:rsidRDefault="00286B22"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lang w:val="en-US"/>
        </w:rPr>
      </w:pPr>
      <w:r w:rsidRPr="00F259FE">
        <w:rPr>
          <w:rFonts w:asciiTheme="minorHAnsi" w:hAnsiTheme="minorHAnsi" w:cstheme="minorHAnsi"/>
          <w:bCs/>
          <w:sz w:val="24"/>
          <w:szCs w:val="24"/>
          <w:lang w:val="en-US"/>
        </w:rPr>
        <w:t xml:space="preserve">Overall, </w:t>
      </w:r>
      <w:r w:rsidRPr="00F259FE">
        <w:rPr>
          <w:rFonts w:asciiTheme="minorHAnsi" w:hAnsiTheme="minorHAnsi" w:cstheme="minorHAnsi"/>
          <w:sz w:val="24"/>
          <w:szCs w:val="24"/>
          <w:lang w:val="en-GB"/>
        </w:rPr>
        <w:t xml:space="preserve">IA </w:t>
      </w:r>
      <w:r w:rsidRPr="00F259FE">
        <w:rPr>
          <w:rFonts w:asciiTheme="minorHAnsi" w:hAnsiTheme="minorHAnsi" w:cstheme="minorHAnsi"/>
          <w:sz w:val="24"/>
          <w:szCs w:val="24"/>
          <w:lang w:val="en-US"/>
        </w:rPr>
        <w:t xml:space="preserve">provided reasonable assurance to the Secretary-General that internal controls, governance, and risk management processes </w:t>
      </w:r>
      <w:r w:rsidR="00813B78" w:rsidRPr="00F259FE">
        <w:rPr>
          <w:rFonts w:asciiTheme="minorHAnsi" w:hAnsiTheme="minorHAnsi" w:cstheme="minorHAnsi"/>
          <w:sz w:val="24"/>
          <w:szCs w:val="24"/>
          <w:lang w:val="en-US"/>
        </w:rPr>
        <w:t>are adequate and overall reasonably effective. Some improvement could be achieved in the areas of manual entry processes.</w:t>
      </w:r>
      <w:r w:rsidR="00813B78" w:rsidRPr="00F259FE">
        <w:rPr>
          <w:rFonts w:asciiTheme="minorHAnsi" w:hAnsiTheme="minorHAnsi" w:cstheme="minorHAnsi"/>
          <w:lang w:val="en-US"/>
        </w:rPr>
        <w:t xml:space="preserve">  </w:t>
      </w:r>
    </w:p>
    <w:p w14:paraId="28BD4620" w14:textId="12308939" w:rsidR="00286B22" w:rsidRPr="00F259FE" w:rsidRDefault="004A6F25" w:rsidP="00706AAD">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jc w:val="both"/>
        <w:textAlignment w:val="auto"/>
        <w:rPr>
          <w:rFonts w:asciiTheme="minorHAnsi" w:hAnsiTheme="minorHAnsi" w:cstheme="minorHAnsi"/>
          <w:b/>
          <w:bCs/>
          <w:i/>
          <w:iCs/>
          <w:szCs w:val="24"/>
        </w:rPr>
      </w:pPr>
      <w:r w:rsidRPr="00F259FE">
        <w:rPr>
          <w:rFonts w:asciiTheme="minorHAnsi" w:hAnsiTheme="minorHAnsi" w:cstheme="minorHAnsi"/>
          <w:b/>
          <w:bCs/>
          <w:i/>
          <w:iCs/>
          <w:szCs w:val="24"/>
        </w:rPr>
        <w:t>Audit</w:t>
      </w:r>
      <w:r w:rsidR="00286B22" w:rsidRPr="00F259FE">
        <w:rPr>
          <w:rFonts w:asciiTheme="minorHAnsi" w:hAnsiTheme="minorHAnsi" w:cstheme="minorHAnsi"/>
          <w:b/>
          <w:bCs/>
          <w:i/>
          <w:iCs/>
          <w:szCs w:val="24"/>
        </w:rPr>
        <w:t xml:space="preserve"> of </w:t>
      </w:r>
      <w:r w:rsidRPr="00F259FE">
        <w:rPr>
          <w:rFonts w:asciiTheme="minorHAnsi" w:hAnsiTheme="minorHAnsi" w:cstheme="minorHAnsi"/>
          <w:b/>
          <w:bCs/>
          <w:i/>
          <w:iCs/>
          <w:szCs w:val="24"/>
        </w:rPr>
        <w:t>sponsorship arrangements</w:t>
      </w:r>
    </w:p>
    <w:p w14:paraId="0037FA24" w14:textId="30E75736" w:rsidR="00286B22" w:rsidRPr="00F259FE" w:rsidRDefault="004A6F25"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IA conducted an audit of Sponsorship Arrangements for the period from January 2015 to September 2017. The main purposes of the audit were (</w:t>
      </w:r>
      <w:proofErr w:type="spellStart"/>
      <w:r w:rsidRPr="00F259FE">
        <w:rPr>
          <w:rFonts w:asciiTheme="minorHAnsi" w:hAnsiTheme="minorHAnsi" w:cstheme="minorHAnsi"/>
          <w:sz w:val="24"/>
          <w:szCs w:val="24"/>
          <w:lang w:val="en-US"/>
        </w:rPr>
        <w:t>i</w:t>
      </w:r>
      <w:proofErr w:type="spellEnd"/>
      <w:r w:rsidRPr="00F259FE">
        <w:rPr>
          <w:rFonts w:asciiTheme="minorHAnsi" w:hAnsiTheme="minorHAnsi" w:cstheme="minorHAnsi"/>
          <w:sz w:val="24"/>
          <w:szCs w:val="24"/>
          <w:lang w:val="en-US"/>
        </w:rPr>
        <w:t xml:space="preserve">) to assess adequacy of policies guiding the sponsorship arrangement in ITU, (ii) to assess the internal coordination of the sponsorship process, (iii) to assess amounts generated from various sponsorship forms vis a vis the benefits given to the sponsors, (iv) to assess the existing sources of sponsorship, (v) to assess the adequacy of controls and compliance with existing policies and procedures, and (vi) to assess gender equality and mainstreaming considerations in ITU sponsorship. </w:t>
      </w:r>
    </w:p>
    <w:p w14:paraId="3B5B9FD7" w14:textId="0BEE943F" w:rsidR="002072BE" w:rsidRPr="00F259FE" w:rsidRDefault="002072BE" w:rsidP="00AA1B1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The audit established p</w:t>
      </w:r>
      <w:r w:rsidR="00616196" w:rsidRPr="00F259FE">
        <w:rPr>
          <w:rFonts w:asciiTheme="minorHAnsi" w:hAnsiTheme="minorHAnsi" w:cstheme="minorHAnsi"/>
          <w:sz w:val="24"/>
          <w:szCs w:val="24"/>
          <w:lang w:val="en-US"/>
        </w:rPr>
        <w:t xml:space="preserve">ositive findings in the </w:t>
      </w:r>
      <w:r w:rsidRPr="00F259FE">
        <w:rPr>
          <w:rFonts w:asciiTheme="minorHAnsi" w:hAnsiTheme="minorHAnsi" w:cstheme="minorHAnsi"/>
          <w:sz w:val="24"/>
          <w:szCs w:val="24"/>
          <w:lang w:val="en-US"/>
        </w:rPr>
        <w:t>efforts aimed at streamlining sponsorship arrangements. The guidelines for event related sponsorship in ITU, which were issued in April 2017 (S</w:t>
      </w:r>
      <w:r w:rsidR="00616196" w:rsidRPr="00F259FE">
        <w:rPr>
          <w:rFonts w:asciiTheme="minorHAnsi" w:hAnsiTheme="minorHAnsi" w:cstheme="minorHAnsi"/>
          <w:sz w:val="24"/>
          <w:szCs w:val="24"/>
          <w:lang w:val="en-US"/>
        </w:rPr>
        <w:t xml:space="preserve">ervice </w:t>
      </w:r>
      <w:r w:rsidRPr="00F259FE">
        <w:rPr>
          <w:rFonts w:asciiTheme="minorHAnsi" w:hAnsiTheme="minorHAnsi" w:cstheme="minorHAnsi"/>
          <w:sz w:val="24"/>
          <w:szCs w:val="24"/>
          <w:lang w:val="en-US"/>
        </w:rPr>
        <w:t>O</w:t>
      </w:r>
      <w:r w:rsidR="00616196" w:rsidRPr="00F259FE">
        <w:rPr>
          <w:rFonts w:asciiTheme="minorHAnsi" w:hAnsiTheme="minorHAnsi" w:cstheme="minorHAnsi"/>
          <w:sz w:val="24"/>
          <w:szCs w:val="24"/>
          <w:lang w:val="en-US"/>
        </w:rPr>
        <w:t>rder</w:t>
      </w:r>
      <w:r w:rsidRPr="00F259FE">
        <w:rPr>
          <w:rFonts w:asciiTheme="minorHAnsi" w:hAnsiTheme="minorHAnsi" w:cstheme="minorHAnsi"/>
          <w:sz w:val="24"/>
          <w:szCs w:val="24"/>
          <w:lang w:val="en-US"/>
        </w:rPr>
        <w:t xml:space="preserve"> No. 17/06) </w:t>
      </w:r>
      <w:r w:rsidR="00616196" w:rsidRPr="00F259FE">
        <w:rPr>
          <w:rFonts w:asciiTheme="minorHAnsi" w:hAnsiTheme="minorHAnsi" w:cstheme="minorHAnsi"/>
          <w:sz w:val="24"/>
          <w:szCs w:val="24"/>
          <w:lang w:val="en-US"/>
        </w:rPr>
        <w:t xml:space="preserve">were at that time of the audit </w:t>
      </w:r>
      <w:r w:rsidRPr="00F259FE">
        <w:rPr>
          <w:rFonts w:asciiTheme="minorHAnsi" w:hAnsiTheme="minorHAnsi" w:cstheme="minorHAnsi"/>
          <w:sz w:val="24"/>
          <w:szCs w:val="24"/>
          <w:lang w:val="en-US"/>
        </w:rPr>
        <w:t xml:space="preserve">in the process of being amended so as to strengthen due diligence and agreement requirements, set minimum sponsorship pricing and provide guidance for co-organizing of events. It was also positively noted that within </w:t>
      </w:r>
      <w:proofErr w:type="spellStart"/>
      <w:r w:rsidRPr="00F259FE">
        <w:rPr>
          <w:rFonts w:asciiTheme="minorHAnsi" w:hAnsiTheme="minorHAnsi" w:cstheme="minorHAnsi"/>
          <w:sz w:val="24"/>
          <w:szCs w:val="24"/>
          <w:lang w:val="en-US"/>
        </w:rPr>
        <w:t>Bureaux</w:t>
      </w:r>
      <w:proofErr w:type="spellEnd"/>
      <w:r w:rsidRPr="00F259FE">
        <w:rPr>
          <w:rFonts w:asciiTheme="minorHAnsi" w:hAnsiTheme="minorHAnsi" w:cstheme="minorHAnsi"/>
          <w:sz w:val="24"/>
          <w:szCs w:val="24"/>
          <w:lang w:val="en-US"/>
        </w:rPr>
        <w:t xml:space="preserve"> there are efforts geared towards better coordination of sponsorships. </w:t>
      </w:r>
    </w:p>
    <w:p w14:paraId="6FE05190" w14:textId="5AB9F82C" w:rsidR="002072BE" w:rsidRPr="00F259FE" w:rsidRDefault="002072BE" w:rsidP="00D85482">
      <w:pPr>
        <w:pStyle w:val="ListParagraph"/>
        <w:numPr>
          <w:ilvl w:val="0"/>
          <w:numId w:val="2"/>
        </w:numPr>
        <w:tabs>
          <w:tab w:val="clear" w:pos="794"/>
          <w:tab w:val="clear" w:pos="1191"/>
          <w:tab w:val="clear" w:pos="1588"/>
          <w:tab w:val="clear" w:pos="1985"/>
        </w:tabs>
        <w:adjustRightInd w:val="0"/>
        <w:snapToGrid w:val="0"/>
        <w:spacing w:after="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 IA concluded, as high priority </w:t>
      </w:r>
      <w:r w:rsidR="00B464EC" w:rsidRPr="00F259FE">
        <w:rPr>
          <w:rFonts w:asciiTheme="minorHAnsi" w:hAnsiTheme="minorHAnsi" w:cstheme="minorHAnsi"/>
          <w:sz w:val="24"/>
          <w:szCs w:val="24"/>
          <w:lang w:val="en-US"/>
        </w:rPr>
        <w:t>matters</w:t>
      </w:r>
      <w:r w:rsidRPr="00F259FE">
        <w:rPr>
          <w:rFonts w:asciiTheme="minorHAnsi" w:hAnsiTheme="minorHAnsi" w:cstheme="minorHAnsi"/>
          <w:sz w:val="24"/>
          <w:szCs w:val="24"/>
          <w:lang w:val="en-US"/>
        </w:rPr>
        <w:t xml:space="preserve"> </w:t>
      </w:r>
      <w:r w:rsidR="00B464EC" w:rsidRPr="00F259FE">
        <w:rPr>
          <w:rFonts w:asciiTheme="minorHAnsi" w:hAnsiTheme="minorHAnsi" w:cstheme="minorHAnsi"/>
          <w:sz w:val="24"/>
          <w:szCs w:val="24"/>
          <w:lang w:val="en-US"/>
        </w:rPr>
        <w:t xml:space="preserve">on </w:t>
      </w:r>
      <w:r w:rsidRPr="00F259FE">
        <w:rPr>
          <w:rFonts w:asciiTheme="minorHAnsi" w:hAnsiTheme="minorHAnsi" w:cstheme="minorHAnsi"/>
          <w:sz w:val="24"/>
          <w:szCs w:val="24"/>
          <w:lang w:val="en-US"/>
        </w:rPr>
        <w:t xml:space="preserve">a number of </w:t>
      </w:r>
      <w:r w:rsidR="00B464EC" w:rsidRPr="00F259FE">
        <w:rPr>
          <w:rFonts w:asciiTheme="minorHAnsi" w:hAnsiTheme="minorHAnsi" w:cstheme="minorHAnsi"/>
          <w:sz w:val="24"/>
          <w:szCs w:val="24"/>
          <w:lang w:val="en-US"/>
        </w:rPr>
        <w:t xml:space="preserve">issues, </w:t>
      </w:r>
      <w:r w:rsidR="00AA1B18" w:rsidRPr="00F259FE">
        <w:rPr>
          <w:rFonts w:asciiTheme="minorHAnsi" w:hAnsiTheme="minorHAnsi" w:cstheme="minorHAnsi"/>
          <w:sz w:val="24"/>
          <w:szCs w:val="24"/>
          <w:lang w:val="en-US"/>
        </w:rPr>
        <w:t>as follows</w:t>
      </w:r>
      <w:r w:rsidRPr="00F259FE">
        <w:rPr>
          <w:rFonts w:asciiTheme="minorHAnsi" w:hAnsiTheme="minorHAnsi" w:cstheme="minorHAnsi"/>
          <w:sz w:val="24"/>
          <w:szCs w:val="24"/>
          <w:lang w:val="en-US"/>
        </w:rPr>
        <w:t>:</w:t>
      </w:r>
    </w:p>
    <w:p w14:paraId="7081EE63" w14:textId="3B4D821B" w:rsidR="00616196" w:rsidRPr="00F259FE" w:rsidRDefault="00616196" w:rsidP="00D85482">
      <w:pPr>
        <w:pStyle w:val="Default"/>
        <w:numPr>
          <w:ilvl w:val="0"/>
          <w:numId w:val="8"/>
        </w:numPr>
        <w:jc w:val="both"/>
      </w:pPr>
      <w:r w:rsidRPr="00F259FE">
        <w:t xml:space="preserve">The audit found that the existing policies relevant to sponsorships are not adequate as they do not include all forms of sponsorship and the proposed amendments on the SO No. 17/06 are not yet approved. It was recommended that, in coordination with the </w:t>
      </w:r>
      <w:proofErr w:type="spellStart"/>
      <w:r w:rsidRPr="00F259FE">
        <w:t>Bureaux</w:t>
      </w:r>
      <w:proofErr w:type="spellEnd"/>
      <w:r w:rsidRPr="00F259FE">
        <w:t xml:space="preserve">, development takes place of the policies covering all forms of sponsorships to address issues raised by the audit. </w:t>
      </w:r>
    </w:p>
    <w:p w14:paraId="3DDF8625" w14:textId="3625171F" w:rsidR="00616196" w:rsidRPr="00F259FE" w:rsidRDefault="00616196" w:rsidP="00D85482">
      <w:pPr>
        <w:pStyle w:val="Default"/>
        <w:numPr>
          <w:ilvl w:val="0"/>
          <w:numId w:val="8"/>
        </w:numPr>
        <w:jc w:val="both"/>
      </w:pPr>
      <w:r w:rsidRPr="00F259FE">
        <w:t xml:space="preserve">It was also found that the coordination of sponsorship arrangement is not adequate. It was therefore recommended that CRM training for all the focal points is organized in coordination with ISD, FRMD and the </w:t>
      </w:r>
      <w:proofErr w:type="spellStart"/>
      <w:r w:rsidRPr="00F259FE">
        <w:t>Bureaux</w:t>
      </w:r>
      <w:proofErr w:type="spellEnd"/>
      <w:r w:rsidRPr="00F259FE">
        <w:t>, and that measures are introduced to make sure that processing of all sponsorships is done through the CRM. It was also recommended that CRM functional specifications to be incorporated in the system are prepared in an effort to simplify resource mobilization tools and to minimize (</w:t>
      </w:r>
      <w:proofErr w:type="spellStart"/>
      <w:r w:rsidRPr="00F259FE">
        <w:t>i</w:t>
      </w:r>
      <w:proofErr w:type="spellEnd"/>
      <w:r w:rsidRPr="00F259FE">
        <w:t xml:space="preserve">) training requirements and (ii) the time required to enter data and prepare reports. </w:t>
      </w:r>
    </w:p>
    <w:p w14:paraId="75A0D5CE" w14:textId="77777777" w:rsidR="00D85482" w:rsidRDefault="00B64567" w:rsidP="00D85482">
      <w:pPr>
        <w:pStyle w:val="Default"/>
        <w:numPr>
          <w:ilvl w:val="0"/>
          <w:numId w:val="8"/>
        </w:numPr>
        <w:jc w:val="both"/>
      </w:pPr>
      <w:r w:rsidRPr="00F259FE">
        <w:t>A third high priority finding was that ITU is exposed to a big reputation risk for lacking proper mechanisms -other than by the Member States- to conduct due diligence on both Sector Member (as sponsors) and non-Sector Membership. It was recommended that a mechanism is set up, preferably in the Procurement Division, for conducting due diligence on all potential sponsors (ITU members and non-members).</w:t>
      </w:r>
    </w:p>
    <w:p w14:paraId="7D61D6D4" w14:textId="77777777" w:rsidR="00D85482" w:rsidRPr="00F259FE" w:rsidRDefault="00D85482" w:rsidP="00D85482">
      <w:pPr>
        <w:pStyle w:val="Default"/>
        <w:jc w:val="both"/>
        <w:rPr>
          <w:rFonts w:asciiTheme="minorHAnsi" w:hAnsiTheme="minorHAnsi" w:cstheme="minorHAnsi"/>
        </w:rPr>
      </w:pPr>
      <w:r>
        <w:rPr>
          <w:rFonts w:asciiTheme="minorHAnsi" w:hAnsiTheme="minorHAnsi" w:cstheme="minorHAnsi"/>
        </w:rPr>
        <w:t>Recommendations were accepted by the respective managers.</w:t>
      </w:r>
    </w:p>
    <w:p w14:paraId="280BE144" w14:textId="60B290F8" w:rsidR="00286B22" w:rsidRPr="00F259FE" w:rsidRDefault="00286B22" w:rsidP="00D85482">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Overall, IA is of the opinion that the governance, risk management processes and internal controls, related to </w:t>
      </w:r>
      <w:r w:rsidR="0052059C" w:rsidRPr="00F259FE">
        <w:rPr>
          <w:rFonts w:asciiTheme="minorHAnsi" w:hAnsiTheme="minorHAnsi" w:cstheme="minorHAnsi"/>
          <w:sz w:val="24"/>
          <w:szCs w:val="24"/>
          <w:lang w:val="en-US"/>
        </w:rPr>
        <w:t>sponsorship arrangements show deficiencies and need improvement. Internal Audit identified areas for improvement with respect to policies governing the sponsorship arrangements, the sponsorship coordination internally, and due diligence to be exercised for potential sponsors. If these areas were addressed, the Secretary-General could be provided with reasonable assurance that –for the sponsorship arrangements- there is adequate governance and risk management, and that controls are effective.</w:t>
      </w:r>
    </w:p>
    <w:p w14:paraId="6ACDBED9" w14:textId="4126C245" w:rsidR="00286B22" w:rsidRPr="00F259FE" w:rsidRDefault="00286B22" w:rsidP="00706AAD">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jc w:val="both"/>
        <w:textAlignment w:val="auto"/>
        <w:rPr>
          <w:rFonts w:asciiTheme="minorHAnsi" w:hAnsiTheme="minorHAnsi" w:cstheme="minorHAnsi"/>
          <w:b/>
          <w:bCs/>
          <w:i/>
          <w:iCs/>
          <w:szCs w:val="24"/>
        </w:rPr>
      </w:pPr>
      <w:r w:rsidRPr="00F259FE">
        <w:rPr>
          <w:rFonts w:asciiTheme="minorHAnsi" w:hAnsiTheme="minorHAnsi" w:cstheme="minorHAnsi"/>
          <w:b/>
          <w:bCs/>
          <w:i/>
          <w:iCs/>
          <w:szCs w:val="24"/>
        </w:rPr>
        <w:t xml:space="preserve">Audit of </w:t>
      </w:r>
      <w:r w:rsidR="00BC04B9" w:rsidRPr="00F259FE">
        <w:rPr>
          <w:rFonts w:asciiTheme="minorHAnsi" w:hAnsiTheme="minorHAnsi" w:cstheme="minorHAnsi"/>
          <w:b/>
          <w:bCs/>
          <w:i/>
          <w:iCs/>
          <w:szCs w:val="24"/>
        </w:rPr>
        <w:t>access security of the ERP system</w:t>
      </w:r>
    </w:p>
    <w:p w14:paraId="721F802B" w14:textId="2BF7BF97" w:rsidR="00286B22" w:rsidRPr="00F259FE" w:rsidRDefault="00BC04B9"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IA conducted the audit on Access Security of SAP Enterprise Resource Planning Central Component (ECC) and the Customer Relationship Management (CRM) module, and more specifically for the period from January 2015 to October 2017. The objectives of the audit were to assess (</w:t>
      </w:r>
      <w:proofErr w:type="spellStart"/>
      <w:r w:rsidRPr="00F259FE">
        <w:rPr>
          <w:rFonts w:asciiTheme="minorHAnsi" w:hAnsiTheme="minorHAnsi" w:cstheme="minorHAnsi"/>
          <w:sz w:val="24"/>
          <w:szCs w:val="24"/>
          <w:lang w:val="en-US"/>
        </w:rPr>
        <w:t>i</w:t>
      </w:r>
      <w:proofErr w:type="spellEnd"/>
      <w:r w:rsidRPr="00F259FE">
        <w:rPr>
          <w:rFonts w:asciiTheme="minorHAnsi" w:hAnsiTheme="minorHAnsi" w:cstheme="minorHAnsi"/>
          <w:sz w:val="24"/>
          <w:szCs w:val="24"/>
          <w:lang w:val="en-US"/>
        </w:rPr>
        <w:t xml:space="preserve">) principles, policies and frameworks for securing access to SAP ECC and the CRM Module, (ii) user account management, data and transactions security in SAP ECC and CRM Module, (iii) roles, authorizations and responsibilities in line with expected segregations of duties, and (iv) log management &amp; monitoring and utilization of relevant reports by the users. </w:t>
      </w:r>
    </w:p>
    <w:p w14:paraId="7E30EA5B" w14:textId="2B728E2C" w:rsidR="00B464EC" w:rsidRPr="00F259FE" w:rsidRDefault="00B464EC" w:rsidP="00D85482">
      <w:pPr>
        <w:pStyle w:val="ListParagraph"/>
        <w:numPr>
          <w:ilvl w:val="0"/>
          <w:numId w:val="2"/>
        </w:numPr>
        <w:tabs>
          <w:tab w:val="clear" w:pos="794"/>
          <w:tab w:val="clear" w:pos="1191"/>
          <w:tab w:val="clear" w:pos="1588"/>
          <w:tab w:val="clear" w:pos="1985"/>
        </w:tabs>
        <w:adjustRightInd w:val="0"/>
        <w:snapToGrid w:val="0"/>
        <w:spacing w:after="0" w:line="240" w:lineRule="auto"/>
        <w:ind w:left="0" w:firstLine="0"/>
        <w:contextualSpacing w:val="0"/>
        <w:jc w:val="both"/>
        <w:rPr>
          <w:lang w:val="en-US"/>
        </w:rPr>
      </w:pPr>
      <w:r w:rsidRPr="00F259FE">
        <w:rPr>
          <w:rFonts w:asciiTheme="minorHAnsi" w:hAnsiTheme="minorHAnsi" w:cstheme="minorHAnsi"/>
          <w:sz w:val="24"/>
          <w:szCs w:val="24"/>
          <w:lang w:val="en-US"/>
        </w:rPr>
        <w:t xml:space="preserve">IA concluded, as high priority matters on a number of issues, </w:t>
      </w:r>
      <w:r w:rsidR="007B55C8" w:rsidRPr="00F259FE">
        <w:rPr>
          <w:rFonts w:asciiTheme="minorHAnsi" w:hAnsiTheme="minorHAnsi" w:cstheme="minorHAnsi"/>
          <w:sz w:val="24"/>
          <w:szCs w:val="24"/>
          <w:lang w:val="en-US"/>
        </w:rPr>
        <w:t>as follows</w:t>
      </w:r>
      <w:r w:rsidRPr="00F259FE">
        <w:rPr>
          <w:rFonts w:asciiTheme="minorHAnsi" w:hAnsiTheme="minorHAnsi" w:cstheme="minorHAnsi"/>
          <w:sz w:val="24"/>
          <w:szCs w:val="24"/>
          <w:lang w:val="en-US"/>
        </w:rPr>
        <w:t>:</w:t>
      </w:r>
      <w:r w:rsidR="00286B22" w:rsidRPr="00F259FE">
        <w:rPr>
          <w:rFonts w:asciiTheme="minorHAnsi" w:hAnsiTheme="minorHAnsi" w:cstheme="minorHAnsi"/>
          <w:sz w:val="24"/>
          <w:szCs w:val="24"/>
          <w:lang w:val="en-US"/>
        </w:rPr>
        <w:t xml:space="preserve"> </w:t>
      </w:r>
    </w:p>
    <w:p w14:paraId="32F2F63B" w14:textId="6C52FBF0" w:rsidR="00B464EC" w:rsidRPr="00F259FE" w:rsidRDefault="00B464EC" w:rsidP="00D85482">
      <w:pPr>
        <w:pStyle w:val="Default"/>
        <w:numPr>
          <w:ilvl w:val="0"/>
          <w:numId w:val="9"/>
        </w:numPr>
        <w:jc w:val="both"/>
      </w:pPr>
      <w:r w:rsidRPr="00F259FE">
        <w:t xml:space="preserve">The existing policies relevant to access security of SAP ECC and CRM module are assessed as not adequate. It was recommended that policies relevant to access security of SAP ECC and CRM are reviewed with an aim of aligning them to each other and reflect the current reality. </w:t>
      </w:r>
    </w:p>
    <w:p w14:paraId="34C16053" w14:textId="469822F1" w:rsidR="00B464EC" w:rsidRPr="00F259FE" w:rsidRDefault="00B464EC" w:rsidP="00D85482">
      <w:pPr>
        <w:pStyle w:val="Default"/>
        <w:numPr>
          <w:ilvl w:val="0"/>
          <w:numId w:val="9"/>
        </w:numPr>
        <w:jc w:val="both"/>
      </w:pPr>
      <w:r w:rsidRPr="00F259FE">
        <w:t xml:space="preserve">The user account management and security in SAP ECC and CRM module are assessed as not adequate. It was recommended that validity period in all user accounts in SAP are implemented, in order to restrict user accounts to the employment contract dates. </w:t>
      </w:r>
    </w:p>
    <w:p w14:paraId="00CA9AD2" w14:textId="55816206" w:rsidR="00B464EC" w:rsidRDefault="00B464EC" w:rsidP="00D85482">
      <w:pPr>
        <w:pStyle w:val="Default"/>
        <w:numPr>
          <w:ilvl w:val="0"/>
          <w:numId w:val="9"/>
        </w:numPr>
        <w:ind w:left="714" w:hanging="357"/>
        <w:jc w:val="both"/>
      </w:pPr>
      <w:r w:rsidRPr="00F259FE">
        <w:t>In the area of role granting and access authorization, the segregation of duties (</w:t>
      </w:r>
      <w:proofErr w:type="spellStart"/>
      <w:r w:rsidRPr="00F259FE">
        <w:t>SoD</w:t>
      </w:r>
      <w:proofErr w:type="spellEnd"/>
      <w:r w:rsidRPr="00F259FE">
        <w:t xml:space="preserve">) in SAP ECC and CRM module is not adequate. It was recommended that for all critical SAP transactions (especially those used in development and system administration), authorization from users in production and those not expected to have them is reviewed and deactivated. It is also recommended that all SAP roles and authorizations in production currently allocated to staff who are not expected to have them are reviewed and deactivated, in coordination with HRMD and FRMD. </w:t>
      </w:r>
    </w:p>
    <w:p w14:paraId="40201C1E" w14:textId="77777777" w:rsidR="00D85482" w:rsidRPr="00F259FE" w:rsidRDefault="00D85482" w:rsidP="00D85482">
      <w:pPr>
        <w:pStyle w:val="Default"/>
        <w:jc w:val="both"/>
        <w:rPr>
          <w:rFonts w:asciiTheme="minorHAnsi" w:hAnsiTheme="minorHAnsi" w:cstheme="minorHAnsi"/>
        </w:rPr>
      </w:pPr>
      <w:r>
        <w:rPr>
          <w:rFonts w:asciiTheme="minorHAnsi" w:hAnsiTheme="minorHAnsi" w:cstheme="minorHAnsi"/>
        </w:rPr>
        <w:t>Recommendations were accepted by the respective managers.</w:t>
      </w:r>
    </w:p>
    <w:p w14:paraId="1D9C1EC4" w14:textId="1FE06CEC" w:rsidR="00034626" w:rsidRPr="00F259FE" w:rsidRDefault="00286B22" w:rsidP="00706AAD">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lang w:val="en-US"/>
        </w:rPr>
      </w:pPr>
      <w:r w:rsidRPr="00F259FE">
        <w:rPr>
          <w:rFonts w:asciiTheme="minorHAnsi" w:hAnsiTheme="minorHAnsi" w:cstheme="minorHAnsi"/>
          <w:sz w:val="24"/>
          <w:szCs w:val="24"/>
          <w:lang w:val="en-US"/>
        </w:rPr>
        <w:t xml:space="preserve">Overall, IA is of the opinion that the governance, risk management processes, and internal controls </w:t>
      </w:r>
      <w:r w:rsidR="00034626" w:rsidRPr="00F259FE">
        <w:rPr>
          <w:rFonts w:asciiTheme="minorHAnsi" w:hAnsiTheme="minorHAnsi" w:cstheme="minorHAnsi"/>
          <w:sz w:val="24"/>
          <w:szCs w:val="24"/>
          <w:lang w:val="en-US"/>
        </w:rPr>
        <w:t xml:space="preserve">related to access security of SAP ECC and CRM </w:t>
      </w:r>
      <w:r w:rsidR="00161296" w:rsidRPr="00F259FE">
        <w:rPr>
          <w:rFonts w:asciiTheme="minorHAnsi" w:hAnsiTheme="minorHAnsi" w:cstheme="minorHAnsi"/>
          <w:sz w:val="24"/>
          <w:szCs w:val="24"/>
          <w:lang w:val="en-US"/>
        </w:rPr>
        <w:t xml:space="preserve">are not adequate and </w:t>
      </w:r>
      <w:r w:rsidR="00034626" w:rsidRPr="00F259FE">
        <w:rPr>
          <w:rFonts w:asciiTheme="minorHAnsi" w:hAnsiTheme="minorHAnsi" w:cstheme="minorHAnsi"/>
          <w:sz w:val="24"/>
          <w:szCs w:val="24"/>
          <w:lang w:val="en-US"/>
        </w:rPr>
        <w:t>some aspects</w:t>
      </w:r>
      <w:r w:rsidR="00161296" w:rsidRPr="00F259FE">
        <w:rPr>
          <w:rFonts w:asciiTheme="minorHAnsi" w:hAnsiTheme="minorHAnsi" w:cstheme="minorHAnsi"/>
          <w:sz w:val="24"/>
          <w:szCs w:val="24"/>
          <w:lang w:val="en-US"/>
        </w:rPr>
        <w:t xml:space="preserve"> </w:t>
      </w:r>
      <w:r w:rsidR="00034626" w:rsidRPr="00F259FE">
        <w:rPr>
          <w:rFonts w:asciiTheme="minorHAnsi" w:hAnsiTheme="minorHAnsi" w:cstheme="minorHAnsi"/>
          <w:sz w:val="24"/>
          <w:szCs w:val="24"/>
          <w:lang w:val="en-US"/>
        </w:rPr>
        <w:t xml:space="preserve">need improvement. </w:t>
      </w:r>
      <w:r w:rsidR="00161296" w:rsidRPr="00F259FE">
        <w:rPr>
          <w:rFonts w:asciiTheme="minorHAnsi" w:hAnsiTheme="minorHAnsi" w:cstheme="minorHAnsi"/>
          <w:sz w:val="24"/>
          <w:szCs w:val="24"/>
          <w:lang w:val="en-US"/>
        </w:rPr>
        <w:t>If the identified shortcomings in the areas of policies, SAP ECC and CRM roles and authorizations, and logging of critical transaction tables were addressed, the Secretary-General could be provided with reasonable assurance that there are adequate governance, risk management processes, and internal controls related to access security of SAP ECC and CRM.</w:t>
      </w:r>
      <w:r w:rsidR="00034626" w:rsidRPr="00F259FE">
        <w:rPr>
          <w:rFonts w:asciiTheme="minorHAnsi" w:hAnsiTheme="minorHAnsi" w:cstheme="minorHAnsi"/>
          <w:sz w:val="24"/>
          <w:szCs w:val="24"/>
          <w:lang w:val="en-US"/>
        </w:rPr>
        <w:t xml:space="preserve"> </w:t>
      </w:r>
    </w:p>
    <w:p w14:paraId="5ED761D3" w14:textId="1C84A6F4" w:rsidR="00B763B8" w:rsidRPr="00F259FE" w:rsidRDefault="00B763B8" w:rsidP="00BC04BB">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360" w:after="120"/>
        <w:ind w:left="709" w:firstLine="0"/>
        <w:textAlignment w:val="auto"/>
        <w:rPr>
          <w:rFonts w:asciiTheme="minorHAnsi" w:hAnsiTheme="minorHAnsi" w:cstheme="minorHAnsi"/>
          <w:b/>
          <w:bCs/>
          <w:i/>
          <w:iCs/>
          <w:szCs w:val="24"/>
        </w:rPr>
      </w:pPr>
      <w:r w:rsidRPr="00F259FE">
        <w:rPr>
          <w:rFonts w:asciiTheme="minorHAnsi" w:hAnsiTheme="minorHAnsi" w:cstheme="minorHAnsi"/>
          <w:b/>
          <w:bCs/>
          <w:i/>
          <w:iCs/>
          <w:szCs w:val="24"/>
        </w:rPr>
        <w:t xml:space="preserve">Audit of </w:t>
      </w:r>
      <w:r w:rsidR="00BC04BB" w:rsidRPr="00F259FE">
        <w:rPr>
          <w:rFonts w:asciiTheme="minorHAnsi" w:hAnsiTheme="minorHAnsi" w:cstheme="minorHAnsi"/>
          <w:b/>
          <w:bCs/>
          <w:i/>
          <w:iCs/>
          <w:szCs w:val="24"/>
        </w:rPr>
        <w:t>facilities management</w:t>
      </w:r>
      <w:r w:rsidR="00286B22" w:rsidRPr="00F259FE">
        <w:rPr>
          <w:rFonts w:asciiTheme="minorHAnsi" w:hAnsiTheme="minorHAnsi" w:cstheme="minorHAnsi"/>
          <w:b/>
          <w:bCs/>
          <w:i/>
          <w:iCs/>
          <w:szCs w:val="24"/>
        </w:rPr>
        <w:t xml:space="preserve"> </w:t>
      </w:r>
    </w:p>
    <w:p w14:paraId="4C5A99BC" w14:textId="228BFC60" w:rsidR="00EA5865" w:rsidRPr="00F259FE" w:rsidRDefault="00EA5865" w:rsidP="003B3BFA">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IA conducted the audit</w:t>
      </w:r>
      <w:r w:rsidRPr="00F259FE">
        <w:rPr>
          <w:lang w:val="en-GB"/>
        </w:rPr>
        <w:t xml:space="preserve"> </w:t>
      </w:r>
      <w:r w:rsidRPr="00F259FE">
        <w:rPr>
          <w:rFonts w:asciiTheme="minorHAnsi" w:hAnsiTheme="minorHAnsi" w:cstheme="minorHAnsi"/>
          <w:sz w:val="24"/>
          <w:szCs w:val="24"/>
          <w:lang w:val="en-GB"/>
        </w:rPr>
        <w:t>of Facilities Management. The time period covered by the audit is from January 2015 to September 2017.</w:t>
      </w:r>
      <w:r w:rsidRPr="00F259FE">
        <w:rPr>
          <w:lang w:val="en-GB"/>
        </w:rPr>
        <w:t xml:space="preserve"> </w:t>
      </w:r>
      <w:r w:rsidRPr="00F259FE">
        <w:rPr>
          <w:rFonts w:asciiTheme="minorHAnsi" w:hAnsiTheme="minorHAnsi" w:cstheme="minorHAnsi"/>
          <w:sz w:val="24"/>
          <w:szCs w:val="24"/>
          <w:lang w:val="en-US"/>
        </w:rPr>
        <w:t>The objectives of the audit were to assess</w:t>
      </w:r>
      <w:r w:rsidR="0024104F" w:rsidRPr="00F259FE">
        <w:rPr>
          <w:rFonts w:asciiTheme="minorHAnsi" w:hAnsiTheme="minorHAnsi" w:cstheme="minorHAnsi"/>
          <w:lang w:val="en-US"/>
        </w:rPr>
        <w:t xml:space="preserve"> </w:t>
      </w:r>
      <w:r w:rsidR="0024104F" w:rsidRPr="00F259FE">
        <w:rPr>
          <w:rFonts w:asciiTheme="minorHAnsi" w:hAnsiTheme="minorHAnsi" w:cstheme="minorHAnsi"/>
          <w:sz w:val="24"/>
          <w:szCs w:val="24"/>
          <w:lang w:val="en-US"/>
        </w:rPr>
        <w:t>(</w:t>
      </w:r>
      <w:proofErr w:type="spellStart"/>
      <w:r w:rsidR="0024104F" w:rsidRPr="00F259FE">
        <w:rPr>
          <w:rFonts w:asciiTheme="minorHAnsi" w:hAnsiTheme="minorHAnsi" w:cstheme="minorHAnsi"/>
          <w:sz w:val="24"/>
          <w:szCs w:val="24"/>
          <w:lang w:val="en-US"/>
        </w:rPr>
        <w:t>i</w:t>
      </w:r>
      <w:proofErr w:type="spellEnd"/>
      <w:r w:rsidR="0024104F" w:rsidRPr="00F259FE">
        <w:rPr>
          <w:rFonts w:asciiTheme="minorHAnsi" w:hAnsiTheme="minorHAnsi" w:cstheme="minorHAnsi"/>
          <w:sz w:val="24"/>
          <w:szCs w:val="24"/>
          <w:lang w:val="en-US"/>
        </w:rPr>
        <w:t>) adequacy of policies guiding the facilities management, (ii) the execution of the maintenance plans and the energy efficiency considerations in ITU buildings, (iii) for outsourced activities, the adequacy of controls and compliance with existing policies related to security, procurement, contract management and vendors’ performance, (iv) adequacy and reliability of internal controls relevant to the financial transactions related to facilities management, and (v) gender equality and mainstreaming considerations in ITU facilities management.</w:t>
      </w:r>
      <w:r w:rsidRPr="00F259FE">
        <w:rPr>
          <w:rFonts w:asciiTheme="minorHAnsi" w:hAnsiTheme="minorHAnsi" w:cstheme="minorHAnsi"/>
          <w:sz w:val="24"/>
          <w:szCs w:val="24"/>
          <w:lang w:val="en-US"/>
        </w:rPr>
        <w:t xml:space="preserve"> </w:t>
      </w:r>
    </w:p>
    <w:p w14:paraId="7FFC6453" w14:textId="3B51250A" w:rsidR="00C8337A" w:rsidRPr="00F259FE" w:rsidRDefault="00C8337A" w:rsidP="003B3BFA">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In order to make a valuable contribution to ITU efforts in identifying opportunities across the full set of the Sustainable Development Goals (SDGs), IA established, through the audit and consistent with its scope and objectives, l</w:t>
      </w:r>
      <w:r w:rsidR="003B3BFA">
        <w:rPr>
          <w:rFonts w:asciiTheme="minorHAnsi" w:hAnsiTheme="minorHAnsi" w:cstheme="minorHAnsi"/>
          <w:sz w:val="24"/>
          <w:szCs w:val="24"/>
          <w:lang w:val="en-US"/>
        </w:rPr>
        <w:t xml:space="preserve">inkage </w:t>
      </w:r>
      <w:r w:rsidR="003B3BFA" w:rsidRPr="003B3BFA">
        <w:rPr>
          <w:rFonts w:asciiTheme="minorHAnsi" w:hAnsiTheme="minorHAnsi" w:cstheme="minorHAnsi"/>
          <w:sz w:val="24"/>
          <w:szCs w:val="24"/>
          <w:lang w:val="en-US"/>
        </w:rPr>
        <w:t>with SDG3, SDG5, SDG7 and SDG13</w:t>
      </w:r>
      <w:r w:rsidR="003B3BFA">
        <w:rPr>
          <w:sz w:val="24"/>
          <w:szCs w:val="24"/>
          <w:lang w:val="en-US"/>
        </w:rPr>
        <w:t>.</w:t>
      </w:r>
    </w:p>
    <w:p w14:paraId="5236E5A8" w14:textId="23E25DD5" w:rsidR="002F46AA" w:rsidRPr="00F259FE" w:rsidRDefault="002F46AA" w:rsidP="002F46AA">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GB"/>
        </w:rPr>
        <w:t xml:space="preserve">The audit established positive findings and practices related to facilities management, such as annual maintenance plan for HVAC and electricity, technical specification documents for HVAC installations, adequate Management of inventories and Storage areas, and certification from the United Nations Climate Secretariat. Also, in the area of procurement of goods, services and works related to facilities, IA noted good practices related to procurement of goods and services with a reduced environmental impact (i.e. </w:t>
      </w:r>
      <w:r w:rsidRPr="00F259FE">
        <w:rPr>
          <w:rFonts w:asciiTheme="minorHAnsi" w:hAnsiTheme="minorHAnsi" w:cstheme="minorHAnsi"/>
          <w:sz w:val="24"/>
          <w:szCs w:val="24"/>
          <w:lang w:val="en-US"/>
        </w:rPr>
        <w:t xml:space="preserve">purchase environmentally friendly cleaning products, </w:t>
      </w:r>
      <w:r w:rsidRPr="00F259FE">
        <w:rPr>
          <w:rFonts w:asciiTheme="minorHAnsi" w:hAnsiTheme="minorHAnsi" w:cstheme="minorHAnsi"/>
          <w:sz w:val="24"/>
          <w:szCs w:val="24"/>
          <w:lang w:val="en-GB"/>
        </w:rPr>
        <w:t xml:space="preserve">and </w:t>
      </w:r>
      <w:r w:rsidRPr="00F259FE">
        <w:rPr>
          <w:rFonts w:asciiTheme="minorHAnsi" w:hAnsiTheme="minorHAnsi" w:cstheme="minorHAnsi"/>
          <w:sz w:val="24"/>
          <w:szCs w:val="24"/>
          <w:lang w:val="en-US"/>
        </w:rPr>
        <w:t>including environmental criteria for contracting gardening services</w:t>
      </w:r>
      <w:r w:rsidRPr="00F259FE">
        <w:rPr>
          <w:rFonts w:asciiTheme="minorHAnsi" w:hAnsiTheme="minorHAnsi" w:cstheme="minorHAnsi"/>
          <w:sz w:val="24"/>
          <w:szCs w:val="24"/>
          <w:lang w:val="en-GB"/>
        </w:rPr>
        <w:t>).</w:t>
      </w:r>
    </w:p>
    <w:p w14:paraId="4AC89A16" w14:textId="623235D3" w:rsidR="00EA5865" w:rsidRPr="00F259FE" w:rsidRDefault="002F46AA" w:rsidP="002F46AA">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lang w:val="en-US"/>
        </w:rPr>
      </w:pPr>
      <w:r w:rsidRPr="00F259FE">
        <w:rPr>
          <w:rFonts w:asciiTheme="minorHAnsi" w:hAnsiTheme="minorHAnsi" w:cstheme="minorHAnsi"/>
          <w:sz w:val="24"/>
          <w:szCs w:val="24"/>
          <w:lang w:val="en-US"/>
        </w:rPr>
        <w:t xml:space="preserve">IA concluded, </w:t>
      </w:r>
      <w:r w:rsidR="00EA5865" w:rsidRPr="00F259FE">
        <w:rPr>
          <w:rFonts w:asciiTheme="minorHAnsi" w:hAnsiTheme="minorHAnsi" w:cstheme="minorHAnsi"/>
          <w:sz w:val="24"/>
          <w:szCs w:val="24"/>
          <w:lang w:val="en-US"/>
        </w:rPr>
        <w:t xml:space="preserve">on a number of issues, the following: </w:t>
      </w:r>
    </w:p>
    <w:p w14:paraId="3D77F1C7" w14:textId="4069F479" w:rsidR="00195B40" w:rsidRPr="00F259FE" w:rsidRDefault="00195B40" w:rsidP="007E4C87">
      <w:pPr>
        <w:pStyle w:val="ListParagraph"/>
        <w:numPr>
          <w:ilvl w:val="0"/>
          <w:numId w:val="16"/>
        </w:numPr>
        <w:tabs>
          <w:tab w:val="clear" w:pos="794"/>
          <w:tab w:val="clear" w:pos="1191"/>
          <w:tab w:val="clear" w:pos="1588"/>
          <w:tab w:val="clear" w:pos="1985"/>
        </w:tabs>
        <w:adjustRightInd w:val="0"/>
        <w:snapToGrid w:val="0"/>
        <w:spacing w:after="0" w:line="240" w:lineRule="auto"/>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GB"/>
        </w:rPr>
        <w:t xml:space="preserve">The existing policies and </w:t>
      </w:r>
      <w:r w:rsidRPr="00F259FE">
        <w:rPr>
          <w:rFonts w:asciiTheme="minorHAnsi" w:hAnsiTheme="minorHAnsi" w:cstheme="minorHAnsi"/>
          <w:sz w:val="24"/>
          <w:szCs w:val="24"/>
          <w:lang w:val="en-US"/>
        </w:rPr>
        <w:t xml:space="preserve">procurement practices related to facilities management are not adequate. This lack of adequacy and clarity does not necessarily lead to issues related directly to ITU’s facilities management, yet it exposes the Union to high risks related to procurement. Whilst it had already been recommended during a previous audit in 2017 to fast track the preparation of an ITU Procurement Manual, the recommendation was reiterated with </w:t>
      </w:r>
      <w:r w:rsidRPr="00F259FE">
        <w:rPr>
          <w:rFonts w:asciiTheme="minorHAnsi" w:hAnsiTheme="minorHAnsi" w:cstheme="minorHAnsi"/>
          <w:sz w:val="24"/>
          <w:szCs w:val="24"/>
          <w:u w:val="single"/>
          <w:lang w:val="en-US"/>
        </w:rPr>
        <w:t>critical</w:t>
      </w:r>
      <w:r w:rsidRPr="00F259FE">
        <w:rPr>
          <w:rFonts w:asciiTheme="minorHAnsi" w:hAnsiTheme="minorHAnsi" w:cstheme="minorHAnsi"/>
          <w:sz w:val="24"/>
          <w:szCs w:val="24"/>
          <w:lang w:val="en-US"/>
        </w:rPr>
        <w:t xml:space="preserve"> priority taking into account the urgent need of suitable procurement procedures and practices in order for the Union to handle adequately the procurement related to the construction of the new HQ Building. </w:t>
      </w:r>
    </w:p>
    <w:p w14:paraId="0FBBF8E9" w14:textId="38FAACD8" w:rsidR="00195B40" w:rsidRPr="00F259FE" w:rsidRDefault="00195B40" w:rsidP="007E4C87">
      <w:pPr>
        <w:pStyle w:val="ListParagraph"/>
        <w:numPr>
          <w:ilvl w:val="0"/>
          <w:numId w:val="16"/>
        </w:numPr>
        <w:tabs>
          <w:tab w:val="clear" w:pos="794"/>
          <w:tab w:val="clear" w:pos="1191"/>
          <w:tab w:val="clear" w:pos="1588"/>
          <w:tab w:val="clear" w:pos="1985"/>
        </w:tabs>
        <w:adjustRightInd w:val="0"/>
        <w:snapToGrid w:val="0"/>
        <w:spacing w:after="0" w:line="240" w:lineRule="auto"/>
        <w:ind w:left="714" w:hanging="357"/>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GB"/>
        </w:rPr>
        <w:t xml:space="preserve">For financial transactions related to facilities management, there are cases of non-compliance with the ITU Financial Regulations and Financial Rules and related IPSAS principles for capitalization. It was recommended that </w:t>
      </w:r>
      <w:r w:rsidRPr="00F259FE">
        <w:rPr>
          <w:rFonts w:asciiTheme="minorHAnsi" w:eastAsia="Times New Roman" w:hAnsiTheme="minorHAnsi" w:cstheme="minorHAnsi"/>
          <w:sz w:val="24"/>
          <w:szCs w:val="24"/>
          <w:lang w:val="en-US"/>
        </w:rPr>
        <w:t>the decision tree for capitalization of betterments for all renovation and maintenance expenses</w:t>
      </w:r>
      <w:r w:rsidRPr="00F259FE">
        <w:rPr>
          <w:rFonts w:asciiTheme="minorHAnsi" w:hAnsiTheme="minorHAnsi" w:cstheme="minorHAnsi"/>
          <w:sz w:val="24"/>
          <w:szCs w:val="24"/>
          <w:lang w:val="en-GB"/>
        </w:rPr>
        <w:t xml:space="preserve"> is adopted and documented. </w:t>
      </w:r>
      <w:r w:rsidRPr="00983FA2">
        <w:rPr>
          <w:rFonts w:asciiTheme="minorHAnsi" w:hAnsiTheme="minorHAnsi" w:cstheme="minorHAnsi"/>
          <w:sz w:val="24"/>
          <w:szCs w:val="24"/>
          <w:lang w:val="en-GB"/>
        </w:rPr>
        <w:t xml:space="preserve">FRMD did not accept the recommendation and commented that </w:t>
      </w:r>
      <w:r w:rsidRPr="00983FA2">
        <w:rPr>
          <w:rFonts w:asciiTheme="minorHAnsi" w:hAnsiTheme="minorHAnsi" w:cstheme="minorHAnsi"/>
          <w:sz w:val="24"/>
          <w:szCs w:val="24"/>
          <w:lang w:val="en-US"/>
        </w:rPr>
        <w:t>the decision tree established by FRMD is being strictly followed and continues to consider that the repairs referred to are part of routine maintenance, thereby specifying that the FRMD Asset Policy and Guidelines itself explains the process of the Decision Tree.</w:t>
      </w:r>
    </w:p>
    <w:p w14:paraId="07D0BA48" w14:textId="47F1D5E9" w:rsidR="00B763B8" w:rsidRPr="000A22CB" w:rsidRDefault="00195B40" w:rsidP="00ED3C78">
      <w:pPr>
        <w:pStyle w:val="ListParagraph"/>
        <w:numPr>
          <w:ilvl w:val="0"/>
          <w:numId w:val="16"/>
        </w:numPr>
        <w:tabs>
          <w:tab w:val="clear" w:pos="794"/>
          <w:tab w:val="clear" w:pos="1191"/>
          <w:tab w:val="clear" w:pos="1588"/>
          <w:tab w:val="clear" w:pos="1985"/>
        </w:tabs>
        <w:adjustRightInd w:val="0"/>
        <w:snapToGrid w:val="0"/>
        <w:spacing w:after="0" w:line="240" w:lineRule="auto"/>
        <w:ind w:left="714" w:hanging="357"/>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The existing policies &amp; procedures relevant to facilities management and the risk management with respect to planning and tracking of maintenance activities are assessed as partially adequate. </w:t>
      </w:r>
      <w:r w:rsidRPr="00F259FE">
        <w:rPr>
          <w:rFonts w:asciiTheme="minorHAnsi" w:eastAsia="Times New Roman" w:hAnsiTheme="minorHAnsi" w:cstheme="minorHAnsi"/>
          <w:sz w:val="24"/>
          <w:szCs w:val="24"/>
          <w:lang w:val="en-US"/>
        </w:rPr>
        <w:t xml:space="preserve">It was recommended that an integrated long-term maintenance plan and formal inspection procedures are established, that an assessment </w:t>
      </w:r>
      <w:r w:rsidRPr="00F259FE">
        <w:rPr>
          <w:rFonts w:asciiTheme="minorHAnsi" w:hAnsiTheme="minorHAnsi" w:cstheme="minorHAnsi"/>
          <w:sz w:val="24"/>
          <w:szCs w:val="24"/>
          <w:lang w:val="en-US"/>
        </w:rPr>
        <w:t xml:space="preserve">of the workload vis-à-vis the staffing resources available is conducted, that </w:t>
      </w:r>
      <w:r w:rsidRPr="00F259FE">
        <w:rPr>
          <w:rFonts w:asciiTheme="minorHAnsi" w:eastAsia="Times New Roman" w:hAnsiTheme="minorHAnsi" w:cstheme="minorHAnsi"/>
          <w:sz w:val="24"/>
          <w:szCs w:val="24"/>
          <w:lang w:val="en-US"/>
        </w:rPr>
        <w:t xml:space="preserve">consultation takes place to incorporate service requests by IS service desk and that service recipient feedback is collected. </w:t>
      </w:r>
      <w:r w:rsidR="00282C76" w:rsidRPr="00F259FE">
        <w:rPr>
          <w:rFonts w:asciiTheme="minorHAnsi" w:hAnsiTheme="minorHAnsi" w:cstheme="minorHAnsi"/>
          <w:sz w:val="24"/>
          <w:szCs w:val="24"/>
          <w:lang w:val="en-US"/>
        </w:rPr>
        <w:t xml:space="preserve">Another issue was that the risk management related to security, safety and energy efficiency is adequate although some level of improvement exists with regard to energy efficiency (SDG7: Affordable and clean energy, and SDG13: Climate action). It was recommended that the </w:t>
      </w:r>
      <w:r w:rsidR="00282C76" w:rsidRPr="00F259FE">
        <w:rPr>
          <w:rFonts w:asciiTheme="minorHAnsi" w:hAnsiTheme="minorHAnsi" w:cstheme="minorHAnsi"/>
          <w:sz w:val="24"/>
          <w:szCs w:val="24"/>
          <w:lang w:val="en-GB"/>
        </w:rPr>
        <w:t xml:space="preserve">energy reference area calculation be verified. FMD commented that it is </w:t>
      </w:r>
      <w:r w:rsidR="00282C76" w:rsidRPr="00F259FE">
        <w:rPr>
          <w:rFonts w:asciiTheme="minorHAnsi" w:hAnsiTheme="minorHAnsi" w:cstheme="minorHAnsi"/>
          <w:sz w:val="24"/>
          <w:szCs w:val="24"/>
          <w:lang w:val="en-US"/>
        </w:rPr>
        <w:t>confident in its previously issued figures and will prepare a simple summary sheet. And finally it was also concluded that g</w:t>
      </w:r>
      <w:r w:rsidR="00282C76" w:rsidRPr="00F259FE">
        <w:rPr>
          <w:rFonts w:asciiTheme="minorHAnsi" w:hAnsiTheme="minorHAnsi" w:cstheme="minorHAnsi"/>
          <w:sz w:val="24"/>
          <w:szCs w:val="24"/>
          <w:lang w:val="en-GB"/>
        </w:rPr>
        <w:t xml:space="preserve">ender equality and mainstreaming is not formally incorporated in facilities management (SDG5: Gender Equality). It was recommended that </w:t>
      </w:r>
      <w:r w:rsidR="00282C76" w:rsidRPr="00F259FE">
        <w:rPr>
          <w:rFonts w:asciiTheme="minorHAnsi" w:eastAsia="Times New Roman" w:hAnsiTheme="minorHAnsi" w:cstheme="minorHAnsi"/>
          <w:sz w:val="24"/>
          <w:szCs w:val="24"/>
          <w:lang w:val="en-US"/>
        </w:rPr>
        <w:t xml:space="preserve">consultation with SPM takes place and consideration is given to (a) including gender specific needs during the planning stage, and (b) raising the gender equality and mainstreaming awareness among all stakeholders associated with facilities management. </w:t>
      </w:r>
    </w:p>
    <w:p w14:paraId="41277F64" w14:textId="21ECC77D" w:rsidR="000A22CB" w:rsidRPr="00F259FE" w:rsidRDefault="000A22CB" w:rsidP="000A22CB">
      <w:pPr>
        <w:pStyle w:val="Default"/>
        <w:jc w:val="both"/>
        <w:rPr>
          <w:rFonts w:asciiTheme="minorHAnsi" w:hAnsiTheme="minorHAnsi" w:cstheme="minorHAnsi"/>
        </w:rPr>
      </w:pPr>
      <w:r>
        <w:rPr>
          <w:rFonts w:asciiTheme="minorHAnsi" w:hAnsiTheme="minorHAnsi" w:cstheme="minorHAnsi"/>
        </w:rPr>
        <w:t xml:space="preserve">Recommendations were accepted by the respective managers except for the on related to the </w:t>
      </w:r>
      <w:r w:rsidRPr="00F259FE">
        <w:rPr>
          <w:rFonts w:asciiTheme="minorHAnsi" w:hAnsiTheme="minorHAnsi" w:cstheme="minorHAnsi"/>
          <w:lang w:val="en-GB"/>
        </w:rPr>
        <w:t>IPSAS principles for capitalization</w:t>
      </w:r>
      <w:r>
        <w:rPr>
          <w:rFonts w:asciiTheme="minorHAnsi" w:hAnsiTheme="minorHAnsi" w:cstheme="minorHAnsi"/>
          <w:lang w:val="en-GB"/>
        </w:rPr>
        <w:t>.</w:t>
      </w:r>
    </w:p>
    <w:p w14:paraId="7183AA9E" w14:textId="29CDDF65" w:rsidR="00B763B8" w:rsidRPr="00F259FE" w:rsidRDefault="002F46AA" w:rsidP="00B763B8">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color w:val="000000"/>
          <w:sz w:val="24"/>
          <w:szCs w:val="24"/>
          <w:lang w:val="en-US"/>
        </w:rPr>
        <w:t xml:space="preserve">Internal Audit is of the opinion that the governance, risk management processes and internal controls </w:t>
      </w:r>
      <w:r w:rsidRPr="00F259FE">
        <w:rPr>
          <w:rFonts w:asciiTheme="minorHAnsi" w:hAnsiTheme="minorHAnsi" w:cstheme="minorHAnsi"/>
          <w:color w:val="000000"/>
          <w:sz w:val="24"/>
          <w:szCs w:val="24"/>
          <w:lang w:val="en-GB"/>
        </w:rPr>
        <w:t xml:space="preserve">are partially adequate. Improvement is needed in the area of policies and procedures as well as the risk management of some aspects of the facilities management, and ITU wide with a particular emphasis on the procurement related policies and procedures. </w:t>
      </w:r>
      <w:r w:rsidRPr="00F259FE">
        <w:rPr>
          <w:rFonts w:asciiTheme="minorHAnsi" w:hAnsiTheme="minorHAnsi" w:cstheme="minorHAnsi"/>
          <w:sz w:val="24"/>
          <w:szCs w:val="24"/>
          <w:lang w:val="en-US"/>
        </w:rPr>
        <w:t>If these areas were addressed, the Secretary-General could be provided with reasonable assurance that –for facilities management- there is adequate governance and risk management, and that controls are effective</w:t>
      </w:r>
      <w:r w:rsidR="00B763B8" w:rsidRPr="00F259FE">
        <w:rPr>
          <w:rFonts w:asciiTheme="minorHAnsi" w:hAnsiTheme="minorHAnsi" w:cstheme="minorHAnsi"/>
          <w:sz w:val="24"/>
          <w:szCs w:val="24"/>
          <w:lang w:val="en-US"/>
        </w:rPr>
        <w:t>.</w:t>
      </w:r>
    </w:p>
    <w:p w14:paraId="26F68BFF" w14:textId="1EDED573" w:rsidR="00BC04BB" w:rsidRPr="00F259FE" w:rsidRDefault="00BC04BB" w:rsidP="000D5F5E">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cstheme="minorHAnsi"/>
          <w:szCs w:val="28"/>
          <w:lang w:val="en-CA"/>
        </w:rPr>
      </w:pPr>
      <w:r w:rsidRPr="00F259FE">
        <w:rPr>
          <w:rFonts w:asciiTheme="minorHAnsi" w:hAnsiTheme="minorHAnsi" w:cstheme="minorHAnsi"/>
          <w:szCs w:val="28"/>
          <w:lang w:val="en-CA"/>
        </w:rPr>
        <w:t>I</w:t>
      </w:r>
      <w:r w:rsidR="009F3B23" w:rsidRPr="00F259FE">
        <w:rPr>
          <w:rFonts w:asciiTheme="minorHAnsi" w:hAnsiTheme="minorHAnsi" w:cstheme="minorHAnsi"/>
          <w:szCs w:val="28"/>
          <w:lang w:val="en-CA"/>
        </w:rPr>
        <w:t>nvestigations by</w:t>
      </w:r>
      <w:r w:rsidRPr="00F259FE">
        <w:rPr>
          <w:rFonts w:asciiTheme="minorHAnsi" w:hAnsiTheme="minorHAnsi" w:cstheme="minorHAnsi"/>
          <w:szCs w:val="28"/>
          <w:lang w:val="en-CA"/>
        </w:rPr>
        <w:t xml:space="preserve"> Internal Audit</w:t>
      </w:r>
    </w:p>
    <w:p w14:paraId="5B65831D" w14:textId="6F285F86" w:rsidR="00BC04BB" w:rsidRPr="00F259FE" w:rsidRDefault="00BC04BB" w:rsidP="00F259FE">
      <w:pPr>
        <w:pStyle w:val="ListParagraph"/>
        <w:numPr>
          <w:ilvl w:val="0"/>
          <w:numId w:val="2"/>
        </w:numPr>
        <w:tabs>
          <w:tab w:val="clear" w:pos="794"/>
          <w:tab w:val="clear" w:pos="1191"/>
          <w:tab w:val="clear" w:pos="1588"/>
          <w:tab w:val="clear" w:pos="1985"/>
        </w:tabs>
        <w:adjustRightInd w:val="0"/>
        <w:snapToGrid w:val="0"/>
        <w:spacing w:after="0" w:line="240" w:lineRule="auto"/>
        <w:ind w:left="0" w:firstLine="0"/>
        <w:contextualSpacing w:val="0"/>
        <w:jc w:val="both"/>
        <w:rPr>
          <w:lang w:val="en-US"/>
        </w:rPr>
      </w:pPr>
      <w:r w:rsidRPr="00F259FE">
        <w:rPr>
          <w:rFonts w:ascii="Calibri" w:hAnsi="Calibri" w:cs="Calibri"/>
          <w:bCs/>
          <w:iCs/>
          <w:color w:val="000000"/>
          <w:sz w:val="24"/>
          <w:szCs w:val="24"/>
          <w:lang w:val="en-US"/>
        </w:rPr>
        <w:t xml:space="preserve">The Secretary-General requested IA in September 2017 to investigate the possible unauthorized use of the ITU logo a sponsor to </w:t>
      </w:r>
      <w:r w:rsidR="009F3B23" w:rsidRPr="00F259FE">
        <w:rPr>
          <w:rFonts w:ascii="Calibri" w:hAnsi="Calibri" w:cs="Calibri"/>
          <w:bCs/>
          <w:iCs/>
          <w:color w:val="000000"/>
          <w:sz w:val="24"/>
          <w:szCs w:val="24"/>
          <w:lang w:val="en-US"/>
        </w:rPr>
        <w:t xml:space="preserve">an ITU event 2017. </w:t>
      </w:r>
      <w:r w:rsidR="00195B40" w:rsidRPr="00F259FE">
        <w:rPr>
          <w:rFonts w:ascii="Calibri" w:hAnsi="Calibri" w:cs="Calibri"/>
          <w:bCs/>
          <w:iCs/>
          <w:color w:val="000000"/>
          <w:sz w:val="24"/>
          <w:szCs w:val="24"/>
          <w:lang w:val="en-US"/>
        </w:rPr>
        <w:t>T</w:t>
      </w:r>
      <w:r w:rsidRPr="00F259FE">
        <w:rPr>
          <w:rFonts w:ascii="Calibri" w:hAnsi="Calibri" w:cs="Calibri"/>
          <w:bCs/>
          <w:iCs/>
          <w:color w:val="000000"/>
          <w:sz w:val="24"/>
          <w:szCs w:val="24"/>
          <w:lang w:val="en-US"/>
        </w:rPr>
        <w:t>his unauthorized use d</w:t>
      </w:r>
      <w:r w:rsidR="009F3B23" w:rsidRPr="00F259FE">
        <w:rPr>
          <w:rFonts w:ascii="Calibri" w:hAnsi="Calibri" w:cs="Calibri"/>
          <w:bCs/>
          <w:iCs/>
          <w:color w:val="000000"/>
          <w:sz w:val="24"/>
          <w:szCs w:val="24"/>
          <w:lang w:val="en-US"/>
        </w:rPr>
        <w:t>id not lead to any financial loss for</w:t>
      </w:r>
      <w:r w:rsidRPr="00F259FE">
        <w:rPr>
          <w:rFonts w:ascii="Calibri" w:hAnsi="Calibri" w:cs="Calibri"/>
          <w:bCs/>
          <w:iCs/>
          <w:color w:val="000000"/>
          <w:sz w:val="24"/>
          <w:szCs w:val="24"/>
          <w:lang w:val="en-US"/>
        </w:rPr>
        <w:t xml:space="preserve"> ITU.</w:t>
      </w:r>
      <w:r w:rsidR="009F3B23" w:rsidRPr="00F259FE">
        <w:rPr>
          <w:rFonts w:ascii="Calibri" w:hAnsi="Calibri" w:cs="Calibri"/>
          <w:bCs/>
          <w:iCs/>
          <w:color w:val="000000"/>
          <w:sz w:val="24"/>
          <w:szCs w:val="24"/>
          <w:lang w:val="en-US"/>
        </w:rPr>
        <w:t xml:space="preserve"> </w:t>
      </w:r>
      <w:r w:rsidR="00F259FE" w:rsidRPr="00F259FE">
        <w:rPr>
          <w:rFonts w:ascii="Calibri" w:hAnsi="Calibri" w:cs="Calibri"/>
          <w:bCs/>
          <w:iCs/>
          <w:color w:val="000000"/>
          <w:sz w:val="24"/>
          <w:szCs w:val="24"/>
          <w:lang w:val="en-US"/>
        </w:rPr>
        <w:t xml:space="preserve">The Secretary-General received </w:t>
      </w:r>
      <w:r w:rsidR="009F3B23" w:rsidRPr="00F259FE">
        <w:rPr>
          <w:rFonts w:ascii="Calibri" w:hAnsi="Calibri" w:cs="Calibri"/>
          <w:bCs/>
          <w:iCs/>
          <w:color w:val="000000"/>
          <w:sz w:val="24"/>
          <w:szCs w:val="24"/>
          <w:lang w:val="en-US"/>
        </w:rPr>
        <w:t>reports on the progress and the outcome of the investigation</w:t>
      </w:r>
      <w:r w:rsidR="009F3B23" w:rsidRPr="00F259FE">
        <w:rPr>
          <w:rFonts w:ascii="Calibri" w:hAnsi="Calibri" w:cs="Calibri"/>
          <w:bCs/>
          <w:iCs/>
          <w:color w:val="000000"/>
          <w:lang w:val="en-US"/>
        </w:rPr>
        <w:t xml:space="preserve">. </w:t>
      </w:r>
    </w:p>
    <w:p w14:paraId="43AD83C3" w14:textId="22B27B97" w:rsidR="000D5F5E" w:rsidRPr="00F259FE" w:rsidRDefault="000D5F5E" w:rsidP="000D5F5E">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cstheme="minorHAnsi"/>
          <w:szCs w:val="28"/>
          <w:lang w:val="en-CA"/>
        </w:rPr>
      </w:pPr>
      <w:r w:rsidRPr="00F259FE">
        <w:rPr>
          <w:rFonts w:asciiTheme="minorHAnsi" w:hAnsiTheme="minorHAnsi" w:cstheme="minorHAnsi"/>
          <w:szCs w:val="28"/>
          <w:lang w:val="en-CA"/>
        </w:rPr>
        <w:t>Consulting services by Internal Audit</w:t>
      </w:r>
    </w:p>
    <w:p w14:paraId="6063CDD5" w14:textId="1B5DFB3E" w:rsidR="00BC04BB" w:rsidRPr="00F259FE" w:rsidRDefault="00DB6FB8" w:rsidP="00931218">
      <w:pPr>
        <w:pStyle w:val="FootnoteText"/>
        <w:keepLines w:val="0"/>
        <w:numPr>
          <w:ilvl w:val="0"/>
          <w:numId w:val="10"/>
        </w:numPr>
        <w:tabs>
          <w:tab w:val="clear" w:pos="256"/>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b/>
          <w:bCs/>
          <w:i/>
          <w:iCs/>
          <w:szCs w:val="24"/>
        </w:rPr>
      </w:pPr>
      <w:r w:rsidRPr="00F259FE">
        <w:rPr>
          <w:rFonts w:asciiTheme="minorHAnsi" w:hAnsiTheme="minorHAnsi" w:cstheme="minorHAnsi"/>
          <w:b/>
          <w:bCs/>
          <w:i/>
          <w:iCs/>
          <w:szCs w:val="24"/>
        </w:rPr>
        <w:t>Feasibility study of the ITU evaluation function</w:t>
      </w:r>
    </w:p>
    <w:p w14:paraId="47922519" w14:textId="77777777" w:rsidR="00E439A2" w:rsidRPr="00F259FE" w:rsidRDefault="00E439A2" w:rsidP="00227B50">
      <w:pPr>
        <w:pStyle w:val="ListParagraph"/>
        <w:numPr>
          <w:ilvl w:val="0"/>
          <w:numId w:val="2"/>
        </w:numPr>
        <w:tabs>
          <w:tab w:val="clear" w:pos="794"/>
          <w:tab w:val="clear" w:pos="1191"/>
          <w:tab w:val="clear" w:pos="1588"/>
          <w:tab w:val="clear" w:pos="1985"/>
        </w:tabs>
        <w:adjustRightInd w:val="0"/>
        <w:snapToGrid w:val="0"/>
        <w:spacing w:after="0" w:line="240" w:lineRule="auto"/>
        <w:ind w:left="0" w:firstLine="0"/>
        <w:contextualSpacing w:val="0"/>
        <w:jc w:val="both"/>
        <w:rPr>
          <w:rFonts w:asciiTheme="minorHAnsi" w:hAnsiTheme="minorHAnsi" w:cstheme="minorHAnsi"/>
          <w:color w:val="000000"/>
          <w:sz w:val="24"/>
          <w:szCs w:val="24"/>
          <w:lang w:val="en-US"/>
        </w:rPr>
      </w:pPr>
      <w:r w:rsidRPr="00F259FE">
        <w:rPr>
          <w:rFonts w:asciiTheme="minorHAnsi" w:hAnsiTheme="minorHAnsi" w:cstheme="minorHAnsi"/>
          <w:color w:val="000000"/>
          <w:sz w:val="24"/>
          <w:szCs w:val="24"/>
          <w:lang w:val="en-US"/>
        </w:rPr>
        <w:t xml:space="preserve">The JIU, in its report “Review of management and administration in the International Telecommunication Union (ITU)” made an informal recommendation: </w:t>
      </w:r>
    </w:p>
    <w:p w14:paraId="4CA6154F" w14:textId="46AC630A" w:rsidR="00E439A2" w:rsidRPr="00F259FE" w:rsidRDefault="00E439A2" w:rsidP="00227B50">
      <w:pPr>
        <w:tabs>
          <w:tab w:val="clear" w:pos="567"/>
          <w:tab w:val="clear" w:pos="1134"/>
          <w:tab w:val="clear" w:pos="1701"/>
          <w:tab w:val="clear" w:pos="2268"/>
          <w:tab w:val="clear" w:pos="2835"/>
        </w:tabs>
        <w:overflowPunct/>
        <w:spacing w:before="0"/>
        <w:ind w:left="709"/>
        <w:textAlignment w:val="auto"/>
        <w:rPr>
          <w:rFonts w:asciiTheme="minorHAnsi" w:hAnsiTheme="minorHAnsi" w:cstheme="minorHAnsi"/>
          <w:i/>
          <w:iCs/>
          <w:color w:val="000000"/>
          <w:szCs w:val="24"/>
          <w:lang w:val="en-US" w:eastAsia="zh-CN"/>
        </w:rPr>
      </w:pPr>
      <w:r w:rsidRPr="00F259FE">
        <w:rPr>
          <w:rFonts w:asciiTheme="minorHAnsi" w:hAnsiTheme="minorHAnsi" w:cstheme="minorHAnsi"/>
          <w:i/>
          <w:iCs/>
          <w:color w:val="000000"/>
          <w:szCs w:val="24"/>
          <w:lang w:val="en-US" w:eastAsia="zh-CN"/>
        </w:rPr>
        <w:t>179. The Inspectors are aware of the financial implications, but believe that the institutionalization of an evaluation function is a way to contribute to strategic direction setting, learning and knowledge-sharing within all the components of the Union, provided that it is equipped with professional expertise and sufficient capacity.</w:t>
      </w:r>
    </w:p>
    <w:p w14:paraId="2196F1DF" w14:textId="647C6170" w:rsidR="00F259FE" w:rsidRPr="00F259FE" w:rsidRDefault="00227B50" w:rsidP="00227B50">
      <w:pPr>
        <w:pStyle w:val="ListParagraph"/>
        <w:numPr>
          <w:ilvl w:val="0"/>
          <w:numId w:val="2"/>
        </w:numPr>
        <w:tabs>
          <w:tab w:val="clear" w:pos="794"/>
          <w:tab w:val="clear" w:pos="1191"/>
          <w:tab w:val="clear" w:pos="1588"/>
          <w:tab w:val="clear" w:pos="1985"/>
        </w:tabs>
        <w:adjustRightInd w:val="0"/>
        <w:snapToGrid w:val="0"/>
        <w:spacing w:after="120" w:line="240" w:lineRule="auto"/>
        <w:ind w:left="0" w:firstLine="0"/>
        <w:contextualSpacing w:val="0"/>
        <w:jc w:val="both"/>
        <w:rPr>
          <w:rFonts w:asciiTheme="minorHAnsi" w:hAnsiTheme="minorHAnsi" w:cstheme="minorHAnsi"/>
          <w:bCs/>
          <w:sz w:val="24"/>
          <w:szCs w:val="24"/>
          <w:lang w:val="en-US"/>
        </w:rPr>
      </w:pPr>
      <w:r>
        <w:rPr>
          <w:rFonts w:asciiTheme="minorHAnsi" w:hAnsiTheme="minorHAnsi" w:cstheme="minorHAnsi"/>
          <w:color w:val="000000"/>
          <w:sz w:val="24"/>
          <w:szCs w:val="24"/>
          <w:lang w:val="en-US"/>
        </w:rPr>
        <w:t>The report of</w:t>
      </w:r>
      <w:r w:rsidR="00E439A2" w:rsidRPr="00F259FE">
        <w:rPr>
          <w:rFonts w:asciiTheme="minorHAnsi" w:hAnsiTheme="minorHAnsi" w:cstheme="minorHAnsi"/>
          <w:color w:val="000000"/>
          <w:sz w:val="24"/>
          <w:szCs w:val="24"/>
          <w:lang w:val="en-US"/>
        </w:rPr>
        <w:t xml:space="preserve"> feasibility study </w:t>
      </w:r>
      <w:r>
        <w:rPr>
          <w:rFonts w:asciiTheme="minorHAnsi" w:hAnsiTheme="minorHAnsi" w:cstheme="minorHAnsi"/>
          <w:color w:val="000000"/>
          <w:sz w:val="24"/>
          <w:szCs w:val="24"/>
          <w:lang w:val="en-US"/>
        </w:rPr>
        <w:t xml:space="preserve">-commissioned by IA- </w:t>
      </w:r>
      <w:r w:rsidR="00E439A2" w:rsidRPr="00F259FE">
        <w:rPr>
          <w:rFonts w:asciiTheme="minorHAnsi" w:hAnsiTheme="minorHAnsi" w:cstheme="minorHAnsi"/>
          <w:color w:val="000000"/>
          <w:sz w:val="24"/>
          <w:szCs w:val="24"/>
          <w:lang w:val="en-US"/>
        </w:rPr>
        <w:t xml:space="preserve">was presented to </w:t>
      </w:r>
      <w:r w:rsidR="00E90C06" w:rsidRPr="00F259FE">
        <w:rPr>
          <w:rFonts w:asciiTheme="minorHAnsi" w:hAnsiTheme="minorHAnsi" w:cstheme="minorHAnsi"/>
          <w:color w:val="000000"/>
          <w:sz w:val="24"/>
          <w:szCs w:val="24"/>
          <w:lang w:val="en-US"/>
        </w:rPr>
        <w:t xml:space="preserve">the ITU </w:t>
      </w:r>
      <w:r w:rsidR="00E439A2" w:rsidRPr="00F259FE">
        <w:rPr>
          <w:rFonts w:asciiTheme="minorHAnsi" w:hAnsiTheme="minorHAnsi" w:cstheme="minorHAnsi"/>
          <w:color w:val="000000"/>
          <w:sz w:val="24"/>
          <w:szCs w:val="24"/>
          <w:lang w:val="en-US"/>
        </w:rPr>
        <w:t>M</w:t>
      </w:r>
      <w:r w:rsidR="00E90C06" w:rsidRPr="00F259FE">
        <w:rPr>
          <w:rFonts w:asciiTheme="minorHAnsi" w:hAnsiTheme="minorHAnsi" w:cstheme="minorHAnsi"/>
          <w:color w:val="000000"/>
          <w:sz w:val="24"/>
          <w:szCs w:val="24"/>
          <w:lang w:val="en-US"/>
        </w:rPr>
        <w:t xml:space="preserve">anagement </w:t>
      </w:r>
      <w:r w:rsidR="00E439A2" w:rsidRPr="00F259FE">
        <w:rPr>
          <w:rFonts w:asciiTheme="minorHAnsi" w:hAnsiTheme="minorHAnsi" w:cstheme="minorHAnsi"/>
          <w:color w:val="000000"/>
          <w:sz w:val="24"/>
          <w:szCs w:val="24"/>
          <w:lang w:val="en-US"/>
        </w:rPr>
        <w:t>C</w:t>
      </w:r>
      <w:r w:rsidR="00E90C06" w:rsidRPr="00F259FE">
        <w:rPr>
          <w:rFonts w:asciiTheme="minorHAnsi" w:hAnsiTheme="minorHAnsi" w:cstheme="minorHAnsi"/>
          <w:color w:val="000000"/>
          <w:sz w:val="24"/>
          <w:szCs w:val="24"/>
          <w:lang w:val="en-US"/>
        </w:rPr>
        <w:t xml:space="preserve">oordination </w:t>
      </w:r>
      <w:r w:rsidR="00E439A2" w:rsidRPr="00F259FE">
        <w:rPr>
          <w:rFonts w:asciiTheme="minorHAnsi" w:hAnsiTheme="minorHAnsi" w:cstheme="minorHAnsi"/>
          <w:color w:val="000000"/>
          <w:sz w:val="24"/>
          <w:szCs w:val="24"/>
          <w:lang w:val="en-US"/>
        </w:rPr>
        <w:t>G</w:t>
      </w:r>
      <w:r w:rsidR="00E90C06" w:rsidRPr="00F259FE">
        <w:rPr>
          <w:rFonts w:asciiTheme="minorHAnsi" w:hAnsiTheme="minorHAnsi" w:cstheme="minorHAnsi"/>
          <w:color w:val="000000"/>
          <w:sz w:val="24"/>
          <w:szCs w:val="24"/>
          <w:lang w:val="en-US"/>
        </w:rPr>
        <w:t>roup</w:t>
      </w:r>
      <w:r w:rsidR="00E439A2" w:rsidRPr="00F259FE">
        <w:rPr>
          <w:rFonts w:asciiTheme="minorHAnsi" w:hAnsiTheme="minorHAnsi" w:cstheme="minorHAnsi"/>
          <w:color w:val="000000"/>
          <w:sz w:val="24"/>
          <w:szCs w:val="24"/>
          <w:lang w:val="en-US"/>
        </w:rPr>
        <w:t xml:space="preserve"> </w:t>
      </w:r>
      <w:r w:rsidR="00E90C06" w:rsidRPr="00F259FE">
        <w:rPr>
          <w:rFonts w:asciiTheme="minorHAnsi" w:hAnsiTheme="minorHAnsi" w:cstheme="minorHAnsi"/>
          <w:color w:val="000000"/>
          <w:sz w:val="24"/>
          <w:szCs w:val="24"/>
          <w:lang w:val="en-US"/>
        </w:rPr>
        <w:t xml:space="preserve">(MCG) </w:t>
      </w:r>
      <w:r w:rsidR="00E439A2" w:rsidRPr="00F259FE">
        <w:rPr>
          <w:rFonts w:asciiTheme="minorHAnsi" w:hAnsiTheme="minorHAnsi" w:cstheme="minorHAnsi"/>
          <w:color w:val="000000"/>
          <w:sz w:val="24"/>
          <w:szCs w:val="24"/>
          <w:lang w:val="en-US"/>
        </w:rPr>
        <w:t>in April 2017.</w:t>
      </w:r>
      <w:r w:rsidR="009933DB" w:rsidRPr="00F259FE">
        <w:rPr>
          <w:rFonts w:asciiTheme="minorHAnsi" w:hAnsiTheme="minorHAnsi" w:cstheme="minorHAnsi"/>
          <w:color w:val="000000"/>
          <w:sz w:val="24"/>
          <w:szCs w:val="24"/>
          <w:lang w:val="en-US"/>
        </w:rPr>
        <w:t xml:space="preserve"> At its 18</w:t>
      </w:r>
      <w:r w:rsidR="009933DB" w:rsidRPr="00F259FE">
        <w:rPr>
          <w:rFonts w:asciiTheme="minorHAnsi" w:hAnsiTheme="minorHAnsi" w:cstheme="minorHAnsi"/>
          <w:color w:val="000000"/>
          <w:sz w:val="24"/>
          <w:szCs w:val="24"/>
          <w:vertAlign w:val="superscript"/>
          <w:lang w:val="en-US"/>
        </w:rPr>
        <w:t>th</w:t>
      </w:r>
      <w:r w:rsidR="009933DB" w:rsidRPr="00F259FE">
        <w:rPr>
          <w:rFonts w:asciiTheme="minorHAnsi" w:hAnsiTheme="minorHAnsi" w:cstheme="minorHAnsi"/>
          <w:color w:val="000000"/>
          <w:sz w:val="24"/>
          <w:szCs w:val="24"/>
          <w:lang w:val="en-US"/>
        </w:rPr>
        <w:t xml:space="preserve"> meeting, IMAC also considered the feasibility study, which included proposals on how ITU could best go about establishing an evaluation policy and function</w:t>
      </w:r>
      <w:r>
        <w:rPr>
          <w:rFonts w:asciiTheme="minorHAnsi" w:hAnsiTheme="minorHAnsi" w:cstheme="minorHAnsi"/>
          <w:color w:val="000000"/>
          <w:sz w:val="24"/>
          <w:szCs w:val="24"/>
          <w:lang w:val="en-US"/>
        </w:rPr>
        <w:t>. T</w:t>
      </w:r>
      <w:r w:rsidR="00B10891" w:rsidRPr="00F259FE">
        <w:rPr>
          <w:rFonts w:asciiTheme="minorHAnsi" w:hAnsiTheme="minorHAnsi" w:cstheme="minorHAnsi"/>
          <w:sz w:val="24"/>
          <w:szCs w:val="24"/>
          <w:lang w:val="en-US"/>
        </w:rPr>
        <w:t>he proposed evaluation policy and guidelines have been provisionally adopted by the Secretary-General and will be the framework for an evaluation trial included in the 2018 Internal Audit work plan.</w:t>
      </w:r>
    </w:p>
    <w:p w14:paraId="3CCE7282" w14:textId="6177DF34" w:rsidR="00DB6FB8" w:rsidRPr="00F259FE" w:rsidRDefault="00DB6FB8" w:rsidP="00DB6FB8">
      <w:pPr>
        <w:pStyle w:val="FootnoteText"/>
        <w:keepLines w:val="0"/>
        <w:numPr>
          <w:ilvl w:val="0"/>
          <w:numId w:val="10"/>
        </w:numPr>
        <w:tabs>
          <w:tab w:val="clear" w:pos="256"/>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b/>
          <w:bCs/>
          <w:i/>
          <w:iCs/>
          <w:szCs w:val="24"/>
        </w:rPr>
      </w:pPr>
      <w:r w:rsidRPr="00F259FE">
        <w:rPr>
          <w:rFonts w:asciiTheme="minorHAnsi" w:hAnsiTheme="minorHAnsi" w:cstheme="minorHAnsi"/>
          <w:b/>
          <w:bCs/>
          <w:i/>
          <w:iCs/>
          <w:szCs w:val="24"/>
        </w:rPr>
        <w:t>Service Level Agreements</w:t>
      </w:r>
    </w:p>
    <w:p w14:paraId="019A48C4" w14:textId="58BEADA0" w:rsidR="005F1871" w:rsidRPr="00F259FE" w:rsidRDefault="009E6E40" w:rsidP="009E6E40">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A</w:t>
      </w:r>
      <w:r w:rsidR="005F1871" w:rsidRPr="00F259FE">
        <w:rPr>
          <w:rFonts w:asciiTheme="minorHAnsi" w:hAnsiTheme="minorHAnsi" w:cstheme="minorHAnsi"/>
          <w:sz w:val="24"/>
          <w:szCs w:val="24"/>
          <w:lang w:val="en-US"/>
        </w:rPr>
        <w:t xml:space="preserve"> </w:t>
      </w:r>
      <w:r>
        <w:rPr>
          <w:rFonts w:asciiTheme="minorHAnsi" w:hAnsiTheme="minorHAnsi" w:cstheme="minorHAnsi"/>
          <w:sz w:val="24"/>
          <w:szCs w:val="24"/>
          <w:lang w:val="en-GB"/>
        </w:rPr>
        <w:t>review</w:t>
      </w:r>
      <w:r w:rsidR="005F1871" w:rsidRPr="00F259FE">
        <w:rPr>
          <w:rFonts w:asciiTheme="minorHAnsi" w:hAnsiTheme="minorHAnsi" w:cstheme="minorHAnsi"/>
          <w:sz w:val="24"/>
          <w:szCs w:val="24"/>
          <w:lang w:val="en-GB"/>
        </w:rPr>
        <w:t xml:space="preserve"> of </w:t>
      </w:r>
      <w:r w:rsidR="005F1871" w:rsidRPr="00F259FE">
        <w:rPr>
          <w:rFonts w:asciiTheme="minorHAnsi" w:hAnsiTheme="minorHAnsi" w:cstheme="minorHAnsi"/>
          <w:i/>
          <w:iCs/>
          <w:sz w:val="24"/>
          <w:szCs w:val="24"/>
          <w:lang w:val="en-GB"/>
        </w:rPr>
        <w:t>Service Level Agreements</w:t>
      </w:r>
      <w:r w:rsidR="005F1871" w:rsidRPr="00F259FE">
        <w:rPr>
          <w:rFonts w:asciiTheme="minorHAnsi" w:hAnsiTheme="minorHAnsi" w:cstheme="minorHAnsi"/>
          <w:sz w:val="24"/>
          <w:szCs w:val="24"/>
          <w:lang w:val="en-GB"/>
        </w:rPr>
        <w:t xml:space="preserve"> </w:t>
      </w:r>
      <w:r w:rsidR="005F1871" w:rsidRPr="00F259FE">
        <w:rPr>
          <w:rFonts w:asciiTheme="minorHAnsi" w:hAnsiTheme="minorHAnsi" w:cstheme="minorHAnsi"/>
          <w:sz w:val="24"/>
          <w:szCs w:val="24"/>
          <w:lang w:val="en-US"/>
        </w:rPr>
        <w:t xml:space="preserve">(SLA) </w:t>
      </w:r>
      <w:r w:rsidR="005F1871" w:rsidRPr="00F259FE">
        <w:rPr>
          <w:rFonts w:asciiTheme="minorHAnsi" w:hAnsiTheme="minorHAnsi" w:cstheme="minorHAnsi"/>
          <w:sz w:val="24"/>
          <w:szCs w:val="24"/>
          <w:lang w:val="en-GB"/>
        </w:rPr>
        <w:t xml:space="preserve">was </w:t>
      </w:r>
      <w:r>
        <w:rPr>
          <w:rFonts w:asciiTheme="minorHAnsi" w:hAnsiTheme="minorHAnsi" w:cstheme="minorHAnsi"/>
          <w:sz w:val="24"/>
          <w:szCs w:val="24"/>
          <w:lang w:val="en-GB"/>
        </w:rPr>
        <w:t xml:space="preserve">conducted </w:t>
      </w:r>
      <w:r w:rsidR="005F1871" w:rsidRPr="00F259FE">
        <w:rPr>
          <w:rFonts w:asciiTheme="minorHAnsi" w:hAnsiTheme="minorHAnsi" w:cstheme="minorHAnsi"/>
          <w:sz w:val="24"/>
          <w:szCs w:val="24"/>
          <w:lang w:val="en-US"/>
        </w:rPr>
        <w:t xml:space="preserve">in order to assist Management in making informed decisions. The objective of the engagement was to determine whether the SLA processes function adequately and to what extent the objectives of the SLAs are achieved. The advisory engagement focused on the current practices and procedures. </w:t>
      </w:r>
    </w:p>
    <w:p w14:paraId="567F8D23" w14:textId="6749F07B" w:rsidR="005F1871" w:rsidRPr="00F259FE" w:rsidRDefault="005F1871" w:rsidP="009E6E40">
      <w:pPr>
        <w:pStyle w:val="ListParagraph"/>
        <w:numPr>
          <w:ilvl w:val="0"/>
          <w:numId w:val="2"/>
        </w:numPr>
        <w:tabs>
          <w:tab w:val="clear" w:pos="794"/>
          <w:tab w:val="clear" w:pos="1191"/>
          <w:tab w:val="clear" w:pos="1588"/>
          <w:tab w:val="clear" w:pos="1985"/>
        </w:tabs>
        <w:adjustRightInd w:val="0"/>
        <w:snapToGrid w:val="0"/>
        <w:spacing w:after="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IA concluded, as high priority matters on a number of issues, </w:t>
      </w:r>
      <w:r w:rsidR="00120F23" w:rsidRPr="00F259FE">
        <w:rPr>
          <w:rFonts w:asciiTheme="minorHAnsi" w:hAnsiTheme="minorHAnsi" w:cstheme="minorHAnsi"/>
          <w:sz w:val="24"/>
          <w:szCs w:val="24"/>
          <w:lang w:val="en-US"/>
        </w:rPr>
        <w:t>as follows</w:t>
      </w:r>
      <w:r w:rsidRPr="00F259FE">
        <w:rPr>
          <w:rFonts w:asciiTheme="minorHAnsi" w:hAnsiTheme="minorHAnsi" w:cstheme="minorHAnsi"/>
          <w:sz w:val="24"/>
          <w:szCs w:val="24"/>
          <w:lang w:val="en-US"/>
        </w:rPr>
        <w:t xml:space="preserve">: </w:t>
      </w:r>
    </w:p>
    <w:p w14:paraId="12C2261C" w14:textId="5681A1B0" w:rsidR="005F1871" w:rsidRPr="00F259FE" w:rsidRDefault="005F1871" w:rsidP="00AA6F93">
      <w:pPr>
        <w:pStyle w:val="Default"/>
        <w:numPr>
          <w:ilvl w:val="0"/>
          <w:numId w:val="11"/>
        </w:numPr>
        <w:jc w:val="both"/>
      </w:pPr>
      <w:r w:rsidRPr="00F259FE">
        <w:t xml:space="preserve">There is no adequate institutional framework in place to govern the SLAs. It was recommended that the possibility is explored for reviewing and updating the existent SLA Operational Manual in order to align it to the current organizational need. For difficultly quantifiable services this update could comprise discontinuing signing yearly SLAs and deal with the SLA as an ongoing agreement that will refer to the provider catalogue of services and remain in effect indefinitely unless certain exceptional circumstances arise that validate any change. </w:t>
      </w:r>
    </w:p>
    <w:p w14:paraId="698B9AAA" w14:textId="4624C8FC" w:rsidR="005F1871" w:rsidRPr="00F259FE" w:rsidRDefault="005F1871" w:rsidP="00BF5303">
      <w:pPr>
        <w:pStyle w:val="Default"/>
        <w:numPr>
          <w:ilvl w:val="0"/>
          <w:numId w:val="11"/>
        </w:numPr>
        <w:jc w:val="both"/>
      </w:pPr>
      <w:r w:rsidRPr="00F259FE">
        <w:t xml:space="preserve">The risks associated with past performance assessment are not adequately managed and there is a risk that poor performance and improvement opportunities are not being efficiently and effectively detected. It was recommended that the possibility is explored for implementing a performance assessment mechanism related to past performance using SMART performance indicators. </w:t>
      </w:r>
    </w:p>
    <w:p w14:paraId="7487CB15" w14:textId="6CC8EC85" w:rsidR="00E032A0" w:rsidRPr="00F259FE" w:rsidRDefault="00E032A0" w:rsidP="00E032A0">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Overall, IA is of the opinion that a number of positive aspects in the SLA processes are to be recognized, yet IA is of the opinion that these are only partially functioning and also finds that the objectives of the SLAs are not fully achieved. </w:t>
      </w:r>
    </w:p>
    <w:p w14:paraId="4DBB3387" w14:textId="0D1B63C3" w:rsidR="005F1871" w:rsidRPr="00F259FE" w:rsidRDefault="005F1871" w:rsidP="002458E3">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After the consulting engagement’s final report issuing by IA, </w:t>
      </w:r>
      <w:r w:rsidR="002458E3">
        <w:rPr>
          <w:rFonts w:asciiTheme="minorHAnsi" w:hAnsiTheme="minorHAnsi" w:cstheme="minorHAnsi"/>
          <w:sz w:val="24"/>
          <w:szCs w:val="24"/>
          <w:lang w:val="en-US"/>
        </w:rPr>
        <w:t xml:space="preserve">it was decided </w:t>
      </w:r>
      <w:r w:rsidRPr="00F259FE">
        <w:rPr>
          <w:rFonts w:asciiTheme="minorHAnsi" w:hAnsiTheme="minorHAnsi" w:cstheme="minorHAnsi"/>
          <w:sz w:val="24"/>
          <w:szCs w:val="24"/>
          <w:lang w:val="en-US"/>
        </w:rPr>
        <w:t>not to implement the main recommendations as formulated in the reports but to apply an alternative (until the end of 2019) to address the concerns expressed by IA. Other recommendations formulated were to be considered as of the period 2020-2023.</w:t>
      </w:r>
    </w:p>
    <w:p w14:paraId="63355260" w14:textId="77777777" w:rsidR="00B763B8" w:rsidRPr="00F259FE"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rPr>
          <w:rFonts w:asciiTheme="minorHAnsi" w:hAnsiTheme="minorHAnsi" w:cstheme="minorHAnsi"/>
          <w:szCs w:val="28"/>
          <w:lang w:val="en-CA"/>
        </w:rPr>
      </w:pPr>
      <w:r w:rsidRPr="00F259FE">
        <w:rPr>
          <w:rFonts w:asciiTheme="minorHAnsi" w:hAnsiTheme="minorHAnsi" w:cstheme="minorHAnsi"/>
          <w:szCs w:val="28"/>
          <w:lang w:val="en-CA"/>
        </w:rPr>
        <w:t>Implementation of IMAC recommendations pertaining to Internal Audit</w:t>
      </w:r>
    </w:p>
    <w:p w14:paraId="0FA62B22" w14:textId="3570EA86" w:rsidR="00985B9B" w:rsidRPr="00F259FE" w:rsidRDefault="00B763B8" w:rsidP="009E7447">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US"/>
        </w:rPr>
      </w:pPr>
      <w:r w:rsidRPr="00F259FE">
        <w:rPr>
          <w:rFonts w:asciiTheme="minorHAnsi" w:hAnsiTheme="minorHAnsi" w:cstheme="minorHAnsi"/>
          <w:sz w:val="24"/>
          <w:szCs w:val="24"/>
          <w:lang w:val="en-US"/>
        </w:rPr>
        <w:t xml:space="preserve">IMAC performed regular follow-up of the recommendations with respect to the internal audit function and included progress noted in its report to the Secretary-General and in its annual report to the Council. At this stage, IA has addressed all IMAC recommendations with respect to internal audit. </w:t>
      </w:r>
      <w:r w:rsidR="009E7447" w:rsidRPr="00F259FE">
        <w:rPr>
          <w:rFonts w:asciiTheme="minorHAnsi" w:hAnsiTheme="minorHAnsi" w:cstheme="minorHAnsi"/>
          <w:sz w:val="24"/>
          <w:szCs w:val="24"/>
          <w:lang w:val="en-US"/>
        </w:rPr>
        <w:t>The status was reported to the 8</w:t>
      </w:r>
      <w:r w:rsidR="009E7447" w:rsidRPr="00F259FE">
        <w:rPr>
          <w:rFonts w:asciiTheme="minorHAnsi" w:hAnsiTheme="minorHAnsi" w:cstheme="minorHAnsi"/>
          <w:sz w:val="24"/>
          <w:szCs w:val="24"/>
          <w:vertAlign w:val="superscript"/>
          <w:lang w:val="en-US"/>
        </w:rPr>
        <w:t>th</w:t>
      </w:r>
      <w:r w:rsidR="009E7447" w:rsidRPr="00F259FE">
        <w:rPr>
          <w:rFonts w:asciiTheme="minorHAnsi" w:hAnsiTheme="minorHAnsi" w:cstheme="minorHAnsi"/>
          <w:sz w:val="24"/>
          <w:szCs w:val="24"/>
          <w:lang w:val="en-US"/>
        </w:rPr>
        <w:t xml:space="preserve"> meeting of the Council working group in financial and human resources (CWG-FHR) in document </w:t>
      </w:r>
      <w:r w:rsidR="009E7447" w:rsidRPr="00F259FE">
        <w:rPr>
          <w:rFonts w:asciiTheme="minorHAnsi" w:eastAsia="SimSun" w:hAnsiTheme="minorHAnsi" w:cstheme="minorHAnsi"/>
          <w:bCs/>
          <w:spacing w:val="-4"/>
          <w:sz w:val="24"/>
          <w:szCs w:val="24"/>
          <w:lang w:val="de-CH"/>
        </w:rPr>
        <w:t>CWG-FHR-8/13.</w:t>
      </w:r>
      <w:r w:rsidR="009E7447" w:rsidRPr="00F259FE">
        <w:rPr>
          <w:rFonts w:asciiTheme="minorHAnsi" w:hAnsiTheme="minorHAnsi" w:cstheme="minorHAnsi"/>
          <w:sz w:val="24"/>
          <w:szCs w:val="24"/>
          <w:lang w:val="en-US"/>
        </w:rPr>
        <w:t xml:space="preserve"> </w:t>
      </w:r>
      <w:bookmarkStart w:id="10" w:name="_GoBack"/>
      <w:bookmarkEnd w:id="10"/>
    </w:p>
    <w:p w14:paraId="215AF46C" w14:textId="77777777" w:rsidR="00B763B8" w:rsidRPr="00F259FE" w:rsidRDefault="00B763B8" w:rsidP="00B763B8">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Cs w:val="28"/>
          <w:lang w:val="en-CA"/>
        </w:rPr>
      </w:pPr>
      <w:r w:rsidRPr="00F259FE">
        <w:rPr>
          <w:rFonts w:asciiTheme="minorHAnsi" w:hAnsiTheme="minorHAnsi" w:cstheme="minorHAnsi"/>
          <w:szCs w:val="28"/>
          <w:lang w:val="en-CA"/>
        </w:rPr>
        <w:t>Follow-up of internal audit recommendations</w:t>
      </w:r>
    </w:p>
    <w:p w14:paraId="2C4A5966" w14:textId="77777777" w:rsidR="00985B9B" w:rsidRPr="00F259FE" w:rsidRDefault="00B763B8" w:rsidP="00127FC1">
      <w:pPr>
        <w:pStyle w:val="ListParagraph"/>
        <w:numPr>
          <w:ilvl w:val="0"/>
          <w:numId w:val="2"/>
        </w:numPr>
        <w:tabs>
          <w:tab w:val="clear" w:pos="794"/>
          <w:tab w:val="clear" w:pos="1191"/>
          <w:tab w:val="clear" w:pos="1588"/>
          <w:tab w:val="clear" w:pos="1985"/>
        </w:tabs>
        <w:adjustRightInd w:val="0"/>
        <w:snapToGrid w:val="0"/>
        <w:spacing w:after="0" w:line="240" w:lineRule="auto"/>
        <w:ind w:left="0" w:firstLine="0"/>
        <w:contextualSpacing w:val="0"/>
        <w:jc w:val="both"/>
        <w:rPr>
          <w:rFonts w:asciiTheme="minorHAnsi" w:hAnsiTheme="minorHAnsi" w:cstheme="minorHAnsi"/>
          <w:sz w:val="24"/>
          <w:szCs w:val="24"/>
          <w:lang w:val="en-CA"/>
        </w:rPr>
      </w:pPr>
      <w:r w:rsidRPr="00F259FE">
        <w:rPr>
          <w:rFonts w:asciiTheme="minorHAnsi" w:hAnsiTheme="minorHAnsi" w:cstheme="minorHAnsi"/>
          <w:sz w:val="24"/>
          <w:szCs w:val="24"/>
          <w:lang w:val="en-CA"/>
        </w:rPr>
        <w:t>Throughout the period reported on, and in compliance with IIA</w:t>
      </w:r>
      <w:r w:rsidR="002869AC" w:rsidRPr="00F259FE">
        <w:rPr>
          <w:rStyle w:val="FootnoteReference"/>
          <w:rFonts w:cstheme="minorHAnsi"/>
          <w:sz w:val="18"/>
          <w:szCs w:val="18"/>
          <w:lang w:val="en-CA"/>
        </w:rPr>
        <w:footnoteReference w:id="5"/>
      </w:r>
      <w:r w:rsidRPr="00F259FE">
        <w:rPr>
          <w:rFonts w:asciiTheme="minorHAnsi" w:hAnsiTheme="minorHAnsi" w:cstheme="minorHAnsi"/>
          <w:sz w:val="24"/>
          <w:szCs w:val="24"/>
          <w:lang w:val="en-CA"/>
        </w:rPr>
        <w:t xml:space="preserve"> Standard 2500, Internal Audit continued to follow up on recommendations made in previous audit reports. Further progress was noted over the last 12 months and statistics on the implementation are (at </w:t>
      </w:r>
      <w:r w:rsidR="00985B9B" w:rsidRPr="00F259FE">
        <w:rPr>
          <w:rFonts w:asciiTheme="minorHAnsi" w:hAnsiTheme="minorHAnsi" w:cstheme="minorHAnsi"/>
          <w:sz w:val="24"/>
          <w:szCs w:val="24"/>
          <w:lang w:val="en-CA"/>
        </w:rPr>
        <w:t xml:space="preserve">30 September </w:t>
      </w:r>
      <w:r w:rsidRPr="00F259FE">
        <w:rPr>
          <w:rFonts w:asciiTheme="minorHAnsi" w:hAnsiTheme="minorHAnsi" w:cstheme="minorHAnsi"/>
          <w:sz w:val="24"/>
          <w:szCs w:val="24"/>
          <w:lang w:val="en-CA"/>
        </w:rPr>
        <w:t xml:space="preserve"> 2017):</w:t>
      </w:r>
    </w:p>
    <w:tbl>
      <w:tblPr>
        <w:tblW w:w="9120" w:type="dxa"/>
        <w:tblLook w:val="04A0" w:firstRow="1" w:lastRow="0" w:firstColumn="1" w:lastColumn="0" w:noHBand="0" w:noVBand="1"/>
      </w:tblPr>
      <w:tblGrid>
        <w:gridCol w:w="2880"/>
        <w:gridCol w:w="780"/>
        <w:gridCol w:w="780"/>
        <w:gridCol w:w="780"/>
        <w:gridCol w:w="780"/>
        <w:gridCol w:w="780"/>
        <w:gridCol w:w="780"/>
        <w:gridCol w:w="872"/>
        <w:gridCol w:w="780"/>
      </w:tblGrid>
      <w:tr w:rsidR="00985B9B" w:rsidRPr="00985B9B" w14:paraId="4D8ACDA3" w14:textId="77777777" w:rsidTr="00985B9B">
        <w:trPr>
          <w:trHeight w:val="315"/>
        </w:trPr>
        <w:tc>
          <w:tcPr>
            <w:tcW w:w="2880" w:type="dxa"/>
            <w:tcBorders>
              <w:top w:val="single" w:sz="8" w:space="0" w:color="auto"/>
              <w:left w:val="single" w:sz="8" w:space="0" w:color="auto"/>
              <w:bottom w:val="nil"/>
              <w:right w:val="nil"/>
            </w:tcBorders>
            <w:shd w:val="clear" w:color="000000" w:fill="000000"/>
            <w:noWrap/>
            <w:vAlign w:val="bottom"/>
            <w:hideMark/>
          </w:tcPr>
          <w:p w14:paraId="217810BC"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Year</w:t>
            </w:r>
          </w:p>
        </w:tc>
        <w:tc>
          <w:tcPr>
            <w:tcW w:w="780" w:type="dxa"/>
            <w:tcBorders>
              <w:top w:val="single" w:sz="8" w:space="0" w:color="auto"/>
              <w:left w:val="nil"/>
              <w:bottom w:val="nil"/>
              <w:right w:val="nil"/>
            </w:tcBorders>
            <w:shd w:val="clear" w:color="000000" w:fill="000000"/>
            <w:noWrap/>
            <w:vAlign w:val="bottom"/>
            <w:hideMark/>
          </w:tcPr>
          <w:p w14:paraId="1626C85A"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2011</w:t>
            </w:r>
          </w:p>
        </w:tc>
        <w:tc>
          <w:tcPr>
            <w:tcW w:w="780" w:type="dxa"/>
            <w:tcBorders>
              <w:top w:val="single" w:sz="8" w:space="0" w:color="auto"/>
              <w:left w:val="nil"/>
              <w:bottom w:val="nil"/>
              <w:right w:val="nil"/>
            </w:tcBorders>
            <w:shd w:val="clear" w:color="000000" w:fill="000000"/>
            <w:noWrap/>
            <w:vAlign w:val="bottom"/>
            <w:hideMark/>
          </w:tcPr>
          <w:p w14:paraId="68E0E62E"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2012</w:t>
            </w:r>
          </w:p>
        </w:tc>
        <w:tc>
          <w:tcPr>
            <w:tcW w:w="780" w:type="dxa"/>
            <w:tcBorders>
              <w:top w:val="single" w:sz="8" w:space="0" w:color="auto"/>
              <w:left w:val="nil"/>
              <w:bottom w:val="nil"/>
              <w:right w:val="nil"/>
            </w:tcBorders>
            <w:shd w:val="clear" w:color="000000" w:fill="000000"/>
            <w:noWrap/>
            <w:vAlign w:val="bottom"/>
            <w:hideMark/>
          </w:tcPr>
          <w:p w14:paraId="16EB697A"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2013</w:t>
            </w:r>
          </w:p>
        </w:tc>
        <w:tc>
          <w:tcPr>
            <w:tcW w:w="780" w:type="dxa"/>
            <w:tcBorders>
              <w:top w:val="single" w:sz="8" w:space="0" w:color="auto"/>
              <w:left w:val="nil"/>
              <w:bottom w:val="nil"/>
              <w:right w:val="nil"/>
            </w:tcBorders>
            <w:shd w:val="clear" w:color="000000" w:fill="000000"/>
            <w:noWrap/>
            <w:vAlign w:val="bottom"/>
            <w:hideMark/>
          </w:tcPr>
          <w:p w14:paraId="603A1CF9"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2014</w:t>
            </w:r>
          </w:p>
        </w:tc>
        <w:tc>
          <w:tcPr>
            <w:tcW w:w="780" w:type="dxa"/>
            <w:tcBorders>
              <w:top w:val="single" w:sz="8" w:space="0" w:color="auto"/>
              <w:left w:val="nil"/>
              <w:bottom w:val="nil"/>
              <w:right w:val="nil"/>
            </w:tcBorders>
            <w:shd w:val="clear" w:color="000000" w:fill="000000"/>
            <w:noWrap/>
            <w:vAlign w:val="bottom"/>
            <w:hideMark/>
          </w:tcPr>
          <w:p w14:paraId="30766A61"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2015</w:t>
            </w:r>
          </w:p>
        </w:tc>
        <w:tc>
          <w:tcPr>
            <w:tcW w:w="780" w:type="dxa"/>
            <w:tcBorders>
              <w:top w:val="single" w:sz="8" w:space="0" w:color="auto"/>
              <w:left w:val="nil"/>
              <w:bottom w:val="nil"/>
              <w:right w:val="nil"/>
            </w:tcBorders>
            <w:shd w:val="clear" w:color="000000" w:fill="000000"/>
            <w:noWrap/>
            <w:vAlign w:val="bottom"/>
            <w:hideMark/>
          </w:tcPr>
          <w:p w14:paraId="49DBD09F"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2016</w:t>
            </w:r>
          </w:p>
        </w:tc>
        <w:tc>
          <w:tcPr>
            <w:tcW w:w="780" w:type="dxa"/>
            <w:tcBorders>
              <w:top w:val="single" w:sz="8" w:space="0" w:color="auto"/>
              <w:left w:val="nil"/>
              <w:bottom w:val="nil"/>
              <w:right w:val="nil"/>
            </w:tcBorders>
            <w:shd w:val="clear" w:color="000000" w:fill="000000"/>
            <w:noWrap/>
            <w:vAlign w:val="bottom"/>
            <w:hideMark/>
          </w:tcPr>
          <w:p w14:paraId="10DF453F"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2017(*)</w:t>
            </w:r>
          </w:p>
        </w:tc>
        <w:tc>
          <w:tcPr>
            <w:tcW w:w="780" w:type="dxa"/>
            <w:tcBorders>
              <w:top w:val="single" w:sz="8" w:space="0" w:color="auto"/>
              <w:left w:val="nil"/>
              <w:bottom w:val="nil"/>
              <w:right w:val="single" w:sz="8" w:space="0" w:color="auto"/>
            </w:tcBorders>
            <w:shd w:val="clear" w:color="000000" w:fill="000000"/>
            <w:noWrap/>
            <w:vAlign w:val="bottom"/>
            <w:hideMark/>
          </w:tcPr>
          <w:p w14:paraId="6070416D" w14:textId="77777777" w:rsidR="00985B9B" w:rsidRPr="00985B9B" w:rsidRDefault="00985B9B" w:rsidP="00127F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20"/>
                <w:lang w:val="en-US" w:eastAsia="zh-CN"/>
              </w:rPr>
            </w:pPr>
            <w:r w:rsidRPr="00985B9B">
              <w:rPr>
                <w:rFonts w:ascii="Arial" w:hAnsi="Arial" w:cs="Arial"/>
                <w:b/>
                <w:bCs/>
                <w:color w:val="FFFFFF"/>
                <w:sz w:val="20"/>
                <w:lang w:val="en-US" w:eastAsia="zh-CN"/>
              </w:rPr>
              <w:t xml:space="preserve">Total </w:t>
            </w:r>
          </w:p>
        </w:tc>
      </w:tr>
      <w:tr w:rsidR="00985B9B" w:rsidRPr="00985B9B" w14:paraId="60E303D0" w14:textId="77777777" w:rsidTr="00985B9B">
        <w:trPr>
          <w:trHeight w:val="300"/>
        </w:trPr>
        <w:tc>
          <w:tcPr>
            <w:tcW w:w="2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FFB44A"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985B9B">
              <w:rPr>
                <w:rFonts w:cs="Calibri"/>
                <w:color w:val="000000"/>
                <w:sz w:val="22"/>
                <w:szCs w:val="22"/>
                <w:lang w:val="en-US" w:eastAsia="zh-CN"/>
              </w:rPr>
              <w:t>Number of audit reports</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14:paraId="4CB45F10"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2</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14:paraId="3EAFBD08"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single" w:sz="8" w:space="0" w:color="auto"/>
              <w:left w:val="nil"/>
              <w:bottom w:val="single" w:sz="4" w:space="0" w:color="auto"/>
              <w:right w:val="single" w:sz="4" w:space="0" w:color="auto"/>
            </w:tcBorders>
            <w:shd w:val="clear" w:color="000000" w:fill="FFFFFF"/>
            <w:noWrap/>
            <w:vAlign w:val="bottom"/>
            <w:hideMark/>
          </w:tcPr>
          <w:p w14:paraId="76F3BC0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4</w:t>
            </w:r>
          </w:p>
        </w:tc>
        <w:tc>
          <w:tcPr>
            <w:tcW w:w="780" w:type="dxa"/>
            <w:tcBorders>
              <w:top w:val="single" w:sz="8" w:space="0" w:color="auto"/>
              <w:left w:val="nil"/>
              <w:bottom w:val="single" w:sz="4" w:space="0" w:color="auto"/>
              <w:right w:val="nil"/>
            </w:tcBorders>
            <w:shd w:val="clear" w:color="000000" w:fill="FFFFFF"/>
            <w:noWrap/>
            <w:vAlign w:val="bottom"/>
            <w:hideMark/>
          </w:tcPr>
          <w:p w14:paraId="7F81A731"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4</w:t>
            </w:r>
          </w:p>
        </w:tc>
        <w:tc>
          <w:tcPr>
            <w:tcW w:w="780" w:type="dxa"/>
            <w:tcBorders>
              <w:top w:val="single" w:sz="8" w:space="0" w:color="auto"/>
              <w:left w:val="single" w:sz="4" w:space="0" w:color="auto"/>
              <w:bottom w:val="single" w:sz="4" w:space="0" w:color="auto"/>
              <w:right w:val="nil"/>
            </w:tcBorders>
            <w:shd w:val="clear" w:color="000000" w:fill="FFFFFF"/>
            <w:noWrap/>
            <w:vAlign w:val="bottom"/>
            <w:hideMark/>
          </w:tcPr>
          <w:p w14:paraId="2BF801CE"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7</w:t>
            </w:r>
          </w:p>
        </w:tc>
        <w:tc>
          <w:tcPr>
            <w:tcW w:w="780" w:type="dxa"/>
            <w:tcBorders>
              <w:top w:val="single" w:sz="8" w:space="0" w:color="auto"/>
              <w:left w:val="single" w:sz="4" w:space="0" w:color="auto"/>
              <w:bottom w:val="single" w:sz="4" w:space="0" w:color="auto"/>
              <w:right w:val="nil"/>
            </w:tcBorders>
            <w:shd w:val="clear" w:color="000000" w:fill="FFFFFF"/>
            <w:noWrap/>
            <w:vAlign w:val="bottom"/>
            <w:hideMark/>
          </w:tcPr>
          <w:p w14:paraId="646A112D"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4</w:t>
            </w:r>
          </w:p>
        </w:tc>
        <w:tc>
          <w:tcPr>
            <w:tcW w:w="780" w:type="dxa"/>
            <w:tcBorders>
              <w:top w:val="single" w:sz="8" w:space="0" w:color="auto"/>
              <w:left w:val="single" w:sz="4" w:space="0" w:color="auto"/>
              <w:bottom w:val="single" w:sz="4" w:space="0" w:color="auto"/>
              <w:right w:val="nil"/>
            </w:tcBorders>
            <w:shd w:val="clear" w:color="000000" w:fill="FFFFFF"/>
            <w:noWrap/>
            <w:vAlign w:val="bottom"/>
            <w:hideMark/>
          </w:tcPr>
          <w:p w14:paraId="5421E747" w14:textId="220BF6E5" w:rsidR="00985B9B" w:rsidRPr="00985B9B" w:rsidRDefault="00AB1465"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F259FE">
              <w:rPr>
                <w:rFonts w:cs="Calibri"/>
                <w:color w:val="000000"/>
                <w:sz w:val="22"/>
                <w:szCs w:val="22"/>
                <w:lang w:val="en-US" w:eastAsia="zh-CN"/>
              </w:rPr>
              <w:t>4</w:t>
            </w:r>
          </w:p>
        </w:tc>
        <w:tc>
          <w:tcPr>
            <w:tcW w:w="780" w:type="dxa"/>
            <w:tcBorders>
              <w:top w:val="single" w:sz="8" w:space="0" w:color="auto"/>
              <w:left w:val="single" w:sz="4" w:space="0" w:color="auto"/>
              <w:bottom w:val="single" w:sz="4" w:space="0" w:color="auto"/>
              <w:right w:val="single" w:sz="8" w:space="0" w:color="auto"/>
            </w:tcBorders>
            <w:shd w:val="clear" w:color="000000" w:fill="AEAAAA"/>
            <w:noWrap/>
            <w:vAlign w:val="bottom"/>
            <w:hideMark/>
          </w:tcPr>
          <w:p w14:paraId="33B27944" w14:textId="1F6A5C02"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2"/>
                <w:szCs w:val="22"/>
                <w:lang w:val="en-US" w:eastAsia="zh-CN"/>
              </w:rPr>
            </w:pPr>
            <w:r w:rsidRPr="00985B9B">
              <w:rPr>
                <w:rFonts w:ascii="Arial" w:hAnsi="Arial" w:cs="Arial"/>
                <w:b/>
                <w:bCs/>
                <w:sz w:val="22"/>
                <w:szCs w:val="22"/>
                <w:lang w:val="en-US" w:eastAsia="zh-CN"/>
              </w:rPr>
              <w:t>2</w:t>
            </w:r>
            <w:r w:rsidR="00AB1465" w:rsidRPr="00F259FE">
              <w:rPr>
                <w:rFonts w:ascii="Arial" w:hAnsi="Arial" w:cs="Arial"/>
                <w:b/>
                <w:bCs/>
                <w:sz w:val="22"/>
                <w:szCs w:val="22"/>
                <w:lang w:val="en-US" w:eastAsia="zh-CN"/>
              </w:rPr>
              <w:t>5</w:t>
            </w:r>
          </w:p>
        </w:tc>
      </w:tr>
      <w:tr w:rsidR="00985B9B" w:rsidRPr="00985B9B" w14:paraId="28817C5F" w14:textId="77777777" w:rsidTr="00985B9B">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001621CD"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985B9B">
              <w:rPr>
                <w:rFonts w:cs="Calibri"/>
                <w:color w:val="000000"/>
                <w:sz w:val="22"/>
                <w:szCs w:val="22"/>
                <w:lang w:val="en-US" w:eastAsia="zh-CN"/>
              </w:rPr>
              <w:t>Recommendations - Total</w:t>
            </w:r>
          </w:p>
        </w:tc>
        <w:tc>
          <w:tcPr>
            <w:tcW w:w="780" w:type="dxa"/>
            <w:tcBorders>
              <w:top w:val="nil"/>
              <w:left w:val="nil"/>
              <w:bottom w:val="single" w:sz="4" w:space="0" w:color="auto"/>
              <w:right w:val="single" w:sz="4" w:space="0" w:color="auto"/>
            </w:tcBorders>
            <w:shd w:val="clear" w:color="auto" w:fill="auto"/>
            <w:noWrap/>
            <w:vAlign w:val="bottom"/>
            <w:hideMark/>
          </w:tcPr>
          <w:p w14:paraId="6C1B63C7"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17</w:t>
            </w:r>
          </w:p>
        </w:tc>
        <w:tc>
          <w:tcPr>
            <w:tcW w:w="780" w:type="dxa"/>
            <w:tcBorders>
              <w:top w:val="nil"/>
              <w:left w:val="nil"/>
              <w:bottom w:val="single" w:sz="4" w:space="0" w:color="auto"/>
              <w:right w:val="single" w:sz="4" w:space="0" w:color="auto"/>
            </w:tcBorders>
            <w:shd w:val="clear" w:color="auto" w:fill="auto"/>
            <w:noWrap/>
            <w:vAlign w:val="bottom"/>
            <w:hideMark/>
          </w:tcPr>
          <w:p w14:paraId="71CFACDF"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14:paraId="4727DDEC"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113</w:t>
            </w:r>
          </w:p>
        </w:tc>
        <w:tc>
          <w:tcPr>
            <w:tcW w:w="780" w:type="dxa"/>
            <w:tcBorders>
              <w:top w:val="nil"/>
              <w:left w:val="nil"/>
              <w:bottom w:val="single" w:sz="4" w:space="0" w:color="auto"/>
              <w:right w:val="nil"/>
            </w:tcBorders>
            <w:shd w:val="clear" w:color="000000" w:fill="FFFFFF"/>
            <w:noWrap/>
            <w:vAlign w:val="bottom"/>
            <w:hideMark/>
          </w:tcPr>
          <w:p w14:paraId="5F798AC3"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55</w:t>
            </w:r>
          </w:p>
        </w:tc>
        <w:tc>
          <w:tcPr>
            <w:tcW w:w="780" w:type="dxa"/>
            <w:tcBorders>
              <w:top w:val="nil"/>
              <w:left w:val="single" w:sz="4" w:space="0" w:color="auto"/>
              <w:bottom w:val="single" w:sz="4" w:space="0" w:color="auto"/>
              <w:right w:val="nil"/>
            </w:tcBorders>
            <w:shd w:val="clear" w:color="000000" w:fill="FFFFFF"/>
            <w:noWrap/>
            <w:vAlign w:val="bottom"/>
            <w:hideMark/>
          </w:tcPr>
          <w:p w14:paraId="54CD477C"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34</w:t>
            </w:r>
          </w:p>
        </w:tc>
        <w:tc>
          <w:tcPr>
            <w:tcW w:w="780" w:type="dxa"/>
            <w:tcBorders>
              <w:top w:val="nil"/>
              <w:left w:val="single" w:sz="4" w:space="0" w:color="auto"/>
              <w:bottom w:val="single" w:sz="4" w:space="0" w:color="auto"/>
              <w:right w:val="nil"/>
            </w:tcBorders>
            <w:shd w:val="clear" w:color="000000" w:fill="FFFFFF"/>
            <w:noWrap/>
            <w:vAlign w:val="bottom"/>
            <w:hideMark/>
          </w:tcPr>
          <w:p w14:paraId="623C486C"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22</w:t>
            </w:r>
          </w:p>
        </w:tc>
        <w:tc>
          <w:tcPr>
            <w:tcW w:w="780" w:type="dxa"/>
            <w:tcBorders>
              <w:top w:val="nil"/>
              <w:left w:val="single" w:sz="4" w:space="0" w:color="auto"/>
              <w:bottom w:val="single" w:sz="4" w:space="0" w:color="auto"/>
              <w:right w:val="nil"/>
            </w:tcBorders>
            <w:shd w:val="clear" w:color="000000" w:fill="FFFFFF"/>
            <w:noWrap/>
            <w:vAlign w:val="bottom"/>
            <w:hideMark/>
          </w:tcPr>
          <w:p w14:paraId="3DB3320C" w14:textId="7409A045"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2</w:t>
            </w:r>
            <w:r w:rsidR="00AB1465" w:rsidRPr="00F259FE">
              <w:rPr>
                <w:rFonts w:cs="Calibri"/>
                <w:color w:val="000000"/>
                <w:sz w:val="22"/>
                <w:szCs w:val="22"/>
                <w:lang w:val="en-US" w:eastAsia="zh-CN"/>
              </w:rPr>
              <w:t>7</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14:paraId="1E93D5E5" w14:textId="31BD32BE"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2"/>
                <w:szCs w:val="22"/>
                <w:lang w:val="en-US" w:eastAsia="zh-CN"/>
              </w:rPr>
            </w:pPr>
            <w:r w:rsidRPr="00985B9B">
              <w:rPr>
                <w:rFonts w:ascii="Arial" w:hAnsi="Arial" w:cs="Arial"/>
                <w:b/>
                <w:bCs/>
                <w:sz w:val="22"/>
                <w:szCs w:val="22"/>
                <w:lang w:val="en-US" w:eastAsia="zh-CN"/>
              </w:rPr>
              <w:t>26</w:t>
            </w:r>
            <w:r w:rsidR="00AB1465" w:rsidRPr="00F259FE">
              <w:rPr>
                <w:rFonts w:ascii="Arial" w:hAnsi="Arial" w:cs="Arial"/>
                <w:b/>
                <w:bCs/>
                <w:sz w:val="22"/>
                <w:szCs w:val="22"/>
                <w:lang w:val="en-US" w:eastAsia="zh-CN"/>
              </w:rPr>
              <w:t>8</w:t>
            </w:r>
          </w:p>
        </w:tc>
      </w:tr>
      <w:tr w:rsidR="00985B9B" w:rsidRPr="00985B9B" w14:paraId="5E522DB8" w14:textId="77777777" w:rsidTr="00985B9B">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0A8D1B9C"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985B9B">
              <w:rPr>
                <w:rFonts w:cs="Calibri"/>
                <w:color w:val="000000"/>
                <w:sz w:val="22"/>
                <w:szCs w:val="22"/>
                <w:lang w:val="en-US" w:eastAsia="zh-CN"/>
              </w:rPr>
              <w:t xml:space="preserve">    In Progress</w:t>
            </w:r>
          </w:p>
        </w:tc>
        <w:tc>
          <w:tcPr>
            <w:tcW w:w="780" w:type="dxa"/>
            <w:tcBorders>
              <w:top w:val="nil"/>
              <w:left w:val="nil"/>
              <w:bottom w:val="single" w:sz="4" w:space="0" w:color="auto"/>
              <w:right w:val="single" w:sz="4" w:space="0" w:color="auto"/>
            </w:tcBorders>
            <w:shd w:val="clear" w:color="000000" w:fill="FFFFFF"/>
            <w:noWrap/>
            <w:vAlign w:val="bottom"/>
            <w:hideMark/>
          </w:tcPr>
          <w:p w14:paraId="6268F401"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nil"/>
              <w:bottom w:val="single" w:sz="4" w:space="0" w:color="auto"/>
              <w:right w:val="single" w:sz="4" w:space="0" w:color="auto"/>
            </w:tcBorders>
            <w:shd w:val="clear" w:color="auto" w:fill="auto"/>
            <w:noWrap/>
            <w:vAlign w:val="bottom"/>
            <w:hideMark/>
          </w:tcPr>
          <w:p w14:paraId="6F65BD60"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14:paraId="2D1F051C"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7</w:t>
            </w:r>
          </w:p>
        </w:tc>
        <w:tc>
          <w:tcPr>
            <w:tcW w:w="780" w:type="dxa"/>
            <w:tcBorders>
              <w:top w:val="nil"/>
              <w:left w:val="nil"/>
              <w:bottom w:val="single" w:sz="4" w:space="0" w:color="auto"/>
              <w:right w:val="nil"/>
            </w:tcBorders>
            <w:shd w:val="clear" w:color="000000" w:fill="FFFFFF"/>
            <w:noWrap/>
            <w:vAlign w:val="bottom"/>
            <w:hideMark/>
          </w:tcPr>
          <w:p w14:paraId="1A13D91E"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5</w:t>
            </w:r>
          </w:p>
        </w:tc>
        <w:tc>
          <w:tcPr>
            <w:tcW w:w="780" w:type="dxa"/>
            <w:tcBorders>
              <w:top w:val="nil"/>
              <w:left w:val="single" w:sz="4" w:space="0" w:color="auto"/>
              <w:bottom w:val="single" w:sz="4" w:space="0" w:color="auto"/>
              <w:right w:val="nil"/>
            </w:tcBorders>
            <w:shd w:val="clear" w:color="000000" w:fill="FFFFFF"/>
            <w:noWrap/>
            <w:vAlign w:val="bottom"/>
            <w:hideMark/>
          </w:tcPr>
          <w:p w14:paraId="067D147E"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8</w:t>
            </w:r>
          </w:p>
        </w:tc>
        <w:tc>
          <w:tcPr>
            <w:tcW w:w="780" w:type="dxa"/>
            <w:tcBorders>
              <w:top w:val="nil"/>
              <w:left w:val="single" w:sz="4" w:space="0" w:color="auto"/>
              <w:bottom w:val="single" w:sz="4" w:space="0" w:color="auto"/>
              <w:right w:val="nil"/>
            </w:tcBorders>
            <w:shd w:val="clear" w:color="000000" w:fill="FFFFFF"/>
            <w:noWrap/>
            <w:vAlign w:val="bottom"/>
            <w:hideMark/>
          </w:tcPr>
          <w:p w14:paraId="0787C8EB"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15</w:t>
            </w:r>
          </w:p>
        </w:tc>
        <w:tc>
          <w:tcPr>
            <w:tcW w:w="780" w:type="dxa"/>
            <w:tcBorders>
              <w:top w:val="nil"/>
              <w:left w:val="single" w:sz="4" w:space="0" w:color="auto"/>
              <w:bottom w:val="single" w:sz="4" w:space="0" w:color="auto"/>
              <w:right w:val="nil"/>
            </w:tcBorders>
            <w:shd w:val="clear" w:color="000000" w:fill="FFFFFF"/>
            <w:noWrap/>
            <w:vAlign w:val="bottom"/>
            <w:hideMark/>
          </w:tcPr>
          <w:p w14:paraId="7F339A1D" w14:textId="015B161C"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2</w:t>
            </w:r>
            <w:r w:rsidR="00AB1465" w:rsidRPr="00F259FE">
              <w:rPr>
                <w:rFonts w:cs="Calibri"/>
                <w:color w:val="000000"/>
                <w:sz w:val="22"/>
                <w:szCs w:val="22"/>
                <w:lang w:val="en-US" w:eastAsia="zh-CN"/>
              </w:rPr>
              <w:t>7</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14:paraId="79AC33F5" w14:textId="54D36CC1" w:rsidR="00985B9B" w:rsidRPr="00985B9B" w:rsidRDefault="00AB1465"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2"/>
                <w:szCs w:val="22"/>
                <w:lang w:val="en-US" w:eastAsia="zh-CN"/>
              </w:rPr>
            </w:pPr>
            <w:r w:rsidRPr="00F259FE">
              <w:rPr>
                <w:rFonts w:ascii="Arial" w:hAnsi="Arial" w:cs="Arial"/>
                <w:b/>
                <w:bCs/>
                <w:sz w:val="22"/>
                <w:szCs w:val="22"/>
                <w:lang w:val="en-US" w:eastAsia="zh-CN"/>
              </w:rPr>
              <w:t>62</w:t>
            </w:r>
          </w:p>
        </w:tc>
      </w:tr>
      <w:tr w:rsidR="00985B9B" w:rsidRPr="00985B9B" w14:paraId="639E6CB2" w14:textId="77777777" w:rsidTr="00985B9B">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11B0E575"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985B9B">
              <w:rPr>
                <w:rFonts w:cs="Calibri"/>
                <w:color w:val="000000"/>
                <w:sz w:val="22"/>
                <w:szCs w:val="22"/>
                <w:lang w:val="en-US" w:eastAsia="zh-CN"/>
              </w:rPr>
              <w:t xml:space="preserve">    Delayed</w:t>
            </w:r>
          </w:p>
        </w:tc>
        <w:tc>
          <w:tcPr>
            <w:tcW w:w="780" w:type="dxa"/>
            <w:tcBorders>
              <w:top w:val="nil"/>
              <w:left w:val="nil"/>
              <w:bottom w:val="single" w:sz="4" w:space="0" w:color="auto"/>
              <w:right w:val="single" w:sz="4" w:space="0" w:color="auto"/>
            </w:tcBorders>
            <w:shd w:val="clear" w:color="000000" w:fill="FFFFFF"/>
            <w:noWrap/>
            <w:vAlign w:val="bottom"/>
            <w:hideMark/>
          </w:tcPr>
          <w:p w14:paraId="4A5F656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3</w:t>
            </w:r>
          </w:p>
        </w:tc>
        <w:tc>
          <w:tcPr>
            <w:tcW w:w="780" w:type="dxa"/>
            <w:tcBorders>
              <w:top w:val="nil"/>
              <w:left w:val="nil"/>
              <w:bottom w:val="single" w:sz="4" w:space="0" w:color="auto"/>
              <w:right w:val="single" w:sz="4" w:space="0" w:color="auto"/>
            </w:tcBorders>
            <w:shd w:val="clear" w:color="auto" w:fill="auto"/>
            <w:noWrap/>
            <w:vAlign w:val="bottom"/>
            <w:hideMark/>
          </w:tcPr>
          <w:p w14:paraId="48C257EB"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14:paraId="62B3A5FD"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nil"/>
              <w:bottom w:val="single" w:sz="4" w:space="0" w:color="auto"/>
              <w:right w:val="nil"/>
            </w:tcBorders>
            <w:shd w:val="clear" w:color="000000" w:fill="FFFFFF"/>
            <w:noWrap/>
            <w:vAlign w:val="bottom"/>
            <w:hideMark/>
          </w:tcPr>
          <w:p w14:paraId="20F3D006"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single" w:sz="4" w:space="0" w:color="auto"/>
              <w:bottom w:val="single" w:sz="4" w:space="0" w:color="auto"/>
              <w:right w:val="nil"/>
            </w:tcBorders>
            <w:shd w:val="clear" w:color="000000" w:fill="FFFFFF"/>
            <w:noWrap/>
            <w:vAlign w:val="bottom"/>
            <w:hideMark/>
          </w:tcPr>
          <w:p w14:paraId="44804C5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single" w:sz="4" w:space="0" w:color="auto"/>
              <w:bottom w:val="single" w:sz="4" w:space="0" w:color="auto"/>
              <w:right w:val="nil"/>
            </w:tcBorders>
            <w:shd w:val="clear" w:color="000000" w:fill="FFFFFF"/>
            <w:noWrap/>
            <w:vAlign w:val="bottom"/>
            <w:hideMark/>
          </w:tcPr>
          <w:p w14:paraId="08FDC7D4"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single" w:sz="4" w:space="0" w:color="auto"/>
              <w:bottom w:val="single" w:sz="4" w:space="0" w:color="auto"/>
              <w:right w:val="nil"/>
            </w:tcBorders>
            <w:shd w:val="clear" w:color="000000" w:fill="FFFFFF"/>
            <w:noWrap/>
            <w:vAlign w:val="bottom"/>
            <w:hideMark/>
          </w:tcPr>
          <w:p w14:paraId="0AE7CD2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14:paraId="79B659C2"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2"/>
                <w:szCs w:val="22"/>
                <w:lang w:val="en-US" w:eastAsia="zh-CN"/>
              </w:rPr>
            </w:pPr>
            <w:r w:rsidRPr="00985B9B">
              <w:rPr>
                <w:rFonts w:ascii="Arial" w:hAnsi="Arial" w:cs="Arial"/>
                <w:b/>
                <w:bCs/>
                <w:sz w:val="22"/>
                <w:szCs w:val="22"/>
                <w:lang w:val="en-US" w:eastAsia="zh-CN"/>
              </w:rPr>
              <w:t>3</w:t>
            </w:r>
          </w:p>
        </w:tc>
      </w:tr>
      <w:tr w:rsidR="00985B9B" w:rsidRPr="00985B9B" w14:paraId="107DDF92" w14:textId="77777777" w:rsidTr="00985B9B">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14:paraId="4FBCE75E"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985B9B">
              <w:rPr>
                <w:rFonts w:cs="Calibri"/>
                <w:color w:val="000000"/>
                <w:sz w:val="22"/>
                <w:szCs w:val="22"/>
                <w:lang w:val="en-US" w:eastAsia="zh-CN"/>
              </w:rPr>
              <w:t xml:space="preserve">    Closed</w:t>
            </w:r>
          </w:p>
        </w:tc>
        <w:tc>
          <w:tcPr>
            <w:tcW w:w="780" w:type="dxa"/>
            <w:tcBorders>
              <w:top w:val="nil"/>
              <w:left w:val="nil"/>
              <w:bottom w:val="single" w:sz="8" w:space="0" w:color="auto"/>
              <w:right w:val="single" w:sz="4" w:space="0" w:color="auto"/>
            </w:tcBorders>
            <w:shd w:val="clear" w:color="000000" w:fill="FFFFFF"/>
            <w:noWrap/>
            <w:vAlign w:val="bottom"/>
            <w:hideMark/>
          </w:tcPr>
          <w:p w14:paraId="1D04E0E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14</w:t>
            </w:r>
          </w:p>
        </w:tc>
        <w:tc>
          <w:tcPr>
            <w:tcW w:w="780" w:type="dxa"/>
            <w:tcBorders>
              <w:top w:val="nil"/>
              <w:left w:val="nil"/>
              <w:bottom w:val="single" w:sz="8" w:space="0" w:color="auto"/>
              <w:right w:val="single" w:sz="4" w:space="0" w:color="auto"/>
            </w:tcBorders>
            <w:shd w:val="clear" w:color="auto" w:fill="auto"/>
            <w:noWrap/>
            <w:vAlign w:val="bottom"/>
            <w:hideMark/>
          </w:tcPr>
          <w:p w14:paraId="5F35035D"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w:t>
            </w:r>
          </w:p>
        </w:tc>
        <w:tc>
          <w:tcPr>
            <w:tcW w:w="780" w:type="dxa"/>
            <w:tcBorders>
              <w:top w:val="nil"/>
              <w:left w:val="nil"/>
              <w:bottom w:val="single" w:sz="8" w:space="0" w:color="auto"/>
              <w:right w:val="single" w:sz="4" w:space="0" w:color="auto"/>
            </w:tcBorders>
            <w:shd w:val="clear" w:color="000000" w:fill="FFFFFF"/>
            <w:noWrap/>
            <w:vAlign w:val="bottom"/>
            <w:hideMark/>
          </w:tcPr>
          <w:p w14:paraId="0FCEF3E2"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106</w:t>
            </w:r>
          </w:p>
        </w:tc>
        <w:tc>
          <w:tcPr>
            <w:tcW w:w="780" w:type="dxa"/>
            <w:tcBorders>
              <w:top w:val="nil"/>
              <w:left w:val="nil"/>
              <w:bottom w:val="single" w:sz="8" w:space="0" w:color="auto"/>
              <w:right w:val="nil"/>
            </w:tcBorders>
            <w:shd w:val="clear" w:color="000000" w:fill="FFFFFF"/>
            <w:noWrap/>
            <w:vAlign w:val="bottom"/>
            <w:hideMark/>
          </w:tcPr>
          <w:p w14:paraId="116EEA90"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50</w:t>
            </w:r>
          </w:p>
        </w:tc>
        <w:tc>
          <w:tcPr>
            <w:tcW w:w="780" w:type="dxa"/>
            <w:tcBorders>
              <w:top w:val="nil"/>
              <w:left w:val="single" w:sz="4" w:space="0" w:color="auto"/>
              <w:bottom w:val="single" w:sz="8" w:space="0" w:color="auto"/>
              <w:right w:val="nil"/>
            </w:tcBorders>
            <w:shd w:val="clear" w:color="000000" w:fill="FFFFFF"/>
            <w:noWrap/>
            <w:vAlign w:val="bottom"/>
            <w:hideMark/>
          </w:tcPr>
          <w:p w14:paraId="67295866"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26</w:t>
            </w:r>
          </w:p>
        </w:tc>
        <w:tc>
          <w:tcPr>
            <w:tcW w:w="780" w:type="dxa"/>
            <w:tcBorders>
              <w:top w:val="nil"/>
              <w:left w:val="single" w:sz="4" w:space="0" w:color="auto"/>
              <w:bottom w:val="single" w:sz="8" w:space="0" w:color="auto"/>
              <w:right w:val="nil"/>
            </w:tcBorders>
            <w:shd w:val="clear" w:color="000000" w:fill="FFFFFF"/>
            <w:noWrap/>
            <w:vAlign w:val="bottom"/>
            <w:hideMark/>
          </w:tcPr>
          <w:p w14:paraId="383122D6"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7</w:t>
            </w:r>
          </w:p>
        </w:tc>
        <w:tc>
          <w:tcPr>
            <w:tcW w:w="780" w:type="dxa"/>
            <w:tcBorders>
              <w:top w:val="nil"/>
              <w:left w:val="single" w:sz="4" w:space="0" w:color="auto"/>
              <w:bottom w:val="single" w:sz="8" w:space="0" w:color="auto"/>
              <w:right w:val="nil"/>
            </w:tcBorders>
            <w:shd w:val="clear" w:color="000000" w:fill="FFFFFF"/>
            <w:noWrap/>
            <w:vAlign w:val="bottom"/>
            <w:hideMark/>
          </w:tcPr>
          <w:p w14:paraId="50124727"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14:paraId="68409415"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2"/>
                <w:szCs w:val="22"/>
                <w:lang w:val="en-US" w:eastAsia="zh-CN"/>
              </w:rPr>
            </w:pPr>
            <w:r w:rsidRPr="00985B9B">
              <w:rPr>
                <w:rFonts w:ascii="Arial" w:hAnsi="Arial" w:cs="Arial"/>
                <w:b/>
                <w:bCs/>
                <w:sz w:val="22"/>
                <w:szCs w:val="22"/>
                <w:lang w:val="en-US" w:eastAsia="zh-CN"/>
              </w:rPr>
              <w:t>203</w:t>
            </w:r>
          </w:p>
        </w:tc>
      </w:tr>
      <w:tr w:rsidR="00985B9B" w:rsidRPr="00985B9B" w14:paraId="434DB010" w14:textId="77777777" w:rsidTr="00985B9B">
        <w:trPr>
          <w:trHeight w:val="105"/>
        </w:trPr>
        <w:tc>
          <w:tcPr>
            <w:tcW w:w="2880" w:type="dxa"/>
            <w:tcBorders>
              <w:top w:val="nil"/>
              <w:left w:val="single" w:sz="8" w:space="0" w:color="auto"/>
              <w:bottom w:val="nil"/>
              <w:right w:val="nil"/>
            </w:tcBorders>
            <w:shd w:val="clear" w:color="auto" w:fill="auto"/>
            <w:noWrap/>
            <w:vAlign w:val="bottom"/>
            <w:hideMark/>
          </w:tcPr>
          <w:p w14:paraId="47F693C5"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985B9B">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14:paraId="598FBB17"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 </w:t>
            </w:r>
          </w:p>
        </w:tc>
        <w:tc>
          <w:tcPr>
            <w:tcW w:w="780" w:type="dxa"/>
            <w:tcBorders>
              <w:top w:val="nil"/>
              <w:left w:val="nil"/>
              <w:bottom w:val="nil"/>
              <w:right w:val="nil"/>
            </w:tcBorders>
            <w:shd w:val="clear" w:color="auto" w:fill="auto"/>
            <w:noWrap/>
            <w:vAlign w:val="bottom"/>
            <w:hideMark/>
          </w:tcPr>
          <w:p w14:paraId="7A0948FA"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p>
        </w:tc>
        <w:tc>
          <w:tcPr>
            <w:tcW w:w="780" w:type="dxa"/>
            <w:tcBorders>
              <w:top w:val="nil"/>
              <w:left w:val="nil"/>
              <w:bottom w:val="nil"/>
              <w:right w:val="nil"/>
            </w:tcBorders>
            <w:shd w:val="clear" w:color="000000" w:fill="FFFFFF"/>
            <w:noWrap/>
            <w:vAlign w:val="bottom"/>
            <w:hideMark/>
          </w:tcPr>
          <w:p w14:paraId="5141A70A"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14:paraId="5EB20D2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14:paraId="6FAFD8A0"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14:paraId="48166032"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14:paraId="1D753190"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 </w:t>
            </w:r>
          </w:p>
        </w:tc>
        <w:tc>
          <w:tcPr>
            <w:tcW w:w="780" w:type="dxa"/>
            <w:tcBorders>
              <w:top w:val="nil"/>
              <w:left w:val="nil"/>
              <w:bottom w:val="nil"/>
              <w:right w:val="single" w:sz="8" w:space="0" w:color="auto"/>
            </w:tcBorders>
            <w:shd w:val="clear" w:color="000000" w:fill="FFFFFF"/>
            <w:noWrap/>
            <w:vAlign w:val="bottom"/>
            <w:hideMark/>
          </w:tcPr>
          <w:p w14:paraId="33FB1B2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2"/>
                <w:szCs w:val="22"/>
                <w:lang w:val="en-US" w:eastAsia="zh-CN"/>
              </w:rPr>
            </w:pPr>
            <w:r w:rsidRPr="00985B9B">
              <w:rPr>
                <w:rFonts w:ascii="Arial" w:hAnsi="Arial" w:cs="Arial"/>
                <w:b/>
                <w:bCs/>
                <w:sz w:val="22"/>
                <w:szCs w:val="22"/>
                <w:lang w:val="en-US" w:eastAsia="zh-CN"/>
              </w:rPr>
              <w:t> </w:t>
            </w:r>
          </w:p>
        </w:tc>
      </w:tr>
      <w:tr w:rsidR="00985B9B" w:rsidRPr="00985B9B" w14:paraId="3A087284" w14:textId="77777777" w:rsidTr="00985B9B">
        <w:trPr>
          <w:trHeight w:val="315"/>
        </w:trPr>
        <w:tc>
          <w:tcPr>
            <w:tcW w:w="2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6682A2F"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985B9B">
              <w:rPr>
                <w:rFonts w:cs="Calibri"/>
                <w:sz w:val="20"/>
                <w:lang w:val="en-US" w:eastAsia="zh-CN"/>
              </w:rPr>
              <w:t>% of recommendation In Progress</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352714C8"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37550FFA"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5552C30F"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6%</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6311FD1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9%</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4427A271"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24%</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3F8F9447"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68%</w:t>
            </w:r>
          </w:p>
        </w:tc>
        <w:tc>
          <w:tcPr>
            <w:tcW w:w="780" w:type="dxa"/>
            <w:tcBorders>
              <w:top w:val="single" w:sz="8" w:space="0" w:color="auto"/>
              <w:left w:val="nil"/>
              <w:bottom w:val="single" w:sz="8" w:space="0" w:color="auto"/>
              <w:right w:val="nil"/>
            </w:tcBorders>
            <w:shd w:val="clear" w:color="auto" w:fill="auto"/>
            <w:noWrap/>
            <w:vAlign w:val="bottom"/>
            <w:hideMark/>
          </w:tcPr>
          <w:p w14:paraId="02384FB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100%</w:t>
            </w:r>
          </w:p>
        </w:tc>
        <w:tc>
          <w:tcPr>
            <w:tcW w:w="780" w:type="dxa"/>
            <w:tcBorders>
              <w:top w:val="single" w:sz="8" w:space="0" w:color="auto"/>
              <w:left w:val="single" w:sz="4" w:space="0" w:color="auto"/>
              <w:bottom w:val="single" w:sz="8" w:space="0" w:color="auto"/>
              <w:right w:val="single" w:sz="8" w:space="0" w:color="auto"/>
            </w:tcBorders>
            <w:shd w:val="clear" w:color="000000" w:fill="AEAAAA"/>
            <w:noWrap/>
            <w:vAlign w:val="bottom"/>
            <w:hideMark/>
          </w:tcPr>
          <w:p w14:paraId="45571D36" w14:textId="25EDF9D9" w:rsidR="00985B9B" w:rsidRPr="00985B9B" w:rsidRDefault="00AB1465"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F259FE">
              <w:rPr>
                <w:rFonts w:cs="Calibri"/>
                <w:b/>
                <w:bCs/>
                <w:sz w:val="22"/>
                <w:szCs w:val="22"/>
                <w:lang w:val="en-US" w:eastAsia="zh-CN"/>
              </w:rPr>
              <w:t>23</w:t>
            </w:r>
            <w:r w:rsidR="00985B9B" w:rsidRPr="00985B9B">
              <w:rPr>
                <w:rFonts w:cs="Calibri"/>
                <w:b/>
                <w:bCs/>
                <w:sz w:val="22"/>
                <w:szCs w:val="22"/>
                <w:lang w:val="en-US" w:eastAsia="zh-CN"/>
              </w:rPr>
              <w:t>%</w:t>
            </w:r>
          </w:p>
        </w:tc>
      </w:tr>
      <w:tr w:rsidR="00985B9B" w:rsidRPr="00985B9B" w14:paraId="588BB2DC" w14:textId="77777777" w:rsidTr="00985B9B">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14:paraId="711E10E2"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985B9B">
              <w:rPr>
                <w:rFonts w:cs="Calibri"/>
                <w:sz w:val="20"/>
                <w:lang w:val="en-US" w:eastAsia="zh-CN"/>
              </w:rPr>
              <w:t>% of recommendations Delayed</w:t>
            </w:r>
          </w:p>
        </w:tc>
        <w:tc>
          <w:tcPr>
            <w:tcW w:w="780" w:type="dxa"/>
            <w:tcBorders>
              <w:top w:val="nil"/>
              <w:left w:val="nil"/>
              <w:bottom w:val="single" w:sz="8" w:space="0" w:color="auto"/>
              <w:right w:val="single" w:sz="4" w:space="0" w:color="auto"/>
            </w:tcBorders>
            <w:shd w:val="clear" w:color="auto" w:fill="auto"/>
            <w:noWrap/>
            <w:vAlign w:val="bottom"/>
            <w:hideMark/>
          </w:tcPr>
          <w:p w14:paraId="297AB3A0"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18%</w:t>
            </w:r>
          </w:p>
        </w:tc>
        <w:tc>
          <w:tcPr>
            <w:tcW w:w="780" w:type="dxa"/>
            <w:tcBorders>
              <w:top w:val="nil"/>
              <w:left w:val="nil"/>
              <w:bottom w:val="single" w:sz="8" w:space="0" w:color="auto"/>
              <w:right w:val="single" w:sz="4" w:space="0" w:color="auto"/>
            </w:tcBorders>
            <w:shd w:val="clear" w:color="auto" w:fill="auto"/>
            <w:noWrap/>
            <w:vAlign w:val="bottom"/>
            <w:hideMark/>
          </w:tcPr>
          <w:p w14:paraId="6349CEF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w:t>
            </w:r>
          </w:p>
        </w:tc>
        <w:tc>
          <w:tcPr>
            <w:tcW w:w="780" w:type="dxa"/>
            <w:tcBorders>
              <w:top w:val="nil"/>
              <w:left w:val="nil"/>
              <w:bottom w:val="single" w:sz="8" w:space="0" w:color="auto"/>
              <w:right w:val="single" w:sz="4" w:space="0" w:color="auto"/>
            </w:tcBorders>
            <w:shd w:val="clear" w:color="000000" w:fill="FFFFFF"/>
            <w:noWrap/>
            <w:vAlign w:val="bottom"/>
            <w:hideMark/>
          </w:tcPr>
          <w:p w14:paraId="21961C19"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985B9B">
              <w:rPr>
                <w:rFonts w:cs="Calibri"/>
                <w:sz w:val="22"/>
                <w:szCs w:val="22"/>
                <w:lang w:val="en-US" w:eastAsia="zh-CN"/>
              </w:rPr>
              <w:t>0%</w:t>
            </w:r>
          </w:p>
        </w:tc>
        <w:tc>
          <w:tcPr>
            <w:tcW w:w="780" w:type="dxa"/>
            <w:tcBorders>
              <w:top w:val="nil"/>
              <w:left w:val="nil"/>
              <w:bottom w:val="single" w:sz="8" w:space="0" w:color="auto"/>
              <w:right w:val="single" w:sz="4" w:space="0" w:color="auto"/>
            </w:tcBorders>
            <w:shd w:val="clear" w:color="000000" w:fill="FFFFFF"/>
            <w:noWrap/>
            <w:vAlign w:val="bottom"/>
            <w:hideMark/>
          </w:tcPr>
          <w:p w14:paraId="16C0A54E"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985B9B">
              <w:rPr>
                <w:rFonts w:cs="Calibri"/>
                <w:sz w:val="22"/>
                <w:szCs w:val="22"/>
                <w:lang w:val="en-US" w:eastAsia="zh-CN"/>
              </w:rPr>
              <w:t>0%</w:t>
            </w:r>
          </w:p>
        </w:tc>
        <w:tc>
          <w:tcPr>
            <w:tcW w:w="780" w:type="dxa"/>
            <w:tcBorders>
              <w:top w:val="nil"/>
              <w:left w:val="nil"/>
              <w:bottom w:val="single" w:sz="8" w:space="0" w:color="auto"/>
              <w:right w:val="single" w:sz="4" w:space="0" w:color="auto"/>
            </w:tcBorders>
            <w:shd w:val="clear" w:color="auto" w:fill="auto"/>
            <w:noWrap/>
            <w:vAlign w:val="bottom"/>
            <w:hideMark/>
          </w:tcPr>
          <w:p w14:paraId="779259FB"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nil"/>
              <w:bottom w:val="single" w:sz="8" w:space="0" w:color="auto"/>
              <w:right w:val="single" w:sz="4" w:space="0" w:color="auto"/>
            </w:tcBorders>
            <w:shd w:val="clear" w:color="auto" w:fill="auto"/>
            <w:noWrap/>
            <w:vAlign w:val="bottom"/>
            <w:hideMark/>
          </w:tcPr>
          <w:p w14:paraId="4492D850"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nil"/>
              <w:bottom w:val="single" w:sz="8" w:space="0" w:color="auto"/>
              <w:right w:val="nil"/>
            </w:tcBorders>
            <w:shd w:val="clear" w:color="auto" w:fill="auto"/>
            <w:noWrap/>
            <w:vAlign w:val="bottom"/>
            <w:hideMark/>
          </w:tcPr>
          <w:p w14:paraId="50813EB7"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14:paraId="094FE187"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985B9B">
              <w:rPr>
                <w:rFonts w:cs="Calibri"/>
                <w:b/>
                <w:bCs/>
                <w:sz w:val="22"/>
                <w:szCs w:val="22"/>
                <w:lang w:val="en-US" w:eastAsia="zh-CN"/>
              </w:rPr>
              <w:t>1%</w:t>
            </w:r>
          </w:p>
        </w:tc>
      </w:tr>
      <w:tr w:rsidR="00985B9B" w:rsidRPr="00985B9B" w14:paraId="4DDCC5A1" w14:textId="77777777" w:rsidTr="00985B9B">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14:paraId="02599252"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985B9B">
              <w:rPr>
                <w:rFonts w:cs="Calibri"/>
                <w:sz w:val="20"/>
                <w:lang w:val="en-US" w:eastAsia="zh-CN"/>
              </w:rPr>
              <w:t>% of recommendations Closed</w:t>
            </w:r>
          </w:p>
        </w:tc>
        <w:tc>
          <w:tcPr>
            <w:tcW w:w="780" w:type="dxa"/>
            <w:tcBorders>
              <w:top w:val="nil"/>
              <w:left w:val="nil"/>
              <w:bottom w:val="single" w:sz="8" w:space="0" w:color="auto"/>
              <w:right w:val="single" w:sz="4" w:space="0" w:color="auto"/>
            </w:tcBorders>
            <w:shd w:val="clear" w:color="auto" w:fill="auto"/>
            <w:noWrap/>
            <w:vAlign w:val="bottom"/>
            <w:hideMark/>
          </w:tcPr>
          <w:p w14:paraId="414EF296"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82%</w:t>
            </w:r>
          </w:p>
        </w:tc>
        <w:tc>
          <w:tcPr>
            <w:tcW w:w="780" w:type="dxa"/>
            <w:tcBorders>
              <w:top w:val="nil"/>
              <w:left w:val="nil"/>
              <w:bottom w:val="single" w:sz="8" w:space="0" w:color="auto"/>
              <w:right w:val="single" w:sz="4" w:space="0" w:color="auto"/>
            </w:tcBorders>
            <w:shd w:val="clear" w:color="auto" w:fill="auto"/>
            <w:noWrap/>
            <w:vAlign w:val="bottom"/>
            <w:hideMark/>
          </w:tcPr>
          <w:p w14:paraId="0CBD3113"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985B9B">
              <w:rPr>
                <w:rFonts w:cs="Calibri"/>
                <w:sz w:val="22"/>
                <w:szCs w:val="22"/>
                <w:lang w:val="en-US" w:eastAsia="zh-CN"/>
              </w:rPr>
              <w:t>-</w:t>
            </w:r>
          </w:p>
        </w:tc>
        <w:tc>
          <w:tcPr>
            <w:tcW w:w="780" w:type="dxa"/>
            <w:tcBorders>
              <w:top w:val="nil"/>
              <w:left w:val="nil"/>
              <w:bottom w:val="single" w:sz="8" w:space="0" w:color="auto"/>
              <w:right w:val="single" w:sz="4" w:space="0" w:color="auto"/>
            </w:tcBorders>
            <w:shd w:val="clear" w:color="auto" w:fill="auto"/>
            <w:noWrap/>
            <w:vAlign w:val="bottom"/>
            <w:hideMark/>
          </w:tcPr>
          <w:p w14:paraId="51106272"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94%</w:t>
            </w:r>
          </w:p>
        </w:tc>
        <w:tc>
          <w:tcPr>
            <w:tcW w:w="780" w:type="dxa"/>
            <w:tcBorders>
              <w:top w:val="nil"/>
              <w:left w:val="nil"/>
              <w:bottom w:val="single" w:sz="8" w:space="0" w:color="auto"/>
              <w:right w:val="single" w:sz="4" w:space="0" w:color="auto"/>
            </w:tcBorders>
            <w:shd w:val="clear" w:color="auto" w:fill="auto"/>
            <w:noWrap/>
            <w:vAlign w:val="bottom"/>
            <w:hideMark/>
          </w:tcPr>
          <w:p w14:paraId="7C9D8042"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91%</w:t>
            </w:r>
          </w:p>
        </w:tc>
        <w:tc>
          <w:tcPr>
            <w:tcW w:w="780" w:type="dxa"/>
            <w:tcBorders>
              <w:top w:val="nil"/>
              <w:left w:val="nil"/>
              <w:bottom w:val="single" w:sz="8" w:space="0" w:color="auto"/>
              <w:right w:val="single" w:sz="4" w:space="0" w:color="auto"/>
            </w:tcBorders>
            <w:shd w:val="clear" w:color="auto" w:fill="auto"/>
            <w:noWrap/>
            <w:vAlign w:val="bottom"/>
            <w:hideMark/>
          </w:tcPr>
          <w:p w14:paraId="414E63CE"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76%</w:t>
            </w:r>
          </w:p>
        </w:tc>
        <w:tc>
          <w:tcPr>
            <w:tcW w:w="780" w:type="dxa"/>
            <w:tcBorders>
              <w:top w:val="nil"/>
              <w:left w:val="nil"/>
              <w:bottom w:val="single" w:sz="8" w:space="0" w:color="auto"/>
              <w:right w:val="single" w:sz="4" w:space="0" w:color="auto"/>
            </w:tcBorders>
            <w:shd w:val="clear" w:color="auto" w:fill="auto"/>
            <w:noWrap/>
            <w:vAlign w:val="bottom"/>
            <w:hideMark/>
          </w:tcPr>
          <w:p w14:paraId="7757AB2D"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32%</w:t>
            </w:r>
          </w:p>
        </w:tc>
        <w:tc>
          <w:tcPr>
            <w:tcW w:w="780" w:type="dxa"/>
            <w:tcBorders>
              <w:top w:val="nil"/>
              <w:left w:val="nil"/>
              <w:bottom w:val="single" w:sz="8" w:space="0" w:color="auto"/>
              <w:right w:val="nil"/>
            </w:tcBorders>
            <w:shd w:val="clear" w:color="auto" w:fill="auto"/>
            <w:noWrap/>
            <w:vAlign w:val="bottom"/>
            <w:hideMark/>
          </w:tcPr>
          <w:p w14:paraId="794ED947" w14:textId="77777777" w:rsidR="00985B9B" w:rsidRPr="00985B9B" w:rsidRDefault="00985B9B"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2"/>
                <w:szCs w:val="22"/>
                <w:lang w:val="en-US" w:eastAsia="zh-CN"/>
              </w:rPr>
            </w:pPr>
            <w:r w:rsidRPr="00985B9B">
              <w:rPr>
                <w:rFonts w:cs="Calibri"/>
                <w:color w:val="000000"/>
                <w:sz w:val="22"/>
                <w:szCs w:val="22"/>
                <w:lang w:val="en-US"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14:paraId="60F2636A" w14:textId="792AB227" w:rsidR="00985B9B" w:rsidRPr="00985B9B" w:rsidRDefault="00AB1465" w:rsidP="00985B9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F259FE">
              <w:rPr>
                <w:rFonts w:cs="Calibri"/>
                <w:b/>
                <w:bCs/>
                <w:sz w:val="22"/>
                <w:szCs w:val="22"/>
                <w:lang w:val="en-US" w:eastAsia="zh-CN"/>
              </w:rPr>
              <w:t>76</w:t>
            </w:r>
            <w:r w:rsidR="00985B9B" w:rsidRPr="00985B9B">
              <w:rPr>
                <w:rFonts w:cs="Calibri"/>
                <w:b/>
                <w:bCs/>
                <w:sz w:val="22"/>
                <w:szCs w:val="22"/>
                <w:lang w:val="en-US" w:eastAsia="zh-CN"/>
              </w:rPr>
              <w:t>%</w:t>
            </w:r>
          </w:p>
        </w:tc>
      </w:tr>
    </w:tbl>
    <w:p w14:paraId="629699DD" w14:textId="51D91498" w:rsidR="00985B9B" w:rsidRPr="00F259FE" w:rsidRDefault="00985B9B" w:rsidP="00AB1465">
      <w:pPr>
        <w:pStyle w:val="ListParagraph"/>
        <w:tabs>
          <w:tab w:val="clear" w:pos="794"/>
          <w:tab w:val="clear" w:pos="1191"/>
          <w:tab w:val="clear" w:pos="1588"/>
          <w:tab w:val="clear" w:pos="1985"/>
        </w:tabs>
        <w:adjustRightInd w:val="0"/>
        <w:snapToGrid w:val="0"/>
        <w:spacing w:before="120" w:after="240" w:line="240" w:lineRule="auto"/>
        <w:ind w:left="0"/>
        <w:contextualSpacing w:val="0"/>
        <w:jc w:val="both"/>
        <w:rPr>
          <w:rFonts w:asciiTheme="minorHAnsi" w:hAnsiTheme="minorHAnsi" w:cstheme="minorHAnsi"/>
          <w:sz w:val="20"/>
          <w:szCs w:val="20"/>
          <w:lang w:val="en-CA"/>
        </w:rPr>
      </w:pPr>
      <w:r w:rsidRPr="00F259FE">
        <w:rPr>
          <w:rFonts w:asciiTheme="minorHAnsi" w:hAnsiTheme="minorHAnsi" w:cstheme="minorHAnsi"/>
          <w:sz w:val="20"/>
          <w:szCs w:val="20"/>
          <w:lang w:val="en-CA"/>
        </w:rPr>
        <w:t xml:space="preserve">(3) </w:t>
      </w:r>
      <w:proofErr w:type="gramStart"/>
      <w:r w:rsidRPr="00F259FE">
        <w:rPr>
          <w:rFonts w:asciiTheme="minorHAnsi" w:hAnsiTheme="minorHAnsi" w:cstheme="minorHAnsi"/>
          <w:sz w:val="20"/>
          <w:szCs w:val="20"/>
          <w:lang w:val="en-CA"/>
        </w:rPr>
        <w:t>up</w:t>
      </w:r>
      <w:proofErr w:type="gramEnd"/>
      <w:r w:rsidRPr="00F259FE">
        <w:rPr>
          <w:rFonts w:asciiTheme="minorHAnsi" w:hAnsiTheme="minorHAnsi" w:cstheme="minorHAnsi"/>
          <w:sz w:val="20"/>
          <w:szCs w:val="20"/>
          <w:lang w:val="en-CA"/>
        </w:rPr>
        <w:t xml:space="preserve"> </w:t>
      </w:r>
      <w:r w:rsidR="00AB1465" w:rsidRPr="00F259FE">
        <w:rPr>
          <w:rFonts w:asciiTheme="minorHAnsi" w:hAnsiTheme="minorHAnsi" w:cstheme="minorHAnsi"/>
          <w:sz w:val="20"/>
          <w:szCs w:val="20"/>
          <w:lang w:val="en-CA"/>
        </w:rPr>
        <w:t>to yearend</w:t>
      </w:r>
      <w:r w:rsidRPr="00F259FE">
        <w:rPr>
          <w:rFonts w:asciiTheme="minorHAnsi" w:hAnsiTheme="minorHAnsi" w:cstheme="minorHAnsi"/>
          <w:sz w:val="20"/>
          <w:szCs w:val="20"/>
          <w:lang w:val="en-CA"/>
        </w:rPr>
        <w:t xml:space="preserve"> 2017</w:t>
      </w:r>
      <w:r w:rsidR="004139C2" w:rsidRPr="00F259FE">
        <w:rPr>
          <w:rFonts w:asciiTheme="minorHAnsi" w:hAnsiTheme="minorHAnsi" w:cstheme="minorHAnsi"/>
          <w:sz w:val="20"/>
          <w:szCs w:val="20"/>
          <w:lang w:val="en-CA"/>
        </w:rPr>
        <w:t>- excluding advisory reports</w:t>
      </w:r>
    </w:p>
    <w:p w14:paraId="2EAD90F7" w14:textId="05BC3C02" w:rsidR="00B763B8" w:rsidRPr="00BE788B" w:rsidRDefault="00985B9B" w:rsidP="00BE788B">
      <w:pPr>
        <w:pStyle w:val="ListParagraph"/>
        <w:numPr>
          <w:ilvl w:val="0"/>
          <w:numId w:val="2"/>
        </w:numPr>
        <w:tabs>
          <w:tab w:val="clear" w:pos="794"/>
          <w:tab w:val="clear" w:pos="1191"/>
          <w:tab w:val="clear" w:pos="1588"/>
          <w:tab w:val="clear" w:pos="1985"/>
        </w:tabs>
        <w:adjustRightInd w:val="0"/>
        <w:snapToGrid w:val="0"/>
        <w:spacing w:before="120" w:after="240" w:line="240" w:lineRule="auto"/>
        <w:ind w:left="0" w:firstLine="0"/>
        <w:contextualSpacing w:val="0"/>
        <w:jc w:val="both"/>
        <w:rPr>
          <w:rFonts w:asciiTheme="minorHAnsi" w:hAnsiTheme="minorHAnsi" w:cstheme="minorHAnsi"/>
          <w:sz w:val="24"/>
          <w:szCs w:val="24"/>
          <w:lang w:val="en-CA"/>
        </w:rPr>
      </w:pPr>
      <w:r w:rsidRPr="00F259FE">
        <w:rPr>
          <w:rFonts w:asciiTheme="minorHAnsi" w:hAnsiTheme="minorHAnsi" w:cstheme="minorHAnsi"/>
          <w:spacing w:val="-2"/>
          <w:sz w:val="24"/>
          <w:szCs w:val="24"/>
          <w:lang w:val="en-CA"/>
        </w:rPr>
        <w:t xml:space="preserve"> </w:t>
      </w:r>
      <w:r w:rsidR="00B763B8" w:rsidRPr="00F259FE">
        <w:rPr>
          <w:rFonts w:asciiTheme="minorHAnsi" w:hAnsiTheme="minorHAnsi" w:cstheme="minorHAnsi"/>
          <w:spacing w:val="-2"/>
          <w:sz w:val="24"/>
          <w:szCs w:val="24"/>
          <w:lang w:val="en-CA"/>
        </w:rPr>
        <w:t xml:space="preserve">No critical or recommendations </w:t>
      </w:r>
      <w:r w:rsidR="00D500DC" w:rsidRPr="00F259FE">
        <w:rPr>
          <w:rFonts w:asciiTheme="minorHAnsi" w:hAnsiTheme="minorHAnsi" w:cstheme="minorHAnsi"/>
          <w:spacing w:val="-2"/>
          <w:sz w:val="24"/>
          <w:szCs w:val="24"/>
          <w:lang w:val="en-CA"/>
        </w:rPr>
        <w:t xml:space="preserve">of high importance </w:t>
      </w:r>
      <w:r w:rsidR="00B763B8" w:rsidRPr="00F259FE">
        <w:rPr>
          <w:rFonts w:asciiTheme="minorHAnsi" w:hAnsiTheme="minorHAnsi" w:cstheme="minorHAnsi"/>
          <w:spacing w:val="-2"/>
          <w:sz w:val="24"/>
          <w:szCs w:val="24"/>
          <w:lang w:val="en-CA"/>
        </w:rPr>
        <w:t>from before 2012 were left unimplemented.</w:t>
      </w:r>
      <w:r w:rsidR="00B763B8" w:rsidRPr="00F259FE">
        <w:rPr>
          <w:rFonts w:asciiTheme="minorHAnsi" w:hAnsiTheme="minorHAnsi" w:cstheme="minorHAnsi"/>
          <w:sz w:val="24"/>
          <w:szCs w:val="24"/>
          <w:lang w:val="en-CA"/>
        </w:rPr>
        <w:t xml:space="preserve"> The recommendations still delayed </w:t>
      </w:r>
      <w:r w:rsidR="00B30B17" w:rsidRPr="00F259FE">
        <w:rPr>
          <w:rFonts w:asciiTheme="minorHAnsi" w:hAnsiTheme="minorHAnsi" w:cstheme="minorHAnsi"/>
          <w:sz w:val="24"/>
          <w:szCs w:val="24"/>
          <w:lang w:val="en-CA"/>
        </w:rPr>
        <w:t xml:space="preserve">from 2011 </w:t>
      </w:r>
      <w:r w:rsidR="00B763B8" w:rsidRPr="00F259FE">
        <w:rPr>
          <w:rFonts w:asciiTheme="minorHAnsi" w:hAnsiTheme="minorHAnsi" w:cstheme="minorHAnsi"/>
          <w:sz w:val="24"/>
          <w:szCs w:val="24"/>
          <w:lang w:val="en-CA"/>
        </w:rPr>
        <w:t xml:space="preserve">concern an internal audit of costing of ITU publications. Management informed </w:t>
      </w:r>
      <w:r w:rsidR="00B30B17" w:rsidRPr="00F259FE">
        <w:rPr>
          <w:rFonts w:asciiTheme="minorHAnsi" w:hAnsiTheme="minorHAnsi" w:cstheme="minorHAnsi"/>
          <w:sz w:val="24"/>
          <w:szCs w:val="24"/>
          <w:lang w:val="en-CA"/>
        </w:rPr>
        <w:t>IA</w:t>
      </w:r>
      <w:r w:rsidR="00B763B8" w:rsidRPr="00F259FE">
        <w:rPr>
          <w:rFonts w:asciiTheme="minorHAnsi" w:hAnsiTheme="minorHAnsi" w:cstheme="minorHAnsi"/>
          <w:sz w:val="24"/>
          <w:szCs w:val="24"/>
          <w:lang w:val="en-CA"/>
        </w:rPr>
        <w:t xml:space="preserve"> (and IMAC) regularly of the </w:t>
      </w:r>
      <w:r w:rsidR="00BE788B">
        <w:rPr>
          <w:rFonts w:asciiTheme="minorHAnsi" w:hAnsiTheme="minorHAnsi" w:cstheme="minorHAnsi"/>
          <w:sz w:val="24"/>
          <w:szCs w:val="24"/>
          <w:lang w:val="en-CA"/>
        </w:rPr>
        <w:t>progress.</w:t>
      </w:r>
      <w:r w:rsidR="00B763B8" w:rsidRPr="00F259FE">
        <w:rPr>
          <w:rFonts w:asciiTheme="minorHAnsi" w:hAnsiTheme="minorHAnsi" w:cstheme="minorHAnsi"/>
          <w:sz w:val="24"/>
          <w:szCs w:val="24"/>
          <w:lang w:val="en-CA"/>
        </w:rPr>
        <w:t xml:space="preserve"> </w:t>
      </w:r>
      <w:r w:rsidRPr="00BE788B">
        <w:rPr>
          <w:rFonts w:asciiTheme="minorHAnsi" w:hAnsiTheme="minorHAnsi" w:cstheme="minorHAnsi"/>
          <w:sz w:val="24"/>
          <w:szCs w:val="24"/>
          <w:lang w:val="en-CA"/>
        </w:rPr>
        <w:t>For 2017</w:t>
      </w:r>
      <w:r w:rsidR="00127FC1" w:rsidRPr="00BE788B">
        <w:rPr>
          <w:rFonts w:asciiTheme="minorHAnsi" w:hAnsiTheme="minorHAnsi" w:cstheme="minorHAnsi"/>
          <w:sz w:val="24"/>
          <w:szCs w:val="24"/>
          <w:lang w:val="en-CA"/>
        </w:rPr>
        <w:t>, some</w:t>
      </w:r>
      <w:r w:rsidR="00B763B8" w:rsidRPr="00BE788B">
        <w:rPr>
          <w:rFonts w:asciiTheme="minorHAnsi" w:hAnsiTheme="minorHAnsi" w:cstheme="minorHAnsi"/>
          <w:sz w:val="24"/>
          <w:szCs w:val="24"/>
          <w:lang w:val="en-CA"/>
        </w:rPr>
        <w:t xml:space="preserve"> of the internal audit reports were finalized in the last quarter of the year and it would thus be difficult to have many of the recommendations already implemented in early 201</w:t>
      </w:r>
      <w:r w:rsidRPr="00BE788B">
        <w:rPr>
          <w:rFonts w:asciiTheme="minorHAnsi" w:hAnsiTheme="minorHAnsi" w:cstheme="minorHAnsi"/>
          <w:sz w:val="24"/>
          <w:szCs w:val="24"/>
          <w:lang w:val="en-CA"/>
        </w:rPr>
        <w:t>8</w:t>
      </w:r>
      <w:r w:rsidR="00B763B8" w:rsidRPr="00BE788B">
        <w:rPr>
          <w:rFonts w:asciiTheme="minorHAnsi" w:hAnsiTheme="minorHAnsi" w:cstheme="minorHAnsi"/>
          <w:sz w:val="24"/>
          <w:szCs w:val="24"/>
          <w:lang w:val="en-CA"/>
        </w:rPr>
        <w:t xml:space="preserve">. </w:t>
      </w:r>
    </w:p>
    <w:p w14:paraId="539F161E" w14:textId="77777777" w:rsidR="00B763B8" w:rsidRPr="00F259FE" w:rsidRDefault="00B763B8" w:rsidP="00127FC1">
      <w:pPr>
        <w:tabs>
          <w:tab w:val="clear" w:pos="567"/>
          <w:tab w:val="clear" w:pos="1134"/>
          <w:tab w:val="clear" w:pos="1701"/>
          <w:tab w:val="clear" w:pos="2268"/>
          <w:tab w:val="clear" w:pos="2835"/>
        </w:tabs>
        <w:snapToGrid w:val="0"/>
        <w:spacing w:before="0"/>
        <w:jc w:val="both"/>
        <w:rPr>
          <w:rFonts w:asciiTheme="minorHAnsi" w:hAnsiTheme="minorHAnsi" w:cstheme="minorHAnsi"/>
          <w:b/>
          <w:bCs/>
          <w:sz w:val="28"/>
          <w:szCs w:val="28"/>
          <w:lang w:val="en-CA"/>
        </w:rPr>
      </w:pPr>
      <w:r w:rsidRPr="00F259FE">
        <w:rPr>
          <w:rFonts w:asciiTheme="minorHAnsi" w:hAnsiTheme="minorHAnsi" w:cstheme="minorHAnsi"/>
          <w:b/>
          <w:bCs/>
          <w:sz w:val="28"/>
          <w:szCs w:val="28"/>
          <w:lang w:val="en-CA"/>
        </w:rPr>
        <w:t>Audit methodology related aspects</w:t>
      </w:r>
    </w:p>
    <w:p w14:paraId="19205431" w14:textId="5B3D740A" w:rsidR="00B763B8" w:rsidRDefault="00B763B8" w:rsidP="002F46AA">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rPr>
          <w:rFonts w:asciiTheme="minorHAnsi" w:hAnsiTheme="minorHAnsi" w:cstheme="minorHAnsi"/>
          <w:sz w:val="24"/>
          <w:szCs w:val="24"/>
          <w:lang w:val="en-CA"/>
        </w:rPr>
      </w:pPr>
      <w:r w:rsidRPr="00F259FE">
        <w:rPr>
          <w:rFonts w:asciiTheme="minorHAnsi" w:hAnsiTheme="minorHAnsi" w:cstheme="minorHAnsi"/>
          <w:sz w:val="24"/>
          <w:szCs w:val="24"/>
          <w:lang w:val="en-CA"/>
        </w:rPr>
        <w:t xml:space="preserve">Since 2013, Internal Audit started using </w:t>
      </w:r>
      <w:r w:rsidRPr="00F259FE">
        <w:rPr>
          <w:rFonts w:asciiTheme="minorHAnsi" w:hAnsiTheme="minorHAnsi" w:cstheme="minorHAnsi"/>
          <w:i/>
          <w:iCs/>
          <w:sz w:val="24"/>
          <w:szCs w:val="24"/>
          <w:lang w:val="en-CA"/>
        </w:rPr>
        <w:t>Audit Effectiveness Questionnaires</w:t>
      </w:r>
      <w:r w:rsidRPr="00F259FE">
        <w:rPr>
          <w:rFonts w:asciiTheme="minorHAnsi" w:hAnsiTheme="minorHAnsi" w:cstheme="minorHAnsi"/>
          <w:sz w:val="24"/>
          <w:szCs w:val="24"/>
          <w:lang w:val="en-CA"/>
        </w:rPr>
        <w:t xml:space="preserve"> which were sent to the audited processes’ and entities’ managers, to assess the effectiveness of the audit work and identify room for improvement. This practice was continued in the period reported on in this document. Based on the </w:t>
      </w:r>
      <w:r w:rsidR="002F46AA" w:rsidRPr="00F259FE">
        <w:rPr>
          <w:rFonts w:asciiTheme="minorHAnsi" w:hAnsiTheme="minorHAnsi" w:cstheme="minorHAnsi"/>
          <w:sz w:val="24"/>
          <w:szCs w:val="24"/>
          <w:lang w:val="en-CA"/>
        </w:rPr>
        <w:t>five</w:t>
      </w:r>
      <w:r w:rsidRPr="00F259FE">
        <w:rPr>
          <w:rFonts w:asciiTheme="minorHAnsi" w:hAnsiTheme="minorHAnsi" w:cstheme="minorHAnsi"/>
          <w:sz w:val="24"/>
          <w:szCs w:val="24"/>
          <w:lang w:val="en-CA"/>
        </w:rPr>
        <w:t xml:space="preserve"> </w:t>
      </w:r>
      <w:r w:rsidRPr="00F259FE">
        <w:rPr>
          <w:rFonts w:asciiTheme="minorHAnsi" w:hAnsiTheme="minorHAnsi" w:cstheme="minorHAnsi"/>
          <w:i/>
          <w:iCs/>
          <w:sz w:val="24"/>
          <w:szCs w:val="24"/>
          <w:lang w:val="en-CA"/>
        </w:rPr>
        <w:t>questionnaires</w:t>
      </w:r>
      <w:r w:rsidRPr="00F259FE">
        <w:rPr>
          <w:rFonts w:asciiTheme="minorHAnsi" w:hAnsiTheme="minorHAnsi" w:cstheme="minorHAnsi"/>
          <w:sz w:val="24"/>
          <w:szCs w:val="24"/>
          <w:lang w:val="en-CA"/>
        </w:rPr>
        <w:t xml:space="preserve"> sent back to Internal Audit in 201</w:t>
      </w:r>
      <w:r w:rsidR="002F46AA" w:rsidRPr="00F259FE">
        <w:rPr>
          <w:rFonts w:asciiTheme="minorHAnsi" w:hAnsiTheme="minorHAnsi" w:cstheme="minorHAnsi"/>
          <w:sz w:val="24"/>
          <w:szCs w:val="24"/>
          <w:lang w:val="en-CA"/>
        </w:rPr>
        <w:t>7</w:t>
      </w:r>
      <w:r w:rsidRPr="00F259FE">
        <w:rPr>
          <w:rFonts w:asciiTheme="minorHAnsi" w:hAnsiTheme="minorHAnsi" w:cstheme="minorHAnsi"/>
          <w:sz w:val="24"/>
          <w:szCs w:val="24"/>
          <w:lang w:val="en-CA"/>
        </w:rPr>
        <w:t>, feedback has been very positive (average score of 4, on a scale from 1 to 5).</w:t>
      </w:r>
    </w:p>
    <w:p w14:paraId="75FCD427" w14:textId="77777777" w:rsidR="00F259FE" w:rsidRDefault="00F259FE" w:rsidP="00F259FE">
      <w:pPr>
        <w:pStyle w:val="ListParagraph"/>
        <w:tabs>
          <w:tab w:val="clear" w:pos="794"/>
          <w:tab w:val="clear" w:pos="1191"/>
          <w:tab w:val="clear" w:pos="1588"/>
          <w:tab w:val="clear" w:pos="1985"/>
        </w:tabs>
        <w:adjustRightInd w:val="0"/>
        <w:snapToGrid w:val="0"/>
        <w:spacing w:before="120" w:after="120" w:line="240" w:lineRule="auto"/>
        <w:ind w:left="0"/>
        <w:contextualSpacing w:val="0"/>
        <w:jc w:val="both"/>
        <w:rPr>
          <w:rFonts w:asciiTheme="minorHAnsi" w:hAnsiTheme="minorHAnsi" w:cstheme="minorHAnsi"/>
          <w:sz w:val="24"/>
          <w:szCs w:val="24"/>
          <w:lang w:val="en-CA"/>
        </w:rPr>
      </w:pPr>
    </w:p>
    <w:p w14:paraId="7F63E0F0" w14:textId="35B9524C" w:rsidR="00F259FE" w:rsidRPr="00F259FE" w:rsidRDefault="00F259FE" w:rsidP="00F259FE">
      <w:pPr>
        <w:pStyle w:val="ListParagraph"/>
        <w:tabs>
          <w:tab w:val="clear" w:pos="794"/>
          <w:tab w:val="clear" w:pos="1191"/>
          <w:tab w:val="clear" w:pos="1588"/>
          <w:tab w:val="clear" w:pos="1985"/>
        </w:tabs>
        <w:adjustRightInd w:val="0"/>
        <w:snapToGrid w:val="0"/>
        <w:spacing w:before="120" w:after="120" w:line="240" w:lineRule="auto"/>
        <w:ind w:left="0"/>
        <w:contextualSpacing w:val="0"/>
        <w:jc w:val="center"/>
        <w:rPr>
          <w:rFonts w:asciiTheme="minorHAnsi" w:hAnsiTheme="minorHAnsi" w:cstheme="minorHAnsi"/>
          <w:sz w:val="24"/>
          <w:szCs w:val="24"/>
          <w:lang w:val="en-CA"/>
        </w:rPr>
      </w:pPr>
      <w:r>
        <w:rPr>
          <w:rFonts w:asciiTheme="minorHAnsi" w:hAnsiTheme="minorHAnsi" w:cstheme="minorHAnsi"/>
          <w:sz w:val="24"/>
          <w:szCs w:val="24"/>
          <w:lang w:val="en-CA"/>
        </w:rPr>
        <w:t>---------------------------------------------</w:t>
      </w:r>
    </w:p>
    <w:sectPr w:rsidR="00F259FE" w:rsidRPr="00F259FE"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7457E" w14:textId="77777777" w:rsidR="00BC005B" w:rsidRDefault="00BC005B">
      <w:r>
        <w:separator/>
      </w:r>
    </w:p>
  </w:endnote>
  <w:endnote w:type="continuationSeparator" w:id="0">
    <w:p w14:paraId="725B6647" w14:textId="77777777" w:rsidR="00BC005B" w:rsidRDefault="00BC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C050" w14:textId="77777777" w:rsidR="00161296" w:rsidRDefault="0016129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74AE3" w14:textId="77777777" w:rsidR="00BC005B" w:rsidRDefault="00BC005B" w:rsidP="002869AC">
      <w:pPr>
        <w:spacing w:before="60"/>
      </w:pPr>
      <w:r>
        <w:t>____________________</w:t>
      </w:r>
    </w:p>
  </w:footnote>
  <w:footnote w:type="continuationSeparator" w:id="0">
    <w:p w14:paraId="2E58F214" w14:textId="77777777" w:rsidR="00BC005B" w:rsidRDefault="00BC005B">
      <w:r>
        <w:continuationSeparator/>
      </w:r>
    </w:p>
  </w:footnote>
  <w:footnote w:id="1">
    <w:p w14:paraId="70874407" w14:textId="77777777" w:rsidR="00161296" w:rsidRPr="00C53531" w:rsidRDefault="00161296" w:rsidP="002869AC">
      <w:pPr>
        <w:pStyle w:val="FootnoteText"/>
        <w:spacing w:before="40"/>
        <w:rPr>
          <w:sz w:val="18"/>
          <w:szCs w:val="18"/>
        </w:rPr>
      </w:pPr>
      <w:r w:rsidRPr="00C53531">
        <w:rPr>
          <w:rStyle w:val="FootnoteReference"/>
          <w:sz w:val="18"/>
          <w:szCs w:val="18"/>
        </w:rPr>
        <w:footnoteRef/>
      </w:r>
      <w:r w:rsidRPr="00C53531">
        <w:rPr>
          <w:sz w:val="18"/>
          <w:szCs w:val="18"/>
        </w:rPr>
        <w:t xml:space="preserve"> </w:t>
      </w:r>
      <w:r w:rsidRPr="00C53531">
        <w:rPr>
          <w:rFonts w:cs="Calibri"/>
          <w:sz w:val="18"/>
          <w:szCs w:val="18"/>
        </w:rPr>
        <w:t>Service Order 13/09, promulgated by the Secretary-General on 27 June 2013</w:t>
      </w:r>
    </w:p>
  </w:footnote>
  <w:footnote w:id="2">
    <w:p w14:paraId="1049A626" w14:textId="77777777" w:rsidR="00161296" w:rsidRPr="00C53531" w:rsidRDefault="00161296" w:rsidP="002869AC">
      <w:pPr>
        <w:pStyle w:val="FootnoteText"/>
        <w:spacing w:before="40"/>
        <w:ind w:left="0" w:firstLine="0"/>
        <w:rPr>
          <w:sz w:val="18"/>
          <w:szCs w:val="18"/>
        </w:rPr>
      </w:pPr>
      <w:r w:rsidRPr="002869AC">
        <w:rPr>
          <w:rStyle w:val="FootnoteReference"/>
          <w:sz w:val="18"/>
          <w:szCs w:val="18"/>
        </w:rPr>
        <w:footnoteRef/>
      </w:r>
      <w:r w:rsidRPr="00141758">
        <w:rPr>
          <w:szCs w:val="24"/>
        </w:rPr>
        <w:t xml:space="preserve"> </w:t>
      </w:r>
      <w:r w:rsidRPr="00C53531">
        <w:rPr>
          <w:sz w:val="18"/>
          <w:szCs w:val="18"/>
        </w:rPr>
        <w:t xml:space="preserve">Institute of Internal Auditors, </w:t>
      </w:r>
      <w:hyperlink r:id="rId1" w:history="1">
        <w:r w:rsidRPr="00C53531">
          <w:rPr>
            <w:rStyle w:val="Hyperlink"/>
            <w:sz w:val="18"/>
            <w:szCs w:val="18"/>
          </w:rPr>
          <w:t>www.theiia.org</w:t>
        </w:r>
      </w:hyperlink>
    </w:p>
  </w:footnote>
  <w:footnote w:id="3">
    <w:p w14:paraId="7477BEF7" w14:textId="77777777" w:rsidR="00161296" w:rsidRPr="00FF744D" w:rsidRDefault="00161296" w:rsidP="002869AC">
      <w:pPr>
        <w:pStyle w:val="FootnoteText"/>
        <w:spacing w:before="40"/>
        <w:ind w:left="0" w:firstLine="0"/>
      </w:pPr>
      <w:r w:rsidRPr="00C53531">
        <w:rPr>
          <w:rStyle w:val="FootnoteReference"/>
          <w:sz w:val="18"/>
          <w:szCs w:val="18"/>
        </w:rPr>
        <w:footnoteRef/>
      </w:r>
      <w:r w:rsidRPr="00C53531">
        <w:rPr>
          <w:sz w:val="18"/>
          <w:szCs w:val="18"/>
        </w:rPr>
        <w:t xml:space="preserve"> </w:t>
      </w:r>
      <w:r w:rsidRPr="00C53531">
        <w:rPr>
          <w:rFonts w:cs="Calibri"/>
          <w:sz w:val="18"/>
          <w:szCs w:val="18"/>
        </w:rPr>
        <w:t>Service Order 13/09, promulgated by the Secretary-General on 27 June 2013</w:t>
      </w:r>
    </w:p>
  </w:footnote>
  <w:footnote w:id="4">
    <w:p w14:paraId="678763D7" w14:textId="77D44075" w:rsidR="001E68EF" w:rsidRPr="001E68EF" w:rsidRDefault="001E68EF">
      <w:pPr>
        <w:pStyle w:val="FootnoteText"/>
      </w:pPr>
      <w:r>
        <w:rPr>
          <w:rStyle w:val="FootnoteReference"/>
        </w:rPr>
        <w:footnoteRef/>
      </w:r>
      <w:r>
        <w:t xml:space="preserve"> </w:t>
      </w:r>
      <w:r w:rsidRPr="001E68EF">
        <w:rPr>
          <w:sz w:val="20"/>
        </w:rPr>
        <w:t>This was included in the 2018 internal audit plan</w:t>
      </w:r>
    </w:p>
  </w:footnote>
  <w:footnote w:id="5">
    <w:p w14:paraId="30E60EA8" w14:textId="77777777" w:rsidR="00161296" w:rsidRPr="002869AC" w:rsidRDefault="00161296" w:rsidP="00127FC1">
      <w:pPr>
        <w:pStyle w:val="FootnoteText"/>
        <w:spacing w:before="0"/>
        <w:ind w:left="255" w:hanging="255"/>
        <w:rPr>
          <w:lang w:val="en-US"/>
        </w:rPr>
      </w:pPr>
      <w:r w:rsidRPr="002869AC">
        <w:rPr>
          <w:rStyle w:val="FootnoteReference"/>
          <w:sz w:val="18"/>
          <w:szCs w:val="18"/>
        </w:rPr>
        <w:footnoteRef/>
      </w:r>
      <w:r>
        <w:t xml:space="preserve"> </w:t>
      </w:r>
      <w:r w:rsidRPr="003952C2">
        <w:rPr>
          <w:sz w:val="20"/>
        </w:rPr>
        <w:t xml:space="preserve">Institute of Internal Auditors, </w:t>
      </w:r>
      <w:hyperlink r:id="rId2" w:history="1">
        <w:r w:rsidRPr="003952C2">
          <w:rPr>
            <w:rStyle w:val="Hyperlink"/>
            <w:sz w:val="20"/>
          </w:rPr>
          <w:t>www.theiia.org</w:t>
        </w:r>
      </w:hyperlink>
      <w:r w:rsidRPr="003952C2">
        <w:rPr>
          <w:rStyle w:val="Hyperlink"/>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25A6" w14:textId="77777777" w:rsidR="00161296" w:rsidRDefault="00161296" w:rsidP="00CE433C">
    <w:pPr>
      <w:pStyle w:val="Header"/>
    </w:pPr>
    <w:r>
      <w:fldChar w:fldCharType="begin"/>
    </w:r>
    <w:r>
      <w:instrText>PAGE</w:instrText>
    </w:r>
    <w:r>
      <w:fldChar w:fldCharType="separate"/>
    </w:r>
    <w:r w:rsidR="00F94920">
      <w:rPr>
        <w:noProof/>
      </w:rPr>
      <w:t>9</w:t>
    </w:r>
    <w:r>
      <w:rPr>
        <w:noProof/>
      </w:rPr>
      <w:fldChar w:fldCharType="end"/>
    </w:r>
  </w:p>
  <w:p w14:paraId="70112359" w14:textId="77777777" w:rsidR="00161296" w:rsidRDefault="00161296" w:rsidP="005243FF">
    <w:pPr>
      <w:pStyle w:val="Header"/>
    </w:pPr>
    <w:r>
      <w:t>C17/44-E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37BDF"/>
    <w:multiLevelType w:val="hybridMultilevel"/>
    <w:tmpl w:val="B56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5A6B"/>
    <w:multiLevelType w:val="hybridMultilevel"/>
    <w:tmpl w:val="0EE6CE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52E63"/>
    <w:multiLevelType w:val="multilevel"/>
    <w:tmpl w:val="A1D25D06"/>
    <w:lvl w:ilvl="0">
      <w:start w:val="1"/>
      <w:numFmt w:val="decimal"/>
      <w:pStyle w:val="Style1"/>
      <w:lvlText w:val="%1."/>
      <w:lvlJc w:val="left"/>
      <w:pPr>
        <w:ind w:left="360" w:hanging="360"/>
      </w:pPr>
      <w:rPr>
        <w:b w:val="0"/>
        <w:bCs w:val="0"/>
        <w:i w:val="0"/>
        <w:iCs w:val="0"/>
        <w:color w:val="00000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C40023"/>
    <w:multiLevelType w:val="hybridMultilevel"/>
    <w:tmpl w:val="BAD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7EB0"/>
    <w:multiLevelType w:val="hybridMultilevel"/>
    <w:tmpl w:val="B88C87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33C9D"/>
    <w:multiLevelType w:val="hybridMultilevel"/>
    <w:tmpl w:val="4B80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013D0"/>
    <w:multiLevelType w:val="hybridMultilevel"/>
    <w:tmpl w:val="82A6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23D51"/>
    <w:multiLevelType w:val="multilevel"/>
    <w:tmpl w:val="3A6A7A8E"/>
    <w:lvl w:ilvl="0">
      <w:start w:val="1"/>
      <w:numFmt w:val="upperRoman"/>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330EEC"/>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F34C7"/>
    <w:multiLevelType w:val="hybridMultilevel"/>
    <w:tmpl w:val="C2EA3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7974D1"/>
    <w:multiLevelType w:val="hybridMultilevel"/>
    <w:tmpl w:val="93D6F178"/>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B2399D"/>
    <w:multiLevelType w:val="hybridMultilevel"/>
    <w:tmpl w:val="1BAE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C6A02"/>
    <w:multiLevelType w:val="hybridMultilevel"/>
    <w:tmpl w:val="554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5"/>
  </w:num>
  <w:num w:numId="5">
    <w:abstractNumId w:val="2"/>
  </w:num>
  <w:num w:numId="6">
    <w:abstractNumId w:val="15"/>
  </w:num>
  <w:num w:numId="7">
    <w:abstractNumId w:val="7"/>
  </w:num>
  <w:num w:numId="8">
    <w:abstractNumId w:val="14"/>
  </w:num>
  <w:num w:numId="9">
    <w:abstractNumId w:val="6"/>
  </w:num>
  <w:num w:numId="10">
    <w:abstractNumId w:val="9"/>
  </w:num>
  <w:num w:numId="11">
    <w:abstractNumId w:val="1"/>
  </w:num>
  <w:num w:numId="12">
    <w:abstractNumId w:val="12"/>
  </w:num>
  <w:num w:numId="13">
    <w:abstractNumId w:val="8"/>
  </w:num>
  <w:num w:numId="14">
    <w:abstractNumId w:val="3"/>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B8"/>
    <w:rsid w:val="000210D4"/>
    <w:rsid w:val="00034626"/>
    <w:rsid w:val="00035B7B"/>
    <w:rsid w:val="00063016"/>
    <w:rsid w:val="00066795"/>
    <w:rsid w:val="00076AF6"/>
    <w:rsid w:val="00085CF2"/>
    <w:rsid w:val="000A22CB"/>
    <w:rsid w:val="000B1705"/>
    <w:rsid w:val="000D5F5E"/>
    <w:rsid w:val="000D75B2"/>
    <w:rsid w:val="000F2B58"/>
    <w:rsid w:val="001121F5"/>
    <w:rsid w:val="00114C0C"/>
    <w:rsid w:val="00120F23"/>
    <w:rsid w:val="00126B36"/>
    <w:rsid w:val="00127FC1"/>
    <w:rsid w:val="00133A9E"/>
    <w:rsid w:val="001400DC"/>
    <w:rsid w:val="00140CE1"/>
    <w:rsid w:val="001447A8"/>
    <w:rsid w:val="00161296"/>
    <w:rsid w:val="0017539C"/>
    <w:rsid w:val="00175AC2"/>
    <w:rsid w:val="0017609F"/>
    <w:rsid w:val="00184D77"/>
    <w:rsid w:val="00195B40"/>
    <w:rsid w:val="001C22E9"/>
    <w:rsid w:val="001C628E"/>
    <w:rsid w:val="001E0F7B"/>
    <w:rsid w:val="001E68EF"/>
    <w:rsid w:val="002072BE"/>
    <w:rsid w:val="002119FD"/>
    <w:rsid w:val="002130E0"/>
    <w:rsid w:val="00227B50"/>
    <w:rsid w:val="00233E9C"/>
    <w:rsid w:val="0024104F"/>
    <w:rsid w:val="00243987"/>
    <w:rsid w:val="002458E3"/>
    <w:rsid w:val="00254031"/>
    <w:rsid w:val="00264425"/>
    <w:rsid w:val="00265875"/>
    <w:rsid w:val="0027303B"/>
    <w:rsid w:val="0028109B"/>
    <w:rsid w:val="00282799"/>
    <w:rsid w:val="00282C76"/>
    <w:rsid w:val="002869AC"/>
    <w:rsid w:val="00286B22"/>
    <w:rsid w:val="002B1F58"/>
    <w:rsid w:val="002C1C7A"/>
    <w:rsid w:val="002F46AA"/>
    <w:rsid w:val="0030160F"/>
    <w:rsid w:val="0030275D"/>
    <w:rsid w:val="0031207A"/>
    <w:rsid w:val="003144E5"/>
    <w:rsid w:val="00322D0D"/>
    <w:rsid w:val="00367D9F"/>
    <w:rsid w:val="003942D4"/>
    <w:rsid w:val="003958A8"/>
    <w:rsid w:val="003B3BFA"/>
    <w:rsid w:val="003C2533"/>
    <w:rsid w:val="0040435A"/>
    <w:rsid w:val="004139C2"/>
    <w:rsid w:val="00414FD9"/>
    <w:rsid w:val="00416A24"/>
    <w:rsid w:val="00431D9E"/>
    <w:rsid w:val="00433CE8"/>
    <w:rsid w:val="00434A5C"/>
    <w:rsid w:val="0043686E"/>
    <w:rsid w:val="004544D9"/>
    <w:rsid w:val="00490E72"/>
    <w:rsid w:val="00491157"/>
    <w:rsid w:val="004921C8"/>
    <w:rsid w:val="004A6F25"/>
    <w:rsid w:val="004C46FF"/>
    <w:rsid w:val="004D1851"/>
    <w:rsid w:val="004D599D"/>
    <w:rsid w:val="004E2EA5"/>
    <w:rsid w:val="004E3AEB"/>
    <w:rsid w:val="0050223C"/>
    <w:rsid w:val="0052059C"/>
    <w:rsid w:val="005243FF"/>
    <w:rsid w:val="00557B29"/>
    <w:rsid w:val="00564FBC"/>
    <w:rsid w:val="00582442"/>
    <w:rsid w:val="00592D4E"/>
    <w:rsid w:val="00592F04"/>
    <w:rsid w:val="005953BD"/>
    <w:rsid w:val="005B76EA"/>
    <w:rsid w:val="005C06E7"/>
    <w:rsid w:val="005D1AAB"/>
    <w:rsid w:val="005F1871"/>
    <w:rsid w:val="005F2817"/>
    <w:rsid w:val="005F6176"/>
    <w:rsid w:val="006132C3"/>
    <w:rsid w:val="00616196"/>
    <w:rsid w:val="0063373E"/>
    <w:rsid w:val="00633968"/>
    <w:rsid w:val="0063621E"/>
    <w:rsid w:val="0064737F"/>
    <w:rsid w:val="006535F1"/>
    <w:rsid w:val="0065557D"/>
    <w:rsid w:val="00655D2C"/>
    <w:rsid w:val="00662984"/>
    <w:rsid w:val="006702FD"/>
    <w:rsid w:val="006716BB"/>
    <w:rsid w:val="0068792C"/>
    <w:rsid w:val="00691F85"/>
    <w:rsid w:val="006925B3"/>
    <w:rsid w:val="006B6680"/>
    <w:rsid w:val="006B6DCC"/>
    <w:rsid w:val="00702DEF"/>
    <w:rsid w:val="00706861"/>
    <w:rsid w:val="00706AAD"/>
    <w:rsid w:val="0075051B"/>
    <w:rsid w:val="00753A8D"/>
    <w:rsid w:val="007678FA"/>
    <w:rsid w:val="00771DB6"/>
    <w:rsid w:val="00794D34"/>
    <w:rsid w:val="007B55C8"/>
    <w:rsid w:val="007E4C87"/>
    <w:rsid w:val="007F2004"/>
    <w:rsid w:val="00813B78"/>
    <w:rsid w:val="00813E5E"/>
    <w:rsid w:val="0083581B"/>
    <w:rsid w:val="00851FE6"/>
    <w:rsid w:val="00864AFF"/>
    <w:rsid w:val="008B4A6A"/>
    <w:rsid w:val="008C7E27"/>
    <w:rsid w:val="008D3C4A"/>
    <w:rsid w:val="008F5E02"/>
    <w:rsid w:val="00913616"/>
    <w:rsid w:val="009173EF"/>
    <w:rsid w:val="00921B4F"/>
    <w:rsid w:val="00931218"/>
    <w:rsid w:val="00932906"/>
    <w:rsid w:val="00934B11"/>
    <w:rsid w:val="00961B0B"/>
    <w:rsid w:val="00983FA2"/>
    <w:rsid w:val="00985B9B"/>
    <w:rsid w:val="009933DB"/>
    <w:rsid w:val="009B38C3"/>
    <w:rsid w:val="009C0601"/>
    <w:rsid w:val="009E17BD"/>
    <w:rsid w:val="009E6E40"/>
    <w:rsid w:val="009E7447"/>
    <w:rsid w:val="009F3B23"/>
    <w:rsid w:val="00A04CEC"/>
    <w:rsid w:val="00A27F92"/>
    <w:rsid w:val="00A32257"/>
    <w:rsid w:val="00A36D20"/>
    <w:rsid w:val="00A55622"/>
    <w:rsid w:val="00A83502"/>
    <w:rsid w:val="00AA1B18"/>
    <w:rsid w:val="00AB1465"/>
    <w:rsid w:val="00AC3C09"/>
    <w:rsid w:val="00AD15B3"/>
    <w:rsid w:val="00AE59FD"/>
    <w:rsid w:val="00AF315D"/>
    <w:rsid w:val="00AF6E49"/>
    <w:rsid w:val="00B016C3"/>
    <w:rsid w:val="00B04A67"/>
    <w:rsid w:val="00B0583C"/>
    <w:rsid w:val="00B10891"/>
    <w:rsid w:val="00B131D7"/>
    <w:rsid w:val="00B16400"/>
    <w:rsid w:val="00B30B17"/>
    <w:rsid w:val="00B40A81"/>
    <w:rsid w:val="00B44910"/>
    <w:rsid w:val="00B464EC"/>
    <w:rsid w:val="00B566D1"/>
    <w:rsid w:val="00B64567"/>
    <w:rsid w:val="00B64B16"/>
    <w:rsid w:val="00B72267"/>
    <w:rsid w:val="00B763B8"/>
    <w:rsid w:val="00B76EB6"/>
    <w:rsid w:val="00B7737B"/>
    <w:rsid w:val="00B80DB0"/>
    <w:rsid w:val="00B824C8"/>
    <w:rsid w:val="00BA22D8"/>
    <w:rsid w:val="00BC005B"/>
    <w:rsid w:val="00BC04B9"/>
    <w:rsid w:val="00BC04BB"/>
    <w:rsid w:val="00BC251A"/>
    <w:rsid w:val="00BD032B"/>
    <w:rsid w:val="00BE2640"/>
    <w:rsid w:val="00BE788B"/>
    <w:rsid w:val="00BF5303"/>
    <w:rsid w:val="00C01189"/>
    <w:rsid w:val="00C374DE"/>
    <w:rsid w:val="00C47AD4"/>
    <w:rsid w:val="00C52D81"/>
    <w:rsid w:val="00C55198"/>
    <w:rsid w:val="00C556C6"/>
    <w:rsid w:val="00C8337A"/>
    <w:rsid w:val="00C95BA3"/>
    <w:rsid w:val="00CA6393"/>
    <w:rsid w:val="00CB18FF"/>
    <w:rsid w:val="00CD0C08"/>
    <w:rsid w:val="00CE03FB"/>
    <w:rsid w:val="00CE433C"/>
    <w:rsid w:val="00CF33F3"/>
    <w:rsid w:val="00D06183"/>
    <w:rsid w:val="00D22C42"/>
    <w:rsid w:val="00D500DC"/>
    <w:rsid w:val="00D64BCA"/>
    <w:rsid w:val="00D65041"/>
    <w:rsid w:val="00D85482"/>
    <w:rsid w:val="00DB384B"/>
    <w:rsid w:val="00DB6FB8"/>
    <w:rsid w:val="00DC7F82"/>
    <w:rsid w:val="00DC7F97"/>
    <w:rsid w:val="00E02A60"/>
    <w:rsid w:val="00E032A0"/>
    <w:rsid w:val="00E10E80"/>
    <w:rsid w:val="00E124F0"/>
    <w:rsid w:val="00E439A2"/>
    <w:rsid w:val="00E60F04"/>
    <w:rsid w:val="00E64052"/>
    <w:rsid w:val="00E76CE6"/>
    <w:rsid w:val="00E854E4"/>
    <w:rsid w:val="00E90C06"/>
    <w:rsid w:val="00EA5865"/>
    <w:rsid w:val="00EB0D6F"/>
    <w:rsid w:val="00EB2232"/>
    <w:rsid w:val="00EB41B6"/>
    <w:rsid w:val="00EB7B3B"/>
    <w:rsid w:val="00EC5337"/>
    <w:rsid w:val="00ED3C78"/>
    <w:rsid w:val="00EE41A0"/>
    <w:rsid w:val="00EF6257"/>
    <w:rsid w:val="00F2150A"/>
    <w:rsid w:val="00F231D8"/>
    <w:rsid w:val="00F259FE"/>
    <w:rsid w:val="00F46374"/>
    <w:rsid w:val="00F46C5F"/>
    <w:rsid w:val="00F94920"/>
    <w:rsid w:val="00F94A63"/>
    <w:rsid w:val="00FA0387"/>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BFB5D4"/>
  <w15:docId w15:val="{0CA5754F-DA8B-4EC4-AA15-7C96E986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763B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B763B8"/>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Heading1Char">
    <w:name w:val="Heading 1 Char"/>
    <w:link w:val="Heading1"/>
    <w:rsid w:val="00B763B8"/>
    <w:rPr>
      <w:rFonts w:ascii="Calibri" w:hAnsi="Calibri"/>
      <w:b/>
      <w:sz w:val="28"/>
      <w:lang w:val="en-GB" w:eastAsia="en-US"/>
    </w:rPr>
  </w:style>
  <w:style w:type="character" w:customStyle="1" w:styleId="FootnoteTextChar">
    <w:name w:val="Footnote Text Char"/>
    <w:link w:val="FootnoteText"/>
    <w:rsid w:val="00B763B8"/>
    <w:rPr>
      <w:rFonts w:ascii="Calibri" w:hAnsi="Calibri"/>
      <w:sz w:val="24"/>
      <w:lang w:val="en-GB" w:eastAsia="en-US"/>
    </w:rPr>
  </w:style>
  <w:style w:type="character" w:styleId="Emphasis">
    <w:name w:val="Emphasis"/>
    <w:basedOn w:val="DefaultParagraphFont"/>
    <w:qFormat/>
    <w:rsid w:val="003144E5"/>
    <w:rPr>
      <w:i/>
      <w:iCs/>
    </w:rPr>
  </w:style>
  <w:style w:type="paragraph" w:styleId="BalloonText">
    <w:name w:val="Balloon Text"/>
    <w:basedOn w:val="Normal"/>
    <w:link w:val="BalloonTextChar"/>
    <w:semiHidden/>
    <w:unhideWhenUsed/>
    <w:rsid w:val="00E76CE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6CE6"/>
    <w:rPr>
      <w:rFonts w:ascii="Segoe UI" w:hAnsi="Segoe UI" w:cs="Segoe UI"/>
      <w:sz w:val="18"/>
      <w:szCs w:val="18"/>
      <w:lang w:val="en-GB" w:eastAsia="en-US"/>
    </w:rPr>
  </w:style>
  <w:style w:type="character" w:styleId="CommentReference">
    <w:name w:val="annotation reference"/>
    <w:basedOn w:val="DefaultParagraphFont"/>
    <w:semiHidden/>
    <w:unhideWhenUsed/>
    <w:rsid w:val="00E76CE6"/>
    <w:rPr>
      <w:sz w:val="16"/>
      <w:szCs w:val="16"/>
    </w:rPr>
  </w:style>
  <w:style w:type="paragraph" w:styleId="CommentText">
    <w:name w:val="annotation text"/>
    <w:basedOn w:val="Normal"/>
    <w:link w:val="CommentTextChar"/>
    <w:semiHidden/>
    <w:unhideWhenUsed/>
    <w:rsid w:val="00E76CE6"/>
    <w:rPr>
      <w:sz w:val="20"/>
    </w:rPr>
  </w:style>
  <w:style w:type="character" w:customStyle="1" w:styleId="CommentTextChar">
    <w:name w:val="Comment Text Char"/>
    <w:basedOn w:val="DefaultParagraphFont"/>
    <w:link w:val="CommentText"/>
    <w:semiHidden/>
    <w:rsid w:val="00E76CE6"/>
    <w:rPr>
      <w:rFonts w:ascii="Calibri" w:hAnsi="Calibri"/>
      <w:lang w:val="en-GB" w:eastAsia="en-US"/>
    </w:rPr>
  </w:style>
  <w:style w:type="paragraph" w:styleId="CommentSubject">
    <w:name w:val="annotation subject"/>
    <w:basedOn w:val="CommentText"/>
    <w:next w:val="CommentText"/>
    <w:link w:val="CommentSubjectChar"/>
    <w:semiHidden/>
    <w:unhideWhenUsed/>
    <w:rsid w:val="00E76CE6"/>
    <w:rPr>
      <w:b/>
      <w:bCs/>
    </w:rPr>
  </w:style>
  <w:style w:type="character" w:customStyle="1" w:styleId="CommentSubjectChar">
    <w:name w:val="Comment Subject Char"/>
    <w:basedOn w:val="CommentTextChar"/>
    <w:link w:val="CommentSubject"/>
    <w:semiHidden/>
    <w:rsid w:val="00E76CE6"/>
    <w:rPr>
      <w:rFonts w:ascii="Calibri" w:hAnsi="Calibri"/>
      <w:b/>
      <w:bCs/>
      <w:lang w:val="en-GB" w:eastAsia="en-US"/>
    </w:rPr>
  </w:style>
  <w:style w:type="paragraph" w:styleId="NormalWeb">
    <w:name w:val="Normal (Web)"/>
    <w:basedOn w:val="Normal"/>
    <w:uiPriority w:val="99"/>
    <w:rsid w:val="00E02A6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Verdana" w:hAnsi="Verdana"/>
      <w:szCs w:val="24"/>
      <w:lang w:val="en-US"/>
    </w:rPr>
  </w:style>
  <w:style w:type="paragraph" w:customStyle="1" w:styleId="Default">
    <w:name w:val="Default"/>
    <w:rsid w:val="00233E9C"/>
    <w:pPr>
      <w:autoSpaceDE w:val="0"/>
      <w:autoSpaceDN w:val="0"/>
      <w:adjustRightInd w:val="0"/>
    </w:pPr>
    <w:rPr>
      <w:rFonts w:ascii="Calibri" w:hAnsi="Calibri" w:cs="Calibri"/>
      <w:color w:val="000000"/>
      <w:sz w:val="24"/>
      <w:szCs w:val="24"/>
    </w:rPr>
  </w:style>
  <w:style w:type="paragraph" w:customStyle="1" w:styleId="Style1">
    <w:name w:val="Style1"/>
    <w:basedOn w:val="Heading3"/>
    <w:link w:val="Style1Char"/>
    <w:qFormat/>
    <w:rsid w:val="00C8337A"/>
    <w:pPr>
      <w:keepLines w:val="0"/>
      <w:numPr>
        <w:numId w:val="14"/>
      </w:numPr>
      <w:tabs>
        <w:tab w:val="clear" w:pos="567"/>
        <w:tab w:val="clear" w:pos="1134"/>
        <w:tab w:val="clear" w:pos="1701"/>
        <w:tab w:val="clear" w:pos="2268"/>
        <w:tab w:val="clear" w:pos="2835"/>
      </w:tabs>
      <w:overflowPunct/>
      <w:autoSpaceDE/>
      <w:autoSpaceDN/>
      <w:adjustRightInd/>
      <w:spacing w:before="0"/>
      <w:jc w:val="both"/>
      <w:textAlignment w:val="auto"/>
    </w:pPr>
    <w:rPr>
      <w:rFonts w:eastAsia="SimSun" w:cs="Arial"/>
      <w:b w:val="0"/>
      <w:sz w:val="22"/>
      <w:szCs w:val="22"/>
      <w:lang w:eastAsia="zh-CN"/>
    </w:rPr>
  </w:style>
  <w:style w:type="character" w:customStyle="1" w:styleId="Style1Char">
    <w:name w:val="Style1 Char"/>
    <w:basedOn w:val="DefaultParagraphFont"/>
    <w:link w:val="Style1"/>
    <w:rsid w:val="00C8337A"/>
    <w:rPr>
      <w:rFonts w:ascii="Calibri" w:eastAsia="SimSun" w:hAnsi="Calibri"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542324">
      <w:bodyDiv w:val="1"/>
      <w:marLeft w:val="0"/>
      <w:marRight w:val="0"/>
      <w:marTop w:val="0"/>
      <w:marBottom w:val="0"/>
      <w:divBdr>
        <w:top w:val="none" w:sz="0" w:space="0" w:color="auto"/>
        <w:left w:val="none" w:sz="0" w:space="0" w:color="auto"/>
        <w:bottom w:val="none" w:sz="0" w:space="0" w:color="auto"/>
        <w:right w:val="none" w:sz="0" w:space="0" w:color="auto"/>
      </w:divBdr>
    </w:div>
    <w:div w:id="1544294029">
      <w:bodyDiv w:val="1"/>
      <w:marLeft w:val="0"/>
      <w:marRight w:val="0"/>
      <w:marTop w:val="0"/>
      <w:marBottom w:val="0"/>
      <w:divBdr>
        <w:top w:val="none" w:sz="0" w:space="0" w:color="auto"/>
        <w:left w:val="none" w:sz="0" w:space="0" w:color="auto"/>
        <w:bottom w:val="none" w:sz="0" w:space="0" w:color="auto"/>
        <w:right w:val="none" w:sz="0" w:space="0" w:color="auto"/>
      </w:divBdr>
    </w:div>
    <w:div w:id="20513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2F32-1A83-48B9-8F2D-A7C99139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4239</Words>
  <Characters>23393</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Internal audit report</vt:lpstr>
    </vt:vector>
  </TitlesOfParts>
  <Manager>General Secretariat - Pool</Manager>
  <Company>International Telecommunication Union (ITU)</Company>
  <LinksUpToDate>false</LinksUpToDate>
  <CharactersWithSpaces>27577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report</dc:title>
  <dc:subject>Council 2017</dc:subject>
  <dc:creator>Bogdan, Doreen</dc:creator>
  <cp:keywords>C2018, C18</cp:keywords>
  <dc:description/>
  <cp:lastModifiedBy>Janin</cp:lastModifiedBy>
  <cp:revision>4</cp:revision>
  <cp:lastPrinted>2018-03-07T10:40:00Z</cp:lastPrinted>
  <dcterms:created xsi:type="dcterms:W3CDTF">2018-03-07T18:02:00Z</dcterms:created>
  <dcterms:modified xsi:type="dcterms:W3CDTF">2018-03-08T13:10:00Z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