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92392D">
        <w:trPr>
          <w:cantSplit/>
        </w:trPr>
        <w:tc>
          <w:tcPr>
            <w:tcW w:w="6912" w:type="dxa"/>
          </w:tcPr>
          <w:p w:rsidR="00520F36" w:rsidRPr="0092392D" w:rsidRDefault="00520F36" w:rsidP="003C3FAE">
            <w:pPr>
              <w:spacing w:before="360"/>
              <w:rPr>
                <w:lang w:val="fr-CH"/>
              </w:rPr>
            </w:pPr>
            <w:bookmarkStart w:id="0" w:name="dc06"/>
            <w:bookmarkEnd w:id="0"/>
            <w:r w:rsidRPr="00520F36">
              <w:rPr>
                <w:b/>
                <w:bCs/>
                <w:sz w:val="30"/>
                <w:szCs w:val="30"/>
                <w:lang w:val="fr-CH"/>
              </w:rPr>
              <w:t>Conseil 201</w:t>
            </w:r>
            <w:r w:rsidR="003C3FAE">
              <w:rPr>
                <w:b/>
                <w:bCs/>
                <w:sz w:val="30"/>
                <w:szCs w:val="30"/>
                <w:lang w:val="fr-CH"/>
              </w:rPr>
              <w:t>8</w:t>
            </w:r>
            <w:r w:rsidRPr="00520F36">
              <w:rPr>
                <w:rFonts w:ascii="Verdana" w:hAnsi="Verdana"/>
                <w:b/>
                <w:bCs/>
                <w:sz w:val="26"/>
                <w:szCs w:val="26"/>
                <w:lang w:val="fr-CH"/>
              </w:rPr>
              <w:br/>
            </w:r>
            <w:r w:rsidRPr="00520F36">
              <w:rPr>
                <w:b/>
                <w:bCs/>
                <w:szCs w:val="24"/>
                <w:lang w:val="fr-CH"/>
              </w:rPr>
              <w:t>Gen</w:t>
            </w:r>
            <w:r w:rsidRPr="00520F36">
              <w:rPr>
                <w:b/>
                <w:bCs/>
                <w:szCs w:val="24"/>
                <w:lang w:val="en-US"/>
              </w:rPr>
              <w:t>ève</w:t>
            </w:r>
            <w:r w:rsidRPr="00520F36">
              <w:rPr>
                <w:b/>
                <w:bCs/>
                <w:szCs w:val="24"/>
                <w:lang w:val="fr-CH"/>
              </w:rPr>
              <w:t>, 1</w:t>
            </w:r>
            <w:r w:rsidR="003C3FAE">
              <w:rPr>
                <w:b/>
                <w:bCs/>
                <w:szCs w:val="24"/>
                <w:lang w:val="fr-CH"/>
              </w:rPr>
              <w:t>7</w:t>
            </w:r>
            <w:r w:rsidRPr="00520F36">
              <w:rPr>
                <w:b/>
                <w:bCs/>
                <w:szCs w:val="24"/>
                <w:lang w:val="fr-CH"/>
              </w:rPr>
              <w:t>-2</w:t>
            </w:r>
            <w:r w:rsidR="003C3FAE">
              <w:rPr>
                <w:b/>
                <w:bCs/>
                <w:szCs w:val="24"/>
                <w:lang w:val="fr-CH"/>
              </w:rPr>
              <w:t>7</w:t>
            </w:r>
            <w:r w:rsidRPr="00520F36">
              <w:rPr>
                <w:b/>
                <w:bCs/>
                <w:szCs w:val="24"/>
                <w:lang w:val="fr-CH"/>
              </w:rPr>
              <w:t xml:space="preserve"> </w:t>
            </w:r>
            <w:r w:rsidR="003C3FAE">
              <w:rPr>
                <w:b/>
                <w:bCs/>
                <w:szCs w:val="24"/>
                <w:lang w:val="fr-CH"/>
              </w:rPr>
              <w:t>avril</w:t>
            </w:r>
            <w:r w:rsidRPr="00520F36">
              <w:rPr>
                <w:b/>
                <w:bCs/>
                <w:szCs w:val="24"/>
                <w:lang w:val="fr-CH"/>
              </w:rPr>
              <w:t xml:space="preserve"> 201</w:t>
            </w:r>
            <w:r w:rsidR="003C3FAE">
              <w:rPr>
                <w:b/>
                <w:bCs/>
                <w:szCs w:val="24"/>
                <w:lang w:val="fr-CH"/>
              </w:rPr>
              <w:t>8</w:t>
            </w:r>
          </w:p>
        </w:tc>
        <w:tc>
          <w:tcPr>
            <w:tcW w:w="3261" w:type="dxa"/>
          </w:tcPr>
          <w:p w:rsidR="00520F36" w:rsidRPr="0092392D" w:rsidRDefault="00520F36" w:rsidP="00520F36">
            <w:pPr>
              <w:spacing w:before="0"/>
              <w:jc w:val="right"/>
              <w:rPr>
                <w:lang w:val="fr-CH"/>
              </w:rPr>
            </w:pPr>
            <w:bookmarkStart w:id="1" w:name="ditulogo"/>
            <w:bookmarkEnd w:id="1"/>
            <w:r w:rsidRPr="00520F36">
              <w:rPr>
                <w:rFonts w:cstheme="minorHAnsi"/>
                <w:b/>
                <w:bCs/>
                <w:noProof/>
                <w:lang w:val="en-US" w:eastAsia="zh-CN"/>
              </w:rPr>
              <w:drawing>
                <wp:inline distT="0" distB="0" distL="0" distR="0" wp14:anchorId="483F5B98" wp14:editId="41A9B441">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520F36" w:rsidRPr="0092392D" w:rsidTr="00EF41DD">
        <w:trPr>
          <w:cantSplit/>
          <w:trHeight w:val="20"/>
        </w:trPr>
        <w:tc>
          <w:tcPr>
            <w:tcW w:w="6912" w:type="dxa"/>
            <w:tcBorders>
              <w:bottom w:val="single" w:sz="12" w:space="0" w:color="auto"/>
            </w:tcBorders>
            <w:vAlign w:val="center"/>
          </w:tcPr>
          <w:p w:rsidR="00520F36" w:rsidRPr="00361350" w:rsidRDefault="00520F36" w:rsidP="004C37A9">
            <w:pPr>
              <w:spacing w:before="0"/>
              <w:rPr>
                <w:b/>
                <w:bCs/>
                <w:sz w:val="26"/>
                <w:szCs w:val="26"/>
                <w:lang w:val="fr-CH"/>
              </w:rPr>
            </w:pPr>
          </w:p>
        </w:tc>
        <w:tc>
          <w:tcPr>
            <w:tcW w:w="3261" w:type="dxa"/>
            <w:tcBorders>
              <w:bottom w:val="single" w:sz="12" w:space="0" w:color="auto"/>
            </w:tcBorders>
          </w:tcPr>
          <w:p w:rsidR="00520F36" w:rsidRPr="0092392D" w:rsidRDefault="00520F36" w:rsidP="00DF74DD">
            <w:pPr>
              <w:spacing w:before="0"/>
              <w:rPr>
                <w:b/>
                <w:bCs/>
              </w:rPr>
            </w:pPr>
          </w:p>
        </w:tc>
      </w:tr>
      <w:tr w:rsidR="00520F36" w:rsidRPr="0092392D">
        <w:trPr>
          <w:cantSplit/>
          <w:trHeight w:val="20"/>
        </w:trPr>
        <w:tc>
          <w:tcPr>
            <w:tcW w:w="6912" w:type="dxa"/>
            <w:tcBorders>
              <w:top w:val="single" w:sz="12" w:space="0" w:color="auto"/>
            </w:tcBorders>
          </w:tcPr>
          <w:p w:rsidR="00520F36" w:rsidRPr="0092392D" w:rsidRDefault="00520F36" w:rsidP="00DF74DD">
            <w:pPr>
              <w:spacing w:before="0"/>
              <w:rPr>
                <w:smallCaps/>
                <w:sz w:val="22"/>
                <w:lang w:val="fr-CH"/>
              </w:rPr>
            </w:pPr>
          </w:p>
        </w:tc>
        <w:tc>
          <w:tcPr>
            <w:tcW w:w="3261" w:type="dxa"/>
            <w:tcBorders>
              <w:top w:val="single" w:sz="12" w:space="0" w:color="auto"/>
            </w:tcBorders>
          </w:tcPr>
          <w:p w:rsidR="00520F36" w:rsidRPr="0092392D" w:rsidRDefault="00520F36" w:rsidP="00DF74DD">
            <w:pPr>
              <w:spacing w:before="0"/>
              <w:rPr>
                <w:b/>
                <w:bCs/>
              </w:rPr>
            </w:pPr>
          </w:p>
        </w:tc>
      </w:tr>
      <w:tr w:rsidR="00520F36" w:rsidRPr="0092392D">
        <w:trPr>
          <w:cantSplit/>
          <w:trHeight w:val="20"/>
        </w:trPr>
        <w:tc>
          <w:tcPr>
            <w:tcW w:w="6912" w:type="dxa"/>
            <w:vMerge w:val="restart"/>
          </w:tcPr>
          <w:p w:rsidR="00520F36" w:rsidRPr="00520F36" w:rsidRDefault="00EC077A" w:rsidP="00DF74DD">
            <w:pPr>
              <w:spacing w:before="0"/>
              <w:rPr>
                <w:rFonts w:cs="Times"/>
                <w:b/>
                <w:bCs/>
                <w:szCs w:val="24"/>
                <w:lang w:val="fr-CH"/>
              </w:rPr>
            </w:pPr>
            <w:bookmarkStart w:id="2" w:name="dnum" w:colFirst="1" w:colLast="1"/>
            <w:bookmarkStart w:id="3" w:name="dmeeting" w:colFirst="0" w:colLast="0"/>
            <w:r w:rsidRPr="00400494">
              <w:rPr>
                <w:b/>
              </w:rPr>
              <w:t>Point de l</w:t>
            </w:r>
            <w:r w:rsidR="000F6CBA">
              <w:rPr>
                <w:b/>
              </w:rPr>
              <w:t>'</w:t>
            </w:r>
            <w:r w:rsidRPr="00400494">
              <w:rPr>
                <w:b/>
              </w:rPr>
              <w:t>ordre du jour</w:t>
            </w:r>
            <w:r w:rsidR="009E74F2">
              <w:rPr>
                <w:b/>
              </w:rPr>
              <w:t>:</w:t>
            </w:r>
            <w:r w:rsidRPr="00400494">
              <w:rPr>
                <w:b/>
              </w:rPr>
              <w:t xml:space="preserve"> ADM 12</w:t>
            </w:r>
          </w:p>
        </w:tc>
        <w:tc>
          <w:tcPr>
            <w:tcW w:w="3261" w:type="dxa"/>
          </w:tcPr>
          <w:p w:rsidR="00520F36" w:rsidRPr="00520F36" w:rsidRDefault="00520F36" w:rsidP="00EC077A">
            <w:pPr>
              <w:spacing w:before="0"/>
              <w:rPr>
                <w:b/>
                <w:bCs/>
              </w:rPr>
            </w:pPr>
            <w:r>
              <w:rPr>
                <w:b/>
                <w:bCs/>
              </w:rPr>
              <w:t>Document C1</w:t>
            </w:r>
            <w:r w:rsidR="003C3FAE">
              <w:rPr>
                <w:b/>
                <w:bCs/>
              </w:rPr>
              <w:t>8</w:t>
            </w:r>
            <w:r>
              <w:rPr>
                <w:b/>
                <w:bCs/>
              </w:rPr>
              <w:t>/</w:t>
            </w:r>
            <w:r w:rsidR="00EC077A">
              <w:rPr>
                <w:b/>
                <w:bCs/>
              </w:rPr>
              <w:t>44</w:t>
            </w:r>
            <w:r>
              <w:rPr>
                <w:b/>
                <w:bCs/>
              </w:rPr>
              <w:t>-F</w:t>
            </w:r>
          </w:p>
        </w:tc>
      </w:tr>
      <w:tr w:rsidR="00520F36" w:rsidRPr="0092392D">
        <w:trPr>
          <w:cantSplit/>
          <w:trHeight w:val="20"/>
        </w:trPr>
        <w:tc>
          <w:tcPr>
            <w:tcW w:w="6912" w:type="dxa"/>
            <w:vMerge/>
          </w:tcPr>
          <w:p w:rsidR="00520F36" w:rsidRPr="0092392D" w:rsidRDefault="00520F36" w:rsidP="00DF74DD">
            <w:pPr>
              <w:shd w:val="solid" w:color="FFFFFF" w:fill="FFFFFF"/>
              <w:spacing w:before="180"/>
              <w:rPr>
                <w:smallCaps/>
                <w:lang w:val="fr-CH"/>
              </w:rPr>
            </w:pPr>
            <w:bookmarkStart w:id="4" w:name="ddate" w:colFirst="1" w:colLast="1"/>
            <w:bookmarkEnd w:id="2"/>
            <w:bookmarkEnd w:id="3"/>
          </w:p>
        </w:tc>
        <w:tc>
          <w:tcPr>
            <w:tcW w:w="3261" w:type="dxa"/>
          </w:tcPr>
          <w:p w:rsidR="00520F36" w:rsidRPr="00520F36" w:rsidRDefault="00EC077A" w:rsidP="003C3FAE">
            <w:pPr>
              <w:spacing w:before="0"/>
              <w:rPr>
                <w:b/>
                <w:bCs/>
              </w:rPr>
            </w:pPr>
            <w:r>
              <w:rPr>
                <w:b/>
                <w:bCs/>
              </w:rPr>
              <w:t>8 mars</w:t>
            </w:r>
            <w:r w:rsidR="00520F36">
              <w:rPr>
                <w:b/>
                <w:bCs/>
              </w:rPr>
              <w:t xml:space="preserve"> 201</w:t>
            </w:r>
            <w:r w:rsidR="003C3FAE">
              <w:rPr>
                <w:b/>
                <w:bCs/>
              </w:rPr>
              <w:t>8</w:t>
            </w:r>
          </w:p>
        </w:tc>
      </w:tr>
      <w:tr w:rsidR="00520F36" w:rsidRPr="0092392D">
        <w:trPr>
          <w:cantSplit/>
          <w:trHeight w:val="20"/>
        </w:trPr>
        <w:tc>
          <w:tcPr>
            <w:tcW w:w="6912" w:type="dxa"/>
            <w:vMerge/>
          </w:tcPr>
          <w:p w:rsidR="00520F36" w:rsidRPr="0092392D" w:rsidRDefault="00520F36" w:rsidP="00DF74DD">
            <w:pPr>
              <w:shd w:val="solid" w:color="FFFFFF" w:fill="FFFFFF"/>
              <w:spacing w:before="180"/>
              <w:rPr>
                <w:smallCaps/>
                <w:lang w:val="fr-CH"/>
              </w:rPr>
            </w:pPr>
            <w:bookmarkStart w:id="5" w:name="dorlang" w:colFirst="1" w:colLast="1"/>
            <w:bookmarkEnd w:id="4"/>
          </w:p>
        </w:tc>
        <w:tc>
          <w:tcPr>
            <w:tcW w:w="3261" w:type="dxa"/>
          </w:tcPr>
          <w:p w:rsidR="00520F36" w:rsidRPr="00520F36" w:rsidRDefault="00520F36" w:rsidP="00520F36">
            <w:pPr>
              <w:spacing w:before="0"/>
              <w:rPr>
                <w:b/>
                <w:bCs/>
              </w:rPr>
            </w:pPr>
            <w:r>
              <w:rPr>
                <w:b/>
                <w:bCs/>
              </w:rPr>
              <w:t>Original: anglais</w:t>
            </w:r>
          </w:p>
        </w:tc>
      </w:tr>
      <w:tr w:rsidR="00520F36" w:rsidRPr="0092392D">
        <w:trPr>
          <w:cantSplit/>
        </w:trPr>
        <w:tc>
          <w:tcPr>
            <w:tcW w:w="10173" w:type="dxa"/>
            <w:gridSpan w:val="2"/>
          </w:tcPr>
          <w:p w:rsidR="00520F36" w:rsidRPr="0092392D" w:rsidRDefault="00EC077A" w:rsidP="00DF74DD">
            <w:pPr>
              <w:pStyle w:val="Source"/>
            </w:pPr>
            <w:bookmarkStart w:id="6" w:name="dsource" w:colFirst="0" w:colLast="0"/>
            <w:bookmarkEnd w:id="5"/>
            <w:r w:rsidRPr="00400494">
              <w:t>Rapport du Secrétaire général</w:t>
            </w:r>
          </w:p>
        </w:tc>
      </w:tr>
      <w:tr w:rsidR="00520F36" w:rsidRPr="0092392D">
        <w:trPr>
          <w:cantSplit/>
        </w:trPr>
        <w:tc>
          <w:tcPr>
            <w:tcW w:w="10173" w:type="dxa"/>
            <w:gridSpan w:val="2"/>
          </w:tcPr>
          <w:p w:rsidR="00520F36" w:rsidRPr="0092392D" w:rsidRDefault="00EC077A" w:rsidP="00DF74DD">
            <w:pPr>
              <w:pStyle w:val="Title1"/>
            </w:pPr>
            <w:bookmarkStart w:id="7" w:name="dtitle1" w:colFirst="0" w:colLast="0"/>
            <w:bookmarkEnd w:id="6"/>
            <w:r w:rsidRPr="00400494">
              <w:t>RAPPORT DE L</w:t>
            </w:r>
            <w:r w:rsidR="000F6CBA">
              <w:t>'</w:t>
            </w:r>
            <w:r w:rsidRPr="00400494">
              <w:t>AUDITEUR INTERNE SUR LES ACTIVITéS D</w:t>
            </w:r>
            <w:r w:rsidR="000F6CBA">
              <w:t>'</w:t>
            </w:r>
            <w:r w:rsidRPr="00400494">
              <w:t>AUDIT INTERNE</w:t>
            </w:r>
          </w:p>
        </w:tc>
      </w:tr>
      <w:bookmarkEnd w:id="7"/>
    </w:tbl>
    <w:p w:rsidR="00520F36" w:rsidRPr="0092392D" w:rsidRDefault="00520F36">
      <w:pPr>
        <w:rPr>
          <w:lang w:val="fr-CH"/>
        </w:rPr>
      </w:pP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520F36" w:rsidRPr="0092392D">
        <w:trPr>
          <w:trHeight w:val="3372"/>
        </w:trPr>
        <w:tc>
          <w:tcPr>
            <w:tcW w:w="8080" w:type="dxa"/>
            <w:tcBorders>
              <w:top w:val="single" w:sz="12" w:space="0" w:color="auto"/>
              <w:left w:val="single" w:sz="12" w:space="0" w:color="auto"/>
              <w:bottom w:val="single" w:sz="12" w:space="0" w:color="auto"/>
              <w:right w:val="single" w:sz="12" w:space="0" w:color="auto"/>
            </w:tcBorders>
          </w:tcPr>
          <w:p w:rsidR="00520F36" w:rsidRPr="0092392D" w:rsidRDefault="00520F36">
            <w:pPr>
              <w:pStyle w:val="Headingb"/>
              <w:rPr>
                <w:lang w:val="fr-CH"/>
              </w:rPr>
            </w:pPr>
            <w:r w:rsidRPr="0092392D">
              <w:rPr>
                <w:lang w:val="fr-CH"/>
              </w:rPr>
              <w:t>Résumé</w:t>
            </w:r>
          </w:p>
          <w:p w:rsidR="00520F36" w:rsidRPr="0092392D" w:rsidRDefault="0042547C">
            <w:pPr>
              <w:rPr>
                <w:lang w:val="fr-CH"/>
              </w:rPr>
            </w:pPr>
            <w:r w:rsidRPr="00400494">
              <w:t>Le présent rapport couvre les activités d</w:t>
            </w:r>
            <w:r w:rsidR="000F6CBA">
              <w:t>'</w:t>
            </w:r>
            <w:r w:rsidRPr="00400494">
              <w:t>audit interne menées durant la période de mars 2017 à mars 2018.</w:t>
            </w:r>
          </w:p>
          <w:p w:rsidR="00520F36" w:rsidRPr="0092392D" w:rsidRDefault="00520F36">
            <w:pPr>
              <w:pStyle w:val="Headingb"/>
              <w:rPr>
                <w:lang w:val="fr-CH"/>
              </w:rPr>
            </w:pPr>
            <w:r w:rsidRPr="0092392D">
              <w:rPr>
                <w:lang w:val="fr-CH"/>
              </w:rPr>
              <w:t>Suite à donner</w:t>
            </w:r>
          </w:p>
          <w:p w:rsidR="00520F36" w:rsidRPr="0092392D" w:rsidRDefault="0042547C">
            <w:pPr>
              <w:rPr>
                <w:lang w:val="fr-CH"/>
              </w:rPr>
            </w:pPr>
            <w:r w:rsidRPr="00400494">
              <w:t xml:space="preserve">Le présent rapport est transmis au Conseil </w:t>
            </w:r>
            <w:r w:rsidRPr="00400494">
              <w:rPr>
                <w:b/>
              </w:rPr>
              <w:t>pour examen</w:t>
            </w:r>
            <w:r w:rsidRPr="00400494">
              <w:t>.</w:t>
            </w:r>
          </w:p>
          <w:p w:rsidR="00520F36" w:rsidRPr="0092392D" w:rsidRDefault="00520F36">
            <w:pPr>
              <w:pStyle w:val="Table"/>
              <w:keepNext w:val="0"/>
              <w:spacing w:before="0" w:after="0"/>
              <w:rPr>
                <w:rFonts w:ascii="Calibri" w:hAnsi="Calibri"/>
                <w:caps w:val="0"/>
                <w:sz w:val="22"/>
                <w:lang w:val="fr-CH"/>
              </w:rPr>
            </w:pPr>
            <w:r w:rsidRPr="0092392D">
              <w:rPr>
                <w:rFonts w:ascii="Calibri" w:hAnsi="Calibri"/>
                <w:caps w:val="0"/>
                <w:sz w:val="22"/>
                <w:lang w:val="fr-CH"/>
              </w:rPr>
              <w:t>____________</w:t>
            </w:r>
          </w:p>
          <w:p w:rsidR="00520F36" w:rsidRPr="0092392D" w:rsidRDefault="00520F36">
            <w:pPr>
              <w:pStyle w:val="Headingb"/>
              <w:rPr>
                <w:lang w:val="fr-CH"/>
              </w:rPr>
            </w:pPr>
            <w:r w:rsidRPr="0092392D">
              <w:rPr>
                <w:lang w:val="fr-CH"/>
              </w:rPr>
              <w:t>Références</w:t>
            </w:r>
          </w:p>
          <w:p w:rsidR="00520F36" w:rsidRPr="0092392D" w:rsidRDefault="0042547C" w:rsidP="0042547C">
            <w:pPr>
              <w:spacing w:after="120"/>
              <w:rPr>
                <w:i/>
                <w:iCs/>
                <w:lang w:val="fr-CH"/>
              </w:rPr>
            </w:pPr>
            <w:r w:rsidRPr="00400494">
              <w:rPr>
                <w:i/>
                <w:iCs/>
              </w:rPr>
              <w:t>Règlement financier et Règles financières de l</w:t>
            </w:r>
            <w:r w:rsidR="000F6CBA">
              <w:rPr>
                <w:i/>
                <w:iCs/>
              </w:rPr>
              <w:t>'</w:t>
            </w:r>
            <w:r w:rsidRPr="00400494">
              <w:rPr>
                <w:i/>
                <w:iCs/>
              </w:rPr>
              <w:t>UIT (2010), Article 29</w:t>
            </w:r>
          </w:p>
        </w:tc>
      </w:tr>
    </w:tbl>
    <w:p w:rsidR="0042547C" w:rsidRPr="00400494" w:rsidRDefault="0042547C" w:rsidP="0036733D">
      <w:pPr>
        <w:pStyle w:val="Headingb"/>
        <w:spacing w:before="360"/>
      </w:pPr>
      <w:r w:rsidRPr="00400494">
        <w:t>Introduction</w:t>
      </w:r>
    </w:p>
    <w:p w:rsidR="0042547C" w:rsidRPr="00400494" w:rsidRDefault="00C7607A" w:rsidP="005E5EF7">
      <w:pPr>
        <w:rPr>
          <w:rFonts w:asciiTheme="minorHAnsi" w:hAnsiTheme="minorHAnsi" w:cstheme="minorHAnsi"/>
          <w:szCs w:val="24"/>
        </w:rPr>
      </w:pPr>
      <w:r>
        <w:t>1</w:t>
      </w:r>
      <w:r>
        <w:tab/>
      </w:r>
      <w:r w:rsidR="0042547C" w:rsidRPr="00400494">
        <w:t>Le présent rapport est transmis au Conseil au titre de l'Article 29 du Règlement financier (2010)</w:t>
      </w:r>
      <w:r w:rsidR="0042547C" w:rsidRPr="00400494">
        <w:rPr>
          <w:rFonts w:cstheme="minorHAnsi"/>
          <w:szCs w:val="24"/>
        </w:rPr>
        <w:t>.</w:t>
      </w:r>
      <w:r w:rsidR="0042547C" w:rsidRPr="00400494">
        <w:t xml:space="preserve"> Conformément à la Charte d'audit interne de l'UIT</w:t>
      </w:r>
      <w:r w:rsidR="0042547C" w:rsidRPr="003A79D5">
        <w:rPr>
          <w:rStyle w:val="FootnoteReference"/>
          <w:lang w:val="es-ES_tradnl"/>
        </w:rPr>
        <w:footnoteReference w:id="1"/>
      </w:r>
      <w:r w:rsidR="0042547C" w:rsidRPr="00400494">
        <w:t>, le présent rapport est soumis au Secrétaire général et présenté au Conseil pour examen. Il couvre les activités menées durant la période allant de mars 2017 à mars 2018</w:t>
      </w:r>
      <w:r w:rsidR="0042547C" w:rsidRPr="00400494">
        <w:rPr>
          <w:rFonts w:asciiTheme="minorHAnsi" w:hAnsiTheme="minorHAnsi" w:cstheme="minorHAnsi"/>
          <w:color w:val="000000" w:themeColor="text1"/>
          <w:szCs w:val="24"/>
        </w:rPr>
        <w:t>.</w:t>
      </w:r>
    </w:p>
    <w:p w:rsidR="0042547C" w:rsidRPr="00400494" w:rsidRDefault="00C7607A" w:rsidP="005E5EF7">
      <w:r>
        <w:t>2</w:t>
      </w:r>
      <w:r>
        <w:tab/>
      </w:r>
      <w:r w:rsidR="0042547C" w:rsidRPr="00400494">
        <w:t>S</w:t>
      </w:r>
      <w:r w:rsidR="000F6CBA">
        <w:t>'</w:t>
      </w:r>
      <w:r w:rsidR="0042547C" w:rsidRPr="00400494">
        <w:t>agissant de la période couverte par le rapport, l</w:t>
      </w:r>
      <w:r w:rsidR="000F6CBA">
        <w:t>'</w:t>
      </w:r>
      <w:r w:rsidR="0042547C" w:rsidRPr="00400494">
        <w:t>Unité de l</w:t>
      </w:r>
      <w:r w:rsidR="000F6CBA">
        <w:t>'</w:t>
      </w:r>
      <w:r w:rsidR="0042547C" w:rsidRPr="00400494">
        <w:t xml:space="preserve">audit interne se composait de deux fonctionnaires de la catégorie professionnelle – un </w:t>
      </w:r>
      <w:r w:rsidR="0042547C">
        <w:t>P</w:t>
      </w:r>
      <w:r w:rsidR="0042547C" w:rsidRPr="00400494">
        <w:t>5 (chef de l</w:t>
      </w:r>
      <w:r w:rsidR="000F6CBA">
        <w:t>'</w:t>
      </w:r>
      <w:r w:rsidR="0042547C" w:rsidRPr="00400494">
        <w:t xml:space="preserve">Unité) et un </w:t>
      </w:r>
      <w:r w:rsidR="0042547C">
        <w:t>P</w:t>
      </w:r>
      <w:r w:rsidR="0042547C" w:rsidRPr="00400494">
        <w:t>2 (auditeur interne junior) jusqu</w:t>
      </w:r>
      <w:r w:rsidR="000F6CBA">
        <w:t>'</w:t>
      </w:r>
      <w:r w:rsidR="0042547C" w:rsidRPr="00400494">
        <w:t>à ce que le titulaire du poste P3 vacant (auditeur interne) prenne ses fonctions le 1</w:t>
      </w:r>
      <w:r w:rsidR="00E77F69">
        <w:t>er</w:t>
      </w:r>
      <w:r w:rsidR="0042547C" w:rsidRPr="00400494">
        <w:t xml:space="preserve"> septembre 2017. Un fonctionnaire de la catégorie des services généraux (assistant d</w:t>
      </w:r>
      <w:r w:rsidR="000F6CBA">
        <w:t>'</w:t>
      </w:r>
      <w:r w:rsidR="0042547C" w:rsidRPr="00400494">
        <w:t>audit) a travaillé à temps plein à l</w:t>
      </w:r>
      <w:r w:rsidR="000F6CBA">
        <w:t>'</w:t>
      </w:r>
      <w:r w:rsidR="0042547C" w:rsidRPr="00400494">
        <w:t>Unité.</w:t>
      </w:r>
      <w:bookmarkStart w:id="8" w:name="_GoBack"/>
      <w:bookmarkEnd w:id="8"/>
    </w:p>
    <w:p w:rsidR="0036733D" w:rsidRDefault="00C7607A" w:rsidP="0036733D">
      <w:r>
        <w:t>3</w:t>
      </w:r>
      <w:r>
        <w:tab/>
      </w:r>
      <w:r w:rsidR="0042547C" w:rsidRPr="00400494">
        <w:t>L</w:t>
      </w:r>
      <w:r w:rsidR="000F6CBA">
        <w:t>'</w:t>
      </w:r>
      <w:r w:rsidR="0042547C" w:rsidRPr="00400494">
        <w:t>Unité de l</w:t>
      </w:r>
      <w:r w:rsidR="000F6CBA">
        <w:t>'</w:t>
      </w:r>
      <w:r w:rsidR="0042547C" w:rsidRPr="00400494">
        <w:t>audit interne confirme qu</w:t>
      </w:r>
      <w:r w:rsidR="000F6CBA">
        <w:t>'</w:t>
      </w:r>
      <w:r w:rsidR="0042547C" w:rsidRPr="00400494">
        <w:t>elle se conforme dans ses activités d</w:t>
      </w:r>
      <w:r w:rsidR="000F6CBA">
        <w:t>'</w:t>
      </w:r>
      <w:r w:rsidR="0042547C" w:rsidRPr="00400494">
        <w:t>audit aux Normes internationales pour la pratique professionnelle de l</w:t>
      </w:r>
      <w:r w:rsidR="000F6CBA">
        <w:t>'</w:t>
      </w:r>
      <w:r w:rsidR="0042547C" w:rsidRPr="00400494">
        <w:t>audit interne et au Code de déontologie établis par l</w:t>
      </w:r>
      <w:r w:rsidR="000F6CBA">
        <w:t>'</w:t>
      </w:r>
      <w:r w:rsidR="0042547C" w:rsidRPr="00400494">
        <w:t>Institut des auditeurs internes</w:t>
      </w:r>
      <w:r w:rsidR="0042547C" w:rsidRPr="003A79D5">
        <w:rPr>
          <w:rStyle w:val="FootnoteReference"/>
          <w:lang w:val="es-ES_tradnl"/>
        </w:rPr>
        <w:footnoteReference w:id="2"/>
      </w:r>
      <w:r w:rsidR="003A79D5">
        <w:t xml:space="preserve"> </w:t>
      </w:r>
      <w:r w:rsidR="0042547C" w:rsidRPr="00400494">
        <w:t>(IIA), ainsi qu</w:t>
      </w:r>
      <w:r w:rsidR="000F6CBA">
        <w:t>'</w:t>
      </w:r>
      <w:r w:rsidR="0042547C" w:rsidRPr="00400494">
        <w:t>aux dispositions de la Charte d</w:t>
      </w:r>
      <w:r w:rsidR="000F6CBA">
        <w:t>'</w:t>
      </w:r>
      <w:r w:rsidR="0042547C" w:rsidRPr="00400494">
        <w:t xml:space="preserve">audit </w:t>
      </w:r>
      <w:r w:rsidR="0036733D">
        <w:br w:type="page"/>
      </w:r>
    </w:p>
    <w:p w:rsidR="0042547C" w:rsidRPr="00400494" w:rsidRDefault="0042547C" w:rsidP="005E5EF7">
      <w:r w:rsidRPr="00400494">
        <w:lastRenderedPageBreak/>
        <w:t xml:space="preserve">interne de </w:t>
      </w:r>
      <w:r>
        <w:t>l</w:t>
      </w:r>
      <w:r w:rsidR="000F6CBA">
        <w:t>'</w:t>
      </w:r>
      <w:r>
        <w:t>UIT</w:t>
      </w:r>
      <w:r w:rsidRPr="003A79D5">
        <w:rPr>
          <w:rStyle w:val="FootnoteReference"/>
          <w:lang w:val="es-ES_tradnl"/>
        </w:rPr>
        <w:footnoteReference w:id="3"/>
      </w:r>
      <w:r w:rsidR="003A79D5" w:rsidRPr="003A79D5">
        <w:rPr>
          <w:lang w:val="fr-CH"/>
        </w:rPr>
        <w:t xml:space="preserve">. </w:t>
      </w:r>
      <w:r w:rsidRPr="00400494">
        <w:t>En outre, elle confirme qu'au cours de la période couverte par le présent rapport, ses membres n'ont supervisé aucune des activités ayant fait l'objet d'un audit, ni n'en ont été responsables, et qu'ils n'ont pas exercé à l'UIT de fonctions comptables ou opérationnelles.</w:t>
      </w:r>
    </w:p>
    <w:p w:rsidR="0042547C" w:rsidRPr="00400494" w:rsidRDefault="0042547C" w:rsidP="005C1CAA">
      <w:pPr>
        <w:pStyle w:val="Headingb"/>
      </w:pPr>
      <w:r w:rsidRPr="00400494">
        <w:t>Orientation et champ des activités d</w:t>
      </w:r>
      <w:r w:rsidR="000F6CBA">
        <w:t>'</w:t>
      </w:r>
      <w:r w:rsidRPr="00400494">
        <w:t>audit interne</w:t>
      </w:r>
    </w:p>
    <w:p w:rsidR="0042547C" w:rsidRPr="000A1D0D" w:rsidRDefault="005C1CAA" w:rsidP="005C1CAA">
      <w:pPr>
        <w:rPr>
          <w:rFonts w:asciiTheme="minorHAnsi" w:hAnsiTheme="minorHAnsi" w:cstheme="minorHAnsi"/>
        </w:rPr>
      </w:pPr>
      <w:r>
        <w:t>4</w:t>
      </w:r>
      <w:r>
        <w:tab/>
      </w:r>
      <w:r w:rsidR="0042547C" w:rsidRPr="00400494">
        <w:t>Conformément à la Charte d</w:t>
      </w:r>
      <w:r w:rsidR="000F6CBA">
        <w:rPr>
          <w:b/>
        </w:rPr>
        <w:t>'</w:t>
      </w:r>
      <w:r w:rsidR="0042547C" w:rsidRPr="00400494">
        <w:t>audit interne, le plan proposé pour l</w:t>
      </w:r>
      <w:r w:rsidR="000F6CBA">
        <w:rPr>
          <w:b/>
        </w:rPr>
        <w:t>'</w:t>
      </w:r>
      <w:r w:rsidR="0042547C" w:rsidRPr="00400494">
        <w:t>Unité de l</w:t>
      </w:r>
      <w:r w:rsidR="000F6CBA">
        <w:rPr>
          <w:b/>
        </w:rPr>
        <w:t>'</w:t>
      </w:r>
      <w:r w:rsidR="0042547C" w:rsidRPr="00400494">
        <w:t>audit interne pour 2017 a été examiné par le Comité consultatif indépendant pour les questions de gestion (CCIG) en mars 2017 et, par la suite, approuvé par le Secrétaire général. Il a également été transmis au Vérificateur extérieur des comptes dans un souci d</w:t>
      </w:r>
      <w:r w:rsidR="000F6CBA">
        <w:rPr>
          <w:b/>
        </w:rPr>
        <w:t>'</w:t>
      </w:r>
      <w:r w:rsidR="0042547C" w:rsidRPr="00400494">
        <w:t>efficacité et de coordination. Les activités d</w:t>
      </w:r>
      <w:r w:rsidR="000F6CBA">
        <w:rPr>
          <w:b/>
        </w:rPr>
        <w:t>'</w:t>
      </w:r>
      <w:r w:rsidR="0042547C" w:rsidRPr="00400494">
        <w:t xml:space="preserve">audit ont été axées principalement sur les </w:t>
      </w:r>
      <w:r w:rsidR="0042547C" w:rsidRPr="00400494">
        <w:rPr>
          <w:i/>
        </w:rPr>
        <w:t>missions d</w:t>
      </w:r>
      <w:r w:rsidR="000F6CBA">
        <w:rPr>
          <w:b/>
          <w:i/>
        </w:rPr>
        <w:t>'</w:t>
      </w:r>
      <w:r w:rsidR="0042547C" w:rsidRPr="00400494">
        <w:rPr>
          <w:i/>
        </w:rPr>
        <w:t xml:space="preserve">assurance. </w:t>
      </w:r>
      <w:r w:rsidR="0042547C" w:rsidRPr="00400494">
        <w:t>Pour</w:t>
      </w:r>
      <w:r w:rsidR="0042547C" w:rsidRPr="00400494">
        <w:rPr>
          <w:rFonts w:asciiTheme="minorHAnsi" w:hAnsiTheme="minorHAnsi" w:cstheme="minorHAnsi"/>
        </w:rPr>
        <w:t xml:space="preserve"> 2017</w:t>
      </w:r>
      <w:r w:rsidR="0042547C">
        <w:rPr>
          <w:rFonts w:asciiTheme="minorHAnsi" w:hAnsiTheme="minorHAnsi" w:cstheme="minorHAnsi"/>
        </w:rPr>
        <w:t>, deux audits ont été partiellement reportés à 2018 tandis qu</w:t>
      </w:r>
      <w:r w:rsidR="000F6CBA">
        <w:rPr>
          <w:rFonts w:asciiTheme="minorHAnsi" w:hAnsiTheme="minorHAnsi" w:cstheme="minorHAnsi"/>
          <w:b/>
        </w:rPr>
        <w:t>'</w:t>
      </w:r>
      <w:r w:rsidR="0042547C">
        <w:rPr>
          <w:rFonts w:asciiTheme="minorHAnsi" w:hAnsiTheme="minorHAnsi" w:cstheme="minorHAnsi"/>
        </w:rPr>
        <w:t>un audit n</w:t>
      </w:r>
      <w:r w:rsidR="000F6CBA">
        <w:rPr>
          <w:rFonts w:asciiTheme="minorHAnsi" w:hAnsiTheme="minorHAnsi" w:cstheme="minorHAnsi"/>
          <w:b/>
        </w:rPr>
        <w:t>'</w:t>
      </w:r>
      <w:r w:rsidR="0042547C">
        <w:rPr>
          <w:rFonts w:asciiTheme="minorHAnsi" w:hAnsiTheme="minorHAnsi" w:cstheme="minorHAnsi"/>
        </w:rPr>
        <w:t>a pas été réalisé, car en juillet 2017 le Secrétaire général a demandé l</w:t>
      </w:r>
      <w:r w:rsidR="000F6CBA">
        <w:rPr>
          <w:rFonts w:asciiTheme="minorHAnsi" w:hAnsiTheme="minorHAnsi" w:cstheme="minorHAnsi"/>
          <w:b/>
        </w:rPr>
        <w:t>'</w:t>
      </w:r>
      <w:r w:rsidR="0042547C">
        <w:rPr>
          <w:rFonts w:asciiTheme="minorHAnsi" w:hAnsiTheme="minorHAnsi" w:cstheme="minorHAnsi"/>
        </w:rPr>
        <w:t>audit d</w:t>
      </w:r>
      <w:r w:rsidR="000F6CBA">
        <w:rPr>
          <w:rFonts w:asciiTheme="minorHAnsi" w:hAnsiTheme="minorHAnsi" w:cstheme="minorHAnsi"/>
          <w:b/>
        </w:rPr>
        <w:t>'</w:t>
      </w:r>
      <w:r w:rsidR="0042547C">
        <w:rPr>
          <w:rFonts w:asciiTheme="minorHAnsi" w:hAnsiTheme="minorHAnsi" w:cstheme="minorHAnsi"/>
        </w:rPr>
        <w:t>un élément supplémentaire (ce qui a entraîné une modification des priorités dans la planification des audits). En plus des missions d</w:t>
      </w:r>
      <w:r w:rsidR="000F6CBA">
        <w:rPr>
          <w:rFonts w:asciiTheme="minorHAnsi" w:hAnsiTheme="minorHAnsi" w:cstheme="minorHAnsi"/>
          <w:b/>
        </w:rPr>
        <w:t>'</w:t>
      </w:r>
      <w:r w:rsidR="0042547C">
        <w:rPr>
          <w:rFonts w:asciiTheme="minorHAnsi" w:hAnsiTheme="minorHAnsi" w:cstheme="minorHAnsi"/>
        </w:rPr>
        <w:t>assurance, la Charte d</w:t>
      </w:r>
      <w:r w:rsidR="000F6CBA">
        <w:rPr>
          <w:rFonts w:asciiTheme="minorHAnsi" w:hAnsiTheme="minorHAnsi" w:cstheme="minorHAnsi"/>
          <w:b/>
        </w:rPr>
        <w:t>'</w:t>
      </w:r>
      <w:r w:rsidR="0042547C">
        <w:rPr>
          <w:rFonts w:asciiTheme="minorHAnsi" w:hAnsiTheme="minorHAnsi" w:cstheme="minorHAnsi"/>
        </w:rPr>
        <w:t xml:space="preserve">audit interne stipule </w:t>
      </w:r>
      <w:r w:rsidR="0042547C" w:rsidRPr="000A1D0D">
        <w:rPr>
          <w:rFonts w:asciiTheme="minorHAnsi" w:hAnsiTheme="minorHAnsi" w:cstheme="minorHAnsi"/>
        </w:rPr>
        <w:t xml:space="preserve">que </w:t>
      </w:r>
      <w:r w:rsidR="0042547C" w:rsidRPr="000A1D0D">
        <w:rPr>
          <w:rFonts w:asciiTheme="minorHAnsi" w:hAnsiTheme="minorHAnsi" w:cstheme="minorHAnsi"/>
          <w:i/>
        </w:rPr>
        <w:t xml:space="preserve">les auditeurs internes procèdent à des enquêtes en cas d'allégation ou de présomption de fraude ou de mauvaise administration </w:t>
      </w:r>
      <w:r w:rsidR="0042547C" w:rsidRPr="000A1D0D">
        <w:rPr>
          <w:rFonts w:asciiTheme="minorHAnsi" w:hAnsiTheme="minorHAnsi" w:cstheme="minorHAnsi"/>
        </w:rPr>
        <w:t xml:space="preserve">et que </w:t>
      </w:r>
      <w:r w:rsidR="0042547C" w:rsidRPr="000A1D0D">
        <w:rPr>
          <w:rFonts w:asciiTheme="minorHAnsi" w:hAnsiTheme="minorHAnsi" w:cstheme="minorHAnsi"/>
          <w:i/>
        </w:rPr>
        <w:t>l'Unité de l</w:t>
      </w:r>
      <w:r w:rsidR="000F6CBA">
        <w:rPr>
          <w:rFonts w:asciiTheme="minorHAnsi" w:hAnsiTheme="minorHAnsi" w:cstheme="minorHAnsi"/>
          <w:b/>
          <w:i/>
        </w:rPr>
        <w:t>'</w:t>
      </w:r>
      <w:r w:rsidR="0042547C" w:rsidRPr="000A1D0D">
        <w:rPr>
          <w:rFonts w:asciiTheme="minorHAnsi" w:hAnsiTheme="minorHAnsi" w:cstheme="minorHAnsi"/>
          <w:i/>
        </w:rPr>
        <w:t>audit interne peut fournir des services de conseil au sein de l'UIT.</w:t>
      </w:r>
    </w:p>
    <w:p w:rsidR="0042547C" w:rsidRPr="00400494" w:rsidRDefault="005C1CAA" w:rsidP="005C1CAA">
      <w:r>
        <w:t>5</w:t>
      </w:r>
      <w:r>
        <w:tab/>
      </w:r>
      <w:r w:rsidR="0042547C" w:rsidRPr="000A1D0D">
        <w:t>L</w:t>
      </w:r>
      <w:r w:rsidR="000F6CBA">
        <w:t>'</w:t>
      </w:r>
      <w:r w:rsidR="0042547C" w:rsidRPr="000A1D0D">
        <w:t>Unité de l</w:t>
      </w:r>
      <w:r w:rsidR="000F6CBA">
        <w:t>'</w:t>
      </w:r>
      <w:r w:rsidR="0042547C" w:rsidRPr="000A1D0D">
        <w:t>audit interne remet systématiquement des exemplaires des rapports d</w:t>
      </w:r>
      <w:r w:rsidR="000F6CBA">
        <w:t>'</w:t>
      </w:r>
      <w:r w:rsidR="0042547C" w:rsidRPr="000A1D0D">
        <w:t>audit interne au Vérificateur extérieur des comptes de l</w:t>
      </w:r>
      <w:r w:rsidR="000F6CBA">
        <w:t>'</w:t>
      </w:r>
      <w:r w:rsidR="0042547C" w:rsidRPr="000A1D0D">
        <w:t>UIT ainsi qu</w:t>
      </w:r>
      <w:r w:rsidR="000F6CBA">
        <w:t>'</w:t>
      </w:r>
      <w:r w:rsidR="0042547C" w:rsidRPr="000A1D0D">
        <w:t>au CCIG. Conformément à la disposition 29.5 du Règlement financier de l</w:t>
      </w:r>
      <w:r w:rsidR="000F6CBA">
        <w:t>'</w:t>
      </w:r>
      <w:r w:rsidR="0042547C" w:rsidRPr="000A1D0D">
        <w:t>UIT, des rapports finals d</w:t>
      </w:r>
      <w:r w:rsidR="000F6CBA">
        <w:t>'</w:t>
      </w:r>
      <w:r w:rsidR="0042547C" w:rsidRPr="000A1D0D">
        <w:t>audit interne peuvent être mis à la disposition des Etats Membres ou de leurs représentants désignés. Un mécanisme simplifié d</w:t>
      </w:r>
      <w:r w:rsidR="000F6CBA">
        <w:t>'</w:t>
      </w:r>
      <w:r w:rsidR="0042547C" w:rsidRPr="000A1D0D">
        <w:t>accès aux rapports d</w:t>
      </w:r>
      <w:r w:rsidR="000F6CBA">
        <w:t>'</w:t>
      </w:r>
      <w:r w:rsidR="0042547C" w:rsidRPr="000A1D0D">
        <w:t>audit interne est mis en place depuis octobre 2015. Au cours de la période couverte par le présent rapport, deux demandes d</w:t>
      </w:r>
      <w:r w:rsidR="000F6CBA">
        <w:t>'</w:t>
      </w:r>
      <w:r w:rsidR="0042547C" w:rsidRPr="000A1D0D">
        <w:t>accès à des rapports d</w:t>
      </w:r>
      <w:r w:rsidR="000F6CBA">
        <w:t>'</w:t>
      </w:r>
      <w:r w:rsidR="0042547C" w:rsidRPr="000A1D0D">
        <w:t>audit interne ont été reçues</w:t>
      </w:r>
      <w:r w:rsidR="0042547C">
        <w:t xml:space="preserve"> (et ont fait l</w:t>
      </w:r>
      <w:r w:rsidR="000F6CBA">
        <w:t>'</w:t>
      </w:r>
      <w:r w:rsidR="0042547C">
        <w:t>objet d</w:t>
      </w:r>
      <w:r w:rsidR="000F6CBA">
        <w:t>'</w:t>
      </w:r>
      <w:r w:rsidR="0042547C">
        <w:t>une réponse)</w:t>
      </w:r>
      <w:r w:rsidR="0042547C" w:rsidRPr="000A1D0D">
        <w:t xml:space="preserve"> via le nouveau mécanisme en ligne</w:t>
      </w:r>
      <w:r w:rsidR="0042547C">
        <w:t>.</w:t>
      </w:r>
    </w:p>
    <w:p w:rsidR="0042547C" w:rsidRPr="00400494" w:rsidRDefault="0042547C" w:rsidP="005C1CAA">
      <w:pPr>
        <w:pStyle w:val="Headingb"/>
        <w:rPr>
          <w:rFonts w:asciiTheme="minorHAnsi" w:hAnsiTheme="minorHAnsi" w:cstheme="minorHAnsi"/>
          <w:szCs w:val="28"/>
        </w:rPr>
      </w:pPr>
      <w:r w:rsidRPr="00457A6D">
        <w:rPr>
          <w:lang w:val="fr-CH"/>
        </w:rPr>
        <w:t xml:space="preserve">Objectifs et conclusions des </w:t>
      </w:r>
      <w:r>
        <w:rPr>
          <w:lang w:val="fr-CH"/>
        </w:rPr>
        <w:t>missions d</w:t>
      </w:r>
      <w:r w:rsidR="000F6CBA">
        <w:rPr>
          <w:lang w:val="fr-CH"/>
        </w:rPr>
        <w:t>'</w:t>
      </w:r>
      <w:r>
        <w:rPr>
          <w:lang w:val="fr-CH"/>
        </w:rPr>
        <w:t>assurance</w:t>
      </w:r>
    </w:p>
    <w:p w:rsidR="0042547C" w:rsidRPr="000A1D0D" w:rsidRDefault="005C1CAA" w:rsidP="005C1CAA">
      <w:r>
        <w:t>6</w:t>
      </w:r>
      <w:r>
        <w:tab/>
      </w:r>
      <w:r w:rsidR="0042547C" w:rsidRPr="000A1D0D">
        <w:t>Les missions d</w:t>
      </w:r>
      <w:r w:rsidR="000F6CBA">
        <w:t>'</w:t>
      </w:r>
      <w:r w:rsidR="0042547C" w:rsidRPr="000A1D0D">
        <w:t>assurance avaient pour objectif d</w:t>
      </w:r>
      <w:r w:rsidR="000F6CBA">
        <w:t>'</w:t>
      </w:r>
      <w:r w:rsidR="0042547C" w:rsidRPr="000A1D0D">
        <w:t>évaluer</w:t>
      </w:r>
      <w:r w:rsidR="009E74F2">
        <w:t>:</w:t>
      </w:r>
      <w:r w:rsidR="0036733D">
        <w:t xml:space="preserve"> </w:t>
      </w:r>
      <w:r w:rsidR="0042547C" w:rsidRPr="000A1D0D">
        <w:t xml:space="preserve">i) les aspects liés </w:t>
      </w:r>
      <w:r w:rsidR="0042547C">
        <w:t xml:space="preserve">à </w:t>
      </w:r>
      <w:r w:rsidR="0042547C" w:rsidRPr="000A1D0D">
        <w:t>la</w:t>
      </w:r>
      <w:r w:rsidR="0036733D">
        <w:t xml:space="preserve"> gouvernance </w:t>
      </w:r>
      <w:r w:rsidR="0042547C" w:rsidRPr="000A1D0D">
        <w:t>des opérations de l</w:t>
      </w:r>
      <w:r w:rsidR="000F6CBA">
        <w:t>'</w:t>
      </w:r>
      <w:r w:rsidR="0036733D">
        <w:t xml:space="preserve">Union auditées; </w:t>
      </w:r>
      <w:r w:rsidR="0042547C" w:rsidRPr="000A1D0D">
        <w:t>ii) les pratiques en mati</w:t>
      </w:r>
      <w:r w:rsidR="0036733D">
        <w:t xml:space="preserve">ère de gestion des risques; et </w:t>
      </w:r>
      <w:r w:rsidR="0042547C" w:rsidRPr="000A1D0D">
        <w:t>iii) l</w:t>
      </w:r>
      <w:r w:rsidR="000F6CBA">
        <w:t>'</w:t>
      </w:r>
      <w:r w:rsidR="0042547C" w:rsidRPr="000A1D0D">
        <w:t>efficacité des contrôles (internes). Un niveau de priorité est attribué aux recommandations résultant des travaux d</w:t>
      </w:r>
      <w:r w:rsidR="000F6CBA">
        <w:t>'</w:t>
      </w:r>
      <w:r w:rsidR="0042547C" w:rsidRPr="000A1D0D">
        <w:t>audit, en fonction des incidences et de la probabilité d</w:t>
      </w:r>
      <w:r w:rsidR="000F6CBA">
        <w:t>'</w:t>
      </w:r>
      <w:r w:rsidR="0042547C" w:rsidRPr="000A1D0D">
        <w:t>une déficience (critique, élevée, moyenne, faible).</w:t>
      </w:r>
    </w:p>
    <w:p w:rsidR="0042547C" w:rsidRPr="0077095E" w:rsidRDefault="0042547C" w:rsidP="0042547C">
      <w:pPr>
        <w:rPr>
          <w:lang w:val="fr-CH"/>
        </w:rPr>
      </w:pPr>
      <w:r>
        <w:rPr>
          <w:rFonts w:asciiTheme="minorHAnsi" w:hAnsiTheme="minorHAnsi" w:cstheme="minorHAnsi"/>
          <w:szCs w:val="24"/>
        </w:rPr>
        <w:t>Sur la base des différentes missions d</w:t>
      </w:r>
      <w:r w:rsidR="000F6CBA">
        <w:rPr>
          <w:rFonts w:asciiTheme="minorHAnsi" w:hAnsiTheme="minorHAnsi" w:cstheme="minorHAnsi"/>
          <w:szCs w:val="24"/>
        </w:rPr>
        <w:t>'</w:t>
      </w:r>
      <w:r>
        <w:rPr>
          <w:rFonts w:asciiTheme="minorHAnsi" w:hAnsiTheme="minorHAnsi" w:cstheme="minorHAnsi"/>
          <w:szCs w:val="24"/>
        </w:rPr>
        <w:t>assurance menées à bien, l</w:t>
      </w:r>
      <w:r w:rsidR="000F6CBA">
        <w:rPr>
          <w:rFonts w:asciiTheme="minorHAnsi" w:hAnsiTheme="minorHAnsi" w:cstheme="minorHAnsi"/>
          <w:szCs w:val="24"/>
        </w:rPr>
        <w:t>'</w:t>
      </w:r>
      <w:r>
        <w:rPr>
          <w:rFonts w:asciiTheme="minorHAnsi" w:hAnsiTheme="minorHAnsi" w:cstheme="minorHAnsi"/>
          <w:szCs w:val="24"/>
        </w:rPr>
        <w:t>Unité de l</w:t>
      </w:r>
      <w:r w:rsidR="000F6CBA">
        <w:rPr>
          <w:rFonts w:asciiTheme="minorHAnsi" w:hAnsiTheme="minorHAnsi" w:cstheme="minorHAnsi"/>
          <w:szCs w:val="24"/>
        </w:rPr>
        <w:t>'</w:t>
      </w:r>
      <w:r>
        <w:rPr>
          <w:rFonts w:asciiTheme="minorHAnsi" w:hAnsiTheme="minorHAnsi" w:cstheme="minorHAnsi"/>
          <w:szCs w:val="24"/>
        </w:rPr>
        <w:t>audit a conclu que, globalement, il était nécessaire d</w:t>
      </w:r>
      <w:r w:rsidR="000F6CBA">
        <w:rPr>
          <w:rFonts w:asciiTheme="minorHAnsi" w:hAnsiTheme="minorHAnsi" w:cstheme="minorHAnsi"/>
          <w:szCs w:val="24"/>
        </w:rPr>
        <w:t>'</w:t>
      </w:r>
      <w:r>
        <w:rPr>
          <w:rFonts w:asciiTheme="minorHAnsi" w:hAnsiTheme="minorHAnsi" w:cstheme="minorHAnsi"/>
          <w:szCs w:val="24"/>
        </w:rPr>
        <w:t xml:space="preserve">améliorer la gouvernance et la gestion des risques des processus examinés et de rendre les contrôles plus efficaces dans les différents domaines vérifiés. </w:t>
      </w:r>
      <w:r>
        <w:rPr>
          <w:lang w:val="fr-CH"/>
        </w:rPr>
        <w:t>D</w:t>
      </w:r>
      <w:r w:rsidRPr="0077095E">
        <w:rPr>
          <w:lang w:val="fr-CH"/>
        </w:rPr>
        <w:t>es améliorations</w:t>
      </w:r>
      <w:r>
        <w:rPr>
          <w:lang w:val="fr-CH"/>
        </w:rPr>
        <w:t xml:space="preserve"> pourraient être apportées</w:t>
      </w:r>
      <w:r w:rsidRPr="0077095E">
        <w:rPr>
          <w:lang w:val="fr-CH"/>
        </w:rPr>
        <w:t xml:space="preserve"> dans ces domaines permett</w:t>
      </w:r>
      <w:r>
        <w:rPr>
          <w:lang w:val="fr-CH"/>
        </w:rPr>
        <w:t>ant ainsi</w:t>
      </w:r>
      <w:r w:rsidRPr="0077095E">
        <w:rPr>
          <w:lang w:val="fr-CH"/>
        </w:rPr>
        <w:t xml:space="preserve"> à l</w:t>
      </w:r>
      <w:r w:rsidR="000F6CBA">
        <w:rPr>
          <w:lang w:val="fr-CH"/>
        </w:rPr>
        <w:t>'</w:t>
      </w:r>
      <w:r w:rsidRPr="0077095E">
        <w:rPr>
          <w:lang w:val="fr-CH"/>
        </w:rPr>
        <w:t>Unité de l</w:t>
      </w:r>
      <w:r w:rsidR="000F6CBA">
        <w:rPr>
          <w:lang w:val="fr-CH"/>
        </w:rPr>
        <w:t>'</w:t>
      </w:r>
      <w:r w:rsidRPr="0077095E">
        <w:rPr>
          <w:lang w:val="fr-CH"/>
        </w:rPr>
        <w:t>audit interne de fournir au Secrétaire général</w:t>
      </w:r>
      <w:r>
        <w:rPr>
          <w:lang w:val="fr-CH"/>
        </w:rPr>
        <w:t xml:space="preserve"> une assurance raisonnable que la gouvernance et la gestion des risques sont adaptées et que les contrôles sont efficaces. </w:t>
      </w:r>
      <w:r w:rsidRPr="0077095E">
        <w:rPr>
          <w:lang w:val="fr-CH"/>
        </w:rPr>
        <w:t xml:space="preserve">Les recommandations adressées à la direction sont actuellement mises en </w:t>
      </w:r>
      <w:r w:rsidR="0036733D">
        <w:rPr>
          <w:lang w:val="fr-CH"/>
        </w:rPr>
        <w:t>oe</w:t>
      </w:r>
      <w:r w:rsidRPr="0077095E">
        <w:rPr>
          <w:lang w:val="fr-CH"/>
        </w:rPr>
        <w:t>uvre, avec l</w:t>
      </w:r>
      <w:r w:rsidR="000F6CBA">
        <w:rPr>
          <w:lang w:val="fr-CH"/>
        </w:rPr>
        <w:t>'</w:t>
      </w:r>
      <w:r w:rsidRPr="0077095E">
        <w:rPr>
          <w:lang w:val="fr-CH"/>
        </w:rPr>
        <w:t>appui du Secrétaire général</w:t>
      </w:r>
      <w:r>
        <w:rPr>
          <w:lang w:val="fr-CH"/>
        </w:rPr>
        <w:t>, ce qui renforcera encore la capacité de l</w:t>
      </w:r>
      <w:r w:rsidR="000F6CBA">
        <w:rPr>
          <w:lang w:val="fr-CH"/>
        </w:rPr>
        <w:t>'</w:t>
      </w:r>
      <w:r>
        <w:rPr>
          <w:lang w:val="fr-CH"/>
        </w:rPr>
        <w:t>UIT à remplir son mandat.</w:t>
      </w:r>
    </w:p>
    <w:p w:rsidR="0042547C" w:rsidRPr="009D6F3E" w:rsidRDefault="0042547C" w:rsidP="005C1CAA">
      <w:pPr>
        <w:rPr>
          <w:lang w:val="fr-CH"/>
        </w:rPr>
      </w:pPr>
      <w:r w:rsidRPr="009D6F3E">
        <w:rPr>
          <w:lang w:val="fr-CH"/>
        </w:rPr>
        <w:t>7</w:t>
      </w:r>
      <w:r w:rsidRPr="009D6F3E">
        <w:rPr>
          <w:lang w:val="fr-CH"/>
        </w:rPr>
        <w:tab/>
        <w:t>L</w:t>
      </w:r>
      <w:r w:rsidR="000F6CBA">
        <w:rPr>
          <w:lang w:val="fr-CH"/>
        </w:rPr>
        <w:t>'</w:t>
      </w:r>
      <w:r w:rsidRPr="009D6F3E">
        <w:rPr>
          <w:lang w:val="fr-CH"/>
        </w:rPr>
        <w:t>Unité de l</w:t>
      </w:r>
      <w:r w:rsidR="000F6CBA">
        <w:rPr>
          <w:lang w:val="fr-CH"/>
        </w:rPr>
        <w:t>'</w:t>
      </w:r>
      <w:r w:rsidRPr="009D6F3E">
        <w:rPr>
          <w:lang w:val="fr-CH"/>
        </w:rPr>
        <w:t xml:space="preserve">audit interne assure le suivi de la mise en </w:t>
      </w:r>
      <w:r w:rsidR="0036733D">
        <w:rPr>
          <w:lang w:val="fr-CH"/>
        </w:rPr>
        <w:t>oe</w:t>
      </w:r>
      <w:r w:rsidRPr="009D6F3E">
        <w:rPr>
          <w:lang w:val="fr-CH"/>
        </w:rPr>
        <w:t>uvre des mesures recommandées, si nécessaire (voir aussi le paragraphe consacré au suivi, plus loin dans le présent rapport).</w:t>
      </w:r>
    </w:p>
    <w:p w:rsidR="005E5EF7" w:rsidRDefault="005E5EF7">
      <w:pPr>
        <w:tabs>
          <w:tab w:val="clear" w:pos="567"/>
          <w:tab w:val="clear" w:pos="1134"/>
          <w:tab w:val="clear" w:pos="1701"/>
          <w:tab w:val="clear" w:pos="2268"/>
          <w:tab w:val="clear" w:pos="2835"/>
        </w:tabs>
        <w:overflowPunct/>
        <w:autoSpaceDE/>
        <w:autoSpaceDN/>
        <w:adjustRightInd/>
        <w:spacing w:before="0"/>
        <w:textAlignment w:val="auto"/>
        <w:rPr>
          <w:i/>
          <w:iCs/>
          <w:lang w:val="fr-CH"/>
        </w:rPr>
      </w:pPr>
      <w:r>
        <w:rPr>
          <w:i/>
          <w:iCs/>
          <w:lang w:val="fr-CH"/>
        </w:rPr>
        <w:br w:type="page"/>
      </w:r>
    </w:p>
    <w:p w:rsidR="0042547C" w:rsidRPr="00400494" w:rsidRDefault="0042547C" w:rsidP="0042547C">
      <w:pPr>
        <w:tabs>
          <w:tab w:val="clear" w:pos="567"/>
          <w:tab w:val="clear" w:pos="1134"/>
          <w:tab w:val="clear" w:pos="1701"/>
          <w:tab w:val="clear" w:pos="2268"/>
          <w:tab w:val="clear" w:pos="2835"/>
        </w:tabs>
        <w:snapToGrid w:val="0"/>
        <w:spacing w:after="120"/>
        <w:jc w:val="both"/>
        <w:rPr>
          <w:rFonts w:asciiTheme="minorHAnsi" w:hAnsiTheme="minorHAnsi" w:cstheme="minorHAnsi"/>
          <w:i/>
          <w:iCs/>
          <w:szCs w:val="24"/>
        </w:rPr>
      </w:pPr>
      <w:r w:rsidRPr="00AA68E2">
        <w:rPr>
          <w:i/>
          <w:iCs/>
          <w:lang w:val="fr-CH"/>
        </w:rPr>
        <w:lastRenderedPageBreak/>
        <w:t>Les missions d</w:t>
      </w:r>
      <w:r w:rsidR="000F6CBA">
        <w:rPr>
          <w:i/>
          <w:iCs/>
          <w:lang w:val="fr-CH"/>
        </w:rPr>
        <w:t>'</w:t>
      </w:r>
      <w:r w:rsidRPr="00AA68E2">
        <w:rPr>
          <w:i/>
          <w:iCs/>
          <w:lang w:val="fr-CH"/>
        </w:rPr>
        <w:t>assurance suivantes ont été menées:</w:t>
      </w:r>
    </w:p>
    <w:p w:rsidR="0042547C" w:rsidRPr="005B029E" w:rsidRDefault="005C1CAA" w:rsidP="005B029E">
      <w:pPr>
        <w:pStyle w:val="Headingb"/>
        <w:rPr>
          <w:i/>
          <w:iCs/>
          <w:lang w:val="fr-CH"/>
        </w:rPr>
      </w:pPr>
      <w:r w:rsidRPr="005B029E">
        <w:rPr>
          <w:i/>
          <w:iCs/>
          <w:lang w:val="fr-CH"/>
        </w:rPr>
        <w:t>A</w:t>
      </w:r>
      <w:r w:rsidRPr="005B029E">
        <w:rPr>
          <w:i/>
          <w:iCs/>
          <w:lang w:val="fr-CH"/>
        </w:rPr>
        <w:tab/>
      </w:r>
      <w:r w:rsidR="0042547C" w:rsidRPr="005B029E">
        <w:rPr>
          <w:i/>
          <w:iCs/>
          <w:lang w:val="fr-CH"/>
        </w:rPr>
        <w:t>Evaluation des risques de fraude institutionnelle</w:t>
      </w:r>
    </w:p>
    <w:p w:rsidR="0042547C" w:rsidRPr="00BD6A4B" w:rsidRDefault="0042547C" w:rsidP="005C1CAA">
      <w:r w:rsidRPr="00BD6A4B">
        <w:t xml:space="preserve">Le rapport </w:t>
      </w:r>
      <w:r>
        <w:t xml:space="preserve">de 2016 </w:t>
      </w:r>
      <w:r w:rsidRPr="00BD6A4B">
        <w:t>du Corps commun d</w:t>
      </w:r>
      <w:r w:rsidR="000F6CBA">
        <w:t>'</w:t>
      </w:r>
      <w:r w:rsidRPr="00BD6A4B">
        <w:t>inspection intitulé "Prévention, détection et répression de la fraude dans les organismes des Nations Unies" met en lumière</w:t>
      </w:r>
      <w:r>
        <w:t xml:space="preserve"> un certain nombre de carences dans ce domaine, dont certaines s</w:t>
      </w:r>
      <w:r w:rsidR="000F6CBA">
        <w:t>'</w:t>
      </w:r>
      <w:r>
        <w:t>appliquent aussi à l</w:t>
      </w:r>
      <w:r w:rsidR="000F6CBA">
        <w:t>'</w:t>
      </w:r>
      <w:r>
        <w:t>UIT</w:t>
      </w:r>
      <w:r w:rsidRPr="00400494">
        <w:t xml:space="preserve">. </w:t>
      </w:r>
      <w:r>
        <w:t>L</w:t>
      </w:r>
      <w:r w:rsidR="000F6CBA">
        <w:t>'</w:t>
      </w:r>
      <w:r>
        <w:t>évaluation des risques de fraude institutionnelle visait à améliorer la communication et la sensibilisation en matière de fraude, à déterminer les domaines dans lesquels une organisation est la plus vulnérable dans ce domaine et à identifier les activités et processus qui présentent les principaux risques</w:t>
      </w:r>
      <w:r w:rsidRPr="00400494">
        <w:t xml:space="preserve">. </w:t>
      </w:r>
    </w:p>
    <w:p w:rsidR="0042547C" w:rsidRPr="00400494" w:rsidRDefault="005C1CAA" w:rsidP="00624A3A">
      <w:r>
        <w:t>8</w:t>
      </w:r>
      <w:r>
        <w:tab/>
      </w:r>
      <w:r w:rsidR="0042547C">
        <w:t>Les principaux objectifs de l</w:t>
      </w:r>
      <w:r w:rsidR="000F6CBA">
        <w:t>'</w:t>
      </w:r>
      <w:r w:rsidR="0042547C">
        <w:t>évaluation (menée en 2</w:t>
      </w:r>
      <w:r w:rsidR="00624A3A">
        <w:t>01</w:t>
      </w:r>
      <w:r w:rsidR="0042547C">
        <w:t>6 et achevé</w:t>
      </w:r>
      <w:r>
        <w:t>e en 2017) étaient les suivants</w:t>
      </w:r>
      <w:r w:rsidR="0042547C">
        <w:t xml:space="preserve">: </w:t>
      </w:r>
    </w:p>
    <w:p w:rsidR="0042547C" w:rsidRPr="00400494" w:rsidRDefault="005C1CAA" w:rsidP="005C1CAA">
      <w:pPr>
        <w:pStyle w:val="enumlev1"/>
      </w:pPr>
      <w:r w:rsidRPr="007D0809">
        <w:t>•</w:t>
      </w:r>
      <w:r>
        <w:tab/>
      </w:r>
      <w:r w:rsidR="0036733D">
        <w:t>I</w:t>
      </w:r>
      <w:r w:rsidR="0042547C">
        <w:t>dentifier les facteurs de risques de fraude inhérents et les m</w:t>
      </w:r>
      <w:r>
        <w:t>écanismes frauduleux potentiels</w:t>
      </w:r>
      <w:r w:rsidR="0036733D">
        <w:t>.</w:t>
      </w:r>
    </w:p>
    <w:p w:rsidR="0042547C" w:rsidRPr="00400494" w:rsidRDefault="005C1CAA" w:rsidP="0036733D">
      <w:pPr>
        <w:pStyle w:val="enumlev1"/>
      </w:pPr>
      <w:r w:rsidRPr="007D0809">
        <w:t>•</w:t>
      </w:r>
      <w:r>
        <w:tab/>
      </w:r>
      <w:r w:rsidR="0036733D">
        <w:t>E</w:t>
      </w:r>
      <w:r w:rsidR="0042547C">
        <w:t>valuer la probabilité et l</w:t>
      </w:r>
      <w:r w:rsidR="000F6CBA">
        <w:t>'</w:t>
      </w:r>
      <w:r>
        <w:t>incidence des risques</w:t>
      </w:r>
      <w:r w:rsidR="0036733D">
        <w:t>.</w:t>
      </w:r>
      <w:r w:rsidR="0042547C">
        <w:t xml:space="preserve"> </w:t>
      </w:r>
    </w:p>
    <w:p w:rsidR="0042547C" w:rsidRPr="00400494" w:rsidRDefault="005C1CAA" w:rsidP="0036733D">
      <w:pPr>
        <w:pStyle w:val="enumlev1"/>
      </w:pPr>
      <w:r w:rsidRPr="007D0809">
        <w:t>•</w:t>
      </w:r>
      <w:r>
        <w:tab/>
      </w:r>
      <w:r w:rsidR="0036733D">
        <w:t>D</w:t>
      </w:r>
      <w:r w:rsidR="0042547C">
        <w:t>éterminer les</w:t>
      </w:r>
      <w:r>
        <w:t xml:space="preserve"> niveaux de tolérance au risque</w:t>
      </w:r>
      <w:r w:rsidR="0036733D">
        <w:t>.</w:t>
      </w:r>
    </w:p>
    <w:p w:rsidR="0042547C" w:rsidRPr="00400494" w:rsidRDefault="005C1CAA" w:rsidP="0036733D">
      <w:pPr>
        <w:pStyle w:val="enumlev1"/>
      </w:pPr>
      <w:r w:rsidRPr="007D0809">
        <w:t>•</w:t>
      </w:r>
      <w:r>
        <w:tab/>
      </w:r>
      <w:r w:rsidR="0036733D">
        <w:t>C</w:t>
      </w:r>
      <w:r w:rsidR="0042547C">
        <w:t>artographier les risques de fraude par rapport aux contrôles pertinents</w:t>
      </w:r>
      <w:r w:rsidR="0036733D">
        <w:t>.</w:t>
      </w:r>
      <w:r w:rsidR="0042547C">
        <w:t xml:space="preserve"> </w:t>
      </w:r>
    </w:p>
    <w:p w:rsidR="0042547C" w:rsidRPr="00400494" w:rsidRDefault="005C1CAA" w:rsidP="005C1CAA">
      <w:pPr>
        <w:pStyle w:val="enumlev1"/>
      </w:pPr>
      <w:r w:rsidRPr="007D0809">
        <w:t>•</w:t>
      </w:r>
      <w:r>
        <w:tab/>
      </w:r>
      <w:r w:rsidR="0036733D">
        <w:t>P</w:t>
      </w:r>
      <w:r w:rsidR="0042547C">
        <w:t>roposer des mesures d</w:t>
      </w:r>
      <w:r w:rsidR="000F6CBA">
        <w:t>'</w:t>
      </w:r>
      <w:r w:rsidR="0042547C">
        <w:t xml:space="preserve">atténuation du risque – en rapport avec le risque. </w:t>
      </w:r>
    </w:p>
    <w:p w:rsidR="0042547C" w:rsidRPr="00400494" w:rsidRDefault="005C1CAA" w:rsidP="005C1CAA">
      <w:r>
        <w:t>9</w:t>
      </w:r>
      <w:r>
        <w:tab/>
      </w:r>
      <w:r w:rsidR="0042547C">
        <w:t>Le rapport sur l</w:t>
      </w:r>
      <w:r w:rsidR="000F6CBA">
        <w:t>'</w:t>
      </w:r>
      <w:r w:rsidR="0042547C">
        <w:t xml:space="preserve">évaluation du risque de fraude met en avant les domaines </w:t>
      </w:r>
      <w:r w:rsidR="0042547C" w:rsidRPr="00400494">
        <w:t xml:space="preserve">i) </w:t>
      </w:r>
      <w:r w:rsidR="0042547C">
        <w:t>dans lesquels l</w:t>
      </w:r>
      <w:r w:rsidR="000F6CBA">
        <w:t>'</w:t>
      </w:r>
      <w:r w:rsidR="0042547C">
        <w:t xml:space="preserve">Union est considérée comme étant exposée à un risque de fraude ou </w:t>
      </w:r>
      <w:r w:rsidR="0042547C" w:rsidRPr="00400494">
        <w:t xml:space="preserve">ii) </w:t>
      </w:r>
      <w:r w:rsidR="0042547C">
        <w:t>qui contribuent à accroître la probabilité de fraude. La probabilité qu</w:t>
      </w:r>
      <w:r w:rsidR="000F6CBA">
        <w:t>'</w:t>
      </w:r>
      <w:r w:rsidR="0042547C">
        <w:t>une fraude ait lieu dans les domaines identifiés et son importance ont été notés le cas échéant</w:t>
      </w:r>
      <w:r w:rsidR="0042547C" w:rsidRPr="00400494">
        <w:t xml:space="preserve">. </w:t>
      </w:r>
    </w:p>
    <w:p w:rsidR="0042547C" w:rsidRPr="00400494" w:rsidRDefault="005C1CAA" w:rsidP="005C1CAA">
      <w:pPr>
        <w:rPr>
          <w:bCs/>
          <w:iCs/>
          <w:color w:val="000000"/>
        </w:rPr>
      </w:pPr>
      <w:r>
        <w:t>10</w:t>
      </w:r>
      <w:r>
        <w:tab/>
      </w:r>
      <w:r w:rsidR="0042547C">
        <w:t xml:space="preserve">Le rapport final soumis au Secrétaire général contient les commentaires des responsables concernés et une attribution claire des rôles (pour la mise en </w:t>
      </w:r>
      <w:r w:rsidR="0036733D">
        <w:t>oe</w:t>
      </w:r>
      <w:r w:rsidR="0042547C">
        <w:t>uvre des recommandations)</w:t>
      </w:r>
      <w:r w:rsidR="0042547C" w:rsidRPr="00400494">
        <w:t>.</w:t>
      </w:r>
    </w:p>
    <w:p w:rsidR="0042547C" w:rsidRPr="005C1CAA" w:rsidRDefault="00C01196" w:rsidP="005C1CAA">
      <w:pPr>
        <w:pStyle w:val="Headingb"/>
        <w:rPr>
          <w:i/>
          <w:iCs/>
        </w:rPr>
      </w:pPr>
      <w:r>
        <w:rPr>
          <w:i/>
          <w:iCs/>
        </w:rPr>
        <w:t>B</w:t>
      </w:r>
      <w:r w:rsidR="0042547C" w:rsidRPr="005C1CAA">
        <w:rPr>
          <w:i/>
          <w:iCs/>
        </w:rPr>
        <w:tab/>
        <w:t>Audit sur l</w:t>
      </w:r>
      <w:r w:rsidR="000F6CBA" w:rsidRPr="005C1CAA">
        <w:rPr>
          <w:i/>
          <w:iCs/>
        </w:rPr>
        <w:t>'</w:t>
      </w:r>
      <w:r w:rsidR="0042547C" w:rsidRPr="005C1CAA">
        <w:rPr>
          <w:i/>
          <w:iCs/>
        </w:rPr>
        <w:t>égalité des sexes et l</w:t>
      </w:r>
      <w:r w:rsidR="000F6CBA" w:rsidRPr="005C1CAA">
        <w:rPr>
          <w:i/>
          <w:iCs/>
        </w:rPr>
        <w:t>'</w:t>
      </w:r>
      <w:r w:rsidR="0042547C" w:rsidRPr="005C1CAA">
        <w:rPr>
          <w:i/>
          <w:iCs/>
        </w:rPr>
        <w:t>intégration du principe d</w:t>
      </w:r>
      <w:r w:rsidR="000F6CBA" w:rsidRPr="005C1CAA">
        <w:rPr>
          <w:i/>
          <w:iCs/>
        </w:rPr>
        <w:t>'</w:t>
      </w:r>
      <w:r w:rsidR="0042547C" w:rsidRPr="005C1CAA">
        <w:rPr>
          <w:i/>
          <w:iCs/>
        </w:rPr>
        <w:t>égalité hommes/femmes (GEM)</w:t>
      </w:r>
    </w:p>
    <w:p w:rsidR="0042547C" w:rsidRPr="00400494" w:rsidRDefault="005C1CAA" w:rsidP="0036733D">
      <w:r>
        <w:t>11</w:t>
      </w:r>
      <w:r>
        <w:tab/>
      </w:r>
      <w:r w:rsidR="0042547C">
        <w:t>L</w:t>
      </w:r>
      <w:r w:rsidR="000F6CBA">
        <w:t>'</w:t>
      </w:r>
      <w:r w:rsidR="0042547C">
        <w:t>Unité de l</w:t>
      </w:r>
      <w:r w:rsidR="000F6CBA">
        <w:t>'</w:t>
      </w:r>
      <w:r w:rsidR="0042547C">
        <w:t xml:space="preserve">audit interne a procédé à un examen de la politique </w:t>
      </w:r>
      <w:r w:rsidR="0042547C" w:rsidRPr="00400494">
        <w:t xml:space="preserve">GEM </w:t>
      </w:r>
      <w:r w:rsidR="0042547C">
        <w:t>pour la période allant de 2013 à</w:t>
      </w:r>
      <w:r w:rsidR="0042547C" w:rsidRPr="00400494">
        <w:t xml:space="preserve"> 2016. </w:t>
      </w:r>
      <w:r w:rsidR="0042547C">
        <w:t>Les principaux objectifs de l</w:t>
      </w:r>
      <w:r w:rsidR="000F6CBA">
        <w:t>'</w:t>
      </w:r>
      <w:r w:rsidR="0042547C">
        <w:t xml:space="preserve">audit étaient </w:t>
      </w:r>
      <w:r w:rsidR="0042547C" w:rsidRPr="00400494">
        <w:t xml:space="preserve">i) </w:t>
      </w:r>
      <w:r w:rsidR="0042547C">
        <w:t>d</w:t>
      </w:r>
      <w:r w:rsidR="000F6CBA">
        <w:t>'</w:t>
      </w:r>
      <w:r w:rsidR="0042547C">
        <w:t>évaluer le cadre institutionnel de l</w:t>
      </w:r>
      <w:r w:rsidR="000F6CBA">
        <w:t>'</w:t>
      </w:r>
      <w:r w:rsidR="0042547C">
        <w:t>UIT pour renforcer la politique GEM</w:t>
      </w:r>
      <w:r w:rsidR="0036733D">
        <w:t xml:space="preserve">; </w:t>
      </w:r>
      <w:r w:rsidR="0042547C" w:rsidRPr="00400494">
        <w:t xml:space="preserve">ii) </w:t>
      </w:r>
      <w:r w:rsidR="0042547C">
        <w:t>d</w:t>
      </w:r>
      <w:r w:rsidR="000F6CBA">
        <w:t>'</w:t>
      </w:r>
      <w:r w:rsidR="0042547C">
        <w:t xml:space="preserve">évaluer la sensibilisation et la compréhension des fonctionnaires des politiques </w:t>
      </w:r>
      <w:r w:rsidR="0042547C" w:rsidRPr="00400494">
        <w:t xml:space="preserve">GEM, </w:t>
      </w:r>
      <w:r w:rsidR="0042547C">
        <w:t>des programmes et projets en matière d</w:t>
      </w:r>
      <w:r w:rsidR="000F6CBA">
        <w:t>'</w:t>
      </w:r>
      <w:r w:rsidR="0042547C">
        <w:t>égalité hommes/femmes et des activités de renforcement des connaissances dans ce domaine au sein de l</w:t>
      </w:r>
      <w:r w:rsidR="000F6CBA">
        <w:t>'</w:t>
      </w:r>
      <w:r w:rsidR="0036733D">
        <w:t>Union;</w:t>
      </w:r>
      <w:r w:rsidR="0042547C">
        <w:t xml:space="preserve"> </w:t>
      </w:r>
      <w:r w:rsidR="0042547C" w:rsidRPr="00400494">
        <w:t xml:space="preserve">iii) </w:t>
      </w:r>
      <w:r w:rsidR="0042547C">
        <w:t>d</w:t>
      </w:r>
      <w:r w:rsidR="000F6CBA">
        <w:t>'</w:t>
      </w:r>
      <w:r w:rsidR="0042547C">
        <w:t>évaluer la réalisation de l</w:t>
      </w:r>
      <w:r w:rsidR="000F6CBA">
        <w:t>'</w:t>
      </w:r>
      <w:r w:rsidR="0042547C">
        <w:t>égalité hommes/femmes au sein de l</w:t>
      </w:r>
      <w:r w:rsidR="000F6CBA">
        <w:t>'</w:t>
      </w:r>
      <w:r w:rsidR="0042547C">
        <w:t>Union selon le nombre de fonctionnaires hommes et femmes, la composition des groupes officiels et non officiels comme les groupes spéciaux, les commissions statutaires, etc. de l</w:t>
      </w:r>
      <w:r w:rsidR="000F6CBA">
        <w:t>'</w:t>
      </w:r>
      <w:r w:rsidR="0042547C">
        <w:t>Union</w:t>
      </w:r>
      <w:r w:rsidR="0036733D">
        <w:t>;</w:t>
      </w:r>
      <w:r w:rsidR="0042547C">
        <w:t xml:space="preserve"> </w:t>
      </w:r>
      <w:r w:rsidR="0042547C" w:rsidRPr="00400494">
        <w:t xml:space="preserve">iv) </w:t>
      </w:r>
      <w:r w:rsidR="0042547C">
        <w:t>d</w:t>
      </w:r>
      <w:r w:rsidR="000F6CBA">
        <w:t>'</w:t>
      </w:r>
      <w:r w:rsidR="0042547C">
        <w:t>identifier et d</w:t>
      </w:r>
      <w:r w:rsidR="000F6CBA">
        <w:t>'</w:t>
      </w:r>
      <w:r w:rsidR="0042547C">
        <w:t>évaluer les bonnes pratiques en matière d</w:t>
      </w:r>
      <w:r w:rsidR="000F6CBA">
        <w:t>'</w:t>
      </w:r>
      <w:r w:rsidR="0042547C">
        <w:t>initiatives pour l</w:t>
      </w:r>
      <w:r w:rsidR="000F6CBA">
        <w:t>'</w:t>
      </w:r>
      <w:r w:rsidR="0042547C">
        <w:t>égalité hommes/femmes au sein de l</w:t>
      </w:r>
      <w:r w:rsidR="000F6CBA">
        <w:t>'</w:t>
      </w:r>
      <w:r w:rsidR="0042547C">
        <w:t>Union et les lacunes potentielles qui limitent l</w:t>
      </w:r>
      <w:r w:rsidR="000F6CBA">
        <w:t>'</w:t>
      </w:r>
      <w:r w:rsidR="0042547C">
        <w:t>intégration du principe d</w:t>
      </w:r>
      <w:r w:rsidR="000F6CBA">
        <w:t>'</w:t>
      </w:r>
      <w:r w:rsidR="0042547C">
        <w:t>égalité à tous les niveaux de l</w:t>
      </w:r>
      <w:r w:rsidR="000F6CBA">
        <w:t>'</w:t>
      </w:r>
      <w:r w:rsidR="0042547C">
        <w:t>Union</w:t>
      </w:r>
      <w:r w:rsidR="0036733D">
        <w:t>;</w:t>
      </w:r>
      <w:r w:rsidR="0042547C">
        <w:t xml:space="preserve"> et </w:t>
      </w:r>
      <w:r w:rsidR="0042547C" w:rsidRPr="00400494">
        <w:t xml:space="preserve">v) </w:t>
      </w:r>
      <w:r w:rsidR="0042547C">
        <w:t>d</w:t>
      </w:r>
      <w:r w:rsidR="000F6CBA">
        <w:t>'</w:t>
      </w:r>
      <w:r w:rsidR="0042547C">
        <w:t>évaluer les progrès de l</w:t>
      </w:r>
      <w:r w:rsidR="000F6CBA">
        <w:t>'</w:t>
      </w:r>
      <w:r w:rsidR="0042547C">
        <w:t xml:space="preserve">UIT dans la mise en </w:t>
      </w:r>
      <w:r w:rsidR="0036733D">
        <w:t>oe</w:t>
      </w:r>
      <w:r w:rsidR="0042547C">
        <w:t>uvre des indicateurs de performance de l</w:t>
      </w:r>
      <w:r w:rsidR="000F6CBA">
        <w:t>'</w:t>
      </w:r>
      <w:r w:rsidR="0042547C">
        <w:t xml:space="preserve">ONU-SWAP. </w:t>
      </w:r>
    </w:p>
    <w:p w:rsidR="0042547C" w:rsidRPr="006A4F0C" w:rsidRDefault="005C1CAA" w:rsidP="005C1CAA">
      <w:r>
        <w:t>12</w:t>
      </w:r>
      <w:r>
        <w:tab/>
      </w:r>
      <w:r w:rsidR="0042547C">
        <w:t>L</w:t>
      </w:r>
      <w:r w:rsidR="000F6CBA">
        <w:t>'</w:t>
      </w:r>
      <w:r w:rsidR="0042547C">
        <w:t>Unité de l</w:t>
      </w:r>
      <w:r w:rsidR="000F6CBA">
        <w:t>'</w:t>
      </w:r>
      <w:r w:rsidR="0042547C">
        <w:t>audit interne a conclu que les questions suivantes devaient faire l</w:t>
      </w:r>
      <w:r w:rsidR="000F6CBA">
        <w:t>'</w:t>
      </w:r>
      <w:r w:rsidR="0042547C">
        <w:t>objet d</w:t>
      </w:r>
      <w:r w:rsidR="000F6CBA">
        <w:t>'</w:t>
      </w:r>
      <w:r w:rsidR="00321E24">
        <w:t>une attention prioritaire</w:t>
      </w:r>
      <w:r w:rsidR="0042547C" w:rsidRPr="006A4F0C">
        <w:t xml:space="preserve">: </w:t>
      </w:r>
    </w:p>
    <w:p w:rsidR="0042547C" w:rsidRPr="00400494" w:rsidRDefault="005C1CAA" w:rsidP="005C1CAA">
      <w:pPr>
        <w:pStyle w:val="enumlev1"/>
      </w:pPr>
      <w:r>
        <w:t>•</w:t>
      </w:r>
      <w:r>
        <w:tab/>
      </w:r>
      <w:r w:rsidR="0042547C">
        <w:t xml:space="preserve">Le cadre institutionnel existant pour la politique </w:t>
      </w:r>
      <w:r w:rsidR="0042547C" w:rsidRPr="00400494">
        <w:t xml:space="preserve">GEM </w:t>
      </w:r>
      <w:r w:rsidR="0042547C">
        <w:t>n</w:t>
      </w:r>
      <w:r w:rsidR="000F6CBA">
        <w:t>'</w:t>
      </w:r>
      <w:r w:rsidR="0042547C">
        <w:t>est pas adéquat</w:t>
      </w:r>
      <w:r w:rsidR="0042547C" w:rsidRPr="00400494">
        <w:t xml:space="preserve">. </w:t>
      </w:r>
      <w:r w:rsidR="0042547C">
        <w:t>Ce cadre comprend les résolutions des organes directeurs sur l</w:t>
      </w:r>
      <w:r w:rsidR="000F6CBA">
        <w:t>'</w:t>
      </w:r>
      <w:r w:rsidR="0042547C">
        <w:t>égalité hommes/femmes, la politique GEM, le groupe spécial sur les questions de genre et la structure de responsabilisation associée. Il a été recommandé d</w:t>
      </w:r>
      <w:r w:rsidR="000F6CBA">
        <w:t>'</w:t>
      </w:r>
      <w:r w:rsidR="0042547C">
        <w:t>examiner la possibilité de centraliser les responsabilités en matière d</w:t>
      </w:r>
      <w:r w:rsidR="000F6CBA">
        <w:t>'</w:t>
      </w:r>
      <w:r w:rsidR="0042547C">
        <w:t>égalité hommes/femmes et d</w:t>
      </w:r>
      <w:r w:rsidR="000F6CBA">
        <w:t>'</w:t>
      </w:r>
      <w:r w:rsidR="0042547C">
        <w:t>intégration au sein d</w:t>
      </w:r>
      <w:r w:rsidR="000F6CBA">
        <w:t>'</w:t>
      </w:r>
      <w:r w:rsidR="0042547C">
        <w:t>un seul poste ou d</w:t>
      </w:r>
      <w:r w:rsidR="000F6CBA">
        <w:t>'</w:t>
      </w:r>
      <w:r w:rsidR="0042547C">
        <w:t xml:space="preserve">une seule fonction </w:t>
      </w:r>
      <w:r w:rsidR="0042547C">
        <w:lastRenderedPageBreak/>
        <w:t>spécialisée relevant de l</w:t>
      </w:r>
      <w:r w:rsidR="000F6CBA">
        <w:t>'</w:t>
      </w:r>
      <w:r w:rsidR="0042547C">
        <w:t>autorité du Secrétaire général et dans le cadre des ressources budgétaires existantes (par exemple un poste de responsable principal de l</w:t>
      </w:r>
      <w:r w:rsidR="000F6CBA">
        <w:t>'</w:t>
      </w:r>
      <w:r w:rsidR="0042547C">
        <w:t xml:space="preserve">égalité hommes/femmes et de la diversité). </w:t>
      </w:r>
    </w:p>
    <w:p w:rsidR="0042547C" w:rsidRPr="00400494" w:rsidRDefault="005C1CAA" w:rsidP="005C1CAA">
      <w:pPr>
        <w:pStyle w:val="enumlev1"/>
      </w:pPr>
      <w:r>
        <w:t>•</w:t>
      </w:r>
      <w:r>
        <w:tab/>
      </w:r>
      <w:r w:rsidR="0042547C">
        <w:t>De plus, il a été constaté que les risques dans le domaine de la sensibilisation aux politiques et programmes GEM n</w:t>
      </w:r>
      <w:r w:rsidR="000F6CBA">
        <w:t>'</w:t>
      </w:r>
      <w:r w:rsidR="0042547C">
        <w:t>étaient pas suffisamment pris en charge</w:t>
      </w:r>
      <w:r w:rsidR="0042547C" w:rsidRPr="00400494">
        <w:t xml:space="preserve">. </w:t>
      </w:r>
      <w:r w:rsidR="0042547C">
        <w:t>Il a donc été recommandé que les nouveaux fonctionnaires reçoivent une formation spécialisée sur la politique GEM à l</w:t>
      </w:r>
      <w:r w:rsidR="000F6CBA">
        <w:t>'</w:t>
      </w:r>
      <w:r w:rsidR="0042547C">
        <w:t>UIT et que la politique GEM soit incluse dans la description d</w:t>
      </w:r>
      <w:r w:rsidR="000F6CBA">
        <w:t>'</w:t>
      </w:r>
      <w:r w:rsidR="0042547C">
        <w:t>emploi des fonctionnaires et/ou qu</w:t>
      </w:r>
      <w:r w:rsidR="000F6CBA">
        <w:t>'</w:t>
      </w:r>
      <w:r w:rsidR="0042547C">
        <w:t>elle fasse partie des compétences figurant dans l</w:t>
      </w:r>
      <w:r w:rsidR="000F6CBA">
        <w:t>'</w:t>
      </w:r>
      <w:r w:rsidR="0042547C">
        <w:t>évaluation périodique de la performance et qu</w:t>
      </w:r>
      <w:r w:rsidR="000F6CBA">
        <w:t>'</w:t>
      </w:r>
      <w:r w:rsidR="0042547C">
        <w:t>elle devienne un objectif périodique, le cas échéant, pour les titulaires de certains postes</w:t>
      </w:r>
      <w:r w:rsidR="0042547C" w:rsidRPr="00400494">
        <w:t xml:space="preserve">. </w:t>
      </w:r>
    </w:p>
    <w:p w:rsidR="0042547C" w:rsidRPr="00400494" w:rsidRDefault="005C1CAA" w:rsidP="005C1CAA">
      <w:pPr>
        <w:pStyle w:val="enumlev1"/>
      </w:pPr>
      <w:r>
        <w:t>•</w:t>
      </w:r>
      <w:r>
        <w:tab/>
      </w:r>
      <w:r w:rsidR="0042547C">
        <w:t>Une autre conclusion de l</w:t>
      </w:r>
      <w:r w:rsidR="000F6CBA">
        <w:t>'</w:t>
      </w:r>
      <w:r w:rsidR="0042547C">
        <w:t>audit est que la représentation du personnel féminin et du personnel masculin n</w:t>
      </w:r>
      <w:r w:rsidR="000F6CBA">
        <w:t>'</w:t>
      </w:r>
      <w:r w:rsidR="0042547C">
        <w:t>est pas égale au sein des effectifs et des groupes de l</w:t>
      </w:r>
      <w:r w:rsidR="000F6CBA">
        <w:t>'</w:t>
      </w:r>
      <w:r w:rsidR="0042547C">
        <w:t>Union. Les femmes sont sous-représentées dans les catégories supérieures alors que les hommes sont sous-représentés dans les catégories d</w:t>
      </w:r>
      <w:r w:rsidR="000F6CBA">
        <w:t>'</w:t>
      </w:r>
      <w:r w:rsidR="0042547C">
        <w:t xml:space="preserve">emploi inférieures. Il a été recommandé de revoir la composition des commissions statutaires pour inclure davantage de personnel féminin (en tant que membres </w:t>
      </w:r>
      <w:r w:rsidR="0042547C" w:rsidRPr="00257E8B">
        <w:rPr>
          <w:i/>
        </w:rPr>
        <w:t>principaux</w:t>
      </w:r>
      <w:r w:rsidR="0042547C">
        <w:t xml:space="preserve"> de ces commissions) et d</w:t>
      </w:r>
      <w:r w:rsidR="000F6CBA">
        <w:t>'</w:t>
      </w:r>
      <w:r w:rsidR="0042547C">
        <w:t>élaborer un plan assorti d</w:t>
      </w:r>
      <w:r w:rsidR="000F6CBA">
        <w:t>'</w:t>
      </w:r>
      <w:r w:rsidR="0042547C">
        <w:t>objectifs et d</w:t>
      </w:r>
      <w:r w:rsidR="000F6CBA">
        <w:t>'</w:t>
      </w:r>
      <w:r w:rsidR="0042547C">
        <w:t>un calendrier pour réaliser l</w:t>
      </w:r>
      <w:r w:rsidR="000F6CBA">
        <w:t>'</w:t>
      </w:r>
      <w:r w:rsidR="0042547C">
        <w:t>égalité hommes/femmes au sein du personnel, aussi bien dans les services généraux que dans les catégories professionnelles et supérieures.</w:t>
      </w:r>
      <w:r w:rsidR="0042547C" w:rsidRPr="00400494">
        <w:t xml:space="preserve"> </w:t>
      </w:r>
    </w:p>
    <w:p w:rsidR="0042547C" w:rsidRPr="00400494" w:rsidRDefault="005C1CAA" w:rsidP="005C1CAA">
      <w:pPr>
        <w:pStyle w:val="enumlev1"/>
      </w:pPr>
      <w:r>
        <w:t>•</w:t>
      </w:r>
      <w:r>
        <w:tab/>
      </w:r>
      <w:r w:rsidR="0042547C">
        <w:t>Une quatrième constatation prioritaire est que l</w:t>
      </w:r>
      <w:r w:rsidR="000F6CBA">
        <w:t>'</w:t>
      </w:r>
      <w:r w:rsidR="0042547C">
        <w:t xml:space="preserve">efficacité des contrôles de la mise en </w:t>
      </w:r>
      <w:r w:rsidR="0036733D">
        <w:t>oe</w:t>
      </w:r>
      <w:r w:rsidR="0042547C">
        <w:t>uvre et de l</w:t>
      </w:r>
      <w:r w:rsidR="000F6CBA">
        <w:t>'</w:t>
      </w:r>
      <w:r w:rsidR="0042547C">
        <w:t>établissement de rapports sur la Résolution 70 et l</w:t>
      </w:r>
      <w:r w:rsidR="000F6CBA">
        <w:t>'</w:t>
      </w:r>
      <w:r w:rsidR="0042547C">
        <w:t>ONU-SWAP n</w:t>
      </w:r>
      <w:r w:rsidR="000F6CBA">
        <w:t>'</w:t>
      </w:r>
      <w:r w:rsidR="0042547C">
        <w:t>est pas adéquate. Il a été recommandé qu</w:t>
      </w:r>
      <w:r w:rsidR="000F6CBA">
        <w:t>'</w:t>
      </w:r>
      <w:r w:rsidR="0042547C">
        <w:t>un plan d</w:t>
      </w:r>
      <w:r w:rsidR="000F6CBA">
        <w:t>'</w:t>
      </w:r>
      <w:r w:rsidR="0042547C">
        <w:t>action pour l</w:t>
      </w:r>
      <w:r w:rsidR="000F6CBA">
        <w:t>'</w:t>
      </w:r>
      <w:r w:rsidR="0042547C">
        <w:t>égalité hommes/femmes et l</w:t>
      </w:r>
      <w:r w:rsidR="000F6CBA">
        <w:t>'</w:t>
      </w:r>
      <w:r w:rsidR="0042547C">
        <w:t xml:space="preserve">intégration soit élaboré et soumis au Comité de Coordination (CoCo) pour approbation. </w:t>
      </w:r>
    </w:p>
    <w:p w:rsidR="0042547C" w:rsidRDefault="0042547C" w:rsidP="005C1CAA">
      <w:r>
        <w:t>Ces recommandations ont été acceptées par les responsables respectifs</w:t>
      </w:r>
      <w:r w:rsidRPr="00400494">
        <w:t>.</w:t>
      </w:r>
    </w:p>
    <w:p w:rsidR="0042547C" w:rsidRPr="003E5174" w:rsidRDefault="005C1CAA" w:rsidP="003E5174">
      <w:pPr>
        <w:rPr>
          <w:rFonts w:asciiTheme="minorHAnsi" w:hAnsiTheme="minorHAnsi"/>
        </w:rPr>
      </w:pPr>
      <w:r>
        <w:t>13</w:t>
      </w:r>
      <w:r>
        <w:tab/>
      </w:r>
      <w:r w:rsidR="0042547C" w:rsidRPr="003E5174">
        <w:rPr>
          <w:rFonts w:asciiTheme="minorHAnsi" w:hAnsiTheme="minorHAnsi"/>
        </w:rPr>
        <w:t>Globalement, l</w:t>
      </w:r>
      <w:r w:rsidR="000F6CBA" w:rsidRPr="003E5174">
        <w:rPr>
          <w:rFonts w:asciiTheme="minorHAnsi" w:hAnsiTheme="minorHAnsi"/>
        </w:rPr>
        <w:t>'</w:t>
      </w:r>
      <w:r w:rsidR="0042547C" w:rsidRPr="003E5174">
        <w:rPr>
          <w:rFonts w:asciiTheme="minorHAnsi" w:hAnsiTheme="minorHAnsi"/>
        </w:rPr>
        <w:t>Unité de l</w:t>
      </w:r>
      <w:r w:rsidR="000F6CBA" w:rsidRPr="003E5174">
        <w:rPr>
          <w:rFonts w:asciiTheme="minorHAnsi" w:hAnsiTheme="minorHAnsi"/>
        </w:rPr>
        <w:t>'</w:t>
      </w:r>
      <w:r w:rsidR="0042547C" w:rsidRPr="003E5174">
        <w:rPr>
          <w:rFonts w:asciiTheme="minorHAnsi" w:hAnsiTheme="minorHAnsi"/>
        </w:rPr>
        <w:t>audit interne est d</w:t>
      </w:r>
      <w:r w:rsidR="000F6CBA" w:rsidRPr="003E5174">
        <w:rPr>
          <w:rFonts w:asciiTheme="minorHAnsi" w:hAnsiTheme="minorHAnsi"/>
        </w:rPr>
        <w:t>'</w:t>
      </w:r>
      <w:r w:rsidR="0042547C" w:rsidRPr="003E5174">
        <w:rPr>
          <w:rFonts w:asciiTheme="minorHAnsi" w:hAnsiTheme="minorHAnsi"/>
        </w:rPr>
        <w:t>avis que les processus de gouvernance et de gestion des risques et les contrôles internes ne sont pas suffisamment adéquats et manquent d</w:t>
      </w:r>
      <w:r w:rsidR="000F6CBA" w:rsidRPr="003E5174">
        <w:rPr>
          <w:rFonts w:asciiTheme="minorHAnsi" w:hAnsiTheme="minorHAnsi"/>
        </w:rPr>
        <w:t>'</w:t>
      </w:r>
      <w:r w:rsidR="0042547C" w:rsidRPr="003E5174">
        <w:rPr>
          <w:rFonts w:asciiTheme="minorHAnsi" w:hAnsiTheme="minorHAnsi"/>
        </w:rPr>
        <w:t>efficacité dans certains domaines. Il existe de bonnes pratiques dans le domaine de l</w:t>
      </w:r>
      <w:r w:rsidR="000F6CBA" w:rsidRPr="003E5174">
        <w:rPr>
          <w:rFonts w:asciiTheme="minorHAnsi" w:hAnsiTheme="minorHAnsi"/>
        </w:rPr>
        <w:t>'</w:t>
      </w:r>
      <w:r w:rsidR="0042547C" w:rsidRPr="003E5174">
        <w:rPr>
          <w:rFonts w:asciiTheme="minorHAnsi" w:hAnsiTheme="minorHAnsi"/>
        </w:rPr>
        <w:t>égalité hommes/femmes au sein de l</w:t>
      </w:r>
      <w:r w:rsidR="000F6CBA" w:rsidRPr="003E5174">
        <w:rPr>
          <w:rFonts w:asciiTheme="minorHAnsi" w:hAnsiTheme="minorHAnsi"/>
        </w:rPr>
        <w:t>'</w:t>
      </w:r>
      <w:r w:rsidR="0042547C" w:rsidRPr="003E5174">
        <w:rPr>
          <w:rFonts w:asciiTheme="minorHAnsi" w:hAnsiTheme="minorHAnsi"/>
        </w:rPr>
        <w:t>UIT qui montrent l</w:t>
      </w:r>
      <w:r w:rsidR="000F6CBA" w:rsidRPr="003E5174">
        <w:rPr>
          <w:rFonts w:asciiTheme="minorHAnsi" w:hAnsiTheme="minorHAnsi"/>
        </w:rPr>
        <w:t>'</w:t>
      </w:r>
      <w:r w:rsidR="0042547C" w:rsidRPr="003E5174">
        <w:rPr>
          <w:rFonts w:asciiTheme="minorHAnsi" w:hAnsiTheme="minorHAnsi"/>
        </w:rPr>
        <w:t>existence d</w:t>
      </w:r>
      <w:r w:rsidR="000F6CBA" w:rsidRPr="003E5174">
        <w:rPr>
          <w:rFonts w:asciiTheme="minorHAnsi" w:hAnsiTheme="minorHAnsi"/>
        </w:rPr>
        <w:t>'</w:t>
      </w:r>
      <w:r w:rsidR="0042547C" w:rsidRPr="003E5174">
        <w:rPr>
          <w:rFonts w:asciiTheme="minorHAnsi" w:hAnsiTheme="minorHAnsi"/>
        </w:rPr>
        <w:t xml:space="preserve">une culture ouverte à la mise en </w:t>
      </w:r>
      <w:r w:rsidR="0036733D">
        <w:rPr>
          <w:rFonts w:asciiTheme="minorHAnsi" w:hAnsiTheme="minorHAnsi"/>
        </w:rPr>
        <w:t>oe</w:t>
      </w:r>
      <w:r w:rsidR="0042547C" w:rsidRPr="003E5174">
        <w:rPr>
          <w:rFonts w:asciiTheme="minorHAnsi" w:hAnsiTheme="minorHAnsi"/>
        </w:rPr>
        <w:t xml:space="preserve">uvre de la politique GEM. </w:t>
      </w:r>
      <w:r w:rsidR="0042547C" w:rsidRPr="003E5174">
        <w:rPr>
          <w:rFonts w:asciiTheme="minorHAnsi" w:hAnsiTheme="minorHAnsi" w:cs="Segoe UI"/>
          <w:color w:val="000000"/>
          <w:shd w:val="clear" w:color="auto" w:fill="FFFFFF"/>
        </w:rPr>
        <w:t>S</w:t>
      </w:r>
      <w:r w:rsidR="000F6CBA" w:rsidRPr="003E5174">
        <w:rPr>
          <w:rFonts w:asciiTheme="minorHAnsi" w:hAnsiTheme="minorHAnsi" w:cs="Segoe UI"/>
          <w:color w:val="000000"/>
          <w:shd w:val="clear" w:color="auto" w:fill="FFFFFF"/>
        </w:rPr>
        <w:t>'</w:t>
      </w:r>
      <w:r w:rsidR="0042547C" w:rsidRPr="003E5174">
        <w:rPr>
          <w:rFonts w:asciiTheme="minorHAnsi" w:hAnsiTheme="minorHAnsi" w:cs="Segoe UI"/>
          <w:color w:val="000000"/>
          <w:shd w:val="clear" w:color="auto" w:fill="FFFFFF"/>
        </w:rPr>
        <w:t>il est remédié aux carences susmentionnées, une assurance raisonnable pourrait être donnée au Secrétaire général que la gouvernance et la gestion des risques sont adéquats pour ce qui est</w:t>
      </w:r>
      <w:r w:rsidR="0042547C" w:rsidRPr="003E5174">
        <w:rPr>
          <w:rStyle w:val="apple-converted-space"/>
          <w:rFonts w:asciiTheme="minorHAnsi" w:hAnsiTheme="minorHAnsi" w:cs="Segoe UI"/>
          <w:color w:val="000000"/>
          <w:szCs w:val="24"/>
          <w:shd w:val="clear" w:color="auto" w:fill="FFFFFF"/>
        </w:rPr>
        <w:t xml:space="preserve"> de la politique GEM </w:t>
      </w:r>
      <w:r w:rsidR="0042547C" w:rsidRPr="003E5174">
        <w:rPr>
          <w:rFonts w:asciiTheme="minorHAnsi" w:hAnsiTheme="minorHAnsi" w:cs="Segoe UI"/>
          <w:color w:val="000000"/>
          <w:shd w:val="clear" w:color="auto" w:fill="FFFFFF"/>
        </w:rPr>
        <w:t>et que les contrôles sont efficaces pour la mise en oeuvre de la politique et des activités GEM.</w:t>
      </w:r>
    </w:p>
    <w:p w:rsidR="0042547C" w:rsidRPr="001B1EA3" w:rsidRDefault="001B1EA3" w:rsidP="001B1EA3">
      <w:pPr>
        <w:pStyle w:val="Headingb"/>
        <w:rPr>
          <w:rFonts w:asciiTheme="minorHAnsi" w:hAnsiTheme="minorHAnsi" w:cstheme="minorHAnsi"/>
          <w:bCs/>
          <w:i/>
          <w:iCs/>
          <w:szCs w:val="24"/>
        </w:rPr>
      </w:pPr>
      <w:r w:rsidRPr="001B1EA3">
        <w:rPr>
          <w:i/>
          <w:iCs/>
          <w:lang w:val="fr-CH"/>
        </w:rPr>
        <w:t>C</w:t>
      </w:r>
      <w:r w:rsidRPr="001B1EA3">
        <w:rPr>
          <w:i/>
          <w:iCs/>
          <w:lang w:val="fr-CH"/>
        </w:rPr>
        <w:tab/>
      </w:r>
      <w:r w:rsidR="0042547C" w:rsidRPr="001B1EA3">
        <w:rPr>
          <w:i/>
          <w:iCs/>
          <w:lang w:val="fr-CH"/>
        </w:rPr>
        <w:t>Audit sur les données de transactions financières</w:t>
      </w:r>
    </w:p>
    <w:p w:rsidR="0042547C" w:rsidRPr="00400494" w:rsidRDefault="001B1EA3" w:rsidP="001B1EA3">
      <w:r>
        <w:t>14</w:t>
      </w:r>
      <w:r>
        <w:tab/>
      </w:r>
      <w:r w:rsidR="0042547C">
        <w:t>L</w:t>
      </w:r>
      <w:r w:rsidR="000F6CBA">
        <w:t>'</w:t>
      </w:r>
      <w:r w:rsidR="0042547C">
        <w:t>Unité de l</w:t>
      </w:r>
      <w:r w:rsidR="000F6CBA">
        <w:t>'</w:t>
      </w:r>
      <w:r w:rsidR="0042547C">
        <w:t xml:space="preserve">audit interne a procédé à un audit des données de transactions financières pour la période allant de </w:t>
      </w:r>
      <w:r w:rsidR="0042547C" w:rsidRPr="00400494">
        <w:t xml:space="preserve">2014 </w:t>
      </w:r>
      <w:r w:rsidR="0042547C">
        <w:t>à</w:t>
      </w:r>
      <w:r w:rsidR="0042547C" w:rsidRPr="00400494">
        <w:t xml:space="preserve"> 2016. </w:t>
      </w:r>
      <w:r w:rsidR="0042547C">
        <w:t>Cet audit a porté sur les transactions financières de certains comptes du grand livre sur des catégories de charges et recettes</w:t>
      </w:r>
      <w:r w:rsidR="0042547C" w:rsidRPr="00400494">
        <w:t xml:space="preserve">. </w:t>
      </w:r>
      <w:r w:rsidR="0042547C">
        <w:t>Les objectifs de l</w:t>
      </w:r>
      <w:r w:rsidR="000F6CBA">
        <w:t>'</w:t>
      </w:r>
      <w:r w:rsidR="0042547C">
        <w:t xml:space="preserve">audit étaient </w:t>
      </w:r>
      <w:r w:rsidR="006B068A">
        <w:t>i) </w:t>
      </w:r>
      <w:r w:rsidR="0042547C">
        <w:t>d</w:t>
      </w:r>
      <w:r w:rsidR="000F6CBA">
        <w:t>'</w:t>
      </w:r>
      <w:r w:rsidR="0042547C">
        <w:t>évaluer les politiques et procédures en matière de transactions financières</w:t>
      </w:r>
      <w:r w:rsidR="006B068A">
        <w:t xml:space="preserve">; </w:t>
      </w:r>
      <w:r w:rsidR="0042547C" w:rsidRPr="00400494">
        <w:t xml:space="preserve">ii) </w:t>
      </w:r>
      <w:r w:rsidR="0042547C">
        <w:t>d</w:t>
      </w:r>
      <w:r w:rsidR="000F6CBA">
        <w:t>'</w:t>
      </w:r>
      <w:r w:rsidR="0042547C">
        <w:t>évaluer l</w:t>
      </w:r>
      <w:r w:rsidR="000F6CBA">
        <w:t>'</w:t>
      </w:r>
      <w:r w:rsidR="0042547C">
        <w:t>adéquation et la fiabilité des contrôles internes relatifs aux données de transactions financières</w:t>
      </w:r>
      <w:r w:rsidR="006B068A">
        <w:t xml:space="preserve">; </w:t>
      </w:r>
      <w:r w:rsidR="0042547C" w:rsidRPr="00400494">
        <w:t xml:space="preserve">iii) </w:t>
      </w:r>
      <w:r w:rsidR="0042547C">
        <w:t>d</w:t>
      </w:r>
      <w:r w:rsidR="000F6CBA">
        <w:t>'</w:t>
      </w:r>
      <w:r w:rsidR="0042547C">
        <w:t>évaluer la conformité des transactions financières aux politiques et procédures</w:t>
      </w:r>
      <w:r w:rsidR="006B068A">
        <w:t>;</w:t>
      </w:r>
      <w:r w:rsidR="0042547C">
        <w:t xml:space="preserve"> et </w:t>
      </w:r>
      <w:r w:rsidR="0042547C" w:rsidRPr="00400494">
        <w:t xml:space="preserve">iv) </w:t>
      </w:r>
      <w:r w:rsidR="0042547C">
        <w:t>d</w:t>
      </w:r>
      <w:r w:rsidR="000F6CBA">
        <w:t>'</w:t>
      </w:r>
      <w:r w:rsidR="0042547C">
        <w:t>analyser les tendances et schémas éventuels</w:t>
      </w:r>
      <w:r w:rsidR="0042547C" w:rsidRPr="00400494">
        <w:t>.</w:t>
      </w:r>
    </w:p>
    <w:p w:rsidR="0042547C" w:rsidRPr="00966FEF" w:rsidRDefault="001B1EA3" w:rsidP="006B068A">
      <w:r>
        <w:t>15</w:t>
      </w:r>
      <w:r>
        <w:tab/>
      </w:r>
      <w:r w:rsidR="0042547C">
        <w:t>Dans sa conclusion, l</w:t>
      </w:r>
      <w:r w:rsidR="000F6CBA">
        <w:t>'</w:t>
      </w:r>
      <w:r w:rsidR="0042547C">
        <w:t>Unité de l</w:t>
      </w:r>
      <w:r w:rsidR="000F6CBA">
        <w:t>'</w:t>
      </w:r>
      <w:r w:rsidR="0042547C">
        <w:t>audit interne n</w:t>
      </w:r>
      <w:r w:rsidR="000F6CBA">
        <w:t>'</w:t>
      </w:r>
      <w:r w:rsidR="0042547C">
        <w:t>a pas relevé de questions particulièrement importantes. Les politiques existantes dans le domaine des transactions financières sont considérées comme adéquates dans une large mesure</w:t>
      </w:r>
      <w:r w:rsidR="0042547C" w:rsidRPr="00400494">
        <w:t xml:space="preserve">. </w:t>
      </w:r>
      <w:r w:rsidR="0042547C">
        <w:t>Les contrôles sont efficaces, comme le montrent des schémas cohérents qui témoignent de l</w:t>
      </w:r>
      <w:r w:rsidR="000F6CBA">
        <w:t>'</w:t>
      </w:r>
      <w:r w:rsidR="0042547C">
        <w:t>absence d</w:t>
      </w:r>
      <w:r w:rsidR="000F6CBA">
        <w:t>'</w:t>
      </w:r>
      <w:r w:rsidR="0042547C">
        <w:t>inexactitudes significatives ou d</w:t>
      </w:r>
      <w:r w:rsidR="000F6CBA">
        <w:t>'</w:t>
      </w:r>
      <w:r w:rsidR="0042547C">
        <w:t>erreurs dans les données financières enregistrées</w:t>
      </w:r>
      <w:r w:rsidR="0042547C" w:rsidRPr="00400494">
        <w:t xml:space="preserve">. </w:t>
      </w:r>
      <w:r w:rsidR="0042547C">
        <w:t xml:space="preserve">Les contrôles internes destinés à protéger les </w:t>
      </w:r>
      <w:r w:rsidR="0042547C">
        <w:lastRenderedPageBreak/>
        <w:t>données financières de risques comme des erreurs matérielles sont adéquats dans une large mesure, bien qu</w:t>
      </w:r>
      <w:r w:rsidR="000F6CBA">
        <w:t>'</w:t>
      </w:r>
      <w:r w:rsidR="0042547C">
        <w:t>il existe toujours un certain niveau de risque concernant les données faisant l</w:t>
      </w:r>
      <w:r w:rsidR="000F6CBA">
        <w:t>'</w:t>
      </w:r>
      <w:r w:rsidR="0042547C">
        <w:t>objet de processus d</w:t>
      </w:r>
      <w:r w:rsidR="000F6CBA">
        <w:t>'</w:t>
      </w:r>
      <w:r w:rsidR="0042547C">
        <w:t>inscription manuels. Il est recommandé d</w:t>
      </w:r>
      <w:r w:rsidR="000F6CBA">
        <w:t>'</w:t>
      </w:r>
      <w:r w:rsidR="0042547C">
        <w:t>envisager la mise en place d</w:t>
      </w:r>
      <w:r w:rsidR="000F6CBA">
        <w:t>'</w:t>
      </w:r>
      <w:r w:rsidR="0042547C">
        <w:t>un mécanisme automatisé pour les processus actuellement manuels comme le traitement des indemnités pour frais d</w:t>
      </w:r>
      <w:r w:rsidR="000F6CBA">
        <w:t>'</w:t>
      </w:r>
      <w:r w:rsidR="0042547C">
        <w:t>études et de la compensation des heures supplémentaires</w:t>
      </w:r>
      <w:r w:rsidR="0042547C" w:rsidRPr="00966FEF">
        <w:t xml:space="preserve">. </w:t>
      </w:r>
      <w:r w:rsidR="0042547C">
        <w:t>Il existe un risque de non-conformité avec des politiques comme celle portant sur la limitation de</w:t>
      </w:r>
      <w:r w:rsidR="005E5EF7">
        <w:t>s</w:t>
      </w:r>
      <w:r w:rsidR="0042547C">
        <w:t xml:space="preserve"> heures supplémentaires. Aucune recommandation n</w:t>
      </w:r>
      <w:r w:rsidR="000F6CBA">
        <w:t>'</w:t>
      </w:r>
      <w:r w:rsidR="0042547C">
        <w:t>a été faite pour le moment, mais l</w:t>
      </w:r>
      <w:r w:rsidR="000F6CBA">
        <w:t>'</w:t>
      </w:r>
      <w:r w:rsidR="0042547C">
        <w:t>Unité de l</w:t>
      </w:r>
      <w:r w:rsidR="000F6CBA">
        <w:t>'</w:t>
      </w:r>
      <w:r w:rsidR="0042547C">
        <w:t>audit interne a l</w:t>
      </w:r>
      <w:r w:rsidR="000F6CBA">
        <w:t>'</w:t>
      </w:r>
      <w:r w:rsidR="0042547C">
        <w:t>intention d</w:t>
      </w:r>
      <w:r w:rsidR="000F6CBA">
        <w:t>'</w:t>
      </w:r>
      <w:r w:rsidR="0042547C">
        <w:t>inclure le sujet des heures supplémentaires dans son futur plan d</w:t>
      </w:r>
      <w:r w:rsidR="000F6CBA">
        <w:t>'</w:t>
      </w:r>
      <w:r w:rsidR="0042547C">
        <w:t>audit pour procéder à un examen approfondi des heures supplémentaires du personnel permanent et temporaire</w:t>
      </w:r>
      <w:r w:rsidR="006B068A">
        <w:rPr>
          <w:rStyle w:val="FootnoteReference"/>
        </w:rPr>
        <w:footnoteReference w:id="4"/>
      </w:r>
      <w:r w:rsidR="0042547C" w:rsidRPr="00966FEF">
        <w:t xml:space="preserve">. </w:t>
      </w:r>
    </w:p>
    <w:p w:rsidR="0042547C" w:rsidRPr="00400494" w:rsidRDefault="0042547C" w:rsidP="005E5EF7">
      <w:r>
        <w:t>Ces recommandations ont été acceptées par les responsables respectifs</w:t>
      </w:r>
      <w:r w:rsidRPr="00400494">
        <w:t>.</w:t>
      </w:r>
    </w:p>
    <w:p w:rsidR="0042547C" w:rsidRPr="00400494" w:rsidRDefault="001B1EA3" w:rsidP="001B1EA3">
      <w:r>
        <w:t>16</w:t>
      </w:r>
      <w:r>
        <w:tab/>
      </w:r>
      <w:r w:rsidR="0042547C" w:rsidRPr="00D44208">
        <w:t>Globalement, l</w:t>
      </w:r>
      <w:r w:rsidR="000F6CBA">
        <w:t>'</w:t>
      </w:r>
      <w:r w:rsidR="0042547C" w:rsidRPr="00D44208">
        <w:t>Unité de l</w:t>
      </w:r>
      <w:r w:rsidR="000F6CBA">
        <w:t>'</w:t>
      </w:r>
      <w:r w:rsidR="0042547C" w:rsidRPr="00D44208">
        <w:t xml:space="preserve">audit interne a fourni au Secrétaire général une assurance raisonnable que les contrôles internes, la gouvernance, et les processus de gestion des risques </w:t>
      </w:r>
      <w:r w:rsidR="0042547C">
        <w:t>sont appropriés et raisonnablement efficaces</w:t>
      </w:r>
      <w:r w:rsidR="0042547C" w:rsidRPr="00400494">
        <w:t xml:space="preserve">. </w:t>
      </w:r>
      <w:r w:rsidR="0042547C">
        <w:t>Certaines améliorations pourraient être apportées dans le domaine des processus d</w:t>
      </w:r>
      <w:r w:rsidR="000F6CBA">
        <w:t>'</w:t>
      </w:r>
      <w:r w:rsidR="0042547C">
        <w:t>inscription manuels</w:t>
      </w:r>
      <w:r w:rsidR="006B068A">
        <w:t>.</w:t>
      </w:r>
    </w:p>
    <w:p w:rsidR="0042547C" w:rsidRPr="001B1EA3" w:rsidRDefault="001B1EA3" w:rsidP="001B1EA3">
      <w:pPr>
        <w:pStyle w:val="Headingb"/>
        <w:rPr>
          <w:i/>
          <w:iCs/>
        </w:rPr>
      </w:pPr>
      <w:r w:rsidRPr="001B1EA3">
        <w:rPr>
          <w:i/>
          <w:iCs/>
        </w:rPr>
        <w:t>D</w:t>
      </w:r>
      <w:r w:rsidRPr="001B1EA3">
        <w:rPr>
          <w:i/>
          <w:iCs/>
        </w:rPr>
        <w:tab/>
      </w:r>
      <w:r w:rsidR="0042547C" w:rsidRPr="001B1EA3">
        <w:rPr>
          <w:i/>
          <w:iCs/>
        </w:rPr>
        <w:t>Audit des accords de parrainage</w:t>
      </w:r>
    </w:p>
    <w:p w:rsidR="0042547C" w:rsidRPr="00400494" w:rsidRDefault="001B1EA3" w:rsidP="001B1EA3">
      <w:r>
        <w:t>17</w:t>
      </w:r>
      <w:r>
        <w:tab/>
      </w:r>
      <w:r w:rsidR="0042547C">
        <w:t>L</w:t>
      </w:r>
      <w:r w:rsidR="000F6CBA">
        <w:t>'</w:t>
      </w:r>
      <w:r w:rsidR="0042547C">
        <w:t>Unité de l</w:t>
      </w:r>
      <w:r w:rsidR="000F6CBA">
        <w:t>'</w:t>
      </w:r>
      <w:r w:rsidR="0042547C">
        <w:t>audit interne a réalisé un audit des accords de pa</w:t>
      </w:r>
      <w:r w:rsidR="006B068A">
        <w:t>rrainage pour la période allant </w:t>
      </w:r>
      <w:r w:rsidR="0042547C">
        <w:t>de janvier 2015 à septembre 2017</w:t>
      </w:r>
      <w:r w:rsidR="0042547C" w:rsidRPr="00400494">
        <w:t xml:space="preserve">. </w:t>
      </w:r>
      <w:r w:rsidR="0042547C">
        <w:t>Les principaux objectifs de cet audit étaient d</w:t>
      </w:r>
      <w:r w:rsidR="000F6CBA">
        <w:t>'</w:t>
      </w:r>
      <w:r w:rsidR="0042547C">
        <w:t xml:space="preserve">évaluer </w:t>
      </w:r>
      <w:r w:rsidR="006B068A">
        <w:t>i) </w:t>
      </w:r>
      <w:r w:rsidR="0042547C">
        <w:t>l</w:t>
      </w:r>
      <w:r w:rsidR="000F6CBA">
        <w:t>'</w:t>
      </w:r>
      <w:r w:rsidR="0042547C">
        <w:t>adéquation des politiques régissant les accords de parrainage à l</w:t>
      </w:r>
      <w:r w:rsidR="000F6CBA">
        <w:t>'</w:t>
      </w:r>
      <w:r w:rsidR="006B068A">
        <w:t>UIT;</w:t>
      </w:r>
      <w:r w:rsidR="0042547C">
        <w:t xml:space="preserve"> </w:t>
      </w:r>
      <w:r w:rsidR="0042547C" w:rsidRPr="00400494">
        <w:t xml:space="preserve">ii) </w:t>
      </w:r>
      <w:r w:rsidR="0042547C">
        <w:t>la coordination int</w:t>
      </w:r>
      <w:r w:rsidR="006B068A">
        <w:t>erne du processus de parrainage;</w:t>
      </w:r>
      <w:r w:rsidR="0042547C">
        <w:t xml:space="preserve"> </w:t>
      </w:r>
      <w:r w:rsidR="0042547C" w:rsidRPr="00400494">
        <w:t xml:space="preserve">iii) </w:t>
      </w:r>
      <w:r w:rsidR="0042547C">
        <w:t>les montants générés par diverses formes de parrainage par rapport aux avantages accordés aux sponsors</w:t>
      </w:r>
      <w:r w:rsidR="006B068A">
        <w:t xml:space="preserve">; </w:t>
      </w:r>
      <w:r w:rsidR="0042547C" w:rsidRPr="00400494">
        <w:t xml:space="preserve">iv) </w:t>
      </w:r>
      <w:r w:rsidR="0042547C">
        <w:t>les s</w:t>
      </w:r>
      <w:r w:rsidR="006B068A">
        <w:t>ources existantes de parrainage;</w:t>
      </w:r>
      <w:r w:rsidR="0042547C">
        <w:t xml:space="preserve"> </w:t>
      </w:r>
      <w:r w:rsidR="006B068A">
        <w:t>v) </w:t>
      </w:r>
      <w:r w:rsidR="0042547C">
        <w:t>l</w:t>
      </w:r>
      <w:r w:rsidR="000F6CBA">
        <w:t>'</w:t>
      </w:r>
      <w:r w:rsidR="0042547C">
        <w:t>adéquation des contrôles et la conformité aux politiques et procédures existantes</w:t>
      </w:r>
      <w:r w:rsidR="006B068A">
        <w:t>;</w:t>
      </w:r>
      <w:r w:rsidR="0042547C">
        <w:t xml:space="preserve"> et </w:t>
      </w:r>
      <w:r w:rsidR="0042547C" w:rsidRPr="00400494">
        <w:t xml:space="preserve">vi) </w:t>
      </w:r>
      <w:r w:rsidR="0042547C">
        <w:t>les considérations en matière d</w:t>
      </w:r>
      <w:r w:rsidR="000F6CBA">
        <w:t>'</w:t>
      </w:r>
      <w:r w:rsidR="0042547C">
        <w:t>égalité des sexes et d</w:t>
      </w:r>
      <w:r w:rsidR="000F6CBA">
        <w:t>'</w:t>
      </w:r>
      <w:r w:rsidR="0042547C">
        <w:t>intégration dans les parrainages de l</w:t>
      </w:r>
      <w:r w:rsidR="000F6CBA">
        <w:t>'</w:t>
      </w:r>
      <w:r w:rsidR="0042547C">
        <w:t>UIT.</w:t>
      </w:r>
    </w:p>
    <w:p w:rsidR="0042547C" w:rsidRPr="00400494" w:rsidRDefault="001B1EA3" w:rsidP="001B1EA3">
      <w:r>
        <w:t>18</w:t>
      </w:r>
      <w:r>
        <w:tab/>
      </w:r>
      <w:r w:rsidR="0042547C">
        <w:t>L</w:t>
      </w:r>
      <w:r w:rsidR="000F6CBA">
        <w:t>'</w:t>
      </w:r>
      <w:r w:rsidR="0042547C">
        <w:t>Unité de l</w:t>
      </w:r>
      <w:r w:rsidR="000F6CBA">
        <w:t>'</w:t>
      </w:r>
      <w:r w:rsidR="0042547C">
        <w:t>audit interne a relevé des points positifs concernant les efforts visant à rationaliser les accords de parrainage. Au moment où l</w:t>
      </w:r>
      <w:r w:rsidR="000F6CBA">
        <w:t>'</w:t>
      </w:r>
      <w:r w:rsidR="0042547C">
        <w:t>audit a été réalisé, les lignes directrices pour le parrainage de manifestations de l</w:t>
      </w:r>
      <w:r w:rsidR="000F6CBA">
        <w:t>'</w:t>
      </w:r>
      <w:r w:rsidR="0042547C">
        <w:t xml:space="preserve">UIT, publiées en avril 2017 (Ordre de service </w:t>
      </w:r>
      <w:r w:rsidR="006B068A">
        <w:t>N°</w:t>
      </w:r>
      <w:r w:rsidR="0042547C" w:rsidRPr="00400494">
        <w:t xml:space="preserve"> 17/06)</w:t>
      </w:r>
      <w:r w:rsidR="0042547C">
        <w:t>, étaient en cours de modification pour renforcer les exigences en matière de diligence due et d</w:t>
      </w:r>
      <w:r w:rsidR="000F6CBA">
        <w:t>'</w:t>
      </w:r>
      <w:r w:rsidR="0042547C">
        <w:t xml:space="preserve">accord, fixer un prix minimum de parrainage et donner des orientations pour la co-organisation de manifestations. Il a aussi noté avec satisfaction que des efforts étaient accomplis au sein des </w:t>
      </w:r>
      <w:r w:rsidR="0042547C" w:rsidRPr="00400494">
        <w:t xml:space="preserve">Bureaux </w:t>
      </w:r>
      <w:r w:rsidR="0042547C">
        <w:t xml:space="preserve">pour assurer une meilleure coordination des parrainages. </w:t>
      </w:r>
    </w:p>
    <w:p w:rsidR="0042547C" w:rsidRPr="00400494" w:rsidRDefault="001B1EA3" w:rsidP="005E5EF7">
      <w:r>
        <w:t>19</w:t>
      </w:r>
      <w:r>
        <w:tab/>
      </w:r>
      <w:r w:rsidR="0042547C">
        <w:t>En conclusion, l</w:t>
      </w:r>
      <w:r w:rsidR="000F6CBA">
        <w:t>'</w:t>
      </w:r>
      <w:r w:rsidR="0042547C">
        <w:t>Unité de l</w:t>
      </w:r>
      <w:r w:rsidR="000F6CBA">
        <w:t>'</w:t>
      </w:r>
      <w:r w:rsidR="0042547C">
        <w:t>audit interne a retenu un certain nombre de questions hautement prioritaires, à savoir</w:t>
      </w:r>
      <w:r w:rsidR="009E74F2">
        <w:t>:</w:t>
      </w:r>
    </w:p>
    <w:p w:rsidR="0042547C" w:rsidRPr="00400494" w:rsidRDefault="001B1EA3" w:rsidP="006B068A">
      <w:pPr>
        <w:pStyle w:val="enumlev1"/>
      </w:pPr>
      <w:r>
        <w:t>•</w:t>
      </w:r>
      <w:r>
        <w:tab/>
      </w:r>
      <w:r w:rsidR="0042547C">
        <w:t>L</w:t>
      </w:r>
      <w:r w:rsidR="000F6CBA">
        <w:t>'</w:t>
      </w:r>
      <w:r w:rsidR="0042547C">
        <w:t>Unité de l</w:t>
      </w:r>
      <w:r w:rsidR="000F6CBA">
        <w:t>'</w:t>
      </w:r>
      <w:r w:rsidR="0042547C">
        <w:t>audit interne a constaté que les politiques actuelles en matière de parrainage n</w:t>
      </w:r>
      <w:r w:rsidR="000F6CBA">
        <w:t>'</w:t>
      </w:r>
      <w:r w:rsidR="0042547C">
        <w:t>étaient pas adéquates car elles n</w:t>
      </w:r>
      <w:r w:rsidR="000F6CBA">
        <w:t>'</w:t>
      </w:r>
      <w:r w:rsidR="0042547C">
        <w:t>incluaient pas toutes les formes de parrainage et parce que les modifications proposées à l</w:t>
      </w:r>
      <w:r w:rsidR="000F6CBA">
        <w:t>'</w:t>
      </w:r>
      <w:r w:rsidR="0042547C">
        <w:t xml:space="preserve">Ordre de service </w:t>
      </w:r>
      <w:r w:rsidR="0042547C" w:rsidRPr="00400494">
        <w:t>N</w:t>
      </w:r>
      <w:r w:rsidR="006B068A">
        <w:t>°</w:t>
      </w:r>
      <w:r w:rsidR="0042547C" w:rsidRPr="00400494">
        <w:t xml:space="preserve"> 17/06 </w:t>
      </w:r>
      <w:r w:rsidR="0042547C">
        <w:t>n</w:t>
      </w:r>
      <w:r w:rsidR="000F6CBA">
        <w:t>'</w:t>
      </w:r>
      <w:r w:rsidR="0042547C">
        <w:t>ont pas encore été approuvées</w:t>
      </w:r>
      <w:r w:rsidR="0042547C" w:rsidRPr="00400494">
        <w:t xml:space="preserve">. </w:t>
      </w:r>
      <w:r w:rsidR="0042547C">
        <w:t xml:space="preserve">Elle a recommandé que, en coordination avec les </w:t>
      </w:r>
      <w:r w:rsidR="0042547C" w:rsidRPr="00400494">
        <w:t xml:space="preserve">Bureaux, </w:t>
      </w:r>
      <w:r w:rsidR="0042547C">
        <w:t>les politiques soient adaptées pour couvrir toutes les formes de parrainage, en tenant compte des questions mises en évidence dans l</w:t>
      </w:r>
      <w:r w:rsidR="000F6CBA">
        <w:t>'</w:t>
      </w:r>
      <w:r w:rsidR="0042547C">
        <w:t>audit</w:t>
      </w:r>
      <w:r w:rsidR="0042547C" w:rsidRPr="00400494">
        <w:t xml:space="preserve">. </w:t>
      </w:r>
    </w:p>
    <w:p w:rsidR="0042547C" w:rsidRPr="00400494" w:rsidRDefault="001B1EA3" w:rsidP="001B1EA3">
      <w:pPr>
        <w:pStyle w:val="enumlev1"/>
      </w:pPr>
      <w:r>
        <w:t>•</w:t>
      </w:r>
      <w:r>
        <w:tab/>
      </w:r>
      <w:r w:rsidR="0042547C">
        <w:t>L</w:t>
      </w:r>
      <w:r w:rsidR="000F6CBA">
        <w:t>'</w:t>
      </w:r>
      <w:r w:rsidR="0042547C">
        <w:t>Unité de l</w:t>
      </w:r>
      <w:r w:rsidR="000F6CBA">
        <w:t>'</w:t>
      </w:r>
      <w:r w:rsidR="0042547C">
        <w:t>audit interne a aussi estimé que la coordination des accords de parrainage n</w:t>
      </w:r>
      <w:r w:rsidR="000F6CBA">
        <w:t>'</w:t>
      </w:r>
      <w:r w:rsidR="0042547C">
        <w:t>était pas adéquate. Il a donc été recommandé qu</w:t>
      </w:r>
      <w:r w:rsidR="000F6CBA">
        <w:t>'</w:t>
      </w:r>
      <w:r w:rsidR="0042547C">
        <w:t xml:space="preserve">une formation au système CRM soit organisée pour tous les coordonnateurs, en coopération avec le Département des services </w:t>
      </w:r>
      <w:r w:rsidR="0042547C">
        <w:lastRenderedPageBreak/>
        <w:t>informatiques, le Département de la gestion des ressources financières et les Bureaux, et que des mesures soient prises pour garantir que le traitement de tous les parrainages soit assuré par le système CRM</w:t>
      </w:r>
      <w:r w:rsidR="0042547C" w:rsidRPr="00400494">
        <w:t>. I</w:t>
      </w:r>
      <w:r w:rsidR="0042547C">
        <w:t xml:space="preserve">l a aussi été recommandé que des spécifications fonctionnelles CRM soient élaborées et incluses dans le système pour simplifier les outils de mobilisation des ressources et réduire au minimum </w:t>
      </w:r>
      <w:r w:rsidR="0042547C" w:rsidRPr="00400494">
        <w:t xml:space="preserve">i) </w:t>
      </w:r>
      <w:r w:rsidR="0042547C">
        <w:t>les exigences de formation</w:t>
      </w:r>
      <w:r w:rsidR="00624A3A">
        <w:t>;</w:t>
      </w:r>
      <w:r w:rsidR="0042547C">
        <w:t xml:space="preserve"> et </w:t>
      </w:r>
      <w:r w:rsidR="0042547C" w:rsidRPr="00400494">
        <w:t xml:space="preserve">ii) </w:t>
      </w:r>
      <w:r w:rsidR="0042547C">
        <w:t>le temps nécessaire à la saisie des données et à l</w:t>
      </w:r>
      <w:r w:rsidR="000F6CBA">
        <w:t>'</w:t>
      </w:r>
      <w:r w:rsidR="0042547C">
        <w:t>élaboration de rapports.</w:t>
      </w:r>
    </w:p>
    <w:p w:rsidR="0042547C" w:rsidRPr="00400494" w:rsidRDefault="001B1EA3" w:rsidP="001B1EA3">
      <w:pPr>
        <w:pStyle w:val="enumlev1"/>
      </w:pPr>
      <w:r>
        <w:t>•</w:t>
      </w:r>
      <w:r>
        <w:tab/>
      </w:r>
      <w:r w:rsidR="0042547C">
        <w:t>Une troisième conclusion prioritaire est que la réputation de l</w:t>
      </w:r>
      <w:r w:rsidR="000F6CBA">
        <w:t>'</w:t>
      </w:r>
      <w:r w:rsidR="0042547C">
        <w:t>UIT est exposée à un risque considérable car elle ne dispose pas des mécanismes appropriés – en-dehors de ceux des Etats Membres – pour effectuer des contrôles préalables sur les Membres de Secteur (en tant que sponsors) et sur les entités non membres de Secteur. Il a été recommandé qu</w:t>
      </w:r>
      <w:r w:rsidR="000F6CBA">
        <w:t>'</w:t>
      </w:r>
      <w:r w:rsidR="0042547C">
        <w:t>un mécanisme soit créé, de préférence par la Division des achats, pour effectuer des contrôles préalables sur tous les spon</w:t>
      </w:r>
      <w:r w:rsidR="006B068A">
        <w:t>sors potentiels (membres et non-</w:t>
      </w:r>
      <w:r w:rsidR="0042547C">
        <w:t>membres de l</w:t>
      </w:r>
      <w:r w:rsidR="000F6CBA">
        <w:t>'</w:t>
      </w:r>
      <w:r w:rsidR="0042547C">
        <w:t>UIT)</w:t>
      </w:r>
      <w:r w:rsidR="0042547C" w:rsidRPr="00400494">
        <w:t>.</w:t>
      </w:r>
    </w:p>
    <w:p w:rsidR="0042547C" w:rsidRPr="00400494" w:rsidRDefault="0042547C" w:rsidP="001B1EA3">
      <w:r>
        <w:t>Ces recommandations ont été acceptées par les responsables respectifs</w:t>
      </w:r>
      <w:r w:rsidRPr="00400494">
        <w:t>.</w:t>
      </w:r>
    </w:p>
    <w:p w:rsidR="0042547C" w:rsidRPr="00400494" w:rsidRDefault="001B1EA3" w:rsidP="001B1EA3">
      <w:r>
        <w:t>20</w:t>
      </w:r>
      <w:r>
        <w:tab/>
      </w:r>
      <w:r w:rsidR="0042547C">
        <w:t>Globalement, l</w:t>
      </w:r>
      <w:r w:rsidR="000F6CBA">
        <w:t>'</w:t>
      </w:r>
      <w:r w:rsidR="0042547C">
        <w:t>Unité de l</w:t>
      </w:r>
      <w:r w:rsidR="000F6CBA">
        <w:t>'</w:t>
      </w:r>
      <w:r w:rsidR="0042547C">
        <w:t>audit interne est d</w:t>
      </w:r>
      <w:r w:rsidR="000F6CBA">
        <w:t>'</w:t>
      </w:r>
      <w:r w:rsidR="0042547C">
        <w:t>avis que la gouvernance, les processus de gestion des risques et les contrôles internes dans le domaine des accords de parrainage présentent des insuffisances et doivent être améliorés. Elle a recensé des domaines à améliorer concernant les politiques régissant les accords de parrainage, la coordination interne du parrainage et les contrôles préalables à effectuer sur les sponsors potentiels. Si ces améliorations étaient apportées, le Secrétaire général pourrait avoir une assurance raisonnable que – pour les accords de parrainage – la gouvernance et la gestion des risques sont suffisantes et que les contrôles sont efficaces</w:t>
      </w:r>
      <w:r w:rsidR="0042547C" w:rsidRPr="00400494">
        <w:t>.</w:t>
      </w:r>
    </w:p>
    <w:p w:rsidR="0042547C" w:rsidRPr="001B1EA3" w:rsidRDefault="001B1EA3" w:rsidP="001B1EA3">
      <w:pPr>
        <w:pStyle w:val="Headingb"/>
        <w:rPr>
          <w:i/>
          <w:iCs/>
        </w:rPr>
      </w:pPr>
      <w:r w:rsidRPr="001B1EA3">
        <w:rPr>
          <w:i/>
          <w:iCs/>
        </w:rPr>
        <w:t>E</w:t>
      </w:r>
      <w:r w:rsidRPr="001B1EA3">
        <w:rPr>
          <w:i/>
          <w:iCs/>
        </w:rPr>
        <w:tab/>
      </w:r>
      <w:r w:rsidR="0042547C" w:rsidRPr="001B1EA3">
        <w:rPr>
          <w:i/>
          <w:iCs/>
        </w:rPr>
        <w:t>Audit de la sécurité de l</w:t>
      </w:r>
      <w:r w:rsidR="000F6CBA" w:rsidRPr="001B1EA3">
        <w:rPr>
          <w:i/>
          <w:iCs/>
        </w:rPr>
        <w:t>'</w:t>
      </w:r>
      <w:r w:rsidR="0042547C" w:rsidRPr="001B1EA3">
        <w:rPr>
          <w:i/>
          <w:iCs/>
        </w:rPr>
        <w:t>accès au système ERP</w:t>
      </w:r>
    </w:p>
    <w:p w:rsidR="0042547C" w:rsidRPr="00400494" w:rsidRDefault="001B1EA3" w:rsidP="006B068A">
      <w:r>
        <w:t>21</w:t>
      </w:r>
      <w:r>
        <w:tab/>
      </w:r>
      <w:r w:rsidR="0042547C">
        <w:t>L</w:t>
      </w:r>
      <w:r w:rsidR="000F6CBA">
        <w:t>'</w:t>
      </w:r>
      <w:r w:rsidR="0042547C">
        <w:t>Unité de l</w:t>
      </w:r>
      <w:r w:rsidR="000F6CBA">
        <w:t>'</w:t>
      </w:r>
      <w:r w:rsidR="0042547C">
        <w:t>audit interne a réalisé un audit sur la sécurité de l</w:t>
      </w:r>
      <w:r w:rsidR="000F6CBA">
        <w:t>'</w:t>
      </w:r>
      <w:r w:rsidR="0042547C">
        <w:t>accès à l</w:t>
      </w:r>
      <w:r w:rsidR="000F6CBA">
        <w:t>'</w:t>
      </w:r>
      <w:r w:rsidR="0042547C">
        <w:t>élément central de planification de ressources d</w:t>
      </w:r>
      <w:r w:rsidR="000F6CBA">
        <w:t>'</w:t>
      </w:r>
      <w:r w:rsidR="0042547C">
        <w:t>entreprise (ECC) et au module de gestion de la relation client (CRM) de SAP, plus précisément pour la période allant de janvier 2015 à octobre 2017. Les objectifs de cet audit étaient d</w:t>
      </w:r>
      <w:r w:rsidR="000F6CBA">
        <w:t>'</w:t>
      </w:r>
      <w:r w:rsidR="0042547C">
        <w:t xml:space="preserve">évaluer </w:t>
      </w:r>
      <w:r w:rsidR="0042547C" w:rsidRPr="00400494">
        <w:t xml:space="preserve">i) </w:t>
      </w:r>
      <w:r w:rsidR="0042547C">
        <w:t>les principes, politiques et cadres permettant un accès sécurisé à l</w:t>
      </w:r>
      <w:r w:rsidR="000F6CBA">
        <w:t>'</w:t>
      </w:r>
      <w:r w:rsidR="0042547C">
        <w:t>ECC et au module CRM de SAP</w:t>
      </w:r>
      <w:r w:rsidR="006B068A">
        <w:t xml:space="preserve">; </w:t>
      </w:r>
      <w:r w:rsidR="0042547C" w:rsidRPr="00400494">
        <w:t xml:space="preserve">ii) </w:t>
      </w:r>
      <w:r w:rsidR="0042547C">
        <w:t>la gestion des comptes d</w:t>
      </w:r>
      <w:r w:rsidR="000F6CBA">
        <w:t>'</w:t>
      </w:r>
      <w:r w:rsidR="0042547C">
        <w:t xml:space="preserve">utilisateurs, la sûreté des données et des transactions dans </w:t>
      </w:r>
      <w:r w:rsidR="0042547C" w:rsidRPr="00400494">
        <w:t xml:space="preserve">ECC </w:t>
      </w:r>
      <w:r w:rsidR="0042547C">
        <w:t>et le module</w:t>
      </w:r>
      <w:r w:rsidR="0042547C" w:rsidRPr="00400494">
        <w:t xml:space="preserve"> CRM </w:t>
      </w:r>
      <w:r w:rsidR="0042547C">
        <w:t>de SAP</w:t>
      </w:r>
      <w:r w:rsidR="006B068A">
        <w:t xml:space="preserve">; </w:t>
      </w:r>
      <w:r w:rsidR="0042547C" w:rsidRPr="00400494">
        <w:t xml:space="preserve">iii) </w:t>
      </w:r>
      <w:r w:rsidR="0042547C">
        <w:t>les rôles</w:t>
      </w:r>
      <w:r w:rsidR="0042547C" w:rsidRPr="00400494">
        <w:t xml:space="preserve">, </w:t>
      </w:r>
      <w:r w:rsidR="0042547C">
        <w:t>autorisations et responsabilités conformément à la séparation des tâches attendue</w:t>
      </w:r>
      <w:r w:rsidR="006B068A">
        <w:t>;</w:t>
      </w:r>
      <w:r w:rsidR="0042547C">
        <w:t xml:space="preserve"> et </w:t>
      </w:r>
      <w:r w:rsidR="0042547C" w:rsidRPr="00400494">
        <w:t xml:space="preserve">iv) </w:t>
      </w:r>
      <w:r w:rsidR="0042547C">
        <w:t>la gestion et le contrôle des journaux et l</w:t>
      </w:r>
      <w:r w:rsidR="000F6CBA">
        <w:t>'</w:t>
      </w:r>
      <w:r w:rsidR="0042547C">
        <w:t>utilisation des rapports pertinents par les utilisateurs</w:t>
      </w:r>
      <w:r w:rsidR="0042547C" w:rsidRPr="00400494">
        <w:t xml:space="preserve">. </w:t>
      </w:r>
    </w:p>
    <w:p w:rsidR="0042547C" w:rsidRPr="00400494" w:rsidRDefault="001B1EA3" w:rsidP="001B1EA3">
      <w:r>
        <w:t>22</w:t>
      </w:r>
      <w:r>
        <w:tab/>
      </w:r>
      <w:r w:rsidR="0042547C">
        <w:t>L</w:t>
      </w:r>
      <w:r w:rsidR="000F6CBA">
        <w:t>'</w:t>
      </w:r>
      <w:r w:rsidR="0042547C">
        <w:t>Unité de l</w:t>
      </w:r>
      <w:r w:rsidR="000F6CBA">
        <w:t>'</w:t>
      </w:r>
      <w:r w:rsidR="0042547C">
        <w:t>audit interne a retenu un certain nombre de questions hautement prioritaires, à savoir</w:t>
      </w:r>
      <w:r w:rsidR="0042547C" w:rsidRPr="00400494">
        <w:t xml:space="preserve">: </w:t>
      </w:r>
    </w:p>
    <w:p w:rsidR="0042547C" w:rsidRPr="00400494" w:rsidRDefault="001B1EA3" w:rsidP="001B1EA3">
      <w:pPr>
        <w:pStyle w:val="enumlev1"/>
      </w:pPr>
      <w:r>
        <w:t>•</w:t>
      </w:r>
      <w:r>
        <w:tab/>
      </w:r>
      <w:r w:rsidR="0042547C">
        <w:t>Les politiques existantes relatives à la sécurité de l</w:t>
      </w:r>
      <w:r w:rsidR="000F6CBA">
        <w:t>'</w:t>
      </w:r>
      <w:r w:rsidR="0042547C">
        <w:t>accès à l</w:t>
      </w:r>
      <w:r w:rsidR="000F6CBA">
        <w:t>'</w:t>
      </w:r>
      <w:r w:rsidR="0042547C">
        <w:t>ECC et au module CRM de SAP sont considérées comme non adéquates. Il a été recommandé que les politiques en matière de sécurité de l</w:t>
      </w:r>
      <w:r w:rsidR="000F6CBA">
        <w:t>'</w:t>
      </w:r>
      <w:r w:rsidR="0042547C">
        <w:t>accès à l</w:t>
      </w:r>
      <w:r w:rsidR="000F6CBA">
        <w:t>'</w:t>
      </w:r>
      <w:r w:rsidR="0042547C">
        <w:t>ECC et au module CRM de SAP soient examinées en vue de les aligner mutuellement et de tenir compte de la réalité actuelle</w:t>
      </w:r>
      <w:r w:rsidR="0042547C" w:rsidRPr="00400494">
        <w:t xml:space="preserve">. </w:t>
      </w:r>
    </w:p>
    <w:p w:rsidR="0042547C" w:rsidRPr="00400494" w:rsidRDefault="001B1EA3" w:rsidP="001B1EA3">
      <w:pPr>
        <w:pStyle w:val="enumlev1"/>
      </w:pPr>
      <w:r>
        <w:t>•</w:t>
      </w:r>
      <w:r>
        <w:tab/>
      </w:r>
      <w:r w:rsidR="0042547C">
        <w:t>La gestion et la sécurité du compte d</w:t>
      </w:r>
      <w:r w:rsidR="000F6CBA">
        <w:t>'</w:t>
      </w:r>
      <w:r w:rsidR="0042547C">
        <w:t>utilisateur dans l</w:t>
      </w:r>
      <w:r w:rsidR="000F6CBA">
        <w:t>'</w:t>
      </w:r>
      <w:r w:rsidR="0042547C">
        <w:t>ECC et le module CRM de SAP sont considérées comme inadéquates. Il a été recommandé qu</w:t>
      </w:r>
      <w:r w:rsidR="000F6CBA">
        <w:t>'</w:t>
      </w:r>
      <w:r w:rsidR="0042547C">
        <w:t>une période de validité pour tous les comptes d</w:t>
      </w:r>
      <w:r w:rsidR="000F6CBA">
        <w:t>'</w:t>
      </w:r>
      <w:r w:rsidR="0042547C">
        <w:t xml:space="preserve">utilisateur dans SAP soit mise en </w:t>
      </w:r>
      <w:r w:rsidR="0036733D">
        <w:t>oe</w:t>
      </w:r>
      <w:r w:rsidR="0042547C">
        <w:t>uvre de façon à limiter la validité des comptes d</w:t>
      </w:r>
      <w:r w:rsidR="000F6CBA">
        <w:t>'</w:t>
      </w:r>
      <w:r w:rsidR="0042547C">
        <w:t>utilisateur aux dates du contrat de travail.</w:t>
      </w:r>
    </w:p>
    <w:p w:rsidR="0042547C" w:rsidRPr="00400494" w:rsidRDefault="001B1EA3" w:rsidP="001B1EA3">
      <w:pPr>
        <w:pStyle w:val="enumlev1"/>
      </w:pPr>
      <w:r>
        <w:t>•</w:t>
      </w:r>
      <w:r>
        <w:tab/>
      </w:r>
      <w:r w:rsidR="0042547C">
        <w:t>Dans le domaine de l</w:t>
      </w:r>
      <w:r w:rsidR="000F6CBA">
        <w:t>'</w:t>
      </w:r>
      <w:r w:rsidR="0042547C">
        <w:t>attribution du rôle et de l</w:t>
      </w:r>
      <w:r w:rsidR="000F6CBA">
        <w:t>'</w:t>
      </w:r>
      <w:r w:rsidR="0042547C">
        <w:t>autorisation d</w:t>
      </w:r>
      <w:r w:rsidR="000F6CBA">
        <w:t>'</w:t>
      </w:r>
      <w:r w:rsidR="0042547C">
        <w:t>accès, la séparation des tâches dans l</w:t>
      </w:r>
      <w:r w:rsidR="000F6CBA">
        <w:t>'</w:t>
      </w:r>
      <w:r w:rsidR="0042547C">
        <w:t>ECC et le module CRM de SAP n</w:t>
      </w:r>
      <w:r w:rsidR="000F6CBA">
        <w:t>'</w:t>
      </w:r>
      <w:r w:rsidR="0042547C">
        <w:t>est pas adéquate</w:t>
      </w:r>
      <w:r w:rsidR="0042547C" w:rsidRPr="00400494">
        <w:t>. I</w:t>
      </w:r>
      <w:r w:rsidR="0042547C">
        <w:t>l a été recommandé que pour toutes les transactions SAP critiques (en particulier celles utilisées pour le développement et l</w:t>
      </w:r>
      <w:r w:rsidR="000F6CBA">
        <w:t>'</w:t>
      </w:r>
      <w:r w:rsidR="0042547C">
        <w:t>administration du système),</w:t>
      </w:r>
      <w:r w:rsidR="0042547C" w:rsidRPr="00400494">
        <w:t xml:space="preserve"> </w:t>
      </w:r>
      <w:r w:rsidR="0042547C">
        <w:t>l</w:t>
      </w:r>
      <w:r w:rsidR="000F6CBA">
        <w:t>'</w:t>
      </w:r>
      <w:r w:rsidR="0042547C">
        <w:t xml:space="preserve">autorisation des utilisateurs en production et de ceux qui ne </w:t>
      </w:r>
      <w:r w:rsidR="0042547C">
        <w:lastRenderedPageBreak/>
        <w:t xml:space="preserve">sont pas censés en disposer soit examinée et désactivée. Il est aussi recommandé que tous les rôles et toutes les autorisations SAP en production actuellement octroyés à des fonctionnaires qui ne sont pas censés en disposer soient examinés et désactivés, en coordination avec les départements </w:t>
      </w:r>
      <w:r w:rsidR="0042547C" w:rsidRPr="00400494">
        <w:t xml:space="preserve">HRMD </w:t>
      </w:r>
      <w:r w:rsidR="0042547C">
        <w:t>et</w:t>
      </w:r>
      <w:r w:rsidR="0042547C" w:rsidRPr="00400494">
        <w:t xml:space="preserve"> FRMD. </w:t>
      </w:r>
    </w:p>
    <w:p w:rsidR="0042547C" w:rsidRPr="00400494" w:rsidRDefault="0042547C" w:rsidP="005E5EF7">
      <w:r>
        <w:t>Ces recommandations ont été acceptées par les responsables respectifs</w:t>
      </w:r>
      <w:r w:rsidRPr="00400494">
        <w:t>.</w:t>
      </w:r>
    </w:p>
    <w:p w:rsidR="0042547C" w:rsidRPr="00400494" w:rsidRDefault="00AD6CDF" w:rsidP="00AD6CDF">
      <w:r>
        <w:t>23</w:t>
      </w:r>
      <w:r>
        <w:tab/>
      </w:r>
      <w:r w:rsidR="0042547C">
        <w:t>Dans l</w:t>
      </w:r>
      <w:r w:rsidR="000F6CBA">
        <w:t>'</w:t>
      </w:r>
      <w:r w:rsidR="0042547C">
        <w:t>ensemble, l</w:t>
      </w:r>
      <w:r w:rsidR="000F6CBA">
        <w:t>'</w:t>
      </w:r>
      <w:r w:rsidR="0042547C">
        <w:t>Unité de l</w:t>
      </w:r>
      <w:r w:rsidR="000F6CBA">
        <w:t>'</w:t>
      </w:r>
      <w:r w:rsidR="0042547C">
        <w:t>audit interne estime que la gouvernance, les processus de gestion des risques et les contrôles internes relatifs à la sécurité de l</w:t>
      </w:r>
      <w:r w:rsidR="000F6CBA">
        <w:t>'</w:t>
      </w:r>
      <w:r w:rsidR="0042547C">
        <w:t>accès à l</w:t>
      </w:r>
      <w:r w:rsidR="000F6CBA">
        <w:t>'</w:t>
      </w:r>
      <w:r w:rsidR="0042547C">
        <w:t>ECC et à la CRM de SAP ne sont pas adéquats à certains égards et doivent être améliorés. S</w:t>
      </w:r>
      <w:r w:rsidR="000F6CBA">
        <w:t>'</w:t>
      </w:r>
      <w:r w:rsidR="0042547C">
        <w:t>il était remédié aux insuffisances détectées dans les domaines des politiques, des rôles et autorisations pour l</w:t>
      </w:r>
      <w:r w:rsidR="000F6CBA">
        <w:t>'</w:t>
      </w:r>
      <w:r w:rsidR="0042547C">
        <w:t>ECC de la CRM de SAP et de la journalisation des tableaux de transactions critiques, le Secrétaire général pourrait avoir une assurance raisonnable que la gouvernance, les processus de gestion des risques et les contrôles internes relatifs à la sécurité de l</w:t>
      </w:r>
      <w:r w:rsidR="000F6CBA">
        <w:t>'</w:t>
      </w:r>
      <w:r w:rsidR="0042547C">
        <w:t>accès à l</w:t>
      </w:r>
      <w:r w:rsidR="000F6CBA">
        <w:t>'</w:t>
      </w:r>
      <w:r w:rsidR="0042547C">
        <w:t>ECC et à la CRM de SAP sont suffisants</w:t>
      </w:r>
      <w:r w:rsidR="0042547C" w:rsidRPr="00400494">
        <w:t xml:space="preserve">. </w:t>
      </w:r>
    </w:p>
    <w:p w:rsidR="0042547C" w:rsidRPr="00AD6CDF" w:rsidRDefault="00AD6CDF" w:rsidP="00AD6CDF">
      <w:pPr>
        <w:pStyle w:val="Headingb"/>
        <w:rPr>
          <w:i/>
          <w:iCs/>
        </w:rPr>
      </w:pPr>
      <w:r w:rsidRPr="00AD6CDF">
        <w:rPr>
          <w:i/>
          <w:iCs/>
        </w:rPr>
        <w:t>F</w:t>
      </w:r>
      <w:r w:rsidRPr="00AD6CDF">
        <w:rPr>
          <w:i/>
          <w:iCs/>
        </w:rPr>
        <w:tab/>
      </w:r>
      <w:r w:rsidR="0042547C" w:rsidRPr="00AD6CDF">
        <w:rPr>
          <w:i/>
          <w:iCs/>
        </w:rPr>
        <w:t>Audit de la gestion des installations</w:t>
      </w:r>
    </w:p>
    <w:p w:rsidR="0042547C" w:rsidRPr="00400494" w:rsidRDefault="00AD6CDF" w:rsidP="00801747">
      <w:r>
        <w:t>24</w:t>
      </w:r>
      <w:r>
        <w:tab/>
      </w:r>
      <w:r w:rsidR="0042547C">
        <w:t>L</w:t>
      </w:r>
      <w:r w:rsidR="000F6CBA">
        <w:t>'</w:t>
      </w:r>
      <w:r w:rsidR="0042547C">
        <w:t>Unité de l</w:t>
      </w:r>
      <w:r w:rsidR="000F6CBA">
        <w:t>'</w:t>
      </w:r>
      <w:r w:rsidR="0042547C">
        <w:t>audit interne a procédé à un examen de la gestion des installations. La période couverte par l</w:t>
      </w:r>
      <w:r w:rsidR="000F6CBA">
        <w:t>'</w:t>
      </w:r>
      <w:r w:rsidR="0042547C">
        <w:t>audit allait de janvier 2015 à septembre 2017. Les objectifs de l</w:t>
      </w:r>
      <w:r w:rsidR="000F6CBA">
        <w:t>'</w:t>
      </w:r>
      <w:r w:rsidR="0042547C">
        <w:t>audit étaient d</w:t>
      </w:r>
      <w:r w:rsidR="000F6CBA">
        <w:t>'</w:t>
      </w:r>
      <w:r w:rsidR="0042547C">
        <w:t xml:space="preserve">évaluer </w:t>
      </w:r>
      <w:r w:rsidR="0042547C" w:rsidRPr="00400494">
        <w:t xml:space="preserve">i) </w:t>
      </w:r>
      <w:r w:rsidR="0042547C">
        <w:t>l</w:t>
      </w:r>
      <w:r w:rsidR="000F6CBA">
        <w:t>'</w:t>
      </w:r>
      <w:r w:rsidR="0042547C">
        <w:t>adéquation des politiques régissa</w:t>
      </w:r>
      <w:r w:rsidR="00801747">
        <w:t>nt la gestion des installations;</w:t>
      </w:r>
      <w:r w:rsidR="0042547C">
        <w:t xml:space="preserve"> </w:t>
      </w:r>
      <w:r w:rsidR="0042547C" w:rsidRPr="00400494">
        <w:t xml:space="preserve">ii) </w:t>
      </w:r>
      <w:r w:rsidR="0042547C">
        <w:t>l</w:t>
      </w:r>
      <w:r w:rsidR="000F6CBA">
        <w:t>'</w:t>
      </w:r>
      <w:r w:rsidR="0042547C">
        <w:t>exécution des plans de maintenance et les considérations d</w:t>
      </w:r>
      <w:r w:rsidR="000F6CBA">
        <w:t>'</w:t>
      </w:r>
      <w:r w:rsidR="0042547C">
        <w:t>efficacité énergétique dans les bâtiments de l</w:t>
      </w:r>
      <w:r w:rsidR="000F6CBA">
        <w:t>'</w:t>
      </w:r>
      <w:r w:rsidR="0042547C">
        <w:t>UIT</w:t>
      </w:r>
      <w:r w:rsidR="0042547C" w:rsidRPr="00400494">
        <w:t xml:space="preserve">, </w:t>
      </w:r>
      <w:r w:rsidR="00801747">
        <w:t>iii) </w:t>
      </w:r>
      <w:r w:rsidR="0042547C">
        <w:t>pour les activités externalisées, l</w:t>
      </w:r>
      <w:r w:rsidR="000F6CBA">
        <w:t>'</w:t>
      </w:r>
      <w:r w:rsidR="0042547C">
        <w:t>adéquation des contrôles et la conformité aux politiques existantes en matière de sécurité, d</w:t>
      </w:r>
      <w:r w:rsidR="000F6CBA">
        <w:t>'</w:t>
      </w:r>
      <w:r w:rsidR="0042547C">
        <w:t>achats, de gestion des contrats et de performance des fournisseurs</w:t>
      </w:r>
      <w:r w:rsidR="00801747">
        <w:t xml:space="preserve">; </w:t>
      </w:r>
      <w:r w:rsidR="0042547C" w:rsidRPr="00400494">
        <w:t xml:space="preserve">iv) </w:t>
      </w:r>
      <w:r w:rsidR="0042547C">
        <w:t>l</w:t>
      </w:r>
      <w:r w:rsidR="000F6CBA">
        <w:t>'</w:t>
      </w:r>
      <w:r w:rsidR="0042547C">
        <w:t>adéquation et la fiabilité des contrôles internes des transactions financières liées à la gestion des installations</w:t>
      </w:r>
      <w:r w:rsidR="00801747">
        <w:t>;</w:t>
      </w:r>
      <w:r w:rsidR="0042547C">
        <w:t xml:space="preserve"> et </w:t>
      </w:r>
      <w:r w:rsidR="0042547C" w:rsidRPr="00400494">
        <w:t xml:space="preserve">v) </w:t>
      </w:r>
      <w:r w:rsidR="0042547C">
        <w:t>les considérations d</w:t>
      </w:r>
      <w:r w:rsidR="000F6CBA">
        <w:t>'</w:t>
      </w:r>
      <w:r w:rsidR="0042547C">
        <w:t>égalité hommes/femmes et d</w:t>
      </w:r>
      <w:r w:rsidR="000F6CBA">
        <w:t>'</w:t>
      </w:r>
      <w:r w:rsidR="0042547C">
        <w:t>intégration dans la gestion des installations de l</w:t>
      </w:r>
      <w:r w:rsidR="000F6CBA">
        <w:t>'</w:t>
      </w:r>
      <w:r w:rsidR="0042547C">
        <w:t>UIT.</w:t>
      </w:r>
    </w:p>
    <w:p w:rsidR="0042547C" w:rsidRPr="00400494" w:rsidRDefault="00AD6CDF" w:rsidP="00AD6CDF">
      <w:r>
        <w:t>25</w:t>
      </w:r>
      <w:r>
        <w:tab/>
      </w:r>
      <w:r w:rsidR="0042547C">
        <w:t>Pour apporter une contribution utile aux efforts d</w:t>
      </w:r>
      <w:r w:rsidR="000F6CBA">
        <w:t>'</w:t>
      </w:r>
      <w:r w:rsidR="0042547C">
        <w:t>identification par l</w:t>
      </w:r>
      <w:r w:rsidR="000F6CBA">
        <w:t>'</w:t>
      </w:r>
      <w:r w:rsidR="0042547C">
        <w:t>UIT des possibilités qui se dégagent de l</w:t>
      </w:r>
      <w:r w:rsidR="000F6CBA">
        <w:t>'</w:t>
      </w:r>
      <w:r w:rsidR="0042547C">
        <w:t>ensemble des Objectifs de développement durable (ODD), l</w:t>
      </w:r>
      <w:r w:rsidR="000F6CBA">
        <w:t>'</w:t>
      </w:r>
      <w:r w:rsidR="0042547C">
        <w:t>Unité de l</w:t>
      </w:r>
      <w:r w:rsidR="000F6CBA">
        <w:t>'</w:t>
      </w:r>
      <w:r w:rsidR="0042547C">
        <w:t>audit interne a établi, par l</w:t>
      </w:r>
      <w:r w:rsidR="000F6CBA">
        <w:t>'</w:t>
      </w:r>
      <w:r w:rsidR="0042547C">
        <w:t>audit et conformément à son champ d</w:t>
      </w:r>
      <w:r w:rsidR="000F6CBA">
        <w:t>'</w:t>
      </w:r>
      <w:r w:rsidR="0042547C">
        <w:t>application et à ses objectifs, un lien avec les ODD 3, 5, 7 et 13.</w:t>
      </w:r>
    </w:p>
    <w:p w:rsidR="0042547C" w:rsidRPr="00400494" w:rsidRDefault="00AD6CDF" w:rsidP="00AD6CDF">
      <w:r>
        <w:t>26</w:t>
      </w:r>
      <w:r>
        <w:tab/>
      </w:r>
      <w:r w:rsidR="0042547C">
        <w:t>L</w:t>
      </w:r>
      <w:r w:rsidR="000F6CBA">
        <w:t>'</w:t>
      </w:r>
      <w:r w:rsidR="0042547C">
        <w:t>Unité de l</w:t>
      </w:r>
      <w:r w:rsidR="000F6CBA">
        <w:t>'</w:t>
      </w:r>
      <w:r w:rsidR="0042547C">
        <w:t>audit interne a relevé cinq conclusions et pratiques positives dans le domaine de la gestion des installations, comme le plan de maintenance annuel pour la ventilation et la climatisation (</w:t>
      </w:r>
      <w:r w:rsidR="0042547C" w:rsidRPr="00400494">
        <w:t>HVAC</w:t>
      </w:r>
      <w:r w:rsidR="0042547C">
        <w:t>) et l</w:t>
      </w:r>
      <w:r w:rsidR="000F6CBA">
        <w:t>'</w:t>
      </w:r>
      <w:r w:rsidR="0042547C">
        <w:t xml:space="preserve">électricité, les documents de spécifications techniques pour les installations </w:t>
      </w:r>
      <w:r w:rsidR="0042547C" w:rsidRPr="00400494">
        <w:t xml:space="preserve">HVAC, </w:t>
      </w:r>
      <w:r w:rsidR="0042547C">
        <w:t>une gestion appropriée des stocks et zones de stockage et la certification du Secrétariat de la Convention sur les changements climatiques des Nations Unies</w:t>
      </w:r>
      <w:r w:rsidR="0042547C" w:rsidRPr="00400494">
        <w:t xml:space="preserve">. </w:t>
      </w:r>
      <w:r w:rsidR="0042547C">
        <w:t>De plus, dans le domaine de l</w:t>
      </w:r>
      <w:r w:rsidR="000F6CBA">
        <w:t>'</w:t>
      </w:r>
      <w:r w:rsidR="0042547C">
        <w:t>achat de marchandises, de services et de prestations liés aux installations, l</w:t>
      </w:r>
      <w:r w:rsidR="000F6CBA">
        <w:t>'</w:t>
      </w:r>
      <w:r w:rsidR="0042547C">
        <w:t>Unité de l</w:t>
      </w:r>
      <w:r w:rsidR="000F6CBA">
        <w:t>'</w:t>
      </w:r>
      <w:r w:rsidR="0042547C">
        <w:t>audit interne a relevé de bonnes pratiques en matière d</w:t>
      </w:r>
      <w:r w:rsidR="000F6CBA">
        <w:t>'</w:t>
      </w:r>
      <w:r w:rsidR="0042547C">
        <w:t xml:space="preserve">achats de biens et de services à impact environnemental réduit </w:t>
      </w:r>
      <w:r w:rsidR="0042547C" w:rsidRPr="00400494">
        <w:t>(</w:t>
      </w:r>
      <w:r w:rsidR="0042547C">
        <w:t>en l</w:t>
      </w:r>
      <w:r w:rsidR="000F6CBA">
        <w:t>'</w:t>
      </w:r>
      <w:r w:rsidR="0042547C">
        <w:t>occurrence, achat de produits d</w:t>
      </w:r>
      <w:r w:rsidR="000F6CBA">
        <w:t>'</w:t>
      </w:r>
      <w:r w:rsidR="0042547C">
        <w:t>entretien écologiques et inclusion de critères environnementaux dans le choix des services de jardinage).</w:t>
      </w:r>
    </w:p>
    <w:p w:rsidR="0042547C" w:rsidRPr="00400494" w:rsidRDefault="00AD6CDF" w:rsidP="00AD6CDF">
      <w:r>
        <w:t>27</w:t>
      </w:r>
      <w:r>
        <w:tab/>
      </w:r>
      <w:r w:rsidR="0042547C">
        <w:t>Sur un certain nombre de questions, l</w:t>
      </w:r>
      <w:r w:rsidR="000F6CBA">
        <w:t>'</w:t>
      </w:r>
      <w:r w:rsidR="0042547C">
        <w:t>Unité de l</w:t>
      </w:r>
      <w:r w:rsidR="000F6CBA">
        <w:t>'</w:t>
      </w:r>
      <w:r w:rsidR="0042547C">
        <w:t>audit interne a conclu ce qui suit</w:t>
      </w:r>
      <w:r w:rsidR="009E74F2">
        <w:t>:</w:t>
      </w:r>
      <w:r w:rsidR="0042547C" w:rsidRPr="00400494">
        <w:t xml:space="preserve"> </w:t>
      </w:r>
    </w:p>
    <w:p w:rsidR="0042547C" w:rsidRPr="00400494" w:rsidRDefault="00AD6CDF" w:rsidP="00AD6CDF">
      <w:pPr>
        <w:pStyle w:val="enumlev1"/>
      </w:pPr>
      <w:r>
        <w:t>•</w:t>
      </w:r>
      <w:r>
        <w:tab/>
      </w:r>
      <w:r w:rsidR="0042547C">
        <w:t>Les politiques et pratiques en matière d</w:t>
      </w:r>
      <w:r w:rsidR="000F6CBA">
        <w:t>'</w:t>
      </w:r>
      <w:r w:rsidR="0042547C">
        <w:t>achat actuelles ne sont pas adéquates. Ce manque d</w:t>
      </w:r>
      <w:r w:rsidR="000F6CBA">
        <w:t>'</w:t>
      </w:r>
      <w:r w:rsidR="0042547C">
        <w:t>adéquation et de clarté ne pose pas forcément des problèmes liés directement à la gestion des installations de l</w:t>
      </w:r>
      <w:r w:rsidR="000F6CBA">
        <w:t>'</w:t>
      </w:r>
      <w:r w:rsidR="0042547C">
        <w:t>UIT mais expose néanmoins l</w:t>
      </w:r>
      <w:r w:rsidR="000F6CBA">
        <w:t>'</w:t>
      </w:r>
      <w:r w:rsidR="0042547C">
        <w:t>Union à des risques élevés dans le domaine des achats. A l</w:t>
      </w:r>
      <w:r w:rsidR="000F6CBA">
        <w:t>'</w:t>
      </w:r>
      <w:r w:rsidR="0042547C">
        <w:t>occasion d</w:t>
      </w:r>
      <w:r w:rsidR="000F6CBA">
        <w:t>'</w:t>
      </w:r>
      <w:r w:rsidR="0042547C">
        <w:t>un audit précédent réalisé en 2017, il a déjà été recommandé d</w:t>
      </w:r>
      <w:r w:rsidR="000F6CBA">
        <w:t>'</w:t>
      </w:r>
      <w:r w:rsidR="0042547C">
        <w:t>accélérer l</w:t>
      </w:r>
      <w:r w:rsidR="000F6CBA">
        <w:t>'</w:t>
      </w:r>
      <w:r w:rsidR="0042547C">
        <w:t>élaboration d</w:t>
      </w:r>
      <w:r w:rsidR="000F6CBA">
        <w:t>'</w:t>
      </w:r>
      <w:r w:rsidR="0042547C">
        <w:t>un manuel sur la passation de marchés de l</w:t>
      </w:r>
      <w:r w:rsidR="000F6CBA">
        <w:t>'</w:t>
      </w:r>
      <w:r w:rsidR="0042547C">
        <w:t>UIT</w:t>
      </w:r>
      <w:r w:rsidR="0042547C" w:rsidRPr="00400494">
        <w:t xml:space="preserve">. </w:t>
      </w:r>
      <w:r w:rsidR="0042547C">
        <w:t xml:space="preserve">Cette recommandation a été réitérée comme étant une priorité </w:t>
      </w:r>
      <w:r w:rsidR="0042547C">
        <w:rPr>
          <w:u w:val="single"/>
        </w:rPr>
        <w:t>essentielle</w:t>
      </w:r>
      <w:r w:rsidR="0042547C">
        <w:t xml:space="preserve"> étant donné le besoin urgent de procédures et pratiques d</w:t>
      </w:r>
      <w:r w:rsidR="000F6CBA">
        <w:t>'</w:t>
      </w:r>
      <w:r w:rsidR="0042547C">
        <w:t>achat appropriées pour que l</w:t>
      </w:r>
      <w:r w:rsidR="000F6CBA">
        <w:t>'</w:t>
      </w:r>
      <w:r w:rsidR="0042547C">
        <w:t>Union puisse mener à bien les passations de marché liées à la construction du nouveau bâtiment du Siège</w:t>
      </w:r>
      <w:r w:rsidR="0042547C" w:rsidRPr="00400494">
        <w:t xml:space="preserve">. </w:t>
      </w:r>
    </w:p>
    <w:p w:rsidR="0042547C" w:rsidRPr="00400494" w:rsidRDefault="00AD6CDF" w:rsidP="00AD6CDF">
      <w:pPr>
        <w:pStyle w:val="enumlev1"/>
      </w:pPr>
      <w:r>
        <w:lastRenderedPageBreak/>
        <w:t>•</w:t>
      </w:r>
      <w:r>
        <w:tab/>
      </w:r>
      <w:r w:rsidR="0042547C">
        <w:t>Dans les transactions financières liées à la gestion des installations, il existe des cas de non-conformité au Règlement financier, aux Règles financières de l</w:t>
      </w:r>
      <w:r w:rsidR="000F6CBA">
        <w:t>'</w:t>
      </w:r>
      <w:r w:rsidR="0042547C">
        <w:t>UIT et aux principes connexes de capitalisation des</w:t>
      </w:r>
      <w:r w:rsidR="0042547C" w:rsidRPr="00400494">
        <w:t xml:space="preserve"> IPSAS. I</w:t>
      </w:r>
      <w:r w:rsidR="0042547C">
        <w:t>l a été recommandé que l</w:t>
      </w:r>
      <w:r w:rsidR="000F6CBA">
        <w:t>'</w:t>
      </w:r>
      <w:r w:rsidR="0042547C">
        <w:t>arbre décisionnel pour la capitalisation des améliorations pour toutes les charges de rénovation et de maintenance soit adopté et documenté</w:t>
      </w:r>
      <w:r w:rsidR="0042547C" w:rsidRPr="00400494">
        <w:t xml:space="preserve">. </w:t>
      </w:r>
      <w:r w:rsidR="0042547C">
        <w:t xml:space="preserve">Le </w:t>
      </w:r>
      <w:r w:rsidR="0042547C" w:rsidRPr="00400494">
        <w:t xml:space="preserve">FRMD </w:t>
      </w:r>
      <w:r w:rsidR="0042547C">
        <w:t>n</w:t>
      </w:r>
      <w:r w:rsidR="000F6CBA">
        <w:t>'</w:t>
      </w:r>
      <w:r w:rsidR="0042547C">
        <w:t>a pas accepté la recommandation et a indiqué que l</w:t>
      </w:r>
      <w:r w:rsidR="000F6CBA">
        <w:t>'</w:t>
      </w:r>
      <w:r w:rsidR="0042547C">
        <w:t xml:space="preserve">arbre décisionnel établi par le </w:t>
      </w:r>
      <w:r w:rsidR="0042547C" w:rsidRPr="00400494">
        <w:t xml:space="preserve">FRMD </w:t>
      </w:r>
      <w:r w:rsidR="0042547C">
        <w:t>était suivi strictement et qu</w:t>
      </w:r>
      <w:r w:rsidR="000F6CBA">
        <w:t>'</w:t>
      </w:r>
      <w:r w:rsidR="0042547C">
        <w:t>il continuait d</w:t>
      </w:r>
      <w:r w:rsidR="000F6CBA">
        <w:t>'</w:t>
      </w:r>
      <w:r w:rsidR="0042547C">
        <w:t>estimer que les réparations mentionnées faisaient partie de la maintenance ordinaire, précisant que la politique et les lignes directrices du FRMD expliquaient d</w:t>
      </w:r>
      <w:r w:rsidR="000F6CBA">
        <w:t>'</w:t>
      </w:r>
      <w:r w:rsidR="0042547C">
        <w:t>elles même le processus de l</w:t>
      </w:r>
      <w:r w:rsidR="000F6CBA">
        <w:t>'</w:t>
      </w:r>
      <w:r w:rsidR="0042547C">
        <w:t>arbre décisionnel</w:t>
      </w:r>
      <w:r w:rsidR="0042547C" w:rsidRPr="00400494">
        <w:t>.</w:t>
      </w:r>
    </w:p>
    <w:p w:rsidR="0042547C" w:rsidRPr="00400494" w:rsidRDefault="00AD6CDF" w:rsidP="00AD6CDF">
      <w:pPr>
        <w:pStyle w:val="enumlev1"/>
      </w:pPr>
      <w:r>
        <w:t>•</w:t>
      </w:r>
      <w:r>
        <w:tab/>
      </w:r>
      <w:r w:rsidR="0042547C">
        <w:t>Les politiques et procédures existantes dans le domaine de la gestion des installations et la gestion des risques relatifs à la planification et au suivi des activités de maintenance sont considérées comme étant partiellement adéquates</w:t>
      </w:r>
      <w:r w:rsidR="0042547C" w:rsidRPr="00400494">
        <w:t xml:space="preserve">. </w:t>
      </w:r>
      <w:r w:rsidR="0042547C">
        <w:t>Il a été recommandé qu</w:t>
      </w:r>
      <w:r w:rsidR="000F6CBA">
        <w:t>'</w:t>
      </w:r>
      <w:r w:rsidR="0042547C">
        <w:t>un plan de maintenance à long terme intégré et des procédures d</w:t>
      </w:r>
      <w:r w:rsidR="000F6CBA">
        <w:t>'</w:t>
      </w:r>
      <w:r w:rsidR="0042547C">
        <w:t>inspection officielles soient établis, qu</w:t>
      </w:r>
      <w:r w:rsidR="000F6CBA">
        <w:t>'</w:t>
      </w:r>
      <w:r w:rsidR="0042547C">
        <w:t>il soit procédé à une évaluation de la charge de travail par rapport aux ressources humaines disponibles, qu</w:t>
      </w:r>
      <w:r w:rsidR="000F6CBA">
        <w:t>'</w:t>
      </w:r>
      <w:r w:rsidR="0042547C">
        <w:t>une consultation ait lieu pour intégrer les demandes de service au Service d</w:t>
      </w:r>
      <w:r w:rsidR="000F6CBA">
        <w:t>'</w:t>
      </w:r>
      <w:r w:rsidR="0042547C">
        <w:t>assistance informatique et que les réactions des bénéficiaires de services soient recueillies</w:t>
      </w:r>
      <w:r w:rsidR="0042547C" w:rsidRPr="00400494">
        <w:t xml:space="preserve">. </w:t>
      </w:r>
      <w:r w:rsidR="0042547C">
        <w:t>Par ailleurs, la gestion des risques en matière de sécurité, de sûreté et d</w:t>
      </w:r>
      <w:r w:rsidR="000F6CBA">
        <w:t>'</w:t>
      </w:r>
      <w:r w:rsidR="0042547C">
        <w:t>efficacité énergétique est adéquate bien que certaines améliorations soient possibles dans le domaine de l</w:t>
      </w:r>
      <w:r w:rsidR="000F6CBA">
        <w:t>'</w:t>
      </w:r>
      <w:r w:rsidR="0042547C">
        <w:t xml:space="preserve">efficacité énergétique (ODD </w:t>
      </w:r>
      <w:r w:rsidR="0042547C" w:rsidRPr="00400494">
        <w:t>7</w:t>
      </w:r>
      <w:r w:rsidR="009E74F2">
        <w:t>:</w:t>
      </w:r>
      <w:r w:rsidR="0042547C" w:rsidRPr="00400494">
        <w:t xml:space="preserve"> </w:t>
      </w:r>
      <w:r w:rsidR="0042547C">
        <w:t>Energie propre à un prix abordable et ODD 13</w:t>
      </w:r>
      <w:r w:rsidR="009E74F2">
        <w:t>:</w:t>
      </w:r>
      <w:r w:rsidR="0042547C">
        <w:t xml:space="preserve"> Mesures en faveur du climat</w:t>
      </w:r>
      <w:r w:rsidR="0042547C" w:rsidRPr="00400494">
        <w:t>). I</w:t>
      </w:r>
      <w:r w:rsidR="0042547C">
        <w:t>l a été recommandé que le calcul de la surface de référence énergétique soit vérifié. La FMD a indiqué qu</w:t>
      </w:r>
      <w:r w:rsidR="000F6CBA">
        <w:t>'</w:t>
      </w:r>
      <w:r w:rsidR="0042547C">
        <w:t>elle estimait que les données qu</w:t>
      </w:r>
      <w:r w:rsidR="000F6CBA">
        <w:t>'</w:t>
      </w:r>
      <w:r w:rsidR="0042547C">
        <w:t>elle avait communiquées étaient fiables et qu</w:t>
      </w:r>
      <w:r w:rsidR="000F6CBA">
        <w:t>'</w:t>
      </w:r>
      <w:r w:rsidR="0042547C">
        <w:t>elle élaborerait une simple fiche récapitulative</w:t>
      </w:r>
      <w:r w:rsidR="0042547C" w:rsidRPr="00400494">
        <w:t xml:space="preserve">. </w:t>
      </w:r>
      <w:r w:rsidR="0042547C">
        <w:t>Enfin, il a été conclu que l</w:t>
      </w:r>
      <w:r w:rsidR="000F6CBA">
        <w:t>'</w:t>
      </w:r>
      <w:r w:rsidR="0042547C">
        <w:t>égalité hommes/femmes et l</w:t>
      </w:r>
      <w:r w:rsidR="000F6CBA">
        <w:t>'</w:t>
      </w:r>
      <w:r w:rsidR="0042547C">
        <w:t>intégration n</w:t>
      </w:r>
      <w:r w:rsidR="000F6CBA">
        <w:t>'</w:t>
      </w:r>
      <w:r w:rsidR="0042547C">
        <w:t>étaient pas officiellement inclus dans la gestion des installations (ODD 5</w:t>
      </w:r>
      <w:r w:rsidR="009E74F2">
        <w:t>:</w:t>
      </w:r>
      <w:r w:rsidR="0042547C">
        <w:t xml:space="preserve"> Egalité entre les hommes et les femmes). Il a été recommandé que des consultations aient lieu avec SPM et qu</w:t>
      </w:r>
      <w:r w:rsidR="000F6CBA">
        <w:t>'</w:t>
      </w:r>
      <w:r w:rsidR="0042547C">
        <w:t xml:space="preserve">il soit envisagé </w:t>
      </w:r>
      <w:r w:rsidR="0042547C" w:rsidRPr="00400494">
        <w:t xml:space="preserve">a) </w:t>
      </w:r>
      <w:r w:rsidR="0042547C">
        <w:t>d</w:t>
      </w:r>
      <w:r w:rsidR="000F6CBA">
        <w:t>'</w:t>
      </w:r>
      <w:r w:rsidR="00801747">
        <w:t>inclure les </w:t>
      </w:r>
      <w:r w:rsidR="0042547C">
        <w:t>besoins spécifiques liés à l</w:t>
      </w:r>
      <w:r w:rsidR="000F6CBA">
        <w:t>'</w:t>
      </w:r>
      <w:r w:rsidR="0042547C">
        <w:t>égalité hommes/femmes pendant la phase de planification</w:t>
      </w:r>
      <w:r w:rsidR="00801747">
        <w:t>; et </w:t>
      </w:r>
      <w:r w:rsidR="0042547C" w:rsidRPr="00400494">
        <w:t xml:space="preserve">b) </w:t>
      </w:r>
      <w:r w:rsidR="0042547C">
        <w:t>de sensibiliser toutes les parties prenantes liées à la gestion des installations aux questions d</w:t>
      </w:r>
      <w:r w:rsidR="000F6CBA">
        <w:t>'</w:t>
      </w:r>
      <w:r w:rsidR="0042547C">
        <w:t>égalité hommes/femmes et d</w:t>
      </w:r>
      <w:r w:rsidR="000F6CBA">
        <w:t>'</w:t>
      </w:r>
      <w:r w:rsidR="0042547C">
        <w:t>intégration.</w:t>
      </w:r>
    </w:p>
    <w:p w:rsidR="0042547C" w:rsidRPr="00400494" w:rsidRDefault="0042547C" w:rsidP="00AD6CDF">
      <w:r>
        <w:t>Ces recommandations ont été acceptées par les responsables respectifs, à l</w:t>
      </w:r>
      <w:r w:rsidR="000F6CBA">
        <w:t>'</w:t>
      </w:r>
      <w:r>
        <w:t xml:space="preserve">exception de celles portant sur les principes de capitalisation des </w:t>
      </w:r>
      <w:r w:rsidRPr="00400494">
        <w:t>IPSAS.</w:t>
      </w:r>
    </w:p>
    <w:p w:rsidR="0042547C" w:rsidRPr="00400494" w:rsidRDefault="00AD6CDF" w:rsidP="00AD6CDF">
      <w:r>
        <w:t>28</w:t>
      </w:r>
      <w:r>
        <w:tab/>
      </w:r>
      <w:r w:rsidR="0042547C">
        <w:t>L</w:t>
      </w:r>
      <w:r w:rsidR="000F6CBA">
        <w:t>'</w:t>
      </w:r>
      <w:r w:rsidR="0042547C">
        <w:t>Unité de l</w:t>
      </w:r>
      <w:r w:rsidR="000F6CBA">
        <w:t>'</w:t>
      </w:r>
      <w:r w:rsidR="0042547C">
        <w:t>audit interne est d</w:t>
      </w:r>
      <w:r w:rsidR="000F6CBA">
        <w:t>'</w:t>
      </w:r>
      <w:r w:rsidR="0042547C">
        <w:t>avis que la gouvernance, les processus de gestion des risques et les contrôles internes sont partiellement adéquats. Des améliorations sont nécessaires dans les domaines des politiques et procédures et de la gestion des risques de certains aspects de la gestion des installations ainsi qu</w:t>
      </w:r>
      <w:r w:rsidR="000F6CBA">
        <w:t>'</w:t>
      </w:r>
      <w:r w:rsidR="0042547C">
        <w:t>à l</w:t>
      </w:r>
      <w:r w:rsidR="000F6CBA">
        <w:t>'</w:t>
      </w:r>
      <w:r w:rsidR="0042547C">
        <w:t>échelle de l</w:t>
      </w:r>
      <w:r w:rsidR="000F6CBA">
        <w:t>'</w:t>
      </w:r>
      <w:r w:rsidR="0042547C">
        <w:t xml:space="preserve">Union, en particulier concernant les politiques et procédure de passation de marchés. Si ces améliorations sont apportées, le Secrétaire général pourrait avoir une assurance raisonnable que – pour la gestion des installations – la gouvernance et la gestion des risques sont suffisantes et que les contrôles sont efficaces. </w:t>
      </w:r>
    </w:p>
    <w:p w:rsidR="0042547C" w:rsidRPr="00400494" w:rsidRDefault="0042547C" w:rsidP="000224E0">
      <w:pPr>
        <w:pStyle w:val="Headingb"/>
      </w:pPr>
      <w:r>
        <w:t>Enquêtes de l</w:t>
      </w:r>
      <w:r w:rsidR="000F6CBA">
        <w:t>'</w:t>
      </w:r>
      <w:r>
        <w:t>Unité de l</w:t>
      </w:r>
      <w:r w:rsidR="000F6CBA">
        <w:t>'</w:t>
      </w:r>
      <w:r w:rsidR="00624A3A">
        <w:t>audit interne</w:t>
      </w:r>
    </w:p>
    <w:p w:rsidR="0042547C" w:rsidRPr="00400494" w:rsidRDefault="00AD6CDF" w:rsidP="00AD6CDF">
      <w:r>
        <w:t>29</w:t>
      </w:r>
      <w:r>
        <w:tab/>
      </w:r>
      <w:r w:rsidR="0042547C">
        <w:t>En septembre 2017, le Secrétaire général a demandé à l</w:t>
      </w:r>
      <w:r w:rsidR="000F6CBA">
        <w:t>'</w:t>
      </w:r>
      <w:r w:rsidR="0042547C">
        <w:t>Unité de l</w:t>
      </w:r>
      <w:r w:rsidR="000F6CBA">
        <w:t>'</w:t>
      </w:r>
      <w:r w:rsidR="0042547C">
        <w:t>audit interne d</w:t>
      </w:r>
      <w:r w:rsidR="000F6CBA">
        <w:t>'</w:t>
      </w:r>
      <w:r w:rsidR="0042547C">
        <w:t>enquêter sur une éventuelle utilisation non autorisée du logo de l</w:t>
      </w:r>
      <w:r w:rsidR="000F6CBA">
        <w:t>'</w:t>
      </w:r>
      <w:r w:rsidR="0042547C">
        <w:t>UIT par un sponsor lors d</w:t>
      </w:r>
      <w:r w:rsidR="000F6CBA">
        <w:t>'</w:t>
      </w:r>
      <w:r w:rsidR="0042547C">
        <w:t>une manifestation de l</w:t>
      </w:r>
      <w:r w:rsidR="000F6CBA">
        <w:t>'</w:t>
      </w:r>
      <w:r w:rsidR="0042547C">
        <w:t>UIT en 2017. Cette utilisation non autorisée n</w:t>
      </w:r>
      <w:r w:rsidR="000F6CBA">
        <w:t>'</w:t>
      </w:r>
      <w:r w:rsidR="0042547C">
        <w:t>a pas entraîné de perte financière pour l</w:t>
      </w:r>
      <w:r w:rsidR="000F6CBA">
        <w:t>'</w:t>
      </w:r>
      <w:r w:rsidR="0042547C">
        <w:t>UIT. Le Secrétaire général a reçu des rapports sur l</w:t>
      </w:r>
      <w:r w:rsidR="000F6CBA">
        <w:t>'</w:t>
      </w:r>
      <w:r w:rsidR="0042547C">
        <w:t>avancement et les résultats de l</w:t>
      </w:r>
      <w:r w:rsidR="000F6CBA">
        <w:t>'</w:t>
      </w:r>
      <w:r w:rsidR="0042547C">
        <w:t>enquête</w:t>
      </w:r>
      <w:r w:rsidR="0042547C" w:rsidRPr="00400494">
        <w:t xml:space="preserve">. </w:t>
      </w:r>
    </w:p>
    <w:p w:rsidR="0042547C" w:rsidRPr="00400494" w:rsidRDefault="0042547C" w:rsidP="000224E0">
      <w:pPr>
        <w:pStyle w:val="Headingb"/>
      </w:pPr>
      <w:r>
        <w:lastRenderedPageBreak/>
        <w:t>Services de conseil de l</w:t>
      </w:r>
      <w:r w:rsidR="000F6CBA">
        <w:t>'</w:t>
      </w:r>
      <w:r>
        <w:t>Unité de l</w:t>
      </w:r>
      <w:r w:rsidR="000F6CBA">
        <w:t>'</w:t>
      </w:r>
      <w:r w:rsidR="00624A3A">
        <w:t>audit interne</w:t>
      </w:r>
    </w:p>
    <w:p w:rsidR="0042547C" w:rsidRPr="009B0CFB" w:rsidRDefault="009B0CFB" w:rsidP="009B0CFB">
      <w:pPr>
        <w:pStyle w:val="Headingb"/>
        <w:rPr>
          <w:i/>
          <w:iCs/>
        </w:rPr>
      </w:pPr>
      <w:r w:rsidRPr="009B0CFB">
        <w:rPr>
          <w:i/>
          <w:iCs/>
        </w:rPr>
        <w:t>A</w:t>
      </w:r>
      <w:r w:rsidRPr="009B0CFB">
        <w:rPr>
          <w:i/>
          <w:iCs/>
        </w:rPr>
        <w:tab/>
      </w:r>
      <w:r w:rsidR="0042547C" w:rsidRPr="009B0CFB">
        <w:rPr>
          <w:i/>
          <w:iCs/>
        </w:rPr>
        <w:t>Etude de faisabilité de la fonction d</w:t>
      </w:r>
      <w:r w:rsidR="000F6CBA" w:rsidRPr="009B0CFB">
        <w:rPr>
          <w:i/>
          <w:iCs/>
        </w:rPr>
        <w:t>'</w:t>
      </w:r>
      <w:r w:rsidR="0042547C" w:rsidRPr="009B0CFB">
        <w:rPr>
          <w:i/>
          <w:iCs/>
        </w:rPr>
        <w:t>évaluation de l</w:t>
      </w:r>
      <w:r w:rsidR="000F6CBA" w:rsidRPr="009B0CFB">
        <w:rPr>
          <w:i/>
          <w:iCs/>
        </w:rPr>
        <w:t>'</w:t>
      </w:r>
      <w:r w:rsidR="0042547C" w:rsidRPr="009B0CFB">
        <w:rPr>
          <w:i/>
          <w:iCs/>
        </w:rPr>
        <w:t>UIT</w:t>
      </w:r>
    </w:p>
    <w:p w:rsidR="0042547C" w:rsidRPr="00400494" w:rsidRDefault="009B0CFB" w:rsidP="0002444E">
      <w:r>
        <w:t>30</w:t>
      </w:r>
      <w:r>
        <w:tab/>
      </w:r>
      <w:r w:rsidR="0042547C">
        <w:t xml:space="preserve">Le CCI, dans son rapport </w:t>
      </w:r>
      <w:r w:rsidR="0002444E">
        <w:t>"</w:t>
      </w:r>
      <w:r w:rsidR="0042547C" w:rsidRPr="005C0DF9">
        <w:t>Examen de la gestion et de l'administration de l'Union internationale des télécommunications (UIT)</w:t>
      </w:r>
      <w:r w:rsidR="0002444E">
        <w:t>"</w:t>
      </w:r>
      <w:r w:rsidR="0042547C">
        <w:t xml:space="preserve"> a fait un</w:t>
      </w:r>
      <w:r>
        <w:t>e recommandation non officielle</w:t>
      </w:r>
      <w:r w:rsidR="0042547C">
        <w:t xml:space="preserve">: </w:t>
      </w:r>
    </w:p>
    <w:p w:rsidR="0042547C" w:rsidRPr="009B0CFB" w:rsidRDefault="009B0CFB" w:rsidP="009B0CFB">
      <w:pPr>
        <w:pStyle w:val="enumlev1"/>
        <w:rPr>
          <w:i/>
          <w:iCs/>
          <w:lang w:eastAsia="zh-CN"/>
        </w:rPr>
      </w:pPr>
      <w:r>
        <w:rPr>
          <w:lang w:eastAsia="zh-CN"/>
        </w:rPr>
        <w:tab/>
      </w:r>
      <w:r w:rsidR="0042547C" w:rsidRPr="009B0CFB">
        <w:rPr>
          <w:i/>
          <w:iCs/>
          <w:lang w:eastAsia="zh-CN"/>
        </w:rPr>
        <w:t>179. Les Inspecteurs mesurent les répercussions financières, mais estiment que l'institutionnalisation d'une fonction d'évaluation est une façon de contribuer à l'établissement d'orientations stratégiques, à l'apprentissage et au partage de connaissances au sein de toutes les composantes de l'Union, à condition qu'elle soit dotée de compétences professionnelles et d'une capacité suffisante.</w:t>
      </w:r>
    </w:p>
    <w:p w:rsidR="0042547C" w:rsidRPr="00400494" w:rsidRDefault="009B0CFB" w:rsidP="009B0CFB">
      <w:pPr>
        <w:rPr>
          <w:bCs/>
        </w:rPr>
      </w:pPr>
      <w:r>
        <w:t>31</w:t>
      </w:r>
      <w:r>
        <w:tab/>
      </w:r>
      <w:r w:rsidR="0042547C">
        <w:t>Le rapport sur l</w:t>
      </w:r>
      <w:r w:rsidR="000F6CBA">
        <w:t>'</w:t>
      </w:r>
      <w:r w:rsidR="0042547C">
        <w:t>étude de faisabilité – commandé par l</w:t>
      </w:r>
      <w:r w:rsidR="000F6CBA">
        <w:t>'</w:t>
      </w:r>
      <w:r w:rsidR="0042547C">
        <w:t>Unité de l</w:t>
      </w:r>
      <w:r w:rsidR="000F6CBA">
        <w:t>'</w:t>
      </w:r>
      <w:r w:rsidR="00801747">
        <w:t>audit interne – a été </w:t>
      </w:r>
      <w:r w:rsidR="0042547C">
        <w:t>présenté au Groupe de coordination de la gestion (MCG) de l</w:t>
      </w:r>
      <w:r w:rsidR="000F6CBA">
        <w:t>'</w:t>
      </w:r>
      <w:r w:rsidR="0042547C">
        <w:t xml:space="preserve">UIT en avril 2017. </w:t>
      </w:r>
      <w:r>
        <w:t>A</w:t>
      </w:r>
      <w:r w:rsidR="0042547C">
        <w:t xml:space="preserve"> sa</w:t>
      </w:r>
      <w:r w:rsidR="00801747">
        <w:t> </w:t>
      </w:r>
      <w:r w:rsidR="0042547C">
        <w:t>18</w:t>
      </w:r>
      <w:r w:rsidRPr="00801747">
        <w:t>ème</w:t>
      </w:r>
      <w:r w:rsidR="00801747">
        <w:t> </w:t>
      </w:r>
      <w:r w:rsidR="0042547C">
        <w:t>réunion, le CCIG a aussi examiné l</w:t>
      </w:r>
      <w:r w:rsidR="000F6CBA">
        <w:t>'</w:t>
      </w:r>
      <w:r w:rsidR="0042547C">
        <w:t>étude de faisabilité, qui comprend des propositions sur la meilleure façon dont l</w:t>
      </w:r>
      <w:r w:rsidR="000F6CBA">
        <w:t>'</w:t>
      </w:r>
      <w:r w:rsidR="0042547C">
        <w:t>UIT devrait établir une politique et une fonction d</w:t>
      </w:r>
      <w:r w:rsidR="000F6CBA">
        <w:t>'</w:t>
      </w:r>
      <w:r w:rsidR="0042547C">
        <w:t>évaluation. La politique et les lignes directrices d</w:t>
      </w:r>
      <w:r w:rsidR="000F6CBA">
        <w:t>'</w:t>
      </w:r>
      <w:r w:rsidR="0042547C">
        <w:t>évaluation proposées ont été adoptées à titre provisoire par le Secrétaire général et formeront le cadre d</w:t>
      </w:r>
      <w:r w:rsidR="000F6CBA">
        <w:t>'</w:t>
      </w:r>
      <w:r w:rsidR="0042547C">
        <w:t>un essai d</w:t>
      </w:r>
      <w:r w:rsidR="000F6CBA">
        <w:t>'</w:t>
      </w:r>
      <w:r w:rsidR="0042547C">
        <w:t>évaluation qui est inclus dans le plan de travail de 2018 de l</w:t>
      </w:r>
      <w:r w:rsidR="000F6CBA">
        <w:t>'</w:t>
      </w:r>
      <w:r w:rsidR="0042547C">
        <w:t>Unité de l</w:t>
      </w:r>
      <w:r w:rsidR="000F6CBA">
        <w:t>'</w:t>
      </w:r>
      <w:r w:rsidR="0042547C">
        <w:t>audit interne</w:t>
      </w:r>
      <w:r w:rsidR="0042547C" w:rsidRPr="00400494">
        <w:t>.</w:t>
      </w:r>
    </w:p>
    <w:p w:rsidR="0042547C" w:rsidRPr="00403C75" w:rsidRDefault="00403C75" w:rsidP="00403C75">
      <w:pPr>
        <w:pStyle w:val="Headingb"/>
        <w:rPr>
          <w:i/>
          <w:iCs/>
        </w:rPr>
      </w:pPr>
      <w:r w:rsidRPr="00403C75">
        <w:rPr>
          <w:i/>
          <w:iCs/>
        </w:rPr>
        <w:t>B</w:t>
      </w:r>
      <w:r w:rsidRPr="00403C75">
        <w:rPr>
          <w:i/>
          <w:iCs/>
        </w:rPr>
        <w:tab/>
      </w:r>
      <w:r w:rsidR="0042547C" w:rsidRPr="00403C75">
        <w:rPr>
          <w:i/>
          <w:iCs/>
        </w:rPr>
        <w:t xml:space="preserve">Accords de niveau de service </w:t>
      </w:r>
    </w:p>
    <w:p w:rsidR="0042547C" w:rsidRPr="00400494" w:rsidRDefault="00403C75" w:rsidP="00403C75">
      <w:r>
        <w:t>32</w:t>
      </w:r>
      <w:r>
        <w:tab/>
      </w:r>
      <w:r w:rsidR="0042547C">
        <w:t>L</w:t>
      </w:r>
      <w:r w:rsidR="000F6CBA">
        <w:t>'</w:t>
      </w:r>
      <w:r w:rsidR="0042547C">
        <w:t>Unité de l</w:t>
      </w:r>
      <w:r w:rsidR="000F6CBA">
        <w:t>'</w:t>
      </w:r>
      <w:r w:rsidR="0042547C">
        <w:t xml:space="preserve">audit interne a examiné les </w:t>
      </w:r>
      <w:r w:rsidR="0042547C">
        <w:rPr>
          <w:i/>
          <w:iCs/>
        </w:rPr>
        <w:t>accords de niveau de service</w:t>
      </w:r>
      <w:r w:rsidR="0042547C" w:rsidRPr="00400494">
        <w:t xml:space="preserve"> </w:t>
      </w:r>
      <w:r w:rsidR="0042547C">
        <w:t>(SLA) pour aider la direction à prendre des décisions éclairées. L</w:t>
      </w:r>
      <w:r w:rsidR="000F6CBA">
        <w:t>'</w:t>
      </w:r>
      <w:r w:rsidR="0042547C">
        <w:t>objectif de cet audit était de déterminer si les processus d</w:t>
      </w:r>
      <w:r w:rsidR="000F6CBA">
        <w:t>'</w:t>
      </w:r>
      <w:r w:rsidR="0042547C">
        <w:t>accords de niveau de service fonctionnaient de façon adéquate et dans quelle mesure les objectifs de ces accords étaient atteints. La mission de conseil a porté principalement sur les pratiques et procédures actuelles</w:t>
      </w:r>
      <w:r w:rsidR="0042547C" w:rsidRPr="00400494">
        <w:t xml:space="preserve">. </w:t>
      </w:r>
    </w:p>
    <w:p w:rsidR="0042547C" w:rsidRPr="00400494" w:rsidRDefault="00403C75" w:rsidP="00403C75">
      <w:r>
        <w:t>33</w:t>
      </w:r>
      <w:r>
        <w:tab/>
      </w:r>
      <w:r w:rsidR="0042547C">
        <w:t>L</w:t>
      </w:r>
      <w:r w:rsidR="000F6CBA">
        <w:t>'</w:t>
      </w:r>
      <w:r w:rsidR="0042547C">
        <w:t>Unité de l</w:t>
      </w:r>
      <w:r w:rsidR="000F6CBA">
        <w:t>'</w:t>
      </w:r>
      <w:r w:rsidR="0042547C">
        <w:t>audit interne a retenu un certain nombre de questions hautement prioritaires, à s</w:t>
      </w:r>
      <w:r w:rsidR="008D3E62">
        <w:t>avoir</w:t>
      </w:r>
      <w:r w:rsidR="0042547C" w:rsidRPr="00400494">
        <w:t xml:space="preserve">: </w:t>
      </w:r>
    </w:p>
    <w:p w:rsidR="0042547C" w:rsidRPr="00400494" w:rsidRDefault="00926A45" w:rsidP="00926A45">
      <w:pPr>
        <w:pStyle w:val="enumlev1"/>
      </w:pPr>
      <w:r>
        <w:t>•</w:t>
      </w:r>
      <w:r>
        <w:tab/>
      </w:r>
      <w:r w:rsidR="0042547C">
        <w:t>Il n</w:t>
      </w:r>
      <w:r w:rsidR="000F6CBA">
        <w:t>'</w:t>
      </w:r>
      <w:r w:rsidR="0042547C">
        <w:t>existe pas de cadre institutionnel approprié pour régir les accords de niveau de service. Il a été recommandé d</w:t>
      </w:r>
      <w:r w:rsidR="000F6CBA">
        <w:t>'</w:t>
      </w:r>
      <w:r w:rsidR="0042547C">
        <w:t>envisager la possibilité d</w:t>
      </w:r>
      <w:r w:rsidR="000F6CBA">
        <w:t>'</w:t>
      </w:r>
      <w:r w:rsidR="0042547C">
        <w:t>examiner et de mettre à jour le manuel opérationnel des accords SLA pour l</w:t>
      </w:r>
      <w:r w:rsidR="000F6CBA">
        <w:t>'</w:t>
      </w:r>
      <w:r w:rsidR="0042547C">
        <w:t>aligner sur les besoins actuels de l</w:t>
      </w:r>
      <w:r w:rsidR="000F6CBA">
        <w:t>'</w:t>
      </w:r>
      <w:r w:rsidR="0042547C">
        <w:t>Organisation. Pour les services difficiles à quantifier, cette mise à jour pourrait entraîner de mettre un terme à la signature de contrats SLA annuels et de les concevoir comme un accord continu qui se réfère au catalogue de services du prestataire et reste en vigueur indéfiniment à moins que des circonstances exceptionnelles ne justifient un changement</w:t>
      </w:r>
      <w:r w:rsidR="0042547C" w:rsidRPr="00400494">
        <w:t xml:space="preserve">. </w:t>
      </w:r>
    </w:p>
    <w:p w:rsidR="0042547C" w:rsidRPr="00400494" w:rsidRDefault="00926A45" w:rsidP="00926A45">
      <w:pPr>
        <w:pStyle w:val="enumlev1"/>
      </w:pPr>
      <w:r>
        <w:t>•</w:t>
      </w:r>
      <w:r>
        <w:tab/>
      </w:r>
      <w:r w:rsidR="0042547C">
        <w:t>Les risques associés à des évaluations passées de la performance ne sont pas gérés de façon appropriée et le risque existe que de mauvais résultats et des possibilités d</w:t>
      </w:r>
      <w:r w:rsidR="000F6CBA">
        <w:t>'</w:t>
      </w:r>
      <w:r w:rsidR="0042547C">
        <w:t>amélioration ne soient pas détectés de façon efficace et effective</w:t>
      </w:r>
      <w:r w:rsidR="0042547C" w:rsidRPr="00400494">
        <w:t>. I</w:t>
      </w:r>
      <w:r w:rsidR="0042547C">
        <w:t>l a été recommandé d</w:t>
      </w:r>
      <w:r w:rsidR="000F6CBA">
        <w:t>'</w:t>
      </w:r>
      <w:r w:rsidR="0042547C">
        <w:t xml:space="preserve">envisager la possibilité de mettre en </w:t>
      </w:r>
      <w:r w:rsidR="0036733D">
        <w:t>oe</w:t>
      </w:r>
      <w:r w:rsidR="0042547C">
        <w:t>uvre un mécanisme d</w:t>
      </w:r>
      <w:r w:rsidR="000F6CBA">
        <w:t>'</w:t>
      </w:r>
      <w:r w:rsidR="0042547C">
        <w:t xml:space="preserve">évaluation des performances lié aux résultats passés en utilisant les indicateurs de performance </w:t>
      </w:r>
      <w:r w:rsidR="0042547C" w:rsidRPr="00400494">
        <w:t xml:space="preserve">SMART. </w:t>
      </w:r>
    </w:p>
    <w:p w:rsidR="0042547C" w:rsidRPr="00400494" w:rsidRDefault="00E7259B" w:rsidP="00E7259B">
      <w:r>
        <w:t>34</w:t>
      </w:r>
      <w:r>
        <w:tab/>
      </w:r>
      <w:r w:rsidR="0042547C">
        <w:t>Dans l</w:t>
      </w:r>
      <w:r w:rsidR="000F6CBA">
        <w:t>'</w:t>
      </w:r>
      <w:r w:rsidR="0042547C">
        <w:t>ensemble, l</w:t>
      </w:r>
      <w:r w:rsidR="000F6CBA">
        <w:t>'</w:t>
      </w:r>
      <w:r w:rsidR="0042547C">
        <w:t>Unité de l</w:t>
      </w:r>
      <w:r w:rsidR="000F6CBA">
        <w:t>'</w:t>
      </w:r>
      <w:r w:rsidR="0042547C">
        <w:t>audit interne est d</w:t>
      </w:r>
      <w:r w:rsidR="000F6CBA">
        <w:t>'</w:t>
      </w:r>
      <w:r w:rsidR="0042547C">
        <w:t>avis que de nombreux aspects positifs des processus SLA doivent être reconnus. Toutefois, l</w:t>
      </w:r>
      <w:r w:rsidR="000F6CBA">
        <w:t>'</w:t>
      </w:r>
      <w:r w:rsidR="0042547C">
        <w:t>Unité de l</w:t>
      </w:r>
      <w:r w:rsidR="000F6CBA">
        <w:t>'</w:t>
      </w:r>
      <w:r w:rsidR="0042547C">
        <w:t>audit interne estime que ces processus ne fonctionnent que partiellement. Elle estime aussi que les objectifs des accords SLA ne sont pas pleinement atteints</w:t>
      </w:r>
      <w:r w:rsidR="0042547C" w:rsidRPr="00400494">
        <w:t xml:space="preserve">. </w:t>
      </w:r>
    </w:p>
    <w:p w:rsidR="005E5EF7" w:rsidRDefault="005E5EF7">
      <w:pPr>
        <w:tabs>
          <w:tab w:val="clear" w:pos="567"/>
          <w:tab w:val="clear" w:pos="1134"/>
          <w:tab w:val="clear" w:pos="1701"/>
          <w:tab w:val="clear" w:pos="2268"/>
          <w:tab w:val="clear" w:pos="2835"/>
        </w:tabs>
        <w:overflowPunct/>
        <w:autoSpaceDE/>
        <w:autoSpaceDN/>
        <w:adjustRightInd/>
        <w:spacing w:before="0"/>
        <w:textAlignment w:val="auto"/>
      </w:pPr>
      <w:r>
        <w:br w:type="page"/>
      </w:r>
    </w:p>
    <w:p w:rsidR="0042547C" w:rsidRPr="00400494" w:rsidRDefault="00E7259B" w:rsidP="00E7259B">
      <w:r>
        <w:lastRenderedPageBreak/>
        <w:t>35</w:t>
      </w:r>
      <w:r>
        <w:tab/>
      </w:r>
      <w:r w:rsidR="0042547C">
        <w:t>Après la publication du rapport d</w:t>
      </w:r>
      <w:r w:rsidR="000F6CBA">
        <w:t>'</w:t>
      </w:r>
      <w:r w:rsidR="0042547C">
        <w:t>audit de l</w:t>
      </w:r>
      <w:r w:rsidR="000F6CBA">
        <w:t>'</w:t>
      </w:r>
      <w:r w:rsidR="0042547C">
        <w:t>Unité de l</w:t>
      </w:r>
      <w:r w:rsidR="000F6CBA">
        <w:t>'</w:t>
      </w:r>
      <w:r w:rsidR="0042547C">
        <w:t xml:space="preserve">audit interne, il a été décidé de ne pas mettre en </w:t>
      </w:r>
      <w:r w:rsidR="0036733D">
        <w:t>oe</w:t>
      </w:r>
      <w:r w:rsidR="0042547C">
        <w:t>uvre ses principales recommandations mais d</w:t>
      </w:r>
      <w:r w:rsidR="000F6CBA">
        <w:t>'</w:t>
      </w:r>
      <w:r w:rsidR="0042547C">
        <w:t>appliquer d</w:t>
      </w:r>
      <w:r w:rsidR="000F6CBA">
        <w:t>'</w:t>
      </w:r>
      <w:r w:rsidR="0042547C">
        <w:t>autres mesures (jusqu</w:t>
      </w:r>
      <w:r w:rsidR="000F6CBA">
        <w:t>'</w:t>
      </w:r>
      <w:r w:rsidR="0042547C">
        <w:t>à la fin 2019) pour tenir compte des préoccupations exprimées par l</w:t>
      </w:r>
      <w:r w:rsidR="000F6CBA">
        <w:t>'</w:t>
      </w:r>
      <w:r w:rsidR="0042547C">
        <w:t>Unité de l</w:t>
      </w:r>
      <w:r w:rsidR="000F6CBA">
        <w:t>'</w:t>
      </w:r>
      <w:r w:rsidR="0042547C">
        <w:t xml:space="preserve">audit interne. Les autres recommandations formulées seront prises en considération pour la période </w:t>
      </w:r>
      <w:r w:rsidR="0042547C" w:rsidRPr="00400494">
        <w:t>2020-2023.</w:t>
      </w:r>
    </w:p>
    <w:p w:rsidR="0042547C" w:rsidRDefault="0042547C" w:rsidP="000224E0">
      <w:pPr>
        <w:pStyle w:val="Headingb"/>
        <w:rPr>
          <w:lang w:val="fr-CH"/>
        </w:rPr>
      </w:pPr>
      <w:r w:rsidRPr="00A01B11">
        <w:rPr>
          <w:lang w:val="fr-CH"/>
        </w:rPr>
        <w:t xml:space="preserve">Mise en </w:t>
      </w:r>
      <w:r w:rsidR="0036733D">
        <w:rPr>
          <w:lang w:val="fr-CH"/>
        </w:rPr>
        <w:t>oe</w:t>
      </w:r>
      <w:r w:rsidRPr="00A01B11">
        <w:rPr>
          <w:lang w:val="fr-CH"/>
        </w:rPr>
        <w:t xml:space="preserve">uvre des </w:t>
      </w:r>
      <w:r>
        <w:rPr>
          <w:lang w:val="fr-CH"/>
        </w:rPr>
        <w:t>recommandations du CCIG relatives à l</w:t>
      </w:r>
      <w:r w:rsidR="000F6CBA">
        <w:rPr>
          <w:lang w:val="fr-CH"/>
        </w:rPr>
        <w:t>'</w:t>
      </w:r>
      <w:r>
        <w:rPr>
          <w:lang w:val="fr-CH"/>
        </w:rPr>
        <w:t xml:space="preserve">audit interne </w:t>
      </w:r>
    </w:p>
    <w:p w:rsidR="0042547C" w:rsidRPr="00400494" w:rsidRDefault="00624A3A" w:rsidP="000224E0">
      <w:pPr>
        <w:rPr>
          <w:rFonts w:asciiTheme="minorHAnsi" w:hAnsiTheme="minorHAnsi" w:cstheme="minorHAnsi"/>
        </w:rPr>
      </w:pPr>
      <w:r>
        <w:rPr>
          <w:lang w:val="fr-CH"/>
        </w:rPr>
        <w:t>36</w:t>
      </w:r>
      <w:r>
        <w:rPr>
          <w:lang w:val="fr-CH"/>
        </w:rPr>
        <w:tab/>
      </w:r>
      <w:r w:rsidR="0042547C" w:rsidRPr="009D6F3E">
        <w:rPr>
          <w:lang w:val="fr-CH"/>
        </w:rPr>
        <w:t xml:space="preserve">Le </w:t>
      </w:r>
      <w:r w:rsidR="0042547C" w:rsidRPr="003E41CE">
        <w:t>CCIG a suivi de manière régulière la suite donnée aux recommandations relatives à la fonction d</w:t>
      </w:r>
      <w:r w:rsidR="000F6CBA">
        <w:rPr>
          <w:b/>
        </w:rPr>
        <w:t>'</w:t>
      </w:r>
      <w:r w:rsidR="0042547C" w:rsidRPr="003E41CE">
        <w:t>audit interne et a rendu compte des progrès accomplis dans le rapport qu</w:t>
      </w:r>
      <w:r w:rsidR="000F6CBA">
        <w:rPr>
          <w:b/>
        </w:rPr>
        <w:t>'</w:t>
      </w:r>
      <w:r w:rsidR="0042547C" w:rsidRPr="003E41CE">
        <w:t>il a soumis au Secrétaire général ainsi que dans son rapport annuel au Conseil. A cet égard, l</w:t>
      </w:r>
      <w:r w:rsidR="000F6CBA">
        <w:rPr>
          <w:b/>
        </w:rPr>
        <w:t>'</w:t>
      </w:r>
      <w:r w:rsidR="0042547C" w:rsidRPr="003E41CE">
        <w:t>Unité de l</w:t>
      </w:r>
      <w:r w:rsidR="000F6CBA">
        <w:rPr>
          <w:b/>
        </w:rPr>
        <w:t>'</w:t>
      </w:r>
      <w:r w:rsidR="0042547C" w:rsidRPr="003E41CE">
        <w:t>audit interne a examiné toutes les recommandations du CCIG relatives à l</w:t>
      </w:r>
      <w:r w:rsidR="000F6CBA">
        <w:rPr>
          <w:b/>
        </w:rPr>
        <w:t>'</w:t>
      </w:r>
      <w:r w:rsidR="0042547C" w:rsidRPr="003E41CE">
        <w:t>audit interne. Un rapport sur l</w:t>
      </w:r>
      <w:r w:rsidR="000F6CBA">
        <w:rPr>
          <w:b/>
        </w:rPr>
        <w:t>'</w:t>
      </w:r>
      <w:r w:rsidR="0042547C" w:rsidRPr="003E41CE">
        <w:t>état d</w:t>
      </w:r>
      <w:r w:rsidR="000F6CBA">
        <w:rPr>
          <w:b/>
        </w:rPr>
        <w:t>'</w:t>
      </w:r>
      <w:r w:rsidR="0042547C" w:rsidRPr="003E41CE">
        <w:t>avancement a été présenté à la 8ème réunion du Groupe de travail du Conseil sur les ressources financières et</w:t>
      </w:r>
      <w:r w:rsidR="0042547C" w:rsidRPr="00192C4C">
        <w:t xml:space="preserve"> les ressources humaines</w:t>
      </w:r>
      <w:r>
        <w:t xml:space="preserve"> (GTC-FHR) dans le D</w:t>
      </w:r>
      <w:r w:rsidR="0042547C">
        <w:t xml:space="preserve">ocument </w:t>
      </w:r>
      <w:r w:rsidR="0042547C">
        <w:rPr>
          <w:rFonts w:asciiTheme="minorHAnsi" w:hAnsiTheme="minorHAnsi" w:cstheme="minorHAnsi"/>
        </w:rPr>
        <w:t>GTC</w:t>
      </w:r>
      <w:r w:rsidR="0042547C" w:rsidRPr="00192C4C">
        <w:rPr>
          <w:rFonts w:asciiTheme="minorHAnsi" w:eastAsia="SimSun" w:hAnsiTheme="minorHAnsi" w:cstheme="minorHAnsi"/>
          <w:bCs/>
          <w:spacing w:val="-4"/>
        </w:rPr>
        <w:t>-FHR-8/13.</w:t>
      </w:r>
      <w:r w:rsidR="0042547C" w:rsidRPr="00400494">
        <w:rPr>
          <w:rFonts w:asciiTheme="minorHAnsi" w:hAnsiTheme="minorHAnsi" w:cstheme="minorHAnsi"/>
        </w:rPr>
        <w:t xml:space="preserve"> </w:t>
      </w:r>
    </w:p>
    <w:p w:rsidR="0042547C" w:rsidRPr="00400494" w:rsidRDefault="0042547C" w:rsidP="000224E0">
      <w:pPr>
        <w:pStyle w:val="Headingb"/>
      </w:pPr>
      <w:r>
        <w:t>Suite donnée aux recommandations formulées par l</w:t>
      </w:r>
      <w:r w:rsidR="000F6CBA">
        <w:t>'</w:t>
      </w:r>
      <w:r>
        <w:t>Unité de l</w:t>
      </w:r>
      <w:r w:rsidR="000F6CBA">
        <w:t>'</w:t>
      </w:r>
      <w:r>
        <w:t>audit interne</w:t>
      </w:r>
    </w:p>
    <w:p w:rsidR="0042547C" w:rsidRPr="00400494" w:rsidRDefault="000224E0" w:rsidP="00AC4F6B">
      <w:pPr>
        <w:spacing w:after="120"/>
      </w:pPr>
      <w:r>
        <w:t>37</w:t>
      </w:r>
      <w:r>
        <w:tab/>
      </w:r>
      <w:r w:rsidR="0042547C" w:rsidRPr="003E41CE">
        <w:t>Durant la période couverte par le rapport et conformément à la Norme 2500 de l</w:t>
      </w:r>
      <w:r w:rsidR="000F6CBA">
        <w:t>'</w:t>
      </w:r>
      <w:r w:rsidR="0042547C" w:rsidRPr="003E41CE">
        <w:t>IIA</w:t>
      </w:r>
      <w:r w:rsidR="0042547C" w:rsidRPr="001A63BD">
        <w:rPr>
          <w:rStyle w:val="FootnoteReference"/>
          <w:rFonts w:eastAsiaTheme="minorEastAsia" w:cstheme="minorHAnsi"/>
          <w:sz w:val="18"/>
          <w:szCs w:val="18"/>
          <w:lang w:eastAsia="zh-CN"/>
        </w:rPr>
        <w:footnoteReference w:id="5"/>
      </w:r>
      <w:r w:rsidR="0042547C" w:rsidRPr="003E41CE">
        <w:t>, l</w:t>
      </w:r>
      <w:r w:rsidR="000F6CBA">
        <w:t>'</w:t>
      </w:r>
      <w:r w:rsidR="00FB675B">
        <w:t>Unité </w:t>
      </w:r>
      <w:r w:rsidR="0042547C" w:rsidRPr="003E41CE">
        <w:t>de l</w:t>
      </w:r>
      <w:r w:rsidR="000F6CBA">
        <w:t>'</w:t>
      </w:r>
      <w:r w:rsidR="0042547C" w:rsidRPr="003E41CE">
        <w:t>audit interne a continué de donner suite aux rec</w:t>
      </w:r>
      <w:r w:rsidR="00624A3A">
        <w:t>ommandations formulées dans les </w:t>
      </w:r>
      <w:r w:rsidR="0042547C" w:rsidRPr="003E41CE">
        <w:t>rapports d</w:t>
      </w:r>
      <w:r w:rsidR="000F6CBA">
        <w:t>'</w:t>
      </w:r>
      <w:r w:rsidR="0042547C" w:rsidRPr="003E41CE">
        <w:t>audit précédents. Il a été noté que des progrès avaien</w:t>
      </w:r>
      <w:r w:rsidR="00FB675B">
        <w:t>t été accomplis a</w:t>
      </w:r>
      <w:r w:rsidR="00624A3A">
        <w:t>u cours des </w:t>
      </w:r>
      <w:r w:rsidR="00FB675B">
        <w:t>12 </w:t>
      </w:r>
      <w:r w:rsidR="0042547C" w:rsidRPr="003E41CE">
        <w:t xml:space="preserve">derniers mois et les statistiques relatives à la mise en </w:t>
      </w:r>
      <w:r w:rsidR="0036733D">
        <w:t>oe</w:t>
      </w:r>
      <w:r w:rsidR="0042547C" w:rsidRPr="003E41CE">
        <w:t xml:space="preserve">uvre se présentent comme suit </w:t>
      </w:r>
      <w:r w:rsidR="0042547C">
        <w:t>(au</w:t>
      </w:r>
      <w:r w:rsidR="00C01196">
        <w:t> </w:t>
      </w:r>
      <w:r w:rsidR="00FB675B">
        <w:t>30 </w:t>
      </w:r>
      <w:r w:rsidR="0042547C">
        <w:t>s</w:t>
      </w:r>
      <w:r w:rsidR="0042547C" w:rsidRPr="00400494">
        <w:t>eptembre 2017)</w:t>
      </w:r>
      <w:r w:rsidR="009E74F2">
        <w:t>:</w:t>
      </w:r>
    </w:p>
    <w:tbl>
      <w:tblPr>
        <w:tblW w:w="9120" w:type="dxa"/>
        <w:tblLook w:val="04A0" w:firstRow="1" w:lastRow="0" w:firstColumn="1" w:lastColumn="0" w:noHBand="0" w:noVBand="1"/>
      </w:tblPr>
      <w:tblGrid>
        <w:gridCol w:w="2880"/>
        <w:gridCol w:w="780"/>
        <w:gridCol w:w="780"/>
        <w:gridCol w:w="780"/>
        <w:gridCol w:w="780"/>
        <w:gridCol w:w="780"/>
        <w:gridCol w:w="780"/>
        <w:gridCol w:w="909"/>
        <w:gridCol w:w="780"/>
      </w:tblGrid>
      <w:tr w:rsidR="0042547C" w:rsidRPr="00624A3A" w:rsidTr="00A77ED5">
        <w:trPr>
          <w:trHeight w:val="315"/>
        </w:trPr>
        <w:tc>
          <w:tcPr>
            <w:tcW w:w="2880" w:type="dxa"/>
            <w:tcBorders>
              <w:top w:val="single" w:sz="8" w:space="0" w:color="auto"/>
              <w:left w:val="single" w:sz="8" w:space="0" w:color="auto"/>
              <w:bottom w:val="nil"/>
              <w:right w:val="nil"/>
            </w:tcBorders>
            <w:shd w:val="clear" w:color="000000" w:fill="000000"/>
            <w:noWrap/>
            <w:vAlign w:val="bottom"/>
            <w:hideMark/>
          </w:tcPr>
          <w:p w:rsidR="0042547C" w:rsidRPr="00624A3A" w:rsidRDefault="0042547C" w:rsidP="00A77ED5">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b/>
                <w:bCs/>
                <w:color w:val="FFFFFF"/>
                <w:sz w:val="22"/>
                <w:szCs w:val="22"/>
                <w:lang w:eastAsia="zh-CN"/>
              </w:rPr>
            </w:pPr>
            <w:r w:rsidRPr="00624A3A">
              <w:rPr>
                <w:rFonts w:asciiTheme="minorHAnsi" w:hAnsiTheme="minorHAnsi" w:cs="Arial"/>
                <w:b/>
                <w:bCs/>
                <w:color w:val="FFFFFF"/>
                <w:sz w:val="22"/>
                <w:szCs w:val="22"/>
                <w:lang w:eastAsia="zh-CN"/>
              </w:rPr>
              <w:t>Année</w:t>
            </w:r>
          </w:p>
        </w:tc>
        <w:tc>
          <w:tcPr>
            <w:tcW w:w="780" w:type="dxa"/>
            <w:tcBorders>
              <w:top w:val="single" w:sz="8" w:space="0" w:color="auto"/>
              <w:left w:val="nil"/>
              <w:bottom w:val="nil"/>
              <w:right w:val="nil"/>
            </w:tcBorders>
            <w:shd w:val="clear" w:color="000000" w:fill="000000"/>
            <w:noWrap/>
            <w:vAlign w:val="bottom"/>
            <w:hideMark/>
          </w:tcPr>
          <w:p w:rsidR="0042547C" w:rsidRPr="00624A3A" w:rsidRDefault="0042547C" w:rsidP="00A77ED5">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Arial"/>
                <w:b/>
                <w:bCs/>
                <w:color w:val="FFFFFF"/>
                <w:sz w:val="22"/>
                <w:szCs w:val="22"/>
                <w:lang w:eastAsia="zh-CN"/>
              </w:rPr>
            </w:pPr>
            <w:r w:rsidRPr="00624A3A">
              <w:rPr>
                <w:rFonts w:asciiTheme="minorHAnsi" w:hAnsiTheme="minorHAnsi" w:cs="Arial"/>
                <w:b/>
                <w:bCs/>
                <w:color w:val="FFFFFF"/>
                <w:sz w:val="22"/>
                <w:szCs w:val="22"/>
                <w:lang w:eastAsia="zh-CN"/>
              </w:rPr>
              <w:t>2011</w:t>
            </w:r>
          </w:p>
        </w:tc>
        <w:tc>
          <w:tcPr>
            <w:tcW w:w="780" w:type="dxa"/>
            <w:tcBorders>
              <w:top w:val="single" w:sz="8" w:space="0" w:color="auto"/>
              <w:left w:val="nil"/>
              <w:bottom w:val="nil"/>
              <w:right w:val="nil"/>
            </w:tcBorders>
            <w:shd w:val="clear" w:color="000000" w:fill="000000"/>
            <w:noWrap/>
            <w:vAlign w:val="bottom"/>
            <w:hideMark/>
          </w:tcPr>
          <w:p w:rsidR="0042547C" w:rsidRPr="00624A3A" w:rsidRDefault="0042547C" w:rsidP="00A77ED5">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Arial"/>
                <w:b/>
                <w:bCs/>
                <w:color w:val="FFFFFF"/>
                <w:sz w:val="22"/>
                <w:szCs w:val="22"/>
                <w:lang w:eastAsia="zh-CN"/>
              </w:rPr>
            </w:pPr>
            <w:r w:rsidRPr="00624A3A">
              <w:rPr>
                <w:rFonts w:asciiTheme="minorHAnsi" w:hAnsiTheme="minorHAnsi" w:cs="Arial"/>
                <w:b/>
                <w:bCs/>
                <w:color w:val="FFFFFF"/>
                <w:sz w:val="22"/>
                <w:szCs w:val="22"/>
                <w:lang w:eastAsia="zh-CN"/>
              </w:rPr>
              <w:t>2012</w:t>
            </w:r>
          </w:p>
        </w:tc>
        <w:tc>
          <w:tcPr>
            <w:tcW w:w="780" w:type="dxa"/>
            <w:tcBorders>
              <w:top w:val="single" w:sz="8" w:space="0" w:color="auto"/>
              <w:left w:val="nil"/>
              <w:bottom w:val="nil"/>
              <w:right w:val="nil"/>
            </w:tcBorders>
            <w:shd w:val="clear" w:color="000000" w:fill="000000"/>
            <w:noWrap/>
            <w:vAlign w:val="bottom"/>
            <w:hideMark/>
          </w:tcPr>
          <w:p w:rsidR="0042547C" w:rsidRPr="00624A3A" w:rsidRDefault="0042547C" w:rsidP="00A77ED5">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Arial"/>
                <w:b/>
                <w:bCs/>
                <w:color w:val="FFFFFF"/>
                <w:sz w:val="22"/>
                <w:szCs w:val="22"/>
                <w:lang w:eastAsia="zh-CN"/>
              </w:rPr>
            </w:pPr>
            <w:r w:rsidRPr="00624A3A">
              <w:rPr>
                <w:rFonts w:asciiTheme="minorHAnsi" w:hAnsiTheme="minorHAnsi" w:cs="Arial"/>
                <w:b/>
                <w:bCs/>
                <w:color w:val="FFFFFF"/>
                <w:sz w:val="22"/>
                <w:szCs w:val="22"/>
                <w:lang w:eastAsia="zh-CN"/>
              </w:rPr>
              <w:t>2013</w:t>
            </w:r>
          </w:p>
        </w:tc>
        <w:tc>
          <w:tcPr>
            <w:tcW w:w="780" w:type="dxa"/>
            <w:tcBorders>
              <w:top w:val="single" w:sz="8" w:space="0" w:color="auto"/>
              <w:left w:val="nil"/>
              <w:bottom w:val="nil"/>
              <w:right w:val="nil"/>
            </w:tcBorders>
            <w:shd w:val="clear" w:color="000000" w:fill="000000"/>
            <w:noWrap/>
            <w:vAlign w:val="bottom"/>
            <w:hideMark/>
          </w:tcPr>
          <w:p w:rsidR="0042547C" w:rsidRPr="00624A3A" w:rsidRDefault="0042547C" w:rsidP="00A77ED5">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Arial"/>
                <w:b/>
                <w:bCs/>
                <w:color w:val="FFFFFF"/>
                <w:sz w:val="22"/>
                <w:szCs w:val="22"/>
                <w:lang w:eastAsia="zh-CN"/>
              </w:rPr>
            </w:pPr>
            <w:r w:rsidRPr="00624A3A">
              <w:rPr>
                <w:rFonts w:asciiTheme="minorHAnsi" w:hAnsiTheme="minorHAnsi" w:cs="Arial"/>
                <w:b/>
                <w:bCs/>
                <w:color w:val="FFFFFF"/>
                <w:sz w:val="22"/>
                <w:szCs w:val="22"/>
                <w:lang w:eastAsia="zh-CN"/>
              </w:rPr>
              <w:t>2014</w:t>
            </w:r>
          </w:p>
        </w:tc>
        <w:tc>
          <w:tcPr>
            <w:tcW w:w="780" w:type="dxa"/>
            <w:tcBorders>
              <w:top w:val="single" w:sz="8" w:space="0" w:color="auto"/>
              <w:left w:val="nil"/>
              <w:bottom w:val="nil"/>
              <w:right w:val="nil"/>
            </w:tcBorders>
            <w:shd w:val="clear" w:color="000000" w:fill="000000"/>
            <w:noWrap/>
            <w:vAlign w:val="bottom"/>
            <w:hideMark/>
          </w:tcPr>
          <w:p w:rsidR="0042547C" w:rsidRPr="00624A3A" w:rsidRDefault="0042547C" w:rsidP="00A77ED5">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Arial"/>
                <w:b/>
                <w:bCs/>
                <w:color w:val="FFFFFF"/>
                <w:sz w:val="22"/>
                <w:szCs w:val="22"/>
                <w:lang w:eastAsia="zh-CN"/>
              </w:rPr>
            </w:pPr>
            <w:r w:rsidRPr="00624A3A">
              <w:rPr>
                <w:rFonts w:asciiTheme="minorHAnsi" w:hAnsiTheme="minorHAnsi" w:cs="Arial"/>
                <w:b/>
                <w:bCs/>
                <w:color w:val="FFFFFF"/>
                <w:sz w:val="22"/>
                <w:szCs w:val="22"/>
                <w:lang w:eastAsia="zh-CN"/>
              </w:rPr>
              <w:t>2015</w:t>
            </w:r>
          </w:p>
        </w:tc>
        <w:tc>
          <w:tcPr>
            <w:tcW w:w="780" w:type="dxa"/>
            <w:tcBorders>
              <w:top w:val="single" w:sz="8" w:space="0" w:color="auto"/>
              <w:left w:val="nil"/>
              <w:bottom w:val="nil"/>
              <w:right w:val="nil"/>
            </w:tcBorders>
            <w:shd w:val="clear" w:color="000000" w:fill="000000"/>
            <w:noWrap/>
            <w:vAlign w:val="bottom"/>
            <w:hideMark/>
          </w:tcPr>
          <w:p w:rsidR="0042547C" w:rsidRPr="00624A3A" w:rsidRDefault="0042547C" w:rsidP="00A77ED5">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Arial"/>
                <w:b/>
                <w:bCs/>
                <w:color w:val="FFFFFF"/>
                <w:sz w:val="22"/>
                <w:szCs w:val="22"/>
                <w:lang w:eastAsia="zh-CN"/>
              </w:rPr>
            </w:pPr>
            <w:r w:rsidRPr="00624A3A">
              <w:rPr>
                <w:rFonts w:asciiTheme="minorHAnsi" w:hAnsiTheme="minorHAnsi" w:cs="Arial"/>
                <w:b/>
                <w:bCs/>
                <w:color w:val="FFFFFF"/>
                <w:sz w:val="22"/>
                <w:szCs w:val="22"/>
                <w:lang w:eastAsia="zh-CN"/>
              </w:rPr>
              <w:t>2016</w:t>
            </w:r>
          </w:p>
        </w:tc>
        <w:tc>
          <w:tcPr>
            <w:tcW w:w="780" w:type="dxa"/>
            <w:tcBorders>
              <w:top w:val="single" w:sz="8" w:space="0" w:color="auto"/>
              <w:left w:val="nil"/>
              <w:bottom w:val="nil"/>
              <w:right w:val="nil"/>
            </w:tcBorders>
            <w:shd w:val="clear" w:color="000000" w:fill="000000"/>
            <w:noWrap/>
            <w:vAlign w:val="bottom"/>
            <w:hideMark/>
          </w:tcPr>
          <w:p w:rsidR="0042547C" w:rsidRPr="00624A3A" w:rsidRDefault="0042547C" w:rsidP="00A77ED5">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Arial"/>
                <w:b/>
                <w:bCs/>
                <w:color w:val="FFFFFF"/>
                <w:sz w:val="22"/>
                <w:szCs w:val="22"/>
                <w:lang w:eastAsia="zh-CN"/>
              </w:rPr>
            </w:pPr>
            <w:r w:rsidRPr="00624A3A">
              <w:rPr>
                <w:rFonts w:asciiTheme="minorHAnsi" w:hAnsiTheme="minorHAnsi" w:cs="Arial"/>
                <w:b/>
                <w:bCs/>
                <w:color w:val="FFFFFF"/>
                <w:sz w:val="22"/>
                <w:szCs w:val="22"/>
                <w:lang w:eastAsia="zh-CN"/>
              </w:rPr>
              <w:t>2017(*)</w:t>
            </w:r>
          </w:p>
        </w:tc>
        <w:tc>
          <w:tcPr>
            <w:tcW w:w="780" w:type="dxa"/>
            <w:tcBorders>
              <w:top w:val="single" w:sz="8" w:space="0" w:color="auto"/>
              <w:left w:val="nil"/>
              <w:bottom w:val="nil"/>
              <w:right w:val="single" w:sz="8" w:space="0" w:color="auto"/>
            </w:tcBorders>
            <w:shd w:val="clear" w:color="000000" w:fill="000000"/>
            <w:noWrap/>
            <w:vAlign w:val="bottom"/>
            <w:hideMark/>
          </w:tcPr>
          <w:p w:rsidR="0042547C" w:rsidRPr="00624A3A" w:rsidRDefault="0042547C" w:rsidP="00A77ED5">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Arial"/>
                <w:b/>
                <w:bCs/>
                <w:color w:val="FFFFFF"/>
                <w:sz w:val="22"/>
                <w:szCs w:val="22"/>
                <w:lang w:eastAsia="zh-CN"/>
              </w:rPr>
            </w:pPr>
            <w:r w:rsidRPr="00624A3A">
              <w:rPr>
                <w:rFonts w:asciiTheme="minorHAnsi" w:hAnsiTheme="minorHAnsi" w:cs="Arial"/>
                <w:b/>
                <w:bCs/>
                <w:color w:val="FFFFFF"/>
                <w:sz w:val="22"/>
                <w:szCs w:val="22"/>
                <w:lang w:eastAsia="zh-CN"/>
              </w:rPr>
              <w:t xml:space="preserve">Total </w:t>
            </w:r>
          </w:p>
        </w:tc>
      </w:tr>
      <w:tr w:rsidR="0042547C" w:rsidRPr="00624A3A" w:rsidTr="00A77ED5">
        <w:trPr>
          <w:trHeight w:val="300"/>
        </w:trPr>
        <w:tc>
          <w:tcPr>
            <w:tcW w:w="288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42547C" w:rsidRPr="00624A3A" w:rsidRDefault="0042547C" w:rsidP="00A77ED5">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Calibri"/>
                <w:color w:val="000000"/>
                <w:sz w:val="22"/>
                <w:szCs w:val="22"/>
                <w:lang w:eastAsia="zh-CN"/>
              </w:rPr>
            </w:pPr>
            <w:r w:rsidRPr="00624A3A">
              <w:rPr>
                <w:rFonts w:asciiTheme="minorHAnsi" w:hAnsiTheme="minorHAnsi" w:cs="Calibri"/>
                <w:color w:val="000000"/>
                <w:sz w:val="22"/>
                <w:szCs w:val="22"/>
                <w:lang w:eastAsia="zh-CN"/>
              </w:rPr>
              <w:t>Nombre de rapports d</w:t>
            </w:r>
            <w:r w:rsidR="000F6CBA" w:rsidRPr="00624A3A">
              <w:rPr>
                <w:rFonts w:asciiTheme="minorHAnsi" w:hAnsiTheme="minorHAnsi" w:cs="Calibri"/>
                <w:color w:val="000000"/>
                <w:sz w:val="22"/>
                <w:szCs w:val="22"/>
                <w:lang w:eastAsia="zh-CN"/>
              </w:rPr>
              <w:t>'</w:t>
            </w:r>
            <w:r w:rsidRPr="00624A3A">
              <w:rPr>
                <w:rFonts w:asciiTheme="minorHAnsi" w:hAnsiTheme="minorHAnsi" w:cs="Calibri"/>
                <w:color w:val="000000"/>
                <w:sz w:val="22"/>
                <w:szCs w:val="22"/>
                <w:lang w:eastAsia="zh-CN"/>
              </w:rPr>
              <w:t>audit</w:t>
            </w:r>
          </w:p>
        </w:tc>
        <w:tc>
          <w:tcPr>
            <w:tcW w:w="780" w:type="dxa"/>
            <w:tcBorders>
              <w:top w:val="single" w:sz="8" w:space="0" w:color="auto"/>
              <w:left w:val="nil"/>
              <w:bottom w:val="single" w:sz="4" w:space="0" w:color="auto"/>
              <w:right w:val="single" w:sz="4" w:space="0" w:color="auto"/>
            </w:tcBorders>
            <w:shd w:val="clear" w:color="auto" w:fill="auto"/>
            <w:noWrap/>
            <w:vAlign w:val="bottom"/>
            <w:hideMark/>
          </w:tcPr>
          <w:p w:rsidR="0042547C" w:rsidRPr="00624A3A" w:rsidRDefault="0042547C" w:rsidP="00A77ED5">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Calibri"/>
                <w:color w:val="000000"/>
                <w:sz w:val="22"/>
                <w:szCs w:val="22"/>
                <w:lang w:eastAsia="zh-CN"/>
              </w:rPr>
            </w:pPr>
            <w:r w:rsidRPr="00624A3A">
              <w:rPr>
                <w:rFonts w:asciiTheme="minorHAnsi" w:hAnsiTheme="minorHAnsi" w:cs="Calibri"/>
                <w:color w:val="000000"/>
                <w:sz w:val="22"/>
                <w:szCs w:val="22"/>
                <w:lang w:eastAsia="zh-CN"/>
              </w:rPr>
              <w:t>2</w:t>
            </w:r>
          </w:p>
        </w:tc>
        <w:tc>
          <w:tcPr>
            <w:tcW w:w="780" w:type="dxa"/>
            <w:tcBorders>
              <w:top w:val="single" w:sz="8" w:space="0" w:color="auto"/>
              <w:left w:val="nil"/>
              <w:bottom w:val="single" w:sz="4" w:space="0" w:color="auto"/>
              <w:right w:val="single" w:sz="4" w:space="0" w:color="auto"/>
            </w:tcBorders>
            <w:shd w:val="clear" w:color="auto" w:fill="auto"/>
            <w:noWrap/>
            <w:vAlign w:val="bottom"/>
            <w:hideMark/>
          </w:tcPr>
          <w:p w:rsidR="0042547C" w:rsidRPr="00624A3A" w:rsidRDefault="0042547C" w:rsidP="00A77ED5">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Calibri"/>
                <w:color w:val="000000"/>
                <w:sz w:val="22"/>
                <w:szCs w:val="22"/>
                <w:lang w:eastAsia="zh-CN"/>
              </w:rPr>
            </w:pPr>
            <w:r w:rsidRPr="00624A3A">
              <w:rPr>
                <w:rFonts w:asciiTheme="minorHAnsi" w:hAnsiTheme="minorHAnsi" w:cs="Calibri"/>
                <w:color w:val="000000"/>
                <w:sz w:val="22"/>
                <w:szCs w:val="22"/>
                <w:lang w:eastAsia="zh-CN"/>
              </w:rPr>
              <w:t>0</w:t>
            </w:r>
          </w:p>
        </w:tc>
        <w:tc>
          <w:tcPr>
            <w:tcW w:w="780" w:type="dxa"/>
            <w:tcBorders>
              <w:top w:val="single" w:sz="8" w:space="0" w:color="auto"/>
              <w:left w:val="nil"/>
              <w:bottom w:val="single" w:sz="4" w:space="0" w:color="auto"/>
              <w:right w:val="single" w:sz="4" w:space="0" w:color="auto"/>
            </w:tcBorders>
            <w:shd w:val="clear" w:color="000000" w:fill="FFFFFF"/>
            <w:noWrap/>
            <w:vAlign w:val="bottom"/>
            <w:hideMark/>
          </w:tcPr>
          <w:p w:rsidR="0042547C" w:rsidRPr="00624A3A" w:rsidRDefault="0042547C" w:rsidP="00A77ED5">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Calibri"/>
                <w:color w:val="000000"/>
                <w:sz w:val="22"/>
                <w:szCs w:val="22"/>
                <w:lang w:eastAsia="zh-CN"/>
              </w:rPr>
            </w:pPr>
            <w:r w:rsidRPr="00624A3A">
              <w:rPr>
                <w:rFonts w:asciiTheme="minorHAnsi" w:hAnsiTheme="minorHAnsi" w:cs="Calibri"/>
                <w:color w:val="000000"/>
                <w:sz w:val="22"/>
                <w:szCs w:val="22"/>
                <w:lang w:eastAsia="zh-CN"/>
              </w:rPr>
              <w:t>4</w:t>
            </w:r>
          </w:p>
        </w:tc>
        <w:tc>
          <w:tcPr>
            <w:tcW w:w="780" w:type="dxa"/>
            <w:tcBorders>
              <w:top w:val="single" w:sz="8" w:space="0" w:color="auto"/>
              <w:left w:val="nil"/>
              <w:bottom w:val="single" w:sz="4" w:space="0" w:color="auto"/>
              <w:right w:val="nil"/>
            </w:tcBorders>
            <w:shd w:val="clear" w:color="000000" w:fill="FFFFFF"/>
            <w:noWrap/>
            <w:vAlign w:val="bottom"/>
            <w:hideMark/>
          </w:tcPr>
          <w:p w:rsidR="0042547C" w:rsidRPr="00624A3A" w:rsidRDefault="0042547C" w:rsidP="00A77ED5">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Calibri"/>
                <w:color w:val="000000"/>
                <w:sz w:val="22"/>
                <w:szCs w:val="22"/>
                <w:lang w:eastAsia="zh-CN"/>
              </w:rPr>
            </w:pPr>
            <w:r w:rsidRPr="00624A3A">
              <w:rPr>
                <w:rFonts w:asciiTheme="minorHAnsi" w:hAnsiTheme="minorHAnsi" w:cs="Calibri"/>
                <w:color w:val="000000"/>
                <w:sz w:val="22"/>
                <w:szCs w:val="22"/>
                <w:lang w:eastAsia="zh-CN"/>
              </w:rPr>
              <w:t>4</w:t>
            </w:r>
          </w:p>
        </w:tc>
        <w:tc>
          <w:tcPr>
            <w:tcW w:w="780" w:type="dxa"/>
            <w:tcBorders>
              <w:top w:val="single" w:sz="8" w:space="0" w:color="auto"/>
              <w:left w:val="single" w:sz="4" w:space="0" w:color="auto"/>
              <w:bottom w:val="single" w:sz="4" w:space="0" w:color="auto"/>
              <w:right w:val="nil"/>
            </w:tcBorders>
            <w:shd w:val="clear" w:color="000000" w:fill="FFFFFF"/>
            <w:noWrap/>
            <w:vAlign w:val="bottom"/>
            <w:hideMark/>
          </w:tcPr>
          <w:p w:rsidR="0042547C" w:rsidRPr="00624A3A" w:rsidRDefault="0042547C" w:rsidP="00A77ED5">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Calibri"/>
                <w:color w:val="000000"/>
                <w:sz w:val="22"/>
                <w:szCs w:val="22"/>
                <w:lang w:eastAsia="zh-CN"/>
              </w:rPr>
            </w:pPr>
            <w:r w:rsidRPr="00624A3A">
              <w:rPr>
                <w:rFonts w:asciiTheme="minorHAnsi" w:hAnsiTheme="minorHAnsi" w:cs="Calibri"/>
                <w:color w:val="000000"/>
                <w:sz w:val="22"/>
                <w:szCs w:val="22"/>
                <w:lang w:eastAsia="zh-CN"/>
              </w:rPr>
              <w:t>7</w:t>
            </w:r>
          </w:p>
        </w:tc>
        <w:tc>
          <w:tcPr>
            <w:tcW w:w="780" w:type="dxa"/>
            <w:tcBorders>
              <w:top w:val="single" w:sz="8" w:space="0" w:color="auto"/>
              <w:left w:val="single" w:sz="4" w:space="0" w:color="auto"/>
              <w:bottom w:val="single" w:sz="4" w:space="0" w:color="auto"/>
              <w:right w:val="nil"/>
            </w:tcBorders>
            <w:shd w:val="clear" w:color="000000" w:fill="FFFFFF"/>
            <w:noWrap/>
            <w:vAlign w:val="bottom"/>
            <w:hideMark/>
          </w:tcPr>
          <w:p w:rsidR="0042547C" w:rsidRPr="00624A3A" w:rsidRDefault="0042547C" w:rsidP="00A77ED5">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Calibri"/>
                <w:color w:val="000000"/>
                <w:sz w:val="22"/>
                <w:szCs w:val="22"/>
                <w:lang w:eastAsia="zh-CN"/>
              </w:rPr>
            </w:pPr>
            <w:r w:rsidRPr="00624A3A">
              <w:rPr>
                <w:rFonts w:asciiTheme="minorHAnsi" w:hAnsiTheme="minorHAnsi" w:cs="Calibri"/>
                <w:color w:val="000000"/>
                <w:sz w:val="22"/>
                <w:szCs w:val="22"/>
                <w:lang w:eastAsia="zh-CN"/>
              </w:rPr>
              <w:t>4</w:t>
            </w:r>
          </w:p>
        </w:tc>
        <w:tc>
          <w:tcPr>
            <w:tcW w:w="780" w:type="dxa"/>
            <w:tcBorders>
              <w:top w:val="single" w:sz="8" w:space="0" w:color="auto"/>
              <w:left w:val="single" w:sz="4" w:space="0" w:color="auto"/>
              <w:bottom w:val="single" w:sz="4" w:space="0" w:color="auto"/>
              <w:right w:val="nil"/>
            </w:tcBorders>
            <w:shd w:val="clear" w:color="000000" w:fill="FFFFFF"/>
            <w:noWrap/>
            <w:vAlign w:val="bottom"/>
            <w:hideMark/>
          </w:tcPr>
          <w:p w:rsidR="0042547C" w:rsidRPr="00624A3A" w:rsidRDefault="0042547C" w:rsidP="00A77ED5">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Calibri"/>
                <w:color w:val="000000"/>
                <w:sz w:val="22"/>
                <w:szCs w:val="22"/>
                <w:lang w:eastAsia="zh-CN"/>
              </w:rPr>
            </w:pPr>
            <w:r w:rsidRPr="00624A3A">
              <w:rPr>
                <w:rFonts w:asciiTheme="minorHAnsi" w:hAnsiTheme="minorHAnsi" w:cs="Calibri"/>
                <w:color w:val="000000"/>
                <w:sz w:val="22"/>
                <w:szCs w:val="22"/>
                <w:lang w:eastAsia="zh-CN"/>
              </w:rPr>
              <w:t>4</w:t>
            </w:r>
          </w:p>
        </w:tc>
        <w:tc>
          <w:tcPr>
            <w:tcW w:w="780" w:type="dxa"/>
            <w:tcBorders>
              <w:top w:val="single" w:sz="8" w:space="0" w:color="auto"/>
              <w:left w:val="single" w:sz="4" w:space="0" w:color="auto"/>
              <w:bottom w:val="single" w:sz="4" w:space="0" w:color="auto"/>
              <w:right w:val="single" w:sz="8" w:space="0" w:color="auto"/>
            </w:tcBorders>
            <w:shd w:val="clear" w:color="000000" w:fill="AEAAAA"/>
            <w:noWrap/>
            <w:vAlign w:val="bottom"/>
            <w:hideMark/>
          </w:tcPr>
          <w:p w:rsidR="0042547C" w:rsidRPr="00624A3A" w:rsidRDefault="0042547C" w:rsidP="00A77ED5">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Arial"/>
                <w:b/>
                <w:bCs/>
                <w:sz w:val="22"/>
                <w:szCs w:val="22"/>
                <w:lang w:eastAsia="zh-CN"/>
              </w:rPr>
            </w:pPr>
            <w:r w:rsidRPr="00624A3A">
              <w:rPr>
                <w:rFonts w:asciiTheme="minorHAnsi" w:hAnsiTheme="minorHAnsi" w:cs="Arial"/>
                <w:b/>
                <w:bCs/>
                <w:sz w:val="22"/>
                <w:szCs w:val="22"/>
                <w:lang w:eastAsia="zh-CN"/>
              </w:rPr>
              <w:t>25</w:t>
            </w:r>
          </w:p>
        </w:tc>
      </w:tr>
      <w:tr w:rsidR="0042547C" w:rsidRPr="00624A3A" w:rsidTr="00A77ED5">
        <w:trPr>
          <w:trHeight w:val="300"/>
        </w:trPr>
        <w:tc>
          <w:tcPr>
            <w:tcW w:w="2880" w:type="dxa"/>
            <w:tcBorders>
              <w:top w:val="nil"/>
              <w:left w:val="single" w:sz="8" w:space="0" w:color="auto"/>
              <w:bottom w:val="single" w:sz="4" w:space="0" w:color="auto"/>
              <w:right w:val="single" w:sz="4" w:space="0" w:color="auto"/>
            </w:tcBorders>
            <w:shd w:val="clear" w:color="auto" w:fill="auto"/>
            <w:noWrap/>
            <w:vAlign w:val="bottom"/>
            <w:hideMark/>
          </w:tcPr>
          <w:p w:rsidR="0042547C" w:rsidRPr="00624A3A" w:rsidRDefault="0042547C" w:rsidP="00713014">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Calibri"/>
                <w:color w:val="000000"/>
                <w:sz w:val="22"/>
                <w:szCs w:val="22"/>
                <w:lang w:eastAsia="zh-CN"/>
              </w:rPr>
            </w:pPr>
            <w:r w:rsidRPr="00624A3A">
              <w:rPr>
                <w:rFonts w:asciiTheme="minorHAnsi" w:hAnsiTheme="minorHAnsi" w:cs="Calibri"/>
                <w:color w:val="000000"/>
                <w:sz w:val="22"/>
                <w:szCs w:val="22"/>
                <w:lang w:eastAsia="zh-CN"/>
              </w:rPr>
              <w:t xml:space="preserve">Recommandations </w:t>
            </w:r>
            <w:r w:rsidR="00713014" w:rsidRPr="00624A3A">
              <w:rPr>
                <w:rFonts w:asciiTheme="minorHAnsi" w:hAnsiTheme="minorHAnsi" w:cs="Calibri"/>
                <w:color w:val="000000"/>
                <w:sz w:val="22"/>
                <w:szCs w:val="22"/>
                <w:lang w:eastAsia="zh-CN"/>
              </w:rPr>
              <w:t>–</w:t>
            </w:r>
            <w:r w:rsidRPr="00624A3A">
              <w:rPr>
                <w:rFonts w:asciiTheme="minorHAnsi" w:hAnsiTheme="minorHAnsi" w:cs="Calibri"/>
                <w:color w:val="000000"/>
                <w:sz w:val="22"/>
                <w:szCs w:val="22"/>
                <w:lang w:eastAsia="zh-CN"/>
              </w:rPr>
              <w:t xml:space="preserve"> Total</w:t>
            </w:r>
          </w:p>
        </w:tc>
        <w:tc>
          <w:tcPr>
            <w:tcW w:w="780" w:type="dxa"/>
            <w:tcBorders>
              <w:top w:val="nil"/>
              <w:left w:val="nil"/>
              <w:bottom w:val="single" w:sz="4" w:space="0" w:color="auto"/>
              <w:right w:val="single" w:sz="4" w:space="0" w:color="auto"/>
            </w:tcBorders>
            <w:shd w:val="clear" w:color="auto" w:fill="auto"/>
            <w:noWrap/>
            <w:vAlign w:val="bottom"/>
            <w:hideMark/>
          </w:tcPr>
          <w:p w:rsidR="0042547C" w:rsidRPr="00624A3A" w:rsidRDefault="0042547C" w:rsidP="00A77ED5">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Calibri"/>
                <w:color w:val="000000"/>
                <w:sz w:val="22"/>
                <w:szCs w:val="22"/>
                <w:lang w:eastAsia="zh-CN"/>
              </w:rPr>
            </w:pPr>
            <w:r w:rsidRPr="00624A3A">
              <w:rPr>
                <w:rFonts w:asciiTheme="minorHAnsi" w:hAnsiTheme="minorHAnsi" w:cs="Calibri"/>
                <w:color w:val="000000"/>
                <w:sz w:val="22"/>
                <w:szCs w:val="22"/>
                <w:lang w:eastAsia="zh-CN"/>
              </w:rPr>
              <w:t>17</w:t>
            </w:r>
          </w:p>
        </w:tc>
        <w:tc>
          <w:tcPr>
            <w:tcW w:w="780" w:type="dxa"/>
            <w:tcBorders>
              <w:top w:val="nil"/>
              <w:left w:val="nil"/>
              <w:bottom w:val="single" w:sz="4" w:space="0" w:color="auto"/>
              <w:right w:val="single" w:sz="4" w:space="0" w:color="auto"/>
            </w:tcBorders>
            <w:shd w:val="clear" w:color="auto" w:fill="auto"/>
            <w:noWrap/>
            <w:vAlign w:val="bottom"/>
            <w:hideMark/>
          </w:tcPr>
          <w:p w:rsidR="0042547C" w:rsidRPr="00624A3A" w:rsidRDefault="00713014" w:rsidP="00A77ED5">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Calibri"/>
                <w:color w:val="000000"/>
                <w:sz w:val="22"/>
                <w:szCs w:val="22"/>
                <w:lang w:eastAsia="zh-CN"/>
              </w:rPr>
            </w:pPr>
            <w:r w:rsidRPr="00624A3A">
              <w:rPr>
                <w:rFonts w:asciiTheme="minorHAnsi" w:hAnsiTheme="minorHAnsi" w:cs="Calibri"/>
                <w:color w:val="000000"/>
                <w:sz w:val="22"/>
                <w:szCs w:val="22"/>
                <w:lang w:eastAsia="zh-CN"/>
              </w:rPr>
              <w:t>–</w:t>
            </w:r>
          </w:p>
        </w:tc>
        <w:tc>
          <w:tcPr>
            <w:tcW w:w="780" w:type="dxa"/>
            <w:tcBorders>
              <w:top w:val="nil"/>
              <w:left w:val="nil"/>
              <w:bottom w:val="single" w:sz="4" w:space="0" w:color="auto"/>
              <w:right w:val="single" w:sz="4" w:space="0" w:color="auto"/>
            </w:tcBorders>
            <w:shd w:val="clear" w:color="000000" w:fill="FFFFFF"/>
            <w:noWrap/>
            <w:vAlign w:val="bottom"/>
            <w:hideMark/>
          </w:tcPr>
          <w:p w:rsidR="0042547C" w:rsidRPr="00624A3A" w:rsidRDefault="0042547C" w:rsidP="00A77ED5">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Calibri"/>
                <w:color w:val="000000"/>
                <w:sz w:val="22"/>
                <w:szCs w:val="22"/>
                <w:lang w:eastAsia="zh-CN"/>
              </w:rPr>
            </w:pPr>
            <w:r w:rsidRPr="00624A3A">
              <w:rPr>
                <w:rFonts w:asciiTheme="minorHAnsi" w:hAnsiTheme="minorHAnsi" w:cs="Calibri"/>
                <w:color w:val="000000"/>
                <w:sz w:val="22"/>
                <w:szCs w:val="22"/>
                <w:lang w:eastAsia="zh-CN"/>
              </w:rPr>
              <w:t>113</w:t>
            </w:r>
          </w:p>
        </w:tc>
        <w:tc>
          <w:tcPr>
            <w:tcW w:w="780" w:type="dxa"/>
            <w:tcBorders>
              <w:top w:val="nil"/>
              <w:left w:val="nil"/>
              <w:bottom w:val="single" w:sz="4" w:space="0" w:color="auto"/>
              <w:right w:val="nil"/>
            </w:tcBorders>
            <w:shd w:val="clear" w:color="000000" w:fill="FFFFFF"/>
            <w:noWrap/>
            <w:vAlign w:val="bottom"/>
            <w:hideMark/>
          </w:tcPr>
          <w:p w:rsidR="0042547C" w:rsidRPr="00624A3A" w:rsidRDefault="0042547C" w:rsidP="00A77ED5">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Calibri"/>
                <w:color w:val="000000"/>
                <w:sz w:val="22"/>
                <w:szCs w:val="22"/>
                <w:lang w:eastAsia="zh-CN"/>
              </w:rPr>
            </w:pPr>
            <w:r w:rsidRPr="00624A3A">
              <w:rPr>
                <w:rFonts w:asciiTheme="minorHAnsi" w:hAnsiTheme="minorHAnsi" w:cs="Calibri"/>
                <w:color w:val="000000"/>
                <w:sz w:val="22"/>
                <w:szCs w:val="22"/>
                <w:lang w:eastAsia="zh-CN"/>
              </w:rPr>
              <w:t>55</w:t>
            </w:r>
          </w:p>
        </w:tc>
        <w:tc>
          <w:tcPr>
            <w:tcW w:w="780" w:type="dxa"/>
            <w:tcBorders>
              <w:top w:val="nil"/>
              <w:left w:val="single" w:sz="4" w:space="0" w:color="auto"/>
              <w:bottom w:val="single" w:sz="4" w:space="0" w:color="auto"/>
              <w:right w:val="nil"/>
            </w:tcBorders>
            <w:shd w:val="clear" w:color="000000" w:fill="FFFFFF"/>
            <w:noWrap/>
            <w:vAlign w:val="bottom"/>
            <w:hideMark/>
          </w:tcPr>
          <w:p w:rsidR="0042547C" w:rsidRPr="00624A3A" w:rsidRDefault="0042547C" w:rsidP="00A77ED5">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Calibri"/>
                <w:color w:val="000000"/>
                <w:sz w:val="22"/>
                <w:szCs w:val="22"/>
                <w:lang w:eastAsia="zh-CN"/>
              </w:rPr>
            </w:pPr>
            <w:r w:rsidRPr="00624A3A">
              <w:rPr>
                <w:rFonts w:asciiTheme="minorHAnsi" w:hAnsiTheme="minorHAnsi" w:cs="Calibri"/>
                <w:color w:val="000000"/>
                <w:sz w:val="22"/>
                <w:szCs w:val="22"/>
                <w:lang w:eastAsia="zh-CN"/>
              </w:rPr>
              <w:t>34</w:t>
            </w:r>
          </w:p>
        </w:tc>
        <w:tc>
          <w:tcPr>
            <w:tcW w:w="780" w:type="dxa"/>
            <w:tcBorders>
              <w:top w:val="nil"/>
              <w:left w:val="single" w:sz="4" w:space="0" w:color="auto"/>
              <w:bottom w:val="single" w:sz="4" w:space="0" w:color="auto"/>
              <w:right w:val="nil"/>
            </w:tcBorders>
            <w:shd w:val="clear" w:color="000000" w:fill="FFFFFF"/>
            <w:noWrap/>
            <w:vAlign w:val="bottom"/>
            <w:hideMark/>
          </w:tcPr>
          <w:p w:rsidR="0042547C" w:rsidRPr="00624A3A" w:rsidRDefault="0042547C" w:rsidP="00A77ED5">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Calibri"/>
                <w:color w:val="000000"/>
                <w:sz w:val="22"/>
                <w:szCs w:val="22"/>
                <w:lang w:eastAsia="zh-CN"/>
              </w:rPr>
            </w:pPr>
            <w:r w:rsidRPr="00624A3A">
              <w:rPr>
                <w:rFonts w:asciiTheme="minorHAnsi" w:hAnsiTheme="minorHAnsi" w:cs="Calibri"/>
                <w:color w:val="000000"/>
                <w:sz w:val="22"/>
                <w:szCs w:val="22"/>
                <w:lang w:eastAsia="zh-CN"/>
              </w:rPr>
              <w:t>22</w:t>
            </w:r>
          </w:p>
        </w:tc>
        <w:tc>
          <w:tcPr>
            <w:tcW w:w="780" w:type="dxa"/>
            <w:tcBorders>
              <w:top w:val="nil"/>
              <w:left w:val="single" w:sz="4" w:space="0" w:color="auto"/>
              <w:bottom w:val="single" w:sz="4" w:space="0" w:color="auto"/>
              <w:right w:val="nil"/>
            </w:tcBorders>
            <w:shd w:val="clear" w:color="000000" w:fill="FFFFFF"/>
            <w:noWrap/>
            <w:vAlign w:val="bottom"/>
            <w:hideMark/>
          </w:tcPr>
          <w:p w:rsidR="0042547C" w:rsidRPr="00624A3A" w:rsidRDefault="0042547C" w:rsidP="00A77ED5">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Calibri"/>
                <w:color w:val="000000"/>
                <w:sz w:val="22"/>
                <w:szCs w:val="22"/>
                <w:lang w:eastAsia="zh-CN"/>
              </w:rPr>
            </w:pPr>
            <w:r w:rsidRPr="00624A3A">
              <w:rPr>
                <w:rFonts w:asciiTheme="minorHAnsi" w:hAnsiTheme="minorHAnsi" w:cs="Calibri"/>
                <w:color w:val="000000"/>
                <w:sz w:val="22"/>
                <w:szCs w:val="22"/>
                <w:lang w:eastAsia="zh-CN"/>
              </w:rPr>
              <w:t>27</w:t>
            </w:r>
          </w:p>
        </w:tc>
        <w:tc>
          <w:tcPr>
            <w:tcW w:w="780" w:type="dxa"/>
            <w:tcBorders>
              <w:top w:val="nil"/>
              <w:left w:val="single" w:sz="4" w:space="0" w:color="auto"/>
              <w:bottom w:val="single" w:sz="4" w:space="0" w:color="auto"/>
              <w:right w:val="single" w:sz="8" w:space="0" w:color="auto"/>
            </w:tcBorders>
            <w:shd w:val="clear" w:color="000000" w:fill="AEAAAA"/>
            <w:noWrap/>
            <w:vAlign w:val="bottom"/>
            <w:hideMark/>
          </w:tcPr>
          <w:p w:rsidR="0042547C" w:rsidRPr="00624A3A" w:rsidRDefault="0042547C" w:rsidP="00A77ED5">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Arial"/>
                <w:b/>
                <w:bCs/>
                <w:sz w:val="22"/>
                <w:szCs w:val="22"/>
                <w:lang w:eastAsia="zh-CN"/>
              </w:rPr>
            </w:pPr>
            <w:r w:rsidRPr="00624A3A">
              <w:rPr>
                <w:rFonts w:asciiTheme="minorHAnsi" w:hAnsiTheme="minorHAnsi" w:cs="Arial"/>
                <w:b/>
                <w:bCs/>
                <w:sz w:val="22"/>
                <w:szCs w:val="22"/>
                <w:lang w:eastAsia="zh-CN"/>
              </w:rPr>
              <w:t>268</w:t>
            </w:r>
          </w:p>
        </w:tc>
      </w:tr>
      <w:tr w:rsidR="0042547C" w:rsidRPr="00624A3A" w:rsidTr="00A77ED5">
        <w:trPr>
          <w:trHeight w:val="300"/>
        </w:trPr>
        <w:tc>
          <w:tcPr>
            <w:tcW w:w="2880" w:type="dxa"/>
            <w:tcBorders>
              <w:top w:val="nil"/>
              <w:left w:val="single" w:sz="8" w:space="0" w:color="auto"/>
              <w:bottom w:val="single" w:sz="4" w:space="0" w:color="auto"/>
              <w:right w:val="single" w:sz="4" w:space="0" w:color="auto"/>
            </w:tcBorders>
            <w:shd w:val="clear" w:color="auto" w:fill="auto"/>
            <w:noWrap/>
            <w:vAlign w:val="bottom"/>
            <w:hideMark/>
          </w:tcPr>
          <w:p w:rsidR="0042547C" w:rsidRPr="00624A3A" w:rsidRDefault="00713014" w:rsidP="00713014">
            <w:pPr>
              <w:tabs>
                <w:tab w:val="clear" w:pos="567"/>
                <w:tab w:val="clear" w:pos="1134"/>
                <w:tab w:val="clear" w:pos="1701"/>
                <w:tab w:val="clear" w:pos="2268"/>
                <w:tab w:val="clear" w:pos="2835"/>
                <w:tab w:val="left" w:pos="292"/>
              </w:tabs>
              <w:overflowPunct/>
              <w:autoSpaceDE/>
              <w:autoSpaceDN/>
              <w:adjustRightInd/>
              <w:spacing w:before="0"/>
              <w:textAlignment w:val="auto"/>
              <w:rPr>
                <w:rFonts w:asciiTheme="minorHAnsi" w:hAnsiTheme="minorHAnsi" w:cs="Calibri"/>
                <w:color w:val="000000"/>
                <w:sz w:val="22"/>
                <w:szCs w:val="22"/>
                <w:lang w:eastAsia="zh-CN"/>
              </w:rPr>
            </w:pPr>
            <w:r w:rsidRPr="00624A3A">
              <w:rPr>
                <w:rFonts w:asciiTheme="minorHAnsi" w:hAnsiTheme="minorHAnsi" w:cs="Calibri"/>
                <w:color w:val="000000"/>
                <w:sz w:val="22"/>
                <w:szCs w:val="22"/>
                <w:lang w:eastAsia="zh-CN"/>
              </w:rPr>
              <w:tab/>
            </w:r>
            <w:r w:rsidR="0042547C" w:rsidRPr="00624A3A">
              <w:rPr>
                <w:rFonts w:asciiTheme="minorHAnsi" w:hAnsiTheme="minorHAnsi" w:cs="Calibri"/>
                <w:color w:val="000000"/>
                <w:sz w:val="22"/>
                <w:szCs w:val="22"/>
                <w:lang w:eastAsia="zh-CN"/>
              </w:rPr>
              <w:t>En cours</w:t>
            </w:r>
          </w:p>
        </w:tc>
        <w:tc>
          <w:tcPr>
            <w:tcW w:w="780" w:type="dxa"/>
            <w:tcBorders>
              <w:top w:val="nil"/>
              <w:left w:val="nil"/>
              <w:bottom w:val="single" w:sz="4" w:space="0" w:color="auto"/>
              <w:right w:val="single" w:sz="4" w:space="0" w:color="auto"/>
            </w:tcBorders>
            <w:shd w:val="clear" w:color="000000" w:fill="FFFFFF"/>
            <w:noWrap/>
            <w:vAlign w:val="bottom"/>
            <w:hideMark/>
          </w:tcPr>
          <w:p w:rsidR="0042547C" w:rsidRPr="00624A3A" w:rsidRDefault="0042547C" w:rsidP="00A77ED5">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Calibri"/>
                <w:color w:val="000000"/>
                <w:sz w:val="22"/>
                <w:szCs w:val="22"/>
                <w:lang w:eastAsia="zh-CN"/>
              </w:rPr>
            </w:pPr>
            <w:r w:rsidRPr="00624A3A">
              <w:rPr>
                <w:rFonts w:asciiTheme="minorHAnsi" w:hAnsiTheme="minorHAnsi" w:cs="Calibri"/>
                <w:color w:val="000000"/>
                <w:sz w:val="22"/>
                <w:szCs w:val="22"/>
                <w:lang w:eastAsia="zh-CN"/>
              </w:rPr>
              <w:t>0</w:t>
            </w:r>
          </w:p>
        </w:tc>
        <w:tc>
          <w:tcPr>
            <w:tcW w:w="780" w:type="dxa"/>
            <w:tcBorders>
              <w:top w:val="nil"/>
              <w:left w:val="nil"/>
              <w:bottom w:val="single" w:sz="4" w:space="0" w:color="auto"/>
              <w:right w:val="single" w:sz="4" w:space="0" w:color="auto"/>
            </w:tcBorders>
            <w:shd w:val="clear" w:color="auto" w:fill="auto"/>
            <w:noWrap/>
            <w:vAlign w:val="bottom"/>
            <w:hideMark/>
          </w:tcPr>
          <w:p w:rsidR="0042547C" w:rsidRPr="00624A3A" w:rsidRDefault="00713014" w:rsidP="00A77ED5">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Calibri"/>
                <w:color w:val="000000"/>
                <w:sz w:val="22"/>
                <w:szCs w:val="22"/>
                <w:lang w:eastAsia="zh-CN"/>
              </w:rPr>
            </w:pPr>
            <w:r w:rsidRPr="00624A3A">
              <w:rPr>
                <w:rFonts w:asciiTheme="minorHAnsi" w:hAnsiTheme="minorHAnsi" w:cs="Calibri"/>
                <w:color w:val="000000"/>
                <w:sz w:val="22"/>
                <w:szCs w:val="22"/>
                <w:lang w:eastAsia="zh-CN"/>
              </w:rPr>
              <w:t>–</w:t>
            </w:r>
          </w:p>
        </w:tc>
        <w:tc>
          <w:tcPr>
            <w:tcW w:w="780" w:type="dxa"/>
            <w:tcBorders>
              <w:top w:val="nil"/>
              <w:left w:val="nil"/>
              <w:bottom w:val="single" w:sz="4" w:space="0" w:color="auto"/>
              <w:right w:val="single" w:sz="4" w:space="0" w:color="auto"/>
            </w:tcBorders>
            <w:shd w:val="clear" w:color="000000" w:fill="FFFFFF"/>
            <w:noWrap/>
            <w:vAlign w:val="bottom"/>
            <w:hideMark/>
          </w:tcPr>
          <w:p w:rsidR="0042547C" w:rsidRPr="00624A3A" w:rsidRDefault="0042547C" w:rsidP="00A77ED5">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Calibri"/>
                <w:color w:val="000000"/>
                <w:sz w:val="22"/>
                <w:szCs w:val="22"/>
                <w:lang w:eastAsia="zh-CN"/>
              </w:rPr>
            </w:pPr>
            <w:r w:rsidRPr="00624A3A">
              <w:rPr>
                <w:rFonts w:asciiTheme="minorHAnsi" w:hAnsiTheme="minorHAnsi" w:cs="Calibri"/>
                <w:color w:val="000000"/>
                <w:sz w:val="22"/>
                <w:szCs w:val="22"/>
                <w:lang w:eastAsia="zh-CN"/>
              </w:rPr>
              <w:t>7</w:t>
            </w:r>
          </w:p>
        </w:tc>
        <w:tc>
          <w:tcPr>
            <w:tcW w:w="780" w:type="dxa"/>
            <w:tcBorders>
              <w:top w:val="nil"/>
              <w:left w:val="nil"/>
              <w:bottom w:val="single" w:sz="4" w:space="0" w:color="auto"/>
              <w:right w:val="nil"/>
            </w:tcBorders>
            <w:shd w:val="clear" w:color="000000" w:fill="FFFFFF"/>
            <w:noWrap/>
            <w:vAlign w:val="bottom"/>
            <w:hideMark/>
          </w:tcPr>
          <w:p w:rsidR="0042547C" w:rsidRPr="00624A3A" w:rsidRDefault="0042547C" w:rsidP="00A77ED5">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Calibri"/>
                <w:color w:val="000000"/>
                <w:sz w:val="22"/>
                <w:szCs w:val="22"/>
                <w:lang w:eastAsia="zh-CN"/>
              </w:rPr>
            </w:pPr>
            <w:r w:rsidRPr="00624A3A">
              <w:rPr>
                <w:rFonts w:asciiTheme="minorHAnsi" w:hAnsiTheme="minorHAnsi" w:cs="Calibri"/>
                <w:color w:val="000000"/>
                <w:sz w:val="22"/>
                <w:szCs w:val="22"/>
                <w:lang w:eastAsia="zh-CN"/>
              </w:rPr>
              <w:t>5</w:t>
            </w:r>
          </w:p>
        </w:tc>
        <w:tc>
          <w:tcPr>
            <w:tcW w:w="780" w:type="dxa"/>
            <w:tcBorders>
              <w:top w:val="nil"/>
              <w:left w:val="single" w:sz="4" w:space="0" w:color="auto"/>
              <w:bottom w:val="single" w:sz="4" w:space="0" w:color="auto"/>
              <w:right w:val="nil"/>
            </w:tcBorders>
            <w:shd w:val="clear" w:color="000000" w:fill="FFFFFF"/>
            <w:noWrap/>
            <w:vAlign w:val="bottom"/>
            <w:hideMark/>
          </w:tcPr>
          <w:p w:rsidR="0042547C" w:rsidRPr="00624A3A" w:rsidRDefault="0042547C" w:rsidP="00A77ED5">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Calibri"/>
                <w:color w:val="000000"/>
                <w:sz w:val="22"/>
                <w:szCs w:val="22"/>
                <w:lang w:eastAsia="zh-CN"/>
              </w:rPr>
            </w:pPr>
            <w:r w:rsidRPr="00624A3A">
              <w:rPr>
                <w:rFonts w:asciiTheme="minorHAnsi" w:hAnsiTheme="minorHAnsi" w:cs="Calibri"/>
                <w:color w:val="000000"/>
                <w:sz w:val="22"/>
                <w:szCs w:val="22"/>
                <w:lang w:eastAsia="zh-CN"/>
              </w:rPr>
              <w:t>8</w:t>
            </w:r>
          </w:p>
        </w:tc>
        <w:tc>
          <w:tcPr>
            <w:tcW w:w="780" w:type="dxa"/>
            <w:tcBorders>
              <w:top w:val="nil"/>
              <w:left w:val="single" w:sz="4" w:space="0" w:color="auto"/>
              <w:bottom w:val="single" w:sz="4" w:space="0" w:color="auto"/>
              <w:right w:val="nil"/>
            </w:tcBorders>
            <w:shd w:val="clear" w:color="000000" w:fill="FFFFFF"/>
            <w:noWrap/>
            <w:vAlign w:val="bottom"/>
            <w:hideMark/>
          </w:tcPr>
          <w:p w:rsidR="0042547C" w:rsidRPr="00624A3A" w:rsidRDefault="0042547C" w:rsidP="00A77ED5">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Calibri"/>
                <w:color w:val="000000"/>
                <w:sz w:val="22"/>
                <w:szCs w:val="22"/>
                <w:lang w:eastAsia="zh-CN"/>
              </w:rPr>
            </w:pPr>
            <w:r w:rsidRPr="00624A3A">
              <w:rPr>
                <w:rFonts w:asciiTheme="minorHAnsi" w:hAnsiTheme="minorHAnsi" w:cs="Calibri"/>
                <w:color w:val="000000"/>
                <w:sz w:val="22"/>
                <w:szCs w:val="22"/>
                <w:lang w:eastAsia="zh-CN"/>
              </w:rPr>
              <w:t>15</w:t>
            </w:r>
          </w:p>
        </w:tc>
        <w:tc>
          <w:tcPr>
            <w:tcW w:w="780" w:type="dxa"/>
            <w:tcBorders>
              <w:top w:val="nil"/>
              <w:left w:val="single" w:sz="4" w:space="0" w:color="auto"/>
              <w:bottom w:val="single" w:sz="4" w:space="0" w:color="auto"/>
              <w:right w:val="nil"/>
            </w:tcBorders>
            <w:shd w:val="clear" w:color="000000" w:fill="FFFFFF"/>
            <w:noWrap/>
            <w:vAlign w:val="bottom"/>
            <w:hideMark/>
          </w:tcPr>
          <w:p w:rsidR="0042547C" w:rsidRPr="00624A3A" w:rsidRDefault="0042547C" w:rsidP="00A77ED5">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Calibri"/>
                <w:color w:val="000000"/>
                <w:sz w:val="22"/>
                <w:szCs w:val="22"/>
                <w:lang w:eastAsia="zh-CN"/>
              </w:rPr>
            </w:pPr>
            <w:r w:rsidRPr="00624A3A">
              <w:rPr>
                <w:rFonts w:asciiTheme="minorHAnsi" w:hAnsiTheme="minorHAnsi" w:cs="Calibri"/>
                <w:color w:val="000000"/>
                <w:sz w:val="22"/>
                <w:szCs w:val="22"/>
                <w:lang w:eastAsia="zh-CN"/>
              </w:rPr>
              <w:t>27</w:t>
            </w:r>
          </w:p>
        </w:tc>
        <w:tc>
          <w:tcPr>
            <w:tcW w:w="780" w:type="dxa"/>
            <w:tcBorders>
              <w:top w:val="nil"/>
              <w:left w:val="single" w:sz="4" w:space="0" w:color="auto"/>
              <w:bottom w:val="single" w:sz="4" w:space="0" w:color="auto"/>
              <w:right w:val="single" w:sz="8" w:space="0" w:color="auto"/>
            </w:tcBorders>
            <w:shd w:val="clear" w:color="000000" w:fill="AEAAAA"/>
            <w:noWrap/>
            <w:vAlign w:val="bottom"/>
            <w:hideMark/>
          </w:tcPr>
          <w:p w:rsidR="0042547C" w:rsidRPr="00624A3A" w:rsidRDefault="0042547C" w:rsidP="00A77ED5">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Arial"/>
                <w:b/>
                <w:bCs/>
                <w:sz w:val="22"/>
                <w:szCs w:val="22"/>
                <w:lang w:eastAsia="zh-CN"/>
              </w:rPr>
            </w:pPr>
            <w:r w:rsidRPr="00624A3A">
              <w:rPr>
                <w:rFonts w:asciiTheme="minorHAnsi" w:hAnsiTheme="minorHAnsi" w:cs="Arial"/>
                <w:b/>
                <w:bCs/>
                <w:sz w:val="22"/>
                <w:szCs w:val="22"/>
                <w:lang w:eastAsia="zh-CN"/>
              </w:rPr>
              <w:t>62</w:t>
            </w:r>
          </w:p>
        </w:tc>
      </w:tr>
      <w:tr w:rsidR="0042547C" w:rsidRPr="00624A3A" w:rsidTr="00A77ED5">
        <w:trPr>
          <w:trHeight w:val="300"/>
        </w:trPr>
        <w:tc>
          <w:tcPr>
            <w:tcW w:w="2880" w:type="dxa"/>
            <w:tcBorders>
              <w:top w:val="nil"/>
              <w:left w:val="single" w:sz="8" w:space="0" w:color="auto"/>
              <w:bottom w:val="single" w:sz="4" w:space="0" w:color="auto"/>
              <w:right w:val="single" w:sz="4" w:space="0" w:color="auto"/>
            </w:tcBorders>
            <w:shd w:val="clear" w:color="auto" w:fill="auto"/>
            <w:noWrap/>
            <w:vAlign w:val="bottom"/>
            <w:hideMark/>
          </w:tcPr>
          <w:p w:rsidR="0042547C" w:rsidRPr="00624A3A" w:rsidRDefault="00713014" w:rsidP="00713014">
            <w:pPr>
              <w:tabs>
                <w:tab w:val="clear" w:pos="567"/>
                <w:tab w:val="clear" w:pos="1134"/>
                <w:tab w:val="clear" w:pos="1701"/>
                <w:tab w:val="clear" w:pos="2268"/>
                <w:tab w:val="clear" w:pos="2835"/>
                <w:tab w:val="left" w:pos="292"/>
              </w:tabs>
              <w:overflowPunct/>
              <w:autoSpaceDE/>
              <w:autoSpaceDN/>
              <w:adjustRightInd/>
              <w:spacing w:before="0"/>
              <w:textAlignment w:val="auto"/>
              <w:rPr>
                <w:rFonts w:asciiTheme="minorHAnsi" w:hAnsiTheme="minorHAnsi" w:cs="Calibri"/>
                <w:color w:val="000000"/>
                <w:sz w:val="22"/>
                <w:szCs w:val="22"/>
                <w:lang w:eastAsia="zh-CN"/>
              </w:rPr>
            </w:pPr>
            <w:r w:rsidRPr="00624A3A">
              <w:rPr>
                <w:rFonts w:asciiTheme="minorHAnsi" w:hAnsiTheme="minorHAnsi" w:cs="Calibri"/>
                <w:color w:val="000000"/>
                <w:sz w:val="22"/>
                <w:szCs w:val="22"/>
                <w:lang w:eastAsia="zh-CN"/>
              </w:rPr>
              <w:tab/>
            </w:r>
            <w:r w:rsidR="0042547C" w:rsidRPr="00624A3A">
              <w:rPr>
                <w:rFonts w:asciiTheme="minorHAnsi" w:hAnsiTheme="minorHAnsi" w:cs="Calibri"/>
                <w:color w:val="000000"/>
                <w:sz w:val="22"/>
                <w:szCs w:val="22"/>
                <w:lang w:eastAsia="zh-CN"/>
              </w:rPr>
              <w:t>Retardées</w:t>
            </w:r>
          </w:p>
        </w:tc>
        <w:tc>
          <w:tcPr>
            <w:tcW w:w="780" w:type="dxa"/>
            <w:tcBorders>
              <w:top w:val="nil"/>
              <w:left w:val="nil"/>
              <w:bottom w:val="single" w:sz="4" w:space="0" w:color="auto"/>
              <w:right w:val="single" w:sz="4" w:space="0" w:color="auto"/>
            </w:tcBorders>
            <w:shd w:val="clear" w:color="000000" w:fill="FFFFFF"/>
            <w:noWrap/>
            <w:vAlign w:val="bottom"/>
            <w:hideMark/>
          </w:tcPr>
          <w:p w:rsidR="0042547C" w:rsidRPr="00624A3A" w:rsidRDefault="0042547C" w:rsidP="00A77ED5">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Calibri"/>
                <w:color w:val="000000"/>
                <w:sz w:val="22"/>
                <w:szCs w:val="22"/>
                <w:lang w:eastAsia="zh-CN"/>
              </w:rPr>
            </w:pPr>
            <w:r w:rsidRPr="00624A3A">
              <w:rPr>
                <w:rFonts w:asciiTheme="minorHAnsi" w:hAnsiTheme="minorHAnsi" w:cs="Calibri"/>
                <w:color w:val="000000"/>
                <w:sz w:val="22"/>
                <w:szCs w:val="22"/>
                <w:lang w:eastAsia="zh-CN"/>
              </w:rPr>
              <w:t>3</w:t>
            </w:r>
          </w:p>
        </w:tc>
        <w:tc>
          <w:tcPr>
            <w:tcW w:w="780" w:type="dxa"/>
            <w:tcBorders>
              <w:top w:val="nil"/>
              <w:left w:val="nil"/>
              <w:bottom w:val="single" w:sz="4" w:space="0" w:color="auto"/>
              <w:right w:val="single" w:sz="4" w:space="0" w:color="auto"/>
            </w:tcBorders>
            <w:shd w:val="clear" w:color="auto" w:fill="auto"/>
            <w:noWrap/>
            <w:vAlign w:val="bottom"/>
            <w:hideMark/>
          </w:tcPr>
          <w:p w:rsidR="0042547C" w:rsidRPr="00624A3A" w:rsidRDefault="00713014" w:rsidP="00A77ED5">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Calibri"/>
                <w:color w:val="000000"/>
                <w:sz w:val="22"/>
                <w:szCs w:val="22"/>
                <w:lang w:eastAsia="zh-CN"/>
              </w:rPr>
            </w:pPr>
            <w:r w:rsidRPr="00624A3A">
              <w:rPr>
                <w:rFonts w:asciiTheme="minorHAnsi" w:hAnsiTheme="minorHAnsi" w:cs="Calibri"/>
                <w:color w:val="000000"/>
                <w:sz w:val="22"/>
                <w:szCs w:val="22"/>
                <w:lang w:eastAsia="zh-CN"/>
              </w:rPr>
              <w:t>–</w:t>
            </w:r>
          </w:p>
        </w:tc>
        <w:tc>
          <w:tcPr>
            <w:tcW w:w="780" w:type="dxa"/>
            <w:tcBorders>
              <w:top w:val="nil"/>
              <w:left w:val="nil"/>
              <w:bottom w:val="single" w:sz="4" w:space="0" w:color="auto"/>
              <w:right w:val="single" w:sz="4" w:space="0" w:color="auto"/>
            </w:tcBorders>
            <w:shd w:val="clear" w:color="000000" w:fill="FFFFFF"/>
            <w:noWrap/>
            <w:vAlign w:val="bottom"/>
            <w:hideMark/>
          </w:tcPr>
          <w:p w:rsidR="0042547C" w:rsidRPr="00624A3A" w:rsidRDefault="0042547C" w:rsidP="00A77ED5">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Calibri"/>
                <w:color w:val="000000"/>
                <w:sz w:val="22"/>
                <w:szCs w:val="22"/>
                <w:lang w:eastAsia="zh-CN"/>
              </w:rPr>
            </w:pPr>
            <w:r w:rsidRPr="00624A3A">
              <w:rPr>
                <w:rFonts w:asciiTheme="minorHAnsi" w:hAnsiTheme="minorHAnsi" w:cs="Calibri"/>
                <w:color w:val="000000"/>
                <w:sz w:val="22"/>
                <w:szCs w:val="22"/>
                <w:lang w:eastAsia="zh-CN"/>
              </w:rPr>
              <w:t>0</w:t>
            </w:r>
          </w:p>
        </w:tc>
        <w:tc>
          <w:tcPr>
            <w:tcW w:w="780" w:type="dxa"/>
            <w:tcBorders>
              <w:top w:val="nil"/>
              <w:left w:val="nil"/>
              <w:bottom w:val="single" w:sz="4" w:space="0" w:color="auto"/>
              <w:right w:val="nil"/>
            </w:tcBorders>
            <w:shd w:val="clear" w:color="000000" w:fill="FFFFFF"/>
            <w:noWrap/>
            <w:vAlign w:val="bottom"/>
            <w:hideMark/>
          </w:tcPr>
          <w:p w:rsidR="0042547C" w:rsidRPr="00624A3A" w:rsidRDefault="0042547C" w:rsidP="00A77ED5">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Calibri"/>
                <w:color w:val="000000"/>
                <w:sz w:val="22"/>
                <w:szCs w:val="22"/>
                <w:lang w:eastAsia="zh-CN"/>
              </w:rPr>
            </w:pPr>
            <w:r w:rsidRPr="00624A3A">
              <w:rPr>
                <w:rFonts w:asciiTheme="minorHAnsi" w:hAnsiTheme="minorHAnsi" w:cs="Calibri"/>
                <w:color w:val="000000"/>
                <w:sz w:val="22"/>
                <w:szCs w:val="22"/>
                <w:lang w:eastAsia="zh-CN"/>
              </w:rPr>
              <w:t>0</w:t>
            </w:r>
          </w:p>
        </w:tc>
        <w:tc>
          <w:tcPr>
            <w:tcW w:w="780" w:type="dxa"/>
            <w:tcBorders>
              <w:top w:val="nil"/>
              <w:left w:val="single" w:sz="4" w:space="0" w:color="auto"/>
              <w:bottom w:val="single" w:sz="4" w:space="0" w:color="auto"/>
              <w:right w:val="nil"/>
            </w:tcBorders>
            <w:shd w:val="clear" w:color="000000" w:fill="FFFFFF"/>
            <w:noWrap/>
            <w:vAlign w:val="bottom"/>
            <w:hideMark/>
          </w:tcPr>
          <w:p w:rsidR="0042547C" w:rsidRPr="00624A3A" w:rsidRDefault="0042547C" w:rsidP="00A77ED5">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Calibri"/>
                <w:color w:val="000000"/>
                <w:sz w:val="22"/>
                <w:szCs w:val="22"/>
                <w:lang w:eastAsia="zh-CN"/>
              </w:rPr>
            </w:pPr>
            <w:r w:rsidRPr="00624A3A">
              <w:rPr>
                <w:rFonts w:asciiTheme="minorHAnsi" w:hAnsiTheme="minorHAnsi" w:cs="Calibri"/>
                <w:color w:val="000000"/>
                <w:sz w:val="22"/>
                <w:szCs w:val="22"/>
                <w:lang w:eastAsia="zh-CN"/>
              </w:rPr>
              <w:t>0</w:t>
            </w:r>
          </w:p>
        </w:tc>
        <w:tc>
          <w:tcPr>
            <w:tcW w:w="780" w:type="dxa"/>
            <w:tcBorders>
              <w:top w:val="nil"/>
              <w:left w:val="single" w:sz="4" w:space="0" w:color="auto"/>
              <w:bottom w:val="single" w:sz="4" w:space="0" w:color="auto"/>
              <w:right w:val="nil"/>
            </w:tcBorders>
            <w:shd w:val="clear" w:color="000000" w:fill="FFFFFF"/>
            <w:noWrap/>
            <w:vAlign w:val="bottom"/>
            <w:hideMark/>
          </w:tcPr>
          <w:p w:rsidR="0042547C" w:rsidRPr="00624A3A" w:rsidRDefault="0042547C" w:rsidP="00A77ED5">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Calibri"/>
                <w:color w:val="000000"/>
                <w:sz w:val="22"/>
                <w:szCs w:val="22"/>
                <w:lang w:eastAsia="zh-CN"/>
              </w:rPr>
            </w:pPr>
            <w:r w:rsidRPr="00624A3A">
              <w:rPr>
                <w:rFonts w:asciiTheme="minorHAnsi" w:hAnsiTheme="minorHAnsi" w:cs="Calibri"/>
                <w:color w:val="000000"/>
                <w:sz w:val="22"/>
                <w:szCs w:val="22"/>
                <w:lang w:eastAsia="zh-CN"/>
              </w:rPr>
              <w:t>0</w:t>
            </w:r>
          </w:p>
        </w:tc>
        <w:tc>
          <w:tcPr>
            <w:tcW w:w="780" w:type="dxa"/>
            <w:tcBorders>
              <w:top w:val="nil"/>
              <w:left w:val="single" w:sz="4" w:space="0" w:color="auto"/>
              <w:bottom w:val="single" w:sz="4" w:space="0" w:color="auto"/>
              <w:right w:val="nil"/>
            </w:tcBorders>
            <w:shd w:val="clear" w:color="000000" w:fill="FFFFFF"/>
            <w:noWrap/>
            <w:vAlign w:val="bottom"/>
            <w:hideMark/>
          </w:tcPr>
          <w:p w:rsidR="0042547C" w:rsidRPr="00624A3A" w:rsidRDefault="0042547C" w:rsidP="00A77ED5">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Calibri"/>
                <w:color w:val="000000"/>
                <w:sz w:val="22"/>
                <w:szCs w:val="22"/>
                <w:lang w:eastAsia="zh-CN"/>
              </w:rPr>
            </w:pPr>
            <w:r w:rsidRPr="00624A3A">
              <w:rPr>
                <w:rFonts w:asciiTheme="minorHAnsi" w:hAnsiTheme="minorHAnsi" w:cs="Calibri"/>
                <w:color w:val="000000"/>
                <w:sz w:val="22"/>
                <w:szCs w:val="22"/>
                <w:lang w:eastAsia="zh-CN"/>
              </w:rPr>
              <w:t>0</w:t>
            </w:r>
          </w:p>
        </w:tc>
        <w:tc>
          <w:tcPr>
            <w:tcW w:w="780" w:type="dxa"/>
            <w:tcBorders>
              <w:top w:val="nil"/>
              <w:left w:val="single" w:sz="4" w:space="0" w:color="auto"/>
              <w:bottom w:val="single" w:sz="4" w:space="0" w:color="auto"/>
              <w:right w:val="single" w:sz="8" w:space="0" w:color="auto"/>
            </w:tcBorders>
            <w:shd w:val="clear" w:color="000000" w:fill="AEAAAA"/>
            <w:noWrap/>
            <w:vAlign w:val="bottom"/>
            <w:hideMark/>
          </w:tcPr>
          <w:p w:rsidR="0042547C" w:rsidRPr="00624A3A" w:rsidRDefault="0042547C" w:rsidP="00A77ED5">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Arial"/>
                <w:b/>
                <w:bCs/>
                <w:sz w:val="22"/>
                <w:szCs w:val="22"/>
                <w:lang w:eastAsia="zh-CN"/>
              </w:rPr>
            </w:pPr>
            <w:r w:rsidRPr="00624A3A">
              <w:rPr>
                <w:rFonts w:asciiTheme="minorHAnsi" w:hAnsiTheme="minorHAnsi" w:cs="Arial"/>
                <w:b/>
                <w:bCs/>
                <w:sz w:val="22"/>
                <w:szCs w:val="22"/>
                <w:lang w:eastAsia="zh-CN"/>
              </w:rPr>
              <w:t>3</w:t>
            </w:r>
          </w:p>
        </w:tc>
      </w:tr>
      <w:tr w:rsidR="0042547C" w:rsidRPr="00624A3A" w:rsidTr="00A77ED5">
        <w:trPr>
          <w:trHeight w:val="315"/>
        </w:trPr>
        <w:tc>
          <w:tcPr>
            <w:tcW w:w="2880" w:type="dxa"/>
            <w:tcBorders>
              <w:top w:val="nil"/>
              <w:left w:val="single" w:sz="8" w:space="0" w:color="auto"/>
              <w:bottom w:val="single" w:sz="8" w:space="0" w:color="auto"/>
              <w:right w:val="single" w:sz="4" w:space="0" w:color="auto"/>
            </w:tcBorders>
            <w:shd w:val="clear" w:color="auto" w:fill="auto"/>
            <w:noWrap/>
            <w:vAlign w:val="bottom"/>
            <w:hideMark/>
          </w:tcPr>
          <w:p w:rsidR="0042547C" w:rsidRPr="00624A3A" w:rsidRDefault="00713014" w:rsidP="00713014">
            <w:pPr>
              <w:tabs>
                <w:tab w:val="clear" w:pos="567"/>
                <w:tab w:val="clear" w:pos="1134"/>
                <w:tab w:val="clear" w:pos="1701"/>
                <w:tab w:val="clear" w:pos="2268"/>
                <w:tab w:val="clear" w:pos="2835"/>
                <w:tab w:val="left" w:pos="292"/>
              </w:tabs>
              <w:overflowPunct/>
              <w:autoSpaceDE/>
              <w:autoSpaceDN/>
              <w:adjustRightInd/>
              <w:spacing w:before="0"/>
              <w:textAlignment w:val="auto"/>
              <w:rPr>
                <w:rFonts w:asciiTheme="minorHAnsi" w:hAnsiTheme="minorHAnsi" w:cs="Calibri"/>
                <w:color w:val="000000"/>
                <w:sz w:val="22"/>
                <w:szCs w:val="22"/>
                <w:lang w:eastAsia="zh-CN"/>
              </w:rPr>
            </w:pPr>
            <w:r w:rsidRPr="00624A3A">
              <w:rPr>
                <w:rFonts w:asciiTheme="minorHAnsi" w:hAnsiTheme="minorHAnsi" w:cs="Calibri"/>
                <w:color w:val="000000"/>
                <w:sz w:val="22"/>
                <w:szCs w:val="22"/>
                <w:lang w:eastAsia="zh-CN"/>
              </w:rPr>
              <w:tab/>
            </w:r>
            <w:r w:rsidR="0042547C" w:rsidRPr="00624A3A">
              <w:rPr>
                <w:rFonts w:asciiTheme="minorHAnsi" w:hAnsiTheme="minorHAnsi" w:cs="Calibri"/>
                <w:color w:val="000000"/>
                <w:sz w:val="22"/>
                <w:szCs w:val="22"/>
                <w:lang w:eastAsia="zh-CN"/>
              </w:rPr>
              <w:t>Closes</w:t>
            </w:r>
          </w:p>
        </w:tc>
        <w:tc>
          <w:tcPr>
            <w:tcW w:w="780" w:type="dxa"/>
            <w:tcBorders>
              <w:top w:val="nil"/>
              <w:left w:val="nil"/>
              <w:bottom w:val="single" w:sz="8" w:space="0" w:color="auto"/>
              <w:right w:val="single" w:sz="4" w:space="0" w:color="auto"/>
            </w:tcBorders>
            <w:shd w:val="clear" w:color="000000" w:fill="FFFFFF"/>
            <w:noWrap/>
            <w:vAlign w:val="bottom"/>
            <w:hideMark/>
          </w:tcPr>
          <w:p w:rsidR="0042547C" w:rsidRPr="00624A3A" w:rsidRDefault="0042547C" w:rsidP="00A77ED5">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Calibri"/>
                <w:color w:val="000000"/>
                <w:sz w:val="22"/>
                <w:szCs w:val="22"/>
                <w:lang w:eastAsia="zh-CN"/>
              </w:rPr>
            </w:pPr>
            <w:r w:rsidRPr="00624A3A">
              <w:rPr>
                <w:rFonts w:asciiTheme="minorHAnsi" w:hAnsiTheme="minorHAnsi" w:cs="Calibri"/>
                <w:color w:val="000000"/>
                <w:sz w:val="22"/>
                <w:szCs w:val="22"/>
                <w:lang w:eastAsia="zh-CN"/>
              </w:rPr>
              <w:t>14</w:t>
            </w:r>
          </w:p>
        </w:tc>
        <w:tc>
          <w:tcPr>
            <w:tcW w:w="780" w:type="dxa"/>
            <w:tcBorders>
              <w:top w:val="nil"/>
              <w:left w:val="nil"/>
              <w:bottom w:val="single" w:sz="8" w:space="0" w:color="auto"/>
              <w:right w:val="single" w:sz="4" w:space="0" w:color="auto"/>
            </w:tcBorders>
            <w:shd w:val="clear" w:color="auto" w:fill="auto"/>
            <w:noWrap/>
            <w:vAlign w:val="bottom"/>
            <w:hideMark/>
          </w:tcPr>
          <w:p w:rsidR="0042547C" w:rsidRPr="00624A3A" w:rsidRDefault="00713014" w:rsidP="00A77ED5">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Calibri"/>
                <w:color w:val="000000"/>
                <w:sz w:val="22"/>
                <w:szCs w:val="22"/>
                <w:lang w:eastAsia="zh-CN"/>
              </w:rPr>
            </w:pPr>
            <w:r w:rsidRPr="00624A3A">
              <w:rPr>
                <w:rFonts w:asciiTheme="minorHAnsi" w:hAnsiTheme="minorHAnsi" w:cs="Calibri"/>
                <w:color w:val="000000"/>
                <w:sz w:val="22"/>
                <w:szCs w:val="22"/>
                <w:lang w:eastAsia="zh-CN"/>
              </w:rPr>
              <w:t>–</w:t>
            </w:r>
          </w:p>
        </w:tc>
        <w:tc>
          <w:tcPr>
            <w:tcW w:w="780" w:type="dxa"/>
            <w:tcBorders>
              <w:top w:val="nil"/>
              <w:left w:val="nil"/>
              <w:bottom w:val="single" w:sz="8" w:space="0" w:color="auto"/>
              <w:right w:val="single" w:sz="4" w:space="0" w:color="auto"/>
            </w:tcBorders>
            <w:shd w:val="clear" w:color="000000" w:fill="FFFFFF"/>
            <w:noWrap/>
            <w:vAlign w:val="bottom"/>
            <w:hideMark/>
          </w:tcPr>
          <w:p w:rsidR="0042547C" w:rsidRPr="00624A3A" w:rsidRDefault="0042547C" w:rsidP="00A77ED5">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Calibri"/>
                <w:color w:val="000000"/>
                <w:sz w:val="22"/>
                <w:szCs w:val="22"/>
                <w:lang w:eastAsia="zh-CN"/>
              </w:rPr>
            </w:pPr>
            <w:r w:rsidRPr="00624A3A">
              <w:rPr>
                <w:rFonts w:asciiTheme="minorHAnsi" w:hAnsiTheme="minorHAnsi" w:cs="Calibri"/>
                <w:color w:val="000000"/>
                <w:sz w:val="22"/>
                <w:szCs w:val="22"/>
                <w:lang w:eastAsia="zh-CN"/>
              </w:rPr>
              <w:t>106</w:t>
            </w:r>
          </w:p>
        </w:tc>
        <w:tc>
          <w:tcPr>
            <w:tcW w:w="780" w:type="dxa"/>
            <w:tcBorders>
              <w:top w:val="nil"/>
              <w:left w:val="nil"/>
              <w:bottom w:val="single" w:sz="8" w:space="0" w:color="auto"/>
              <w:right w:val="nil"/>
            </w:tcBorders>
            <w:shd w:val="clear" w:color="000000" w:fill="FFFFFF"/>
            <w:noWrap/>
            <w:vAlign w:val="bottom"/>
            <w:hideMark/>
          </w:tcPr>
          <w:p w:rsidR="0042547C" w:rsidRPr="00624A3A" w:rsidRDefault="0042547C" w:rsidP="00A77ED5">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Calibri"/>
                <w:color w:val="000000"/>
                <w:sz w:val="22"/>
                <w:szCs w:val="22"/>
                <w:lang w:eastAsia="zh-CN"/>
              </w:rPr>
            </w:pPr>
            <w:r w:rsidRPr="00624A3A">
              <w:rPr>
                <w:rFonts w:asciiTheme="minorHAnsi" w:hAnsiTheme="minorHAnsi" w:cs="Calibri"/>
                <w:color w:val="000000"/>
                <w:sz w:val="22"/>
                <w:szCs w:val="22"/>
                <w:lang w:eastAsia="zh-CN"/>
              </w:rPr>
              <w:t>50</w:t>
            </w:r>
          </w:p>
        </w:tc>
        <w:tc>
          <w:tcPr>
            <w:tcW w:w="780" w:type="dxa"/>
            <w:tcBorders>
              <w:top w:val="nil"/>
              <w:left w:val="single" w:sz="4" w:space="0" w:color="auto"/>
              <w:bottom w:val="single" w:sz="8" w:space="0" w:color="auto"/>
              <w:right w:val="nil"/>
            </w:tcBorders>
            <w:shd w:val="clear" w:color="000000" w:fill="FFFFFF"/>
            <w:noWrap/>
            <w:vAlign w:val="bottom"/>
            <w:hideMark/>
          </w:tcPr>
          <w:p w:rsidR="0042547C" w:rsidRPr="00624A3A" w:rsidRDefault="0042547C" w:rsidP="00A77ED5">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Calibri"/>
                <w:color w:val="000000"/>
                <w:sz w:val="22"/>
                <w:szCs w:val="22"/>
                <w:lang w:eastAsia="zh-CN"/>
              </w:rPr>
            </w:pPr>
            <w:r w:rsidRPr="00624A3A">
              <w:rPr>
                <w:rFonts w:asciiTheme="minorHAnsi" w:hAnsiTheme="minorHAnsi" w:cs="Calibri"/>
                <w:color w:val="000000"/>
                <w:sz w:val="22"/>
                <w:szCs w:val="22"/>
                <w:lang w:eastAsia="zh-CN"/>
              </w:rPr>
              <w:t>26</w:t>
            </w:r>
          </w:p>
        </w:tc>
        <w:tc>
          <w:tcPr>
            <w:tcW w:w="780" w:type="dxa"/>
            <w:tcBorders>
              <w:top w:val="nil"/>
              <w:left w:val="single" w:sz="4" w:space="0" w:color="auto"/>
              <w:bottom w:val="single" w:sz="8" w:space="0" w:color="auto"/>
              <w:right w:val="nil"/>
            </w:tcBorders>
            <w:shd w:val="clear" w:color="000000" w:fill="FFFFFF"/>
            <w:noWrap/>
            <w:vAlign w:val="bottom"/>
            <w:hideMark/>
          </w:tcPr>
          <w:p w:rsidR="0042547C" w:rsidRPr="00624A3A" w:rsidRDefault="0042547C" w:rsidP="00A77ED5">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Calibri"/>
                <w:color w:val="000000"/>
                <w:sz w:val="22"/>
                <w:szCs w:val="22"/>
                <w:lang w:eastAsia="zh-CN"/>
              </w:rPr>
            </w:pPr>
            <w:r w:rsidRPr="00624A3A">
              <w:rPr>
                <w:rFonts w:asciiTheme="minorHAnsi" w:hAnsiTheme="minorHAnsi" w:cs="Calibri"/>
                <w:color w:val="000000"/>
                <w:sz w:val="22"/>
                <w:szCs w:val="22"/>
                <w:lang w:eastAsia="zh-CN"/>
              </w:rPr>
              <w:t>7</w:t>
            </w:r>
          </w:p>
        </w:tc>
        <w:tc>
          <w:tcPr>
            <w:tcW w:w="780" w:type="dxa"/>
            <w:tcBorders>
              <w:top w:val="nil"/>
              <w:left w:val="single" w:sz="4" w:space="0" w:color="auto"/>
              <w:bottom w:val="single" w:sz="8" w:space="0" w:color="auto"/>
              <w:right w:val="nil"/>
            </w:tcBorders>
            <w:shd w:val="clear" w:color="000000" w:fill="FFFFFF"/>
            <w:noWrap/>
            <w:vAlign w:val="bottom"/>
            <w:hideMark/>
          </w:tcPr>
          <w:p w:rsidR="0042547C" w:rsidRPr="00624A3A" w:rsidRDefault="0042547C" w:rsidP="00A77ED5">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Calibri"/>
                <w:color w:val="000000"/>
                <w:sz w:val="22"/>
                <w:szCs w:val="22"/>
                <w:lang w:eastAsia="zh-CN"/>
              </w:rPr>
            </w:pPr>
            <w:r w:rsidRPr="00624A3A">
              <w:rPr>
                <w:rFonts w:asciiTheme="minorHAnsi" w:hAnsiTheme="minorHAnsi" w:cs="Calibri"/>
                <w:color w:val="000000"/>
                <w:sz w:val="22"/>
                <w:szCs w:val="22"/>
                <w:lang w:eastAsia="zh-CN"/>
              </w:rPr>
              <w:t>0</w:t>
            </w:r>
          </w:p>
        </w:tc>
        <w:tc>
          <w:tcPr>
            <w:tcW w:w="780" w:type="dxa"/>
            <w:tcBorders>
              <w:top w:val="nil"/>
              <w:left w:val="single" w:sz="4" w:space="0" w:color="auto"/>
              <w:bottom w:val="single" w:sz="8" w:space="0" w:color="auto"/>
              <w:right w:val="single" w:sz="8" w:space="0" w:color="auto"/>
            </w:tcBorders>
            <w:shd w:val="clear" w:color="000000" w:fill="AEAAAA"/>
            <w:noWrap/>
            <w:vAlign w:val="bottom"/>
            <w:hideMark/>
          </w:tcPr>
          <w:p w:rsidR="0042547C" w:rsidRPr="00624A3A" w:rsidRDefault="0042547C" w:rsidP="00A77ED5">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Arial"/>
                <w:b/>
                <w:bCs/>
                <w:sz w:val="22"/>
                <w:szCs w:val="22"/>
                <w:lang w:eastAsia="zh-CN"/>
              </w:rPr>
            </w:pPr>
            <w:r w:rsidRPr="00624A3A">
              <w:rPr>
                <w:rFonts w:asciiTheme="minorHAnsi" w:hAnsiTheme="minorHAnsi" w:cs="Arial"/>
                <w:b/>
                <w:bCs/>
                <w:sz w:val="22"/>
                <w:szCs w:val="22"/>
                <w:lang w:eastAsia="zh-CN"/>
              </w:rPr>
              <w:t>203</w:t>
            </w:r>
          </w:p>
        </w:tc>
      </w:tr>
      <w:tr w:rsidR="0042547C" w:rsidRPr="00624A3A" w:rsidTr="00A77ED5">
        <w:trPr>
          <w:trHeight w:val="105"/>
        </w:trPr>
        <w:tc>
          <w:tcPr>
            <w:tcW w:w="2880" w:type="dxa"/>
            <w:tcBorders>
              <w:top w:val="nil"/>
              <w:left w:val="single" w:sz="8" w:space="0" w:color="auto"/>
              <w:bottom w:val="nil"/>
              <w:right w:val="nil"/>
            </w:tcBorders>
            <w:shd w:val="clear" w:color="auto" w:fill="auto"/>
            <w:noWrap/>
            <w:vAlign w:val="bottom"/>
            <w:hideMark/>
          </w:tcPr>
          <w:p w:rsidR="0042547C" w:rsidRPr="00624A3A" w:rsidRDefault="0042547C" w:rsidP="00A77ED5">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Calibri"/>
                <w:color w:val="000000"/>
                <w:sz w:val="22"/>
                <w:szCs w:val="22"/>
                <w:lang w:eastAsia="zh-CN"/>
              </w:rPr>
            </w:pPr>
            <w:r w:rsidRPr="00624A3A">
              <w:rPr>
                <w:rFonts w:asciiTheme="minorHAnsi" w:hAnsiTheme="minorHAnsi" w:cs="Calibri"/>
                <w:color w:val="000000"/>
                <w:sz w:val="22"/>
                <w:szCs w:val="22"/>
                <w:lang w:eastAsia="zh-CN"/>
              </w:rPr>
              <w:t> </w:t>
            </w:r>
          </w:p>
        </w:tc>
        <w:tc>
          <w:tcPr>
            <w:tcW w:w="780" w:type="dxa"/>
            <w:tcBorders>
              <w:top w:val="nil"/>
              <w:left w:val="nil"/>
              <w:bottom w:val="nil"/>
              <w:right w:val="nil"/>
            </w:tcBorders>
            <w:shd w:val="clear" w:color="000000" w:fill="FFFFFF"/>
            <w:noWrap/>
            <w:vAlign w:val="bottom"/>
            <w:hideMark/>
          </w:tcPr>
          <w:p w:rsidR="0042547C" w:rsidRPr="00624A3A" w:rsidRDefault="0042547C" w:rsidP="00A77ED5">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Calibri"/>
                <w:color w:val="000000"/>
                <w:sz w:val="22"/>
                <w:szCs w:val="22"/>
                <w:lang w:eastAsia="zh-CN"/>
              </w:rPr>
            </w:pPr>
            <w:r w:rsidRPr="00624A3A">
              <w:rPr>
                <w:rFonts w:asciiTheme="minorHAnsi" w:hAnsiTheme="minorHAnsi" w:cs="Calibri"/>
                <w:color w:val="000000"/>
                <w:sz w:val="22"/>
                <w:szCs w:val="22"/>
                <w:lang w:eastAsia="zh-CN"/>
              </w:rPr>
              <w:t> </w:t>
            </w:r>
          </w:p>
        </w:tc>
        <w:tc>
          <w:tcPr>
            <w:tcW w:w="780" w:type="dxa"/>
            <w:tcBorders>
              <w:top w:val="nil"/>
              <w:left w:val="nil"/>
              <w:bottom w:val="nil"/>
              <w:right w:val="nil"/>
            </w:tcBorders>
            <w:shd w:val="clear" w:color="auto" w:fill="auto"/>
            <w:noWrap/>
            <w:vAlign w:val="bottom"/>
            <w:hideMark/>
          </w:tcPr>
          <w:p w:rsidR="0042547C" w:rsidRPr="00624A3A" w:rsidRDefault="0042547C" w:rsidP="00A77ED5">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Calibri"/>
                <w:color w:val="000000"/>
                <w:sz w:val="22"/>
                <w:szCs w:val="22"/>
                <w:lang w:eastAsia="zh-CN"/>
              </w:rPr>
            </w:pPr>
          </w:p>
        </w:tc>
        <w:tc>
          <w:tcPr>
            <w:tcW w:w="780" w:type="dxa"/>
            <w:tcBorders>
              <w:top w:val="nil"/>
              <w:left w:val="nil"/>
              <w:bottom w:val="nil"/>
              <w:right w:val="nil"/>
            </w:tcBorders>
            <w:shd w:val="clear" w:color="000000" w:fill="FFFFFF"/>
            <w:noWrap/>
            <w:vAlign w:val="bottom"/>
            <w:hideMark/>
          </w:tcPr>
          <w:p w:rsidR="0042547C" w:rsidRPr="00624A3A" w:rsidRDefault="0042547C" w:rsidP="00A77ED5">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Calibri"/>
                <w:color w:val="000000"/>
                <w:sz w:val="22"/>
                <w:szCs w:val="22"/>
                <w:lang w:eastAsia="zh-CN"/>
              </w:rPr>
            </w:pPr>
            <w:r w:rsidRPr="00624A3A">
              <w:rPr>
                <w:rFonts w:asciiTheme="minorHAnsi" w:hAnsiTheme="minorHAnsi" w:cs="Calibri"/>
                <w:color w:val="000000"/>
                <w:sz w:val="22"/>
                <w:szCs w:val="22"/>
                <w:lang w:eastAsia="zh-CN"/>
              </w:rPr>
              <w:t> </w:t>
            </w:r>
          </w:p>
        </w:tc>
        <w:tc>
          <w:tcPr>
            <w:tcW w:w="780" w:type="dxa"/>
            <w:tcBorders>
              <w:top w:val="nil"/>
              <w:left w:val="nil"/>
              <w:bottom w:val="nil"/>
              <w:right w:val="nil"/>
            </w:tcBorders>
            <w:shd w:val="clear" w:color="000000" w:fill="FFFFFF"/>
            <w:noWrap/>
            <w:vAlign w:val="bottom"/>
            <w:hideMark/>
          </w:tcPr>
          <w:p w:rsidR="0042547C" w:rsidRPr="00624A3A" w:rsidRDefault="0042547C" w:rsidP="00A77ED5">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Calibri"/>
                <w:color w:val="000000"/>
                <w:sz w:val="22"/>
                <w:szCs w:val="22"/>
                <w:lang w:eastAsia="zh-CN"/>
              </w:rPr>
            </w:pPr>
            <w:r w:rsidRPr="00624A3A">
              <w:rPr>
                <w:rFonts w:asciiTheme="minorHAnsi" w:hAnsiTheme="minorHAnsi" w:cs="Calibri"/>
                <w:color w:val="000000"/>
                <w:sz w:val="22"/>
                <w:szCs w:val="22"/>
                <w:lang w:eastAsia="zh-CN"/>
              </w:rPr>
              <w:t> </w:t>
            </w:r>
          </w:p>
        </w:tc>
        <w:tc>
          <w:tcPr>
            <w:tcW w:w="780" w:type="dxa"/>
            <w:tcBorders>
              <w:top w:val="nil"/>
              <w:left w:val="nil"/>
              <w:bottom w:val="nil"/>
              <w:right w:val="nil"/>
            </w:tcBorders>
            <w:shd w:val="clear" w:color="000000" w:fill="FFFFFF"/>
            <w:noWrap/>
            <w:vAlign w:val="bottom"/>
            <w:hideMark/>
          </w:tcPr>
          <w:p w:rsidR="0042547C" w:rsidRPr="00624A3A" w:rsidRDefault="0042547C" w:rsidP="00A77ED5">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Calibri"/>
                <w:color w:val="000000"/>
                <w:sz w:val="22"/>
                <w:szCs w:val="22"/>
                <w:lang w:eastAsia="zh-CN"/>
              </w:rPr>
            </w:pPr>
            <w:r w:rsidRPr="00624A3A">
              <w:rPr>
                <w:rFonts w:asciiTheme="minorHAnsi" w:hAnsiTheme="minorHAnsi" w:cs="Calibri"/>
                <w:color w:val="000000"/>
                <w:sz w:val="22"/>
                <w:szCs w:val="22"/>
                <w:lang w:eastAsia="zh-CN"/>
              </w:rPr>
              <w:t> </w:t>
            </w:r>
          </w:p>
        </w:tc>
        <w:tc>
          <w:tcPr>
            <w:tcW w:w="780" w:type="dxa"/>
            <w:tcBorders>
              <w:top w:val="nil"/>
              <w:left w:val="nil"/>
              <w:bottom w:val="nil"/>
              <w:right w:val="nil"/>
            </w:tcBorders>
            <w:shd w:val="clear" w:color="000000" w:fill="FFFFFF"/>
            <w:noWrap/>
            <w:vAlign w:val="bottom"/>
            <w:hideMark/>
          </w:tcPr>
          <w:p w:rsidR="0042547C" w:rsidRPr="00624A3A" w:rsidRDefault="0042547C" w:rsidP="00A77ED5">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Calibri"/>
                <w:color w:val="000000"/>
                <w:sz w:val="22"/>
                <w:szCs w:val="22"/>
                <w:lang w:eastAsia="zh-CN"/>
              </w:rPr>
            </w:pPr>
            <w:r w:rsidRPr="00624A3A">
              <w:rPr>
                <w:rFonts w:asciiTheme="minorHAnsi" w:hAnsiTheme="minorHAnsi" w:cs="Calibri"/>
                <w:color w:val="000000"/>
                <w:sz w:val="22"/>
                <w:szCs w:val="22"/>
                <w:lang w:eastAsia="zh-CN"/>
              </w:rPr>
              <w:t> </w:t>
            </w:r>
          </w:p>
        </w:tc>
        <w:tc>
          <w:tcPr>
            <w:tcW w:w="780" w:type="dxa"/>
            <w:tcBorders>
              <w:top w:val="nil"/>
              <w:left w:val="nil"/>
              <w:bottom w:val="nil"/>
              <w:right w:val="nil"/>
            </w:tcBorders>
            <w:shd w:val="clear" w:color="000000" w:fill="FFFFFF"/>
            <w:noWrap/>
            <w:vAlign w:val="bottom"/>
            <w:hideMark/>
          </w:tcPr>
          <w:p w:rsidR="0042547C" w:rsidRPr="00624A3A" w:rsidRDefault="0042547C" w:rsidP="00A77ED5">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Calibri"/>
                <w:color w:val="000000"/>
                <w:sz w:val="22"/>
                <w:szCs w:val="22"/>
                <w:lang w:eastAsia="zh-CN"/>
              </w:rPr>
            </w:pPr>
            <w:r w:rsidRPr="00624A3A">
              <w:rPr>
                <w:rFonts w:asciiTheme="minorHAnsi" w:hAnsiTheme="minorHAnsi" w:cs="Calibri"/>
                <w:color w:val="000000"/>
                <w:sz w:val="22"/>
                <w:szCs w:val="22"/>
                <w:lang w:eastAsia="zh-CN"/>
              </w:rPr>
              <w:t> </w:t>
            </w:r>
          </w:p>
        </w:tc>
        <w:tc>
          <w:tcPr>
            <w:tcW w:w="780" w:type="dxa"/>
            <w:tcBorders>
              <w:top w:val="nil"/>
              <w:left w:val="nil"/>
              <w:bottom w:val="nil"/>
              <w:right w:val="single" w:sz="8" w:space="0" w:color="auto"/>
            </w:tcBorders>
            <w:shd w:val="clear" w:color="000000" w:fill="FFFFFF"/>
            <w:noWrap/>
            <w:vAlign w:val="bottom"/>
            <w:hideMark/>
          </w:tcPr>
          <w:p w:rsidR="0042547C" w:rsidRPr="00624A3A" w:rsidRDefault="0042547C" w:rsidP="00A77ED5">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Arial"/>
                <w:b/>
                <w:bCs/>
                <w:sz w:val="22"/>
                <w:szCs w:val="22"/>
                <w:lang w:eastAsia="zh-CN"/>
              </w:rPr>
            </w:pPr>
            <w:r w:rsidRPr="00624A3A">
              <w:rPr>
                <w:rFonts w:asciiTheme="minorHAnsi" w:hAnsiTheme="minorHAnsi" w:cs="Arial"/>
                <w:b/>
                <w:bCs/>
                <w:sz w:val="22"/>
                <w:szCs w:val="22"/>
                <w:lang w:eastAsia="zh-CN"/>
              </w:rPr>
              <w:t> </w:t>
            </w:r>
          </w:p>
        </w:tc>
      </w:tr>
      <w:tr w:rsidR="0042547C" w:rsidRPr="00624A3A" w:rsidTr="00A77ED5">
        <w:trPr>
          <w:trHeight w:val="315"/>
        </w:trPr>
        <w:tc>
          <w:tcPr>
            <w:tcW w:w="288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42547C" w:rsidRPr="00624A3A" w:rsidRDefault="0042547C" w:rsidP="00A77ED5">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Calibri"/>
                <w:sz w:val="22"/>
                <w:szCs w:val="22"/>
                <w:lang w:eastAsia="zh-CN"/>
              </w:rPr>
            </w:pPr>
            <w:r w:rsidRPr="00624A3A">
              <w:rPr>
                <w:rFonts w:asciiTheme="minorHAnsi" w:hAnsiTheme="minorHAnsi" w:cs="Calibri"/>
                <w:sz w:val="22"/>
                <w:szCs w:val="22"/>
                <w:lang w:eastAsia="zh-CN"/>
              </w:rPr>
              <w:t>% de recommandations en cours</w:t>
            </w:r>
          </w:p>
        </w:tc>
        <w:tc>
          <w:tcPr>
            <w:tcW w:w="780" w:type="dxa"/>
            <w:tcBorders>
              <w:top w:val="single" w:sz="8" w:space="0" w:color="auto"/>
              <w:left w:val="nil"/>
              <w:bottom w:val="single" w:sz="8" w:space="0" w:color="auto"/>
              <w:right w:val="single" w:sz="4" w:space="0" w:color="auto"/>
            </w:tcBorders>
            <w:shd w:val="clear" w:color="auto" w:fill="auto"/>
            <w:noWrap/>
            <w:vAlign w:val="bottom"/>
            <w:hideMark/>
          </w:tcPr>
          <w:p w:rsidR="0042547C" w:rsidRPr="00624A3A" w:rsidRDefault="0042547C" w:rsidP="00A77ED5">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Calibri"/>
                <w:color w:val="000000"/>
                <w:sz w:val="22"/>
                <w:szCs w:val="22"/>
                <w:lang w:eastAsia="zh-CN"/>
              </w:rPr>
            </w:pPr>
            <w:r w:rsidRPr="00624A3A">
              <w:rPr>
                <w:rFonts w:asciiTheme="minorHAnsi" w:hAnsiTheme="minorHAnsi" w:cs="Calibri"/>
                <w:color w:val="000000"/>
                <w:sz w:val="22"/>
                <w:szCs w:val="22"/>
                <w:lang w:eastAsia="zh-CN"/>
              </w:rPr>
              <w:t>0%</w:t>
            </w:r>
          </w:p>
        </w:tc>
        <w:tc>
          <w:tcPr>
            <w:tcW w:w="780" w:type="dxa"/>
            <w:tcBorders>
              <w:top w:val="single" w:sz="8" w:space="0" w:color="auto"/>
              <w:left w:val="nil"/>
              <w:bottom w:val="single" w:sz="8" w:space="0" w:color="auto"/>
              <w:right w:val="single" w:sz="4" w:space="0" w:color="auto"/>
            </w:tcBorders>
            <w:shd w:val="clear" w:color="auto" w:fill="auto"/>
            <w:noWrap/>
            <w:vAlign w:val="bottom"/>
            <w:hideMark/>
          </w:tcPr>
          <w:p w:rsidR="0042547C" w:rsidRPr="00624A3A" w:rsidRDefault="00713014" w:rsidP="00A77ED5">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Calibri"/>
                <w:color w:val="000000"/>
                <w:sz w:val="22"/>
                <w:szCs w:val="22"/>
                <w:lang w:eastAsia="zh-CN"/>
              </w:rPr>
            </w:pPr>
            <w:r w:rsidRPr="00624A3A">
              <w:rPr>
                <w:rFonts w:asciiTheme="minorHAnsi" w:hAnsiTheme="minorHAnsi" w:cs="Calibri"/>
                <w:color w:val="000000"/>
                <w:sz w:val="22"/>
                <w:szCs w:val="22"/>
                <w:lang w:eastAsia="zh-CN"/>
              </w:rPr>
              <w:t>–</w:t>
            </w:r>
          </w:p>
        </w:tc>
        <w:tc>
          <w:tcPr>
            <w:tcW w:w="780" w:type="dxa"/>
            <w:tcBorders>
              <w:top w:val="single" w:sz="8" w:space="0" w:color="auto"/>
              <w:left w:val="nil"/>
              <w:bottom w:val="single" w:sz="8" w:space="0" w:color="auto"/>
              <w:right w:val="single" w:sz="4" w:space="0" w:color="auto"/>
            </w:tcBorders>
            <w:shd w:val="clear" w:color="auto" w:fill="auto"/>
            <w:noWrap/>
            <w:vAlign w:val="bottom"/>
            <w:hideMark/>
          </w:tcPr>
          <w:p w:rsidR="0042547C" w:rsidRPr="00624A3A" w:rsidRDefault="0042547C" w:rsidP="00A77ED5">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Calibri"/>
                <w:color w:val="000000"/>
                <w:sz w:val="22"/>
                <w:szCs w:val="22"/>
                <w:lang w:eastAsia="zh-CN"/>
              </w:rPr>
            </w:pPr>
            <w:r w:rsidRPr="00624A3A">
              <w:rPr>
                <w:rFonts w:asciiTheme="minorHAnsi" w:hAnsiTheme="minorHAnsi" w:cs="Calibri"/>
                <w:color w:val="000000"/>
                <w:sz w:val="22"/>
                <w:szCs w:val="22"/>
                <w:lang w:eastAsia="zh-CN"/>
              </w:rPr>
              <w:t>6%</w:t>
            </w:r>
          </w:p>
        </w:tc>
        <w:tc>
          <w:tcPr>
            <w:tcW w:w="780" w:type="dxa"/>
            <w:tcBorders>
              <w:top w:val="single" w:sz="8" w:space="0" w:color="auto"/>
              <w:left w:val="nil"/>
              <w:bottom w:val="single" w:sz="8" w:space="0" w:color="auto"/>
              <w:right w:val="single" w:sz="4" w:space="0" w:color="auto"/>
            </w:tcBorders>
            <w:shd w:val="clear" w:color="auto" w:fill="auto"/>
            <w:noWrap/>
            <w:vAlign w:val="bottom"/>
            <w:hideMark/>
          </w:tcPr>
          <w:p w:rsidR="0042547C" w:rsidRPr="00624A3A" w:rsidRDefault="0042547C" w:rsidP="00A77ED5">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Calibri"/>
                <w:color w:val="000000"/>
                <w:sz w:val="22"/>
                <w:szCs w:val="22"/>
                <w:lang w:eastAsia="zh-CN"/>
              </w:rPr>
            </w:pPr>
            <w:r w:rsidRPr="00624A3A">
              <w:rPr>
                <w:rFonts w:asciiTheme="minorHAnsi" w:hAnsiTheme="minorHAnsi" w:cs="Calibri"/>
                <w:color w:val="000000"/>
                <w:sz w:val="22"/>
                <w:szCs w:val="22"/>
                <w:lang w:eastAsia="zh-CN"/>
              </w:rPr>
              <w:t>9%</w:t>
            </w:r>
          </w:p>
        </w:tc>
        <w:tc>
          <w:tcPr>
            <w:tcW w:w="780" w:type="dxa"/>
            <w:tcBorders>
              <w:top w:val="single" w:sz="8" w:space="0" w:color="auto"/>
              <w:left w:val="nil"/>
              <w:bottom w:val="single" w:sz="8" w:space="0" w:color="auto"/>
              <w:right w:val="single" w:sz="4" w:space="0" w:color="auto"/>
            </w:tcBorders>
            <w:shd w:val="clear" w:color="auto" w:fill="auto"/>
            <w:noWrap/>
            <w:vAlign w:val="bottom"/>
            <w:hideMark/>
          </w:tcPr>
          <w:p w:rsidR="0042547C" w:rsidRPr="00624A3A" w:rsidRDefault="0042547C" w:rsidP="00A77ED5">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Calibri"/>
                <w:color w:val="000000"/>
                <w:sz w:val="22"/>
                <w:szCs w:val="22"/>
                <w:lang w:eastAsia="zh-CN"/>
              </w:rPr>
            </w:pPr>
            <w:r w:rsidRPr="00624A3A">
              <w:rPr>
                <w:rFonts w:asciiTheme="minorHAnsi" w:hAnsiTheme="minorHAnsi" w:cs="Calibri"/>
                <w:color w:val="000000"/>
                <w:sz w:val="22"/>
                <w:szCs w:val="22"/>
                <w:lang w:eastAsia="zh-CN"/>
              </w:rPr>
              <w:t>24%</w:t>
            </w:r>
          </w:p>
        </w:tc>
        <w:tc>
          <w:tcPr>
            <w:tcW w:w="780" w:type="dxa"/>
            <w:tcBorders>
              <w:top w:val="single" w:sz="8" w:space="0" w:color="auto"/>
              <w:left w:val="nil"/>
              <w:bottom w:val="single" w:sz="8" w:space="0" w:color="auto"/>
              <w:right w:val="single" w:sz="4" w:space="0" w:color="auto"/>
            </w:tcBorders>
            <w:shd w:val="clear" w:color="auto" w:fill="auto"/>
            <w:noWrap/>
            <w:vAlign w:val="bottom"/>
            <w:hideMark/>
          </w:tcPr>
          <w:p w:rsidR="0042547C" w:rsidRPr="00624A3A" w:rsidRDefault="0042547C" w:rsidP="00A77ED5">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Calibri"/>
                <w:color w:val="000000"/>
                <w:sz w:val="22"/>
                <w:szCs w:val="22"/>
                <w:lang w:eastAsia="zh-CN"/>
              </w:rPr>
            </w:pPr>
            <w:r w:rsidRPr="00624A3A">
              <w:rPr>
                <w:rFonts w:asciiTheme="minorHAnsi" w:hAnsiTheme="minorHAnsi" w:cs="Calibri"/>
                <w:color w:val="000000"/>
                <w:sz w:val="22"/>
                <w:szCs w:val="22"/>
                <w:lang w:eastAsia="zh-CN"/>
              </w:rPr>
              <w:t>68%</w:t>
            </w:r>
          </w:p>
        </w:tc>
        <w:tc>
          <w:tcPr>
            <w:tcW w:w="780" w:type="dxa"/>
            <w:tcBorders>
              <w:top w:val="single" w:sz="8" w:space="0" w:color="auto"/>
              <w:left w:val="nil"/>
              <w:bottom w:val="single" w:sz="8" w:space="0" w:color="auto"/>
              <w:right w:val="nil"/>
            </w:tcBorders>
            <w:shd w:val="clear" w:color="auto" w:fill="auto"/>
            <w:noWrap/>
            <w:vAlign w:val="bottom"/>
            <w:hideMark/>
          </w:tcPr>
          <w:p w:rsidR="0042547C" w:rsidRPr="00624A3A" w:rsidRDefault="0042547C" w:rsidP="00A77ED5">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Calibri"/>
                <w:color w:val="000000"/>
                <w:sz w:val="22"/>
                <w:szCs w:val="22"/>
                <w:lang w:eastAsia="zh-CN"/>
              </w:rPr>
            </w:pPr>
            <w:r w:rsidRPr="00624A3A">
              <w:rPr>
                <w:rFonts w:asciiTheme="minorHAnsi" w:hAnsiTheme="minorHAnsi" w:cs="Calibri"/>
                <w:color w:val="000000"/>
                <w:sz w:val="22"/>
                <w:szCs w:val="22"/>
                <w:lang w:eastAsia="zh-CN"/>
              </w:rPr>
              <w:t>100%</w:t>
            </w:r>
          </w:p>
        </w:tc>
        <w:tc>
          <w:tcPr>
            <w:tcW w:w="780" w:type="dxa"/>
            <w:tcBorders>
              <w:top w:val="single" w:sz="8" w:space="0" w:color="auto"/>
              <w:left w:val="single" w:sz="4" w:space="0" w:color="auto"/>
              <w:bottom w:val="single" w:sz="8" w:space="0" w:color="auto"/>
              <w:right w:val="single" w:sz="8" w:space="0" w:color="auto"/>
            </w:tcBorders>
            <w:shd w:val="clear" w:color="000000" w:fill="AEAAAA"/>
            <w:noWrap/>
            <w:vAlign w:val="bottom"/>
            <w:hideMark/>
          </w:tcPr>
          <w:p w:rsidR="0042547C" w:rsidRPr="00624A3A" w:rsidRDefault="0042547C" w:rsidP="00A77ED5">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Calibri"/>
                <w:b/>
                <w:bCs/>
                <w:sz w:val="22"/>
                <w:szCs w:val="22"/>
                <w:lang w:eastAsia="zh-CN"/>
              </w:rPr>
            </w:pPr>
            <w:r w:rsidRPr="00624A3A">
              <w:rPr>
                <w:rFonts w:asciiTheme="minorHAnsi" w:hAnsiTheme="minorHAnsi" w:cs="Calibri"/>
                <w:b/>
                <w:bCs/>
                <w:sz w:val="22"/>
                <w:szCs w:val="22"/>
                <w:lang w:eastAsia="zh-CN"/>
              </w:rPr>
              <w:t>23%</w:t>
            </w:r>
          </w:p>
        </w:tc>
      </w:tr>
      <w:tr w:rsidR="0042547C" w:rsidRPr="00624A3A" w:rsidTr="00A77ED5">
        <w:trPr>
          <w:trHeight w:val="315"/>
        </w:trPr>
        <w:tc>
          <w:tcPr>
            <w:tcW w:w="2880" w:type="dxa"/>
            <w:tcBorders>
              <w:top w:val="nil"/>
              <w:left w:val="single" w:sz="8" w:space="0" w:color="auto"/>
              <w:bottom w:val="single" w:sz="8" w:space="0" w:color="auto"/>
              <w:right w:val="single" w:sz="4" w:space="0" w:color="auto"/>
            </w:tcBorders>
            <w:shd w:val="clear" w:color="auto" w:fill="auto"/>
            <w:noWrap/>
            <w:vAlign w:val="bottom"/>
            <w:hideMark/>
          </w:tcPr>
          <w:p w:rsidR="0042547C" w:rsidRPr="00624A3A" w:rsidRDefault="0042547C" w:rsidP="00A77ED5">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Calibri"/>
                <w:sz w:val="22"/>
                <w:szCs w:val="22"/>
                <w:lang w:eastAsia="zh-CN"/>
              </w:rPr>
            </w:pPr>
            <w:r w:rsidRPr="00624A3A">
              <w:rPr>
                <w:rFonts w:asciiTheme="minorHAnsi" w:hAnsiTheme="minorHAnsi" w:cs="Calibri"/>
                <w:sz w:val="22"/>
                <w:szCs w:val="22"/>
                <w:lang w:eastAsia="zh-CN"/>
              </w:rPr>
              <w:t>% de recommandations retardées</w:t>
            </w:r>
          </w:p>
        </w:tc>
        <w:tc>
          <w:tcPr>
            <w:tcW w:w="780" w:type="dxa"/>
            <w:tcBorders>
              <w:top w:val="nil"/>
              <w:left w:val="nil"/>
              <w:bottom w:val="single" w:sz="8" w:space="0" w:color="auto"/>
              <w:right w:val="single" w:sz="4" w:space="0" w:color="auto"/>
            </w:tcBorders>
            <w:shd w:val="clear" w:color="auto" w:fill="auto"/>
            <w:noWrap/>
            <w:vAlign w:val="bottom"/>
            <w:hideMark/>
          </w:tcPr>
          <w:p w:rsidR="0042547C" w:rsidRPr="00624A3A" w:rsidRDefault="0042547C" w:rsidP="00A77ED5">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Calibri"/>
                <w:color w:val="000000"/>
                <w:sz w:val="22"/>
                <w:szCs w:val="22"/>
                <w:lang w:eastAsia="zh-CN"/>
              </w:rPr>
            </w:pPr>
            <w:r w:rsidRPr="00624A3A">
              <w:rPr>
                <w:rFonts w:asciiTheme="minorHAnsi" w:hAnsiTheme="minorHAnsi" w:cs="Calibri"/>
                <w:color w:val="000000"/>
                <w:sz w:val="22"/>
                <w:szCs w:val="22"/>
                <w:lang w:eastAsia="zh-CN"/>
              </w:rPr>
              <w:t>18%</w:t>
            </w:r>
          </w:p>
        </w:tc>
        <w:tc>
          <w:tcPr>
            <w:tcW w:w="780" w:type="dxa"/>
            <w:tcBorders>
              <w:top w:val="nil"/>
              <w:left w:val="nil"/>
              <w:bottom w:val="single" w:sz="8" w:space="0" w:color="auto"/>
              <w:right w:val="single" w:sz="4" w:space="0" w:color="auto"/>
            </w:tcBorders>
            <w:shd w:val="clear" w:color="auto" w:fill="auto"/>
            <w:noWrap/>
            <w:vAlign w:val="bottom"/>
            <w:hideMark/>
          </w:tcPr>
          <w:p w:rsidR="0042547C" w:rsidRPr="00624A3A" w:rsidRDefault="00713014" w:rsidP="00A77ED5">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Calibri"/>
                <w:color w:val="000000"/>
                <w:sz w:val="22"/>
                <w:szCs w:val="22"/>
                <w:lang w:eastAsia="zh-CN"/>
              </w:rPr>
            </w:pPr>
            <w:r w:rsidRPr="00624A3A">
              <w:rPr>
                <w:rFonts w:asciiTheme="minorHAnsi" w:hAnsiTheme="minorHAnsi" w:cs="Calibri"/>
                <w:color w:val="000000"/>
                <w:sz w:val="22"/>
                <w:szCs w:val="22"/>
                <w:lang w:eastAsia="zh-CN"/>
              </w:rPr>
              <w:t>–</w:t>
            </w:r>
          </w:p>
        </w:tc>
        <w:tc>
          <w:tcPr>
            <w:tcW w:w="780" w:type="dxa"/>
            <w:tcBorders>
              <w:top w:val="nil"/>
              <w:left w:val="nil"/>
              <w:bottom w:val="single" w:sz="8" w:space="0" w:color="auto"/>
              <w:right w:val="single" w:sz="4" w:space="0" w:color="auto"/>
            </w:tcBorders>
            <w:shd w:val="clear" w:color="000000" w:fill="FFFFFF"/>
            <w:noWrap/>
            <w:vAlign w:val="bottom"/>
            <w:hideMark/>
          </w:tcPr>
          <w:p w:rsidR="0042547C" w:rsidRPr="00624A3A" w:rsidRDefault="0042547C" w:rsidP="00A77ED5">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Calibri"/>
                <w:sz w:val="22"/>
                <w:szCs w:val="22"/>
                <w:lang w:eastAsia="zh-CN"/>
              </w:rPr>
            </w:pPr>
            <w:r w:rsidRPr="00624A3A">
              <w:rPr>
                <w:rFonts w:asciiTheme="minorHAnsi" w:hAnsiTheme="minorHAnsi" w:cs="Calibri"/>
                <w:sz w:val="22"/>
                <w:szCs w:val="22"/>
                <w:lang w:eastAsia="zh-CN"/>
              </w:rPr>
              <w:t>0%</w:t>
            </w:r>
          </w:p>
        </w:tc>
        <w:tc>
          <w:tcPr>
            <w:tcW w:w="780" w:type="dxa"/>
            <w:tcBorders>
              <w:top w:val="nil"/>
              <w:left w:val="nil"/>
              <w:bottom w:val="single" w:sz="8" w:space="0" w:color="auto"/>
              <w:right w:val="single" w:sz="4" w:space="0" w:color="auto"/>
            </w:tcBorders>
            <w:shd w:val="clear" w:color="000000" w:fill="FFFFFF"/>
            <w:noWrap/>
            <w:vAlign w:val="bottom"/>
            <w:hideMark/>
          </w:tcPr>
          <w:p w:rsidR="0042547C" w:rsidRPr="00624A3A" w:rsidRDefault="0042547C" w:rsidP="00A77ED5">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Calibri"/>
                <w:sz w:val="22"/>
                <w:szCs w:val="22"/>
                <w:lang w:eastAsia="zh-CN"/>
              </w:rPr>
            </w:pPr>
            <w:r w:rsidRPr="00624A3A">
              <w:rPr>
                <w:rFonts w:asciiTheme="minorHAnsi" w:hAnsiTheme="minorHAnsi" w:cs="Calibri"/>
                <w:sz w:val="22"/>
                <w:szCs w:val="22"/>
                <w:lang w:eastAsia="zh-CN"/>
              </w:rPr>
              <w:t>0%</w:t>
            </w:r>
          </w:p>
        </w:tc>
        <w:tc>
          <w:tcPr>
            <w:tcW w:w="780" w:type="dxa"/>
            <w:tcBorders>
              <w:top w:val="nil"/>
              <w:left w:val="nil"/>
              <w:bottom w:val="single" w:sz="8" w:space="0" w:color="auto"/>
              <w:right w:val="single" w:sz="4" w:space="0" w:color="auto"/>
            </w:tcBorders>
            <w:shd w:val="clear" w:color="auto" w:fill="auto"/>
            <w:noWrap/>
            <w:vAlign w:val="bottom"/>
            <w:hideMark/>
          </w:tcPr>
          <w:p w:rsidR="0042547C" w:rsidRPr="00624A3A" w:rsidRDefault="0042547C" w:rsidP="00A77ED5">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Calibri"/>
                <w:color w:val="000000"/>
                <w:sz w:val="22"/>
                <w:szCs w:val="22"/>
                <w:lang w:eastAsia="zh-CN"/>
              </w:rPr>
            </w:pPr>
            <w:r w:rsidRPr="00624A3A">
              <w:rPr>
                <w:rFonts w:asciiTheme="minorHAnsi" w:hAnsiTheme="minorHAnsi" w:cs="Calibri"/>
                <w:color w:val="000000"/>
                <w:sz w:val="22"/>
                <w:szCs w:val="22"/>
                <w:lang w:eastAsia="zh-CN"/>
              </w:rPr>
              <w:t>0%</w:t>
            </w:r>
          </w:p>
        </w:tc>
        <w:tc>
          <w:tcPr>
            <w:tcW w:w="780" w:type="dxa"/>
            <w:tcBorders>
              <w:top w:val="nil"/>
              <w:left w:val="nil"/>
              <w:bottom w:val="single" w:sz="8" w:space="0" w:color="auto"/>
              <w:right w:val="single" w:sz="4" w:space="0" w:color="auto"/>
            </w:tcBorders>
            <w:shd w:val="clear" w:color="auto" w:fill="auto"/>
            <w:noWrap/>
            <w:vAlign w:val="bottom"/>
            <w:hideMark/>
          </w:tcPr>
          <w:p w:rsidR="0042547C" w:rsidRPr="00624A3A" w:rsidRDefault="0042547C" w:rsidP="00A77ED5">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Calibri"/>
                <w:color w:val="000000"/>
                <w:sz w:val="22"/>
                <w:szCs w:val="22"/>
                <w:lang w:eastAsia="zh-CN"/>
              </w:rPr>
            </w:pPr>
            <w:r w:rsidRPr="00624A3A">
              <w:rPr>
                <w:rFonts w:asciiTheme="minorHAnsi" w:hAnsiTheme="minorHAnsi" w:cs="Calibri"/>
                <w:color w:val="000000"/>
                <w:sz w:val="22"/>
                <w:szCs w:val="22"/>
                <w:lang w:eastAsia="zh-CN"/>
              </w:rPr>
              <w:t>0%</w:t>
            </w:r>
          </w:p>
        </w:tc>
        <w:tc>
          <w:tcPr>
            <w:tcW w:w="780" w:type="dxa"/>
            <w:tcBorders>
              <w:top w:val="nil"/>
              <w:left w:val="nil"/>
              <w:bottom w:val="single" w:sz="8" w:space="0" w:color="auto"/>
              <w:right w:val="nil"/>
            </w:tcBorders>
            <w:shd w:val="clear" w:color="auto" w:fill="auto"/>
            <w:noWrap/>
            <w:vAlign w:val="bottom"/>
            <w:hideMark/>
          </w:tcPr>
          <w:p w:rsidR="0042547C" w:rsidRPr="00624A3A" w:rsidRDefault="0042547C" w:rsidP="00A77ED5">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Calibri"/>
                <w:color w:val="000000"/>
                <w:sz w:val="22"/>
                <w:szCs w:val="22"/>
                <w:lang w:eastAsia="zh-CN"/>
              </w:rPr>
            </w:pPr>
            <w:r w:rsidRPr="00624A3A">
              <w:rPr>
                <w:rFonts w:asciiTheme="minorHAnsi" w:hAnsiTheme="minorHAnsi" w:cs="Calibri"/>
                <w:color w:val="000000"/>
                <w:sz w:val="22"/>
                <w:szCs w:val="22"/>
                <w:lang w:eastAsia="zh-CN"/>
              </w:rPr>
              <w:t>0%</w:t>
            </w:r>
          </w:p>
        </w:tc>
        <w:tc>
          <w:tcPr>
            <w:tcW w:w="780" w:type="dxa"/>
            <w:tcBorders>
              <w:top w:val="nil"/>
              <w:left w:val="single" w:sz="4" w:space="0" w:color="auto"/>
              <w:bottom w:val="single" w:sz="8" w:space="0" w:color="auto"/>
              <w:right w:val="single" w:sz="8" w:space="0" w:color="auto"/>
            </w:tcBorders>
            <w:shd w:val="clear" w:color="000000" w:fill="AEAAAA"/>
            <w:noWrap/>
            <w:vAlign w:val="bottom"/>
            <w:hideMark/>
          </w:tcPr>
          <w:p w:rsidR="0042547C" w:rsidRPr="00624A3A" w:rsidRDefault="0042547C" w:rsidP="00A77ED5">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Calibri"/>
                <w:b/>
                <w:bCs/>
                <w:sz w:val="22"/>
                <w:szCs w:val="22"/>
                <w:lang w:eastAsia="zh-CN"/>
              </w:rPr>
            </w:pPr>
            <w:r w:rsidRPr="00624A3A">
              <w:rPr>
                <w:rFonts w:asciiTheme="minorHAnsi" w:hAnsiTheme="minorHAnsi" w:cs="Calibri"/>
                <w:b/>
                <w:bCs/>
                <w:sz w:val="22"/>
                <w:szCs w:val="22"/>
                <w:lang w:eastAsia="zh-CN"/>
              </w:rPr>
              <w:t>1%</w:t>
            </w:r>
          </w:p>
        </w:tc>
      </w:tr>
      <w:tr w:rsidR="0042547C" w:rsidRPr="00624A3A" w:rsidTr="00A77ED5">
        <w:trPr>
          <w:trHeight w:val="315"/>
        </w:trPr>
        <w:tc>
          <w:tcPr>
            <w:tcW w:w="2880" w:type="dxa"/>
            <w:tcBorders>
              <w:top w:val="nil"/>
              <w:left w:val="single" w:sz="8" w:space="0" w:color="auto"/>
              <w:bottom w:val="single" w:sz="8" w:space="0" w:color="auto"/>
              <w:right w:val="single" w:sz="4" w:space="0" w:color="auto"/>
            </w:tcBorders>
            <w:shd w:val="clear" w:color="auto" w:fill="auto"/>
            <w:noWrap/>
            <w:vAlign w:val="bottom"/>
            <w:hideMark/>
          </w:tcPr>
          <w:p w:rsidR="0042547C" w:rsidRPr="00624A3A" w:rsidRDefault="0042547C" w:rsidP="00A77ED5">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Calibri"/>
                <w:sz w:val="22"/>
                <w:szCs w:val="22"/>
                <w:lang w:eastAsia="zh-CN"/>
              </w:rPr>
            </w:pPr>
            <w:r w:rsidRPr="00624A3A">
              <w:rPr>
                <w:rFonts w:asciiTheme="minorHAnsi" w:hAnsiTheme="minorHAnsi" w:cs="Calibri"/>
                <w:sz w:val="22"/>
                <w:szCs w:val="22"/>
                <w:lang w:eastAsia="zh-CN"/>
              </w:rPr>
              <w:t>% de recommandations closes</w:t>
            </w:r>
          </w:p>
        </w:tc>
        <w:tc>
          <w:tcPr>
            <w:tcW w:w="780" w:type="dxa"/>
            <w:tcBorders>
              <w:top w:val="nil"/>
              <w:left w:val="nil"/>
              <w:bottom w:val="single" w:sz="8" w:space="0" w:color="auto"/>
              <w:right w:val="single" w:sz="4" w:space="0" w:color="auto"/>
            </w:tcBorders>
            <w:shd w:val="clear" w:color="auto" w:fill="auto"/>
            <w:noWrap/>
            <w:vAlign w:val="bottom"/>
            <w:hideMark/>
          </w:tcPr>
          <w:p w:rsidR="0042547C" w:rsidRPr="00624A3A" w:rsidRDefault="0042547C" w:rsidP="00A77ED5">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Calibri"/>
                <w:color w:val="000000"/>
                <w:sz w:val="22"/>
                <w:szCs w:val="22"/>
                <w:lang w:eastAsia="zh-CN"/>
              </w:rPr>
            </w:pPr>
            <w:r w:rsidRPr="00624A3A">
              <w:rPr>
                <w:rFonts w:asciiTheme="minorHAnsi" w:hAnsiTheme="minorHAnsi" w:cs="Calibri"/>
                <w:color w:val="000000"/>
                <w:sz w:val="22"/>
                <w:szCs w:val="22"/>
                <w:lang w:eastAsia="zh-CN"/>
              </w:rPr>
              <w:t>82%</w:t>
            </w:r>
          </w:p>
        </w:tc>
        <w:tc>
          <w:tcPr>
            <w:tcW w:w="780" w:type="dxa"/>
            <w:tcBorders>
              <w:top w:val="nil"/>
              <w:left w:val="nil"/>
              <w:bottom w:val="single" w:sz="8" w:space="0" w:color="auto"/>
              <w:right w:val="single" w:sz="4" w:space="0" w:color="auto"/>
            </w:tcBorders>
            <w:shd w:val="clear" w:color="auto" w:fill="auto"/>
            <w:noWrap/>
            <w:vAlign w:val="bottom"/>
            <w:hideMark/>
          </w:tcPr>
          <w:p w:rsidR="0042547C" w:rsidRPr="00624A3A" w:rsidRDefault="00713014" w:rsidP="00A77ED5">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Calibri"/>
                <w:sz w:val="22"/>
                <w:szCs w:val="22"/>
                <w:lang w:eastAsia="zh-CN"/>
              </w:rPr>
            </w:pPr>
            <w:r w:rsidRPr="00624A3A">
              <w:rPr>
                <w:rFonts w:asciiTheme="minorHAnsi" w:hAnsiTheme="minorHAnsi" w:cs="Calibri"/>
                <w:color w:val="000000"/>
                <w:sz w:val="22"/>
                <w:szCs w:val="22"/>
                <w:lang w:eastAsia="zh-CN"/>
              </w:rPr>
              <w:t>–</w:t>
            </w:r>
          </w:p>
        </w:tc>
        <w:tc>
          <w:tcPr>
            <w:tcW w:w="780" w:type="dxa"/>
            <w:tcBorders>
              <w:top w:val="nil"/>
              <w:left w:val="nil"/>
              <w:bottom w:val="single" w:sz="8" w:space="0" w:color="auto"/>
              <w:right w:val="single" w:sz="4" w:space="0" w:color="auto"/>
            </w:tcBorders>
            <w:shd w:val="clear" w:color="auto" w:fill="auto"/>
            <w:noWrap/>
            <w:vAlign w:val="bottom"/>
            <w:hideMark/>
          </w:tcPr>
          <w:p w:rsidR="0042547C" w:rsidRPr="00624A3A" w:rsidRDefault="0042547C" w:rsidP="00A77ED5">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Calibri"/>
                <w:color w:val="000000"/>
                <w:sz w:val="22"/>
                <w:szCs w:val="22"/>
                <w:lang w:eastAsia="zh-CN"/>
              </w:rPr>
            </w:pPr>
            <w:r w:rsidRPr="00624A3A">
              <w:rPr>
                <w:rFonts w:asciiTheme="minorHAnsi" w:hAnsiTheme="minorHAnsi" w:cs="Calibri"/>
                <w:color w:val="000000"/>
                <w:sz w:val="22"/>
                <w:szCs w:val="22"/>
                <w:lang w:eastAsia="zh-CN"/>
              </w:rPr>
              <w:t>94%</w:t>
            </w:r>
          </w:p>
        </w:tc>
        <w:tc>
          <w:tcPr>
            <w:tcW w:w="780" w:type="dxa"/>
            <w:tcBorders>
              <w:top w:val="nil"/>
              <w:left w:val="nil"/>
              <w:bottom w:val="single" w:sz="8" w:space="0" w:color="auto"/>
              <w:right w:val="single" w:sz="4" w:space="0" w:color="auto"/>
            </w:tcBorders>
            <w:shd w:val="clear" w:color="auto" w:fill="auto"/>
            <w:noWrap/>
            <w:vAlign w:val="bottom"/>
            <w:hideMark/>
          </w:tcPr>
          <w:p w:rsidR="0042547C" w:rsidRPr="00624A3A" w:rsidRDefault="0042547C" w:rsidP="00A77ED5">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Calibri"/>
                <w:color w:val="000000"/>
                <w:sz w:val="22"/>
                <w:szCs w:val="22"/>
                <w:lang w:eastAsia="zh-CN"/>
              </w:rPr>
            </w:pPr>
            <w:r w:rsidRPr="00624A3A">
              <w:rPr>
                <w:rFonts w:asciiTheme="minorHAnsi" w:hAnsiTheme="minorHAnsi" w:cs="Calibri"/>
                <w:color w:val="000000"/>
                <w:sz w:val="22"/>
                <w:szCs w:val="22"/>
                <w:lang w:eastAsia="zh-CN"/>
              </w:rPr>
              <w:t>91%</w:t>
            </w:r>
          </w:p>
        </w:tc>
        <w:tc>
          <w:tcPr>
            <w:tcW w:w="780" w:type="dxa"/>
            <w:tcBorders>
              <w:top w:val="nil"/>
              <w:left w:val="nil"/>
              <w:bottom w:val="single" w:sz="8" w:space="0" w:color="auto"/>
              <w:right w:val="single" w:sz="4" w:space="0" w:color="auto"/>
            </w:tcBorders>
            <w:shd w:val="clear" w:color="auto" w:fill="auto"/>
            <w:noWrap/>
            <w:vAlign w:val="bottom"/>
            <w:hideMark/>
          </w:tcPr>
          <w:p w:rsidR="0042547C" w:rsidRPr="00624A3A" w:rsidRDefault="0042547C" w:rsidP="00A77ED5">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Calibri"/>
                <w:color w:val="000000"/>
                <w:sz w:val="22"/>
                <w:szCs w:val="22"/>
                <w:lang w:eastAsia="zh-CN"/>
              </w:rPr>
            </w:pPr>
            <w:r w:rsidRPr="00624A3A">
              <w:rPr>
                <w:rFonts w:asciiTheme="minorHAnsi" w:hAnsiTheme="minorHAnsi" w:cs="Calibri"/>
                <w:color w:val="000000"/>
                <w:sz w:val="22"/>
                <w:szCs w:val="22"/>
                <w:lang w:eastAsia="zh-CN"/>
              </w:rPr>
              <w:t>76%</w:t>
            </w:r>
          </w:p>
        </w:tc>
        <w:tc>
          <w:tcPr>
            <w:tcW w:w="780" w:type="dxa"/>
            <w:tcBorders>
              <w:top w:val="nil"/>
              <w:left w:val="nil"/>
              <w:bottom w:val="single" w:sz="8" w:space="0" w:color="auto"/>
              <w:right w:val="single" w:sz="4" w:space="0" w:color="auto"/>
            </w:tcBorders>
            <w:shd w:val="clear" w:color="auto" w:fill="auto"/>
            <w:noWrap/>
            <w:vAlign w:val="bottom"/>
            <w:hideMark/>
          </w:tcPr>
          <w:p w:rsidR="0042547C" w:rsidRPr="00624A3A" w:rsidRDefault="0042547C" w:rsidP="00A77ED5">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Calibri"/>
                <w:color w:val="000000"/>
                <w:sz w:val="22"/>
                <w:szCs w:val="22"/>
                <w:lang w:eastAsia="zh-CN"/>
              </w:rPr>
            </w:pPr>
            <w:r w:rsidRPr="00624A3A">
              <w:rPr>
                <w:rFonts w:asciiTheme="minorHAnsi" w:hAnsiTheme="minorHAnsi" w:cs="Calibri"/>
                <w:color w:val="000000"/>
                <w:sz w:val="22"/>
                <w:szCs w:val="22"/>
                <w:lang w:eastAsia="zh-CN"/>
              </w:rPr>
              <w:t>32%</w:t>
            </w:r>
          </w:p>
        </w:tc>
        <w:tc>
          <w:tcPr>
            <w:tcW w:w="780" w:type="dxa"/>
            <w:tcBorders>
              <w:top w:val="nil"/>
              <w:left w:val="nil"/>
              <w:bottom w:val="single" w:sz="8" w:space="0" w:color="auto"/>
              <w:right w:val="nil"/>
            </w:tcBorders>
            <w:shd w:val="clear" w:color="auto" w:fill="auto"/>
            <w:noWrap/>
            <w:vAlign w:val="bottom"/>
            <w:hideMark/>
          </w:tcPr>
          <w:p w:rsidR="0042547C" w:rsidRPr="00624A3A" w:rsidRDefault="0042547C" w:rsidP="00A77ED5">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Calibri"/>
                <w:color w:val="000000"/>
                <w:sz w:val="22"/>
                <w:szCs w:val="22"/>
                <w:lang w:eastAsia="zh-CN"/>
              </w:rPr>
            </w:pPr>
            <w:r w:rsidRPr="00624A3A">
              <w:rPr>
                <w:rFonts w:asciiTheme="minorHAnsi" w:hAnsiTheme="minorHAnsi" w:cs="Calibri"/>
                <w:color w:val="000000"/>
                <w:sz w:val="22"/>
                <w:szCs w:val="22"/>
                <w:lang w:eastAsia="zh-CN"/>
              </w:rPr>
              <w:t>0%</w:t>
            </w:r>
          </w:p>
        </w:tc>
        <w:tc>
          <w:tcPr>
            <w:tcW w:w="780" w:type="dxa"/>
            <w:tcBorders>
              <w:top w:val="nil"/>
              <w:left w:val="single" w:sz="4" w:space="0" w:color="auto"/>
              <w:bottom w:val="single" w:sz="8" w:space="0" w:color="auto"/>
              <w:right w:val="single" w:sz="8" w:space="0" w:color="auto"/>
            </w:tcBorders>
            <w:shd w:val="clear" w:color="000000" w:fill="AEAAAA"/>
            <w:noWrap/>
            <w:vAlign w:val="bottom"/>
            <w:hideMark/>
          </w:tcPr>
          <w:p w:rsidR="0042547C" w:rsidRPr="00624A3A" w:rsidRDefault="0042547C" w:rsidP="00A77ED5">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Calibri"/>
                <w:b/>
                <w:bCs/>
                <w:sz w:val="22"/>
                <w:szCs w:val="22"/>
                <w:lang w:eastAsia="zh-CN"/>
              </w:rPr>
            </w:pPr>
            <w:r w:rsidRPr="00624A3A">
              <w:rPr>
                <w:rFonts w:asciiTheme="minorHAnsi" w:hAnsiTheme="minorHAnsi" w:cs="Calibri"/>
                <w:b/>
                <w:bCs/>
                <w:sz w:val="22"/>
                <w:szCs w:val="22"/>
                <w:lang w:eastAsia="zh-CN"/>
              </w:rPr>
              <w:t>76%</w:t>
            </w:r>
          </w:p>
        </w:tc>
      </w:tr>
    </w:tbl>
    <w:p w:rsidR="0042547C" w:rsidRPr="00400494" w:rsidRDefault="0042547C" w:rsidP="00713014">
      <w:pPr>
        <w:pStyle w:val="ListParagraph"/>
        <w:tabs>
          <w:tab w:val="clear" w:pos="794"/>
          <w:tab w:val="clear" w:pos="1191"/>
          <w:tab w:val="clear" w:pos="1588"/>
          <w:tab w:val="clear" w:pos="1985"/>
          <w:tab w:val="left" w:pos="426"/>
        </w:tabs>
        <w:adjustRightInd w:val="0"/>
        <w:snapToGrid w:val="0"/>
        <w:spacing w:before="120" w:after="240" w:line="240" w:lineRule="auto"/>
        <w:ind w:left="0"/>
        <w:contextualSpacing w:val="0"/>
        <w:jc w:val="both"/>
        <w:rPr>
          <w:rFonts w:asciiTheme="minorHAnsi" w:hAnsiTheme="minorHAnsi" w:cstheme="minorHAnsi"/>
          <w:sz w:val="20"/>
          <w:szCs w:val="20"/>
          <w:lang w:val="fr-FR"/>
        </w:rPr>
      </w:pPr>
      <w:r>
        <w:rPr>
          <w:rFonts w:asciiTheme="minorHAnsi" w:hAnsiTheme="minorHAnsi" w:cstheme="minorHAnsi"/>
          <w:sz w:val="20"/>
          <w:szCs w:val="20"/>
          <w:lang w:val="fr-FR"/>
        </w:rPr>
        <w:t>(*</w:t>
      </w:r>
      <w:r w:rsidRPr="00400494">
        <w:rPr>
          <w:rFonts w:asciiTheme="minorHAnsi" w:hAnsiTheme="minorHAnsi" w:cstheme="minorHAnsi"/>
          <w:sz w:val="20"/>
          <w:szCs w:val="20"/>
          <w:lang w:val="fr-FR"/>
        </w:rPr>
        <w:t>)</w:t>
      </w:r>
      <w:r w:rsidR="00713014">
        <w:rPr>
          <w:rFonts w:asciiTheme="minorHAnsi" w:hAnsiTheme="minorHAnsi" w:cstheme="minorHAnsi"/>
          <w:sz w:val="20"/>
          <w:szCs w:val="20"/>
          <w:lang w:val="fr-FR"/>
        </w:rPr>
        <w:tab/>
      </w:r>
      <w:r w:rsidR="005979E9">
        <w:rPr>
          <w:rFonts w:asciiTheme="minorHAnsi" w:hAnsiTheme="minorHAnsi" w:cstheme="minorHAnsi"/>
          <w:sz w:val="20"/>
          <w:szCs w:val="20"/>
          <w:lang w:val="fr-FR"/>
        </w:rPr>
        <w:t>J</w:t>
      </w:r>
      <w:r>
        <w:rPr>
          <w:rFonts w:asciiTheme="minorHAnsi" w:hAnsiTheme="minorHAnsi" w:cstheme="minorHAnsi"/>
          <w:sz w:val="20"/>
          <w:szCs w:val="20"/>
          <w:lang w:val="fr-FR"/>
        </w:rPr>
        <w:t>usqu</w:t>
      </w:r>
      <w:r w:rsidR="000F6CBA">
        <w:rPr>
          <w:rFonts w:asciiTheme="minorHAnsi" w:hAnsiTheme="minorHAnsi" w:cstheme="minorHAnsi"/>
          <w:sz w:val="20"/>
          <w:szCs w:val="20"/>
          <w:lang w:val="fr-FR"/>
        </w:rPr>
        <w:t>'</w:t>
      </w:r>
      <w:r>
        <w:rPr>
          <w:rFonts w:asciiTheme="minorHAnsi" w:hAnsiTheme="minorHAnsi" w:cstheme="minorHAnsi"/>
          <w:sz w:val="20"/>
          <w:szCs w:val="20"/>
          <w:lang w:val="fr-FR"/>
        </w:rPr>
        <w:t>à la fin de l</w:t>
      </w:r>
      <w:r w:rsidR="000F6CBA">
        <w:rPr>
          <w:rFonts w:asciiTheme="minorHAnsi" w:hAnsiTheme="minorHAnsi" w:cstheme="minorHAnsi"/>
          <w:sz w:val="20"/>
          <w:szCs w:val="20"/>
          <w:lang w:val="fr-FR"/>
        </w:rPr>
        <w:t>'</w:t>
      </w:r>
      <w:r>
        <w:rPr>
          <w:rFonts w:asciiTheme="minorHAnsi" w:hAnsiTheme="minorHAnsi" w:cstheme="minorHAnsi"/>
          <w:sz w:val="20"/>
          <w:szCs w:val="20"/>
          <w:lang w:val="fr-FR"/>
        </w:rPr>
        <w:t xml:space="preserve">année </w:t>
      </w:r>
      <w:r w:rsidRPr="00400494">
        <w:rPr>
          <w:rFonts w:asciiTheme="minorHAnsi" w:hAnsiTheme="minorHAnsi" w:cstheme="minorHAnsi"/>
          <w:sz w:val="20"/>
          <w:szCs w:val="20"/>
          <w:lang w:val="fr-FR"/>
        </w:rPr>
        <w:t xml:space="preserve">2017- </w:t>
      </w:r>
      <w:r>
        <w:rPr>
          <w:rFonts w:asciiTheme="minorHAnsi" w:hAnsiTheme="minorHAnsi" w:cstheme="minorHAnsi"/>
          <w:sz w:val="20"/>
          <w:szCs w:val="20"/>
          <w:lang w:val="fr-FR"/>
        </w:rPr>
        <w:t>à l</w:t>
      </w:r>
      <w:r w:rsidR="000F6CBA">
        <w:rPr>
          <w:rFonts w:asciiTheme="minorHAnsi" w:hAnsiTheme="minorHAnsi" w:cstheme="minorHAnsi"/>
          <w:sz w:val="20"/>
          <w:szCs w:val="20"/>
          <w:lang w:val="fr-FR"/>
        </w:rPr>
        <w:t>'</w:t>
      </w:r>
      <w:r>
        <w:rPr>
          <w:rFonts w:asciiTheme="minorHAnsi" w:hAnsiTheme="minorHAnsi" w:cstheme="minorHAnsi"/>
          <w:sz w:val="20"/>
          <w:szCs w:val="20"/>
          <w:lang w:val="fr-FR"/>
        </w:rPr>
        <w:t>exclusion des rapports consultatifs</w:t>
      </w:r>
      <w:r w:rsidR="00713014">
        <w:rPr>
          <w:rFonts w:asciiTheme="minorHAnsi" w:hAnsiTheme="minorHAnsi" w:cstheme="minorHAnsi"/>
          <w:sz w:val="20"/>
          <w:szCs w:val="20"/>
          <w:lang w:val="fr-FR"/>
        </w:rPr>
        <w:t>.</w:t>
      </w:r>
    </w:p>
    <w:p w:rsidR="0042547C" w:rsidRPr="00400494" w:rsidRDefault="00FB675B" w:rsidP="00FB675B">
      <w:r>
        <w:t>38</w:t>
      </w:r>
      <w:r>
        <w:tab/>
      </w:r>
      <w:r w:rsidR="0042547C" w:rsidRPr="003E6D23">
        <w:t>Toutes les recommandations essentielles ou d</w:t>
      </w:r>
      <w:r w:rsidR="000F6CBA">
        <w:t>'</w:t>
      </w:r>
      <w:r w:rsidR="0042547C" w:rsidRPr="003E6D23">
        <w:t>une importance majeure datant d</w:t>
      </w:r>
      <w:r w:rsidR="000F6CBA">
        <w:t>'</w:t>
      </w:r>
      <w:r w:rsidR="0042547C" w:rsidRPr="003E6D23">
        <w:t xml:space="preserve">avant 2012 ont été mises en </w:t>
      </w:r>
      <w:r w:rsidR="0036733D">
        <w:t>oe</w:t>
      </w:r>
      <w:r w:rsidR="0042547C" w:rsidRPr="003E6D23">
        <w:t>uvre. Les recommandations datant de 2011 toujours retardées concernent l</w:t>
      </w:r>
      <w:r w:rsidR="000F6CBA">
        <w:t>'</w:t>
      </w:r>
      <w:r w:rsidR="0042547C" w:rsidRPr="003E6D23">
        <w:t>audit interne du coût des publications. La direction a informé régulièrement l</w:t>
      </w:r>
      <w:r w:rsidR="000F6CBA">
        <w:t>'</w:t>
      </w:r>
      <w:r w:rsidR="0042547C" w:rsidRPr="003E6D23">
        <w:t>Unité de l</w:t>
      </w:r>
      <w:r w:rsidR="000F6CBA">
        <w:t>'</w:t>
      </w:r>
      <w:r w:rsidR="0042547C" w:rsidRPr="003E6D23">
        <w:t>audit interne (et le CCIG) des progrès accomplis</w:t>
      </w:r>
      <w:r w:rsidR="0042547C" w:rsidRPr="00400494">
        <w:t xml:space="preserve">. </w:t>
      </w:r>
      <w:r w:rsidR="0042547C">
        <w:t>Certains</w:t>
      </w:r>
      <w:r w:rsidR="0042547C" w:rsidRPr="003E6D23">
        <w:t xml:space="preserve"> rapports d</w:t>
      </w:r>
      <w:r w:rsidR="000F6CBA">
        <w:t>'</w:t>
      </w:r>
      <w:r w:rsidR="0042547C" w:rsidRPr="003E6D23">
        <w:t>audit interne</w:t>
      </w:r>
      <w:r w:rsidR="0042547C">
        <w:t xml:space="preserve"> pour 2017</w:t>
      </w:r>
      <w:r w:rsidR="0042547C" w:rsidRPr="003E6D23">
        <w:t xml:space="preserve"> ont été finalisés pendant le dernier trimestre de l</w:t>
      </w:r>
      <w:r w:rsidR="000F6CBA">
        <w:t>'</w:t>
      </w:r>
      <w:r w:rsidR="0042547C" w:rsidRPr="003E6D23">
        <w:t xml:space="preserve">année et il sera </w:t>
      </w:r>
      <w:r w:rsidR="0042547C">
        <w:t>donc difficile qu</w:t>
      </w:r>
      <w:r w:rsidR="000F6CBA">
        <w:t>'</w:t>
      </w:r>
      <w:r w:rsidR="0042547C">
        <w:t xml:space="preserve">un grand nombre des recommandations soient déjà mises en </w:t>
      </w:r>
      <w:r w:rsidR="0036733D">
        <w:t>oe</w:t>
      </w:r>
      <w:r w:rsidR="0042547C">
        <w:t xml:space="preserve">uvre début </w:t>
      </w:r>
      <w:r w:rsidR="0042547C" w:rsidRPr="00400494">
        <w:t xml:space="preserve">2018. </w:t>
      </w:r>
    </w:p>
    <w:p w:rsidR="005E5EF7" w:rsidRDefault="005E5EF7">
      <w:pPr>
        <w:tabs>
          <w:tab w:val="clear" w:pos="567"/>
          <w:tab w:val="clear" w:pos="1134"/>
          <w:tab w:val="clear" w:pos="1701"/>
          <w:tab w:val="clear" w:pos="2268"/>
          <w:tab w:val="clear" w:pos="2835"/>
        </w:tabs>
        <w:overflowPunct/>
        <w:autoSpaceDE/>
        <w:autoSpaceDN/>
        <w:adjustRightInd/>
        <w:spacing w:before="0"/>
        <w:textAlignment w:val="auto"/>
        <w:rPr>
          <w:b/>
        </w:rPr>
      </w:pPr>
      <w:r>
        <w:br w:type="page"/>
      </w:r>
    </w:p>
    <w:p w:rsidR="0042547C" w:rsidRPr="00400494" w:rsidRDefault="0042547C" w:rsidP="00FB675B">
      <w:pPr>
        <w:pStyle w:val="Headingb"/>
      </w:pPr>
      <w:r>
        <w:lastRenderedPageBreak/>
        <w:t>Questions relatives à la méthodologie d</w:t>
      </w:r>
      <w:r w:rsidR="000F6CBA">
        <w:t>'</w:t>
      </w:r>
      <w:r w:rsidR="00713014">
        <w:t>audit</w:t>
      </w:r>
    </w:p>
    <w:p w:rsidR="00571EEA" w:rsidRDefault="00AB1F4F" w:rsidP="00FB675B">
      <w:r>
        <w:t>39</w:t>
      </w:r>
      <w:r>
        <w:tab/>
      </w:r>
      <w:r w:rsidR="0042547C" w:rsidRPr="003E6D23">
        <w:t>Dès 2013, l</w:t>
      </w:r>
      <w:r w:rsidR="000F6CBA">
        <w:t>'</w:t>
      </w:r>
      <w:r w:rsidR="0042547C" w:rsidRPr="003E6D23">
        <w:t>Unité de l</w:t>
      </w:r>
      <w:r w:rsidR="000F6CBA">
        <w:t>'</w:t>
      </w:r>
      <w:r w:rsidR="0042547C" w:rsidRPr="003E6D23">
        <w:t xml:space="preserve">audit interne a commencé à utiliser des </w:t>
      </w:r>
      <w:r w:rsidR="0042547C" w:rsidRPr="003E6D23">
        <w:rPr>
          <w:i/>
          <w:iCs/>
        </w:rPr>
        <w:t>questionnaires d</w:t>
      </w:r>
      <w:r w:rsidR="000F6CBA">
        <w:rPr>
          <w:i/>
          <w:iCs/>
        </w:rPr>
        <w:t>'</w:t>
      </w:r>
      <w:r w:rsidR="0042547C" w:rsidRPr="003E6D23">
        <w:rPr>
          <w:i/>
          <w:iCs/>
        </w:rPr>
        <w:t>évaluation de l</w:t>
      </w:r>
      <w:r w:rsidR="000F6CBA">
        <w:rPr>
          <w:i/>
          <w:iCs/>
        </w:rPr>
        <w:t>'</w:t>
      </w:r>
      <w:r w:rsidR="0042547C" w:rsidRPr="003E6D23">
        <w:rPr>
          <w:i/>
          <w:iCs/>
        </w:rPr>
        <w:t>efficacité des audits</w:t>
      </w:r>
      <w:r w:rsidR="0042547C" w:rsidRPr="003E6D23">
        <w:t xml:space="preserve"> qui ont été envoyés au superviseur des processus et des entités faisant l</w:t>
      </w:r>
      <w:r w:rsidR="000F6CBA">
        <w:t>'</w:t>
      </w:r>
      <w:r w:rsidR="0042547C" w:rsidRPr="003E6D23">
        <w:t>objet d</w:t>
      </w:r>
      <w:r w:rsidR="000F6CBA">
        <w:t>'</w:t>
      </w:r>
      <w:r w:rsidR="0042547C" w:rsidRPr="003E6D23">
        <w:t>un audit, afin d</w:t>
      </w:r>
      <w:r w:rsidR="000F6CBA">
        <w:t>'</w:t>
      </w:r>
      <w:r w:rsidR="0042547C" w:rsidRPr="003E6D23">
        <w:t>évaluer l</w:t>
      </w:r>
      <w:r w:rsidR="000F6CBA">
        <w:t>'</w:t>
      </w:r>
      <w:r w:rsidR="0042547C" w:rsidRPr="003E6D23">
        <w:t>efficacité des travaux d</w:t>
      </w:r>
      <w:r w:rsidR="000F6CBA">
        <w:t>'</w:t>
      </w:r>
      <w:r w:rsidR="0042547C" w:rsidRPr="003E6D23">
        <w:t>audit et de repérer les possibilités d</w:t>
      </w:r>
      <w:r w:rsidR="000F6CBA">
        <w:t>'</w:t>
      </w:r>
      <w:r w:rsidR="0042547C" w:rsidRPr="003E6D23">
        <w:t>amélioration. Cette pratique s</w:t>
      </w:r>
      <w:r w:rsidR="000F6CBA">
        <w:t>'</w:t>
      </w:r>
      <w:r w:rsidR="0042547C" w:rsidRPr="003E6D23">
        <w:t xml:space="preserve">est poursuivie pendant la période considérée dans le présent document. Sur la base des </w:t>
      </w:r>
      <w:r w:rsidR="0042547C">
        <w:t>cinq</w:t>
      </w:r>
      <w:r w:rsidR="0042547C" w:rsidRPr="003E6D23">
        <w:t xml:space="preserve"> questionnaires retournés à l</w:t>
      </w:r>
      <w:r w:rsidR="000F6CBA">
        <w:t>'</w:t>
      </w:r>
      <w:r w:rsidR="0042547C">
        <w:t>Unité de l</w:t>
      </w:r>
      <w:r w:rsidR="000F6CBA">
        <w:t>'</w:t>
      </w:r>
      <w:r w:rsidR="0042547C">
        <w:t>audit interne en 2017</w:t>
      </w:r>
      <w:r w:rsidR="0042547C" w:rsidRPr="003E6D23">
        <w:t>, les évaluations ont été très positives (note moyenne de 4 sur une échelle de 1 à 5)</w:t>
      </w:r>
      <w:r w:rsidR="0042547C" w:rsidRPr="00400494">
        <w:t>.</w:t>
      </w:r>
    </w:p>
    <w:p w:rsidR="005E5EF7" w:rsidRDefault="005E5EF7" w:rsidP="005E5EF7"/>
    <w:p w:rsidR="00FB675B" w:rsidRDefault="00FB675B" w:rsidP="00FB675B">
      <w:pPr>
        <w:jc w:val="center"/>
      </w:pPr>
      <w:r>
        <w:t>______________</w:t>
      </w:r>
    </w:p>
    <w:sectPr w:rsidR="00FB675B" w:rsidSect="005C3890">
      <w:headerReference w:type="even" r:id="rId9"/>
      <w:headerReference w:type="default" r:id="rId10"/>
      <w:footerReference w:type="even" r:id="rId11"/>
      <w:footerReference w:type="default" r:id="rId12"/>
      <w:footerReference w:type="first" r:id="rId13"/>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077A" w:rsidRDefault="00EC077A">
      <w:r>
        <w:separator/>
      </w:r>
    </w:p>
  </w:endnote>
  <w:endnote w:type="continuationSeparator" w:id="0">
    <w:p w:rsidR="00EC077A" w:rsidRDefault="00EC0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3E70AC">
    <w:pPr>
      <w:pStyle w:val="Footer"/>
    </w:pPr>
    <w:fldSimple w:instr=" FILENAME \p \* MERGEFORMAT ">
      <w:r w:rsidR="00AB1F4F">
        <w:t>P:\FRA\SG\CONSEIL\C18\000\044F.docx</w:t>
      </w:r>
    </w:fldSimple>
    <w:r w:rsidR="00732045">
      <w:tab/>
    </w:r>
    <w:r w:rsidR="002F1B76">
      <w:fldChar w:fldCharType="begin"/>
    </w:r>
    <w:r w:rsidR="00732045">
      <w:instrText xml:space="preserve"> savedate \@ dd.MM.yy </w:instrText>
    </w:r>
    <w:r w:rsidR="002F1B76">
      <w:fldChar w:fldCharType="separate"/>
    </w:r>
    <w:r w:rsidR="006B056B">
      <w:t>06.04.18</w:t>
    </w:r>
    <w:r w:rsidR="002F1B76">
      <w:fldChar w:fldCharType="end"/>
    </w:r>
    <w:r w:rsidR="00732045">
      <w:tab/>
    </w:r>
    <w:r w:rsidR="002F1B76">
      <w:fldChar w:fldCharType="begin"/>
    </w:r>
    <w:r w:rsidR="00732045">
      <w:instrText xml:space="preserve"> printdate \@ dd.MM.yy </w:instrText>
    </w:r>
    <w:r w:rsidR="002F1B76">
      <w:fldChar w:fldCharType="separate"/>
    </w:r>
    <w:r w:rsidR="00AB1F4F">
      <w:t>04.04.18</w:t>
    </w:r>
    <w:r w:rsidR="002F1B76">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3E70AC" w:rsidP="000F6CBA">
    <w:pPr>
      <w:pStyle w:val="Footer"/>
    </w:pPr>
    <w:fldSimple w:instr=" FILENAME \p  \* MERGEFORMAT ">
      <w:r w:rsidR="00AB1F4F">
        <w:t>P:\FRA\SG\CONSEIL\C18\000\044F.docx</w:t>
      </w:r>
    </w:fldSimple>
    <w:r w:rsidR="000F6CBA">
      <w:t xml:space="preserve"> (429726)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732045">
    <w:pPr>
      <w:spacing w:after="120"/>
      <w:jc w:val="center"/>
    </w:pPr>
    <w:r>
      <w:t xml:space="preserve">• </w:t>
    </w:r>
    <w:hyperlink r:id="rId1" w:history="1">
      <w:r>
        <w:rPr>
          <w:rStyle w:val="Hyperlink"/>
        </w:rPr>
        <w:t>http://www.itu.int/council</w:t>
      </w:r>
    </w:hyperlink>
    <w:r>
      <w:t xml:space="preserve"> •</w:t>
    </w:r>
  </w:p>
  <w:p w:rsidR="00732045" w:rsidRDefault="007320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077A" w:rsidRDefault="00EC077A">
      <w:r>
        <w:t>____________________</w:t>
      </w:r>
    </w:p>
  </w:footnote>
  <w:footnote w:type="continuationSeparator" w:id="0">
    <w:p w:rsidR="00EC077A" w:rsidRDefault="00EC077A">
      <w:r>
        <w:continuationSeparator/>
      </w:r>
    </w:p>
  </w:footnote>
  <w:footnote w:id="1">
    <w:p w:rsidR="0042547C" w:rsidRPr="009D6F3E" w:rsidRDefault="0042547C" w:rsidP="005E5EF7">
      <w:pPr>
        <w:pStyle w:val="FootnoteText"/>
        <w:spacing w:before="40"/>
        <w:ind w:left="255" w:hanging="255"/>
        <w:rPr>
          <w:lang w:val="fr-CH"/>
        </w:rPr>
      </w:pPr>
      <w:r>
        <w:rPr>
          <w:rStyle w:val="FootnoteReference"/>
        </w:rPr>
        <w:footnoteRef/>
      </w:r>
      <w:r w:rsidRPr="009D6F3E">
        <w:rPr>
          <w:lang w:val="fr-CH"/>
        </w:rPr>
        <w:t xml:space="preserve"> </w:t>
      </w:r>
      <w:r w:rsidRPr="009D6F3E">
        <w:rPr>
          <w:lang w:val="fr-CH"/>
        </w:rPr>
        <w:tab/>
      </w:r>
      <w:r w:rsidRPr="00B16C79">
        <w:rPr>
          <w:szCs w:val="24"/>
          <w:lang w:val="fr-CH"/>
        </w:rPr>
        <w:t>Ordre de service 13/09, promulgué par le Secrétaire général le 27 juin 2013</w:t>
      </w:r>
      <w:r w:rsidR="0036733D">
        <w:rPr>
          <w:szCs w:val="24"/>
          <w:lang w:val="fr-CH"/>
        </w:rPr>
        <w:t>.</w:t>
      </w:r>
    </w:p>
  </w:footnote>
  <w:footnote w:id="2">
    <w:p w:rsidR="0042547C" w:rsidRPr="00F4407E" w:rsidRDefault="0042547C" w:rsidP="005E5EF7">
      <w:pPr>
        <w:pStyle w:val="FootnoteText"/>
        <w:spacing w:before="40"/>
        <w:ind w:left="255" w:hanging="255"/>
        <w:rPr>
          <w:lang w:val="fr-CH"/>
        </w:rPr>
      </w:pPr>
      <w:r>
        <w:rPr>
          <w:rStyle w:val="FootnoteReference"/>
        </w:rPr>
        <w:footnoteRef/>
      </w:r>
      <w:r w:rsidRPr="009D6F3E">
        <w:rPr>
          <w:lang w:val="fr-CH"/>
        </w:rPr>
        <w:t xml:space="preserve"> </w:t>
      </w:r>
      <w:r>
        <w:rPr>
          <w:lang w:val="fr-CH"/>
        </w:rPr>
        <w:tab/>
      </w:r>
      <w:r w:rsidRPr="00B16C79">
        <w:rPr>
          <w:szCs w:val="24"/>
          <w:lang w:val="fr-CH"/>
        </w:rPr>
        <w:t xml:space="preserve">Institut des auditeurs internes, </w:t>
      </w:r>
      <w:hyperlink r:id="rId1" w:history="1">
        <w:r w:rsidRPr="00713014">
          <w:rPr>
            <w:rStyle w:val="Hyperlink"/>
          </w:rPr>
          <w:t>www.theiia.org</w:t>
        </w:r>
      </w:hyperlink>
      <w:r w:rsidR="0036733D">
        <w:rPr>
          <w:szCs w:val="24"/>
        </w:rPr>
        <w:t>.</w:t>
      </w:r>
    </w:p>
  </w:footnote>
  <w:footnote w:id="3">
    <w:p w:rsidR="0042547C" w:rsidRPr="009D6F3E" w:rsidRDefault="0042547C" w:rsidP="005E5EF7">
      <w:pPr>
        <w:pStyle w:val="FootnoteText"/>
        <w:spacing w:before="40"/>
        <w:ind w:left="255" w:hanging="255"/>
        <w:rPr>
          <w:lang w:val="fr-CH"/>
        </w:rPr>
      </w:pPr>
      <w:r>
        <w:rPr>
          <w:rStyle w:val="FootnoteReference"/>
        </w:rPr>
        <w:footnoteRef/>
      </w:r>
      <w:r w:rsidRPr="009D6F3E">
        <w:rPr>
          <w:lang w:val="fr-CH"/>
        </w:rPr>
        <w:t xml:space="preserve"> </w:t>
      </w:r>
      <w:r w:rsidRPr="009D6F3E">
        <w:rPr>
          <w:lang w:val="fr-CH"/>
        </w:rPr>
        <w:tab/>
      </w:r>
      <w:r w:rsidRPr="00411349">
        <w:rPr>
          <w:lang w:val="fr-CH"/>
        </w:rPr>
        <w:t>Ordre de service 13/09, promulgué par le Secrétaire général le 27 juin 2013</w:t>
      </w:r>
      <w:r w:rsidR="006B068A">
        <w:rPr>
          <w:lang w:val="fr-CH"/>
        </w:rPr>
        <w:t>.</w:t>
      </w:r>
    </w:p>
  </w:footnote>
  <w:footnote w:id="4">
    <w:p w:rsidR="006B068A" w:rsidRPr="006B068A" w:rsidRDefault="006B068A">
      <w:pPr>
        <w:pStyle w:val="FootnoteText"/>
        <w:rPr>
          <w:lang w:val="fr-CH"/>
        </w:rPr>
      </w:pPr>
      <w:r w:rsidRPr="006B068A">
        <w:rPr>
          <w:rStyle w:val="FootnoteReference"/>
        </w:rPr>
        <w:footnoteRef/>
      </w:r>
      <w:r>
        <w:rPr>
          <w:lang w:val="fr-CH"/>
        </w:rPr>
        <w:tab/>
      </w:r>
      <w:r w:rsidRPr="006B068A">
        <w:t>Ceci a été inclus dans le plan d'audit interne 2018.</w:t>
      </w:r>
    </w:p>
  </w:footnote>
  <w:footnote w:id="5">
    <w:p w:rsidR="0042547C" w:rsidRPr="00713014" w:rsidRDefault="0042547C" w:rsidP="0042547C">
      <w:pPr>
        <w:pStyle w:val="FootnoteText"/>
        <w:spacing w:before="40"/>
        <w:rPr>
          <w:szCs w:val="24"/>
          <w:lang w:val="fr-CH"/>
        </w:rPr>
      </w:pPr>
      <w:r w:rsidRPr="002869AC">
        <w:rPr>
          <w:rStyle w:val="FootnoteReference"/>
          <w:sz w:val="18"/>
          <w:szCs w:val="18"/>
        </w:rPr>
        <w:footnoteRef/>
      </w:r>
      <w:r>
        <w:rPr>
          <w:lang w:val="fr-CH"/>
        </w:rPr>
        <w:tab/>
      </w:r>
      <w:r w:rsidRPr="00713014">
        <w:rPr>
          <w:szCs w:val="24"/>
          <w:lang w:val="fr-CH"/>
        </w:rPr>
        <w:t xml:space="preserve">Institut des auditeurs internes </w:t>
      </w:r>
      <w:hyperlink r:id="rId2" w:history="1">
        <w:r w:rsidRPr="00713014">
          <w:rPr>
            <w:rStyle w:val="Hyperlink"/>
            <w:szCs w:val="24"/>
            <w:lang w:val="fr-CH"/>
          </w:rPr>
          <w:t>www.theiia.org</w:t>
        </w:r>
      </w:hyperlink>
      <w:r w:rsidRPr="00713014">
        <w:rPr>
          <w:rStyle w:val="Hyperlink"/>
          <w:color w:val="auto"/>
          <w:szCs w:val="24"/>
          <w:u w:val="none"/>
          <w:lang w:val="fr-CH"/>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rsidR="00732045" w:rsidRDefault="00732045">
    <w:pPr>
      <w:pStyle w:val="Header"/>
    </w:pPr>
    <w:r>
      <w:t>C2001/#-F</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C27A7C" w:rsidP="00475FB3">
    <w:pPr>
      <w:pStyle w:val="Header"/>
    </w:pPr>
    <w:r>
      <w:fldChar w:fldCharType="begin"/>
    </w:r>
    <w:r>
      <w:instrText>PAGE</w:instrText>
    </w:r>
    <w:r>
      <w:fldChar w:fldCharType="separate"/>
    </w:r>
    <w:r w:rsidR="006B056B">
      <w:rPr>
        <w:noProof/>
      </w:rPr>
      <w:t>2</w:t>
    </w:r>
    <w:r>
      <w:rPr>
        <w:noProof/>
      </w:rPr>
      <w:fldChar w:fldCharType="end"/>
    </w:r>
  </w:p>
  <w:p w:rsidR="00732045" w:rsidRDefault="00732045" w:rsidP="00411349">
    <w:pPr>
      <w:pStyle w:val="Header"/>
    </w:pPr>
    <w:r>
      <w:t>C1</w:t>
    </w:r>
    <w:r w:rsidR="003C3FAE">
      <w:t>8</w:t>
    </w:r>
    <w:r>
      <w:t>/</w:t>
    </w:r>
    <w:r w:rsidR="00411349">
      <w:t>44</w:t>
    </w:r>
    <w:r>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37BDF"/>
    <w:multiLevelType w:val="hybridMultilevel"/>
    <w:tmpl w:val="B56EB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C40023"/>
    <w:multiLevelType w:val="hybridMultilevel"/>
    <w:tmpl w:val="BAD65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B33C9D"/>
    <w:multiLevelType w:val="hybridMultilevel"/>
    <w:tmpl w:val="4B800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3013D0"/>
    <w:multiLevelType w:val="hybridMultilevel"/>
    <w:tmpl w:val="82A6C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EE592F"/>
    <w:multiLevelType w:val="hybridMultilevel"/>
    <w:tmpl w:val="A46AF6FC"/>
    <w:lvl w:ilvl="0" w:tplc="C902F800">
      <w:start w:val="1"/>
      <w:numFmt w:val="upperLetter"/>
      <w:lvlText w:val="%1."/>
      <w:lvlJc w:val="left"/>
      <w:pPr>
        <w:ind w:left="360" w:hanging="360"/>
      </w:pPr>
      <w:rPr>
        <w:rFonts w:hint="default"/>
        <w:b/>
        <w:bCs/>
        <w:i/>
        <w:i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9330EEC"/>
    <w:multiLevelType w:val="hybridMultilevel"/>
    <w:tmpl w:val="A46AF6FC"/>
    <w:lvl w:ilvl="0" w:tplc="C902F800">
      <w:start w:val="1"/>
      <w:numFmt w:val="upperLetter"/>
      <w:lvlText w:val="%1."/>
      <w:lvlJc w:val="left"/>
      <w:pPr>
        <w:ind w:left="720" w:hanging="360"/>
      </w:pPr>
      <w:rPr>
        <w:rFonts w:hint="default"/>
        <w:b/>
        <w:bCs/>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4D548A"/>
    <w:multiLevelType w:val="hybridMultilevel"/>
    <w:tmpl w:val="A46AF6FC"/>
    <w:lvl w:ilvl="0" w:tplc="C902F800">
      <w:start w:val="1"/>
      <w:numFmt w:val="upperLetter"/>
      <w:lvlText w:val="%1."/>
      <w:lvlJc w:val="left"/>
      <w:pPr>
        <w:ind w:left="720" w:hanging="360"/>
      </w:pPr>
      <w:rPr>
        <w:rFonts w:hint="default"/>
        <w:b/>
        <w:bCs/>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2D2F8D"/>
    <w:multiLevelType w:val="hybridMultilevel"/>
    <w:tmpl w:val="36CA4186"/>
    <w:lvl w:ilvl="0" w:tplc="998E8BA8">
      <w:start w:val="4"/>
      <w:numFmt w:val="decimal"/>
      <w:lvlText w:val="%1"/>
      <w:lvlJc w:val="left"/>
      <w:pPr>
        <w:ind w:left="360" w:hanging="360"/>
      </w:pPr>
      <w:rPr>
        <w:rFonts w:ascii="Calibri" w:hAnsi="Calibri" w:cs="Times New Roman" w:hint="default"/>
        <w:b w:val="0"/>
        <w:sz w:val="28"/>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8" w15:restartNumberingAfterBreak="0">
    <w:nsid w:val="468C314B"/>
    <w:multiLevelType w:val="hybridMultilevel"/>
    <w:tmpl w:val="A27E4584"/>
    <w:lvl w:ilvl="0" w:tplc="6A92C332">
      <w:start w:val="1"/>
      <w:numFmt w:val="decimal"/>
      <w:lvlText w:val="%1."/>
      <w:lvlJc w:val="left"/>
      <w:pPr>
        <w:ind w:left="502" w:hanging="360"/>
      </w:pPr>
      <w:rPr>
        <w:rFonts w:asciiTheme="minorHAnsi" w:hAnsiTheme="minorHAnsi" w:hint="default"/>
        <w:b w:val="0"/>
        <w:bCs w:val="0"/>
        <w:i w:val="0"/>
        <w:iCs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3B2399D"/>
    <w:multiLevelType w:val="hybridMultilevel"/>
    <w:tmpl w:val="1BAE5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88C6A02"/>
    <w:multiLevelType w:val="hybridMultilevel"/>
    <w:tmpl w:val="554A7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10"/>
  </w:num>
  <w:num w:numId="4">
    <w:abstractNumId w:val="3"/>
  </w:num>
  <w:num w:numId="5">
    <w:abstractNumId w:val="9"/>
  </w:num>
  <w:num w:numId="6">
    <w:abstractNumId w:val="2"/>
  </w:num>
  <w:num w:numId="7">
    <w:abstractNumId w:val="5"/>
  </w:num>
  <w:num w:numId="8">
    <w:abstractNumId w:val="0"/>
  </w:num>
  <w:num w:numId="9">
    <w:abstractNumId w:val="1"/>
  </w:num>
  <w:num w:numId="10">
    <w:abstractNumId w:val="7"/>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77A"/>
    <w:rsid w:val="000224E0"/>
    <w:rsid w:val="0002444E"/>
    <w:rsid w:val="000D0D0A"/>
    <w:rsid w:val="000F6CBA"/>
    <w:rsid w:val="00103163"/>
    <w:rsid w:val="00115D93"/>
    <w:rsid w:val="001247A8"/>
    <w:rsid w:val="001378C0"/>
    <w:rsid w:val="0018694A"/>
    <w:rsid w:val="001A3287"/>
    <w:rsid w:val="001A63BD"/>
    <w:rsid w:val="001A6508"/>
    <w:rsid w:val="001B1EA3"/>
    <w:rsid w:val="001D4C31"/>
    <w:rsid w:val="001E4D21"/>
    <w:rsid w:val="00207CD1"/>
    <w:rsid w:val="002477A2"/>
    <w:rsid w:val="00263A51"/>
    <w:rsid w:val="00267E02"/>
    <w:rsid w:val="002A5D44"/>
    <w:rsid w:val="002E0BC4"/>
    <w:rsid w:val="002F1B76"/>
    <w:rsid w:val="00321E24"/>
    <w:rsid w:val="0033568E"/>
    <w:rsid w:val="00355FF5"/>
    <w:rsid w:val="00361350"/>
    <w:rsid w:val="0036733D"/>
    <w:rsid w:val="003A79D5"/>
    <w:rsid w:val="003C3FAE"/>
    <w:rsid w:val="003E5174"/>
    <w:rsid w:val="003E70AC"/>
    <w:rsid w:val="004038CB"/>
    <w:rsid w:val="00403C75"/>
    <w:rsid w:val="0040546F"/>
    <w:rsid w:val="00411349"/>
    <w:rsid w:val="0042404A"/>
    <w:rsid w:val="0042547C"/>
    <w:rsid w:val="0044618F"/>
    <w:rsid w:val="0046769A"/>
    <w:rsid w:val="00475FB3"/>
    <w:rsid w:val="004C37A9"/>
    <w:rsid w:val="004F259E"/>
    <w:rsid w:val="00511F1D"/>
    <w:rsid w:val="00520F36"/>
    <w:rsid w:val="00540615"/>
    <w:rsid w:val="00540A6D"/>
    <w:rsid w:val="00571EEA"/>
    <w:rsid w:val="00575417"/>
    <w:rsid w:val="005768E1"/>
    <w:rsid w:val="005979E9"/>
    <w:rsid w:val="005B029E"/>
    <w:rsid w:val="005B1938"/>
    <w:rsid w:val="005C1CAA"/>
    <w:rsid w:val="005C3890"/>
    <w:rsid w:val="005E296E"/>
    <w:rsid w:val="005E5EF7"/>
    <w:rsid w:val="005F7BFE"/>
    <w:rsid w:val="00600017"/>
    <w:rsid w:val="006235CA"/>
    <w:rsid w:val="00624A3A"/>
    <w:rsid w:val="006374BA"/>
    <w:rsid w:val="006643AB"/>
    <w:rsid w:val="006B056B"/>
    <w:rsid w:val="006B068A"/>
    <w:rsid w:val="00713014"/>
    <w:rsid w:val="007210CD"/>
    <w:rsid w:val="00732045"/>
    <w:rsid w:val="007369DB"/>
    <w:rsid w:val="007956C2"/>
    <w:rsid w:val="007A187E"/>
    <w:rsid w:val="007C72C2"/>
    <w:rsid w:val="007D4436"/>
    <w:rsid w:val="007F257A"/>
    <w:rsid w:val="007F3665"/>
    <w:rsid w:val="00800037"/>
    <w:rsid w:val="00801747"/>
    <w:rsid w:val="00861D73"/>
    <w:rsid w:val="008A4E87"/>
    <w:rsid w:val="008D3E62"/>
    <w:rsid w:val="008D76E6"/>
    <w:rsid w:val="0092392D"/>
    <w:rsid w:val="00926A45"/>
    <w:rsid w:val="0093234A"/>
    <w:rsid w:val="0093289D"/>
    <w:rsid w:val="009B0CFB"/>
    <w:rsid w:val="009C307F"/>
    <w:rsid w:val="009E74F2"/>
    <w:rsid w:val="00A2113E"/>
    <w:rsid w:val="00A23A51"/>
    <w:rsid w:val="00A24607"/>
    <w:rsid w:val="00A25CD3"/>
    <w:rsid w:val="00A82767"/>
    <w:rsid w:val="00AA332F"/>
    <w:rsid w:val="00AA7BBB"/>
    <w:rsid w:val="00AB1F4F"/>
    <w:rsid w:val="00AB64A8"/>
    <w:rsid w:val="00AC0266"/>
    <w:rsid w:val="00AC4F6B"/>
    <w:rsid w:val="00AD24EC"/>
    <w:rsid w:val="00AD6CDF"/>
    <w:rsid w:val="00B16C79"/>
    <w:rsid w:val="00B309F9"/>
    <w:rsid w:val="00B32B60"/>
    <w:rsid w:val="00B61619"/>
    <w:rsid w:val="00BB4545"/>
    <w:rsid w:val="00BD5873"/>
    <w:rsid w:val="00C01196"/>
    <w:rsid w:val="00C04BE3"/>
    <w:rsid w:val="00C25D29"/>
    <w:rsid w:val="00C27A7C"/>
    <w:rsid w:val="00C7607A"/>
    <w:rsid w:val="00CA08ED"/>
    <w:rsid w:val="00CF183B"/>
    <w:rsid w:val="00D375CD"/>
    <w:rsid w:val="00D553A2"/>
    <w:rsid w:val="00D774D3"/>
    <w:rsid w:val="00D904E8"/>
    <w:rsid w:val="00DA08C3"/>
    <w:rsid w:val="00DB5A3E"/>
    <w:rsid w:val="00DC22AA"/>
    <w:rsid w:val="00DF74DD"/>
    <w:rsid w:val="00E25AD0"/>
    <w:rsid w:val="00E7259B"/>
    <w:rsid w:val="00E77F69"/>
    <w:rsid w:val="00EB6350"/>
    <w:rsid w:val="00EC077A"/>
    <w:rsid w:val="00F15B57"/>
    <w:rsid w:val="00F427DB"/>
    <w:rsid w:val="00FA5EB1"/>
    <w:rsid w:val="00FA7439"/>
    <w:rsid w:val="00FB675B"/>
    <w:rsid w:val="00FC4EC0"/>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2AA8D733-99CD-4AA8-99E7-09BD90014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link w:val="Heading1Char"/>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Appel note de bas de p,Footnote Reference/"/>
    <w:basedOn w:val="DefaultParagraphFont"/>
    <w:uiPriority w:val="99"/>
    <w:rsid w:val="00732045"/>
    <w:rPr>
      <w:rFonts w:ascii="Calibri" w:hAnsi="Calibri"/>
      <w:position w:val="6"/>
      <w:sz w:val="16"/>
    </w:rPr>
  </w:style>
  <w:style w:type="paragraph" w:styleId="FootnoteText">
    <w:name w:val="footnote text"/>
    <w:basedOn w:val="Normal"/>
    <w:link w:val="FootnoteTextChar"/>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5C3890"/>
    <w:pPr>
      <w:keepNext/>
      <w:keepLines/>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paragraph" w:styleId="ListParagraph">
    <w:name w:val="List Paragraph"/>
    <w:basedOn w:val="Normal"/>
    <w:uiPriority w:val="34"/>
    <w:qFormat/>
    <w:rsid w:val="0042547C"/>
    <w:pPr>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0" w:after="200" w:line="276" w:lineRule="auto"/>
      <w:ind w:left="720"/>
      <w:contextualSpacing/>
      <w:textAlignment w:val="auto"/>
    </w:pPr>
    <w:rPr>
      <w:rFonts w:ascii="Times New Roman" w:eastAsiaTheme="minorEastAsia" w:hAnsi="Times New Roman" w:cstheme="minorBidi"/>
      <w:sz w:val="22"/>
      <w:szCs w:val="22"/>
      <w:lang w:val="fr-CH" w:eastAsia="zh-CN"/>
    </w:rPr>
  </w:style>
  <w:style w:type="character" w:customStyle="1" w:styleId="Heading1Char">
    <w:name w:val="Heading 1 Char"/>
    <w:link w:val="Heading1"/>
    <w:rsid w:val="0042547C"/>
    <w:rPr>
      <w:rFonts w:ascii="Calibri" w:hAnsi="Calibri"/>
      <w:b/>
      <w:sz w:val="28"/>
      <w:lang w:val="fr-FR" w:eastAsia="en-US"/>
    </w:rPr>
  </w:style>
  <w:style w:type="character" w:customStyle="1" w:styleId="FootnoteTextChar">
    <w:name w:val="Footnote Text Char"/>
    <w:link w:val="FootnoteText"/>
    <w:rsid w:val="0042547C"/>
    <w:rPr>
      <w:rFonts w:ascii="Calibri" w:hAnsi="Calibri"/>
      <w:sz w:val="24"/>
      <w:lang w:val="fr-FR" w:eastAsia="en-US"/>
    </w:rPr>
  </w:style>
  <w:style w:type="paragraph" w:customStyle="1" w:styleId="Default">
    <w:name w:val="Default"/>
    <w:rsid w:val="0042547C"/>
    <w:pPr>
      <w:autoSpaceDE w:val="0"/>
      <w:autoSpaceDN w:val="0"/>
      <w:adjustRightInd w:val="0"/>
    </w:pPr>
    <w:rPr>
      <w:rFonts w:ascii="Calibri" w:hAnsi="Calibri" w:cs="Calibri"/>
      <w:color w:val="000000"/>
      <w:sz w:val="24"/>
      <w:szCs w:val="24"/>
    </w:rPr>
  </w:style>
  <w:style w:type="character" w:customStyle="1" w:styleId="apple-converted-space">
    <w:name w:val="apple-converted-space"/>
    <w:basedOn w:val="DefaultParagraphFont"/>
    <w:rsid w:val="004254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theiia.org" TargetMode="External"/><Relationship Id="rId1" Type="http://schemas.openxmlformats.org/officeDocument/2006/relationships/hyperlink" Target="http://www.theiia.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urand\AppData\Roaming\Microsoft\Templates\POOL%20F%20-%20ITU\PF_C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4BCB3E-29BF-4EB2-A526-69FF2BB5F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PF_C18.dotx</Template>
  <TotalTime>0</TotalTime>
  <Pages>11</Pages>
  <Words>5072</Words>
  <Characters>28134</Characters>
  <Application>Microsoft Office Word</Application>
  <DocSecurity>4</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33140</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 de l'auditeur interne sur les activités d'audit interne</dc:title>
  <dc:subject>Conseil 2018</dc:subject>
  <dc:creator>Brouard, Ricarda</dc:creator>
  <cp:keywords>C2018, C18</cp:keywords>
  <dc:description/>
  <cp:lastModifiedBy>Brouard, Ricarda</cp:lastModifiedBy>
  <cp:revision>2</cp:revision>
  <cp:lastPrinted>2018-04-04T13:35:00Z</cp:lastPrinted>
  <dcterms:created xsi:type="dcterms:W3CDTF">2018-04-06T08:13:00Z</dcterms:created>
  <dcterms:modified xsi:type="dcterms:W3CDTF">2018-04-06T08:13:00Z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