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3E36A2">
        <w:trPr>
          <w:cantSplit/>
        </w:trPr>
        <w:tc>
          <w:tcPr>
            <w:tcW w:w="6912" w:type="dxa"/>
          </w:tcPr>
          <w:p w:rsidR="00520F36" w:rsidRPr="003E36A2" w:rsidRDefault="00520F36" w:rsidP="002A3EF0">
            <w:pPr>
              <w:spacing w:before="360"/>
              <w:rPr>
                <w:lang w:val="fr-CH"/>
              </w:rPr>
            </w:pPr>
            <w:bookmarkStart w:id="0" w:name="dc06"/>
            <w:bookmarkEnd w:id="0"/>
            <w:r w:rsidRPr="003E36A2">
              <w:rPr>
                <w:b/>
                <w:bCs/>
                <w:sz w:val="30"/>
                <w:szCs w:val="30"/>
                <w:lang w:val="fr-CH"/>
              </w:rPr>
              <w:t>Conseil 201</w:t>
            </w:r>
            <w:r w:rsidR="003C3FAE" w:rsidRPr="003E36A2">
              <w:rPr>
                <w:b/>
                <w:bCs/>
                <w:sz w:val="30"/>
                <w:szCs w:val="30"/>
                <w:lang w:val="fr-CH"/>
              </w:rPr>
              <w:t>8</w:t>
            </w:r>
            <w:r w:rsidRPr="003E36A2">
              <w:rPr>
                <w:rFonts w:ascii="Verdana" w:hAnsi="Verdana"/>
                <w:b/>
                <w:bCs/>
                <w:sz w:val="26"/>
                <w:szCs w:val="26"/>
                <w:lang w:val="fr-CH"/>
              </w:rPr>
              <w:br/>
            </w:r>
            <w:r w:rsidRPr="003E36A2">
              <w:rPr>
                <w:b/>
                <w:bCs/>
                <w:szCs w:val="24"/>
                <w:lang w:val="fr-CH"/>
              </w:rPr>
              <w:t>Genève, 1</w:t>
            </w:r>
            <w:r w:rsidR="003C3FAE" w:rsidRPr="003E36A2">
              <w:rPr>
                <w:b/>
                <w:bCs/>
                <w:szCs w:val="24"/>
                <w:lang w:val="fr-CH"/>
              </w:rPr>
              <w:t>7</w:t>
            </w:r>
            <w:r w:rsidRPr="003E36A2">
              <w:rPr>
                <w:b/>
                <w:bCs/>
                <w:szCs w:val="24"/>
                <w:lang w:val="fr-CH"/>
              </w:rPr>
              <w:t>-2</w:t>
            </w:r>
            <w:r w:rsidR="003C3FAE" w:rsidRPr="003E36A2">
              <w:rPr>
                <w:b/>
                <w:bCs/>
                <w:szCs w:val="24"/>
                <w:lang w:val="fr-CH"/>
              </w:rPr>
              <w:t>7</w:t>
            </w:r>
            <w:r w:rsidRPr="003E36A2">
              <w:rPr>
                <w:b/>
                <w:bCs/>
                <w:szCs w:val="24"/>
                <w:lang w:val="fr-CH"/>
              </w:rPr>
              <w:t xml:space="preserve"> </w:t>
            </w:r>
            <w:r w:rsidR="003C3FAE" w:rsidRPr="003E36A2">
              <w:rPr>
                <w:b/>
                <w:bCs/>
                <w:szCs w:val="24"/>
                <w:lang w:val="fr-CH"/>
              </w:rPr>
              <w:t>avril</w:t>
            </w:r>
            <w:r w:rsidRPr="003E36A2">
              <w:rPr>
                <w:b/>
                <w:bCs/>
                <w:szCs w:val="24"/>
                <w:lang w:val="fr-CH"/>
              </w:rPr>
              <w:t xml:space="preserve"> 201</w:t>
            </w:r>
            <w:r w:rsidR="003C3FAE" w:rsidRPr="003E36A2">
              <w:rPr>
                <w:b/>
                <w:bCs/>
                <w:szCs w:val="24"/>
                <w:lang w:val="fr-CH"/>
              </w:rPr>
              <w:t>8</w:t>
            </w:r>
          </w:p>
        </w:tc>
        <w:tc>
          <w:tcPr>
            <w:tcW w:w="3261" w:type="dxa"/>
          </w:tcPr>
          <w:p w:rsidR="00520F36" w:rsidRPr="003E36A2" w:rsidRDefault="00520F36" w:rsidP="002A3EF0">
            <w:pPr>
              <w:spacing w:before="0"/>
              <w:jc w:val="right"/>
              <w:rPr>
                <w:lang w:val="fr-CH"/>
              </w:rPr>
            </w:pPr>
            <w:bookmarkStart w:id="1" w:name="ditulogo"/>
            <w:bookmarkEnd w:id="1"/>
            <w:r w:rsidRPr="003E36A2">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3E36A2" w:rsidTr="00EF41DD">
        <w:trPr>
          <w:cantSplit/>
          <w:trHeight w:val="20"/>
        </w:trPr>
        <w:tc>
          <w:tcPr>
            <w:tcW w:w="6912" w:type="dxa"/>
            <w:tcBorders>
              <w:bottom w:val="single" w:sz="12" w:space="0" w:color="auto"/>
            </w:tcBorders>
            <w:vAlign w:val="center"/>
          </w:tcPr>
          <w:p w:rsidR="00520F36" w:rsidRPr="003E36A2" w:rsidRDefault="00520F36" w:rsidP="002A3EF0">
            <w:pPr>
              <w:spacing w:before="0"/>
              <w:rPr>
                <w:b/>
                <w:bCs/>
                <w:sz w:val="26"/>
                <w:szCs w:val="26"/>
                <w:lang w:val="fr-CH"/>
              </w:rPr>
            </w:pPr>
          </w:p>
        </w:tc>
        <w:tc>
          <w:tcPr>
            <w:tcW w:w="3261" w:type="dxa"/>
            <w:tcBorders>
              <w:bottom w:val="single" w:sz="12" w:space="0" w:color="auto"/>
            </w:tcBorders>
          </w:tcPr>
          <w:p w:rsidR="00520F36" w:rsidRPr="003E36A2" w:rsidRDefault="00520F36" w:rsidP="002A3EF0">
            <w:pPr>
              <w:spacing w:before="0"/>
              <w:rPr>
                <w:b/>
                <w:bCs/>
                <w:lang w:val="fr-CH"/>
              </w:rPr>
            </w:pPr>
          </w:p>
        </w:tc>
      </w:tr>
      <w:tr w:rsidR="00520F36" w:rsidRPr="003E36A2">
        <w:trPr>
          <w:cantSplit/>
          <w:trHeight w:val="20"/>
        </w:trPr>
        <w:tc>
          <w:tcPr>
            <w:tcW w:w="6912" w:type="dxa"/>
            <w:tcBorders>
              <w:top w:val="single" w:sz="12" w:space="0" w:color="auto"/>
            </w:tcBorders>
          </w:tcPr>
          <w:p w:rsidR="00520F36" w:rsidRPr="003E36A2" w:rsidRDefault="00520F36" w:rsidP="002A3EF0">
            <w:pPr>
              <w:spacing w:before="0"/>
              <w:rPr>
                <w:smallCaps/>
                <w:sz w:val="22"/>
                <w:lang w:val="fr-CH"/>
              </w:rPr>
            </w:pPr>
          </w:p>
        </w:tc>
        <w:tc>
          <w:tcPr>
            <w:tcW w:w="3261" w:type="dxa"/>
            <w:tcBorders>
              <w:top w:val="single" w:sz="12" w:space="0" w:color="auto"/>
            </w:tcBorders>
          </w:tcPr>
          <w:p w:rsidR="00520F36" w:rsidRPr="003E36A2" w:rsidRDefault="00520F36" w:rsidP="002A3EF0">
            <w:pPr>
              <w:spacing w:before="0"/>
              <w:rPr>
                <w:b/>
                <w:bCs/>
                <w:lang w:val="fr-CH"/>
              </w:rPr>
            </w:pPr>
          </w:p>
        </w:tc>
      </w:tr>
      <w:tr w:rsidR="00520F36" w:rsidRPr="003E36A2">
        <w:trPr>
          <w:cantSplit/>
          <w:trHeight w:val="20"/>
        </w:trPr>
        <w:tc>
          <w:tcPr>
            <w:tcW w:w="6912" w:type="dxa"/>
            <w:vMerge w:val="restart"/>
          </w:tcPr>
          <w:p w:rsidR="00520F36" w:rsidRPr="003E36A2" w:rsidRDefault="009F606B" w:rsidP="002A3EF0">
            <w:pPr>
              <w:spacing w:before="0"/>
              <w:rPr>
                <w:rFonts w:cs="Times"/>
                <w:b/>
                <w:bCs/>
                <w:szCs w:val="24"/>
                <w:lang w:val="fr-CH"/>
              </w:rPr>
            </w:pPr>
            <w:bookmarkStart w:id="2" w:name="dnum" w:colFirst="1" w:colLast="1"/>
            <w:bookmarkStart w:id="3" w:name="dmeeting" w:colFirst="0" w:colLast="0"/>
            <w:r w:rsidRPr="003E36A2">
              <w:rPr>
                <w:rFonts w:cs="Times"/>
                <w:b/>
                <w:bCs/>
                <w:szCs w:val="24"/>
                <w:lang w:val="fr-CH"/>
              </w:rPr>
              <w:t>Point de l'ordre du jour: ADM 18</w:t>
            </w:r>
          </w:p>
        </w:tc>
        <w:tc>
          <w:tcPr>
            <w:tcW w:w="3261" w:type="dxa"/>
          </w:tcPr>
          <w:p w:rsidR="00520F36" w:rsidRPr="003E36A2" w:rsidRDefault="00520F36" w:rsidP="002A3EF0">
            <w:pPr>
              <w:spacing w:before="0"/>
              <w:rPr>
                <w:b/>
                <w:bCs/>
                <w:lang w:val="fr-CH"/>
              </w:rPr>
            </w:pPr>
            <w:r w:rsidRPr="003E36A2">
              <w:rPr>
                <w:b/>
                <w:bCs/>
                <w:lang w:val="fr-CH"/>
              </w:rPr>
              <w:t>Document C1</w:t>
            </w:r>
            <w:r w:rsidR="003C3FAE" w:rsidRPr="003E36A2">
              <w:rPr>
                <w:b/>
                <w:bCs/>
                <w:lang w:val="fr-CH"/>
              </w:rPr>
              <w:t>8</w:t>
            </w:r>
            <w:r w:rsidRPr="003E36A2">
              <w:rPr>
                <w:b/>
                <w:bCs/>
                <w:lang w:val="fr-CH"/>
              </w:rPr>
              <w:t>/</w:t>
            </w:r>
            <w:r w:rsidR="009F606B" w:rsidRPr="003E36A2">
              <w:rPr>
                <w:b/>
                <w:bCs/>
                <w:lang w:val="fr-CH"/>
              </w:rPr>
              <w:t>47</w:t>
            </w:r>
            <w:r w:rsidRPr="003E36A2">
              <w:rPr>
                <w:b/>
                <w:bCs/>
                <w:lang w:val="fr-CH"/>
              </w:rPr>
              <w:t>-F</w:t>
            </w:r>
          </w:p>
        </w:tc>
      </w:tr>
      <w:tr w:rsidR="00520F36" w:rsidRPr="003E36A2">
        <w:trPr>
          <w:cantSplit/>
          <w:trHeight w:val="20"/>
        </w:trPr>
        <w:tc>
          <w:tcPr>
            <w:tcW w:w="6912" w:type="dxa"/>
            <w:vMerge/>
          </w:tcPr>
          <w:p w:rsidR="00520F36" w:rsidRPr="003E36A2" w:rsidRDefault="00520F36" w:rsidP="002A3EF0">
            <w:pPr>
              <w:shd w:val="solid" w:color="FFFFFF" w:fill="FFFFFF"/>
              <w:spacing w:before="180"/>
              <w:rPr>
                <w:smallCaps/>
                <w:lang w:val="fr-CH"/>
              </w:rPr>
            </w:pPr>
            <w:bookmarkStart w:id="4" w:name="ddate" w:colFirst="1" w:colLast="1"/>
            <w:bookmarkEnd w:id="2"/>
            <w:bookmarkEnd w:id="3"/>
          </w:p>
        </w:tc>
        <w:tc>
          <w:tcPr>
            <w:tcW w:w="3261" w:type="dxa"/>
          </w:tcPr>
          <w:p w:rsidR="00520F36" w:rsidRPr="003E36A2" w:rsidRDefault="009F606B" w:rsidP="002A3EF0">
            <w:pPr>
              <w:spacing w:before="0"/>
              <w:rPr>
                <w:b/>
                <w:bCs/>
                <w:lang w:val="fr-CH"/>
              </w:rPr>
            </w:pPr>
            <w:r w:rsidRPr="003E36A2">
              <w:rPr>
                <w:b/>
                <w:bCs/>
                <w:lang w:val="fr-CH"/>
              </w:rPr>
              <w:t>8 février</w:t>
            </w:r>
            <w:r w:rsidR="00520F36" w:rsidRPr="003E36A2">
              <w:rPr>
                <w:b/>
                <w:bCs/>
                <w:lang w:val="fr-CH"/>
              </w:rPr>
              <w:t xml:space="preserve"> 201</w:t>
            </w:r>
            <w:r w:rsidR="003C3FAE" w:rsidRPr="003E36A2">
              <w:rPr>
                <w:b/>
                <w:bCs/>
                <w:lang w:val="fr-CH"/>
              </w:rPr>
              <w:t>8</w:t>
            </w:r>
          </w:p>
        </w:tc>
      </w:tr>
      <w:tr w:rsidR="00520F36" w:rsidRPr="003E36A2">
        <w:trPr>
          <w:cantSplit/>
          <w:trHeight w:val="20"/>
        </w:trPr>
        <w:tc>
          <w:tcPr>
            <w:tcW w:w="6912" w:type="dxa"/>
            <w:vMerge/>
          </w:tcPr>
          <w:p w:rsidR="00520F36" w:rsidRPr="003E36A2" w:rsidRDefault="00520F36" w:rsidP="002A3EF0">
            <w:pPr>
              <w:shd w:val="solid" w:color="FFFFFF" w:fill="FFFFFF"/>
              <w:spacing w:before="180"/>
              <w:rPr>
                <w:smallCaps/>
                <w:lang w:val="fr-CH"/>
              </w:rPr>
            </w:pPr>
            <w:bookmarkStart w:id="5" w:name="dorlang" w:colFirst="1" w:colLast="1"/>
            <w:bookmarkEnd w:id="4"/>
          </w:p>
        </w:tc>
        <w:tc>
          <w:tcPr>
            <w:tcW w:w="3261" w:type="dxa"/>
          </w:tcPr>
          <w:p w:rsidR="00520F36" w:rsidRPr="003E36A2" w:rsidRDefault="00520F36" w:rsidP="002A3EF0">
            <w:pPr>
              <w:spacing w:before="0"/>
              <w:rPr>
                <w:b/>
                <w:bCs/>
                <w:lang w:val="fr-CH"/>
              </w:rPr>
            </w:pPr>
            <w:r w:rsidRPr="003E36A2">
              <w:rPr>
                <w:b/>
                <w:bCs/>
                <w:lang w:val="fr-CH"/>
              </w:rPr>
              <w:t>Original: anglais</w:t>
            </w:r>
          </w:p>
        </w:tc>
      </w:tr>
      <w:tr w:rsidR="00520F36" w:rsidRPr="003E36A2">
        <w:trPr>
          <w:cantSplit/>
        </w:trPr>
        <w:tc>
          <w:tcPr>
            <w:tcW w:w="10173" w:type="dxa"/>
            <w:gridSpan w:val="2"/>
          </w:tcPr>
          <w:p w:rsidR="00520F36" w:rsidRPr="003E36A2" w:rsidRDefault="009F606B" w:rsidP="002A3EF0">
            <w:pPr>
              <w:pStyle w:val="Source"/>
              <w:rPr>
                <w:lang w:val="fr-CH"/>
              </w:rPr>
            </w:pPr>
            <w:bookmarkStart w:id="6" w:name="dsource" w:colFirst="0" w:colLast="0"/>
            <w:bookmarkEnd w:id="5"/>
            <w:r w:rsidRPr="003E36A2">
              <w:rPr>
                <w:lang w:val="fr-CH"/>
              </w:rPr>
              <w:t>Rapport du Secrétaire général</w:t>
            </w:r>
          </w:p>
        </w:tc>
      </w:tr>
      <w:tr w:rsidR="00520F36" w:rsidRPr="003E36A2">
        <w:trPr>
          <w:cantSplit/>
        </w:trPr>
        <w:tc>
          <w:tcPr>
            <w:tcW w:w="10173" w:type="dxa"/>
            <w:gridSpan w:val="2"/>
          </w:tcPr>
          <w:p w:rsidR="00520F36" w:rsidRPr="003E36A2" w:rsidRDefault="003E36A2" w:rsidP="002A3EF0">
            <w:pPr>
              <w:pStyle w:val="Title1"/>
              <w:rPr>
                <w:lang w:val="fr-CH"/>
              </w:rPr>
            </w:pPr>
            <w:bookmarkStart w:id="7" w:name="dtitle1" w:colFirst="0" w:colLast="0"/>
            <w:bookmarkEnd w:id="6"/>
            <w:r w:rsidRPr="003E36A2">
              <w:rPr>
                <w:lang w:val="fr-CH"/>
              </w:rPr>
              <w:t xml:space="preserve">possibilités de parrainage </w:t>
            </w:r>
            <w:r w:rsidR="00257BE9">
              <w:rPr>
                <w:lang w:val="fr-CH"/>
              </w:rPr>
              <w:t>POUR LE</w:t>
            </w:r>
            <w:r w:rsidRPr="003E36A2">
              <w:rPr>
                <w:lang w:val="fr-CH"/>
              </w:rPr>
              <w:t xml:space="preserve"> projet de locaux du siège</w:t>
            </w:r>
          </w:p>
        </w:tc>
      </w:tr>
      <w:bookmarkEnd w:id="7"/>
    </w:tbl>
    <w:p w:rsidR="00520F36" w:rsidRPr="003E36A2" w:rsidRDefault="00520F36" w:rsidP="002A3EF0">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3E36A2" w:rsidTr="009F606B">
        <w:trPr>
          <w:trHeight w:val="2942"/>
        </w:trPr>
        <w:tc>
          <w:tcPr>
            <w:tcW w:w="8080" w:type="dxa"/>
            <w:tcBorders>
              <w:top w:val="single" w:sz="12" w:space="0" w:color="auto"/>
              <w:left w:val="single" w:sz="12" w:space="0" w:color="auto"/>
              <w:bottom w:val="single" w:sz="12" w:space="0" w:color="auto"/>
              <w:right w:val="single" w:sz="12" w:space="0" w:color="auto"/>
            </w:tcBorders>
          </w:tcPr>
          <w:p w:rsidR="00520F36" w:rsidRPr="003E36A2" w:rsidRDefault="00520F36" w:rsidP="002A3EF0">
            <w:pPr>
              <w:pStyle w:val="Headingb"/>
              <w:rPr>
                <w:lang w:val="fr-CH"/>
              </w:rPr>
            </w:pPr>
            <w:r w:rsidRPr="003E36A2">
              <w:rPr>
                <w:lang w:val="fr-CH"/>
              </w:rPr>
              <w:t>Résumé</w:t>
            </w:r>
          </w:p>
          <w:p w:rsidR="00520F36" w:rsidRPr="003E36A2" w:rsidRDefault="003E36A2" w:rsidP="002A3EF0">
            <w:pPr>
              <w:rPr>
                <w:lang w:val="fr-CH"/>
              </w:rPr>
            </w:pPr>
            <w:bookmarkStart w:id="8" w:name="lt_pId013"/>
            <w:r w:rsidRPr="003E36A2">
              <w:rPr>
                <w:rFonts w:asciiTheme="minorHAnsi" w:hAnsiTheme="minorHAnsi"/>
                <w:szCs w:val="24"/>
                <w:lang w:val="fr-CH"/>
              </w:rPr>
              <w:t xml:space="preserve">Le présent document expose les possibilités de parrainage </w:t>
            </w:r>
            <w:r w:rsidR="00257BE9">
              <w:rPr>
                <w:rFonts w:asciiTheme="minorHAnsi" w:hAnsiTheme="minorHAnsi"/>
                <w:szCs w:val="24"/>
                <w:lang w:val="fr-CH"/>
              </w:rPr>
              <w:t>pour le</w:t>
            </w:r>
            <w:r w:rsidRPr="003E36A2">
              <w:rPr>
                <w:rFonts w:asciiTheme="minorHAnsi" w:hAnsiTheme="minorHAnsi"/>
                <w:szCs w:val="24"/>
                <w:lang w:val="fr-CH"/>
              </w:rPr>
              <w:t xml:space="preserve"> projet de locaux du siège.</w:t>
            </w:r>
            <w:bookmarkEnd w:id="8"/>
          </w:p>
          <w:p w:rsidR="00520F36" w:rsidRPr="003E36A2" w:rsidRDefault="00520F36" w:rsidP="002A3EF0">
            <w:pPr>
              <w:pStyle w:val="Headingb"/>
              <w:rPr>
                <w:lang w:val="fr-CH"/>
              </w:rPr>
            </w:pPr>
            <w:r w:rsidRPr="003E36A2">
              <w:rPr>
                <w:lang w:val="fr-CH"/>
              </w:rPr>
              <w:t>Suite à donner</w:t>
            </w:r>
          </w:p>
          <w:p w:rsidR="00520F36" w:rsidRPr="003E36A2" w:rsidRDefault="003E36A2" w:rsidP="002A3EF0">
            <w:pPr>
              <w:rPr>
                <w:lang w:val="fr-CH"/>
              </w:rPr>
            </w:pPr>
            <w:bookmarkStart w:id="9" w:name="lt_pId015"/>
            <w:r w:rsidRPr="003E36A2">
              <w:rPr>
                <w:rFonts w:asciiTheme="minorHAnsi" w:hAnsiTheme="minorHAnsi"/>
                <w:szCs w:val="24"/>
                <w:lang w:val="fr-CH"/>
              </w:rPr>
              <w:t>Le Conseil est invité</w:t>
            </w:r>
            <w:r>
              <w:rPr>
                <w:rFonts w:asciiTheme="minorHAnsi" w:hAnsiTheme="minorHAnsi"/>
                <w:szCs w:val="24"/>
                <w:lang w:val="fr-CH"/>
              </w:rPr>
              <w:t xml:space="preserve"> à</w:t>
            </w:r>
            <w:r w:rsidR="009F606B" w:rsidRPr="003E36A2">
              <w:rPr>
                <w:rFonts w:asciiTheme="minorHAnsi" w:hAnsiTheme="minorHAnsi"/>
                <w:szCs w:val="24"/>
                <w:lang w:val="fr-CH"/>
              </w:rPr>
              <w:t xml:space="preserve"> </w:t>
            </w:r>
            <w:r>
              <w:rPr>
                <w:rFonts w:asciiTheme="minorHAnsi" w:hAnsiTheme="minorHAnsi"/>
                <w:b/>
                <w:bCs/>
                <w:szCs w:val="24"/>
                <w:lang w:val="fr-CH"/>
              </w:rPr>
              <w:t>prendre</w:t>
            </w:r>
            <w:r w:rsidR="009F606B" w:rsidRPr="003E36A2">
              <w:rPr>
                <w:rFonts w:asciiTheme="minorHAnsi" w:hAnsiTheme="minorHAnsi"/>
                <w:b/>
                <w:bCs/>
                <w:szCs w:val="24"/>
                <w:lang w:val="fr-CH"/>
              </w:rPr>
              <w:t xml:space="preserve"> note</w:t>
            </w:r>
            <w:r w:rsidR="009F606B" w:rsidRPr="003E36A2">
              <w:rPr>
                <w:rFonts w:asciiTheme="minorHAnsi" w:hAnsiTheme="minorHAnsi"/>
                <w:szCs w:val="24"/>
                <w:lang w:val="fr-CH"/>
              </w:rPr>
              <w:t xml:space="preserve"> </w:t>
            </w:r>
            <w:r>
              <w:rPr>
                <w:rFonts w:asciiTheme="minorHAnsi" w:hAnsiTheme="minorHAnsi"/>
                <w:szCs w:val="24"/>
                <w:lang w:val="fr-CH"/>
              </w:rPr>
              <w:t>du</w:t>
            </w:r>
            <w:r w:rsidR="009F606B" w:rsidRPr="003E36A2">
              <w:rPr>
                <w:rFonts w:asciiTheme="minorHAnsi" w:hAnsiTheme="minorHAnsi"/>
                <w:szCs w:val="24"/>
                <w:lang w:val="fr-CH"/>
              </w:rPr>
              <w:t xml:space="preserve"> </w:t>
            </w:r>
            <w:r w:rsidR="00257BE9">
              <w:rPr>
                <w:rFonts w:asciiTheme="minorHAnsi" w:hAnsiTheme="minorHAnsi"/>
                <w:szCs w:val="24"/>
                <w:lang w:val="fr-CH"/>
              </w:rPr>
              <w:t xml:space="preserve">présent </w:t>
            </w:r>
            <w:r w:rsidR="009F606B" w:rsidRPr="003E36A2">
              <w:rPr>
                <w:rFonts w:asciiTheme="minorHAnsi" w:hAnsiTheme="minorHAnsi"/>
                <w:szCs w:val="24"/>
                <w:lang w:val="fr-CH"/>
              </w:rPr>
              <w:t xml:space="preserve">document </w:t>
            </w:r>
            <w:r>
              <w:rPr>
                <w:rFonts w:asciiTheme="minorHAnsi" w:hAnsiTheme="minorHAnsi"/>
                <w:szCs w:val="24"/>
                <w:lang w:val="fr-CH"/>
              </w:rPr>
              <w:t xml:space="preserve">et à </w:t>
            </w:r>
            <w:r w:rsidR="00257BE9">
              <w:rPr>
                <w:rFonts w:asciiTheme="minorHAnsi" w:hAnsiTheme="minorHAnsi"/>
                <w:szCs w:val="24"/>
                <w:lang w:val="fr-CH"/>
              </w:rPr>
              <w:t>formuler</w:t>
            </w:r>
            <w:r w:rsidR="00C30288">
              <w:rPr>
                <w:rFonts w:asciiTheme="minorHAnsi" w:hAnsiTheme="minorHAnsi"/>
                <w:szCs w:val="24"/>
                <w:lang w:val="fr-CH"/>
              </w:rPr>
              <w:t xml:space="preserve"> des instructions et la suite à donner selon qu'il convient, y compris la possible transmission du présent document aux Etats Membres avant la Conférence de plénipotentiaires de 2018.</w:t>
            </w:r>
            <w:bookmarkEnd w:id="9"/>
          </w:p>
          <w:p w:rsidR="00520F36" w:rsidRDefault="00520F36" w:rsidP="002A3EF0">
            <w:pPr>
              <w:pStyle w:val="Table"/>
              <w:keepNext w:val="0"/>
              <w:spacing w:before="0" w:after="0"/>
              <w:rPr>
                <w:rFonts w:ascii="Calibri" w:hAnsi="Calibri"/>
                <w:caps w:val="0"/>
                <w:sz w:val="22"/>
                <w:lang w:val="fr-CH"/>
              </w:rPr>
            </w:pPr>
            <w:r w:rsidRPr="003E36A2">
              <w:rPr>
                <w:rFonts w:ascii="Calibri" w:hAnsi="Calibri"/>
                <w:caps w:val="0"/>
                <w:sz w:val="22"/>
                <w:lang w:val="fr-CH"/>
              </w:rPr>
              <w:t>____________</w:t>
            </w:r>
          </w:p>
          <w:p w:rsidR="00DE6669" w:rsidRPr="00DE6669" w:rsidRDefault="00DE6669" w:rsidP="002A3EF0">
            <w:pPr>
              <w:rPr>
                <w:lang w:val="fr-CH"/>
              </w:rPr>
            </w:pPr>
          </w:p>
        </w:tc>
      </w:tr>
    </w:tbl>
    <w:p w:rsidR="009F606B" w:rsidRPr="003E36A2" w:rsidRDefault="009F606B" w:rsidP="002A3EF0">
      <w:pPr>
        <w:pStyle w:val="Heading1"/>
        <w:rPr>
          <w:lang w:val="fr-CH"/>
        </w:rPr>
      </w:pPr>
      <w:r w:rsidRPr="003E36A2">
        <w:rPr>
          <w:lang w:val="fr-CH"/>
        </w:rPr>
        <w:t>1</w:t>
      </w:r>
      <w:r w:rsidRPr="003E36A2">
        <w:rPr>
          <w:lang w:val="fr-CH"/>
        </w:rPr>
        <w:tab/>
      </w:r>
      <w:r w:rsidR="00C30288">
        <w:rPr>
          <w:lang w:val="fr-CH"/>
        </w:rPr>
        <w:t>Rappel</w:t>
      </w:r>
    </w:p>
    <w:p w:rsidR="00C30288" w:rsidRDefault="009F606B" w:rsidP="002A3EF0">
      <w:pPr>
        <w:rPr>
          <w:lang w:val="fr-CH"/>
        </w:rPr>
      </w:pPr>
      <w:r w:rsidRPr="003E36A2">
        <w:rPr>
          <w:lang w:val="fr-CH"/>
        </w:rPr>
        <w:t>1.1</w:t>
      </w:r>
      <w:r w:rsidRPr="003E36A2">
        <w:rPr>
          <w:lang w:val="fr-CH"/>
        </w:rPr>
        <w:tab/>
      </w:r>
      <w:bookmarkStart w:id="10" w:name="lt_pId020"/>
      <w:r w:rsidR="00C30288">
        <w:rPr>
          <w:lang w:val="fr-CH"/>
        </w:rPr>
        <w:t>Le nouveau siège de l'UIT</w:t>
      </w:r>
      <w:r w:rsidR="00257BE9">
        <w:rPr>
          <w:lang w:val="fr-CH"/>
        </w:rPr>
        <w:t>, qui sera l'image de l'organisation, sera situé</w:t>
      </w:r>
      <w:r w:rsidR="00C30288">
        <w:rPr>
          <w:lang w:val="fr-CH"/>
        </w:rPr>
        <w:t xml:space="preserve"> au coeur de la Genève internationale</w:t>
      </w:r>
      <w:r w:rsidR="00257BE9">
        <w:rPr>
          <w:lang w:val="fr-CH"/>
        </w:rPr>
        <w:t xml:space="preserve"> face à la Place des Nations</w:t>
      </w:r>
      <w:r w:rsidR="00C30288">
        <w:rPr>
          <w:lang w:val="fr-CH"/>
        </w:rPr>
        <w:t>.</w:t>
      </w:r>
    </w:p>
    <w:bookmarkEnd w:id="10"/>
    <w:p w:rsidR="00C30288" w:rsidRDefault="009F606B" w:rsidP="002A3EF0">
      <w:pPr>
        <w:rPr>
          <w:lang w:val="fr-CH"/>
        </w:rPr>
      </w:pPr>
      <w:r w:rsidRPr="003E36A2">
        <w:rPr>
          <w:lang w:val="fr-CH"/>
        </w:rPr>
        <w:t>1.2</w:t>
      </w:r>
      <w:r w:rsidRPr="003E36A2">
        <w:rPr>
          <w:lang w:val="fr-CH"/>
        </w:rPr>
        <w:tab/>
      </w:r>
      <w:bookmarkStart w:id="11" w:name="lt_pId022"/>
      <w:r w:rsidR="00C30288">
        <w:rPr>
          <w:lang w:val="fr-CH"/>
        </w:rPr>
        <w:t xml:space="preserve">Par le passé, les locaux de l'UIT ont fait l'objet de dons et de parrainages nombreux et généreux de la part des Etats Membres et des Membres de Secteur. La construction du nouveau bâtiment offrira une occasion unique aux </w:t>
      </w:r>
      <w:r w:rsidR="00257BE9">
        <w:rPr>
          <w:lang w:val="fr-CH"/>
        </w:rPr>
        <w:t>sponsor</w:t>
      </w:r>
      <w:r w:rsidR="00C30288">
        <w:rPr>
          <w:lang w:val="fr-CH"/>
        </w:rPr>
        <w:t xml:space="preserve">s de contribuer </w:t>
      </w:r>
      <w:r w:rsidR="00257BE9">
        <w:rPr>
          <w:lang w:val="fr-CH"/>
        </w:rPr>
        <w:t>au cadre qui accueillera l'UIT</w:t>
      </w:r>
      <w:r w:rsidR="00C30288">
        <w:rPr>
          <w:lang w:val="fr-CH"/>
        </w:rPr>
        <w:t xml:space="preserve"> et d'obtenir une reconnaissance.</w:t>
      </w:r>
    </w:p>
    <w:bookmarkEnd w:id="11"/>
    <w:p w:rsidR="00C30288" w:rsidRDefault="009F606B" w:rsidP="002A3EF0">
      <w:pPr>
        <w:rPr>
          <w:bCs/>
          <w:lang w:val="fr-CH"/>
        </w:rPr>
      </w:pPr>
      <w:r w:rsidRPr="003E36A2">
        <w:rPr>
          <w:bCs/>
          <w:lang w:val="fr-CH"/>
        </w:rPr>
        <w:t>1.3</w:t>
      </w:r>
      <w:r w:rsidRPr="003E36A2">
        <w:rPr>
          <w:bCs/>
          <w:lang w:val="fr-CH"/>
        </w:rPr>
        <w:tab/>
      </w:r>
      <w:bookmarkStart w:id="12" w:name="lt_pId025"/>
      <w:r w:rsidR="00C30288">
        <w:rPr>
          <w:bCs/>
          <w:lang w:val="fr-CH"/>
        </w:rPr>
        <w:t>Le présent</w:t>
      </w:r>
      <w:r w:rsidRPr="003E36A2">
        <w:rPr>
          <w:bCs/>
          <w:lang w:val="fr-CH"/>
        </w:rPr>
        <w:t xml:space="preserve"> document </w:t>
      </w:r>
      <w:r w:rsidR="00C30288">
        <w:rPr>
          <w:bCs/>
          <w:lang w:val="fr-CH"/>
        </w:rPr>
        <w:t xml:space="preserve">a été élaboré en étroite collaboration avec le Groupe </w:t>
      </w:r>
      <w:r w:rsidR="00C30288" w:rsidRPr="00C30288">
        <w:rPr>
          <w:bCs/>
          <w:lang w:val="fr-CH"/>
        </w:rPr>
        <w:t>consultatif d'Etats Membres pour les locaux (MSAG)</w:t>
      </w:r>
      <w:r w:rsidR="00C30288">
        <w:rPr>
          <w:bCs/>
          <w:lang w:val="fr-CH"/>
        </w:rPr>
        <w:t xml:space="preserve">, </w:t>
      </w:r>
      <w:r w:rsidR="00257BE9">
        <w:rPr>
          <w:bCs/>
          <w:lang w:val="fr-CH"/>
        </w:rPr>
        <w:t xml:space="preserve">que nous remercions chaleureusement pour ses </w:t>
      </w:r>
      <w:r w:rsidR="00C30288">
        <w:rPr>
          <w:bCs/>
          <w:lang w:val="fr-CH"/>
        </w:rPr>
        <w:t>conseils. A sa quatrième réunion (24 janvier 2018), le Groupe MSAG a examiné et appuyé un projet de version du présent document.</w:t>
      </w:r>
    </w:p>
    <w:bookmarkEnd w:id="12"/>
    <w:p w:rsidR="000455F3" w:rsidRDefault="000455F3" w:rsidP="002A3EF0">
      <w:pPr>
        <w:pStyle w:val="Heading1"/>
        <w:rPr>
          <w:lang w:val="fr-CH"/>
        </w:rPr>
      </w:pPr>
      <w:r>
        <w:rPr>
          <w:lang w:val="fr-CH"/>
        </w:rPr>
        <w:br w:type="page"/>
      </w:r>
    </w:p>
    <w:p w:rsidR="009F606B" w:rsidRPr="003E36A2" w:rsidRDefault="009F606B" w:rsidP="002A3EF0">
      <w:pPr>
        <w:pStyle w:val="Heading1"/>
        <w:rPr>
          <w:lang w:val="fr-CH"/>
        </w:rPr>
      </w:pPr>
      <w:r w:rsidRPr="003E36A2">
        <w:rPr>
          <w:lang w:val="fr-CH"/>
        </w:rPr>
        <w:lastRenderedPageBreak/>
        <w:t>2</w:t>
      </w:r>
      <w:r w:rsidRPr="003E36A2">
        <w:rPr>
          <w:lang w:val="fr-CH"/>
        </w:rPr>
        <w:tab/>
      </w:r>
      <w:r w:rsidR="006E54F5">
        <w:rPr>
          <w:lang w:val="fr-CH"/>
        </w:rPr>
        <w:t>Principes en matière de parrainage</w:t>
      </w:r>
    </w:p>
    <w:p w:rsidR="00571EEA" w:rsidRPr="003E36A2" w:rsidRDefault="009F606B" w:rsidP="002A3EF0">
      <w:pPr>
        <w:rPr>
          <w:lang w:val="fr-CH"/>
        </w:rPr>
      </w:pPr>
      <w:r w:rsidRPr="003E36A2">
        <w:rPr>
          <w:lang w:val="fr-CH"/>
        </w:rPr>
        <w:t>2.1</w:t>
      </w:r>
      <w:r w:rsidRPr="003E36A2">
        <w:rPr>
          <w:lang w:val="fr-CH"/>
        </w:rPr>
        <w:tab/>
      </w:r>
      <w:bookmarkStart w:id="13" w:name="lt_pId030"/>
      <w:r w:rsidR="006E54F5">
        <w:rPr>
          <w:lang w:val="fr-CH"/>
        </w:rPr>
        <w:t>A sa session ordinaire de 2017</w:t>
      </w:r>
      <w:r w:rsidRPr="003E36A2">
        <w:rPr>
          <w:lang w:val="fr-CH"/>
        </w:rPr>
        <w:t xml:space="preserve">, </w:t>
      </w:r>
      <w:r w:rsidR="006E54F5">
        <w:rPr>
          <w:lang w:val="fr-CH"/>
        </w:rPr>
        <w:t>le Conseil de l'UIT a approuvé le</w:t>
      </w:r>
      <w:r w:rsidRPr="003E36A2">
        <w:rPr>
          <w:lang w:val="fr-CH"/>
        </w:rPr>
        <w:t xml:space="preserve"> Document </w:t>
      </w:r>
      <w:hyperlink r:id="rId8" w:history="1">
        <w:r w:rsidRPr="003E36A2">
          <w:rPr>
            <w:rStyle w:val="Hyperlink"/>
            <w:bCs/>
            <w:szCs w:val="24"/>
            <w:lang w:val="fr-CH"/>
          </w:rPr>
          <w:t>C17/67</w:t>
        </w:r>
      </w:hyperlink>
      <w:r w:rsidRPr="003E36A2">
        <w:rPr>
          <w:lang w:val="fr-CH"/>
        </w:rPr>
        <w:t>, "</w:t>
      </w:r>
      <w:bookmarkStart w:id="14" w:name="lt_pId012"/>
      <w:r w:rsidRPr="003E36A2">
        <w:rPr>
          <w:color w:val="000000"/>
          <w:lang w:val="fr-CH"/>
        </w:rPr>
        <w:t>Améliorer la stabilité et la prévisibilité des bases financières de l'Union</w:t>
      </w:r>
      <w:bookmarkEnd w:id="14"/>
      <w:r w:rsidRPr="003E36A2">
        <w:rPr>
          <w:color w:val="000000"/>
          <w:lang w:val="fr-CH"/>
        </w:rPr>
        <w:t>"</w:t>
      </w:r>
      <w:r w:rsidRPr="003E36A2">
        <w:rPr>
          <w:lang w:val="fr-CH"/>
        </w:rPr>
        <w:t xml:space="preserve">, </w:t>
      </w:r>
      <w:r w:rsidR="006E54F5">
        <w:rPr>
          <w:lang w:val="fr-CH"/>
        </w:rPr>
        <w:t xml:space="preserve">y compris son </w:t>
      </w:r>
      <w:r w:rsidRPr="003E36A2">
        <w:rPr>
          <w:lang w:val="fr-CH"/>
        </w:rPr>
        <w:t>Annex</w:t>
      </w:r>
      <w:r w:rsidR="006E54F5">
        <w:rPr>
          <w:lang w:val="fr-CH"/>
        </w:rPr>
        <w:t>e</w:t>
      </w:r>
      <w:r w:rsidRPr="003E36A2">
        <w:rPr>
          <w:lang w:val="fr-CH"/>
        </w:rPr>
        <w:t xml:space="preserve"> 1 </w:t>
      </w:r>
      <w:r w:rsidR="006E54F5">
        <w:rPr>
          <w:lang w:val="fr-CH"/>
        </w:rPr>
        <w:t>relative aux p</w:t>
      </w:r>
      <w:r w:rsidR="006E54F5" w:rsidRPr="003E36A2">
        <w:rPr>
          <w:lang w:val="fr-CH"/>
        </w:rPr>
        <w:t>rincipes régissant la mobilisation des ressources</w:t>
      </w:r>
      <w:r w:rsidRPr="003E36A2">
        <w:rPr>
          <w:lang w:val="fr-CH"/>
        </w:rPr>
        <w:t xml:space="preserve"> (</w:t>
      </w:r>
      <w:r w:rsidR="006E54F5">
        <w:rPr>
          <w:lang w:val="fr-CH"/>
        </w:rPr>
        <w:t>également annexée au présent</w:t>
      </w:r>
      <w:r w:rsidRPr="003E36A2">
        <w:rPr>
          <w:lang w:val="fr-CH"/>
        </w:rPr>
        <w:t xml:space="preserve"> document).</w:t>
      </w:r>
      <w:bookmarkEnd w:id="13"/>
      <w:r w:rsidRPr="003E36A2">
        <w:rPr>
          <w:lang w:val="fr-CH"/>
        </w:rPr>
        <w:t xml:space="preserve"> Les principes généraux ci-après </w:t>
      </w:r>
      <w:r w:rsidR="00257BE9">
        <w:rPr>
          <w:lang w:val="fr-CH"/>
        </w:rPr>
        <w:t>s'appliquent à toutes</w:t>
      </w:r>
      <w:r w:rsidRPr="003E36A2">
        <w:rPr>
          <w:lang w:val="fr-CH"/>
        </w:rPr>
        <w:t xml:space="preserve"> les activités de parrainage à l'UIT:</w:t>
      </w:r>
    </w:p>
    <w:p w:rsidR="009F606B" w:rsidRPr="003E36A2" w:rsidRDefault="009F606B" w:rsidP="002A3EF0">
      <w:pPr>
        <w:rPr>
          <w:lang w:val="fr-CH"/>
        </w:rPr>
      </w:pPr>
      <w:r w:rsidRPr="003E36A2">
        <w:rPr>
          <w:lang w:val="fr-CH"/>
        </w:rPr>
        <w:t>2.2</w:t>
      </w:r>
      <w:r w:rsidRPr="003E36A2">
        <w:rPr>
          <w:lang w:val="fr-CH"/>
        </w:rPr>
        <w:tab/>
      </w:r>
      <w:r w:rsidRPr="003E36A2">
        <w:rPr>
          <w:b/>
          <w:lang w:val="fr-CH"/>
        </w:rPr>
        <w:t>Respect des principes de l'ONU</w:t>
      </w:r>
      <w:r w:rsidRPr="003E36A2">
        <w:rPr>
          <w:lang w:val="fr-CH"/>
        </w:rPr>
        <w:t xml:space="preserve">: L'UIT n'offrira des possibilités de parrainage qu'aux entités dont le comportement est conforme aux principes de l'ONU, notamment dans les domaines des droits de l'homme, des normes de travail et de l'environnement et de la lutte contre la corruption. </w:t>
      </w:r>
    </w:p>
    <w:p w:rsidR="009F606B" w:rsidRPr="003E36A2" w:rsidRDefault="009F606B" w:rsidP="002A3EF0">
      <w:pPr>
        <w:rPr>
          <w:lang w:val="fr-CH"/>
        </w:rPr>
      </w:pPr>
      <w:r w:rsidRPr="003E36A2">
        <w:rPr>
          <w:lang w:val="fr-CH"/>
        </w:rPr>
        <w:t>2.3</w:t>
      </w:r>
      <w:r w:rsidRPr="003E36A2">
        <w:rPr>
          <w:lang w:val="fr-CH"/>
        </w:rPr>
        <w:tab/>
      </w:r>
      <w:r w:rsidRPr="003E36A2">
        <w:rPr>
          <w:b/>
          <w:bCs/>
          <w:lang w:val="fr-CH"/>
        </w:rPr>
        <w:t>Faire progresser la réalisation des objectifs de l'UIT</w:t>
      </w:r>
      <w:r w:rsidRPr="003E36A2">
        <w:rPr>
          <w:lang w:val="fr-CH"/>
        </w:rPr>
        <w:t>: L'objectif de l'accord de parrainage doit être clairement formulé et être conforme aux objectifs généraux de l'UIT, tels qu'ils sont énoncés dans la Constitution et la Convention de l'UIT ainsi que dans le Plan stratégique de l'Union. De plus, même s'il n'est pas nécessaire que le sponsor soit une</w:t>
      </w:r>
      <w:r w:rsidRPr="003E36A2">
        <w:rPr>
          <w:color w:val="000000"/>
          <w:lang w:val="fr-CH"/>
        </w:rPr>
        <w:t xml:space="preserve"> société </w:t>
      </w:r>
      <w:r w:rsidR="006E54F5">
        <w:rPr>
          <w:color w:val="000000"/>
          <w:lang w:val="fr-CH"/>
        </w:rPr>
        <w:t xml:space="preserve">ou une entité </w:t>
      </w:r>
      <w:r w:rsidRPr="003E36A2">
        <w:rPr>
          <w:color w:val="000000"/>
          <w:lang w:val="fr-CH"/>
        </w:rPr>
        <w:t>du secteur des</w:t>
      </w:r>
      <w:r w:rsidRPr="003E36A2">
        <w:rPr>
          <w:lang w:val="fr-CH"/>
        </w:rPr>
        <w:t xml:space="preserve"> télécommunications/</w:t>
      </w:r>
      <w:r w:rsidRPr="003E36A2">
        <w:rPr>
          <w:color w:val="000000"/>
          <w:lang w:val="fr-CH"/>
        </w:rPr>
        <w:t>TIC, ses activités devraient se rapporter aux travaux de l'UIT,</w:t>
      </w:r>
      <w:r w:rsidRPr="003E36A2">
        <w:rPr>
          <w:lang w:val="fr-CH"/>
        </w:rPr>
        <w:t xml:space="preserve"> qui pourraient être mis en avant grâce à la visibilité dont bénéficie le sponsor.</w:t>
      </w:r>
    </w:p>
    <w:p w:rsidR="009F606B" w:rsidRPr="003E36A2" w:rsidRDefault="009F606B" w:rsidP="002A3EF0">
      <w:pPr>
        <w:rPr>
          <w:bCs/>
          <w:lang w:val="fr-CH"/>
        </w:rPr>
      </w:pPr>
      <w:r w:rsidRPr="003E36A2">
        <w:rPr>
          <w:bCs/>
          <w:lang w:val="fr-CH"/>
        </w:rPr>
        <w:t>2.4</w:t>
      </w:r>
      <w:r w:rsidRPr="003E36A2">
        <w:rPr>
          <w:bCs/>
          <w:lang w:val="fr-CH"/>
        </w:rPr>
        <w:tab/>
      </w:r>
      <w:r w:rsidRPr="003E36A2">
        <w:rPr>
          <w:b/>
          <w:lang w:val="fr-CH"/>
        </w:rPr>
        <w:t>Rôles et responsabilités clairement définis</w:t>
      </w:r>
      <w:r w:rsidRPr="003E36A2">
        <w:rPr>
          <w:lang w:val="fr-CH"/>
        </w:rPr>
        <w:t>:</w:t>
      </w:r>
      <w:r w:rsidRPr="003E36A2">
        <w:rPr>
          <w:bCs/>
          <w:lang w:val="fr-CH"/>
        </w:rPr>
        <w:t xml:space="preserve"> L'accord de parrainage doit être fondé sur une compréhension claire des rôles et attentes respectifs, assortie d'une </w:t>
      </w:r>
      <w:r w:rsidRPr="003E36A2">
        <w:rPr>
          <w:color w:val="000000"/>
          <w:lang w:val="fr-CH"/>
        </w:rPr>
        <w:t>obligation de rendre des comptes</w:t>
      </w:r>
      <w:r w:rsidRPr="003E36A2">
        <w:rPr>
          <w:bCs/>
          <w:lang w:val="fr-CH"/>
        </w:rPr>
        <w:t xml:space="preserve"> et d'</w:t>
      </w:r>
      <w:r w:rsidRPr="003E36A2">
        <w:rPr>
          <w:color w:val="000000"/>
          <w:lang w:val="fr-CH"/>
        </w:rPr>
        <w:t xml:space="preserve">une répartition claire des responsabilités entre l'UIT et le </w:t>
      </w:r>
      <w:r w:rsidRPr="003E36A2">
        <w:rPr>
          <w:bCs/>
          <w:lang w:val="fr-CH"/>
        </w:rPr>
        <w:t>sponsor.</w:t>
      </w:r>
    </w:p>
    <w:p w:rsidR="009F606B" w:rsidRPr="003E36A2" w:rsidRDefault="009F606B" w:rsidP="002A3EF0">
      <w:pPr>
        <w:rPr>
          <w:bCs/>
          <w:lang w:val="fr-CH"/>
        </w:rPr>
      </w:pPr>
      <w:r w:rsidRPr="003E36A2">
        <w:rPr>
          <w:bCs/>
          <w:lang w:val="fr-CH"/>
        </w:rPr>
        <w:t>2.</w:t>
      </w:r>
      <w:r w:rsidR="000B2ECF" w:rsidRPr="003E36A2">
        <w:rPr>
          <w:bCs/>
          <w:lang w:val="fr-CH"/>
        </w:rPr>
        <w:t>5</w:t>
      </w:r>
      <w:r w:rsidRPr="003E36A2">
        <w:rPr>
          <w:bCs/>
          <w:lang w:val="fr-CH"/>
        </w:rPr>
        <w:tab/>
      </w:r>
      <w:r w:rsidRPr="003E36A2">
        <w:rPr>
          <w:b/>
          <w:lang w:val="fr-CH"/>
        </w:rPr>
        <w:t>Maintenir l'intégrité, l'indépendance, l'impartialité et la réputation</w:t>
      </w:r>
      <w:r w:rsidRPr="003E36A2">
        <w:rPr>
          <w:bCs/>
          <w:lang w:val="fr-CH"/>
        </w:rPr>
        <w:t>: Les accords de parrainage ne doivent pas porter atteinte</w:t>
      </w:r>
      <w:r w:rsidR="006E54F5">
        <w:rPr>
          <w:bCs/>
          <w:lang w:val="fr-CH"/>
        </w:rPr>
        <w:t xml:space="preserve"> ou nuire</w:t>
      </w:r>
      <w:r w:rsidRPr="003E36A2">
        <w:rPr>
          <w:bCs/>
          <w:lang w:val="fr-CH"/>
        </w:rPr>
        <w:t xml:space="preserve"> à l'intégrité, à l'indépendance et à l'impartialité de l'UIT, ni conférer un avantage indu. En particulier, ces accords ne doivent pas indiquer ou laisser entendre qu'une société/organisation, ses politiques, ses produits ou ses services sont directement ou indirectement cautionnés. Le sponsor ne devrait pas non plus être considéré comme étant</w:t>
      </w:r>
      <w:r w:rsidRPr="003E36A2">
        <w:rPr>
          <w:lang w:val="fr-CH"/>
        </w:rPr>
        <w:t xml:space="preserve"> </w:t>
      </w:r>
      <w:r w:rsidRPr="003E36A2">
        <w:rPr>
          <w:bCs/>
          <w:lang w:val="fr-CH"/>
        </w:rPr>
        <w:t>susceptible d'influer sur les politiques de l'UIT, ou comme occupant une position privilégiée dans les processus décisionnels de l'Union.</w:t>
      </w:r>
    </w:p>
    <w:p w:rsidR="009F606B" w:rsidRPr="003E36A2" w:rsidRDefault="009F606B" w:rsidP="002A3EF0">
      <w:pPr>
        <w:rPr>
          <w:bCs/>
          <w:lang w:val="fr-CH"/>
        </w:rPr>
      </w:pPr>
      <w:r w:rsidRPr="003E36A2">
        <w:rPr>
          <w:bCs/>
          <w:lang w:val="fr-CH"/>
        </w:rPr>
        <w:t>2.6</w:t>
      </w:r>
      <w:r w:rsidRPr="003E36A2">
        <w:rPr>
          <w:bCs/>
          <w:lang w:val="fr-CH"/>
        </w:rPr>
        <w:tab/>
      </w:r>
      <w:r w:rsidRPr="003E36A2">
        <w:rPr>
          <w:b/>
          <w:lang w:val="fr-CH"/>
        </w:rPr>
        <w:t>Garantir la transparence</w:t>
      </w:r>
      <w:r w:rsidRPr="003E36A2">
        <w:rPr>
          <w:bCs/>
          <w:lang w:val="fr-CH"/>
        </w:rPr>
        <w:t>: des informations générales sur la nature et la portée des possibilités de parrainage devraient être mises à disposition sur le site web de l'UIT et communiquées à tous les membres de l'Union.</w:t>
      </w:r>
    </w:p>
    <w:p w:rsidR="000B2ECF" w:rsidRPr="003E36A2" w:rsidRDefault="000B2ECF" w:rsidP="002A3EF0">
      <w:pPr>
        <w:pStyle w:val="Heading1"/>
        <w:rPr>
          <w:lang w:val="fr-CH"/>
        </w:rPr>
      </w:pPr>
      <w:r w:rsidRPr="003E36A2">
        <w:rPr>
          <w:lang w:val="fr-CH"/>
        </w:rPr>
        <w:t>3</w:t>
      </w:r>
      <w:r w:rsidRPr="003E36A2">
        <w:rPr>
          <w:lang w:val="fr-CH"/>
        </w:rPr>
        <w:tab/>
      </w:r>
      <w:r w:rsidR="006E54F5">
        <w:rPr>
          <w:lang w:val="fr-CH"/>
        </w:rPr>
        <w:t xml:space="preserve">Principes en matière de parrainage </w:t>
      </w:r>
      <w:r w:rsidR="00257BE9">
        <w:rPr>
          <w:lang w:val="fr-CH"/>
        </w:rPr>
        <w:t xml:space="preserve">appliqués </w:t>
      </w:r>
      <w:r w:rsidR="006E54F5">
        <w:rPr>
          <w:lang w:val="fr-CH"/>
        </w:rPr>
        <w:t>dans le contexte du nouveau bâtiment</w:t>
      </w:r>
      <w:r w:rsidRPr="003E36A2">
        <w:rPr>
          <w:lang w:val="fr-CH"/>
        </w:rPr>
        <w:t xml:space="preserve"> </w:t>
      </w:r>
    </w:p>
    <w:p w:rsidR="00916326" w:rsidRDefault="000B2ECF" w:rsidP="002A3EF0">
      <w:pPr>
        <w:rPr>
          <w:rFonts w:asciiTheme="minorHAnsi" w:hAnsiTheme="minorHAnsi" w:cs="TimesNewRoman"/>
          <w:lang w:val="fr-CH"/>
        </w:rPr>
      </w:pPr>
      <w:r w:rsidRPr="003E36A2">
        <w:rPr>
          <w:rFonts w:asciiTheme="minorHAnsi" w:hAnsiTheme="minorHAnsi" w:cs="TimesNewRoman"/>
          <w:lang w:val="fr-CH"/>
        </w:rPr>
        <w:t>3.1</w:t>
      </w:r>
      <w:r w:rsidRPr="003E36A2">
        <w:rPr>
          <w:rFonts w:asciiTheme="minorHAnsi" w:hAnsiTheme="minorHAnsi" w:cs="TimesNewRoman"/>
          <w:lang w:val="fr-CH"/>
        </w:rPr>
        <w:tab/>
      </w:r>
      <w:bookmarkStart w:id="15" w:name="lt_pId048"/>
      <w:r w:rsidR="00916326">
        <w:rPr>
          <w:rFonts w:asciiTheme="minorHAnsi" w:hAnsiTheme="minorHAnsi" w:cs="TimesNewRoman"/>
          <w:lang w:val="fr-CH"/>
        </w:rPr>
        <w:t xml:space="preserve">Le projet de lignes directrices présenté ci-après assure la transparence, l'équité et la prévisibilité financière pour l'Union en ce qui concerne la mise en place </w:t>
      </w:r>
      <w:r w:rsidR="00257BE9">
        <w:rPr>
          <w:rFonts w:asciiTheme="minorHAnsi" w:hAnsiTheme="minorHAnsi" w:cs="TimesNewRoman"/>
          <w:lang w:val="fr-CH"/>
        </w:rPr>
        <w:t>de tous les</w:t>
      </w:r>
      <w:r w:rsidR="00916326">
        <w:rPr>
          <w:rFonts w:asciiTheme="minorHAnsi" w:hAnsiTheme="minorHAnsi" w:cs="TimesNewRoman"/>
          <w:lang w:val="fr-CH"/>
        </w:rPr>
        <w:t xml:space="preserve"> parrainages </w:t>
      </w:r>
      <w:r w:rsidR="00257BE9">
        <w:rPr>
          <w:rFonts w:asciiTheme="minorHAnsi" w:hAnsiTheme="minorHAnsi" w:cs="TimesNewRoman"/>
          <w:lang w:val="fr-CH"/>
        </w:rPr>
        <w:t>dont elle bénéficiera pour</w:t>
      </w:r>
      <w:r w:rsidR="00916326">
        <w:rPr>
          <w:rFonts w:asciiTheme="minorHAnsi" w:hAnsiTheme="minorHAnsi" w:cs="TimesNewRoman"/>
          <w:lang w:val="fr-CH"/>
        </w:rPr>
        <w:t xml:space="preserve"> financer divers éléments du nouveau bâtiment, par exemple les salles de conférence/réunion et les technologies </w:t>
      </w:r>
      <w:r w:rsidR="00257BE9">
        <w:rPr>
          <w:rFonts w:asciiTheme="minorHAnsi" w:hAnsiTheme="minorHAnsi" w:cs="TimesNewRoman"/>
          <w:lang w:val="fr-CH"/>
        </w:rPr>
        <w:t>dont elles sont équipées</w:t>
      </w:r>
      <w:r w:rsidR="00916326">
        <w:rPr>
          <w:rFonts w:asciiTheme="minorHAnsi" w:hAnsiTheme="minorHAnsi" w:cs="TimesNewRoman"/>
          <w:lang w:val="fr-CH"/>
        </w:rPr>
        <w:t>, la fourniture d'équipements</w:t>
      </w:r>
      <w:r w:rsidR="00257BE9">
        <w:rPr>
          <w:rFonts w:asciiTheme="minorHAnsi" w:hAnsiTheme="minorHAnsi" w:cs="TimesNewRoman"/>
          <w:lang w:val="fr-CH"/>
        </w:rPr>
        <w:t>,</w:t>
      </w:r>
      <w:r w:rsidR="00916326">
        <w:rPr>
          <w:rFonts w:asciiTheme="minorHAnsi" w:hAnsiTheme="minorHAnsi" w:cs="TimesNewRoman"/>
          <w:lang w:val="fr-CH"/>
        </w:rPr>
        <w:t xml:space="preserve"> d'installations, etc. Ces lignes directrices sont conformes aux principes régissant la mobilisation des ressources approuvés par le Conseil à sa session de 2017.</w:t>
      </w:r>
    </w:p>
    <w:bookmarkEnd w:id="15"/>
    <w:p w:rsidR="00916326" w:rsidRDefault="000B2ECF" w:rsidP="002A3EF0">
      <w:pPr>
        <w:pStyle w:val="enumlev1"/>
        <w:rPr>
          <w:lang w:val="fr-CH"/>
        </w:rPr>
      </w:pPr>
      <w:r w:rsidRPr="003E36A2">
        <w:rPr>
          <w:lang w:val="fr-CH"/>
        </w:rPr>
        <w:t>–</w:t>
      </w:r>
      <w:r w:rsidRPr="003E36A2">
        <w:rPr>
          <w:lang w:val="fr-CH"/>
        </w:rPr>
        <w:tab/>
      </w:r>
      <w:bookmarkStart w:id="16" w:name="lt_pId051"/>
      <w:r w:rsidR="00916326">
        <w:rPr>
          <w:lang w:val="fr-CH"/>
        </w:rPr>
        <w:t>T</w:t>
      </w:r>
      <w:r w:rsidR="00916326" w:rsidRPr="00916326">
        <w:rPr>
          <w:lang w:val="fr-CH"/>
        </w:rPr>
        <w:t xml:space="preserve">ous les membres </w:t>
      </w:r>
      <w:r w:rsidR="00257BE9">
        <w:rPr>
          <w:lang w:val="fr-CH"/>
        </w:rPr>
        <w:t xml:space="preserve">de l'Union </w:t>
      </w:r>
      <w:r w:rsidR="00916326" w:rsidRPr="00916326">
        <w:rPr>
          <w:lang w:val="fr-CH"/>
        </w:rPr>
        <w:t>devraient être informés des possibilités</w:t>
      </w:r>
      <w:r w:rsidR="00257BE9">
        <w:rPr>
          <w:lang w:val="fr-CH"/>
        </w:rPr>
        <w:t xml:space="preserve"> de parrainage et y </w:t>
      </w:r>
      <w:r w:rsidR="00916326">
        <w:rPr>
          <w:lang w:val="fr-CH"/>
        </w:rPr>
        <w:t xml:space="preserve">avoir </w:t>
      </w:r>
      <w:r w:rsidR="00257BE9">
        <w:rPr>
          <w:lang w:val="fr-CH"/>
        </w:rPr>
        <w:t>accès</w:t>
      </w:r>
      <w:r w:rsidR="00916326">
        <w:rPr>
          <w:lang w:val="fr-CH"/>
        </w:rPr>
        <w:t>, dans le cadre d'un processus transparent</w:t>
      </w:r>
      <w:r w:rsidR="00257BE9">
        <w:rPr>
          <w:lang w:val="fr-CH"/>
        </w:rPr>
        <w:t xml:space="preserve"> d'annonce des possibilités, de calcul du montant correspondant et </w:t>
      </w:r>
      <w:r w:rsidR="000455F3">
        <w:rPr>
          <w:lang w:val="fr-CH"/>
        </w:rPr>
        <w:t xml:space="preserve">de </w:t>
      </w:r>
      <w:r w:rsidR="00257BE9">
        <w:rPr>
          <w:lang w:val="fr-CH"/>
        </w:rPr>
        <w:t>choix du sponsor</w:t>
      </w:r>
      <w:r w:rsidR="000455F3">
        <w:rPr>
          <w:lang w:val="fr-CH"/>
        </w:rPr>
        <w:t>.</w:t>
      </w:r>
    </w:p>
    <w:bookmarkEnd w:id="16"/>
    <w:p w:rsidR="000455F3" w:rsidRDefault="000455F3" w:rsidP="002A3EF0">
      <w:pPr>
        <w:pStyle w:val="enumlev1"/>
        <w:rPr>
          <w:rFonts w:cstheme="minorHAnsi"/>
          <w:lang w:val="fr-CH"/>
        </w:rPr>
      </w:pPr>
      <w:r>
        <w:rPr>
          <w:rFonts w:cstheme="minorHAnsi"/>
          <w:lang w:val="fr-CH"/>
        </w:rPr>
        <w:br w:type="page"/>
      </w:r>
    </w:p>
    <w:p w:rsidR="00307D7C" w:rsidRDefault="000B2ECF" w:rsidP="000455F3">
      <w:pPr>
        <w:pStyle w:val="enumlev1"/>
        <w:rPr>
          <w:rFonts w:cstheme="minorHAnsi"/>
          <w:lang w:val="fr-CH"/>
        </w:rPr>
      </w:pPr>
      <w:r w:rsidRPr="003E36A2">
        <w:rPr>
          <w:rFonts w:cstheme="minorHAnsi"/>
          <w:lang w:val="fr-CH"/>
        </w:rPr>
        <w:lastRenderedPageBreak/>
        <w:t>–</w:t>
      </w:r>
      <w:r w:rsidRPr="003E36A2">
        <w:rPr>
          <w:rFonts w:cstheme="minorHAnsi"/>
          <w:lang w:val="fr-CH"/>
        </w:rPr>
        <w:tab/>
      </w:r>
      <w:bookmarkStart w:id="17" w:name="lt_pId053"/>
      <w:r w:rsidR="00307D7C">
        <w:rPr>
          <w:rFonts w:cstheme="minorHAnsi"/>
          <w:lang w:val="fr-CH"/>
        </w:rPr>
        <w:t>Les accords de parrainage seront conformes aux principes gé</w:t>
      </w:r>
      <w:r w:rsidR="00257BE9">
        <w:rPr>
          <w:rFonts w:cstheme="minorHAnsi"/>
          <w:lang w:val="fr-CH"/>
        </w:rPr>
        <w:t>néraux indiqués dans la section </w:t>
      </w:r>
      <w:r w:rsidR="00307D7C">
        <w:rPr>
          <w:rFonts w:cstheme="minorHAnsi"/>
          <w:lang w:val="fr-CH"/>
        </w:rPr>
        <w:t>2 ci-dessus, à l'Annexe 1 "Principes régissant la mobilisation des ressources"</w:t>
      </w:r>
      <w:r w:rsidR="00257BE9">
        <w:rPr>
          <w:rFonts w:cstheme="minorHAnsi"/>
          <w:lang w:val="fr-CH"/>
        </w:rPr>
        <w:t xml:space="preserve"> (tirée du Document C17/67), au</w:t>
      </w:r>
      <w:r w:rsidR="00307D7C">
        <w:rPr>
          <w:rFonts w:cstheme="minorHAnsi"/>
          <w:lang w:val="fr-CH"/>
        </w:rPr>
        <w:t xml:space="preserve"> </w:t>
      </w:r>
      <w:r w:rsidR="00307D7C" w:rsidRPr="00307D7C">
        <w:rPr>
          <w:rFonts w:cstheme="minorHAnsi"/>
          <w:lang w:val="fr-CH"/>
        </w:rPr>
        <w:t xml:space="preserve">Règlement financier et </w:t>
      </w:r>
      <w:r w:rsidR="00307D7C">
        <w:rPr>
          <w:rFonts w:cstheme="minorHAnsi"/>
          <w:lang w:val="fr-CH"/>
        </w:rPr>
        <w:t>aux</w:t>
      </w:r>
      <w:r w:rsidR="00307D7C" w:rsidRPr="00307D7C">
        <w:rPr>
          <w:rFonts w:cstheme="minorHAnsi"/>
          <w:lang w:val="fr-CH"/>
        </w:rPr>
        <w:t xml:space="preserve"> Règles financières de l'UIT</w:t>
      </w:r>
      <w:r w:rsidR="00307D7C">
        <w:rPr>
          <w:rFonts w:cstheme="minorHAnsi"/>
          <w:lang w:val="fr-CH"/>
        </w:rPr>
        <w:t xml:space="preserve"> et aux principes et règles régissant la passation de marché à l'UIT</w:t>
      </w:r>
      <w:r w:rsidR="000455F3">
        <w:rPr>
          <w:rFonts w:cstheme="minorHAnsi"/>
          <w:lang w:val="fr-CH"/>
        </w:rPr>
        <w:t>.</w:t>
      </w:r>
    </w:p>
    <w:bookmarkEnd w:id="17"/>
    <w:p w:rsidR="00307D7C" w:rsidRDefault="000B2ECF" w:rsidP="000455F3">
      <w:pPr>
        <w:pStyle w:val="enumlev1"/>
        <w:rPr>
          <w:rFonts w:cstheme="minorHAnsi"/>
          <w:lang w:val="fr-CH"/>
        </w:rPr>
      </w:pPr>
      <w:r w:rsidRPr="003E36A2">
        <w:rPr>
          <w:rFonts w:cstheme="minorHAnsi"/>
          <w:lang w:val="fr-CH"/>
        </w:rPr>
        <w:t>–</w:t>
      </w:r>
      <w:r w:rsidRPr="003E36A2">
        <w:rPr>
          <w:rFonts w:cstheme="minorHAnsi"/>
          <w:lang w:val="fr-CH"/>
        </w:rPr>
        <w:tab/>
      </w:r>
      <w:bookmarkStart w:id="18" w:name="lt_pId055"/>
      <w:r w:rsidR="00307D7C">
        <w:rPr>
          <w:rFonts w:cstheme="minorHAnsi"/>
          <w:lang w:val="fr-CH"/>
        </w:rPr>
        <w:t>Afin d'éviter que des coûts illimités incombent à l'Union dans l'avenir, la visibilité et les autres avantages dont bénéficie les sponsors ne sont pas offerts à titre permanent</w:t>
      </w:r>
      <w:r w:rsidR="000455F3">
        <w:rPr>
          <w:rFonts w:cstheme="minorHAnsi"/>
          <w:lang w:val="fr-CH"/>
        </w:rPr>
        <w:t>.</w:t>
      </w:r>
    </w:p>
    <w:bookmarkEnd w:id="18"/>
    <w:p w:rsidR="00307D7C" w:rsidRDefault="000B2ECF" w:rsidP="002A3EF0">
      <w:pPr>
        <w:pStyle w:val="enumlev1"/>
        <w:rPr>
          <w:rFonts w:cstheme="minorHAnsi"/>
          <w:lang w:val="fr-CH"/>
        </w:rPr>
      </w:pPr>
      <w:r w:rsidRPr="003E36A2">
        <w:rPr>
          <w:rFonts w:cstheme="minorHAnsi"/>
          <w:lang w:val="fr-CH"/>
        </w:rPr>
        <w:t>–</w:t>
      </w:r>
      <w:r w:rsidRPr="003E36A2">
        <w:rPr>
          <w:rFonts w:cstheme="minorHAnsi"/>
          <w:lang w:val="fr-CH"/>
        </w:rPr>
        <w:tab/>
      </w:r>
      <w:bookmarkStart w:id="19" w:name="lt_pId057"/>
      <w:r w:rsidR="00257BE9">
        <w:rPr>
          <w:rFonts w:cstheme="minorHAnsi"/>
          <w:lang w:val="fr-CH"/>
        </w:rPr>
        <w:t>Un</w:t>
      </w:r>
      <w:r w:rsidR="00307D7C">
        <w:rPr>
          <w:rFonts w:cstheme="minorHAnsi"/>
          <w:lang w:val="fr-CH"/>
        </w:rPr>
        <w:t xml:space="preserve"> parrainage </w:t>
      </w:r>
      <w:r w:rsidR="00257BE9">
        <w:rPr>
          <w:rFonts w:cstheme="minorHAnsi"/>
          <w:lang w:val="fr-CH"/>
        </w:rPr>
        <w:t>reçu par</w:t>
      </w:r>
      <w:r w:rsidR="00307D7C">
        <w:rPr>
          <w:rFonts w:cstheme="minorHAnsi"/>
          <w:lang w:val="fr-CH"/>
        </w:rPr>
        <w:t xml:space="preserve"> l'UIT doit couvrir l'intégralité de tous les coûts directs et indirects des éléments financés </w:t>
      </w:r>
      <w:r w:rsidR="00257BE9">
        <w:rPr>
          <w:rFonts w:cstheme="minorHAnsi"/>
          <w:lang w:val="fr-CH"/>
        </w:rPr>
        <w:t>grâce au parrainage en question</w:t>
      </w:r>
      <w:r w:rsidR="00307D7C">
        <w:rPr>
          <w:rFonts w:cstheme="minorHAnsi"/>
          <w:lang w:val="fr-CH"/>
        </w:rPr>
        <w:t xml:space="preserve"> pendant la période </w:t>
      </w:r>
      <w:r w:rsidR="00257BE9">
        <w:rPr>
          <w:rFonts w:cstheme="minorHAnsi"/>
          <w:lang w:val="fr-CH"/>
        </w:rPr>
        <w:t>convenue</w:t>
      </w:r>
      <w:r w:rsidR="00307D7C">
        <w:rPr>
          <w:rFonts w:cstheme="minorHAnsi"/>
          <w:lang w:val="fr-CH"/>
        </w:rPr>
        <w:t xml:space="preserve">. Par exemple, </w:t>
      </w:r>
      <w:r w:rsidR="007D265A">
        <w:rPr>
          <w:rFonts w:cstheme="minorHAnsi"/>
          <w:lang w:val="fr-CH"/>
        </w:rPr>
        <w:t>le parrainage d'u</w:t>
      </w:r>
      <w:r w:rsidR="00257BE9">
        <w:rPr>
          <w:rFonts w:cstheme="minorHAnsi"/>
          <w:lang w:val="fr-CH"/>
        </w:rPr>
        <w:t>ne salle de conférence portera</w:t>
      </w:r>
      <w:r w:rsidR="007D265A">
        <w:rPr>
          <w:rFonts w:cstheme="minorHAnsi"/>
          <w:lang w:val="fr-CH"/>
        </w:rPr>
        <w:t xml:space="preserve"> sur une période </w:t>
      </w:r>
      <w:r w:rsidR="00257BE9">
        <w:rPr>
          <w:rFonts w:cstheme="minorHAnsi"/>
          <w:lang w:val="fr-CH"/>
        </w:rPr>
        <w:t>qui correspondra</w:t>
      </w:r>
      <w:r w:rsidR="007D265A">
        <w:rPr>
          <w:rFonts w:cstheme="minorHAnsi"/>
          <w:lang w:val="fr-CH"/>
        </w:rPr>
        <w:t xml:space="preserve"> à la durée de vie attendue des équipements et du mobilier</w:t>
      </w:r>
      <w:r w:rsidR="00257BE9">
        <w:rPr>
          <w:rFonts w:cstheme="minorHAnsi"/>
          <w:lang w:val="fr-CH"/>
        </w:rPr>
        <w:t>,</w:t>
      </w:r>
      <w:r w:rsidR="007D265A">
        <w:rPr>
          <w:rFonts w:cstheme="minorHAnsi"/>
          <w:lang w:val="fr-CH"/>
        </w:rPr>
        <w:t xml:space="preserve"> mais </w:t>
      </w:r>
      <w:r w:rsidR="00257BE9">
        <w:rPr>
          <w:rFonts w:cstheme="minorHAnsi"/>
          <w:lang w:val="fr-CH"/>
        </w:rPr>
        <w:t xml:space="preserve">qui pourrait </w:t>
      </w:r>
      <w:r w:rsidR="007D265A">
        <w:rPr>
          <w:rFonts w:cstheme="minorHAnsi"/>
          <w:lang w:val="fr-CH"/>
        </w:rPr>
        <w:t xml:space="preserve">être prolongée dès lors que les coûts de remplacement sont pris en charge par le sponsor. Les coûts indirects ne comprennent pas les coûts qui incomberaient dans tous les cas à l'UIT en l'absence de ce parrainage (par exemple, </w:t>
      </w:r>
      <w:r w:rsidR="00257BE9">
        <w:rPr>
          <w:rFonts w:cstheme="minorHAnsi"/>
          <w:lang w:val="fr-CH"/>
        </w:rPr>
        <w:t>maintenance et remplacement d'</w:t>
      </w:r>
      <w:r w:rsidR="007D265A">
        <w:rPr>
          <w:rFonts w:cstheme="minorHAnsi"/>
          <w:lang w:val="fr-CH"/>
        </w:rPr>
        <w:t>éléments défectueux).</w:t>
      </w:r>
    </w:p>
    <w:bookmarkEnd w:id="19"/>
    <w:p w:rsidR="00AB2D63" w:rsidRDefault="000B2ECF" w:rsidP="002A3EF0">
      <w:pPr>
        <w:rPr>
          <w:lang w:val="fr-CH"/>
        </w:rPr>
      </w:pPr>
      <w:r w:rsidRPr="003E36A2">
        <w:rPr>
          <w:lang w:val="fr-CH"/>
        </w:rPr>
        <w:t>3.2</w:t>
      </w:r>
      <w:r w:rsidRPr="003E36A2">
        <w:rPr>
          <w:lang w:val="fr-CH"/>
        </w:rPr>
        <w:tab/>
      </w:r>
      <w:bookmarkStart w:id="20" w:name="lt_pId061"/>
      <w:r w:rsidR="00AB2D63">
        <w:rPr>
          <w:lang w:val="fr-CH"/>
        </w:rPr>
        <w:t xml:space="preserve">Il peut être prévu, au titre des avantages du parrainage, de "baptiser" un élément pour la période sur laquelle porte le parrainage. </w:t>
      </w:r>
    </w:p>
    <w:bookmarkEnd w:id="20"/>
    <w:p w:rsidR="00AB2D63" w:rsidRDefault="000B2ECF" w:rsidP="002A3EF0">
      <w:pPr>
        <w:rPr>
          <w:lang w:val="fr-CH"/>
        </w:rPr>
      </w:pPr>
      <w:r w:rsidRPr="003E36A2">
        <w:rPr>
          <w:lang w:val="fr-CH"/>
        </w:rPr>
        <w:t>3.3</w:t>
      </w:r>
      <w:r w:rsidRPr="003E36A2">
        <w:rPr>
          <w:lang w:val="fr-CH"/>
        </w:rPr>
        <w:tab/>
      </w:r>
      <w:bookmarkStart w:id="21" w:name="lt_pId063"/>
      <w:r w:rsidR="00AB2D63">
        <w:rPr>
          <w:lang w:val="fr-CH"/>
        </w:rPr>
        <w:t>L'acquisition de biens ou de services sera assujettie aux procédures d'achats en vigueur à l'UIT.</w:t>
      </w:r>
    </w:p>
    <w:bookmarkEnd w:id="21"/>
    <w:p w:rsidR="00AB2D63" w:rsidRDefault="000B2ECF" w:rsidP="002A3EF0">
      <w:pPr>
        <w:rPr>
          <w:lang w:val="fr-CH"/>
        </w:rPr>
      </w:pPr>
      <w:r w:rsidRPr="003E36A2">
        <w:rPr>
          <w:lang w:val="fr-CH"/>
        </w:rPr>
        <w:t>3.4</w:t>
      </w:r>
      <w:r w:rsidRPr="003E36A2">
        <w:rPr>
          <w:lang w:val="fr-CH"/>
        </w:rPr>
        <w:tab/>
      </w:r>
      <w:bookmarkStart w:id="22" w:name="lt_pId065"/>
      <w:r w:rsidR="00AB2D63">
        <w:rPr>
          <w:lang w:val="fr-CH"/>
        </w:rPr>
        <w:t>Le secrétariat se réserve le droit de décliner toute offre de parrainage qu'il jugera inappropriée.</w:t>
      </w:r>
    </w:p>
    <w:bookmarkEnd w:id="22"/>
    <w:p w:rsidR="000B2ECF" w:rsidRPr="003E36A2" w:rsidRDefault="000B2ECF" w:rsidP="002A3EF0">
      <w:pPr>
        <w:pStyle w:val="Heading1"/>
        <w:rPr>
          <w:lang w:val="fr-CH"/>
        </w:rPr>
      </w:pPr>
      <w:r w:rsidRPr="003E36A2">
        <w:rPr>
          <w:lang w:val="fr-CH"/>
        </w:rPr>
        <w:t>4</w:t>
      </w:r>
      <w:r w:rsidRPr="003E36A2">
        <w:rPr>
          <w:lang w:val="fr-CH"/>
        </w:rPr>
        <w:tab/>
      </w:r>
      <w:bookmarkStart w:id="23" w:name="lt_pId067"/>
      <w:r w:rsidRPr="003E36A2">
        <w:rPr>
          <w:lang w:val="fr-CH"/>
        </w:rPr>
        <w:t>El</w:t>
      </w:r>
      <w:r w:rsidR="00580B34">
        <w:rPr>
          <w:lang w:val="fr-CH"/>
        </w:rPr>
        <w:t>é</w:t>
      </w:r>
      <w:r w:rsidRPr="003E36A2">
        <w:rPr>
          <w:lang w:val="fr-CH"/>
        </w:rPr>
        <w:t xml:space="preserve">ments </w:t>
      </w:r>
      <w:bookmarkEnd w:id="23"/>
      <w:r w:rsidR="00AB2D63">
        <w:rPr>
          <w:lang w:val="fr-CH"/>
        </w:rPr>
        <w:t>pouvant faire l'objet d'un parrainage</w:t>
      </w:r>
    </w:p>
    <w:p w:rsidR="00AB2D63" w:rsidRDefault="000B2ECF" w:rsidP="002A3EF0">
      <w:pPr>
        <w:rPr>
          <w:lang w:val="fr-CH"/>
        </w:rPr>
      </w:pPr>
      <w:r w:rsidRPr="003E36A2">
        <w:rPr>
          <w:lang w:val="fr-CH"/>
        </w:rPr>
        <w:t>4.1</w:t>
      </w:r>
      <w:r w:rsidRPr="003E36A2">
        <w:rPr>
          <w:lang w:val="fr-CH"/>
        </w:rPr>
        <w:tab/>
      </w:r>
      <w:bookmarkStart w:id="24" w:name="lt_pId069"/>
      <w:r w:rsidR="00AB2D63">
        <w:rPr>
          <w:lang w:val="fr-CH"/>
        </w:rPr>
        <w:t>Les éléments du projet indiqués ci-après intéresseront peut-être les sponsors.</w:t>
      </w:r>
    </w:p>
    <w:bookmarkEnd w:id="24"/>
    <w:p w:rsidR="000B2ECF" w:rsidRPr="003E36A2" w:rsidRDefault="000B2ECF" w:rsidP="002A3EF0">
      <w:pPr>
        <w:jc w:val="both"/>
        <w:rPr>
          <w:rFonts w:asciiTheme="minorHAnsi" w:hAnsiTheme="minorHAnsi" w:cstheme="minorHAnsi"/>
          <w:szCs w:val="24"/>
          <w:lang w:val="fr-CH"/>
        </w:rPr>
      </w:pPr>
      <w:r w:rsidRPr="003E36A2">
        <w:rPr>
          <w:rFonts w:asciiTheme="minorHAnsi" w:hAnsiTheme="minorHAnsi" w:cstheme="minorHAnsi"/>
          <w:szCs w:val="24"/>
          <w:lang w:val="fr-CH"/>
        </w:rPr>
        <w:t>4.2</w:t>
      </w:r>
      <w:r w:rsidRPr="003E36A2">
        <w:rPr>
          <w:rFonts w:asciiTheme="minorHAnsi" w:hAnsiTheme="minorHAnsi" w:cstheme="minorHAnsi"/>
          <w:szCs w:val="24"/>
          <w:lang w:val="fr-CH"/>
        </w:rPr>
        <w:tab/>
      </w:r>
      <w:r w:rsidR="00AB2D63">
        <w:rPr>
          <w:rFonts w:asciiTheme="minorHAnsi" w:hAnsiTheme="minorHAnsi" w:cstheme="minorHAnsi"/>
          <w:szCs w:val="24"/>
          <w:lang w:val="fr-CH"/>
        </w:rPr>
        <w:t>Salles de conférence et de réunion</w:t>
      </w:r>
      <w:r w:rsidR="00257BE9">
        <w:rPr>
          <w:rFonts w:asciiTheme="minorHAnsi" w:hAnsiTheme="minorHAnsi" w:cstheme="minorHAnsi"/>
          <w:szCs w:val="24"/>
          <w:lang w:val="fr-CH"/>
        </w:rPr>
        <w:t>:</w:t>
      </w:r>
    </w:p>
    <w:p w:rsidR="000B2ECF" w:rsidRPr="003E36A2" w:rsidRDefault="000B2ECF" w:rsidP="002A3EF0">
      <w:pPr>
        <w:pStyle w:val="enumlev1"/>
        <w:rPr>
          <w:lang w:val="fr-CH"/>
        </w:rPr>
      </w:pPr>
      <w:r w:rsidRPr="003E36A2">
        <w:rPr>
          <w:lang w:val="fr-CH"/>
        </w:rPr>
        <w:t>–</w:t>
      </w:r>
      <w:r w:rsidRPr="003E36A2">
        <w:rPr>
          <w:lang w:val="fr-CH"/>
        </w:rPr>
        <w:tab/>
      </w:r>
      <w:bookmarkStart w:id="25" w:name="lt_pId073"/>
      <w:r w:rsidRPr="003E36A2">
        <w:rPr>
          <w:b/>
          <w:bCs/>
          <w:lang w:val="fr-CH"/>
        </w:rPr>
        <w:t xml:space="preserve">1 </w:t>
      </w:r>
      <w:r w:rsidR="00AB2D63">
        <w:rPr>
          <w:b/>
          <w:bCs/>
          <w:lang w:val="fr-CH"/>
        </w:rPr>
        <w:t xml:space="preserve">salle de conférence de </w:t>
      </w:r>
      <w:r w:rsidRPr="003E36A2">
        <w:rPr>
          <w:b/>
          <w:bCs/>
          <w:lang w:val="fr-CH"/>
        </w:rPr>
        <w:t xml:space="preserve">500 </w:t>
      </w:r>
      <w:r w:rsidR="00AB2D63">
        <w:rPr>
          <w:b/>
          <w:bCs/>
          <w:lang w:val="fr-CH"/>
        </w:rPr>
        <w:t>places</w:t>
      </w:r>
      <w:r w:rsidRPr="003E36A2">
        <w:rPr>
          <w:lang w:val="fr-CH"/>
        </w:rPr>
        <w:t>;</w:t>
      </w:r>
      <w:bookmarkEnd w:id="25"/>
      <w:r w:rsidRPr="003E36A2">
        <w:rPr>
          <w:lang w:val="fr-CH"/>
        </w:rPr>
        <w:t xml:space="preserve"> </w:t>
      </w:r>
    </w:p>
    <w:p w:rsidR="000B2ECF" w:rsidRPr="003E36A2" w:rsidRDefault="000B2ECF" w:rsidP="002A3EF0">
      <w:pPr>
        <w:pStyle w:val="enumlev1"/>
        <w:rPr>
          <w:lang w:val="fr-CH"/>
        </w:rPr>
      </w:pPr>
      <w:r w:rsidRPr="003E36A2">
        <w:rPr>
          <w:lang w:val="fr-CH"/>
        </w:rPr>
        <w:t>–</w:t>
      </w:r>
      <w:bookmarkStart w:id="26" w:name="lt_pId075"/>
      <w:r w:rsidRPr="003E36A2">
        <w:rPr>
          <w:lang w:val="fr-CH"/>
        </w:rPr>
        <w:tab/>
      </w:r>
      <w:r w:rsidRPr="003E36A2">
        <w:rPr>
          <w:b/>
          <w:bCs/>
          <w:lang w:val="fr-CH"/>
        </w:rPr>
        <w:t xml:space="preserve">1 </w:t>
      </w:r>
      <w:r w:rsidR="00AB2D63">
        <w:rPr>
          <w:b/>
          <w:bCs/>
          <w:lang w:val="fr-CH"/>
        </w:rPr>
        <w:t xml:space="preserve">salle de conférence de </w:t>
      </w:r>
      <w:r w:rsidRPr="003E36A2">
        <w:rPr>
          <w:b/>
          <w:bCs/>
          <w:lang w:val="fr-CH"/>
        </w:rPr>
        <w:t xml:space="preserve">234 </w:t>
      </w:r>
      <w:r w:rsidR="00AB2D63">
        <w:rPr>
          <w:b/>
          <w:bCs/>
          <w:lang w:val="fr-CH"/>
        </w:rPr>
        <w:t>places</w:t>
      </w:r>
      <w:r w:rsidRPr="003E36A2">
        <w:rPr>
          <w:lang w:val="fr-CH"/>
        </w:rPr>
        <w:t>;</w:t>
      </w:r>
      <w:bookmarkEnd w:id="26"/>
      <w:r w:rsidRPr="003E36A2">
        <w:rPr>
          <w:lang w:val="fr-CH"/>
        </w:rPr>
        <w:t xml:space="preserve"> </w:t>
      </w:r>
    </w:p>
    <w:p w:rsidR="000B2ECF" w:rsidRPr="003E36A2" w:rsidRDefault="000B2ECF" w:rsidP="002A3EF0">
      <w:pPr>
        <w:pStyle w:val="enumlev1"/>
        <w:rPr>
          <w:lang w:val="fr-CH"/>
        </w:rPr>
      </w:pPr>
      <w:r w:rsidRPr="003E36A2">
        <w:rPr>
          <w:lang w:val="fr-CH"/>
        </w:rPr>
        <w:t>–</w:t>
      </w:r>
      <w:bookmarkStart w:id="27" w:name="lt_pId077"/>
      <w:r w:rsidRPr="003E36A2">
        <w:rPr>
          <w:lang w:val="fr-CH"/>
        </w:rPr>
        <w:tab/>
      </w:r>
      <w:r w:rsidRPr="003E36A2">
        <w:rPr>
          <w:b/>
          <w:bCs/>
          <w:lang w:val="fr-CH"/>
        </w:rPr>
        <w:t xml:space="preserve">1 </w:t>
      </w:r>
      <w:r w:rsidR="00AB2D63">
        <w:rPr>
          <w:b/>
          <w:bCs/>
          <w:lang w:val="fr-CH"/>
        </w:rPr>
        <w:t xml:space="preserve">salle de conférence de </w:t>
      </w:r>
      <w:r w:rsidRPr="003E36A2">
        <w:rPr>
          <w:b/>
          <w:bCs/>
          <w:lang w:val="fr-CH"/>
        </w:rPr>
        <w:t xml:space="preserve">100 </w:t>
      </w:r>
      <w:bookmarkEnd w:id="27"/>
      <w:r w:rsidR="00AB2D63">
        <w:rPr>
          <w:b/>
          <w:bCs/>
          <w:lang w:val="fr-CH"/>
        </w:rPr>
        <w:t>places</w:t>
      </w:r>
      <w:r w:rsidRPr="003E36A2">
        <w:rPr>
          <w:lang w:val="fr-CH"/>
        </w:rPr>
        <w:t>.</w:t>
      </w:r>
    </w:p>
    <w:p w:rsidR="00AB2D63" w:rsidRDefault="00257BE9" w:rsidP="002A3EF0">
      <w:pPr>
        <w:jc w:val="both"/>
        <w:rPr>
          <w:rFonts w:asciiTheme="minorHAnsi" w:hAnsiTheme="minorHAnsi" w:cs="TimesNewRoman"/>
          <w:color w:val="000000" w:themeColor="text1"/>
          <w:szCs w:val="24"/>
          <w:lang w:val="fr-CH"/>
        </w:rPr>
      </w:pPr>
      <w:bookmarkStart w:id="28" w:name="lt_pId078"/>
      <w:r>
        <w:rPr>
          <w:rFonts w:asciiTheme="minorHAnsi" w:hAnsiTheme="minorHAnsi" w:cs="TimesNewRoman"/>
          <w:color w:val="000000" w:themeColor="text1"/>
          <w:szCs w:val="24"/>
          <w:lang w:val="fr-CH"/>
        </w:rPr>
        <w:t>Concernant la fourniture du mobilier et d</w:t>
      </w:r>
      <w:r w:rsidR="00AB2D63">
        <w:rPr>
          <w:rFonts w:asciiTheme="minorHAnsi" w:hAnsiTheme="minorHAnsi" w:cs="TimesNewRoman"/>
          <w:color w:val="000000" w:themeColor="text1"/>
          <w:szCs w:val="24"/>
          <w:lang w:val="fr-CH"/>
        </w:rPr>
        <w:t xml:space="preserve">es systèmes audiovisuels d'une salle de conférence de l'UIT, on peut estimer que le coût </w:t>
      </w:r>
      <w:r>
        <w:rPr>
          <w:rFonts w:asciiTheme="minorHAnsi" w:hAnsiTheme="minorHAnsi" w:cs="TimesNewRoman"/>
          <w:color w:val="000000" w:themeColor="text1"/>
          <w:szCs w:val="24"/>
          <w:lang w:val="fr-CH"/>
        </w:rPr>
        <w:t>d'une</w:t>
      </w:r>
      <w:r w:rsidR="00AB2D63">
        <w:rPr>
          <w:rFonts w:asciiTheme="minorHAnsi" w:hAnsiTheme="minorHAnsi" w:cs="TimesNewRoman"/>
          <w:color w:val="000000" w:themeColor="text1"/>
          <w:szCs w:val="24"/>
          <w:lang w:val="fr-CH"/>
        </w:rPr>
        <w:t xml:space="preserve"> place est compris entre 5 000 et 10 000 CHF, auquel s'ajoute le coût de la maintenance. Le coût final dépend des moyens techniques et du niveau de confort de la salle.</w:t>
      </w:r>
    </w:p>
    <w:p w:rsidR="00AB2D63" w:rsidRDefault="00AB2D63" w:rsidP="000455F3">
      <w:pPr>
        <w:jc w:val="both"/>
        <w:rPr>
          <w:rFonts w:asciiTheme="minorHAnsi" w:hAnsiTheme="minorHAnsi" w:cs="TimesNewRoman"/>
          <w:color w:val="000000" w:themeColor="text1"/>
          <w:szCs w:val="24"/>
          <w:lang w:val="fr-CH"/>
        </w:rPr>
      </w:pPr>
      <w:bookmarkStart w:id="29" w:name="lt_pId080"/>
      <w:bookmarkEnd w:id="28"/>
      <w:r>
        <w:rPr>
          <w:rFonts w:asciiTheme="minorHAnsi" w:hAnsiTheme="minorHAnsi" w:cs="TimesNewRoman"/>
          <w:color w:val="000000" w:themeColor="text1"/>
          <w:szCs w:val="24"/>
          <w:lang w:val="fr-CH"/>
        </w:rPr>
        <w:t>Le budget total nécessaire pour les moyens audiovisuels pour toutes les salles du nouveau bâtiment devrait être de l'ordre de 10 millions CHF.</w:t>
      </w:r>
    </w:p>
    <w:bookmarkEnd w:id="29"/>
    <w:p w:rsidR="00566D41" w:rsidRDefault="000B2ECF" w:rsidP="002A3EF0">
      <w:pPr>
        <w:jc w:val="both"/>
        <w:rPr>
          <w:rFonts w:asciiTheme="minorHAnsi" w:hAnsiTheme="minorHAnsi" w:cstheme="minorHAnsi"/>
          <w:bCs/>
          <w:szCs w:val="24"/>
          <w:lang w:val="fr-CH"/>
        </w:rPr>
      </w:pPr>
      <w:r w:rsidRPr="003E36A2">
        <w:rPr>
          <w:rFonts w:asciiTheme="minorHAnsi" w:hAnsiTheme="minorHAnsi" w:cstheme="minorHAnsi"/>
          <w:szCs w:val="24"/>
          <w:lang w:val="fr-CH"/>
        </w:rPr>
        <w:t>4.3</w:t>
      </w:r>
      <w:r w:rsidRPr="003E36A2">
        <w:rPr>
          <w:rFonts w:asciiTheme="minorHAnsi" w:hAnsiTheme="minorHAnsi" w:cstheme="minorHAnsi"/>
          <w:b/>
          <w:szCs w:val="24"/>
          <w:lang w:val="fr-CH"/>
        </w:rPr>
        <w:tab/>
      </w:r>
      <w:bookmarkStart w:id="30" w:name="lt_pId082"/>
      <w:r w:rsidR="00566D41">
        <w:rPr>
          <w:rFonts w:asciiTheme="minorHAnsi" w:hAnsiTheme="minorHAnsi" w:cstheme="minorHAnsi"/>
          <w:b/>
          <w:szCs w:val="24"/>
          <w:lang w:val="fr-CH"/>
        </w:rPr>
        <w:t>Espace Découverte des TIC</w:t>
      </w:r>
      <w:r w:rsidRPr="00257BE9">
        <w:rPr>
          <w:rFonts w:asciiTheme="minorHAnsi" w:hAnsiTheme="minorHAnsi" w:cstheme="minorHAnsi"/>
          <w:bCs/>
          <w:szCs w:val="24"/>
          <w:lang w:val="fr-CH"/>
        </w:rPr>
        <w:t xml:space="preserve">: </w:t>
      </w:r>
      <w:r w:rsidR="00566D41">
        <w:rPr>
          <w:rFonts w:asciiTheme="minorHAnsi" w:hAnsiTheme="minorHAnsi" w:cstheme="minorHAnsi"/>
          <w:bCs/>
          <w:szCs w:val="24"/>
          <w:lang w:val="fr-CH"/>
        </w:rPr>
        <w:t xml:space="preserve">cet élément </w:t>
      </w:r>
      <w:r w:rsidR="00257BE9">
        <w:rPr>
          <w:rFonts w:asciiTheme="minorHAnsi" w:hAnsiTheme="minorHAnsi" w:cstheme="minorHAnsi"/>
          <w:bCs/>
          <w:szCs w:val="24"/>
          <w:lang w:val="fr-CH"/>
        </w:rPr>
        <w:t xml:space="preserve">n'existera que si les </w:t>
      </w:r>
      <w:r w:rsidR="00566D41">
        <w:rPr>
          <w:rFonts w:asciiTheme="minorHAnsi" w:hAnsiTheme="minorHAnsi" w:cstheme="minorHAnsi"/>
          <w:bCs/>
          <w:szCs w:val="24"/>
          <w:lang w:val="fr-CH"/>
        </w:rPr>
        <w:t>parrainage</w:t>
      </w:r>
      <w:r w:rsidR="00257BE9">
        <w:rPr>
          <w:rFonts w:asciiTheme="minorHAnsi" w:hAnsiTheme="minorHAnsi" w:cstheme="minorHAnsi"/>
          <w:bCs/>
          <w:szCs w:val="24"/>
          <w:lang w:val="fr-CH"/>
        </w:rPr>
        <w:t>s couvre</w:t>
      </w:r>
      <w:r w:rsidR="00566D41">
        <w:rPr>
          <w:rFonts w:asciiTheme="minorHAnsi" w:hAnsiTheme="minorHAnsi" w:cstheme="minorHAnsi"/>
          <w:bCs/>
          <w:szCs w:val="24"/>
          <w:lang w:val="fr-CH"/>
        </w:rPr>
        <w:t xml:space="preserve">nt la totalité des coûts. Cet espace sera situé à l'extérieur du nouveau bâtiment, à côté du poste de sécurité. </w:t>
      </w:r>
      <w:r w:rsidR="00C93B62">
        <w:rPr>
          <w:rFonts w:asciiTheme="minorHAnsi" w:hAnsiTheme="minorHAnsi" w:cstheme="minorHAnsi"/>
          <w:bCs/>
          <w:szCs w:val="24"/>
          <w:lang w:val="fr-CH"/>
        </w:rPr>
        <w:t>Toutes les</w:t>
      </w:r>
      <w:r w:rsidR="00F37671">
        <w:rPr>
          <w:rFonts w:asciiTheme="minorHAnsi" w:hAnsiTheme="minorHAnsi" w:cstheme="minorHAnsi"/>
          <w:bCs/>
          <w:szCs w:val="24"/>
          <w:lang w:val="fr-CH"/>
        </w:rPr>
        <w:t xml:space="preserve"> offres de parrainage devraient être </w:t>
      </w:r>
      <w:r w:rsidR="00C93B62">
        <w:rPr>
          <w:rFonts w:asciiTheme="minorHAnsi" w:hAnsiTheme="minorHAnsi" w:cstheme="minorHAnsi"/>
          <w:bCs/>
          <w:szCs w:val="24"/>
          <w:lang w:val="fr-CH"/>
        </w:rPr>
        <w:t>présentées sous une forme exhaustive</w:t>
      </w:r>
      <w:r w:rsidR="00F37671">
        <w:rPr>
          <w:rFonts w:asciiTheme="minorHAnsi" w:hAnsiTheme="minorHAnsi" w:cstheme="minorHAnsi"/>
          <w:bCs/>
          <w:szCs w:val="24"/>
          <w:lang w:val="fr-CH"/>
        </w:rPr>
        <w:t xml:space="preserve"> en vue de leur intégration dans le projet détaillé</w:t>
      </w:r>
      <w:r w:rsidR="00C93B62">
        <w:rPr>
          <w:rFonts w:asciiTheme="minorHAnsi" w:hAnsiTheme="minorHAnsi" w:cstheme="minorHAnsi"/>
          <w:bCs/>
          <w:szCs w:val="24"/>
          <w:lang w:val="fr-CH"/>
        </w:rPr>
        <w:t>,</w:t>
      </w:r>
      <w:r w:rsidR="00F37671">
        <w:rPr>
          <w:rFonts w:asciiTheme="minorHAnsi" w:hAnsiTheme="minorHAnsi" w:cstheme="minorHAnsi"/>
          <w:bCs/>
          <w:szCs w:val="24"/>
          <w:lang w:val="fr-CH"/>
        </w:rPr>
        <w:t xml:space="preserve"> d'ici à octobre 2018 au plus tard.</w:t>
      </w:r>
    </w:p>
    <w:bookmarkEnd w:id="30"/>
    <w:p w:rsidR="000B2ECF" w:rsidRPr="003E36A2" w:rsidRDefault="000B2ECF" w:rsidP="002A3EF0">
      <w:pPr>
        <w:rPr>
          <w:lang w:val="fr-CH"/>
        </w:rPr>
      </w:pPr>
      <w:r w:rsidRPr="003E36A2">
        <w:rPr>
          <w:lang w:val="fr-CH"/>
        </w:rPr>
        <w:t>4.4</w:t>
      </w:r>
      <w:r w:rsidRPr="003E36A2">
        <w:rPr>
          <w:lang w:val="fr-CH"/>
        </w:rPr>
        <w:tab/>
      </w:r>
      <w:bookmarkStart w:id="31" w:name="lt_pId086"/>
      <w:r w:rsidR="00AB2D63">
        <w:rPr>
          <w:b/>
          <w:bCs/>
          <w:lang w:val="fr-CH"/>
        </w:rPr>
        <w:t>Autres espaces intérieur</w:t>
      </w:r>
      <w:r w:rsidR="00C93B62">
        <w:rPr>
          <w:b/>
          <w:bCs/>
          <w:lang w:val="fr-CH"/>
        </w:rPr>
        <w:t>s</w:t>
      </w:r>
      <w:r w:rsidRPr="003E36A2">
        <w:rPr>
          <w:lang w:val="fr-CH"/>
        </w:rPr>
        <w:t>:</w:t>
      </w:r>
      <w:bookmarkEnd w:id="31"/>
    </w:p>
    <w:p w:rsidR="000B2ECF" w:rsidRPr="003E36A2" w:rsidRDefault="000B2ECF" w:rsidP="002A3EF0">
      <w:pPr>
        <w:pStyle w:val="enumlev1"/>
        <w:rPr>
          <w:lang w:val="fr-CH"/>
        </w:rPr>
      </w:pPr>
      <w:bookmarkStart w:id="32" w:name="lt_pId087"/>
      <w:r w:rsidRPr="003E36A2">
        <w:rPr>
          <w:bCs/>
          <w:lang w:val="fr-CH"/>
        </w:rPr>
        <w:t>i)</w:t>
      </w:r>
      <w:r w:rsidRPr="003E36A2">
        <w:rPr>
          <w:bCs/>
          <w:lang w:val="fr-CH"/>
        </w:rPr>
        <w:tab/>
      </w:r>
      <w:r w:rsidR="00566D41">
        <w:rPr>
          <w:b/>
          <w:lang w:val="fr-CH"/>
        </w:rPr>
        <w:t>Salon des délégués</w:t>
      </w:r>
      <w:r w:rsidRPr="003E36A2">
        <w:rPr>
          <w:lang w:val="fr-CH"/>
        </w:rPr>
        <w:t xml:space="preserve">: </w:t>
      </w:r>
      <w:r w:rsidR="00566D41">
        <w:rPr>
          <w:lang w:val="fr-CH"/>
        </w:rPr>
        <w:t>espace ouvert attenant aux salles de conférence</w:t>
      </w:r>
      <w:bookmarkEnd w:id="32"/>
      <w:r w:rsidRPr="003E36A2">
        <w:rPr>
          <w:lang w:val="fr-CH"/>
        </w:rPr>
        <w:t xml:space="preserve"> </w:t>
      </w:r>
    </w:p>
    <w:p w:rsidR="000B2ECF" w:rsidRPr="003E36A2" w:rsidRDefault="000B2ECF" w:rsidP="002A3EF0">
      <w:pPr>
        <w:pStyle w:val="enumlev1"/>
        <w:rPr>
          <w:lang w:val="fr-CH"/>
        </w:rPr>
      </w:pPr>
      <w:bookmarkStart w:id="33" w:name="lt_pId088"/>
      <w:r w:rsidRPr="003E36A2">
        <w:rPr>
          <w:bCs/>
          <w:lang w:val="fr-CH"/>
        </w:rPr>
        <w:t>ii)</w:t>
      </w:r>
      <w:r w:rsidRPr="003E36A2">
        <w:rPr>
          <w:bCs/>
          <w:lang w:val="fr-CH"/>
        </w:rPr>
        <w:tab/>
      </w:r>
      <w:r w:rsidR="00C93B62">
        <w:rPr>
          <w:b/>
          <w:lang w:val="fr-CH"/>
        </w:rPr>
        <w:t>Cyber</w:t>
      </w:r>
      <w:r w:rsidRPr="003E36A2">
        <w:rPr>
          <w:b/>
          <w:lang w:val="fr-CH"/>
        </w:rPr>
        <w:t>café</w:t>
      </w:r>
      <w:r w:rsidR="00F37671">
        <w:rPr>
          <w:b/>
          <w:lang w:val="fr-CH"/>
        </w:rPr>
        <w:t xml:space="preserve"> des délégués</w:t>
      </w:r>
      <w:r w:rsidRPr="003E36A2">
        <w:rPr>
          <w:lang w:val="fr-CH"/>
        </w:rPr>
        <w:t xml:space="preserve">: </w:t>
      </w:r>
      <w:r w:rsidR="00F37671">
        <w:rPr>
          <w:lang w:val="fr-CH"/>
        </w:rPr>
        <w:t>espace ouvert</w:t>
      </w:r>
      <w:r w:rsidRPr="003E36A2">
        <w:rPr>
          <w:lang w:val="fr-CH"/>
        </w:rPr>
        <w:t>.</w:t>
      </w:r>
      <w:bookmarkEnd w:id="33"/>
      <w:r w:rsidRPr="003E36A2">
        <w:rPr>
          <w:lang w:val="fr-CH"/>
        </w:rPr>
        <w:t xml:space="preserve"> </w:t>
      </w:r>
      <w:bookmarkStart w:id="34" w:name="lt_pId089"/>
      <w:r w:rsidR="00F37671">
        <w:rPr>
          <w:lang w:val="fr-CH"/>
        </w:rPr>
        <w:t>Equipements techniques ou mobilier</w:t>
      </w:r>
      <w:bookmarkEnd w:id="34"/>
      <w:r w:rsidRPr="003E36A2">
        <w:rPr>
          <w:lang w:val="fr-CH"/>
        </w:rPr>
        <w:t xml:space="preserve"> </w:t>
      </w:r>
    </w:p>
    <w:p w:rsidR="000B2ECF" w:rsidRPr="003E36A2" w:rsidRDefault="000B2ECF" w:rsidP="002A3EF0">
      <w:pPr>
        <w:pStyle w:val="enumlev1"/>
        <w:rPr>
          <w:lang w:val="fr-CH"/>
        </w:rPr>
      </w:pPr>
      <w:bookmarkStart w:id="35" w:name="lt_pId090"/>
      <w:r w:rsidRPr="003E36A2">
        <w:rPr>
          <w:bCs/>
          <w:lang w:val="fr-CH"/>
        </w:rPr>
        <w:t>iii)</w:t>
      </w:r>
      <w:r w:rsidRPr="003E36A2">
        <w:rPr>
          <w:bCs/>
          <w:lang w:val="fr-CH"/>
        </w:rPr>
        <w:tab/>
      </w:r>
      <w:r w:rsidRPr="003E36A2">
        <w:rPr>
          <w:b/>
          <w:lang w:val="fr-CH"/>
        </w:rPr>
        <w:t>Infirm</w:t>
      </w:r>
      <w:r w:rsidR="00F37671">
        <w:rPr>
          <w:b/>
          <w:lang w:val="fr-CH"/>
        </w:rPr>
        <w:t>erie</w:t>
      </w:r>
      <w:r w:rsidRPr="003E36A2">
        <w:rPr>
          <w:lang w:val="fr-CH"/>
        </w:rPr>
        <w:t xml:space="preserve">: 150 </w:t>
      </w:r>
      <w:r w:rsidR="00F37671">
        <w:rPr>
          <w:lang w:val="fr-CH"/>
        </w:rPr>
        <w:t>m</w:t>
      </w:r>
      <w:r w:rsidR="00F37671">
        <w:rPr>
          <w:vertAlign w:val="superscript"/>
          <w:lang w:val="fr-CH"/>
        </w:rPr>
        <w:t>2</w:t>
      </w:r>
      <w:r w:rsidR="00F37671">
        <w:rPr>
          <w:lang w:val="fr-CH"/>
        </w:rPr>
        <w:t xml:space="preserve"> au total comprenant plusieurs salles, dont une salle d'allaitement</w:t>
      </w:r>
      <w:bookmarkEnd w:id="35"/>
    </w:p>
    <w:p w:rsidR="000B2ECF" w:rsidRPr="003E36A2" w:rsidRDefault="000B2ECF" w:rsidP="002A3EF0">
      <w:pPr>
        <w:pStyle w:val="enumlev1"/>
        <w:rPr>
          <w:lang w:val="fr-CH"/>
        </w:rPr>
      </w:pPr>
      <w:bookmarkStart w:id="36" w:name="lt_pId091"/>
      <w:r w:rsidRPr="003E36A2">
        <w:rPr>
          <w:bCs/>
          <w:lang w:val="fr-CH"/>
        </w:rPr>
        <w:lastRenderedPageBreak/>
        <w:t>iv)</w:t>
      </w:r>
      <w:r w:rsidRPr="003E36A2">
        <w:rPr>
          <w:bCs/>
          <w:lang w:val="fr-CH"/>
        </w:rPr>
        <w:tab/>
      </w:r>
      <w:r w:rsidR="00F37671">
        <w:rPr>
          <w:b/>
          <w:lang w:val="fr-CH"/>
        </w:rPr>
        <w:t>Salle de g</w:t>
      </w:r>
      <w:r w:rsidRPr="003E36A2">
        <w:rPr>
          <w:b/>
          <w:lang w:val="fr-CH"/>
        </w:rPr>
        <w:t>ymnasti</w:t>
      </w:r>
      <w:r w:rsidR="00F37671">
        <w:rPr>
          <w:b/>
          <w:lang w:val="fr-CH"/>
        </w:rPr>
        <w:t>que</w:t>
      </w:r>
      <w:r w:rsidRPr="003E36A2">
        <w:rPr>
          <w:b/>
          <w:lang w:val="fr-CH"/>
        </w:rPr>
        <w:t>/</w:t>
      </w:r>
      <w:r w:rsidR="00F37671">
        <w:rPr>
          <w:b/>
          <w:lang w:val="fr-CH"/>
        </w:rPr>
        <w:t>d</w:t>
      </w:r>
      <w:r w:rsidRPr="003E36A2">
        <w:rPr>
          <w:b/>
          <w:lang w:val="fr-CH"/>
        </w:rPr>
        <w:t>an</w:t>
      </w:r>
      <w:r w:rsidR="00F37671">
        <w:rPr>
          <w:b/>
          <w:lang w:val="fr-CH"/>
        </w:rPr>
        <w:t>s</w:t>
      </w:r>
      <w:r w:rsidRPr="003E36A2">
        <w:rPr>
          <w:b/>
          <w:lang w:val="fr-CH"/>
        </w:rPr>
        <w:t>e/</w:t>
      </w:r>
      <w:r w:rsidR="00F37671">
        <w:rPr>
          <w:b/>
          <w:lang w:val="fr-CH"/>
        </w:rPr>
        <w:t>s</w:t>
      </w:r>
      <w:r w:rsidRPr="003E36A2">
        <w:rPr>
          <w:b/>
          <w:lang w:val="fr-CH"/>
        </w:rPr>
        <w:t>port</w:t>
      </w:r>
      <w:r w:rsidRPr="003E36A2">
        <w:rPr>
          <w:lang w:val="fr-CH"/>
        </w:rPr>
        <w:t xml:space="preserve">: 100 </w:t>
      </w:r>
      <w:bookmarkEnd w:id="36"/>
      <w:r w:rsidR="00F37671">
        <w:rPr>
          <w:lang w:val="fr-CH"/>
        </w:rPr>
        <w:t>m</w:t>
      </w:r>
      <w:r w:rsidR="00F37671">
        <w:rPr>
          <w:vertAlign w:val="superscript"/>
          <w:lang w:val="fr-CH"/>
        </w:rPr>
        <w:t>2</w:t>
      </w:r>
    </w:p>
    <w:p w:rsidR="000B2ECF" w:rsidRPr="003E36A2" w:rsidRDefault="000B2ECF" w:rsidP="002A3EF0">
      <w:pPr>
        <w:pStyle w:val="enumlev1"/>
        <w:rPr>
          <w:lang w:val="fr-CH"/>
        </w:rPr>
      </w:pPr>
      <w:bookmarkStart w:id="37" w:name="lt_pId092"/>
      <w:r w:rsidRPr="003E36A2">
        <w:rPr>
          <w:bCs/>
          <w:lang w:val="fr-CH"/>
        </w:rPr>
        <w:t>v)</w:t>
      </w:r>
      <w:r w:rsidRPr="003E36A2">
        <w:rPr>
          <w:bCs/>
          <w:lang w:val="fr-CH"/>
        </w:rPr>
        <w:tab/>
      </w:r>
      <w:r w:rsidR="00F37671">
        <w:rPr>
          <w:b/>
          <w:lang w:val="fr-CH"/>
        </w:rPr>
        <w:t>Salles de musique</w:t>
      </w:r>
      <w:r w:rsidRPr="003E36A2">
        <w:rPr>
          <w:lang w:val="fr-CH"/>
        </w:rPr>
        <w:t xml:space="preserve">: 30 </w:t>
      </w:r>
      <w:r w:rsidR="00F37671">
        <w:rPr>
          <w:lang w:val="fr-CH"/>
        </w:rPr>
        <w:t>m</w:t>
      </w:r>
      <w:r w:rsidR="00F37671">
        <w:rPr>
          <w:vertAlign w:val="superscript"/>
          <w:lang w:val="fr-CH"/>
        </w:rPr>
        <w:t>2</w:t>
      </w:r>
      <w:r w:rsidRPr="003E36A2">
        <w:rPr>
          <w:lang w:val="fr-CH"/>
        </w:rPr>
        <w:t xml:space="preserve">; 30 </w:t>
      </w:r>
      <w:r w:rsidR="00F37671">
        <w:rPr>
          <w:lang w:val="fr-CH"/>
        </w:rPr>
        <w:t>m</w:t>
      </w:r>
      <w:r w:rsidR="00F37671">
        <w:rPr>
          <w:vertAlign w:val="superscript"/>
          <w:lang w:val="fr-CH"/>
        </w:rPr>
        <w:t>2</w:t>
      </w:r>
      <w:bookmarkEnd w:id="37"/>
    </w:p>
    <w:p w:rsidR="000B2ECF" w:rsidRPr="003E36A2" w:rsidRDefault="000B2ECF" w:rsidP="002A3EF0">
      <w:pPr>
        <w:pStyle w:val="enumlev1"/>
        <w:rPr>
          <w:lang w:val="fr-CH"/>
        </w:rPr>
      </w:pPr>
      <w:bookmarkStart w:id="38" w:name="lt_pId093"/>
      <w:r w:rsidRPr="003E36A2">
        <w:rPr>
          <w:bCs/>
          <w:lang w:val="fr-CH"/>
        </w:rPr>
        <w:t>vi)</w:t>
      </w:r>
      <w:r w:rsidRPr="003E36A2">
        <w:rPr>
          <w:bCs/>
          <w:lang w:val="fr-CH"/>
        </w:rPr>
        <w:tab/>
      </w:r>
      <w:r w:rsidR="00F37671">
        <w:rPr>
          <w:b/>
          <w:lang w:val="fr-CH"/>
        </w:rPr>
        <w:t>Salle de repos</w:t>
      </w:r>
      <w:r w:rsidRPr="003E36A2">
        <w:rPr>
          <w:lang w:val="fr-CH"/>
        </w:rPr>
        <w:t xml:space="preserve">: 13 </w:t>
      </w:r>
      <w:r w:rsidR="00F37671">
        <w:rPr>
          <w:lang w:val="fr-CH"/>
        </w:rPr>
        <w:t>m</w:t>
      </w:r>
      <w:r w:rsidR="00F37671">
        <w:rPr>
          <w:vertAlign w:val="superscript"/>
          <w:lang w:val="fr-CH"/>
        </w:rPr>
        <w:t>2</w:t>
      </w:r>
      <w:bookmarkEnd w:id="38"/>
    </w:p>
    <w:p w:rsidR="000B2ECF" w:rsidRPr="003E36A2" w:rsidRDefault="000B2ECF" w:rsidP="002A3EF0">
      <w:pPr>
        <w:pStyle w:val="enumlev1"/>
        <w:rPr>
          <w:lang w:val="fr-CH"/>
        </w:rPr>
      </w:pPr>
      <w:bookmarkStart w:id="39" w:name="lt_pId094"/>
      <w:r w:rsidRPr="003E36A2">
        <w:rPr>
          <w:bCs/>
          <w:lang w:val="fr-CH"/>
        </w:rPr>
        <w:t>vii)</w:t>
      </w:r>
      <w:r w:rsidRPr="003E36A2">
        <w:rPr>
          <w:bCs/>
          <w:lang w:val="fr-CH"/>
        </w:rPr>
        <w:tab/>
      </w:r>
      <w:r w:rsidRPr="003E36A2">
        <w:rPr>
          <w:b/>
          <w:lang w:val="fr-CH"/>
        </w:rPr>
        <w:t>Caf</w:t>
      </w:r>
      <w:r w:rsidR="00F37671">
        <w:rPr>
          <w:b/>
          <w:lang w:val="fr-CH"/>
        </w:rPr>
        <w:t>é</w:t>
      </w:r>
      <w:r w:rsidRPr="003E36A2">
        <w:rPr>
          <w:b/>
          <w:lang w:val="fr-CH"/>
        </w:rPr>
        <w:t>t</w:t>
      </w:r>
      <w:r w:rsidR="00F37671">
        <w:rPr>
          <w:b/>
          <w:lang w:val="fr-CH"/>
        </w:rPr>
        <w:t>é</w:t>
      </w:r>
      <w:r w:rsidRPr="003E36A2">
        <w:rPr>
          <w:b/>
          <w:lang w:val="fr-CH"/>
        </w:rPr>
        <w:t>ria</w:t>
      </w:r>
      <w:r w:rsidRPr="003E36A2">
        <w:rPr>
          <w:lang w:val="fr-CH"/>
        </w:rPr>
        <w:t>: 1</w:t>
      </w:r>
      <w:r w:rsidR="000455F3">
        <w:rPr>
          <w:lang w:val="fr-CH"/>
        </w:rPr>
        <w:t> </w:t>
      </w:r>
      <w:r w:rsidRPr="003E36A2">
        <w:rPr>
          <w:lang w:val="fr-CH"/>
        </w:rPr>
        <w:t xml:space="preserve">000 </w:t>
      </w:r>
      <w:bookmarkEnd w:id="39"/>
      <w:r w:rsidR="00F37671">
        <w:rPr>
          <w:lang w:val="fr-CH"/>
        </w:rPr>
        <w:t>m</w:t>
      </w:r>
      <w:r w:rsidR="00F37671">
        <w:rPr>
          <w:vertAlign w:val="superscript"/>
          <w:lang w:val="fr-CH"/>
        </w:rPr>
        <w:t>2</w:t>
      </w:r>
    </w:p>
    <w:p w:rsidR="000B2ECF" w:rsidRPr="003E36A2" w:rsidRDefault="000B2ECF" w:rsidP="002A3EF0">
      <w:pPr>
        <w:pStyle w:val="enumlev1"/>
        <w:rPr>
          <w:lang w:val="fr-CH"/>
        </w:rPr>
      </w:pPr>
      <w:bookmarkStart w:id="40" w:name="lt_pId095"/>
      <w:r w:rsidRPr="003E36A2">
        <w:rPr>
          <w:bCs/>
          <w:lang w:val="fr-CH"/>
        </w:rPr>
        <w:t>viii)</w:t>
      </w:r>
      <w:r w:rsidRPr="003E36A2">
        <w:rPr>
          <w:bCs/>
          <w:lang w:val="fr-CH"/>
        </w:rPr>
        <w:tab/>
      </w:r>
      <w:r w:rsidR="00F37671">
        <w:rPr>
          <w:b/>
          <w:bCs/>
          <w:lang w:val="fr-CH"/>
        </w:rPr>
        <w:t>R</w:t>
      </w:r>
      <w:r w:rsidR="00F37671" w:rsidRPr="003E36A2">
        <w:rPr>
          <w:b/>
          <w:bCs/>
          <w:lang w:val="fr-CH"/>
        </w:rPr>
        <w:t xml:space="preserve">estaurant </w:t>
      </w:r>
      <w:r w:rsidRPr="003E36A2">
        <w:rPr>
          <w:b/>
          <w:bCs/>
          <w:lang w:val="fr-CH"/>
        </w:rPr>
        <w:t>VIP:</w:t>
      </w:r>
      <w:r w:rsidRPr="003E36A2">
        <w:rPr>
          <w:lang w:val="fr-CH"/>
        </w:rPr>
        <w:t xml:space="preserve"> 100 </w:t>
      </w:r>
      <w:bookmarkEnd w:id="40"/>
      <w:r w:rsidR="00F37671">
        <w:rPr>
          <w:lang w:val="fr-CH"/>
        </w:rPr>
        <w:t>m</w:t>
      </w:r>
      <w:r w:rsidR="00F37671">
        <w:rPr>
          <w:vertAlign w:val="superscript"/>
          <w:lang w:val="fr-CH"/>
        </w:rPr>
        <w:t>2</w:t>
      </w:r>
    </w:p>
    <w:p w:rsidR="000B2ECF" w:rsidRPr="003E36A2" w:rsidRDefault="000B2ECF" w:rsidP="002A3EF0">
      <w:pPr>
        <w:pStyle w:val="enumlev1"/>
        <w:rPr>
          <w:lang w:val="fr-CH"/>
        </w:rPr>
      </w:pPr>
      <w:bookmarkStart w:id="41" w:name="lt_pId096"/>
      <w:r w:rsidRPr="003E36A2">
        <w:rPr>
          <w:bCs/>
          <w:lang w:val="fr-CH"/>
        </w:rPr>
        <w:t>ix)</w:t>
      </w:r>
      <w:r w:rsidRPr="003E36A2">
        <w:rPr>
          <w:bCs/>
          <w:lang w:val="fr-CH"/>
        </w:rPr>
        <w:tab/>
      </w:r>
      <w:r w:rsidR="00F37671">
        <w:rPr>
          <w:b/>
          <w:lang w:val="fr-CH"/>
        </w:rPr>
        <w:t>Local r</w:t>
      </w:r>
      <w:r w:rsidRPr="003E36A2">
        <w:rPr>
          <w:b/>
          <w:lang w:val="fr-CH"/>
        </w:rPr>
        <w:t xml:space="preserve">adio </w:t>
      </w:r>
      <w:r w:rsidR="00F37671">
        <w:rPr>
          <w:b/>
          <w:lang w:val="fr-CH"/>
        </w:rPr>
        <w:t>amateur</w:t>
      </w:r>
      <w:r w:rsidRPr="003E36A2">
        <w:rPr>
          <w:b/>
          <w:lang w:val="fr-CH"/>
        </w:rPr>
        <w:t xml:space="preserve"> </w:t>
      </w:r>
      <w:r w:rsidRPr="003E36A2">
        <w:rPr>
          <w:lang w:val="fr-CH"/>
        </w:rPr>
        <w:t xml:space="preserve">(station 4U1ITU): </w:t>
      </w:r>
      <w:r w:rsidR="00F37671">
        <w:rPr>
          <w:lang w:val="fr-CH"/>
        </w:rPr>
        <w:t>Décoration et équipements techniques</w:t>
      </w:r>
      <w:r w:rsidRPr="003E36A2">
        <w:rPr>
          <w:lang w:val="fr-CH"/>
        </w:rPr>
        <w:t>.</w:t>
      </w:r>
      <w:bookmarkEnd w:id="41"/>
    </w:p>
    <w:p w:rsidR="009F606B" w:rsidRPr="003E36A2" w:rsidRDefault="000B2ECF" w:rsidP="002A3EF0">
      <w:pPr>
        <w:rPr>
          <w:rFonts w:asciiTheme="minorHAnsi" w:hAnsiTheme="minorHAnsi" w:cstheme="minorHAnsi"/>
          <w:szCs w:val="24"/>
          <w:lang w:val="fr-CH"/>
        </w:rPr>
      </w:pPr>
      <w:r w:rsidRPr="003E36A2">
        <w:rPr>
          <w:rFonts w:asciiTheme="minorHAnsi" w:hAnsiTheme="minorHAnsi" w:cstheme="minorHAnsi"/>
          <w:szCs w:val="24"/>
          <w:lang w:val="fr-CH"/>
        </w:rPr>
        <w:t>4.5</w:t>
      </w:r>
      <w:r w:rsidRPr="003E36A2">
        <w:rPr>
          <w:rFonts w:asciiTheme="minorHAnsi" w:hAnsiTheme="minorHAnsi" w:cstheme="minorHAnsi"/>
          <w:szCs w:val="24"/>
          <w:lang w:val="fr-CH"/>
        </w:rPr>
        <w:tab/>
      </w:r>
      <w:bookmarkStart w:id="42" w:name="lt_pId098"/>
      <w:r w:rsidR="00F37671">
        <w:rPr>
          <w:rFonts w:asciiTheme="minorHAnsi" w:hAnsiTheme="minorHAnsi" w:cstheme="minorHAnsi"/>
          <w:b/>
          <w:szCs w:val="24"/>
          <w:lang w:val="fr-CH"/>
        </w:rPr>
        <w:t>Espaces extérieurs y compris jardin intérieur</w:t>
      </w:r>
      <w:r w:rsidRPr="003E36A2">
        <w:rPr>
          <w:rFonts w:asciiTheme="minorHAnsi" w:hAnsiTheme="minorHAnsi" w:cstheme="minorHAnsi"/>
          <w:szCs w:val="24"/>
          <w:lang w:val="fr-CH"/>
        </w:rPr>
        <w:t>.</w:t>
      </w:r>
      <w:bookmarkEnd w:id="42"/>
    </w:p>
    <w:p w:rsidR="00C93B62" w:rsidRDefault="00C93B62" w:rsidP="002A3EF0">
      <w:pPr>
        <w:pStyle w:val="AnnexNo"/>
        <w:spacing w:before="120"/>
        <w:rPr>
          <w:lang w:val="fr-CH"/>
        </w:rPr>
      </w:pPr>
      <w:r>
        <w:rPr>
          <w:lang w:val="fr-CH"/>
        </w:rPr>
        <w:br w:type="page"/>
      </w:r>
    </w:p>
    <w:p w:rsidR="00C93B62" w:rsidRDefault="00C93B62" w:rsidP="002A3EF0">
      <w:pPr>
        <w:pStyle w:val="AnnexNo"/>
        <w:spacing w:before="360"/>
        <w:rPr>
          <w:lang w:val="fr-CH"/>
        </w:rPr>
      </w:pPr>
      <w:r>
        <w:rPr>
          <w:lang w:val="fr-CH"/>
        </w:rPr>
        <w:lastRenderedPageBreak/>
        <w:t>EXTRAIT DU DOCUMENT C17/67</w:t>
      </w:r>
    </w:p>
    <w:p w:rsidR="000B2ECF" w:rsidRPr="003E36A2" w:rsidRDefault="000B2ECF" w:rsidP="002A3EF0">
      <w:pPr>
        <w:pStyle w:val="AnnexNo"/>
        <w:spacing w:before="360"/>
        <w:rPr>
          <w:lang w:val="fr-CH"/>
        </w:rPr>
      </w:pPr>
      <w:r w:rsidRPr="003E36A2">
        <w:rPr>
          <w:lang w:val="fr-CH"/>
        </w:rPr>
        <w:t>annexe 1</w:t>
      </w:r>
    </w:p>
    <w:p w:rsidR="000B2ECF" w:rsidRPr="003E36A2" w:rsidRDefault="000B2ECF" w:rsidP="002A3EF0">
      <w:pPr>
        <w:pStyle w:val="Annextitle"/>
        <w:spacing w:before="120"/>
        <w:rPr>
          <w:lang w:val="fr-CH"/>
        </w:rPr>
      </w:pPr>
      <w:bookmarkStart w:id="43" w:name="lt_pId076"/>
      <w:r w:rsidRPr="003E36A2">
        <w:rPr>
          <w:lang w:val="fr-CH"/>
        </w:rPr>
        <w:t>PROPOSITION: Principes régissant la mobilisation des ressources</w:t>
      </w:r>
    </w:p>
    <w:p w:rsidR="000B2ECF" w:rsidRPr="003E36A2" w:rsidRDefault="000B2ECF" w:rsidP="002A3EF0">
      <w:pPr>
        <w:spacing w:before="480"/>
        <w:ind w:left="567" w:hanging="567"/>
        <w:rPr>
          <w:rFonts w:cs="Arial"/>
          <w:lang w:val="fr-CH"/>
        </w:rPr>
      </w:pPr>
      <w:r w:rsidRPr="003E36A2">
        <w:rPr>
          <w:rFonts w:cs="Arial"/>
          <w:lang w:val="fr-CH"/>
        </w:rPr>
        <w:t>1)</w:t>
      </w:r>
      <w:r w:rsidRPr="003E36A2">
        <w:rPr>
          <w:rFonts w:cs="Arial"/>
          <w:lang w:val="fr-CH"/>
        </w:rPr>
        <w:tab/>
      </w:r>
      <w:r w:rsidRPr="003E36A2">
        <w:rPr>
          <w:rFonts w:cs="Arial"/>
          <w:u w:val="single"/>
          <w:lang w:val="fr-CH"/>
        </w:rPr>
        <w:t>Définir la portée</w:t>
      </w:r>
      <w:r w:rsidRPr="003E36A2">
        <w:rPr>
          <w:rFonts w:cs="Arial"/>
          <w:lang w:val="fr-CH"/>
        </w:rPr>
        <w:t>: dans le contexte de l'UIT, la "mobilisation des ressources" désigne les possibilités de dégager des recettes sous toutes leurs formes, y compris les recettes provenant du budget ordinaire et les contributions extrabudgétaires.</w:t>
      </w:r>
    </w:p>
    <w:p w:rsidR="000B2ECF" w:rsidRPr="003E36A2" w:rsidRDefault="000B2ECF" w:rsidP="002A3EF0">
      <w:pPr>
        <w:ind w:left="567" w:hanging="567"/>
        <w:rPr>
          <w:rFonts w:cs="Arial"/>
          <w:lang w:val="fr-CH"/>
        </w:rPr>
      </w:pPr>
      <w:r w:rsidRPr="003E36A2">
        <w:rPr>
          <w:rFonts w:cs="Arial"/>
          <w:lang w:val="fr-CH"/>
        </w:rPr>
        <w:t>2)</w:t>
      </w:r>
      <w:r w:rsidRPr="003E36A2">
        <w:rPr>
          <w:rFonts w:cs="Arial"/>
          <w:lang w:val="fr-CH"/>
        </w:rPr>
        <w:tab/>
      </w:r>
      <w:r w:rsidRPr="003E36A2">
        <w:rPr>
          <w:rFonts w:cs="Arial"/>
          <w:u w:val="single"/>
          <w:lang w:val="fr-CH"/>
        </w:rPr>
        <w:t>Fixer des priorités</w:t>
      </w:r>
      <w:r w:rsidRPr="003E36A2">
        <w:rPr>
          <w:rFonts w:cs="Arial"/>
          <w:lang w:val="fr-CH"/>
        </w:rPr>
        <w:t>: les contributions mises en recouvrement provenant des Etats Membres de l'UIT, qui constituent la principale source de recettes de l'UIT, devraient bénéficier de la priorité absolue pour la mobilisation des ressources. Ces contributions sont fournies en vue d'appuyer un Plan stratégique approuvé ainsi que sa mise en oeuvre dans le cadre de Plans opérationnels, au moyen du budget ordinaire de l'UIT. En conséquence, les Etats Membres sont encouragés à accorder la priorité à leurs contributions mises en recouvrement, pour qu'elles constituent la principale assistance financière fournie à l'UIT, en maintenant ces contributions ou, lorsque cela est possible, en les augmentant avant d'envisager de mettre à disposition des ressources pour des activités n'entrant pas dans le cadre du budget ordinaire de l'UIT. A cette fin, le Secrétariat encouragera, dans toute la mesure possible, les entités extérieures autres que les membres de l'UIT à apporter un appui sous la forme de contributions extrabudgétaires et de contributions volontaires, pour compléter les ressources fournies par les membres</w:t>
      </w:r>
      <w:bookmarkEnd w:id="43"/>
      <w:r w:rsidRPr="003E36A2">
        <w:rPr>
          <w:rFonts w:cs="Arial"/>
          <w:lang w:val="fr-CH"/>
        </w:rPr>
        <w:t>.</w:t>
      </w:r>
    </w:p>
    <w:p w:rsidR="000B2ECF" w:rsidRPr="003E36A2" w:rsidRDefault="000B2ECF" w:rsidP="002A3EF0">
      <w:pPr>
        <w:ind w:left="567" w:hanging="567"/>
        <w:rPr>
          <w:rFonts w:cs="Arial"/>
          <w:lang w:val="fr-CH"/>
        </w:rPr>
      </w:pPr>
      <w:bookmarkStart w:id="44" w:name="lt_pId085"/>
      <w:r w:rsidRPr="003E36A2">
        <w:rPr>
          <w:rFonts w:cs="Arial"/>
          <w:lang w:val="fr-CH"/>
        </w:rPr>
        <w:t>3)</w:t>
      </w:r>
      <w:r w:rsidRPr="003E36A2">
        <w:rPr>
          <w:rFonts w:cs="Arial"/>
          <w:lang w:val="fr-CH"/>
        </w:rPr>
        <w:tab/>
      </w:r>
      <w:r w:rsidRPr="003E36A2">
        <w:rPr>
          <w:rFonts w:cs="Arial"/>
          <w:u w:val="single"/>
          <w:lang w:val="fr-CH"/>
        </w:rPr>
        <w:t>Garantir la transparence</w:t>
      </w:r>
      <w:r w:rsidRPr="003E36A2">
        <w:rPr>
          <w:rFonts w:cs="Arial"/>
          <w:lang w:val="fr-CH"/>
        </w:rPr>
        <w:t>: tous les membres devraient être informés des possibilités qui s'offrent aux membres de l'UIT et aux autres entités d'appuyer des activités additionnelles, dans le cadre de campagnes de mobilisation des ressources, et les avantages qu'en retirent le partenaire/bailleur de fonds devraient être limités et conformes aux règles et procédures de l'UIT, y compris en ce qui concerne le protocole et la pratique courante suivie à l'UIT.</w:t>
      </w:r>
      <w:bookmarkEnd w:id="44"/>
    </w:p>
    <w:p w:rsidR="000B2ECF" w:rsidRPr="003E36A2" w:rsidRDefault="000B2ECF" w:rsidP="002A3EF0">
      <w:pPr>
        <w:ind w:left="567" w:hanging="567"/>
        <w:rPr>
          <w:rFonts w:cs="Arial"/>
          <w:lang w:val="fr-CH"/>
        </w:rPr>
      </w:pPr>
      <w:r w:rsidRPr="003E36A2">
        <w:rPr>
          <w:rFonts w:cs="Arial"/>
          <w:lang w:val="fr-CH"/>
        </w:rPr>
        <w:t>4)</w:t>
      </w:r>
      <w:r w:rsidRPr="003E36A2">
        <w:rPr>
          <w:rFonts w:cs="Arial"/>
          <w:lang w:val="fr-CH"/>
        </w:rPr>
        <w:tab/>
      </w:r>
      <w:r w:rsidRPr="003E36A2">
        <w:rPr>
          <w:color w:val="000000"/>
          <w:u w:val="single"/>
          <w:lang w:val="fr-CH"/>
        </w:rPr>
        <w:t xml:space="preserve">Respect des </w:t>
      </w:r>
      <w:r w:rsidRPr="003E36A2">
        <w:rPr>
          <w:rFonts w:cs="Arial"/>
          <w:u w:val="single"/>
          <w:lang w:val="fr-CH"/>
        </w:rPr>
        <w:t>principes de l'ONU</w:t>
      </w:r>
      <w:r w:rsidRPr="003E36A2">
        <w:rPr>
          <w:rFonts w:cs="Arial"/>
          <w:lang w:val="fr-CH"/>
        </w:rPr>
        <w:t xml:space="preserve">: pour compléter l'appui apporté par ses membres, l'UIT acceptera les financements provenant d'entités dont le comportement est conforme aux </w:t>
      </w:r>
      <w:hyperlink r:id="rId9" w:history="1">
        <w:r w:rsidRPr="003E36A2">
          <w:rPr>
            <w:rStyle w:val="Hyperlink"/>
            <w:rFonts w:cs="Arial"/>
            <w:lang w:val="fr-CH"/>
          </w:rPr>
          <w:t>principes de l'ONU</w:t>
        </w:r>
      </w:hyperlink>
      <w:r w:rsidRPr="003E36A2">
        <w:rPr>
          <w:rFonts w:cs="Arial"/>
          <w:lang w:val="fr-CH"/>
        </w:rPr>
        <w:t xml:space="preserve">, notamment dans les domaines des droits de l'homme, des normes de travail et de l'environnement et de la lutte contre la corruption, ou de nouer des partenariats avec de telles entités. L'UIT appliquera un processus de sélection fondé sur la diligence due, conformément aux lignes directrices et aux </w:t>
      </w:r>
      <w:hyperlink r:id="rId10" w:history="1">
        <w:r w:rsidRPr="003E36A2">
          <w:rPr>
            <w:rStyle w:val="Hyperlink"/>
            <w:rFonts w:cs="Arial"/>
            <w:lang w:val="fr-CH"/>
          </w:rPr>
          <w:t>bonnes pratiques de l'ONU</w:t>
        </w:r>
      </w:hyperlink>
      <w:r w:rsidRPr="003E36A2">
        <w:rPr>
          <w:rFonts w:cs="Arial"/>
          <w:lang w:val="fr-CH"/>
        </w:rPr>
        <w:t>, pour déterminer s'il y a lieu d'accepter ou non un financement d'une entité non membre de l'UIT ou d'établir un partenariat avec une telle entité.</w:t>
      </w:r>
    </w:p>
    <w:p w:rsidR="000B2ECF" w:rsidRPr="003E36A2" w:rsidRDefault="000B2ECF" w:rsidP="002A3EF0">
      <w:pPr>
        <w:ind w:left="567" w:hanging="567"/>
        <w:rPr>
          <w:rFonts w:cs="Arial"/>
          <w:lang w:val="fr-CH"/>
        </w:rPr>
      </w:pPr>
      <w:r w:rsidRPr="003E36A2">
        <w:rPr>
          <w:rFonts w:cs="Arial"/>
          <w:lang w:val="fr-CH"/>
        </w:rPr>
        <w:t>5)</w:t>
      </w:r>
      <w:r w:rsidRPr="003E36A2">
        <w:rPr>
          <w:rFonts w:cs="Arial"/>
          <w:lang w:val="fr-CH"/>
        </w:rPr>
        <w:tab/>
      </w:r>
      <w:r w:rsidRPr="003E36A2">
        <w:rPr>
          <w:rFonts w:cs="Arial"/>
          <w:u w:val="single"/>
          <w:lang w:val="fr-CH"/>
        </w:rPr>
        <w:t>Atteindre les objectifs de l'UIT</w:t>
      </w:r>
      <w:r w:rsidRPr="003E36A2">
        <w:rPr>
          <w:rFonts w:cs="Arial"/>
          <w:lang w:val="fr-CH"/>
        </w:rPr>
        <w:t>: l'objectif des accords de financement (ou de la contribution en nature/du partenariat) doit être conforme aux objectifs généraux de l'UIT, tels qu'ils sont énoncés dans la Constitution et la Convention de l'UIT ainsi que dans le Plan stratégique de l'Union.</w:t>
      </w:r>
    </w:p>
    <w:p w:rsidR="000B2ECF" w:rsidRPr="003E36A2" w:rsidRDefault="000B2ECF" w:rsidP="002A3EF0">
      <w:pPr>
        <w:ind w:left="567" w:hanging="567"/>
        <w:rPr>
          <w:rFonts w:cs="Arial"/>
          <w:lang w:val="fr-CH"/>
        </w:rPr>
      </w:pPr>
      <w:r w:rsidRPr="003E36A2">
        <w:rPr>
          <w:rFonts w:cs="Arial"/>
          <w:lang w:val="fr-CH"/>
        </w:rPr>
        <w:t>6)</w:t>
      </w:r>
      <w:r w:rsidRPr="003E36A2">
        <w:rPr>
          <w:rFonts w:cs="Arial"/>
          <w:lang w:val="fr-CH"/>
        </w:rPr>
        <w:tab/>
      </w:r>
      <w:r w:rsidRPr="003E36A2">
        <w:rPr>
          <w:rFonts w:cs="Arial"/>
          <w:u w:val="single"/>
          <w:lang w:val="fr-CH"/>
        </w:rPr>
        <w:t>Clarifier les rôles et responsabilités</w:t>
      </w:r>
      <w:r w:rsidRPr="003E36A2">
        <w:rPr>
          <w:rFonts w:cs="Arial"/>
          <w:lang w:val="fr-CH"/>
        </w:rPr>
        <w:t>: l'accord de financement/partenariat doit être fondé sur une compréhension claire des rôles et attentes respectifs, assortie d'une obligation de rendre des comptes et d'une répartition claire des responsabilités entre l'UIT et le bailleur de fonds/partenaire.</w:t>
      </w:r>
    </w:p>
    <w:p w:rsidR="00C93B62" w:rsidRDefault="00C93B62" w:rsidP="002A3EF0">
      <w:pPr>
        <w:rPr>
          <w:rFonts w:cs="Arial"/>
          <w:lang w:val="fr-CH"/>
        </w:rPr>
      </w:pPr>
      <w:r>
        <w:rPr>
          <w:rFonts w:cs="Arial"/>
          <w:lang w:val="fr-CH"/>
        </w:rPr>
        <w:br w:type="page"/>
      </w:r>
    </w:p>
    <w:p w:rsidR="000B2ECF" w:rsidRDefault="000B2ECF" w:rsidP="002A3EF0">
      <w:pPr>
        <w:ind w:left="567" w:hanging="567"/>
        <w:rPr>
          <w:lang w:val="fr-CH"/>
        </w:rPr>
      </w:pPr>
      <w:r w:rsidRPr="003E36A2">
        <w:rPr>
          <w:rFonts w:cs="Arial"/>
          <w:lang w:val="fr-CH"/>
        </w:rPr>
        <w:lastRenderedPageBreak/>
        <w:t>7)</w:t>
      </w:r>
      <w:r w:rsidRPr="003E36A2">
        <w:rPr>
          <w:rFonts w:cs="Arial"/>
          <w:lang w:val="fr-CH"/>
        </w:rPr>
        <w:tab/>
      </w:r>
      <w:r w:rsidRPr="003E36A2">
        <w:rPr>
          <w:rFonts w:cs="Arial"/>
          <w:u w:val="single"/>
          <w:lang w:val="fr-CH"/>
        </w:rPr>
        <w:t>Protection de la réputation de l'UIT</w:t>
      </w:r>
      <w:r w:rsidRPr="003E36A2">
        <w:rPr>
          <w:rFonts w:cs="Arial"/>
          <w:lang w:val="fr-CH"/>
        </w:rPr>
        <w:t>: les accords de financement</w:t>
      </w:r>
      <w:r w:rsidRPr="003E36A2">
        <w:rPr>
          <w:lang w:val="fr-CH"/>
        </w:rPr>
        <w:t>/partenariat ne doivent pas porter atteinte à l'intégrité, à l'indépendance et à l'impartialité de l'UIT, ni conférer un avantage indu. En particulier, ces accords ne doive</w:t>
      </w:r>
      <w:bookmarkStart w:id="45" w:name="_GoBack"/>
      <w:bookmarkEnd w:id="45"/>
      <w:r w:rsidRPr="003E36A2">
        <w:rPr>
          <w:lang w:val="fr-CH"/>
        </w:rPr>
        <w:t>nt pas indiquer ou laisser entendre qu'un bailleur de fonds/partenaire, ses politiques, ses produits ou ses services sont directement ou indirectement cautionnés. En outre, une distinction claire doit être établie entre la mobilisation des ressources/le partenariat et la passation de marchés.</w:t>
      </w:r>
    </w:p>
    <w:p w:rsidR="00C93B62" w:rsidRPr="003E36A2" w:rsidRDefault="00C93B62" w:rsidP="002A3EF0">
      <w:pPr>
        <w:rPr>
          <w:lang w:val="fr-CH"/>
        </w:rPr>
      </w:pPr>
    </w:p>
    <w:p w:rsidR="000B2ECF" w:rsidRPr="003E36A2" w:rsidRDefault="000B2ECF" w:rsidP="002A3EF0">
      <w:pPr>
        <w:spacing w:before="0"/>
        <w:jc w:val="center"/>
        <w:rPr>
          <w:rFonts w:asciiTheme="minorHAnsi" w:hAnsiTheme="minorHAnsi" w:cstheme="majorBidi"/>
          <w:b/>
          <w:bCs/>
          <w:szCs w:val="24"/>
          <w:lang w:val="fr-CH"/>
        </w:rPr>
      </w:pPr>
      <w:r w:rsidRPr="003E36A2">
        <w:rPr>
          <w:szCs w:val="24"/>
          <w:lang w:val="fr-CH"/>
        </w:rPr>
        <w:t>______________</w:t>
      </w:r>
    </w:p>
    <w:sectPr w:rsidR="000B2ECF" w:rsidRPr="003E36A2" w:rsidSect="000B2ECF">
      <w:headerReference w:type="default" r:id="rId11"/>
      <w:footerReference w:type="default" r:id="rId12"/>
      <w:footerReference w:type="first" r:id="rId13"/>
      <w:pgSz w:w="11907" w:h="16840" w:code="9"/>
      <w:pgMar w:top="1304" w:right="1134" w:bottom="130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86" w:rsidRDefault="00D52086">
      <w:r>
        <w:separator/>
      </w:r>
    </w:p>
  </w:endnote>
  <w:endnote w:type="continuationSeparator" w:id="0">
    <w:p w:rsidR="00D52086" w:rsidRDefault="00D5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62" w:rsidRDefault="00C93B62" w:rsidP="00C93B62">
    <w:pPr>
      <w:pStyle w:val="Footer"/>
    </w:pPr>
    <w:fldSimple w:instr=" FILENAME \p  \* MERGEFORMAT ">
      <w:r>
        <w:t>P:\FRA\SG\CONSEIL\C18\000\047F.docx</w:t>
      </w:r>
    </w:fldSimple>
    <w:r>
      <w:t xml:space="preserve"> (429732)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CF" w:rsidRPr="00C93B62" w:rsidRDefault="00C93B62" w:rsidP="00C93B62">
    <w:pPr>
      <w:pStyle w:val="Footer"/>
      <w:jc w:val="center"/>
      <w:rPr>
        <w:sz w:val="24"/>
        <w:szCs w:val="24"/>
        <w:lang w:val="en-US"/>
      </w:rPr>
    </w:pPr>
    <w:r w:rsidRPr="00C93B62">
      <w:rPr>
        <w:caps w:val="0"/>
        <w:sz w:val="24"/>
        <w:szCs w:val="24"/>
        <w:lang w:val="en-US"/>
      </w:rPr>
      <w:t xml:space="preserve">• </w:t>
    </w:r>
    <w:hyperlink r:id="rId1" w:history="1">
      <w:r w:rsidRPr="00C93B62">
        <w:rPr>
          <w:rStyle w:val="Hyperlink"/>
          <w:caps w:val="0"/>
          <w:sz w:val="24"/>
          <w:szCs w:val="24"/>
          <w:lang w:val="en-US"/>
        </w:rPr>
        <w:t>http://www.itu.int/council</w:t>
      </w:r>
    </w:hyperlink>
    <w:r w:rsidRPr="00C93B62">
      <w:rPr>
        <w:caps w:val="0"/>
        <w:sz w:val="24"/>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86" w:rsidRDefault="00D52086">
      <w:r>
        <w:t>____________________</w:t>
      </w:r>
    </w:p>
  </w:footnote>
  <w:footnote w:type="continuationSeparator" w:id="0">
    <w:p w:rsidR="00D52086" w:rsidRDefault="00D5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62" w:rsidRDefault="00C93B62" w:rsidP="00C93B62">
    <w:pPr>
      <w:pStyle w:val="Header"/>
    </w:pPr>
    <w:r>
      <w:fldChar w:fldCharType="begin"/>
    </w:r>
    <w:r>
      <w:instrText>PAGE</w:instrText>
    </w:r>
    <w:r>
      <w:fldChar w:fldCharType="separate"/>
    </w:r>
    <w:r w:rsidR="000455F3">
      <w:rPr>
        <w:noProof/>
      </w:rPr>
      <w:t>4</w:t>
    </w:r>
    <w:r>
      <w:rPr>
        <w:noProof/>
      </w:rPr>
      <w:fldChar w:fldCharType="end"/>
    </w:r>
  </w:p>
  <w:p w:rsidR="00C93B62" w:rsidRDefault="00C93B62" w:rsidP="00C93B62">
    <w:pPr>
      <w:pStyle w:val="Header"/>
    </w:pPr>
    <w:r>
      <w:t>C18/47-F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23066"/>
    <w:multiLevelType w:val="hybridMultilevel"/>
    <w:tmpl w:val="0CBCE89C"/>
    <w:lvl w:ilvl="0" w:tplc="026C3A54">
      <w:start w:val="1"/>
      <w:numFmt w:val="lowerRoman"/>
      <w:lvlText w:val="%1."/>
      <w:lvlJc w:val="right"/>
      <w:pPr>
        <w:ind w:left="720" w:hanging="360"/>
      </w:pPr>
    </w:lvl>
    <w:lvl w:ilvl="1" w:tplc="F42620B4" w:tentative="1">
      <w:start w:val="1"/>
      <w:numFmt w:val="lowerLetter"/>
      <w:lvlText w:val="%2."/>
      <w:lvlJc w:val="left"/>
      <w:pPr>
        <w:ind w:left="1440" w:hanging="360"/>
      </w:pPr>
    </w:lvl>
    <w:lvl w:ilvl="2" w:tplc="0688D91C" w:tentative="1">
      <w:start w:val="1"/>
      <w:numFmt w:val="lowerRoman"/>
      <w:lvlText w:val="%3."/>
      <w:lvlJc w:val="right"/>
      <w:pPr>
        <w:ind w:left="2160" w:hanging="180"/>
      </w:pPr>
    </w:lvl>
    <w:lvl w:ilvl="3" w:tplc="8CA8ACD0" w:tentative="1">
      <w:start w:val="1"/>
      <w:numFmt w:val="decimal"/>
      <w:lvlText w:val="%4."/>
      <w:lvlJc w:val="left"/>
      <w:pPr>
        <w:ind w:left="2880" w:hanging="360"/>
      </w:pPr>
    </w:lvl>
    <w:lvl w:ilvl="4" w:tplc="5C023D42" w:tentative="1">
      <w:start w:val="1"/>
      <w:numFmt w:val="lowerLetter"/>
      <w:lvlText w:val="%5."/>
      <w:lvlJc w:val="left"/>
      <w:pPr>
        <w:ind w:left="3600" w:hanging="360"/>
      </w:pPr>
    </w:lvl>
    <w:lvl w:ilvl="5" w:tplc="9D6266B6" w:tentative="1">
      <w:start w:val="1"/>
      <w:numFmt w:val="lowerRoman"/>
      <w:lvlText w:val="%6."/>
      <w:lvlJc w:val="right"/>
      <w:pPr>
        <w:ind w:left="4320" w:hanging="180"/>
      </w:pPr>
    </w:lvl>
    <w:lvl w:ilvl="6" w:tplc="D7927404" w:tentative="1">
      <w:start w:val="1"/>
      <w:numFmt w:val="decimal"/>
      <w:lvlText w:val="%7."/>
      <w:lvlJc w:val="left"/>
      <w:pPr>
        <w:ind w:left="5040" w:hanging="360"/>
      </w:pPr>
    </w:lvl>
    <w:lvl w:ilvl="7" w:tplc="27705816" w:tentative="1">
      <w:start w:val="1"/>
      <w:numFmt w:val="lowerLetter"/>
      <w:lvlText w:val="%8."/>
      <w:lvlJc w:val="left"/>
      <w:pPr>
        <w:ind w:left="5760" w:hanging="360"/>
      </w:pPr>
    </w:lvl>
    <w:lvl w:ilvl="8" w:tplc="9F68FA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6"/>
    <w:rsid w:val="000455F3"/>
    <w:rsid w:val="000B2ECF"/>
    <w:rsid w:val="000D0D0A"/>
    <w:rsid w:val="00103163"/>
    <w:rsid w:val="00115D93"/>
    <w:rsid w:val="001247A8"/>
    <w:rsid w:val="001378C0"/>
    <w:rsid w:val="0018694A"/>
    <w:rsid w:val="001A3287"/>
    <w:rsid w:val="001A6508"/>
    <w:rsid w:val="001D4C31"/>
    <w:rsid w:val="001E4D21"/>
    <w:rsid w:val="00207CD1"/>
    <w:rsid w:val="002477A2"/>
    <w:rsid w:val="00257BE9"/>
    <w:rsid w:val="00263A51"/>
    <w:rsid w:val="00267E02"/>
    <w:rsid w:val="002A3EF0"/>
    <w:rsid w:val="002A5D44"/>
    <w:rsid w:val="002E0BC4"/>
    <w:rsid w:val="002F1B76"/>
    <w:rsid w:val="00307D7C"/>
    <w:rsid w:val="0033568E"/>
    <w:rsid w:val="00355FF5"/>
    <w:rsid w:val="00361350"/>
    <w:rsid w:val="003C3FAE"/>
    <w:rsid w:val="003E36A2"/>
    <w:rsid w:val="004038CB"/>
    <w:rsid w:val="0040546F"/>
    <w:rsid w:val="0042404A"/>
    <w:rsid w:val="0044618F"/>
    <w:rsid w:val="0046769A"/>
    <w:rsid w:val="00475FB3"/>
    <w:rsid w:val="004C37A9"/>
    <w:rsid w:val="004D6202"/>
    <w:rsid w:val="004F259E"/>
    <w:rsid w:val="00511F1D"/>
    <w:rsid w:val="00520F36"/>
    <w:rsid w:val="00540615"/>
    <w:rsid w:val="00540A6D"/>
    <w:rsid w:val="00566D41"/>
    <w:rsid w:val="00571EEA"/>
    <w:rsid w:val="00575417"/>
    <w:rsid w:val="005768E1"/>
    <w:rsid w:val="00580B34"/>
    <w:rsid w:val="00590FA5"/>
    <w:rsid w:val="005B1938"/>
    <w:rsid w:val="005C3890"/>
    <w:rsid w:val="005F7BFE"/>
    <w:rsid w:val="00600017"/>
    <w:rsid w:val="006235CA"/>
    <w:rsid w:val="006643AB"/>
    <w:rsid w:val="006E54F5"/>
    <w:rsid w:val="007210CD"/>
    <w:rsid w:val="00732045"/>
    <w:rsid w:val="007369DB"/>
    <w:rsid w:val="00767F90"/>
    <w:rsid w:val="007956C2"/>
    <w:rsid w:val="007A187E"/>
    <w:rsid w:val="007C72C2"/>
    <w:rsid w:val="007D265A"/>
    <w:rsid w:val="007D4436"/>
    <w:rsid w:val="007F257A"/>
    <w:rsid w:val="007F3665"/>
    <w:rsid w:val="00800037"/>
    <w:rsid w:val="00861D73"/>
    <w:rsid w:val="008A4E87"/>
    <w:rsid w:val="008D76E6"/>
    <w:rsid w:val="00916326"/>
    <w:rsid w:val="0092392D"/>
    <w:rsid w:val="0093234A"/>
    <w:rsid w:val="0099405A"/>
    <w:rsid w:val="009A1BD8"/>
    <w:rsid w:val="009C307F"/>
    <w:rsid w:val="009F606B"/>
    <w:rsid w:val="00A2113E"/>
    <w:rsid w:val="00A23A51"/>
    <w:rsid w:val="00A24607"/>
    <w:rsid w:val="00A25CD3"/>
    <w:rsid w:val="00A82767"/>
    <w:rsid w:val="00AA332F"/>
    <w:rsid w:val="00AA7BBB"/>
    <w:rsid w:val="00AB2D63"/>
    <w:rsid w:val="00AB64A8"/>
    <w:rsid w:val="00AC0266"/>
    <w:rsid w:val="00AD24EC"/>
    <w:rsid w:val="00B309F9"/>
    <w:rsid w:val="00B32B60"/>
    <w:rsid w:val="00B61619"/>
    <w:rsid w:val="00BB4545"/>
    <w:rsid w:val="00BD5873"/>
    <w:rsid w:val="00C04BE3"/>
    <w:rsid w:val="00C25D29"/>
    <w:rsid w:val="00C27A7C"/>
    <w:rsid w:val="00C30288"/>
    <w:rsid w:val="00C93B62"/>
    <w:rsid w:val="00CA08ED"/>
    <w:rsid w:val="00CF183B"/>
    <w:rsid w:val="00D375CD"/>
    <w:rsid w:val="00D52086"/>
    <w:rsid w:val="00D553A2"/>
    <w:rsid w:val="00D774D3"/>
    <w:rsid w:val="00D904E8"/>
    <w:rsid w:val="00DA08C3"/>
    <w:rsid w:val="00DB5A3E"/>
    <w:rsid w:val="00DC22AA"/>
    <w:rsid w:val="00DE6669"/>
    <w:rsid w:val="00DF74DD"/>
    <w:rsid w:val="00E25AD0"/>
    <w:rsid w:val="00E25EDB"/>
    <w:rsid w:val="00EB6350"/>
    <w:rsid w:val="00F15B57"/>
    <w:rsid w:val="00F37671"/>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74EE95-6DE9-4B22-9F3A-F353C01D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0B2ECF"/>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ListParagraphChar">
    <w:name w:val="List Paragraph Char"/>
    <w:basedOn w:val="DefaultParagraphFont"/>
    <w:link w:val="ListParagraph"/>
    <w:uiPriority w:val="34"/>
    <w:locked/>
    <w:rsid w:val="000B2ECF"/>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0B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7-CL-C-0067/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usiness.un.org/en/documents/guidelines" TargetMode="External"/><Relationship Id="rId4" Type="http://schemas.openxmlformats.org/officeDocument/2006/relationships/webSettings" Target="webSettings.xml"/><Relationship Id="rId9" Type="http://schemas.openxmlformats.org/officeDocument/2006/relationships/hyperlink" Target="https://www.unglobalcompact.org/what-is-gc/mission/principl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39</TotalTime>
  <Pages>6</Pages>
  <Words>1764</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11715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7</cp:revision>
  <cp:lastPrinted>2018-03-08T17:11:00Z</cp:lastPrinted>
  <dcterms:created xsi:type="dcterms:W3CDTF">2018-03-15T13:28:00Z</dcterms:created>
  <dcterms:modified xsi:type="dcterms:W3CDTF">2018-03-15T14:10:00Z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