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545BF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45BFC">
              <w:rPr>
                <w:rFonts w:cs="Times"/>
                <w:b/>
                <w:szCs w:val="24"/>
              </w:rPr>
              <w:t>Punto del orden del día: PL 2.9</w:t>
            </w:r>
          </w:p>
        </w:tc>
        <w:tc>
          <w:tcPr>
            <w:tcW w:w="3261" w:type="dxa"/>
          </w:tcPr>
          <w:p w:rsidR="00093EEB" w:rsidRPr="00093EEB" w:rsidRDefault="00093EEB" w:rsidP="00545BFC">
            <w:pPr>
              <w:spacing w:before="0"/>
              <w:rPr>
                <w:b/>
                <w:bCs/>
                <w:szCs w:val="24"/>
              </w:rPr>
            </w:pPr>
            <w:r>
              <w:rPr>
                <w:b/>
                <w:bCs/>
                <w:szCs w:val="24"/>
              </w:rPr>
              <w:t>Documento C1</w:t>
            </w:r>
            <w:r w:rsidR="009F4811">
              <w:rPr>
                <w:b/>
                <w:bCs/>
                <w:szCs w:val="24"/>
              </w:rPr>
              <w:t>8</w:t>
            </w:r>
            <w:r>
              <w:rPr>
                <w:b/>
                <w:bCs/>
                <w:szCs w:val="24"/>
              </w:rPr>
              <w:t>/</w:t>
            </w:r>
            <w:r w:rsidR="00545BFC">
              <w:rPr>
                <w:b/>
                <w:bCs/>
                <w:szCs w:val="24"/>
              </w:rPr>
              <w:t>55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545BFC" w:rsidP="009F4811">
            <w:pPr>
              <w:spacing w:before="0"/>
              <w:rPr>
                <w:b/>
                <w:bCs/>
                <w:szCs w:val="24"/>
              </w:rPr>
            </w:pPr>
            <w:r w:rsidRPr="00545BFC">
              <w:rPr>
                <w:b/>
                <w:bCs/>
                <w:szCs w:val="24"/>
              </w:rPr>
              <w:t>8 de marzo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545BFC">
            <w:pPr>
              <w:pStyle w:val="Source"/>
            </w:pPr>
            <w:bookmarkStart w:id="7" w:name="dsource" w:colFirst="0" w:colLast="0"/>
            <w:bookmarkEnd w:id="1"/>
            <w:bookmarkEnd w:id="6"/>
            <w:r w:rsidRPr="00545BFC">
              <w:t>Informe del Secretario General</w:t>
            </w:r>
          </w:p>
        </w:tc>
      </w:tr>
      <w:tr w:rsidR="00093EEB" w:rsidRPr="000B0D00">
        <w:trPr>
          <w:cantSplit/>
        </w:trPr>
        <w:tc>
          <w:tcPr>
            <w:tcW w:w="10173" w:type="dxa"/>
            <w:gridSpan w:val="2"/>
          </w:tcPr>
          <w:p w:rsidR="00093EEB" w:rsidRPr="000B0D00" w:rsidRDefault="00545BFC">
            <w:pPr>
              <w:pStyle w:val="Title1"/>
            </w:pPr>
            <w:bookmarkStart w:id="8" w:name="dtitle1" w:colFirst="0" w:colLast="0"/>
            <w:bookmarkEnd w:id="7"/>
            <w:r w:rsidRPr="00545BFC">
              <w:t>OPTIMIZACIÓN DE LOS EVENTOS DE ALTO NIVEL DE LA UIT DE CARÁCTER MUNDIAL</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545BFC" w:rsidP="00545BFC">
            <w:pPr>
              <w:rPr>
                <w:lang w:val="es-ES"/>
              </w:rPr>
            </w:pPr>
            <w:r w:rsidRPr="00545BFC">
              <w:rPr>
                <w:lang w:val="es-ES"/>
              </w:rPr>
              <w:t>En el presente documento se presentan opciones para la optimización de los eventos de alto nivel de la UIT de carácter mundial para 2020 de resultas de las consideraciones formuladas en la reunión de 2017 del Consejo de la UIT y en la reunión del GTC-RHF de enero de 2018.</w:t>
            </w:r>
          </w:p>
          <w:p w:rsidR="00093EEB" w:rsidRPr="000B0D00" w:rsidRDefault="00093EEB">
            <w:pPr>
              <w:pStyle w:val="Headingb"/>
              <w:rPr>
                <w:lang w:val="es-ES"/>
              </w:rPr>
            </w:pPr>
            <w:r w:rsidRPr="000B0D00">
              <w:rPr>
                <w:lang w:val="es-ES"/>
              </w:rPr>
              <w:t>Acción solicitada</w:t>
            </w:r>
          </w:p>
          <w:p w:rsidR="00093EEB" w:rsidRPr="000B0D00" w:rsidRDefault="00545BFC" w:rsidP="00545BFC">
            <w:pPr>
              <w:rPr>
                <w:lang w:val="es-ES"/>
              </w:rPr>
            </w:pPr>
            <w:r w:rsidRPr="00545BFC">
              <w:rPr>
                <w:lang w:val="es-ES"/>
              </w:rPr>
              <w:t xml:space="preserve">Se invita al Consejo a </w:t>
            </w:r>
            <w:r w:rsidRPr="00545BFC">
              <w:rPr>
                <w:b/>
                <w:lang w:val="es-ES"/>
              </w:rPr>
              <w:t xml:space="preserve">examinar </w:t>
            </w:r>
            <w:r w:rsidRPr="00545BFC">
              <w:rPr>
                <w:lang w:val="es-ES"/>
              </w:rPr>
              <w:t>el presente informe</w:t>
            </w:r>
            <w:r>
              <w:rPr>
                <w:lang w:val="es-ES"/>
              </w:rPr>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545BFC">
              <w:rPr>
                <w:lang w:val="es-ES"/>
              </w:rPr>
              <w:t>s</w:t>
            </w:r>
          </w:p>
          <w:p w:rsidR="00093EEB" w:rsidRPr="000B0D00" w:rsidRDefault="00545BFC" w:rsidP="00545BFC">
            <w:pPr>
              <w:spacing w:after="120"/>
              <w:rPr>
                <w:i/>
                <w:iCs/>
                <w:lang w:val="es-ES"/>
              </w:rPr>
            </w:pPr>
            <w:hyperlink r:id="rId9" w:history="1">
              <w:r w:rsidRPr="00545BFC">
                <w:rPr>
                  <w:rStyle w:val="Hyperlink"/>
                  <w:i/>
                  <w:iCs/>
                  <w:lang w:val="es-ES"/>
                </w:rPr>
                <w:t>C17/</w:t>
              </w:r>
              <w:r w:rsidRPr="00545BFC">
                <w:rPr>
                  <w:rStyle w:val="Hyperlink"/>
                  <w:i/>
                  <w:iCs/>
                  <w:lang w:val="es-ES"/>
                </w:rPr>
                <w:t>8</w:t>
              </w:r>
              <w:r w:rsidRPr="00545BFC">
                <w:rPr>
                  <w:rStyle w:val="Hyperlink"/>
                  <w:i/>
                  <w:iCs/>
                  <w:lang w:val="es-ES"/>
                </w:rPr>
                <w:t>9</w:t>
              </w:r>
            </w:hyperlink>
            <w:r w:rsidRPr="00545BFC">
              <w:rPr>
                <w:i/>
                <w:iCs/>
                <w:lang w:val="es-ES"/>
              </w:rPr>
              <w:t xml:space="preserve">, </w:t>
            </w:r>
            <w:hyperlink r:id="rId10" w:history="1">
              <w:r w:rsidRPr="00545BFC">
                <w:rPr>
                  <w:rStyle w:val="Hyperlink"/>
                  <w:i/>
                  <w:iCs/>
                  <w:lang w:val="es-ES"/>
                </w:rPr>
                <w:t xml:space="preserve">CWG-FHR </w:t>
              </w:r>
              <w:r w:rsidRPr="00545BFC">
                <w:rPr>
                  <w:rStyle w:val="Hyperlink"/>
                  <w:i/>
                  <w:iCs/>
                  <w:lang w:val="es-ES"/>
                </w:rPr>
                <w:t>8</w:t>
              </w:r>
              <w:r w:rsidRPr="00545BFC">
                <w:rPr>
                  <w:rStyle w:val="Hyperlink"/>
                  <w:i/>
                  <w:iCs/>
                  <w:lang w:val="es-ES"/>
                </w:rPr>
                <w:t>/28</w:t>
              </w:r>
            </w:hyperlink>
          </w:p>
        </w:tc>
      </w:tr>
    </w:tbl>
    <w:p w:rsidR="00545BFC" w:rsidRPr="00545BFC" w:rsidRDefault="00FD1D5D" w:rsidP="00FD1D5D">
      <w:pPr>
        <w:pStyle w:val="Heading1"/>
        <w:rPr>
          <w:lang w:val="es-ES"/>
        </w:rPr>
      </w:pPr>
      <w:r>
        <w:rPr>
          <w:lang w:val="es-ES"/>
        </w:rPr>
        <w:t>1</w:t>
      </w:r>
      <w:r>
        <w:rPr>
          <w:lang w:val="es-ES"/>
        </w:rPr>
        <w:tab/>
      </w:r>
      <w:r w:rsidR="00545BFC" w:rsidRPr="00545BFC">
        <w:rPr>
          <w:lang w:val="es-ES"/>
        </w:rPr>
        <w:t>Antecedentes</w:t>
      </w:r>
    </w:p>
    <w:p w:rsidR="00545BFC" w:rsidRPr="00545BFC" w:rsidRDefault="00FD1D5D" w:rsidP="00FD1D5D">
      <w:pPr>
        <w:rPr>
          <w:iCs/>
          <w:lang w:val="es-ES"/>
        </w:rPr>
      </w:pPr>
      <w:r>
        <w:rPr>
          <w:lang w:val="es-ES"/>
        </w:rPr>
        <w:t>1</w:t>
      </w:r>
      <w:r>
        <w:rPr>
          <w:lang w:val="es-ES"/>
        </w:rPr>
        <w:t>.</w:t>
      </w:r>
      <w:r>
        <w:rPr>
          <w:lang w:val="es-ES"/>
        </w:rPr>
        <w:t>1</w:t>
      </w:r>
      <w:r>
        <w:rPr>
          <w:lang w:val="es-ES"/>
        </w:rPr>
        <w:tab/>
      </w:r>
      <w:r w:rsidR="00545BFC" w:rsidRPr="00545BFC">
        <w:rPr>
          <w:lang w:val="es-ES"/>
        </w:rPr>
        <w:t>La creciente complejidad del sector de las tecnologías de la información y la comunicación ha conducido a un aumento en el número total de eventos organizados por la Unión a lo largo del año. A modo de referencia, en 2017 la UIT organizó una amplia variedad de eventos, tanto en Ginebra como en países de sus Estados Miembros: conferencias, seminarios, foros, simposios y talleres, además de las tradicionales reuniones de las Comisiones de Estudios.</w:t>
      </w:r>
    </w:p>
    <w:p w:rsidR="00545BFC" w:rsidRPr="00545BFC" w:rsidRDefault="00FD1D5D" w:rsidP="00FD1D5D">
      <w:pPr>
        <w:rPr>
          <w:iCs/>
          <w:lang w:val="es-ES"/>
        </w:rPr>
      </w:pPr>
      <w:r>
        <w:rPr>
          <w:lang w:val="es-ES"/>
        </w:rPr>
        <w:t>1</w:t>
      </w:r>
      <w:r>
        <w:rPr>
          <w:lang w:val="es-ES"/>
        </w:rPr>
        <w:t>.</w:t>
      </w:r>
      <w:r>
        <w:rPr>
          <w:lang w:val="es-ES"/>
        </w:rPr>
        <w:t>2</w:t>
      </w:r>
      <w:r>
        <w:rPr>
          <w:lang w:val="es-ES"/>
        </w:rPr>
        <w:tab/>
      </w:r>
      <w:r w:rsidR="00545BFC" w:rsidRPr="00545BFC">
        <w:rPr>
          <w:lang w:val="es-ES"/>
        </w:rPr>
        <w:t xml:space="preserve">La Secretaría de la UIT sigue trabajando por elaborar un calendario coordinado de actividades y eventos teniendo en cuenta los diferentes temas y audiencias de cada evento. Esta labor la dirige el Grupo Especial de Coordinación Intersectorial (ISC-TF) de la UIT. A pesar de los avances en los últimos años, diversas delegaciones de la UIT han solicitado a la Secretaría que tome medidas adicionales para seguir con la "optimización de los eventos de alto nivel de la UIT de carácter mundial", los cuales han aumentado en número en los últimos años. Esta solicitud se debatió en particular en la reunión de 2017 del Consejo de la UIT a raíz de la </w:t>
      </w:r>
      <w:r w:rsidRPr="00545BFC">
        <w:rPr>
          <w:lang w:val="es-ES"/>
        </w:rPr>
        <w:t xml:space="preserve">Contribución </w:t>
      </w:r>
      <w:r w:rsidR="00545BFC" w:rsidRPr="00545BFC">
        <w:rPr>
          <w:lang w:val="es-ES"/>
        </w:rPr>
        <w:t xml:space="preserve">C17/89 presentada por la </w:t>
      </w:r>
      <w:r w:rsidR="00386840" w:rsidRPr="00545BFC">
        <w:rPr>
          <w:lang w:val="es-ES"/>
        </w:rPr>
        <w:t xml:space="preserve">Administración </w:t>
      </w:r>
      <w:r w:rsidR="00545BFC" w:rsidRPr="00545BFC">
        <w:rPr>
          <w:lang w:val="es-ES"/>
        </w:rPr>
        <w:t>de China en la que se solicitaba a</w:t>
      </w:r>
      <w:r w:rsidR="00386840">
        <w:rPr>
          <w:lang w:val="es-ES"/>
        </w:rPr>
        <w:t>l</w:t>
      </w:r>
      <w:r w:rsidR="00545BFC" w:rsidRPr="00545BFC">
        <w:rPr>
          <w:lang w:val="es-ES"/>
        </w:rPr>
        <w:t xml:space="preserve"> GTC-RHF que siguiese estudiando este asunto.</w:t>
      </w:r>
    </w:p>
    <w:p w:rsidR="00545BFC" w:rsidRPr="00545BFC" w:rsidRDefault="00FD1D5D" w:rsidP="00FD1D5D">
      <w:pPr>
        <w:keepNext/>
        <w:keepLines/>
        <w:rPr>
          <w:lang w:val="es-ES"/>
        </w:rPr>
      </w:pPr>
      <w:r>
        <w:rPr>
          <w:lang w:val="es-ES"/>
        </w:rPr>
        <w:lastRenderedPageBreak/>
        <w:t>1</w:t>
      </w:r>
      <w:r>
        <w:rPr>
          <w:lang w:val="es-ES"/>
        </w:rPr>
        <w:t>.</w:t>
      </w:r>
      <w:r>
        <w:rPr>
          <w:lang w:val="es-ES"/>
        </w:rPr>
        <w:t>3</w:t>
      </w:r>
      <w:r>
        <w:rPr>
          <w:lang w:val="es-ES"/>
        </w:rPr>
        <w:tab/>
      </w:r>
      <w:r w:rsidR="00545BFC" w:rsidRPr="00545BFC">
        <w:rPr>
          <w:lang w:val="es-ES"/>
        </w:rPr>
        <w:t>En su reunión de enero de 2018, el GTC-RHF revisó la contribución de la República Popular China sobre la optimización de los eventos de alto nivel de la UIT de carácter mundial (</w:t>
      </w:r>
      <w:hyperlink r:id="rId11" w:history="1">
        <w:r w:rsidR="00545BFC" w:rsidRPr="00545BFC">
          <w:rPr>
            <w:rStyle w:val="Hyperlink"/>
            <w:lang w:val="es-ES"/>
          </w:rPr>
          <w:t>Documento</w:t>
        </w:r>
        <w:r>
          <w:rPr>
            <w:rStyle w:val="Hyperlink"/>
            <w:lang w:val="es-ES"/>
          </w:rPr>
          <w:t> </w:t>
        </w:r>
        <w:r w:rsidR="00545BFC" w:rsidRPr="00545BFC">
          <w:rPr>
            <w:rStyle w:val="Hyperlink"/>
            <w:lang w:val="es-ES"/>
          </w:rPr>
          <w:t>CW</w:t>
        </w:r>
        <w:r w:rsidR="00545BFC" w:rsidRPr="00545BFC">
          <w:rPr>
            <w:rStyle w:val="Hyperlink"/>
            <w:lang w:val="es-ES"/>
          </w:rPr>
          <w:t>G</w:t>
        </w:r>
        <w:r w:rsidR="00545BFC" w:rsidRPr="00545BFC">
          <w:rPr>
            <w:rStyle w:val="Hyperlink"/>
            <w:lang w:val="es-ES"/>
          </w:rPr>
          <w:t>-FHR 8/4</w:t>
        </w:r>
      </w:hyperlink>
      <w:r w:rsidR="00545BFC" w:rsidRPr="00545BFC">
        <w:rPr>
          <w:lang w:val="es-ES"/>
        </w:rPr>
        <w:t>) en la que se proponía que la Secretaría estudiase y sistematizase todos los eventos actuales de alto nivel de la Unión para lograr una disposición y programación óptima de los eventos que habría de someterse a la consideración de l</w:t>
      </w:r>
      <w:r>
        <w:rPr>
          <w:lang w:val="es-ES"/>
        </w:rPr>
        <w:t>a reunión de 2018 del Consejo.</w:t>
      </w:r>
    </w:p>
    <w:p w:rsidR="00545BFC" w:rsidRPr="00545BFC" w:rsidRDefault="00FD1D5D" w:rsidP="00FD1D5D">
      <w:pPr>
        <w:pStyle w:val="Heading1"/>
        <w:rPr>
          <w:lang w:val="es-ES"/>
        </w:rPr>
      </w:pPr>
      <w:r>
        <w:rPr>
          <w:lang w:val="es-ES"/>
        </w:rPr>
        <w:t>2</w:t>
      </w:r>
      <w:r>
        <w:rPr>
          <w:lang w:val="es-ES"/>
        </w:rPr>
        <w:tab/>
      </w:r>
      <w:r w:rsidR="00545BFC" w:rsidRPr="00545BFC">
        <w:rPr>
          <w:lang w:val="es-ES"/>
        </w:rPr>
        <w:t>Consideraciones</w:t>
      </w:r>
    </w:p>
    <w:p w:rsidR="00545BFC" w:rsidRPr="00545BFC" w:rsidRDefault="00FD1D5D" w:rsidP="00FD1D5D">
      <w:pPr>
        <w:rPr>
          <w:iCs/>
          <w:lang w:val="es-ES"/>
        </w:rPr>
      </w:pPr>
      <w:r>
        <w:rPr>
          <w:lang w:val="es-ES"/>
        </w:rPr>
        <w:t>2.</w:t>
      </w:r>
      <w:r>
        <w:rPr>
          <w:lang w:val="es-ES"/>
        </w:rPr>
        <w:t>1</w:t>
      </w:r>
      <w:r>
        <w:rPr>
          <w:lang w:val="es-ES"/>
        </w:rPr>
        <w:tab/>
      </w:r>
      <w:r w:rsidR="00545BFC" w:rsidRPr="00545BFC">
        <w:rPr>
          <w:i/>
          <w:iCs/>
          <w:lang w:val="es-ES"/>
        </w:rPr>
        <w:t>Cometido</w:t>
      </w:r>
      <w:r w:rsidR="00386840">
        <w:rPr>
          <w:i/>
          <w:iCs/>
          <w:lang w:val="es-ES"/>
        </w:rPr>
        <w:t>.</w:t>
      </w:r>
      <w:r w:rsidR="00545BFC" w:rsidRPr="00545BFC">
        <w:rPr>
          <w:i/>
          <w:iCs/>
          <w:lang w:val="es-ES"/>
        </w:rPr>
        <w:t xml:space="preserve"> </w:t>
      </w:r>
      <w:r w:rsidR="00545BFC" w:rsidRPr="00545BFC">
        <w:rPr>
          <w:lang w:val="es-ES"/>
        </w:rPr>
        <w:t>El cometido de la propuesta presentada en el presente documento es la optimización de los eventos de alto nivel de la UIT de carácter mundial, como ITU Telecom, el Simposio Mundial para Organismos Reguladores (GSR), el Simposio Mundial de Indicadores de las Telecomunicaciones/TIC, el Foro de la CMSI, el Foro Mundial de Política de las Telecomunicaciones/</w:t>
      </w:r>
      <w:r w:rsidR="00386840" w:rsidRPr="00545BFC">
        <w:rPr>
          <w:lang w:val="es-ES"/>
        </w:rPr>
        <w:t xml:space="preserve">Tecnologías </w:t>
      </w:r>
      <w:r w:rsidR="00545BFC" w:rsidRPr="00545BFC">
        <w:rPr>
          <w:lang w:val="es-ES"/>
        </w:rPr>
        <w:t xml:space="preserve">de la </w:t>
      </w:r>
      <w:r w:rsidR="00386840" w:rsidRPr="00545BFC">
        <w:rPr>
          <w:lang w:val="es-ES"/>
        </w:rPr>
        <w:t xml:space="preserve">Información </w:t>
      </w:r>
      <w:r w:rsidR="00545BFC" w:rsidRPr="00545BFC">
        <w:rPr>
          <w:lang w:val="es-ES"/>
        </w:rPr>
        <w:t xml:space="preserve">y la </w:t>
      </w:r>
      <w:r w:rsidR="00386840" w:rsidRPr="00545BFC">
        <w:rPr>
          <w:lang w:val="es-ES"/>
        </w:rPr>
        <w:t>Comunicación</w:t>
      </w:r>
      <w:r w:rsidR="00545BFC" w:rsidRPr="00545BFC">
        <w:rPr>
          <w:lang w:val="es-ES"/>
        </w:rPr>
        <w:t xml:space="preserve">, la Conferencia </w:t>
      </w:r>
      <w:r w:rsidR="00386840" w:rsidRPr="00545BFC">
        <w:rPr>
          <w:lang w:val="es-ES"/>
        </w:rPr>
        <w:t xml:space="preserve">Académica </w:t>
      </w:r>
      <w:r w:rsidR="00545BFC" w:rsidRPr="00545BFC">
        <w:rPr>
          <w:lang w:val="es-ES"/>
        </w:rPr>
        <w:t>del Caleidoscopio de la UIT, etc., excluyendo las reuniones de Comisiones de Estudio y eventos afines, las conferencias y asambleas del Consejo de la UIT y las previstas de cada Sector, y los eventos relativos a la Conferencia de Plenipo</w:t>
      </w:r>
      <w:r>
        <w:rPr>
          <w:lang w:val="es-ES"/>
        </w:rPr>
        <w:t>tenciarios.</w:t>
      </w:r>
    </w:p>
    <w:p w:rsidR="00545BFC" w:rsidRPr="00545BFC" w:rsidRDefault="00FD1D5D" w:rsidP="00FD1D5D">
      <w:pPr>
        <w:rPr>
          <w:iCs/>
          <w:lang w:val="es-ES"/>
        </w:rPr>
      </w:pPr>
      <w:r>
        <w:rPr>
          <w:lang w:val="es-ES"/>
        </w:rPr>
        <w:t>2.</w:t>
      </w:r>
      <w:r>
        <w:rPr>
          <w:lang w:val="es-ES"/>
        </w:rPr>
        <w:t>2</w:t>
      </w:r>
      <w:r>
        <w:rPr>
          <w:lang w:val="es-ES"/>
        </w:rPr>
        <w:tab/>
      </w:r>
      <w:r w:rsidR="00545BFC" w:rsidRPr="00545BFC">
        <w:rPr>
          <w:i/>
          <w:iCs/>
          <w:lang w:val="es-ES"/>
        </w:rPr>
        <w:t>Calendario</w:t>
      </w:r>
      <w:r w:rsidR="00386840">
        <w:rPr>
          <w:i/>
          <w:iCs/>
          <w:lang w:val="es-ES"/>
        </w:rPr>
        <w:t>.</w:t>
      </w:r>
      <w:r w:rsidR="00545BFC" w:rsidRPr="00545BFC">
        <w:rPr>
          <w:i/>
          <w:iCs/>
          <w:lang w:val="es-ES"/>
        </w:rPr>
        <w:t xml:space="preserve"> </w:t>
      </w:r>
      <w:r w:rsidR="00545BFC" w:rsidRPr="00545BFC">
        <w:rPr>
          <w:lang w:val="es-ES"/>
        </w:rPr>
        <w:t>Se definirá una nueva programación que comience en 2020, teniendo presente que ya ha comenzado la elaboración del calendario de a</w:t>
      </w:r>
      <w:r>
        <w:rPr>
          <w:lang w:val="es-ES"/>
        </w:rPr>
        <w:t>ctividades de la UIT para 2019.</w:t>
      </w:r>
    </w:p>
    <w:p w:rsidR="00545BFC" w:rsidRPr="00545BFC" w:rsidRDefault="00FD1D5D" w:rsidP="00FD1D5D">
      <w:pPr>
        <w:rPr>
          <w:iCs/>
          <w:lang w:val="es-ES"/>
        </w:rPr>
      </w:pPr>
      <w:r>
        <w:rPr>
          <w:lang w:val="es-ES"/>
        </w:rPr>
        <w:t>2.</w:t>
      </w:r>
      <w:r>
        <w:rPr>
          <w:lang w:val="es-ES"/>
        </w:rPr>
        <w:t>3</w:t>
      </w:r>
      <w:r>
        <w:rPr>
          <w:lang w:val="es-ES"/>
        </w:rPr>
        <w:tab/>
      </w:r>
      <w:r w:rsidR="00545BFC" w:rsidRPr="00545BFC">
        <w:rPr>
          <w:i/>
          <w:iCs/>
          <w:lang w:val="es-ES"/>
        </w:rPr>
        <w:t>Coubicación</w:t>
      </w:r>
      <w:r w:rsidR="00386840">
        <w:rPr>
          <w:i/>
          <w:iCs/>
          <w:lang w:val="es-ES"/>
        </w:rPr>
        <w:t>.</w:t>
      </w:r>
      <w:r w:rsidR="00545BFC" w:rsidRPr="00545BFC">
        <w:rPr>
          <w:i/>
          <w:iCs/>
          <w:lang w:val="es-ES"/>
        </w:rPr>
        <w:t xml:space="preserve"> </w:t>
      </w:r>
      <w:r w:rsidR="00545BFC" w:rsidRPr="00545BFC">
        <w:rPr>
          <w:lang w:val="es-ES"/>
        </w:rPr>
        <w:t xml:space="preserve">Habrá que tener en cuenta las recientes experiencias positivas en la coubicación de diversos eventos de la UIT en el mismo lugar y fecha. Por ejemplo, la organización de la Conferencia </w:t>
      </w:r>
      <w:r w:rsidR="00386840" w:rsidRPr="00545BFC">
        <w:rPr>
          <w:lang w:val="es-ES"/>
        </w:rPr>
        <w:t xml:space="preserve">Académica </w:t>
      </w:r>
      <w:r w:rsidR="00545BFC" w:rsidRPr="00545BFC">
        <w:rPr>
          <w:lang w:val="es-ES"/>
        </w:rPr>
        <w:t>del Caleidoscopio de la UIT de 2016 (celebrada en paralelo a ITU Telecom World de 2016), del programa Smart ABC en ITU Telecom World de 2017 y de la reunión de Directores Técnicos del UIT-T. Una coubicación así permite que los eventos presenten audiencias, puntos de atención y órdenes del día claramente diferenciados, y que se optimice el costo y los recursos de organización.</w:t>
      </w:r>
    </w:p>
    <w:p w:rsidR="00545BFC" w:rsidRPr="00545BFC" w:rsidRDefault="00FD1D5D" w:rsidP="00FD1D5D">
      <w:pPr>
        <w:rPr>
          <w:iCs/>
          <w:lang w:val="es-ES"/>
        </w:rPr>
      </w:pPr>
      <w:r>
        <w:rPr>
          <w:lang w:val="es-ES"/>
        </w:rPr>
        <w:t>2.</w:t>
      </w:r>
      <w:r>
        <w:rPr>
          <w:lang w:val="es-ES"/>
        </w:rPr>
        <w:t>4</w:t>
      </w:r>
      <w:r>
        <w:rPr>
          <w:lang w:val="es-ES"/>
        </w:rPr>
        <w:tab/>
      </w:r>
      <w:r w:rsidR="00545BFC" w:rsidRPr="00545BFC">
        <w:rPr>
          <w:i/>
          <w:iCs/>
          <w:lang w:val="es-ES"/>
        </w:rPr>
        <w:t>Segmentación</w:t>
      </w:r>
      <w:r w:rsidR="00386840">
        <w:rPr>
          <w:i/>
          <w:iCs/>
          <w:lang w:val="es-ES"/>
        </w:rPr>
        <w:t>.</w:t>
      </w:r>
      <w:r w:rsidR="00545BFC" w:rsidRPr="00545BFC">
        <w:rPr>
          <w:i/>
          <w:iCs/>
          <w:lang w:val="es-ES"/>
        </w:rPr>
        <w:t xml:space="preserve"> </w:t>
      </w:r>
      <w:r w:rsidR="00545BFC" w:rsidRPr="00545BFC">
        <w:rPr>
          <w:lang w:val="es-ES"/>
        </w:rPr>
        <w:t>La optimización de eventos puede lograrse reduciendo la audiencia meta de cada evento con el objetivo de ofrecer un solo evento al año sobre un tema de interés en particular a cada una de las audiencias principales que participan en las actividades de la U</w:t>
      </w:r>
      <w:r>
        <w:rPr>
          <w:lang w:val="es-ES"/>
        </w:rPr>
        <w:t>IT.</w:t>
      </w:r>
    </w:p>
    <w:p w:rsidR="00545BFC" w:rsidRPr="00545BFC" w:rsidRDefault="00FD1D5D" w:rsidP="00FD1D5D">
      <w:pPr>
        <w:rPr>
          <w:iCs/>
          <w:lang w:val="es-ES"/>
        </w:rPr>
      </w:pPr>
      <w:r>
        <w:rPr>
          <w:lang w:val="es-ES"/>
        </w:rPr>
        <w:t>2.</w:t>
      </w:r>
      <w:r>
        <w:rPr>
          <w:lang w:val="es-ES"/>
        </w:rPr>
        <w:t>5</w:t>
      </w:r>
      <w:r>
        <w:rPr>
          <w:lang w:val="es-ES"/>
        </w:rPr>
        <w:tab/>
      </w:r>
      <w:r w:rsidR="00545BFC" w:rsidRPr="00545BFC">
        <w:rPr>
          <w:i/>
          <w:iCs/>
          <w:lang w:val="es-ES"/>
        </w:rPr>
        <w:t>Eventos en la Sede de la UIT y eventos en países</w:t>
      </w:r>
      <w:r w:rsidR="00386840">
        <w:rPr>
          <w:i/>
          <w:iCs/>
          <w:lang w:val="es-ES"/>
        </w:rPr>
        <w:t>.</w:t>
      </w:r>
      <w:r w:rsidR="00545BFC" w:rsidRPr="00545BFC">
        <w:rPr>
          <w:lang w:val="es-ES"/>
        </w:rPr>
        <w:t xml:space="preserve"> El propósito de la propuesta es equilibrar la programación de eventos de la UIT en Ginebra y reconocer las ventajas que supone que los Estados Miembros organicen eventos de la UIT en sus regiones. Por ejemplo, se facilita la participación en los eventos y se da a co</w:t>
      </w:r>
      <w:r>
        <w:rPr>
          <w:lang w:val="es-ES"/>
        </w:rPr>
        <w:t>nocer mejor la UIT en el mundo.</w:t>
      </w:r>
    </w:p>
    <w:p w:rsidR="00545BFC" w:rsidRPr="00545BFC" w:rsidRDefault="00FD1D5D" w:rsidP="00FD1D5D">
      <w:pPr>
        <w:rPr>
          <w:iCs/>
          <w:lang w:val="es-ES"/>
        </w:rPr>
      </w:pPr>
      <w:r>
        <w:rPr>
          <w:lang w:val="es-ES"/>
        </w:rPr>
        <w:t>2.6</w:t>
      </w:r>
      <w:r>
        <w:rPr>
          <w:lang w:val="es-ES"/>
        </w:rPr>
        <w:tab/>
      </w:r>
      <w:r w:rsidR="00545BFC" w:rsidRPr="00545BFC">
        <w:rPr>
          <w:lang w:val="es-ES"/>
        </w:rPr>
        <w:t>Teniendo presente esas consideraciones surgen dos opciones, las cuales se elaborarán en las secciones 3 y 4.</w:t>
      </w:r>
    </w:p>
    <w:p w:rsidR="00545BFC" w:rsidRPr="00545BFC" w:rsidRDefault="00FD1D5D" w:rsidP="00FD1D5D">
      <w:pPr>
        <w:pStyle w:val="enumlev1"/>
        <w:rPr>
          <w:iCs/>
          <w:lang w:val="es-ES"/>
        </w:rPr>
      </w:pPr>
      <w:r w:rsidRPr="00FD1D5D">
        <w:rPr>
          <w:lang w:val="es-ES"/>
        </w:rPr>
        <w:t>•</w:t>
      </w:r>
      <w:r>
        <w:rPr>
          <w:lang w:val="es-ES"/>
        </w:rPr>
        <w:tab/>
      </w:r>
      <w:r w:rsidR="00545BFC" w:rsidRPr="00545BFC">
        <w:rPr>
          <w:lang w:val="es-ES"/>
        </w:rPr>
        <w:t>Opción 1. Consolidación de los eventos de la UIT e</w:t>
      </w:r>
      <w:r>
        <w:rPr>
          <w:lang w:val="es-ES"/>
        </w:rPr>
        <w:t>n dos periodos al año.</w:t>
      </w:r>
    </w:p>
    <w:p w:rsidR="00545BFC" w:rsidRPr="00545BFC" w:rsidRDefault="00FD1D5D" w:rsidP="00FD1D5D">
      <w:pPr>
        <w:pStyle w:val="enumlev1"/>
        <w:rPr>
          <w:iCs/>
          <w:lang w:val="es-ES"/>
        </w:rPr>
      </w:pPr>
      <w:r w:rsidRPr="00FD1D5D">
        <w:rPr>
          <w:lang w:val="es-ES"/>
        </w:rPr>
        <w:t>•</w:t>
      </w:r>
      <w:r>
        <w:rPr>
          <w:lang w:val="es-ES"/>
        </w:rPr>
        <w:tab/>
      </w:r>
      <w:r w:rsidR="00545BFC" w:rsidRPr="00545BFC">
        <w:rPr>
          <w:lang w:val="es-ES"/>
        </w:rPr>
        <w:t>Opción 2. Como la opción 1 pero segmentando los eventos por esferas temáticas.</w:t>
      </w:r>
    </w:p>
    <w:p w:rsidR="00545BFC" w:rsidRPr="00545BFC" w:rsidRDefault="00FD1D5D" w:rsidP="00FD1D5D">
      <w:pPr>
        <w:pStyle w:val="Heading1"/>
        <w:rPr>
          <w:lang w:val="es-ES"/>
        </w:rPr>
      </w:pPr>
      <w:r>
        <w:rPr>
          <w:lang w:val="es-ES"/>
        </w:rPr>
        <w:t>3</w:t>
      </w:r>
      <w:r>
        <w:rPr>
          <w:lang w:val="es-ES"/>
        </w:rPr>
        <w:tab/>
      </w:r>
      <w:r w:rsidR="00545BFC" w:rsidRPr="00545BFC">
        <w:rPr>
          <w:lang w:val="es-ES"/>
        </w:rPr>
        <w:t>Opción 1. Consolidación de</w:t>
      </w:r>
      <w:r w:rsidR="0097291E">
        <w:rPr>
          <w:lang w:val="es-ES"/>
        </w:rPr>
        <w:t xml:space="preserve"> </w:t>
      </w:r>
      <w:r w:rsidR="00545BFC" w:rsidRPr="00545BFC">
        <w:rPr>
          <w:lang w:val="es-ES"/>
        </w:rPr>
        <w:t>l</w:t>
      </w:r>
      <w:r w:rsidR="0097291E">
        <w:rPr>
          <w:lang w:val="es-ES"/>
        </w:rPr>
        <w:t>a</w:t>
      </w:r>
      <w:r w:rsidR="00545BFC" w:rsidRPr="00545BFC">
        <w:rPr>
          <w:lang w:val="es-ES"/>
        </w:rPr>
        <w:t xml:space="preserve"> agenda de la UIT</w:t>
      </w:r>
    </w:p>
    <w:p w:rsidR="00545BFC" w:rsidRPr="00545BFC" w:rsidRDefault="00FD1D5D" w:rsidP="0097291E">
      <w:pPr>
        <w:rPr>
          <w:iCs/>
          <w:lang w:val="es-ES"/>
        </w:rPr>
      </w:pPr>
      <w:r>
        <w:rPr>
          <w:lang w:val="es-ES"/>
        </w:rPr>
        <w:t>3.1</w:t>
      </w:r>
      <w:r>
        <w:rPr>
          <w:lang w:val="es-ES"/>
        </w:rPr>
        <w:tab/>
      </w:r>
      <w:r w:rsidR="00545BFC" w:rsidRPr="00545BFC">
        <w:rPr>
          <w:lang w:val="es-ES"/>
        </w:rPr>
        <w:t xml:space="preserve">La optimización de los eventos de alto nivel de la UIT de carácter mundial puede lograrse consolidando la agenda de actividades en torno a dos grupos y periodos de eventos anuales: </w:t>
      </w:r>
      <w:r w:rsidR="0097291E">
        <w:rPr>
          <w:lang w:val="es-ES"/>
        </w:rPr>
        <w:t>a</w:t>
      </w:r>
      <w:r w:rsidR="00545BFC" w:rsidRPr="00545BFC">
        <w:rPr>
          <w:lang w:val="es-ES"/>
        </w:rPr>
        <w:t>)</w:t>
      </w:r>
      <w:r w:rsidR="0097291E">
        <w:rPr>
          <w:lang w:val="es-ES"/>
        </w:rPr>
        <w:t> </w:t>
      </w:r>
      <w:r w:rsidR="00545BFC" w:rsidRPr="00545BFC">
        <w:rPr>
          <w:i/>
          <w:iCs/>
          <w:lang w:val="es-ES"/>
        </w:rPr>
        <w:t>Periodo 1:</w:t>
      </w:r>
      <w:r w:rsidR="00545BFC" w:rsidRPr="00545BFC">
        <w:rPr>
          <w:lang w:val="es-ES"/>
        </w:rPr>
        <w:t xml:space="preserve"> Celebrados en Ginebra en el primer/segundo trimestre (marzo-abril); y </w:t>
      </w:r>
      <w:r w:rsidR="0097291E">
        <w:rPr>
          <w:lang w:val="es-ES"/>
        </w:rPr>
        <w:t>b</w:t>
      </w:r>
      <w:r w:rsidR="00545BFC" w:rsidRPr="00545BFC">
        <w:rPr>
          <w:lang w:val="es-ES"/>
        </w:rPr>
        <w:t xml:space="preserve">) </w:t>
      </w:r>
      <w:r w:rsidR="00545BFC" w:rsidRPr="0097291E">
        <w:rPr>
          <w:i/>
          <w:iCs/>
          <w:lang w:val="es-ES"/>
        </w:rPr>
        <w:t>Periodo 2</w:t>
      </w:r>
      <w:r w:rsidR="0097291E">
        <w:rPr>
          <w:lang w:val="es-ES"/>
        </w:rPr>
        <w:t>:</w:t>
      </w:r>
      <w:r w:rsidR="00545BFC" w:rsidRPr="00545BFC">
        <w:rPr>
          <w:lang w:val="es-ES"/>
        </w:rPr>
        <w:t xml:space="preserve"> </w:t>
      </w:r>
      <w:r w:rsidR="00545BFC" w:rsidRPr="00545BFC">
        <w:rPr>
          <w:lang w:val="es-ES"/>
        </w:rPr>
        <w:lastRenderedPageBreak/>
        <w:t xml:space="preserve">Celebrados por un Estado Miembro de la UIT, en el cuarto trimestre (octubre-noviembre). Véase la </w:t>
      </w:r>
      <w:r w:rsidRPr="00545BFC">
        <w:rPr>
          <w:lang w:val="es-ES"/>
        </w:rPr>
        <w:t xml:space="preserve">Figura </w:t>
      </w:r>
      <w:r w:rsidR="00545BFC" w:rsidRPr="00545BFC">
        <w:rPr>
          <w:lang w:val="es-ES"/>
        </w:rPr>
        <w:t>1.</w:t>
      </w:r>
    </w:p>
    <w:p w:rsidR="00FD1D5D" w:rsidRPr="00E37AA2" w:rsidRDefault="00FD1D5D" w:rsidP="00FD1D5D">
      <w:pPr>
        <w:pStyle w:val="ListParagraph"/>
        <w:spacing w:line="240" w:lineRule="auto"/>
        <w:ind w:left="0"/>
        <w:contextualSpacing w:val="0"/>
        <w:jc w:val="both"/>
        <w:rPr>
          <w:iCs/>
          <w:szCs w:val="24"/>
        </w:rPr>
      </w:pPr>
    </w:p>
    <w:tbl>
      <w:tblPr>
        <w:tblStyle w:val="TableGrid"/>
        <w:tblW w:w="0" w:type="auto"/>
        <w:tblLook w:val="04A0" w:firstRow="1" w:lastRow="0" w:firstColumn="1" w:lastColumn="0" w:noHBand="0" w:noVBand="1"/>
      </w:tblPr>
      <w:tblGrid>
        <w:gridCol w:w="677"/>
        <w:gridCol w:w="690"/>
        <w:gridCol w:w="782"/>
        <w:gridCol w:w="776"/>
        <w:gridCol w:w="714"/>
        <w:gridCol w:w="1064"/>
        <w:gridCol w:w="711"/>
        <w:gridCol w:w="697"/>
        <w:gridCol w:w="838"/>
        <w:gridCol w:w="717"/>
        <w:gridCol w:w="1120"/>
        <w:gridCol w:w="843"/>
      </w:tblGrid>
      <w:tr w:rsidR="00FD1D5D" w:rsidTr="00156121">
        <w:tc>
          <w:tcPr>
            <w:tcW w:w="9629" w:type="dxa"/>
            <w:gridSpan w:val="12"/>
            <w:shd w:val="clear" w:color="auto" w:fill="BFBFBF" w:themeFill="background1" w:themeFillShade="BF"/>
            <w:vAlign w:val="center"/>
          </w:tcPr>
          <w:p w:rsidR="00FD1D5D" w:rsidRPr="00E37AA2" w:rsidRDefault="00FD1D5D" w:rsidP="00156121">
            <w:pPr>
              <w:spacing w:before="0"/>
              <w:jc w:val="center"/>
              <w:rPr>
                <w:b/>
                <w:iCs/>
                <w:sz w:val="20"/>
              </w:rPr>
            </w:pPr>
            <w:r>
              <w:rPr>
                <w:b/>
                <w:iCs/>
                <w:sz w:val="20"/>
              </w:rPr>
              <w:t>Eventos de la UIT en 2018</w:t>
            </w:r>
          </w:p>
        </w:tc>
      </w:tr>
      <w:tr w:rsidR="0079556D" w:rsidTr="00156121">
        <w:tc>
          <w:tcPr>
            <w:tcW w:w="68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Ene</w:t>
            </w:r>
          </w:p>
        </w:tc>
        <w:tc>
          <w:tcPr>
            <w:tcW w:w="69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Feb</w:t>
            </w:r>
          </w:p>
        </w:tc>
        <w:tc>
          <w:tcPr>
            <w:tcW w:w="783"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Mar</w:t>
            </w:r>
          </w:p>
        </w:tc>
        <w:tc>
          <w:tcPr>
            <w:tcW w:w="777"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Abr</w:t>
            </w:r>
          </w:p>
        </w:tc>
        <w:tc>
          <w:tcPr>
            <w:tcW w:w="717"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May</w:t>
            </w:r>
          </w:p>
        </w:tc>
        <w:tc>
          <w:tcPr>
            <w:tcW w:w="106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Jun</w:t>
            </w:r>
          </w:p>
        </w:tc>
        <w:tc>
          <w:tcPr>
            <w:tcW w:w="71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Jul</w:t>
            </w:r>
          </w:p>
        </w:tc>
        <w:tc>
          <w:tcPr>
            <w:tcW w:w="70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Ago</w:t>
            </w:r>
          </w:p>
        </w:tc>
        <w:tc>
          <w:tcPr>
            <w:tcW w:w="839"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Sep</w:t>
            </w:r>
          </w:p>
        </w:tc>
        <w:tc>
          <w:tcPr>
            <w:tcW w:w="72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Oct</w:t>
            </w:r>
          </w:p>
        </w:tc>
        <w:tc>
          <w:tcPr>
            <w:tcW w:w="109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Nov</w:t>
            </w:r>
          </w:p>
        </w:tc>
        <w:tc>
          <w:tcPr>
            <w:tcW w:w="84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Dic</w:t>
            </w:r>
          </w:p>
        </w:tc>
      </w:tr>
      <w:tr w:rsidR="0079556D" w:rsidTr="00156121">
        <w:tc>
          <w:tcPr>
            <w:tcW w:w="681" w:type="dxa"/>
            <w:vAlign w:val="center"/>
          </w:tcPr>
          <w:p w:rsidR="00FD1D5D" w:rsidRPr="009F3384" w:rsidRDefault="00FD1D5D" w:rsidP="00156121">
            <w:pPr>
              <w:spacing w:before="0"/>
              <w:jc w:val="center"/>
              <w:rPr>
                <w:iCs/>
                <w:sz w:val="16"/>
                <w:szCs w:val="16"/>
              </w:rPr>
            </w:pPr>
          </w:p>
        </w:tc>
        <w:tc>
          <w:tcPr>
            <w:tcW w:w="694" w:type="dxa"/>
            <w:vAlign w:val="center"/>
          </w:tcPr>
          <w:p w:rsidR="00FD1D5D" w:rsidRPr="009F3384" w:rsidRDefault="00FD1D5D" w:rsidP="00156121">
            <w:pPr>
              <w:spacing w:before="0"/>
              <w:jc w:val="center"/>
              <w:rPr>
                <w:iCs/>
                <w:sz w:val="16"/>
                <w:szCs w:val="16"/>
              </w:rPr>
            </w:pPr>
          </w:p>
        </w:tc>
        <w:tc>
          <w:tcPr>
            <w:tcW w:w="783" w:type="dxa"/>
            <w:shd w:val="clear" w:color="auto" w:fill="D9D9D9" w:themeFill="background1" w:themeFillShade="D9"/>
            <w:vAlign w:val="center"/>
          </w:tcPr>
          <w:p w:rsidR="00FD1D5D" w:rsidRPr="009F3384" w:rsidRDefault="00FD1D5D" w:rsidP="00D87C85">
            <w:pPr>
              <w:spacing w:before="0"/>
              <w:ind w:left="-57" w:right="-57"/>
              <w:jc w:val="center"/>
              <w:rPr>
                <w:iCs/>
                <w:sz w:val="16"/>
                <w:szCs w:val="16"/>
              </w:rPr>
            </w:pPr>
            <w:r>
              <w:rPr>
                <w:iCs/>
                <w:sz w:val="16"/>
                <w:szCs w:val="16"/>
              </w:rPr>
              <w:t>Foro de la CMSI</w:t>
            </w:r>
            <w:r w:rsidR="00D87C85">
              <w:rPr>
                <w:iCs/>
                <w:sz w:val="16"/>
                <w:szCs w:val="16"/>
              </w:rPr>
              <w:noBreakHyphen/>
            </w:r>
            <w:r>
              <w:rPr>
                <w:iCs/>
                <w:sz w:val="16"/>
                <w:szCs w:val="16"/>
              </w:rPr>
              <w:t>18</w:t>
            </w:r>
          </w:p>
        </w:tc>
        <w:tc>
          <w:tcPr>
            <w:tcW w:w="777"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Consejo de la UIT</w:t>
            </w:r>
          </w:p>
        </w:tc>
        <w:tc>
          <w:tcPr>
            <w:tcW w:w="717" w:type="dxa"/>
            <w:vAlign w:val="center"/>
          </w:tcPr>
          <w:p w:rsidR="00FD1D5D" w:rsidRPr="009F3384" w:rsidRDefault="00FD1D5D" w:rsidP="00156121">
            <w:pPr>
              <w:spacing w:before="0"/>
              <w:jc w:val="center"/>
              <w:rPr>
                <w:iCs/>
                <w:sz w:val="16"/>
                <w:szCs w:val="16"/>
              </w:rPr>
            </w:pPr>
          </w:p>
        </w:tc>
        <w:tc>
          <w:tcPr>
            <w:tcW w:w="1064"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Simposio Mundial sobre Capacitación</w:t>
            </w:r>
          </w:p>
        </w:tc>
        <w:tc>
          <w:tcPr>
            <w:tcW w:w="714"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GSR-18</w:t>
            </w:r>
          </w:p>
        </w:tc>
        <w:tc>
          <w:tcPr>
            <w:tcW w:w="701" w:type="dxa"/>
            <w:vAlign w:val="center"/>
          </w:tcPr>
          <w:p w:rsidR="00FD1D5D" w:rsidRPr="009F3384" w:rsidRDefault="00FD1D5D" w:rsidP="00156121">
            <w:pPr>
              <w:spacing w:before="0"/>
              <w:jc w:val="center"/>
              <w:rPr>
                <w:iCs/>
                <w:sz w:val="16"/>
                <w:szCs w:val="16"/>
              </w:rPr>
            </w:pPr>
          </w:p>
        </w:tc>
        <w:tc>
          <w:tcPr>
            <w:tcW w:w="839" w:type="dxa"/>
            <w:shd w:val="clear" w:color="auto" w:fill="D9D9D9" w:themeFill="background1" w:themeFillShade="D9"/>
            <w:vAlign w:val="center"/>
          </w:tcPr>
          <w:p w:rsidR="00FD1D5D" w:rsidRPr="009F3384" w:rsidRDefault="00FD1D5D" w:rsidP="00D87C85">
            <w:pPr>
              <w:spacing w:before="0"/>
              <w:jc w:val="center"/>
              <w:rPr>
                <w:iCs/>
                <w:sz w:val="16"/>
                <w:szCs w:val="16"/>
              </w:rPr>
            </w:pPr>
            <w:r>
              <w:rPr>
                <w:iCs/>
                <w:sz w:val="16"/>
                <w:szCs w:val="16"/>
              </w:rPr>
              <w:t>ITU Telecom World 2018</w:t>
            </w:r>
          </w:p>
        </w:tc>
        <w:tc>
          <w:tcPr>
            <w:tcW w:w="721"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PP</w:t>
            </w:r>
            <w:r w:rsidR="0097291E">
              <w:rPr>
                <w:iCs/>
                <w:sz w:val="16"/>
                <w:szCs w:val="16"/>
              </w:rPr>
              <w:t>-</w:t>
            </w:r>
            <w:r>
              <w:rPr>
                <w:iCs/>
                <w:sz w:val="16"/>
                <w:szCs w:val="16"/>
              </w:rPr>
              <w:t>18</w:t>
            </w:r>
          </w:p>
        </w:tc>
        <w:tc>
          <w:tcPr>
            <w:tcW w:w="1094"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Caleidoscopio</w:t>
            </w:r>
          </w:p>
        </w:tc>
        <w:tc>
          <w:tcPr>
            <w:tcW w:w="844" w:type="dxa"/>
            <w:shd w:val="clear" w:color="auto" w:fill="D9D9D9" w:themeFill="background1" w:themeFillShade="D9"/>
            <w:vAlign w:val="center"/>
          </w:tcPr>
          <w:p w:rsidR="00FD1D5D" w:rsidRPr="009F3384" w:rsidRDefault="00FD1D5D" w:rsidP="0079556D">
            <w:pPr>
              <w:spacing w:before="0"/>
              <w:jc w:val="center"/>
              <w:rPr>
                <w:iCs/>
                <w:sz w:val="16"/>
                <w:szCs w:val="16"/>
              </w:rPr>
            </w:pPr>
            <w:r>
              <w:rPr>
                <w:iCs/>
                <w:sz w:val="16"/>
                <w:szCs w:val="16"/>
              </w:rPr>
              <w:t>WTIS/18</w:t>
            </w:r>
            <w:r w:rsidR="0079556D">
              <w:rPr>
                <w:iCs/>
                <w:sz w:val="16"/>
                <w:szCs w:val="16"/>
              </w:rPr>
              <w:br/>
            </w:r>
            <w:r>
              <w:rPr>
                <w:iCs/>
                <w:sz w:val="16"/>
                <w:szCs w:val="16"/>
              </w:rPr>
              <w:t>SMR-18</w:t>
            </w:r>
          </w:p>
        </w:tc>
      </w:tr>
    </w:tbl>
    <w:p w:rsidR="00FD1D5D" w:rsidRDefault="00FD1D5D" w:rsidP="00FD1D5D">
      <w:pPr>
        <w:jc w:val="both"/>
        <w:rPr>
          <w:iCs/>
          <w:szCs w:val="24"/>
        </w:rPr>
      </w:pPr>
      <w:r>
        <w:rPr>
          <w:noProof/>
          <w:lang w:eastAsia="zh-CN"/>
        </w:rPr>
        <mc:AlternateContent>
          <mc:Choice Requires="wps">
            <w:drawing>
              <wp:anchor distT="0" distB="0" distL="114300" distR="114300" simplePos="0" relativeHeight="251659264" behindDoc="0" locked="0" layoutInCell="1" allowOverlap="1" wp14:anchorId="1B9DF459" wp14:editId="15B3C39D">
                <wp:simplePos x="0" y="0"/>
                <wp:positionH relativeFrom="column">
                  <wp:posOffset>2957195</wp:posOffset>
                </wp:positionH>
                <wp:positionV relativeFrom="paragraph">
                  <wp:posOffset>81915</wp:posOffset>
                </wp:positionV>
                <wp:extent cx="304800" cy="381000"/>
                <wp:effectExtent l="19050" t="0" r="19050" b="38100"/>
                <wp:wrapThrough wrapText="bothSides">
                  <wp:wrapPolygon edited="0">
                    <wp:start x="2700" y="0"/>
                    <wp:lineTo x="-1350" y="12960"/>
                    <wp:lineTo x="1350" y="17280"/>
                    <wp:lineTo x="6750" y="22680"/>
                    <wp:lineTo x="14850" y="22680"/>
                    <wp:lineTo x="21600" y="17280"/>
                    <wp:lineTo x="21600" y="9720"/>
                    <wp:lineTo x="18900" y="0"/>
                    <wp:lineTo x="2700" y="0"/>
                  </wp:wrapPolygon>
                </wp:wrapThrough>
                <wp:docPr id="1" name="Down Arrow 1"/>
                <wp:cNvGraphicFramePr/>
                <a:graphic xmlns:a="http://schemas.openxmlformats.org/drawingml/2006/main">
                  <a:graphicData uri="http://schemas.microsoft.com/office/word/2010/wordprocessingShape">
                    <wps:wsp>
                      <wps:cNvSpPr/>
                      <wps:spPr>
                        <a:xfrm>
                          <a:off x="0" y="0"/>
                          <a:ext cx="304800" cy="381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565E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32.85pt;margin-top:6.45pt;width:24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" adj="12960" fillcolor="white [3201]" strokecolor="black [3200]" strokeweight=".5pt">
                <w10:wrap type="through"/>
              </v:shape>
            </w:pict>
          </mc:Fallback>
        </mc:AlternateContent>
      </w:r>
    </w:p>
    <w:p w:rsidR="00FD1D5D" w:rsidRDefault="00FD1D5D" w:rsidP="00FD1D5D">
      <w:pPr>
        <w:jc w:val="both"/>
        <w:rPr>
          <w:iCs/>
          <w:szCs w:val="24"/>
        </w:rPr>
      </w:pPr>
      <w:r>
        <w:rPr>
          <w:noProof/>
          <w:lang w:eastAsia="zh-CN"/>
        </w:rPr>
        <mc:AlternateContent>
          <mc:Choice Requires="wps">
            <w:drawing>
              <wp:anchor distT="0" distB="0" distL="114300" distR="114300" simplePos="0" relativeHeight="251663360" behindDoc="0" locked="0" layoutInCell="1" allowOverlap="1" wp14:anchorId="2C642A3D" wp14:editId="19B53596">
                <wp:simplePos x="0" y="0"/>
                <wp:positionH relativeFrom="column">
                  <wp:posOffset>4954270</wp:posOffset>
                </wp:positionH>
                <wp:positionV relativeFrom="paragraph">
                  <wp:posOffset>820420</wp:posOffset>
                </wp:positionV>
                <wp:extent cx="151765" cy="533400"/>
                <wp:effectExtent l="12383" t="0" r="13017" b="13018"/>
                <wp:wrapThrough wrapText="bothSides">
                  <wp:wrapPolygon edited="0">
                    <wp:start x="1762" y="13873"/>
                    <wp:lineTo x="5377" y="14901"/>
                    <wp:lineTo x="19838" y="22101"/>
                    <wp:lineTo x="19838" y="501"/>
                    <wp:lineTo x="5377" y="7701"/>
                    <wp:lineTo x="1762" y="8730"/>
                    <wp:lineTo x="1762" y="13873"/>
                  </wp:wrapPolygon>
                </wp:wrapThrough>
                <wp:docPr id="7" name="Left Brace 7"/>
                <wp:cNvGraphicFramePr/>
                <a:graphic xmlns:a="http://schemas.openxmlformats.org/drawingml/2006/main">
                  <a:graphicData uri="http://schemas.microsoft.com/office/word/2010/wordprocessingShape">
                    <wps:wsp>
                      <wps:cNvSpPr/>
                      <wps:spPr>
                        <a:xfrm rot="5400000">
                          <a:off x="0" y="0"/>
                          <a:ext cx="151765"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677E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390.1pt;margin-top:64.6pt;width:11.95pt;height:42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" adj="512" strokecolor="black [3040]">
                <w10:wrap type="through"/>
              </v:shape>
            </w:pict>
          </mc:Fallback>
        </mc:AlternateContent>
      </w:r>
      <w:r>
        <w:rPr>
          <w:noProof/>
          <w:lang w:eastAsia="zh-CN"/>
        </w:rPr>
        <mc:AlternateContent>
          <mc:Choice Requires="wps">
            <w:drawing>
              <wp:anchor distT="0" distB="0" distL="114300" distR="114300" simplePos="0" relativeHeight="251661312" behindDoc="0" locked="0" layoutInCell="1" allowOverlap="1" wp14:anchorId="57D583A6" wp14:editId="35284E13">
                <wp:simplePos x="0" y="0"/>
                <wp:positionH relativeFrom="column">
                  <wp:posOffset>1463675</wp:posOffset>
                </wp:positionH>
                <wp:positionV relativeFrom="paragraph">
                  <wp:posOffset>843915</wp:posOffset>
                </wp:positionV>
                <wp:extent cx="151765" cy="533400"/>
                <wp:effectExtent l="12383" t="0" r="13017" b="13018"/>
                <wp:wrapThrough wrapText="bothSides">
                  <wp:wrapPolygon edited="0">
                    <wp:start x="1762" y="13873"/>
                    <wp:lineTo x="5377" y="14901"/>
                    <wp:lineTo x="19838" y="22101"/>
                    <wp:lineTo x="19838" y="501"/>
                    <wp:lineTo x="5377" y="7701"/>
                    <wp:lineTo x="1762" y="8730"/>
                    <wp:lineTo x="1762" y="13873"/>
                  </wp:wrapPolygon>
                </wp:wrapThrough>
                <wp:docPr id="4" name="Left Brace 4"/>
                <wp:cNvGraphicFramePr/>
                <a:graphic xmlns:a="http://schemas.openxmlformats.org/drawingml/2006/main">
                  <a:graphicData uri="http://schemas.microsoft.com/office/word/2010/wordprocessingShape">
                    <wps:wsp>
                      <wps:cNvSpPr/>
                      <wps:spPr>
                        <a:xfrm rot="5400000">
                          <a:off x="0" y="0"/>
                          <a:ext cx="151765"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6700F0" id="Left Brace 4" o:spid="_x0000_s1026" type="#_x0000_t87" style="position:absolute;margin-left:115.25pt;margin-top:66.45pt;width:11.95pt;height:42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" adj="512" strokecolor="black [3040]">
                <w10:wrap type="through"/>
              </v:shape>
            </w:pict>
          </mc:Fallback>
        </mc:AlternateContent>
      </w:r>
    </w:p>
    <w:tbl>
      <w:tblPr>
        <w:tblStyle w:val="TableGrid"/>
        <w:tblW w:w="9695" w:type="dxa"/>
        <w:tblLook w:val="04A0" w:firstRow="1" w:lastRow="0" w:firstColumn="1" w:lastColumn="0" w:noHBand="0" w:noVBand="1"/>
      </w:tblPr>
      <w:tblGrid>
        <w:gridCol w:w="782"/>
        <w:gridCol w:w="783"/>
        <w:gridCol w:w="403"/>
        <w:gridCol w:w="441"/>
        <w:gridCol w:w="468"/>
        <w:gridCol w:w="398"/>
        <w:gridCol w:w="787"/>
        <w:gridCol w:w="793"/>
        <w:gridCol w:w="778"/>
        <w:gridCol w:w="786"/>
        <w:gridCol w:w="784"/>
        <w:gridCol w:w="402"/>
        <w:gridCol w:w="418"/>
        <w:gridCol w:w="483"/>
        <w:gridCol w:w="400"/>
        <w:gridCol w:w="783"/>
        <w:gridCol w:w="6"/>
      </w:tblGrid>
      <w:tr w:rsidR="00FD1D5D" w:rsidRPr="00E37AA2" w:rsidTr="00156121">
        <w:trPr>
          <w:trHeight w:val="334"/>
        </w:trPr>
        <w:tc>
          <w:tcPr>
            <w:tcW w:w="9695" w:type="dxa"/>
            <w:gridSpan w:val="17"/>
            <w:shd w:val="clear" w:color="auto" w:fill="BFBFBF" w:themeFill="background1" w:themeFillShade="BF"/>
            <w:vAlign w:val="center"/>
          </w:tcPr>
          <w:p w:rsidR="00FD1D5D" w:rsidRPr="0097291E" w:rsidRDefault="00FD1D5D" w:rsidP="00156121">
            <w:pPr>
              <w:spacing w:before="0"/>
              <w:jc w:val="center"/>
              <w:rPr>
                <w:b/>
                <w:iCs/>
                <w:sz w:val="20"/>
              </w:rPr>
            </w:pPr>
            <w:r w:rsidRPr="0097291E">
              <w:rPr>
                <w:b/>
                <w:iCs/>
                <w:sz w:val="20"/>
              </w:rPr>
              <w:t>Eventos de la UIT en 2020</w:t>
            </w:r>
          </w:p>
        </w:tc>
      </w:tr>
      <w:tr w:rsidR="00FD1D5D" w:rsidRPr="00E37AA2" w:rsidTr="00156121">
        <w:trPr>
          <w:gridAfter w:val="1"/>
          <w:wAfter w:w="5" w:type="dxa"/>
          <w:trHeight w:val="226"/>
        </w:trPr>
        <w:tc>
          <w:tcPr>
            <w:tcW w:w="783"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Ene</w:t>
            </w:r>
          </w:p>
        </w:tc>
        <w:tc>
          <w:tcPr>
            <w:tcW w:w="783"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Feb</w:t>
            </w:r>
          </w:p>
        </w:tc>
        <w:tc>
          <w:tcPr>
            <w:tcW w:w="844" w:type="dxa"/>
            <w:gridSpan w:val="2"/>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Mar</w:t>
            </w:r>
          </w:p>
        </w:tc>
        <w:tc>
          <w:tcPr>
            <w:tcW w:w="866" w:type="dxa"/>
            <w:gridSpan w:val="2"/>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Abr</w:t>
            </w:r>
          </w:p>
        </w:tc>
        <w:tc>
          <w:tcPr>
            <w:tcW w:w="787"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May</w:t>
            </w:r>
          </w:p>
        </w:tc>
        <w:tc>
          <w:tcPr>
            <w:tcW w:w="793"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Jun</w:t>
            </w:r>
          </w:p>
        </w:tc>
        <w:tc>
          <w:tcPr>
            <w:tcW w:w="778"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Jul</w:t>
            </w:r>
          </w:p>
        </w:tc>
        <w:tc>
          <w:tcPr>
            <w:tcW w:w="786"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Ago</w:t>
            </w:r>
          </w:p>
        </w:tc>
        <w:tc>
          <w:tcPr>
            <w:tcW w:w="78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Sep</w:t>
            </w:r>
          </w:p>
        </w:tc>
        <w:tc>
          <w:tcPr>
            <w:tcW w:w="820" w:type="dxa"/>
            <w:gridSpan w:val="2"/>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Oct</w:t>
            </w:r>
          </w:p>
        </w:tc>
        <w:tc>
          <w:tcPr>
            <w:tcW w:w="883" w:type="dxa"/>
            <w:gridSpan w:val="2"/>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Nov</w:t>
            </w:r>
          </w:p>
        </w:tc>
        <w:tc>
          <w:tcPr>
            <w:tcW w:w="783"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Dic</w:t>
            </w:r>
          </w:p>
        </w:tc>
      </w:tr>
      <w:tr w:rsidR="00FD1D5D" w:rsidRPr="00E37AA2" w:rsidTr="00156121">
        <w:trPr>
          <w:gridAfter w:val="1"/>
          <w:wAfter w:w="6" w:type="dxa"/>
          <w:trHeight w:val="1360"/>
        </w:trPr>
        <w:tc>
          <w:tcPr>
            <w:tcW w:w="783" w:type="dxa"/>
            <w:vAlign w:val="center"/>
          </w:tcPr>
          <w:p w:rsidR="00FD1D5D" w:rsidRPr="009F3384" w:rsidRDefault="00FD1D5D" w:rsidP="00156121">
            <w:pPr>
              <w:spacing w:before="0"/>
              <w:jc w:val="center"/>
              <w:rPr>
                <w:iCs/>
                <w:sz w:val="16"/>
                <w:szCs w:val="16"/>
              </w:rPr>
            </w:pPr>
          </w:p>
        </w:tc>
        <w:tc>
          <w:tcPr>
            <w:tcW w:w="783" w:type="dxa"/>
            <w:vAlign w:val="center"/>
          </w:tcPr>
          <w:p w:rsidR="00FD1D5D" w:rsidRPr="009F3384" w:rsidRDefault="00FD1D5D" w:rsidP="00156121">
            <w:pPr>
              <w:spacing w:before="0"/>
              <w:jc w:val="center"/>
              <w:rPr>
                <w:iCs/>
                <w:sz w:val="16"/>
                <w:szCs w:val="16"/>
              </w:rPr>
            </w:pPr>
          </w:p>
        </w:tc>
        <w:tc>
          <w:tcPr>
            <w:tcW w:w="403" w:type="dxa"/>
            <w:vAlign w:val="center"/>
          </w:tcPr>
          <w:p w:rsidR="00FD1D5D" w:rsidRPr="009F3384" w:rsidRDefault="00FD1D5D" w:rsidP="00156121">
            <w:pPr>
              <w:spacing w:before="0"/>
              <w:jc w:val="center"/>
              <w:rPr>
                <w:iCs/>
                <w:sz w:val="16"/>
                <w:szCs w:val="16"/>
              </w:rPr>
            </w:pPr>
          </w:p>
        </w:tc>
        <w:tc>
          <w:tcPr>
            <w:tcW w:w="909" w:type="dxa"/>
            <w:gridSpan w:val="2"/>
            <w:shd w:val="clear" w:color="auto" w:fill="D9D9D9" w:themeFill="background1" w:themeFillShade="D9"/>
            <w:vAlign w:val="center"/>
          </w:tcPr>
          <w:p w:rsidR="00FD1D5D" w:rsidRPr="009F3384" w:rsidRDefault="00FD1D5D" w:rsidP="00713235">
            <w:pPr>
              <w:spacing w:before="0"/>
              <w:jc w:val="center"/>
              <w:rPr>
                <w:iCs/>
                <w:sz w:val="16"/>
                <w:szCs w:val="16"/>
              </w:rPr>
            </w:pPr>
            <w:r>
              <w:rPr>
                <w:iCs/>
                <w:sz w:val="16"/>
                <w:szCs w:val="16"/>
              </w:rPr>
              <w:t>Grupo del</w:t>
            </w:r>
            <w:r w:rsidR="0079556D">
              <w:rPr>
                <w:iCs/>
                <w:sz w:val="16"/>
                <w:szCs w:val="16"/>
              </w:rPr>
              <w:t> </w:t>
            </w:r>
            <w:r>
              <w:rPr>
                <w:iCs/>
                <w:sz w:val="16"/>
                <w:szCs w:val="16"/>
              </w:rPr>
              <w:t>1</w:t>
            </w:r>
            <w:r>
              <w:rPr>
                <w:iCs/>
                <w:sz w:val="16"/>
                <w:szCs w:val="16"/>
                <w:vertAlign w:val="superscript"/>
              </w:rPr>
              <w:t>er</w:t>
            </w:r>
            <w:r>
              <w:rPr>
                <w:iCs/>
                <w:sz w:val="16"/>
                <w:szCs w:val="16"/>
              </w:rPr>
              <w:t>/2</w:t>
            </w:r>
            <w:r w:rsidR="00713235">
              <w:rPr>
                <w:iCs/>
                <w:sz w:val="16"/>
                <w:szCs w:val="16"/>
                <w:vertAlign w:val="superscript"/>
              </w:rPr>
              <w:t>º</w:t>
            </w:r>
            <w:r>
              <w:rPr>
                <w:iCs/>
                <w:sz w:val="16"/>
                <w:szCs w:val="16"/>
              </w:rPr>
              <w:t xml:space="preserve"> trimestre (GINEBRA)</w:t>
            </w:r>
          </w:p>
        </w:tc>
        <w:tc>
          <w:tcPr>
            <w:tcW w:w="398" w:type="dxa"/>
            <w:vAlign w:val="center"/>
          </w:tcPr>
          <w:p w:rsidR="00FD1D5D" w:rsidRPr="009F3384" w:rsidRDefault="00FD1D5D" w:rsidP="00156121">
            <w:pPr>
              <w:spacing w:before="0"/>
              <w:jc w:val="center"/>
              <w:rPr>
                <w:iCs/>
                <w:sz w:val="16"/>
                <w:szCs w:val="16"/>
              </w:rPr>
            </w:pPr>
          </w:p>
        </w:tc>
        <w:tc>
          <w:tcPr>
            <w:tcW w:w="787" w:type="dxa"/>
            <w:vAlign w:val="center"/>
          </w:tcPr>
          <w:p w:rsidR="00FD1D5D" w:rsidRPr="009F3384" w:rsidRDefault="00FD1D5D" w:rsidP="00156121">
            <w:pPr>
              <w:spacing w:before="0"/>
              <w:jc w:val="center"/>
              <w:rPr>
                <w:iCs/>
                <w:sz w:val="16"/>
                <w:szCs w:val="16"/>
              </w:rPr>
            </w:pPr>
          </w:p>
        </w:tc>
        <w:tc>
          <w:tcPr>
            <w:tcW w:w="793" w:type="dxa"/>
            <w:vAlign w:val="center"/>
          </w:tcPr>
          <w:p w:rsidR="00FD1D5D" w:rsidRPr="009F3384" w:rsidRDefault="00FD1D5D" w:rsidP="00156121">
            <w:pPr>
              <w:spacing w:before="0"/>
              <w:jc w:val="center"/>
              <w:rPr>
                <w:iCs/>
                <w:sz w:val="16"/>
                <w:szCs w:val="16"/>
              </w:rPr>
            </w:pPr>
            <w:r>
              <w:rPr>
                <w:iCs/>
                <w:sz w:val="16"/>
                <w:szCs w:val="16"/>
              </w:rPr>
              <w:t>Consejo de la UIT</w:t>
            </w:r>
          </w:p>
        </w:tc>
        <w:tc>
          <w:tcPr>
            <w:tcW w:w="778" w:type="dxa"/>
            <w:vAlign w:val="center"/>
          </w:tcPr>
          <w:p w:rsidR="00FD1D5D" w:rsidRPr="009F3384" w:rsidRDefault="00FD1D5D" w:rsidP="00156121">
            <w:pPr>
              <w:spacing w:before="0"/>
              <w:jc w:val="center"/>
              <w:rPr>
                <w:iCs/>
                <w:sz w:val="16"/>
                <w:szCs w:val="16"/>
              </w:rPr>
            </w:pPr>
          </w:p>
        </w:tc>
        <w:tc>
          <w:tcPr>
            <w:tcW w:w="786" w:type="dxa"/>
            <w:vAlign w:val="center"/>
          </w:tcPr>
          <w:p w:rsidR="00FD1D5D" w:rsidRPr="009F3384" w:rsidRDefault="00FD1D5D" w:rsidP="00156121">
            <w:pPr>
              <w:spacing w:before="0"/>
              <w:jc w:val="center"/>
              <w:rPr>
                <w:iCs/>
                <w:sz w:val="16"/>
                <w:szCs w:val="16"/>
              </w:rPr>
            </w:pPr>
          </w:p>
        </w:tc>
        <w:tc>
          <w:tcPr>
            <w:tcW w:w="784" w:type="dxa"/>
            <w:vAlign w:val="center"/>
          </w:tcPr>
          <w:p w:rsidR="00FD1D5D" w:rsidRPr="009F3384" w:rsidRDefault="00FD1D5D" w:rsidP="00156121">
            <w:pPr>
              <w:spacing w:before="0"/>
              <w:jc w:val="center"/>
              <w:rPr>
                <w:iCs/>
                <w:sz w:val="16"/>
                <w:szCs w:val="16"/>
              </w:rPr>
            </w:pPr>
          </w:p>
        </w:tc>
        <w:tc>
          <w:tcPr>
            <w:tcW w:w="402" w:type="dxa"/>
            <w:vAlign w:val="center"/>
          </w:tcPr>
          <w:p w:rsidR="00FD1D5D" w:rsidRPr="009F3384" w:rsidRDefault="00FD1D5D" w:rsidP="00156121">
            <w:pPr>
              <w:spacing w:before="0"/>
              <w:jc w:val="center"/>
              <w:rPr>
                <w:iCs/>
                <w:sz w:val="16"/>
                <w:szCs w:val="16"/>
              </w:rPr>
            </w:pPr>
          </w:p>
        </w:tc>
        <w:tc>
          <w:tcPr>
            <w:tcW w:w="901" w:type="dxa"/>
            <w:gridSpan w:val="2"/>
            <w:shd w:val="clear" w:color="auto" w:fill="D9D9D9" w:themeFill="background1" w:themeFillShade="D9"/>
            <w:vAlign w:val="center"/>
          </w:tcPr>
          <w:p w:rsidR="00FD1D5D" w:rsidRPr="009F3384" w:rsidRDefault="00FD1D5D" w:rsidP="00713235">
            <w:pPr>
              <w:spacing w:before="0"/>
              <w:ind w:left="-57" w:right="-57"/>
              <w:jc w:val="center"/>
              <w:rPr>
                <w:iCs/>
                <w:sz w:val="16"/>
                <w:szCs w:val="16"/>
              </w:rPr>
            </w:pPr>
            <w:r>
              <w:rPr>
                <w:iCs/>
                <w:sz w:val="16"/>
                <w:szCs w:val="16"/>
              </w:rPr>
              <w:t>Grupo del 4</w:t>
            </w:r>
            <w:r w:rsidR="00713235">
              <w:rPr>
                <w:iCs/>
                <w:sz w:val="16"/>
                <w:szCs w:val="16"/>
                <w:vertAlign w:val="superscript"/>
              </w:rPr>
              <w:t>º</w:t>
            </w:r>
            <w:r>
              <w:rPr>
                <w:iCs/>
                <w:sz w:val="16"/>
                <w:szCs w:val="16"/>
              </w:rPr>
              <w:t xml:space="preserve"> trimestre (fuera de la</w:t>
            </w:r>
            <w:r w:rsidR="0097291E">
              <w:rPr>
                <w:iCs/>
                <w:sz w:val="16"/>
                <w:szCs w:val="16"/>
              </w:rPr>
              <w:t> </w:t>
            </w:r>
            <w:r>
              <w:rPr>
                <w:iCs/>
                <w:sz w:val="16"/>
                <w:szCs w:val="16"/>
              </w:rPr>
              <w:t>Sede)</w:t>
            </w:r>
          </w:p>
        </w:tc>
        <w:tc>
          <w:tcPr>
            <w:tcW w:w="399" w:type="dxa"/>
            <w:vAlign w:val="center"/>
          </w:tcPr>
          <w:p w:rsidR="00FD1D5D" w:rsidRPr="009F3384" w:rsidRDefault="00FD1D5D" w:rsidP="00156121">
            <w:pPr>
              <w:spacing w:before="0"/>
              <w:jc w:val="center"/>
              <w:rPr>
                <w:iCs/>
                <w:sz w:val="16"/>
                <w:szCs w:val="16"/>
              </w:rPr>
            </w:pPr>
          </w:p>
        </w:tc>
        <w:tc>
          <w:tcPr>
            <w:tcW w:w="783" w:type="dxa"/>
            <w:vAlign w:val="center"/>
          </w:tcPr>
          <w:p w:rsidR="00FD1D5D" w:rsidRPr="009F3384" w:rsidRDefault="00FD1D5D" w:rsidP="00156121">
            <w:pPr>
              <w:spacing w:before="0"/>
              <w:jc w:val="center"/>
              <w:rPr>
                <w:iCs/>
                <w:sz w:val="16"/>
                <w:szCs w:val="16"/>
              </w:rPr>
            </w:pPr>
          </w:p>
        </w:tc>
      </w:tr>
    </w:tbl>
    <w:p w:rsidR="00FD1D5D" w:rsidRDefault="00D87C85" w:rsidP="00FD1D5D">
      <w:pPr>
        <w:pStyle w:val="ListParagraph"/>
        <w:spacing w:line="240" w:lineRule="auto"/>
        <w:ind w:left="0"/>
        <w:contextualSpacing w:val="0"/>
        <w:jc w:val="both"/>
        <w:rPr>
          <w:iCs/>
          <w:szCs w:val="24"/>
        </w:rPr>
      </w:pPr>
      <w:r>
        <w:rPr>
          <w:noProof/>
          <w:lang w:val="es-ES_tradnl"/>
        </w:rPr>
        <mc:AlternateContent>
          <mc:Choice Requires="wps">
            <w:drawing>
              <wp:anchor distT="0" distB="0" distL="114300" distR="114300" simplePos="0" relativeHeight="251660288" behindDoc="0" locked="0" layoutInCell="1" allowOverlap="1" wp14:anchorId="6647EF6A" wp14:editId="70B89E68">
                <wp:simplePos x="0" y="0"/>
                <wp:positionH relativeFrom="column">
                  <wp:posOffset>495935</wp:posOffset>
                </wp:positionH>
                <wp:positionV relativeFrom="paragraph">
                  <wp:posOffset>133985</wp:posOffset>
                </wp:positionV>
                <wp:extent cx="1919605" cy="29400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1960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67"/>
                              <w:gridCol w:w="786"/>
                              <w:gridCol w:w="852"/>
                            </w:tblGrid>
                            <w:tr w:rsidR="00FD1D5D" w:rsidTr="003B637B">
                              <w:tc>
                                <w:tcPr>
                                  <w:tcW w:w="767" w:type="dxa"/>
                                  <w:vAlign w:val="center"/>
                                </w:tcPr>
                                <w:p w:rsidR="00FD1D5D" w:rsidRPr="009F3384" w:rsidRDefault="00FD1D5D" w:rsidP="00D87C85">
                                  <w:pPr>
                                    <w:spacing w:before="0"/>
                                    <w:ind w:left="-57" w:right="-57"/>
                                    <w:jc w:val="center"/>
                                    <w:rPr>
                                      <w:sz w:val="16"/>
                                      <w:szCs w:val="16"/>
                                    </w:rPr>
                                  </w:pPr>
                                  <w:r>
                                    <w:rPr>
                                      <w:sz w:val="16"/>
                                      <w:szCs w:val="16"/>
                                    </w:rPr>
                                    <w:t>Evento 1</w:t>
                                  </w:r>
                                </w:p>
                              </w:tc>
                              <w:tc>
                                <w:tcPr>
                                  <w:tcW w:w="786" w:type="dxa"/>
                                  <w:vAlign w:val="center"/>
                                </w:tcPr>
                                <w:p w:rsidR="00FD1D5D" w:rsidRPr="009F3384" w:rsidRDefault="00FD1D5D" w:rsidP="003B637B">
                                  <w:pPr>
                                    <w:spacing w:before="0"/>
                                    <w:jc w:val="center"/>
                                    <w:rPr>
                                      <w:sz w:val="16"/>
                                      <w:szCs w:val="16"/>
                                    </w:rPr>
                                  </w:pPr>
                                  <w:r>
                                    <w:rPr>
                                      <w:sz w:val="16"/>
                                      <w:szCs w:val="16"/>
                                    </w:rPr>
                                    <w:t>Evento 2</w:t>
                                  </w:r>
                                </w:p>
                              </w:tc>
                              <w:tc>
                                <w:tcPr>
                                  <w:tcW w:w="852" w:type="dxa"/>
                                  <w:vAlign w:val="center"/>
                                </w:tcPr>
                                <w:p w:rsidR="00FD1D5D" w:rsidRPr="009F3384" w:rsidRDefault="00FD1D5D" w:rsidP="003B637B">
                                  <w:pPr>
                                    <w:spacing w:before="0"/>
                                    <w:jc w:val="center"/>
                                    <w:rPr>
                                      <w:sz w:val="16"/>
                                      <w:szCs w:val="16"/>
                                    </w:rPr>
                                  </w:pPr>
                                  <w:r>
                                    <w:rPr>
                                      <w:sz w:val="16"/>
                                      <w:szCs w:val="16"/>
                                    </w:rPr>
                                    <w:t>Evento 3</w:t>
                                  </w:r>
                                </w:p>
                              </w:tc>
                            </w:tr>
                          </w:tbl>
                          <w:p w:rsidR="00FD1D5D" w:rsidRDefault="00FD1D5D" w:rsidP="00FD1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7EF6A" id="_x0000_t202" coordsize="21600,21600" o:spt="202" path="m,l,21600r21600,l21600,xe">
                <v:stroke joinstyle="miter"/>
                <v:path gradientshapeok="t" o:connecttype="rect"/>
              </v:shapetype>
              <v:shape id="Text Box 3" o:spid="_x0000_s1026" type="#_x0000_t202" style="position:absolute;left:0;text-align:left;margin-left:39.05pt;margin-top:10.55pt;width:151.1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" filled="f" stroked="f">
                <v:textbox>
                  <w:txbxContent>
                    <w:tbl>
                      <w:tblPr>
                        <w:tblStyle w:val="TableGrid"/>
                        <w:tblW w:w="0" w:type="auto"/>
                        <w:tblLook w:val="04A0" w:firstRow="1" w:lastRow="0" w:firstColumn="1" w:lastColumn="0" w:noHBand="0" w:noVBand="1"/>
                      </w:tblPr>
                      <w:tblGrid>
                        <w:gridCol w:w="767"/>
                        <w:gridCol w:w="786"/>
                        <w:gridCol w:w="852"/>
                      </w:tblGrid>
                      <w:tr w:rsidR="00FD1D5D" w:rsidTr="003B637B">
                        <w:tc>
                          <w:tcPr>
                            <w:tcW w:w="767" w:type="dxa"/>
                            <w:vAlign w:val="center"/>
                          </w:tcPr>
                          <w:p w:rsidR="00FD1D5D" w:rsidRPr="009F3384" w:rsidRDefault="00FD1D5D" w:rsidP="00D87C85">
                            <w:pPr>
                              <w:spacing w:before="0"/>
                              <w:ind w:left="-57" w:right="-57"/>
                              <w:jc w:val="center"/>
                              <w:rPr>
                                <w:sz w:val="16"/>
                                <w:szCs w:val="16"/>
                              </w:rPr>
                            </w:pPr>
                            <w:r>
                              <w:rPr>
                                <w:sz w:val="16"/>
                                <w:szCs w:val="16"/>
                              </w:rPr>
                              <w:t>Evento 1</w:t>
                            </w:r>
                          </w:p>
                        </w:tc>
                        <w:tc>
                          <w:tcPr>
                            <w:tcW w:w="786" w:type="dxa"/>
                            <w:vAlign w:val="center"/>
                          </w:tcPr>
                          <w:p w:rsidR="00FD1D5D" w:rsidRPr="009F3384" w:rsidRDefault="00FD1D5D" w:rsidP="003B637B">
                            <w:pPr>
                              <w:spacing w:before="0"/>
                              <w:jc w:val="center"/>
                              <w:rPr>
                                <w:sz w:val="16"/>
                                <w:szCs w:val="16"/>
                              </w:rPr>
                            </w:pPr>
                            <w:r>
                              <w:rPr>
                                <w:sz w:val="16"/>
                                <w:szCs w:val="16"/>
                              </w:rPr>
                              <w:t>Evento 2</w:t>
                            </w:r>
                          </w:p>
                        </w:tc>
                        <w:tc>
                          <w:tcPr>
                            <w:tcW w:w="852" w:type="dxa"/>
                            <w:vAlign w:val="center"/>
                          </w:tcPr>
                          <w:p w:rsidR="00FD1D5D" w:rsidRPr="009F3384" w:rsidRDefault="00FD1D5D" w:rsidP="003B637B">
                            <w:pPr>
                              <w:spacing w:before="0"/>
                              <w:jc w:val="center"/>
                              <w:rPr>
                                <w:sz w:val="16"/>
                                <w:szCs w:val="16"/>
                              </w:rPr>
                            </w:pPr>
                            <w:r>
                              <w:rPr>
                                <w:sz w:val="16"/>
                                <w:szCs w:val="16"/>
                              </w:rPr>
                              <w:t>Evento 3</w:t>
                            </w:r>
                          </w:p>
                        </w:tc>
                      </w:tr>
                    </w:tbl>
                    <w:p w:rsidR="00FD1D5D" w:rsidRDefault="00FD1D5D" w:rsidP="00FD1D5D"/>
                  </w:txbxContent>
                </v:textbox>
                <w10:wrap type="square"/>
              </v:shape>
            </w:pict>
          </mc:Fallback>
        </mc:AlternateContent>
      </w:r>
      <w:r>
        <w:rPr>
          <w:noProof/>
          <w:lang w:val="es-ES_tradnl"/>
        </w:rPr>
        <mc:AlternateContent>
          <mc:Choice Requires="wps">
            <w:drawing>
              <wp:anchor distT="0" distB="0" distL="114300" distR="114300" simplePos="0" relativeHeight="251662336" behindDoc="0" locked="0" layoutInCell="1" allowOverlap="1" wp14:anchorId="75A1E102" wp14:editId="5E41F2D9">
                <wp:simplePos x="0" y="0"/>
                <wp:positionH relativeFrom="column">
                  <wp:posOffset>4114165</wp:posOffset>
                </wp:positionH>
                <wp:positionV relativeFrom="paragraph">
                  <wp:posOffset>110490</wp:posOffset>
                </wp:positionV>
                <wp:extent cx="1834515" cy="51625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34515" cy="516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67"/>
                              <w:gridCol w:w="1698"/>
                            </w:tblGrid>
                            <w:tr w:rsidR="00FD1D5D" w:rsidTr="003B637B">
                              <w:tc>
                                <w:tcPr>
                                  <w:tcW w:w="767" w:type="dxa"/>
                                  <w:vAlign w:val="center"/>
                                </w:tcPr>
                                <w:p w:rsidR="00FD1D5D" w:rsidRPr="009F3384" w:rsidRDefault="00FD1D5D" w:rsidP="00D87C85">
                                  <w:pPr>
                                    <w:spacing w:before="0"/>
                                    <w:ind w:left="-57" w:right="-57"/>
                                    <w:jc w:val="center"/>
                                    <w:rPr>
                                      <w:sz w:val="16"/>
                                      <w:szCs w:val="16"/>
                                    </w:rPr>
                                  </w:pPr>
                                  <w:r>
                                    <w:rPr>
                                      <w:sz w:val="16"/>
                                      <w:szCs w:val="16"/>
                                    </w:rPr>
                                    <w:t xml:space="preserve">Evento 1, </w:t>
                                  </w:r>
                                  <w:r w:rsidR="00D87C85">
                                    <w:rPr>
                                      <w:sz w:val="16"/>
                                      <w:szCs w:val="16"/>
                                    </w:rPr>
                                    <w:t xml:space="preserve">Evento </w:t>
                                  </w:r>
                                  <w:r>
                                    <w:rPr>
                                      <w:sz w:val="16"/>
                                      <w:szCs w:val="16"/>
                                    </w:rPr>
                                    <w:t xml:space="preserve">2, </w:t>
                                  </w:r>
                                  <w:r w:rsidR="00D87C85">
                                    <w:rPr>
                                      <w:sz w:val="16"/>
                                      <w:szCs w:val="16"/>
                                    </w:rPr>
                                    <w:t xml:space="preserve">Evento </w:t>
                                  </w:r>
                                  <w:r>
                                    <w:rPr>
                                      <w:sz w:val="16"/>
                                      <w:szCs w:val="16"/>
                                    </w:rPr>
                                    <w:t>3</w:t>
                                  </w:r>
                                </w:p>
                              </w:tc>
                              <w:tc>
                                <w:tcPr>
                                  <w:tcW w:w="1697" w:type="dxa"/>
                                  <w:vAlign w:val="center"/>
                                </w:tcPr>
                                <w:p w:rsidR="00FD1D5D" w:rsidRPr="009F3384" w:rsidRDefault="00FD1D5D" w:rsidP="00236D56">
                                  <w:pPr>
                                    <w:spacing w:before="0"/>
                                    <w:jc w:val="center"/>
                                    <w:rPr>
                                      <w:sz w:val="16"/>
                                      <w:szCs w:val="16"/>
                                    </w:rPr>
                                  </w:pPr>
                                  <w:r>
                                    <w:rPr>
                                      <w:sz w:val="16"/>
                                      <w:szCs w:val="16"/>
                                    </w:rPr>
                                    <w:t>Conferencia/</w:t>
                                  </w:r>
                                  <w:r w:rsidR="0097291E">
                                    <w:rPr>
                                      <w:sz w:val="16"/>
                                      <w:szCs w:val="16"/>
                                    </w:rPr>
                                    <w:t xml:space="preserve">Asamblea </w:t>
                                  </w:r>
                                  <w:r>
                                    <w:rPr>
                                      <w:sz w:val="16"/>
                                      <w:szCs w:val="16"/>
                                    </w:rPr>
                                    <w:t>si se aplica (PP, CMR, AMNT o CMDT)</w:t>
                                  </w:r>
                                </w:p>
                              </w:tc>
                            </w:tr>
                          </w:tbl>
                          <w:p w:rsidR="00FD1D5D" w:rsidRDefault="00FD1D5D" w:rsidP="00FD1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1E102" id="Text Box 6" o:spid="_x0000_s1027" type="#_x0000_t202" style="position:absolute;left:0;text-align:left;margin-left:323.95pt;margin-top:8.7pt;width:144.45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" filled="f" stroked="f">
                <v:textbox>
                  <w:txbxContent>
                    <w:tbl>
                      <w:tblPr>
                        <w:tblStyle w:val="TableGrid"/>
                        <w:tblW w:w="0" w:type="auto"/>
                        <w:tblLook w:val="04A0" w:firstRow="1" w:lastRow="0" w:firstColumn="1" w:lastColumn="0" w:noHBand="0" w:noVBand="1"/>
                      </w:tblPr>
                      <w:tblGrid>
                        <w:gridCol w:w="767"/>
                        <w:gridCol w:w="1698"/>
                      </w:tblGrid>
                      <w:tr w:rsidR="00FD1D5D" w:rsidTr="003B637B">
                        <w:tc>
                          <w:tcPr>
                            <w:tcW w:w="767" w:type="dxa"/>
                            <w:vAlign w:val="center"/>
                          </w:tcPr>
                          <w:p w:rsidR="00FD1D5D" w:rsidRPr="009F3384" w:rsidRDefault="00FD1D5D" w:rsidP="00D87C85">
                            <w:pPr>
                              <w:spacing w:before="0"/>
                              <w:ind w:left="-57" w:right="-57"/>
                              <w:jc w:val="center"/>
                              <w:rPr>
                                <w:sz w:val="16"/>
                                <w:szCs w:val="16"/>
                              </w:rPr>
                            </w:pPr>
                            <w:r>
                              <w:rPr>
                                <w:sz w:val="16"/>
                                <w:szCs w:val="16"/>
                              </w:rPr>
                              <w:t xml:space="preserve">Evento 1, </w:t>
                            </w:r>
                            <w:r w:rsidR="00D87C85">
                              <w:rPr>
                                <w:sz w:val="16"/>
                                <w:szCs w:val="16"/>
                              </w:rPr>
                              <w:t xml:space="preserve">Evento </w:t>
                            </w:r>
                            <w:r>
                              <w:rPr>
                                <w:sz w:val="16"/>
                                <w:szCs w:val="16"/>
                              </w:rPr>
                              <w:t xml:space="preserve">2, </w:t>
                            </w:r>
                            <w:r w:rsidR="00D87C85">
                              <w:rPr>
                                <w:sz w:val="16"/>
                                <w:szCs w:val="16"/>
                              </w:rPr>
                              <w:t xml:space="preserve">Evento </w:t>
                            </w:r>
                            <w:r>
                              <w:rPr>
                                <w:sz w:val="16"/>
                                <w:szCs w:val="16"/>
                              </w:rPr>
                              <w:t>3</w:t>
                            </w:r>
                          </w:p>
                        </w:tc>
                        <w:tc>
                          <w:tcPr>
                            <w:tcW w:w="1697" w:type="dxa"/>
                            <w:vAlign w:val="center"/>
                          </w:tcPr>
                          <w:p w:rsidR="00FD1D5D" w:rsidRPr="009F3384" w:rsidRDefault="00FD1D5D" w:rsidP="00236D56">
                            <w:pPr>
                              <w:spacing w:before="0"/>
                              <w:jc w:val="center"/>
                              <w:rPr>
                                <w:sz w:val="16"/>
                                <w:szCs w:val="16"/>
                              </w:rPr>
                            </w:pPr>
                            <w:r>
                              <w:rPr>
                                <w:sz w:val="16"/>
                                <w:szCs w:val="16"/>
                              </w:rPr>
                              <w:t>Conferencia/</w:t>
                            </w:r>
                            <w:r w:rsidR="0097291E">
                              <w:rPr>
                                <w:sz w:val="16"/>
                                <w:szCs w:val="16"/>
                              </w:rPr>
                              <w:t xml:space="preserve">Asamblea </w:t>
                            </w:r>
                            <w:r>
                              <w:rPr>
                                <w:sz w:val="16"/>
                                <w:szCs w:val="16"/>
                              </w:rPr>
                              <w:t>si se aplica (PP, CMR, AMNT o CMDT)</w:t>
                            </w:r>
                          </w:p>
                        </w:tc>
                      </w:tr>
                    </w:tbl>
                    <w:p w:rsidR="00FD1D5D" w:rsidRDefault="00FD1D5D" w:rsidP="00FD1D5D"/>
                  </w:txbxContent>
                </v:textbox>
                <w10:wrap type="square"/>
              </v:shape>
            </w:pict>
          </mc:Fallback>
        </mc:AlternateContent>
      </w:r>
    </w:p>
    <w:p w:rsidR="00FD1D5D" w:rsidRDefault="00FD1D5D" w:rsidP="00FD1D5D">
      <w:pPr>
        <w:pStyle w:val="ListParagraph"/>
        <w:spacing w:line="240" w:lineRule="auto"/>
        <w:ind w:left="0"/>
        <w:contextualSpacing w:val="0"/>
        <w:jc w:val="both"/>
        <w:rPr>
          <w:iCs/>
          <w:szCs w:val="24"/>
        </w:rPr>
      </w:pPr>
    </w:p>
    <w:p w:rsidR="00FD1D5D" w:rsidRDefault="00FD1D5D" w:rsidP="00FD1D5D">
      <w:pPr>
        <w:pStyle w:val="ListParagraph"/>
        <w:spacing w:line="240" w:lineRule="auto"/>
        <w:ind w:left="0"/>
        <w:contextualSpacing w:val="0"/>
        <w:jc w:val="both"/>
        <w:rPr>
          <w:iCs/>
          <w:szCs w:val="24"/>
        </w:rPr>
      </w:pPr>
    </w:p>
    <w:p w:rsidR="00FD1D5D" w:rsidRPr="00904E94" w:rsidRDefault="00FD1D5D" w:rsidP="00D42FD8">
      <w:pPr>
        <w:pStyle w:val="Figuretitle"/>
      </w:pPr>
      <w:r>
        <w:t>Figura 1</w:t>
      </w:r>
      <w:r w:rsidR="0048382F">
        <w:t xml:space="preserve"> –</w:t>
      </w:r>
      <w:r>
        <w:t xml:space="preserve"> Consolidación de eventos de la UIT (Opción 1)</w:t>
      </w:r>
    </w:p>
    <w:p w:rsidR="00FD1D5D" w:rsidRPr="00FD1D5D" w:rsidRDefault="00FD1D5D" w:rsidP="00FD1D5D">
      <w:pPr>
        <w:rPr>
          <w:iCs/>
          <w:lang w:val="es-ES"/>
        </w:rPr>
      </w:pPr>
      <w:r>
        <w:rPr>
          <w:lang w:val="es-ES"/>
        </w:rPr>
        <w:t>3.2</w:t>
      </w:r>
      <w:r>
        <w:rPr>
          <w:lang w:val="es-ES"/>
        </w:rPr>
        <w:tab/>
      </w:r>
      <w:r w:rsidRPr="00FD1D5D">
        <w:rPr>
          <w:lang w:val="es-ES"/>
        </w:rPr>
        <w:t>La consolidación de eventos de alto nivel en torno a dos periodos al año simplificará la agenda de la UIT. Además, ofrecerá una oportunidad para optimizar y reducir los costos actuales de organización de eventos y para modernizar, reestructurar y racionalizar el funcionamiento de la Secretaría que apoya la organización de eventos. Ahora bien, para lograr esa consolidación deberá incrementarse la coordinación interna y mejorar la programación para planificar e implementar cada evento.</w:t>
      </w:r>
    </w:p>
    <w:p w:rsidR="00FD1D5D" w:rsidRPr="00FD1D5D" w:rsidRDefault="00FD1D5D" w:rsidP="0097291E">
      <w:pPr>
        <w:rPr>
          <w:iCs/>
          <w:lang w:val="es-ES"/>
        </w:rPr>
      </w:pPr>
      <w:r>
        <w:rPr>
          <w:lang w:val="es-ES"/>
        </w:rPr>
        <w:t>3.</w:t>
      </w:r>
      <w:r>
        <w:rPr>
          <w:lang w:val="es-ES"/>
        </w:rPr>
        <w:t>3</w:t>
      </w:r>
      <w:r>
        <w:rPr>
          <w:lang w:val="es-ES"/>
        </w:rPr>
        <w:tab/>
      </w:r>
      <w:r w:rsidRPr="00FD1D5D">
        <w:rPr>
          <w:lang w:val="es-ES"/>
        </w:rPr>
        <w:t xml:space="preserve">La organización del segundo grupo en las regiones permitirá modernizar la organización de esos eventos reduciendo su duración total y convirtiendo la serie de </w:t>
      </w:r>
      <w:r w:rsidR="0097291E">
        <w:rPr>
          <w:lang w:val="es-ES"/>
        </w:rPr>
        <w:t>s</w:t>
      </w:r>
      <w:r w:rsidRPr="00FD1D5D">
        <w:rPr>
          <w:lang w:val="es-ES"/>
        </w:rPr>
        <w:t xml:space="preserve">esiones de </w:t>
      </w:r>
      <w:r w:rsidR="0097291E">
        <w:rPr>
          <w:lang w:val="es-ES"/>
        </w:rPr>
        <w:t>a</w:t>
      </w:r>
      <w:r w:rsidRPr="00FD1D5D">
        <w:rPr>
          <w:lang w:val="es-ES"/>
        </w:rPr>
        <w:t xml:space="preserve">lto </w:t>
      </w:r>
      <w:r w:rsidR="0097291E">
        <w:rPr>
          <w:lang w:val="es-ES"/>
        </w:rPr>
        <w:t>n</w:t>
      </w:r>
      <w:r w:rsidRPr="00FD1D5D">
        <w:rPr>
          <w:lang w:val="es-ES"/>
        </w:rPr>
        <w:t>ivel en un elemento de cara al exterior.</w:t>
      </w:r>
    </w:p>
    <w:p w:rsidR="00FD1D5D" w:rsidRPr="00FD1D5D" w:rsidRDefault="00FD1D5D" w:rsidP="00FD1D5D">
      <w:pPr>
        <w:rPr>
          <w:iCs/>
          <w:lang w:val="es-ES"/>
        </w:rPr>
      </w:pPr>
      <w:r>
        <w:rPr>
          <w:lang w:val="es-ES"/>
        </w:rPr>
        <w:t>3.</w:t>
      </w:r>
      <w:r>
        <w:rPr>
          <w:lang w:val="es-ES"/>
        </w:rPr>
        <w:t>4</w:t>
      </w:r>
      <w:r>
        <w:rPr>
          <w:lang w:val="es-ES"/>
        </w:rPr>
        <w:tab/>
      </w:r>
      <w:r w:rsidRPr="00FD1D5D">
        <w:rPr>
          <w:lang w:val="es-ES"/>
        </w:rPr>
        <w:t>Otra opción sería organizar ese segundo grupo en paralelo con las Conferencias y Asambleas Mundiales de la UIT, pero ello probablemente requeriría reducir la duración de estas ya que si no, la duración total sería demasiado larga.</w:t>
      </w:r>
    </w:p>
    <w:p w:rsidR="00FD1D5D" w:rsidRPr="00FD1D5D" w:rsidRDefault="00FD1D5D" w:rsidP="00FD1D5D">
      <w:pPr>
        <w:pStyle w:val="Heading1"/>
        <w:rPr>
          <w:lang w:val="es-ES"/>
        </w:rPr>
      </w:pPr>
      <w:r>
        <w:rPr>
          <w:lang w:val="es-ES"/>
        </w:rPr>
        <w:lastRenderedPageBreak/>
        <w:t>4</w:t>
      </w:r>
      <w:r>
        <w:rPr>
          <w:lang w:val="es-ES"/>
        </w:rPr>
        <w:tab/>
      </w:r>
      <w:r w:rsidRPr="00FD1D5D">
        <w:rPr>
          <w:lang w:val="es-ES"/>
        </w:rPr>
        <w:t>Opción 2. Segmentación de eventos de la UIT</w:t>
      </w:r>
    </w:p>
    <w:p w:rsidR="00FD1D5D" w:rsidRPr="00FD1D5D" w:rsidRDefault="00FD1D5D" w:rsidP="00FD1D5D">
      <w:pPr>
        <w:rPr>
          <w:iCs/>
          <w:lang w:val="es-ES"/>
        </w:rPr>
      </w:pPr>
      <w:r>
        <w:rPr>
          <w:lang w:val="es-ES"/>
        </w:rPr>
        <w:t>4.1</w:t>
      </w:r>
      <w:r>
        <w:rPr>
          <w:lang w:val="es-ES"/>
        </w:rPr>
        <w:tab/>
      </w:r>
      <w:r w:rsidRPr="00FD1D5D">
        <w:rPr>
          <w:lang w:val="es-ES"/>
        </w:rPr>
        <w:t>El segundo enfoque para la optimización de los eventos de alto nivel de la UIT de carácter mundial es determinar con precisión el tema de cada evento y definir la audiencia concreta para ese tema. Eso permitiría a la UIT segmentar con mayor precisión las audiencias dentro de cada una de sus categorías de partes interesadas actuales con miras a definir posibles perfiles concretos de audiencias en lugar de enviar invitaciones genéricas.</w:t>
      </w:r>
      <w:r>
        <w:rPr>
          <w:rStyle w:val="FootnoteReference"/>
          <w:lang w:val="es-ES"/>
        </w:rPr>
        <w:footnoteReference w:id="1"/>
      </w:r>
      <w:r w:rsidRPr="00FD1D5D">
        <w:rPr>
          <w:lang w:val="es-ES"/>
        </w:rPr>
        <w:t xml:space="preserve"> De este modo, la UIT podría ampliar su base de partes interesadas y llevar a cabo una divulgación más selectiva para cada evento dependiendo </w:t>
      </w:r>
      <w:r>
        <w:rPr>
          <w:lang w:val="es-ES"/>
        </w:rPr>
        <w:t>de los objetivos y el cometido.</w:t>
      </w:r>
    </w:p>
    <w:p w:rsidR="00FD1D5D" w:rsidRPr="00FD1D5D" w:rsidRDefault="00FD1D5D" w:rsidP="00FD1D5D">
      <w:pPr>
        <w:rPr>
          <w:iCs/>
          <w:lang w:val="es-ES"/>
        </w:rPr>
      </w:pPr>
      <w:r>
        <w:rPr>
          <w:lang w:val="es-ES"/>
        </w:rPr>
        <w:t>4.2</w:t>
      </w:r>
      <w:r>
        <w:rPr>
          <w:lang w:val="es-ES"/>
        </w:rPr>
        <w:tab/>
      </w:r>
      <w:r w:rsidRPr="00FD1D5D">
        <w:rPr>
          <w:lang w:val="es-ES"/>
        </w:rPr>
        <w:t>Con un enfoque así, las diversas partes interesadas seguirían participan</w:t>
      </w:r>
      <w:bookmarkStart w:id="9" w:name="_GoBack"/>
      <w:bookmarkEnd w:id="9"/>
      <w:r w:rsidRPr="00FD1D5D">
        <w:rPr>
          <w:lang w:val="es-ES"/>
        </w:rPr>
        <w:t>do en los eventos de la UIT pero para cada evento se definirían los temas comunes que vinculan a los participantes de contextos institucionales diferentes y las invitaciones se enviarán a los participantes del perfil adecuado de cada parte interesada fundamental de la organización.</w:t>
      </w:r>
    </w:p>
    <w:p w:rsidR="00FD1D5D" w:rsidRDefault="00FD1D5D" w:rsidP="00FD1D5D">
      <w:pPr>
        <w:rPr>
          <w:lang w:val="es-ES"/>
        </w:rPr>
      </w:pPr>
      <w:r>
        <w:rPr>
          <w:lang w:val="es-ES"/>
        </w:rPr>
        <w:t>4.3</w:t>
      </w:r>
      <w:r>
        <w:rPr>
          <w:lang w:val="es-ES"/>
        </w:rPr>
        <w:tab/>
      </w:r>
      <w:r w:rsidRPr="00FD1D5D">
        <w:rPr>
          <w:lang w:val="es-ES"/>
        </w:rPr>
        <w:t xml:space="preserve">La segmentación de los eventos de alto nivel también requerirá consolidar la coordinación interna para planificar eventos, si bien cada evento mantendrá sus equipos y recursos actuales. Con ese enfoque no se reducirá el número total de eventos ni </w:t>
      </w:r>
      <w:r>
        <w:rPr>
          <w:lang w:val="es-ES"/>
        </w:rPr>
        <w:t>los recursos que aporta la UIT.</w:t>
      </w:r>
    </w:p>
    <w:p w:rsidR="00FD1D5D" w:rsidRPr="00FD1D5D" w:rsidRDefault="00FD1D5D" w:rsidP="00FD1D5D">
      <w:pPr>
        <w:rPr>
          <w:iCs/>
          <w:lang w:val="es-ES"/>
        </w:rPr>
      </w:pPr>
    </w:p>
    <w:tbl>
      <w:tblPr>
        <w:tblStyle w:val="TableGrid"/>
        <w:tblW w:w="9776" w:type="dxa"/>
        <w:tblLook w:val="04A0" w:firstRow="1" w:lastRow="0" w:firstColumn="1" w:lastColumn="0" w:noHBand="0" w:noVBand="1"/>
      </w:tblPr>
      <w:tblGrid>
        <w:gridCol w:w="679"/>
        <w:gridCol w:w="691"/>
        <w:gridCol w:w="780"/>
        <w:gridCol w:w="776"/>
        <w:gridCol w:w="714"/>
        <w:gridCol w:w="1064"/>
        <w:gridCol w:w="711"/>
        <w:gridCol w:w="698"/>
        <w:gridCol w:w="838"/>
        <w:gridCol w:w="717"/>
        <w:gridCol w:w="1120"/>
        <w:gridCol w:w="988"/>
      </w:tblGrid>
      <w:tr w:rsidR="00FD1D5D" w:rsidTr="00156121">
        <w:tc>
          <w:tcPr>
            <w:tcW w:w="9776" w:type="dxa"/>
            <w:gridSpan w:val="12"/>
            <w:shd w:val="clear" w:color="auto" w:fill="BFBFBF" w:themeFill="background1" w:themeFillShade="BF"/>
            <w:vAlign w:val="center"/>
          </w:tcPr>
          <w:p w:rsidR="00FD1D5D" w:rsidRPr="00E37AA2" w:rsidRDefault="00FD1D5D" w:rsidP="00156121">
            <w:pPr>
              <w:spacing w:before="0"/>
              <w:jc w:val="center"/>
              <w:rPr>
                <w:b/>
                <w:iCs/>
                <w:sz w:val="20"/>
              </w:rPr>
            </w:pPr>
            <w:r>
              <w:rPr>
                <w:b/>
                <w:iCs/>
                <w:sz w:val="20"/>
              </w:rPr>
              <w:t>Eventos de la UIT en 2018</w:t>
            </w:r>
          </w:p>
        </w:tc>
      </w:tr>
      <w:tr w:rsidR="0079556D" w:rsidTr="00156121">
        <w:tc>
          <w:tcPr>
            <w:tcW w:w="68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Ene</w:t>
            </w:r>
          </w:p>
        </w:tc>
        <w:tc>
          <w:tcPr>
            <w:tcW w:w="69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Feb</w:t>
            </w:r>
          </w:p>
        </w:tc>
        <w:tc>
          <w:tcPr>
            <w:tcW w:w="783"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Mar</w:t>
            </w:r>
          </w:p>
        </w:tc>
        <w:tc>
          <w:tcPr>
            <w:tcW w:w="777"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Abr</w:t>
            </w:r>
          </w:p>
        </w:tc>
        <w:tc>
          <w:tcPr>
            <w:tcW w:w="717"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May</w:t>
            </w:r>
          </w:p>
        </w:tc>
        <w:tc>
          <w:tcPr>
            <w:tcW w:w="106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Jun</w:t>
            </w:r>
          </w:p>
        </w:tc>
        <w:tc>
          <w:tcPr>
            <w:tcW w:w="71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Jul</w:t>
            </w:r>
          </w:p>
        </w:tc>
        <w:tc>
          <w:tcPr>
            <w:tcW w:w="70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Ago</w:t>
            </w:r>
          </w:p>
        </w:tc>
        <w:tc>
          <w:tcPr>
            <w:tcW w:w="839"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Sep</w:t>
            </w:r>
          </w:p>
        </w:tc>
        <w:tc>
          <w:tcPr>
            <w:tcW w:w="72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Oct</w:t>
            </w:r>
          </w:p>
        </w:tc>
        <w:tc>
          <w:tcPr>
            <w:tcW w:w="1094"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Nov</w:t>
            </w:r>
          </w:p>
        </w:tc>
        <w:tc>
          <w:tcPr>
            <w:tcW w:w="99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Dic</w:t>
            </w:r>
          </w:p>
        </w:tc>
      </w:tr>
      <w:tr w:rsidR="00FD1D5D" w:rsidTr="00156121">
        <w:tc>
          <w:tcPr>
            <w:tcW w:w="681" w:type="dxa"/>
            <w:vAlign w:val="center"/>
          </w:tcPr>
          <w:p w:rsidR="00FD1D5D" w:rsidRPr="009F3384" w:rsidRDefault="00FD1D5D" w:rsidP="00156121">
            <w:pPr>
              <w:spacing w:before="0"/>
              <w:jc w:val="center"/>
              <w:rPr>
                <w:iCs/>
                <w:sz w:val="16"/>
                <w:szCs w:val="16"/>
              </w:rPr>
            </w:pPr>
          </w:p>
        </w:tc>
        <w:tc>
          <w:tcPr>
            <w:tcW w:w="694" w:type="dxa"/>
            <w:vAlign w:val="center"/>
          </w:tcPr>
          <w:p w:rsidR="00FD1D5D" w:rsidRPr="009F3384" w:rsidRDefault="00FD1D5D" w:rsidP="00156121">
            <w:pPr>
              <w:spacing w:before="0"/>
              <w:jc w:val="center"/>
              <w:rPr>
                <w:iCs/>
                <w:sz w:val="16"/>
                <w:szCs w:val="16"/>
              </w:rPr>
            </w:pPr>
          </w:p>
        </w:tc>
        <w:tc>
          <w:tcPr>
            <w:tcW w:w="783" w:type="dxa"/>
            <w:shd w:val="clear" w:color="auto" w:fill="D9D9D9" w:themeFill="background1" w:themeFillShade="D9"/>
            <w:vAlign w:val="center"/>
          </w:tcPr>
          <w:p w:rsidR="00FD1D5D" w:rsidRPr="009F3384" w:rsidRDefault="00D87C85" w:rsidP="00D87C85">
            <w:pPr>
              <w:spacing w:before="0"/>
              <w:ind w:left="-57" w:right="-57"/>
              <w:jc w:val="center"/>
              <w:rPr>
                <w:iCs/>
                <w:sz w:val="16"/>
                <w:szCs w:val="16"/>
              </w:rPr>
            </w:pPr>
            <w:r>
              <w:rPr>
                <w:iCs/>
                <w:sz w:val="16"/>
                <w:szCs w:val="16"/>
              </w:rPr>
              <w:t>Foro de la CMSI</w:t>
            </w:r>
            <w:r w:rsidR="00FD1D5D">
              <w:rPr>
                <w:iCs/>
                <w:sz w:val="16"/>
                <w:szCs w:val="16"/>
              </w:rPr>
              <w:t>-18</w:t>
            </w:r>
          </w:p>
        </w:tc>
        <w:tc>
          <w:tcPr>
            <w:tcW w:w="777"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Consejo de la UIT</w:t>
            </w:r>
          </w:p>
        </w:tc>
        <w:tc>
          <w:tcPr>
            <w:tcW w:w="717" w:type="dxa"/>
            <w:vAlign w:val="center"/>
          </w:tcPr>
          <w:p w:rsidR="00FD1D5D" w:rsidRPr="009F3384" w:rsidRDefault="00FD1D5D" w:rsidP="00156121">
            <w:pPr>
              <w:spacing w:before="0"/>
              <w:jc w:val="center"/>
              <w:rPr>
                <w:iCs/>
                <w:sz w:val="16"/>
                <w:szCs w:val="16"/>
              </w:rPr>
            </w:pPr>
          </w:p>
        </w:tc>
        <w:tc>
          <w:tcPr>
            <w:tcW w:w="1064"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Simposio Mundial sobre Capacitación</w:t>
            </w:r>
          </w:p>
        </w:tc>
        <w:tc>
          <w:tcPr>
            <w:tcW w:w="714"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GSR-18</w:t>
            </w:r>
          </w:p>
        </w:tc>
        <w:tc>
          <w:tcPr>
            <w:tcW w:w="701" w:type="dxa"/>
            <w:vAlign w:val="center"/>
          </w:tcPr>
          <w:p w:rsidR="00FD1D5D" w:rsidRPr="009F3384" w:rsidRDefault="00FD1D5D" w:rsidP="00156121">
            <w:pPr>
              <w:spacing w:before="0"/>
              <w:jc w:val="center"/>
              <w:rPr>
                <w:iCs/>
                <w:sz w:val="16"/>
                <w:szCs w:val="16"/>
              </w:rPr>
            </w:pPr>
          </w:p>
        </w:tc>
        <w:tc>
          <w:tcPr>
            <w:tcW w:w="839" w:type="dxa"/>
            <w:shd w:val="clear" w:color="auto" w:fill="D9D9D9" w:themeFill="background1" w:themeFillShade="D9"/>
            <w:vAlign w:val="center"/>
          </w:tcPr>
          <w:p w:rsidR="00FD1D5D" w:rsidRPr="009F3384" w:rsidRDefault="00FD1D5D" w:rsidP="00D87C85">
            <w:pPr>
              <w:spacing w:before="0"/>
              <w:jc w:val="center"/>
              <w:rPr>
                <w:iCs/>
                <w:sz w:val="16"/>
                <w:szCs w:val="16"/>
              </w:rPr>
            </w:pPr>
            <w:r>
              <w:rPr>
                <w:iCs/>
                <w:sz w:val="16"/>
                <w:szCs w:val="16"/>
              </w:rPr>
              <w:t>ITU Telecom World 2018</w:t>
            </w:r>
          </w:p>
        </w:tc>
        <w:tc>
          <w:tcPr>
            <w:tcW w:w="721"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PP-18</w:t>
            </w:r>
          </w:p>
        </w:tc>
        <w:tc>
          <w:tcPr>
            <w:tcW w:w="1094"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Caleidoscopio</w:t>
            </w:r>
          </w:p>
        </w:tc>
        <w:tc>
          <w:tcPr>
            <w:tcW w:w="991" w:type="dxa"/>
            <w:shd w:val="clear" w:color="auto" w:fill="D9D9D9" w:themeFill="background1" w:themeFillShade="D9"/>
            <w:vAlign w:val="center"/>
          </w:tcPr>
          <w:p w:rsidR="00FD1D5D" w:rsidRPr="009F3384" w:rsidRDefault="00FD1D5D" w:rsidP="0079556D">
            <w:pPr>
              <w:spacing w:before="0"/>
              <w:jc w:val="center"/>
              <w:rPr>
                <w:iCs/>
                <w:sz w:val="16"/>
                <w:szCs w:val="16"/>
              </w:rPr>
            </w:pPr>
            <w:r>
              <w:rPr>
                <w:iCs/>
                <w:sz w:val="16"/>
                <w:szCs w:val="16"/>
              </w:rPr>
              <w:t>WTIS/18</w:t>
            </w:r>
            <w:r w:rsidR="0079556D">
              <w:rPr>
                <w:iCs/>
                <w:sz w:val="16"/>
                <w:szCs w:val="16"/>
              </w:rPr>
              <w:br/>
            </w:r>
            <w:r>
              <w:rPr>
                <w:iCs/>
                <w:sz w:val="16"/>
                <w:szCs w:val="16"/>
              </w:rPr>
              <w:t>SMR-18</w:t>
            </w:r>
          </w:p>
        </w:tc>
      </w:tr>
    </w:tbl>
    <w:p w:rsidR="00FD1D5D" w:rsidRDefault="00FD1D5D" w:rsidP="00FD1D5D">
      <w:pPr>
        <w:jc w:val="both"/>
        <w:rPr>
          <w:iCs/>
          <w:szCs w:val="24"/>
        </w:rPr>
      </w:pPr>
      <w:r>
        <w:rPr>
          <w:noProof/>
          <w:lang w:eastAsia="zh-CN"/>
        </w:rPr>
        <mc:AlternateContent>
          <mc:Choice Requires="wps">
            <w:drawing>
              <wp:anchor distT="0" distB="0" distL="114300" distR="114300" simplePos="0" relativeHeight="251665408" behindDoc="0" locked="0" layoutInCell="1" allowOverlap="1" wp14:anchorId="60753282" wp14:editId="0B1F9D44">
                <wp:simplePos x="0" y="0"/>
                <wp:positionH relativeFrom="column">
                  <wp:posOffset>2957195</wp:posOffset>
                </wp:positionH>
                <wp:positionV relativeFrom="paragraph">
                  <wp:posOffset>81915</wp:posOffset>
                </wp:positionV>
                <wp:extent cx="304800" cy="381000"/>
                <wp:effectExtent l="19050" t="0" r="19050" b="38100"/>
                <wp:wrapThrough wrapText="bothSides">
                  <wp:wrapPolygon edited="0">
                    <wp:start x="2700" y="0"/>
                    <wp:lineTo x="-1350" y="12960"/>
                    <wp:lineTo x="1350" y="17280"/>
                    <wp:lineTo x="6750" y="22680"/>
                    <wp:lineTo x="14850" y="22680"/>
                    <wp:lineTo x="21600" y="17280"/>
                    <wp:lineTo x="21600" y="9720"/>
                    <wp:lineTo x="18900" y="0"/>
                    <wp:lineTo x="2700" y="0"/>
                  </wp:wrapPolygon>
                </wp:wrapThrough>
                <wp:docPr id="5" name="Down Arrow 5"/>
                <wp:cNvGraphicFramePr/>
                <a:graphic xmlns:a="http://schemas.openxmlformats.org/drawingml/2006/main">
                  <a:graphicData uri="http://schemas.microsoft.com/office/word/2010/wordprocessingShape">
                    <wps:wsp>
                      <wps:cNvSpPr/>
                      <wps:spPr>
                        <a:xfrm>
                          <a:off x="0" y="0"/>
                          <a:ext cx="304800" cy="381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116D11" id="Down Arrow 5" o:spid="_x0000_s1026" type="#_x0000_t67" style="position:absolute;margin-left:232.85pt;margin-top:6.45pt;width:24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" adj="12960" fillcolor="white [3201]" strokecolor="black [3200]" strokeweight=".5pt">
                <w10:wrap type="through"/>
              </v:shape>
            </w:pict>
          </mc:Fallback>
        </mc:AlternateContent>
      </w:r>
    </w:p>
    <w:p w:rsidR="00FD1D5D" w:rsidRPr="0079556D" w:rsidRDefault="00FD1D5D" w:rsidP="00FD1D5D">
      <w:pPr>
        <w:jc w:val="both"/>
        <w:rPr>
          <w:iCs/>
          <w:szCs w:val="24"/>
        </w:rPr>
      </w:pPr>
    </w:p>
    <w:tbl>
      <w:tblPr>
        <w:tblStyle w:val="TableGrid"/>
        <w:tblW w:w="9776" w:type="dxa"/>
        <w:tblLayout w:type="fixed"/>
        <w:tblLook w:val="04A0" w:firstRow="1" w:lastRow="0" w:firstColumn="1" w:lastColumn="0" w:noHBand="0" w:noVBand="1"/>
      </w:tblPr>
      <w:tblGrid>
        <w:gridCol w:w="421"/>
        <w:gridCol w:w="610"/>
        <w:gridCol w:w="616"/>
        <w:gridCol w:w="812"/>
        <w:gridCol w:w="728"/>
        <w:gridCol w:w="518"/>
        <w:gridCol w:w="1008"/>
        <w:gridCol w:w="862"/>
        <w:gridCol w:w="551"/>
        <w:gridCol w:w="979"/>
        <w:gridCol w:w="1080"/>
        <w:gridCol w:w="699"/>
        <w:gridCol w:w="892"/>
      </w:tblGrid>
      <w:tr w:rsidR="00FD1D5D" w:rsidRPr="00E37AA2" w:rsidTr="00156121">
        <w:tc>
          <w:tcPr>
            <w:tcW w:w="421" w:type="dxa"/>
            <w:shd w:val="clear" w:color="auto" w:fill="BFBFBF" w:themeFill="background1" w:themeFillShade="BF"/>
          </w:tcPr>
          <w:p w:rsidR="00FD1D5D" w:rsidRPr="000955BD" w:rsidRDefault="00FD1D5D" w:rsidP="00156121">
            <w:pPr>
              <w:spacing w:before="0"/>
              <w:jc w:val="center"/>
              <w:rPr>
                <w:b/>
                <w:iCs/>
                <w:szCs w:val="24"/>
              </w:rPr>
            </w:pPr>
          </w:p>
        </w:tc>
        <w:tc>
          <w:tcPr>
            <w:tcW w:w="9355" w:type="dxa"/>
            <w:gridSpan w:val="12"/>
            <w:shd w:val="clear" w:color="auto" w:fill="BFBFBF" w:themeFill="background1" w:themeFillShade="BF"/>
            <w:vAlign w:val="center"/>
          </w:tcPr>
          <w:p w:rsidR="00FD1D5D" w:rsidRPr="0097291E" w:rsidRDefault="00FD1D5D" w:rsidP="00156121">
            <w:pPr>
              <w:spacing w:before="0"/>
              <w:jc w:val="center"/>
              <w:rPr>
                <w:b/>
                <w:iCs/>
                <w:sz w:val="20"/>
              </w:rPr>
            </w:pPr>
            <w:r w:rsidRPr="0097291E">
              <w:rPr>
                <w:b/>
                <w:iCs/>
                <w:sz w:val="20"/>
              </w:rPr>
              <w:t>Eventos de la UIT en 2020</w:t>
            </w:r>
          </w:p>
        </w:tc>
      </w:tr>
      <w:tr w:rsidR="0079556D" w:rsidRPr="009F3384" w:rsidTr="004936C0">
        <w:tc>
          <w:tcPr>
            <w:tcW w:w="421" w:type="dxa"/>
            <w:shd w:val="clear" w:color="auto" w:fill="BFBFBF" w:themeFill="background1" w:themeFillShade="BF"/>
          </w:tcPr>
          <w:p w:rsidR="00FD1D5D" w:rsidRPr="009F3384" w:rsidRDefault="00FD1D5D" w:rsidP="00156121">
            <w:pPr>
              <w:spacing w:before="0"/>
              <w:jc w:val="center"/>
              <w:rPr>
                <w:b/>
                <w:iCs/>
                <w:sz w:val="16"/>
                <w:szCs w:val="16"/>
              </w:rPr>
            </w:pPr>
          </w:p>
        </w:tc>
        <w:tc>
          <w:tcPr>
            <w:tcW w:w="610"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Ene</w:t>
            </w:r>
          </w:p>
        </w:tc>
        <w:tc>
          <w:tcPr>
            <w:tcW w:w="616"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Feb</w:t>
            </w:r>
          </w:p>
        </w:tc>
        <w:tc>
          <w:tcPr>
            <w:tcW w:w="812"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Mar</w:t>
            </w:r>
          </w:p>
        </w:tc>
        <w:tc>
          <w:tcPr>
            <w:tcW w:w="728"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Abr</w:t>
            </w:r>
          </w:p>
        </w:tc>
        <w:tc>
          <w:tcPr>
            <w:tcW w:w="518"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May</w:t>
            </w:r>
          </w:p>
        </w:tc>
        <w:tc>
          <w:tcPr>
            <w:tcW w:w="1008"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Jun</w:t>
            </w:r>
          </w:p>
        </w:tc>
        <w:tc>
          <w:tcPr>
            <w:tcW w:w="862"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Jul</w:t>
            </w:r>
          </w:p>
        </w:tc>
        <w:tc>
          <w:tcPr>
            <w:tcW w:w="551"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Ago</w:t>
            </w:r>
          </w:p>
        </w:tc>
        <w:tc>
          <w:tcPr>
            <w:tcW w:w="979"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Sep</w:t>
            </w:r>
          </w:p>
        </w:tc>
        <w:tc>
          <w:tcPr>
            <w:tcW w:w="1080"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Oct</w:t>
            </w:r>
          </w:p>
        </w:tc>
        <w:tc>
          <w:tcPr>
            <w:tcW w:w="699"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Nov</w:t>
            </w:r>
          </w:p>
        </w:tc>
        <w:tc>
          <w:tcPr>
            <w:tcW w:w="892" w:type="dxa"/>
            <w:shd w:val="clear" w:color="auto" w:fill="BFBFBF" w:themeFill="background1" w:themeFillShade="BF"/>
            <w:vAlign w:val="center"/>
          </w:tcPr>
          <w:p w:rsidR="00FD1D5D" w:rsidRPr="009F3384" w:rsidRDefault="00FD1D5D" w:rsidP="00156121">
            <w:pPr>
              <w:spacing w:before="0"/>
              <w:jc w:val="center"/>
              <w:rPr>
                <w:b/>
                <w:iCs/>
                <w:sz w:val="16"/>
                <w:szCs w:val="16"/>
              </w:rPr>
            </w:pPr>
            <w:r>
              <w:rPr>
                <w:b/>
                <w:iCs/>
                <w:sz w:val="16"/>
                <w:szCs w:val="16"/>
              </w:rPr>
              <w:t>Dic</w:t>
            </w:r>
          </w:p>
        </w:tc>
      </w:tr>
      <w:tr w:rsidR="0079556D" w:rsidRPr="009F3384" w:rsidTr="004936C0">
        <w:trPr>
          <w:cantSplit/>
          <w:trHeight w:val="1134"/>
        </w:trPr>
        <w:tc>
          <w:tcPr>
            <w:tcW w:w="421" w:type="dxa"/>
            <w:textDirection w:val="btLr"/>
          </w:tcPr>
          <w:p w:rsidR="00FD1D5D" w:rsidRPr="009F3384" w:rsidRDefault="00FD1D5D" w:rsidP="00156121">
            <w:pPr>
              <w:spacing w:before="0"/>
              <w:ind w:left="113" w:right="113"/>
              <w:jc w:val="center"/>
              <w:rPr>
                <w:iCs/>
                <w:sz w:val="16"/>
                <w:szCs w:val="16"/>
              </w:rPr>
            </w:pPr>
            <w:r>
              <w:rPr>
                <w:iCs/>
                <w:sz w:val="16"/>
                <w:szCs w:val="16"/>
              </w:rPr>
              <w:t>Eventos</w:t>
            </w:r>
          </w:p>
        </w:tc>
        <w:tc>
          <w:tcPr>
            <w:tcW w:w="610" w:type="dxa"/>
            <w:vAlign w:val="center"/>
          </w:tcPr>
          <w:p w:rsidR="00FD1D5D" w:rsidRPr="009F3384" w:rsidRDefault="00FD1D5D" w:rsidP="00156121">
            <w:pPr>
              <w:spacing w:before="0"/>
              <w:jc w:val="center"/>
              <w:rPr>
                <w:iCs/>
                <w:sz w:val="16"/>
                <w:szCs w:val="16"/>
              </w:rPr>
            </w:pPr>
          </w:p>
        </w:tc>
        <w:tc>
          <w:tcPr>
            <w:tcW w:w="616" w:type="dxa"/>
            <w:vAlign w:val="center"/>
          </w:tcPr>
          <w:p w:rsidR="00FD1D5D" w:rsidRPr="009F3384" w:rsidRDefault="00FD1D5D" w:rsidP="00156121">
            <w:pPr>
              <w:spacing w:before="0"/>
              <w:jc w:val="center"/>
              <w:rPr>
                <w:iCs/>
                <w:sz w:val="16"/>
                <w:szCs w:val="16"/>
              </w:rPr>
            </w:pPr>
          </w:p>
        </w:tc>
        <w:tc>
          <w:tcPr>
            <w:tcW w:w="812" w:type="dxa"/>
            <w:shd w:val="clear" w:color="auto" w:fill="D9D9D9" w:themeFill="background1" w:themeFillShade="D9"/>
            <w:vAlign w:val="center"/>
          </w:tcPr>
          <w:p w:rsidR="00FD1D5D" w:rsidRPr="009F3384" w:rsidRDefault="00D87C85" w:rsidP="00D87C85">
            <w:pPr>
              <w:spacing w:before="0"/>
              <w:ind w:left="-57" w:right="-57"/>
              <w:jc w:val="center"/>
              <w:rPr>
                <w:iCs/>
                <w:sz w:val="16"/>
                <w:szCs w:val="16"/>
              </w:rPr>
            </w:pPr>
            <w:r>
              <w:rPr>
                <w:iCs/>
                <w:sz w:val="16"/>
                <w:szCs w:val="16"/>
              </w:rPr>
              <w:t>Foro de la CMSI</w:t>
            </w:r>
            <w:r w:rsidR="00FD1D5D">
              <w:rPr>
                <w:iCs/>
                <w:sz w:val="16"/>
                <w:szCs w:val="16"/>
              </w:rPr>
              <w:t>-18</w:t>
            </w:r>
          </w:p>
        </w:tc>
        <w:tc>
          <w:tcPr>
            <w:tcW w:w="728" w:type="dxa"/>
            <w:shd w:val="clear" w:color="auto" w:fill="D9D9D9" w:themeFill="background1" w:themeFillShade="D9"/>
            <w:vAlign w:val="center"/>
          </w:tcPr>
          <w:p w:rsidR="00FD1D5D" w:rsidRPr="009F3384" w:rsidRDefault="00FD1D5D" w:rsidP="00D87C85">
            <w:pPr>
              <w:spacing w:before="0"/>
              <w:ind w:left="-57" w:right="-57"/>
              <w:jc w:val="center"/>
              <w:rPr>
                <w:iCs/>
                <w:sz w:val="16"/>
                <w:szCs w:val="16"/>
              </w:rPr>
            </w:pPr>
            <w:r>
              <w:rPr>
                <w:iCs/>
                <w:sz w:val="16"/>
                <w:szCs w:val="16"/>
              </w:rPr>
              <w:t>Consejo de la UIT</w:t>
            </w:r>
          </w:p>
        </w:tc>
        <w:tc>
          <w:tcPr>
            <w:tcW w:w="518" w:type="dxa"/>
            <w:vAlign w:val="center"/>
          </w:tcPr>
          <w:p w:rsidR="00FD1D5D" w:rsidRPr="009F3384" w:rsidRDefault="00FD1D5D" w:rsidP="00156121">
            <w:pPr>
              <w:spacing w:before="0"/>
              <w:jc w:val="center"/>
              <w:rPr>
                <w:iCs/>
                <w:sz w:val="16"/>
                <w:szCs w:val="16"/>
              </w:rPr>
            </w:pPr>
          </w:p>
        </w:tc>
        <w:tc>
          <w:tcPr>
            <w:tcW w:w="1008" w:type="dxa"/>
            <w:shd w:val="clear" w:color="auto" w:fill="D9D9D9" w:themeFill="background1" w:themeFillShade="D9"/>
            <w:vAlign w:val="center"/>
          </w:tcPr>
          <w:p w:rsidR="00FD1D5D" w:rsidRPr="009F3384" w:rsidRDefault="00FD1D5D" w:rsidP="00D87C85">
            <w:pPr>
              <w:spacing w:before="0"/>
              <w:ind w:left="-57" w:right="-57"/>
              <w:jc w:val="center"/>
              <w:rPr>
                <w:iCs/>
                <w:sz w:val="16"/>
                <w:szCs w:val="16"/>
              </w:rPr>
            </w:pPr>
            <w:r>
              <w:rPr>
                <w:iCs/>
                <w:sz w:val="16"/>
                <w:szCs w:val="16"/>
              </w:rPr>
              <w:t>Simposio Mundial sobre Capacitación</w:t>
            </w:r>
          </w:p>
        </w:tc>
        <w:tc>
          <w:tcPr>
            <w:tcW w:w="862" w:type="dxa"/>
            <w:shd w:val="clear" w:color="auto" w:fill="D9D9D9" w:themeFill="background1" w:themeFillShade="D9"/>
            <w:vAlign w:val="center"/>
          </w:tcPr>
          <w:p w:rsidR="00FD1D5D" w:rsidRPr="009F3384" w:rsidRDefault="00FD1D5D" w:rsidP="00156121">
            <w:pPr>
              <w:spacing w:before="0"/>
              <w:jc w:val="center"/>
              <w:rPr>
                <w:iCs/>
                <w:sz w:val="16"/>
                <w:szCs w:val="16"/>
              </w:rPr>
            </w:pPr>
            <w:r>
              <w:rPr>
                <w:iCs/>
                <w:sz w:val="16"/>
                <w:szCs w:val="16"/>
              </w:rPr>
              <w:t>GSR-18</w:t>
            </w:r>
          </w:p>
        </w:tc>
        <w:tc>
          <w:tcPr>
            <w:tcW w:w="551" w:type="dxa"/>
            <w:vAlign w:val="center"/>
          </w:tcPr>
          <w:p w:rsidR="00FD1D5D" w:rsidRPr="009F3384" w:rsidRDefault="00FD1D5D" w:rsidP="00156121">
            <w:pPr>
              <w:spacing w:before="0"/>
              <w:jc w:val="center"/>
              <w:rPr>
                <w:iCs/>
                <w:sz w:val="16"/>
                <w:szCs w:val="16"/>
              </w:rPr>
            </w:pPr>
          </w:p>
        </w:tc>
        <w:tc>
          <w:tcPr>
            <w:tcW w:w="979" w:type="dxa"/>
            <w:shd w:val="clear" w:color="auto" w:fill="D9D9D9" w:themeFill="background1" w:themeFillShade="D9"/>
            <w:vAlign w:val="center"/>
          </w:tcPr>
          <w:p w:rsidR="00FD1D5D" w:rsidRPr="009F3384" w:rsidRDefault="00FD1D5D" w:rsidP="00D87C85">
            <w:pPr>
              <w:spacing w:before="0"/>
              <w:ind w:left="-57" w:right="-57"/>
              <w:jc w:val="center"/>
              <w:rPr>
                <w:iCs/>
                <w:sz w:val="16"/>
                <w:szCs w:val="16"/>
              </w:rPr>
            </w:pPr>
            <w:r>
              <w:rPr>
                <w:iCs/>
                <w:sz w:val="16"/>
                <w:szCs w:val="16"/>
              </w:rPr>
              <w:t>ITU Telecom World 2018</w:t>
            </w:r>
          </w:p>
        </w:tc>
        <w:tc>
          <w:tcPr>
            <w:tcW w:w="1080" w:type="dxa"/>
            <w:shd w:val="clear" w:color="auto" w:fill="D9D9D9" w:themeFill="background1" w:themeFillShade="D9"/>
            <w:vAlign w:val="center"/>
          </w:tcPr>
          <w:p w:rsidR="00FD1D5D" w:rsidRPr="009F3384" w:rsidRDefault="00FD1D5D" w:rsidP="00D87C85">
            <w:pPr>
              <w:spacing w:before="0"/>
              <w:jc w:val="center"/>
              <w:rPr>
                <w:iCs/>
                <w:sz w:val="16"/>
                <w:szCs w:val="16"/>
              </w:rPr>
            </w:pPr>
            <w:r>
              <w:rPr>
                <w:iCs/>
                <w:sz w:val="16"/>
                <w:szCs w:val="16"/>
              </w:rPr>
              <w:t>Conferencia/</w:t>
            </w:r>
            <w:r w:rsidR="004936C0">
              <w:rPr>
                <w:iCs/>
                <w:sz w:val="16"/>
                <w:szCs w:val="16"/>
              </w:rPr>
              <w:t xml:space="preserve">Asamblea </w:t>
            </w:r>
            <w:r>
              <w:rPr>
                <w:iCs/>
                <w:sz w:val="16"/>
                <w:szCs w:val="16"/>
              </w:rPr>
              <w:t>si se aplica (PP, CMR, AMNT o CMDT)</w:t>
            </w:r>
          </w:p>
        </w:tc>
        <w:tc>
          <w:tcPr>
            <w:tcW w:w="699" w:type="dxa"/>
            <w:shd w:val="clear" w:color="auto" w:fill="D9D9D9" w:themeFill="background1" w:themeFillShade="D9"/>
            <w:vAlign w:val="center"/>
          </w:tcPr>
          <w:p w:rsidR="00FD1D5D" w:rsidRPr="009F3384" w:rsidRDefault="00FD1D5D" w:rsidP="00D87C85">
            <w:pPr>
              <w:spacing w:before="0"/>
              <w:ind w:left="-57" w:right="-57"/>
              <w:jc w:val="center"/>
              <w:rPr>
                <w:iCs/>
                <w:sz w:val="16"/>
                <w:szCs w:val="16"/>
              </w:rPr>
            </w:pPr>
            <w:r>
              <w:rPr>
                <w:iCs/>
                <w:sz w:val="16"/>
                <w:szCs w:val="16"/>
              </w:rPr>
              <w:t>Caleidos</w:t>
            </w:r>
            <w:r w:rsidR="004936C0">
              <w:rPr>
                <w:iCs/>
                <w:sz w:val="16"/>
                <w:szCs w:val="16"/>
              </w:rPr>
              <w:t>-</w:t>
            </w:r>
            <w:r>
              <w:rPr>
                <w:iCs/>
                <w:sz w:val="16"/>
                <w:szCs w:val="16"/>
              </w:rPr>
              <w:t>copio</w:t>
            </w:r>
          </w:p>
        </w:tc>
        <w:tc>
          <w:tcPr>
            <w:tcW w:w="892" w:type="dxa"/>
            <w:shd w:val="clear" w:color="auto" w:fill="D9D9D9" w:themeFill="background1" w:themeFillShade="D9"/>
            <w:vAlign w:val="center"/>
          </w:tcPr>
          <w:p w:rsidR="00FD1D5D" w:rsidRPr="009F3384" w:rsidRDefault="00FD1D5D" w:rsidP="0079556D">
            <w:pPr>
              <w:spacing w:before="0"/>
              <w:jc w:val="center"/>
              <w:rPr>
                <w:iCs/>
                <w:sz w:val="16"/>
                <w:szCs w:val="16"/>
              </w:rPr>
            </w:pPr>
            <w:r>
              <w:rPr>
                <w:iCs/>
                <w:sz w:val="16"/>
                <w:szCs w:val="16"/>
              </w:rPr>
              <w:t>WTIS/18</w:t>
            </w:r>
            <w:r w:rsidR="0079556D">
              <w:rPr>
                <w:iCs/>
                <w:sz w:val="16"/>
                <w:szCs w:val="16"/>
              </w:rPr>
              <w:br/>
            </w:r>
            <w:r>
              <w:rPr>
                <w:iCs/>
                <w:sz w:val="16"/>
                <w:szCs w:val="16"/>
              </w:rPr>
              <w:t>SMR-18</w:t>
            </w:r>
          </w:p>
        </w:tc>
      </w:tr>
      <w:tr w:rsidR="00FD1D5D" w:rsidRPr="0079556D" w:rsidTr="004936C0">
        <w:trPr>
          <w:cantSplit/>
          <w:trHeight w:val="1134"/>
        </w:trPr>
        <w:tc>
          <w:tcPr>
            <w:tcW w:w="421" w:type="dxa"/>
            <w:textDirection w:val="btLr"/>
          </w:tcPr>
          <w:p w:rsidR="00FD1D5D" w:rsidRPr="0079556D" w:rsidRDefault="00FD1D5D" w:rsidP="00156121">
            <w:pPr>
              <w:spacing w:before="0"/>
              <w:ind w:left="113" w:right="113"/>
              <w:jc w:val="center"/>
              <w:rPr>
                <w:iCs/>
                <w:sz w:val="16"/>
                <w:szCs w:val="16"/>
              </w:rPr>
            </w:pPr>
            <w:r w:rsidRPr="0079556D">
              <w:rPr>
                <w:iCs/>
                <w:sz w:val="16"/>
                <w:szCs w:val="16"/>
              </w:rPr>
              <w:t>Audiencia</w:t>
            </w:r>
          </w:p>
        </w:tc>
        <w:tc>
          <w:tcPr>
            <w:tcW w:w="610" w:type="dxa"/>
            <w:shd w:val="clear" w:color="auto" w:fill="auto"/>
            <w:vAlign w:val="center"/>
          </w:tcPr>
          <w:p w:rsidR="00FD1D5D" w:rsidRPr="0079556D" w:rsidRDefault="00FD1D5D" w:rsidP="00156121">
            <w:pPr>
              <w:spacing w:before="0"/>
              <w:jc w:val="center"/>
              <w:rPr>
                <w:iCs/>
                <w:sz w:val="16"/>
                <w:szCs w:val="16"/>
              </w:rPr>
            </w:pPr>
          </w:p>
        </w:tc>
        <w:tc>
          <w:tcPr>
            <w:tcW w:w="616" w:type="dxa"/>
            <w:shd w:val="clear" w:color="auto" w:fill="auto"/>
            <w:vAlign w:val="center"/>
          </w:tcPr>
          <w:p w:rsidR="00FD1D5D" w:rsidRPr="0079556D" w:rsidRDefault="00FD1D5D" w:rsidP="00156121">
            <w:pPr>
              <w:spacing w:before="0"/>
              <w:jc w:val="center"/>
              <w:rPr>
                <w:iCs/>
                <w:sz w:val="16"/>
                <w:szCs w:val="16"/>
              </w:rPr>
            </w:pPr>
          </w:p>
        </w:tc>
        <w:tc>
          <w:tcPr>
            <w:tcW w:w="812" w:type="dxa"/>
            <w:shd w:val="clear" w:color="auto" w:fill="auto"/>
            <w:vAlign w:val="center"/>
          </w:tcPr>
          <w:p w:rsidR="00FD1D5D" w:rsidRPr="0079556D" w:rsidRDefault="00D87C85" w:rsidP="00D87C85">
            <w:pPr>
              <w:spacing w:before="0"/>
              <w:ind w:left="-57" w:right="-57"/>
              <w:jc w:val="center"/>
              <w:rPr>
                <w:iCs/>
                <w:sz w:val="16"/>
                <w:szCs w:val="16"/>
              </w:rPr>
            </w:pPr>
            <w:r w:rsidRPr="0079556D">
              <w:rPr>
                <w:iCs/>
                <w:sz w:val="16"/>
                <w:szCs w:val="16"/>
              </w:rPr>
              <w:t>Monitori-zación de indica</w:t>
            </w:r>
            <w:r w:rsidR="0079556D" w:rsidRPr="0079556D">
              <w:rPr>
                <w:iCs/>
                <w:sz w:val="16"/>
                <w:szCs w:val="16"/>
              </w:rPr>
              <w:t>-</w:t>
            </w:r>
            <w:r w:rsidRPr="0079556D">
              <w:rPr>
                <w:iCs/>
                <w:sz w:val="16"/>
                <w:szCs w:val="16"/>
              </w:rPr>
              <w:t>dores/</w:t>
            </w:r>
            <w:r w:rsidR="00FD1D5D" w:rsidRPr="0079556D">
              <w:rPr>
                <w:iCs/>
                <w:sz w:val="16"/>
                <w:szCs w:val="16"/>
              </w:rPr>
              <w:t>ODS</w:t>
            </w:r>
          </w:p>
        </w:tc>
        <w:tc>
          <w:tcPr>
            <w:tcW w:w="728" w:type="dxa"/>
            <w:shd w:val="clear" w:color="auto" w:fill="auto"/>
            <w:vAlign w:val="center"/>
          </w:tcPr>
          <w:p w:rsidR="00FD1D5D" w:rsidRPr="0079556D" w:rsidRDefault="00FD1D5D" w:rsidP="00D87C85">
            <w:pPr>
              <w:spacing w:before="0"/>
              <w:ind w:left="-57" w:right="-57"/>
              <w:jc w:val="center"/>
              <w:rPr>
                <w:iCs/>
                <w:sz w:val="16"/>
                <w:szCs w:val="16"/>
              </w:rPr>
            </w:pPr>
            <w:r w:rsidRPr="0079556D">
              <w:rPr>
                <w:iCs/>
                <w:sz w:val="16"/>
                <w:szCs w:val="16"/>
              </w:rPr>
              <w:t>Delega</w:t>
            </w:r>
            <w:r w:rsidR="00D87C85" w:rsidRPr="0079556D">
              <w:rPr>
                <w:iCs/>
                <w:sz w:val="16"/>
                <w:szCs w:val="16"/>
              </w:rPr>
              <w:t>-</w:t>
            </w:r>
            <w:r w:rsidRPr="0079556D">
              <w:rPr>
                <w:iCs/>
                <w:sz w:val="16"/>
                <w:szCs w:val="16"/>
              </w:rPr>
              <w:t>ciones de la UIT</w:t>
            </w:r>
          </w:p>
        </w:tc>
        <w:tc>
          <w:tcPr>
            <w:tcW w:w="518" w:type="dxa"/>
            <w:shd w:val="clear" w:color="auto" w:fill="auto"/>
            <w:vAlign w:val="center"/>
          </w:tcPr>
          <w:p w:rsidR="00FD1D5D" w:rsidRPr="0079556D" w:rsidRDefault="00FD1D5D" w:rsidP="00156121">
            <w:pPr>
              <w:spacing w:before="0"/>
              <w:jc w:val="center"/>
              <w:rPr>
                <w:iCs/>
                <w:sz w:val="16"/>
                <w:szCs w:val="16"/>
              </w:rPr>
            </w:pPr>
          </w:p>
        </w:tc>
        <w:tc>
          <w:tcPr>
            <w:tcW w:w="1008" w:type="dxa"/>
            <w:shd w:val="clear" w:color="auto" w:fill="auto"/>
            <w:vAlign w:val="center"/>
          </w:tcPr>
          <w:p w:rsidR="00FD1D5D" w:rsidRPr="0079556D" w:rsidRDefault="00FD1D5D" w:rsidP="0048382F">
            <w:pPr>
              <w:spacing w:before="0"/>
              <w:ind w:left="-57" w:right="-57"/>
              <w:jc w:val="center"/>
              <w:rPr>
                <w:iCs/>
                <w:sz w:val="16"/>
                <w:szCs w:val="16"/>
              </w:rPr>
            </w:pPr>
            <w:r w:rsidRPr="0079556D">
              <w:rPr>
                <w:iCs/>
                <w:sz w:val="16"/>
                <w:szCs w:val="16"/>
              </w:rPr>
              <w:t>Expertos en creación de capacidades</w:t>
            </w:r>
          </w:p>
        </w:tc>
        <w:tc>
          <w:tcPr>
            <w:tcW w:w="862" w:type="dxa"/>
            <w:shd w:val="clear" w:color="auto" w:fill="auto"/>
            <w:vAlign w:val="center"/>
          </w:tcPr>
          <w:p w:rsidR="00FD1D5D" w:rsidRPr="0079556D" w:rsidRDefault="00D87C85" w:rsidP="00D87C85">
            <w:pPr>
              <w:spacing w:before="0"/>
              <w:ind w:left="-57" w:right="-57"/>
              <w:jc w:val="center"/>
              <w:rPr>
                <w:iCs/>
                <w:sz w:val="16"/>
                <w:szCs w:val="16"/>
              </w:rPr>
            </w:pPr>
            <w:r w:rsidRPr="0079556D">
              <w:rPr>
                <w:iCs/>
                <w:sz w:val="16"/>
                <w:szCs w:val="16"/>
              </w:rPr>
              <w:t>Expertos en políticas públicas/</w:t>
            </w:r>
            <w:r w:rsidRPr="0079556D">
              <w:rPr>
                <w:iCs/>
                <w:sz w:val="16"/>
                <w:szCs w:val="16"/>
              </w:rPr>
              <w:br/>
            </w:r>
            <w:r w:rsidR="00FD1D5D" w:rsidRPr="0079556D">
              <w:rPr>
                <w:iCs/>
                <w:sz w:val="16"/>
                <w:szCs w:val="16"/>
              </w:rPr>
              <w:t>organismos de regla</w:t>
            </w:r>
            <w:r w:rsidRPr="0079556D">
              <w:rPr>
                <w:iCs/>
                <w:sz w:val="16"/>
                <w:szCs w:val="16"/>
              </w:rPr>
              <w:t>-</w:t>
            </w:r>
            <w:r w:rsidR="00FD1D5D" w:rsidRPr="0079556D">
              <w:rPr>
                <w:iCs/>
                <w:sz w:val="16"/>
                <w:szCs w:val="16"/>
              </w:rPr>
              <w:t>mentación</w:t>
            </w:r>
          </w:p>
        </w:tc>
        <w:tc>
          <w:tcPr>
            <w:tcW w:w="551" w:type="dxa"/>
            <w:shd w:val="clear" w:color="auto" w:fill="auto"/>
            <w:vAlign w:val="center"/>
          </w:tcPr>
          <w:p w:rsidR="00FD1D5D" w:rsidRPr="0079556D" w:rsidRDefault="00FD1D5D" w:rsidP="00156121">
            <w:pPr>
              <w:spacing w:before="0"/>
              <w:jc w:val="center"/>
              <w:rPr>
                <w:iCs/>
                <w:sz w:val="16"/>
                <w:szCs w:val="16"/>
              </w:rPr>
            </w:pPr>
          </w:p>
        </w:tc>
        <w:tc>
          <w:tcPr>
            <w:tcW w:w="979" w:type="dxa"/>
            <w:shd w:val="clear" w:color="auto" w:fill="auto"/>
            <w:vAlign w:val="center"/>
          </w:tcPr>
          <w:p w:rsidR="00FD1D5D" w:rsidRPr="0079556D" w:rsidRDefault="00D87C85" w:rsidP="00D87C85">
            <w:pPr>
              <w:spacing w:before="0"/>
              <w:ind w:left="-57" w:right="-57"/>
              <w:jc w:val="center"/>
              <w:rPr>
                <w:iCs/>
                <w:sz w:val="16"/>
                <w:szCs w:val="16"/>
              </w:rPr>
            </w:pPr>
            <w:r w:rsidRPr="0079556D">
              <w:rPr>
                <w:iCs/>
                <w:sz w:val="16"/>
                <w:szCs w:val="16"/>
              </w:rPr>
              <w:t>Gestores de innovación/</w:t>
            </w:r>
            <w:r w:rsidR="00FD1D5D" w:rsidRPr="0079556D">
              <w:rPr>
                <w:iCs/>
                <w:sz w:val="16"/>
                <w:szCs w:val="16"/>
              </w:rPr>
              <w:t>mercado</w:t>
            </w:r>
            <w:r w:rsidRPr="0079556D">
              <w:rPr>
                <w:iCs/>
                <w:sz w:val="16"/>
                <w:szCs w:val="16"/>
              </w:rPr>
              <w:t>-</w:t>
            </w:r>
            <w:r w:rsidR="00FD1D5D" w:rsidRPr="0079556D">
              <w:rPr>
                <w:iCs/>
                <w:sz w:val="16"/>
                <w:szCs w:val="16"/>
              </w:rPr>
              <w:t xml:space="preserve">tecnia y </w:t>
            </w:r>
            <w:r w:rsidRPr="0079556D">
              <w:rPr>
                <w:iCs/>
                <w:sz w:val="16"/>
                <w:szCs w:val="16"/>
              </w:rPr>
              <w:t>comunica-ciones/</w:t>
            </w:r>
            <w:r w:rsidR="00FD1D5D" w:rsidRPr="0079556D">
              <w:rPr>
                <w:iCs/>
                <w:sz w:val="16"/>
                <w:szCs w:val="16"/>
              </w:rPr>
              <w:t>ferias de industria</w:t>
            </w:r>
          </w:p>
        </w:tc>
        <w:tc>
          <w:tcPr>
            <w:tcW w:w="1080" w:type="dxa"/>
            <w:shd w:val="clear" w:color="auto" w:fill="auto"/>
            <w:vAlign w:val="center"/>
          </w:tcPr>
          <w:p w:rsidR="00FD1D5D" w:rsidRPr="0079556D" w:rsidRDefault="00D87C85" w:rsidP="00156121">
            <w:pPr>
              <w:spacing w:before="0"/>
              <w:jc w:val="center"/>
              <w:rPr>
                <w:iCs/>
                <w:sz w:val="16"/>
                <w:szCs w:val="16"/>
              </w:rPr>
            </w:pPr>
            <w:r w:rsidRPr="0079556D">
              <w:rPr>
                <w:iCs/>
                <w:sz w:val="16"/>
                <w:szCs w:val="16"/>
              </w:rPr>
              <w:t>Delegaciones de la UIT/</w:t>
            </w:r>
            <w:r w:rsidR="00FD1D5D" w:rsidRPr="0079556D">
              <w:rPr>
                <w:iCs/>
                <w:sz w:val="16"/>
                <w:szCs w:val="16"/>
              </w:rPr>
              <w:t>asuntos exteriores</w:t>
            </w:r>
          </w:p>
        </w:tc>
        <w:tc>
          <w:tcPr>
            <w:tcW w:w="699" w:type="dxa"/>
            <w:shd w:val="clear" w:color="auto" w:fill="auto"/>
            <w:vAlign w:val="center"/>
          </w:tcPr>
          <w:p w:rsidR="00FD1D5D" w:rsidRPr="0079556D" w:rsidRDefault="00FD1D5D" w:rsidP="00D87C85">
            <w:pPr>
              <w:spacing w:before="0"/>
              <w:ind w:left="-57" w:right="-57"/>
              <w:jc w:val="center"/>
              <w:rPr>
                <w:iCs/>
                <w:sz w:val="16"/>
                <w:szCs w:val="16"/>
              </w:rPr>
            </w:pPr>
            <w:r w:rsidRPr="0079556D">
              <w:rPr>
                <w:iCs/>
                <w:sz w:val="16"/>
                <w:szCs w:val="16"/>
              </w:rPr>
              <w:t>Institu</w:t>
            </w:r>
            <w:r w:rsidR="00D87C85" w:rsidRPr="0079556D">
              <w:rPr>
                <w:iCs/>
                <w:sz w:val="16"/>
                <w:szCs w:val="16"/>
              </w:rPr>
              <w:t>-</w:t>
            </w:r>
            <w:r w:rsidRPr="0079556D">
              <w:rPr>
                <w:iCs/>
                <w:sz w:val="16"/>
                <w:szCs w:val="16"/>
              </w:rPr>
              <w:t>ciones acadé</w:t>
            </w:r>
            <w:r w:rsidR="00D87C85" w:rsidRPr="0079556D">
              <w:rPr>
                <w:iCs/>
                <w:sz w:val="16"/>
                <w:szCs w:val="16"/>
              </w:rPr>
              <w:t>-</w:t>
            </w:r>
            <w:r w:rsidRPr="0079556D">
              <w:rPr>
                <w:iCs/>
                <w:sz w:val="16"/>
                <w:szCs w:val="16"/>
              </w:rPr>
              <w:t>micas</w:t>
            </w:r>
          </w:p>
        </w:tc>
        <w:tc>
          <w:tcPr>
            <w:tcW w:w="892" w:type="dxa"/>
            <w:shd w:val="clear" w:color="auto" w:fill="auto"/>
            <w:vAlign w:val="center"/>
          </w:tcPr>
          <w:p w:rsidR="00FD1D5D" w:rsidRPr="0079556D" w:rsidRDefault="00FD1D5D" w:rsidP="0048382F">
            <w:pPr>
              <w:spacing w:before="0"/>
              <w:ind w:left="-57" w:right="-57"/>
              <w:jc w:val="center"/>
              <w:rPr>
                <w:iCs/>
                <w:sz w:val="16"/>
                <w:szCs w:val="16"/>
              </w:rPr>
            </w:pPr>
            <w:r w:rsidRPr="0079556D">
              <w:rPr>
                <w:iCs/>
                <w:sz w:val="16"/>
                <w:szCs w:val="16"/>
              </w:rPr>
              <w:t>Expertos en indicadores</w:t>
            </w:r>
          </w:p>
        </w:tc>
      </w:tr>
    </w:tbl>
    <w:p w:rsidR="00FD1D5D" w:rsidRPr="00904E94" w:rsidRDefault="00FD1D5D" w:rsidP="0079556D">
      <w:pPr>
        <w:pStyle w:val="Figuretitle"/>
        <w:keepNext w:val="0"/>
      </w:pPr>
      <w:r>
        <w:t xml:space="preserve">Figura 2 </w:t>
      </w:r>
      <w:r w:rsidR="0048382F">
        <w:t xml:space="preserve">– </w:t>
      </w:r>
      <w:r>
        <w:t>Segmentación de eventos de la UIT (Opción 2)</w:t>
      </w:r>
    </w:p>
    <w:p w:rsidR="00FD1D5D" w:rsidRPr="00FD1D5D" w:rsidRDefault="00FD1D5D" w:rsidP="00FD1D5D">
      <w:pPr>
        <w:pStyle w:val="Heading1"/>
        <w:rPr>
          <w:lang w:val="es-ES"/>
        </w:rPr>
      </w:pPr>
      <w:r>
        <w:rPr>
          <w:lang w:val="es-ES"/>
        </w:rPr>
        <w:lastRenderedPageBreak/>
        <w:t>5</w:t>
      </w:r>
      <w:r>
        <w:rPr>
          <w:lang w:val="es-ES"/>
        </w:rPr>
        <w:tab/>
      </w:r>
      <w:r w:rsidRPr="00FD1D5D">
        <w:rPr>
          <w:lang w:val="es-ES"/>
        </w:rPr>
        <w:t>Pasos siguientes</w:t>
      </w:r>
    </w:p>
    <w:p w:rsidR="00FD1D5D" w:rsidRPr="00FD1D5D" w:rsidRDefault="00FD1D5D" w:rsidP="00FD1D5D">
      <w:pPr>
        <w:rPr>
          <w:iCs/>
          <w:lang w:val="es-ES"/>
        </w:rPr>
      </w:pPr>
      <w:r>
        <w:rPr>
          <w:lang w:val="es-ES"/>
        </w:rPr>
        <w:t>5.1</w:t>
      </w:r>
      <w:r>
        <w:rPr>
          <w:lang w:val="es-ES"/>
        </w:rPr>
        <w:tab/>
      </w:r>
      <w:r w:rsidRPr="00FD1D5D">
        <w:rPr>
          <w:lang w:val="es-ES"/>
        </w:rPr>
        <w:t>La optimización de los eventos de alto nivel de la UIT de carácter mundial dependerá del enfoque que se adopte teniendo en cuenta las opciones presentadas anteriormente. En función del debate que se celebrará en la reunión del Consejo, la Secretaría de la UIT podría elaborar una propuesta más detallada para la siguiente hoja de ruta:</w:t>
      </w:r>
    </w:p>
    <w:p w:rsidR="00FD1D5D" w:rsidRPr="00FD1D5D" w:rsidRDefault="00FD1D5D" w:rsidP="00FD1D5D">
      <w:pPr>
        <w:pStyle w:val="enumlev1"/>
        <w:rPr>
          <w:iCs/>
          <w:lang w:val="es-ES"/>
        </w:rPr>
      </w:pPr>
      <w:r w:rsidRPr="00FD1D5D">
        <w:rPr>
          <w:lang w:val="es-ES"/>
        </w:rPr>
        <w:t>•</w:t>
      </w:r>
      <w:r>
        <w:rPr>
          <w:lang w:val="es-ES"/>
        </w:rPr>
        <w:tab/>
      </w:r>
      <w:r w:rsidRPr="00FD1D5D">
        <w:rPr>
          <w:lang w:val="es-ES"/>
        </w:rPr>
        <w:t>Abril de 2018. El Consejo de la UIT proporcionará orientaciones sobre el enfoque que deberá adoptarse para la optimización de los eventos de alto nivel de la UIT de carácter mundial (es decir, consolidación o segmentación, o una c</w:t>
      </w:r>
      <w:r w:rsidR="0079556D">
        <w:rPr>
          <w:lang w:val="es-ES"/>
        </w:rPr>
        <w:t>ombinación de ambos).</w:t>
      </w:r>
    </w:p>
    <w:p w:rsidR="00FD1D5D" w:rsidRPr="00FD1D5D" w:rsidRDefault="00FD1D5D" w:rsidP="00FD1D5D">
      <w:pPr>
        <w:pStyle w:val="enumlev1"/>
        <w:rPr>
          <w:iCs/>
          <w:lang w:val="es-ES"/>
        </w:rPr>
      </w:pPr>
      <w:r w:rsidRPr="00FD1D5D">
        <w:rPr>
          <w:lang w:val="es-ES"/>
        </w:rPr>
        <w:t>•</w:t>
      </w:r>
      <w:r>
        <w:rPr>
          <w:lang w:val="es-ES"/>
        </w:rPr>
        <w:tab/>
      </w:r>
      <w:r w:rsidRPr="00FD1D5D">
        <w:rPr>
          <w:lang w:val="es-ES"/>
        </w:rPr>
        <w:t xml:space="preserve">De mayo a julio </w:t>
      </w:r>
      <w:r w:rsidR="004936C0">
        <w:rPr>
          <w:lang w:val="es-ES"/>
        </w:rPr>
        <w:t xml:space="preserve">de </w:t>
      </w:r>
      <w:r w:rsidRPr="00FD1D5D">
        <w:rPr>
          <w:lang w:val="es-ES"/>
        </w:rPr>
        <w:t>2018. La Secretaría de la UIT calculará las repercusiones financieras y las incorporará a los nuevos Planes Estratégicos y Financieros de la UIT para que las examine la Conferencia de Plenipotenciarios de la UIT de 2018 (PP-18).</w:t>
      </w:r>
    </w:p>
    <w:p w:rsidR="00FD1D5D" w:rsidRPr="00FD1D5D" w:rsidRDefault="00FD1D5D" w:rsidP="00FD1D5D">
      <w:pPr>
        <w:pStyle w:val="enumlev1"/>
        <w:rPr>
          <w:iCs/>
          <w:lang w:val="es-ES"/>
        </w:rPr>
      </w:pPr>
      <w:r w:rsidRPr="00FD1D5D">
        <w:rPr>
          <w:lang w:val="es-ES"/>
        </w:rPr>
        <w:t>•</w:t>
      </w:r>
      <w:r>
        <w:rPr>
          <w:lang w:val="es-ES"/>
        </w:rPr>
        <w:tab/>
      </w:r>
      <w:r w:rsidRPr="00FD1D5D">
        <w:rPr>
          <w:lang w:val="es-ES"/>
        </w:rPr>
        <w:t xml:space="preserve">De noviembre </w:t>
      </w:r>
      <w:r w:rsidR="004936C0">
        <w:rPr>
          <w:lang w:val="es-ES"/>
        </w:rPr>
        <w:t xml:space="preserve">de </w:t>
      </w:r>
      <w:r w:rsidRPr="00FD1D5D">
        <w:rPr>
          <w:lang w:val="es-ES"/>
        </w:rPr>
        <w:t xml:space="preserve">2018 a junio </w:t>
      </w:r>
      <w:r w:rsidR="004936C0">
        <w:rPr>
          <w:lang w:val="es-ES"/>
        </w:rPr>
        <w:t xml:space="preserve">de </w:t>
      </w:r>
      <w:r w:rsidRPr="00FD1D5D">
        <w:rPr>
          <w:lang w:val="es-ES"/>
        </w:rPr>
        <w:t>2019</w:t>
      </w:r>
      <w:r w:rsidR="004936C0">
        <w:rPr>
          <w:lang w:val="es-ES"/>
        </w:rPr>
        <w:t>.</w:t>
      </w:r>
      <w:r w:rsidRPr="00FD1D5D">
        <w:rPr>
          <w:lang w:val="es-ES"/>
        </w:rPr>
        <w:t xml:space="preserve"> La Secretaría de la UIT revisará la programación de eventos y elaborará un nuevo plan para 2020 teniendo en cuenta las decisiones tomadas en la PP-18. En función del enfoque seleccionado y cuando fuera necesario, la Secretaría preparará una convocatoria de licitaciones</w:t>
      </w:r>
      <w:r w:rsidR="0079556D">
        <w:rPr>
          <w:lang w:val="es-ES"/>
        </w:rPr>
        <w:t xml:space="preserve"> para eventos fuera de la Sede.</w:t>
      </w:r>
    </w:p>
    <w:p w:rsidR="00FD1D5D" w:rsidRPr="00FD1D5D" w:rsidRDefault="00FD1D5D" w:rsidP="00FD1D5D">
      <w:pPr>
        <w:pStyle w:val="enumlev1"/>
        <w:rPr>
          <w:iCs/>
          <w:lang w:val="es-ES"/>
        </w:rPr>
      </w:pPr>
      <w:r w:rsidRPr="00FD1D5D">
        <w:rPr>
          <w:lang w:val="es-ES"/>
        </w:rPr>
        <w:t>•</w:t>
      </w:r>
      <w:r>
        <w:rPr>
          <w:lang w:val="es-ES"/>
        </w:rPr>
        <w:tab/>
      </w:r>
      <w:r w:rsidRPr="00FD1D5D">
        <w:rPr>
          <w:lang w:val="es-ES"/>
        </w:rPr>
        <w:t>A partir de enero de 2019. La Secretaría de la UIT remitirá una carta de invitación a todas las administraciones en la que anunciará el calendario de eventos de la UIT de carácter mundial para el año.</w:t>
      </w:r>
    </w:p>
    <w:p w:rsidR="00FD1D5D" w:rsidRPr="00FD1D5D" w:rsidRDefault="00FD1D5D" w:rsidP="004936C0">
      <w:pPr>
        <w:pStyle w:val="enumlev1"/>
        <w:rPr>
          <w:iCs/>
          <w:lang w:val="es-ES"/>
        </w:rPr>
      </w:pPr>
      <w:r w:rsidRPr="00FD1D5D">
        <w:rPr>
          <w:lang w:val="es-ES"/>
        </w:rPr>
        <w:t>•</w:t>
      </w:r>
      <w:r>
        <w:rPr>
          <w:lang w:val="es-ES"/>
        </w:rPr>
        <w:tab/>
      </w:r>
      <w:r w:rsidRPr="00FD1D5D">
        <w:rPr>
          <w:lang w:val="es-ES"/>
        </w:rPr>
        <w:t>De julio a noviembre de 2019</w:t>
      </w:r>
      <w:r w:rsidR="004936C0">
        <w:rPr>
          <w:lang w:val="es-ES"/>
        </w:rPr>
        <w:t>.</w:t>
      </w:r>
      <w:r w:rsidRPr="00FD1D5D">
        <w:rPr>
          <w:lang w:val="es-ES"/>
        </w:rPr>
        <w:t xml:space="preserve"> Todas las Oficinas deberán ajustar sus calendarios y eventos a la nueva planificación elaborada según las indicaciones de los </w:t>
      </w:r>
      <w:r w:rsidR="004936C0">
        <w:rPr>
          <w:lang w:val="es-ES"/>
        </w:rPr>
        <w:t>m</w:t>
      </w:r>
      <w:r w:rsidRPr="00FD1D5D">
        <w:rPr>
          <w:lang w:val="es-ES"/>
        </w:rPr>
        <w:t>iembros de la UIT. Si fuera necesario, la Secretaría de la UIT explorará la posibilidad de fomentar la eficacia entre los equipos que organizan eventos. El ISC-TF establecerá un equipo que se encargará de coordinar el contenido de los eventos de la UIT con miras a velar por su consistencia.</w:t>
      </w:r>
    </w:p>
    <w:p w:rsidR="00FD1D5D" w:rsidRPr="00FD1D5D" w:rsidRDefault="00FD1D5D" w:rsidP="00FD1D5D">
      <w:pPr>
        <w:pStyle w:val="enumlev1"/>
        <w:rPr>
          <w:iCs/>
          <w:lang w:val="es-ES"/>
        </w:rPr>
      </w:pPr>
      <w:r w:rsidRPr="00FD1D5D">
        <w:rPr>
          <w:lang w:val="es-ES"/>
        </w:rPr>
        <w:t>•</w:t>
      </w:r>
      <w:r>
        <w:rPr>
          <w:lang w:val="es-ES"/>
        </w:rPr>
        <w:tab/>
      </w:r>
      <w:r w:rsidRPr="00FD1D5D">
        <w:rPr>
          <w:lang w:val="es-ES"/>
        </w:rPr>
        <w:t xml:space="preserve">Enero </w:t>
      </w:r>
      <w:r w:rsidR="004936C0">
        <w:rPr>
          <w:lang w:val="es-ES"/>
        </w:rPr>
        <w:t xml:space="preserve">de </w:t>
      </w:r>
      <w:r w:rsidRPr="00FD1D5D">
        <w:rPr>
          <w:lang w:val="es-ES"/>
        </w:rPr>
        <w:t>2020. Entrará en vigor el nuevo c</w:t>
      </w:r>
      <w:r w:rsidR="0079556D">
        <w:rPr>
          <w:lang w:val="es-ES"/>
        </w:rPr>
        <w:t>alendario de eventos de la UIT.</w:t>
      </w:r>
    </w:p>
    <w:p w:rsidR="00FD1D5D" w:rsidRDefault="00FD1D5D" w:rsidP="0032202E">
      <w:pPr>
        <w:pStyle w:val="Reasons"/>
      </w:pPr>
    </w:p>
    <w:p w:rsidR="00FD1D5D" w:rsidRDefault="00FD1D5D">
      <w:pPr>
        <w:jc w:val="center"/>
      </w:pPr>
      <w:r>
        <w:t>______________</w:t>
      </w:r>
    </w:p>
    <w:sectPr w:rsidR="00FD1D5D"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FC" w:rsidRDefault="00545BFC">
      <w:r>
        <w:separator/>
      </w:r>
    </w:p>
  </w:endnote>
  <w:endnote w:type="continuationSeparator" w:id="0">
    <w:p w:rsidR="00545BFC" w:rsidRDefault="0054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D1D5D" w:rsidRDefault="00FD1D5D" w:rsidP="00FD1D5D">
    <w:pPr>
      <w:pStyle w:val="Footer"/>
      <w:rPr>
        <w:lang w:val="fr-CH"/>
      </w:rPr>
    </w:pPr>
    <w:r>
      <w:fldChar w:fldCharType="begin"/>
    </w:r>
    <w:r w:rsidRPr="00FD1D5D">
      <w:rPr>
        <w:lang w:val="fr-CH"/>
      </w:rPr>
      <w:instrText xml:space="preserve"> FILENAME \p  \* MERGEFORMAT </w:instrText>
    </w:r>
    <w:r>
      <w:fldChar w:fldCharType="separate"/>
    </w:r>
    <w:r w:rsidR="00B41014">
      <w:rPr>
        <w:lang w:val="fr-CH"/>
      </w:rPr>
      <w:t>P:\ESP\SG\CONSEIL\C18\000\055S.docx</w:t>
    </w:r>
    <w:r>
      <w:fldChar w:fldCharType="end"/>
    </w:r>
    <w:r w:rsidRPr="00FD1D5D">
      <w:rPr>
        <w:lang w:val="fr-CH"/>
      </w:rPr>
      <w:t xml:space="preserve"> (</w:t>
    </w:r>
    <w:r>
      <w:rPr>
        <w:lang w:val="fr-CH"/>
      </w:rPr>
      <w:t>429742</w:t>
    </w:r>
    <w:r w:rsidRPr="00FD1D5D">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FD1D5D" w:rsidRDefault="00FD1D5D" w:rsidP="00FD1D5D">
    <w:pPr>
      <w:pStyle w:val="Footer"/>
      <w:rPr>
        <w:lang w:val="fr-CH"/>
      </w:rPr>
    </w:pPr>
    <w:r>
      <w:fldChar w:fldCharType="begin"/>
    </w:r>
    <w:r w:rsidRPr="00FD1D5D">
      <w:rPr>
        <w:lang w:val="fr-CH"/>
      </w:rPr>
      <w:instrText xml:space="preserve"> FILENAME \p  \* MERGEFORMAT </w:instrText>
    </w:r>
    <w:r>
      <w:fldChar w:fldCharType="separate"/>
    </w:r>
    <w:r w:rsidR="00B41014">
      <w:rPr>
        <w:lang w:val="fr-CH"/>
      </w:rPr>
      <w:t>P:\ESP\SG\CONSEIL\C18\000\055S.docx</w:t>
    </w:r>
    <w:r>
      <w:fldChar w:fldCharType="end"/>
    </w:r>
    <w:r w:rsidRPr="00FD1D5D">
      <w:rPr>
        <w:lang w:val="fr-CH"/>
      </w:rPr>
      <w:t xml:space="preserve"> (</w:t>
    </w:r>
    <w:r>
      <w:rPr>
        <w:lang w:val="fr-CH"/>
      </w:rPr>
      <w:t>429742</w:t>
    </w:r>
    <w:r w:rsidRPr="00FD1D5D">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FC" w:rsidRDefault="00545BFC">
      <w:r>
        <w:t>____________________</w:t>
      </w:r>
    </w:p>
  </w:footnote>
  <w:footnote w:type="continuationSeparator" w:id="0">
    <w:p w:rsidR="00545BFC" w:rsidRDefault="00545BFC">
      <w:r>
        <w:continuationSeparator/>
      </w:r>
    </w:p>
  </w:footnote>
  <w:footnote w:id="1">
    <w:p w:rsidR="00FD1D5D" w:rsidRDefault="00FD1D5D" w:rsidP="00FD1D5D">
      <w:pPr>
        <w:pStyle w:val="FootnoteText"/>
      </w:pPr>
      <w:r>
        <w:rPr>
          <w:rStyle w:val="FootnoteReference"/>
        </w:rPr>
        <w:footnoteRef/>
      </w:r>
      <w:r>
        <w:tab/>
      </w:r>
      <w:r w:rsidRPr="00FD1D5D">
        <w:rPr>
          <w:i/>
          <w:iCs/>
        </w:rPr>
        <w:t>Por ejemplo, la audiencia en el ámbito de administraciones públicas la podrían formar Ministros, organismos de reglamentación, radiodifusores u organismos internacionales o de asuntos exteriores dependiendo del verdadero objetivo de la reunión/evento. Del mismo modo, la audiencia del sector privado también podría dividirse en función de políticas públicas, mercadotecnia y comunicaciones, gestión de cadena de suministro, I+D, ingeniería, desarrollo de producto,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13235">
      <w:rPr>
        <w:noProof/>
      </w:rPr>
      <w:t>5</w:t>
    </w:r>
    <w:r>
      <w:rPr>
        <w:noProof/>
      </w:rPr>
      <w:fldChar w:fldCharType="end"/>
    </w:r>
  </w:p>
  <w:p w:rsidR="00760F1C" w:rsidRDefault="00760F1C" w:rsidP="00FD1D5D">
    <w:pPr>
      <w:pStyle w:val="Header"/>
    </w:pPr>
    <w:r>
      <w:t>C</w:t>
    </w:r>
    <w:r w:rsidR="007F350B">
      <w:t>1</w:t>
    </w:r>
    <w:r w:rsidR="009F4811">
      <w:t>8</w:t>
    </w:r>
    <w:r>
      <w:t>/</w:t>
    </w:r>
    <w:r w:rsidR="00FD1D5D">
      <w:t>55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AA4"/>
    <w:multiLevelType w:val="multilevel"/>
    <w:tmpl w:val="43E62D92"/>
    <w:lvl w:ilvl="0">
      <w:start w:val="1"/>
      <w:numFmt w:val="decimal"/>
      <w:lvlText w:val="%1."/>
      <w:lvlJc w:val="left"/>
      <w:pPr>
        <w:ind w:left="360"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7B6733"/>
    <w:multiLevelType w:val="hybridMultilevel"/>
    <w:tmpl w:val="BF2A4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FC"/>
    <w:rsid w:val="00093EEB"/>
    <w:rsid w:val="000B0D00"/>
    <w:rsid w:val="000B7C15"/>
    <w:rsid w:val="000D1D0F"/>
    <w:rsid w:val="000F5290"/>
    <w:rsid w:val="0010165C"/>
    <w:rsid w:val="00146BFB"/>
    <w:rsid w:val="001F14A2"/>
    <w:rsid w:val="002801AA"/>
    <w:rsid w:val="002C4676"/>
    <w:rsid w:val="002C70B0"/>
    <w:rsid w:val="002F3CC4"/>
    <w:rsid w:val="00386840"/>
    <w:rsid w:val="0048382F"/>
    <w:rsid w:val="004936C0"/>
    <w:rsid w:val="00513630"/>
    <w:rsid w:val="00545BFC"/>
    <w:rsid w:val="00560125"/>
    <w:rsid w:val="00585553"/>
    <w:rsid w:val="005B34D9"/>
    <w:rsid w:val="005D0CCF"/>
    <w:rsid w:val="005F3BCB"/>
    <w:rsid w:val="005F410F"/>
    <w:rsid w:val="0060149A"/>
    <w:rsid w:val="00601924"/>
    <w:rsid w:val="006447EA"/>
    <w:rsid w:val="0064731F"/>
    <w:rsid w:val="006710F6"/>
    <w:rsid w:val="006C1B56"/>
    <w:rsid w:val="006D4761"/>
    <w:rsid w:val="00713235"/>
    <w:rsid w:val="00726872"/>
    <w:rsid w:val="00760F1C"/>
    <w:rsid w:val="007657F0"/>
    <w:rsid w:val="0077252D"/>
    <w:rsid w:val="0079556D"/>
    <w:rsid w:val="007E5DD3"/>
    <w:rsid w:val="007F350B"/>
    <w:rsid w:val="00820BE4"/>
    <w:rsid w:val="008451E8"/>
    <w:rsid w:val="00913B9C"/>
    <w:rsid w:val="00956E77"/>
    <w:rsid w:val="0097291E"/>
    <w:rsid w:val="009F4811"/>
    <w:rsid w:val="00AA390C"/>
    <w:rsid w:val="00B0200A"/>
    <w:rsid w:val="00B41014"/>
    <w:rsid w:val="00B574DB"/>
    <w:rsid w:val="00B826C2"/>
    <w:rsid w:val="00B8298E"/>
    <w:rsid w:val="00BD0723"/>
    <w:rsid w:val="00BD2518"/>
    <w:rsid w:val="00BF1D1C"/>
    <w:rsid w:val="00C20C59"/>
    <w:rsid w:val="00C55B1F"/>
    <w:rsid w:val="00CF1A67"/>
    <w:rsid w:val="00D2750E"/>
    <w:rsid w:val="00D42FD8"/>
    <w:rsid w:val="00D62446"/>
    <w:rsid w:val="00D87C85"/>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1D5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C0542B-D79A-483B-8DA8-60A90849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D1D5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s-ES" w:eastAsia="zh-CN"/>
    </w:rPr>
  </w:style>
  <w:style w:type="table" w:styleId="TableGrid">
    <w:name w:val="Table Grid"/>
    <w:basedOn w:val="TableNormal"/>
    <w:rsid w:val="00FD1D5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04/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8-CLCWGFHRM8-C-0028/es" TargetMode="External"/><Relationship Id="rId4" Type="http://schemas.openxmlformats.org/officeDocument/2006/relationships/settings" Target="settings.xml"/><Relationship Id="rId9" Type="http://schemas.openxmlformats.org/officeDocument/2006/relationships/hyperlink" Target="https://www.itu.int/md/S17-CL-C-0089/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498A8-05F5-49C2-ACEB-99F8C17C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78</TotalTime>
  <Pages>5</Pages>
  <Words>1769</Words>
  <Characters>9179</Characters>
  <Application>Microsoft Office Word</Application>
  <DocSecurity>0</DocSecurity>
  <Lines>76</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10927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8</cp:revision>
  <cp:lastPrinted>2018-03-22T15:38:00Z</cp:lastPrinted>
  <dcterms:created xsi:type="dcterms:W3CDTF">2018-03-22T14:25:00Z</dcterms:created>
  <dcterms:modified xsi:type="dcterms:W3CDTF">2018-03-22T15:51:00Z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