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EB3224">
        <w:trPr>
          <w:cantSplit/>
        </w:trPr>
        <w:tc>
          <w:tcPr>
            <w:tcW w:w="6912" w:type="dxa"/>
          </w:tcPr>
          <w:p w:rsidR="00520F36" w:rsidRPr="00EB3224" w:rsidRDefault="00520F36" w:rsidP="003C3FAE">
            <w:pPr>
              <w:spacing w:before="360"/>
              <w:rPr>
                <w:lang w:val="fr-CH"/>
              </w:rPr>
            </w:pPr>
            <w:bookmarkStart w:id="0" w:name="dc06"/>
            <w:bookmarkEnd w:id="0"/>
            <w:r w:rsidRPr="00EB3224">
              <w:rPr>
                <w:b/>
                <w:bCs/>
                <w:sz w:val="30"/>
                <w:szCs w:val="30"/>
                <w:lang w:val="fr-CH"/>
              </w:rPr>
              <w:t>Conseil 201</w:t>
            </w:r>
            <w:r w:rsidR="003C3FAE" w:rsidRPr="00EB3224">
              <w:rPr>
                <w:b/>
                <w:bCs/>
                <w:sz w:val="30"/>
                <w:szCs w:val="30"/>
                <w:lang w:val="fr-CH"/>
              </w:rPr>
              <w:t>8</w:t>
            </w:r>
            <w:r w:rsidRPr="00EB3224">
              <w:rPr>
                <w:rFonts w:ascii="Verdana" w:hAnsi="Verdana"/>
                <w:b/>
                <w:bCs/>
                <w:sz w:val="26"/>
                <w:szCs w:val="26"/>
                <w:lang w:val="fr-CH"/>
              </w:rPr>
              <w:br/>
            </w:r>
            <w:r w:rsidRPr="00EB3224">
              <w:rPr>
                <w:b/>
                <w:bCs/>
                <w:szCs w:val="24"/>
                <w:lang w:val="fr-CH"/>
              </w:rPr>
              <w:t>Genève, 1</w:t>
            </w:r>
            <w:r w:rsidR="003C3FAE" w:rsidRPr="00EB3224">
              <w:rPr>
                <w:b/>
                <w:bCs/>
                <w:szCs w:val="24"/>
                <w:lang w:val="fr-CH"/>
              </w:rPr>
              <w:t>7</w:t>
            </w:r>
            <w:r w:rsidRPr="00EB3224">
              <w:rPr>
                <w:b/>
                <w:bCs/>
                <w:szCs w:val="24"/>
                <w:lang w:val="fr-CH"/>
              </w:rPr>
              <w:t>-2</w:t>
            </w:r>
            <w:r w:rsidR="003C3FAE" w:rsidRPr="00EB3224">
              <w:rPr>
                <w:b/>
                <w:bCs/>
                <w:szCs w:val="24"/>
                <w:lang w:val="fr-CH"/>
              </w:rPr>
              <w:t>7</w:t>
            </w:r>
            <w:r w:rsidRPr="00EB3224">
              <w:rPr>
                <w:b/>
                <w:bCs/>
                <w:szCs w:val="24"/>
                <w:lang w:val="fr-CH"/>
              </w:rPr>
              <w:t xml:space="preserve"> </w:t>
            </w:r>
            <w:r w:rsidR="003C3FAE" w:rsidRPr="00EB3224">
              <w:rPr>
                <w:b/>
                <w:bCs/>
                <w:szCs w:val="24"/>
                <w:lang w:val="fr-CH"/>
              </w:rPr>
              <w:t>avril</w:t>
            </w:r>
            <w:r w:rsidRPr="00EB3224">
              <w:rPr>
                <w:b/>
                <w:bCs/>
                <w:szCs w:val="24"/>
                <w:lang w:val="fr-CH"/>
              </w:rPr>
              <w:t xml:space="preserve"> 201</w:t>
            </w:r>
            <w:r w:rsidR="003C3FAE" w:rsidRPr="00EB3224">
              <w:rPr>
                <w:b/>
                <w:bCs/>
                <w:szCs w:val="24"/>
                <w:lang w:val="fr-CH"/>
              </w:rPr>
              <w:t>8</w:t>
            </w:r>
          </w:p>
        </w:tc>
        <w:tc>
          <w:tcPr>
            <w:tcW w:w="3261" w:type="dxa"/>
          </w:tcPr>
          <w:p w:rsidR="00520F36" w:rsidRPr="00EB3224" w:rsidRDefault="00520F36" w:rsidP="00520F36">
            <w:pPr>
              <w:spacing w:before="0"/>
              <w:jc w:val="right"/>
              <w:rPr>
                <w:lang w:val="fr-CH"/>
              </w:rPr>
            </w:pPr>
            <w:bookmarkStart w:id="1" w:name="ditulogo"/>
            <w:bookmarkEnd w:id="1"/>
            <w:r w:rsidRPr="00EB3224">
              <w:rPr>
                <w:rFonts w:cstheme="minorHAnsi"/>
                <w:b/>
                <w:bCs/>
                <w:noProof/>
                <w:lang w:val="fr-CH" w:eastAsia="zh-CN"/>
              </w:rPr>
              <w:drawing>
                <wp:inline distT="0" distB="0" distL="0" distR="0" wp14:anchorId="483F5B98" wp14:editId="41A9B44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20F36" w:rsidRPr="00EB3224" w:rsidTr="00EF41DD">
        <w:trPr>
          <w:cantSplit/>
          <w:trHeight w:val="20"/>
        </w:trPr>
        <w:tc>
          <w:tcPr>
            <w:tcW w:w="6912" w:type="dxa"/>
            <w:tcBorders>
              <w:bottom w:val="single" w:sz="12" w:space="0" w:color="auto"/>
            </w:tcBorders>
            <w:vAlign w:val="center"/>
          </w:tcPr>
          <w:p w:rsidR="00520F36" w:rsidRPr="00EB3224" w:rsidRDefault="00520F36" w:rsidP="004C37A9">
            <w:pPr>
              <w:spacing w:before="0"/>
              <w:rPr>
                <w:b/>
                <w:bCs/>
                <w:sz w:val="26"/>
                <w:szCs w:val="26"/>
                <w:lang w:val="fr-CH"/>
              </w:rPr>
            </w:pPr>
          </w:p>
        </w:tc>
        <w:tc>
          <w:tcPr>
            <w:tcW w:w="3261" w:type="dxa"/>
            <w:tcBorders>
              <w:bottom w:val="single" w:sz="12" w:space="0" w:color="auto"/>
            </w:tcBorders>
          </w:tcPr>
          <w:p w:rsidR="00520F36" w:rsidRPr="00EB3224" w:rsidRDefault="00520F36" w:rsidP="00DF74DD">
            <w:pPr>
              <w:spacing w:before="0"/>
              <w:rPr>
                <w:b/>
                <w:bCs/>
                <w:lang w:val="fr-CH"/>
              </w:rPr>
            </w:pPr>
          </w:p>
        </w:tc>
      </w:tr>
      <w:tr w:rsidR="00520F36" w:rsidRPr="00EB3224">
        <w:trPr>
          <w:cantSplit/>
          <w:trHeight w:val="20"/>
        </w:trPr>
        <w:tc>
          <w:tcPr>
            <w:tcW w:w="6912" w:type="dxa"/>
            <w:tcBorders>
              <w:top w:val="single" w:sz="12" w:space="0" w:color="auto"/>
            </w:tcBorders>
          </w:tcPr>
          <w:p w:rsidR="00520F36" w:rsidRPr="00EB3224" w:rsidRDefault="00520F36" w:rsidP="00DF74DD">
            <w:pPr>
              <w:spacing w:before="0"/>
              <w:rPr>
                <w:smallCaps/>
                <w:sz w:val="22"/>
                <w:lang w:val="fr-CH"/>
              </w:rPr>
            </w:pPr>
          </w:p>
        </w:tc>
        <w:tc>
          <w:tcPr>
            <w:tcW w:w="3261" w:type="dxa"/>
            <w:tcBorders>
              <w:top w:val="single" w:sz="12" w:space="0" w:color="auto"/>
            </w:tcBorders>
          </w:tcPr>
          <w:p w:rsidR="00520F36" w:rsidRPr="00EB3224" w:rsidRDefault="00520F36" w:rsidP="00DF74DD">
            <w:pPr>
              <w:spacing w:before="0"/>
              <w:rPr>
                <w:b/>
                <w:bCs/>
                <w:lang w:val="fr-CH"/>
              </w:rPr>
            </w:pPr>
          </w:p>
        </w:tc>
      </w:tr>
      <w:tr w:rsidR="00520F36" w:rsidRPr="00EB3224">
        <w:trPr>
          <w:cantSplit/>
          <w:trHeight w:val="20"/>
        </w:trPr>
        <w:tc>
          <w:tcPr>
            <w:tcW w:w="6912" w:type="dxa"/>
            <w:vMerge w:val="restart"/>
          </w:tcPr>
          <w:p w:rsidR="00520F36" w:rsidRPr="00EB3224" w:rsidRDefault="007F4300" w:rsidP="00DF74DD">
            <w:pPr>
              <w:spacing w:before="0"/>
              <w:rPr>
                <w:rFonts w:cs="Times"/>
                <w:b/>
                <w:bCs/>
                <w:szCs w:val="24"/>
                <w:lang w:val="fr-CH"/>
              </w:rPr>
            </w:pPr>
            <w:bookmarkStart w:id="2" w:name="dnum" w:colFirst="1" w:colLast="1"/>
            <w:bookmarkStart w:id="3" w:name="dmeeting" w:colFirst="0" w:colLast="0"/>
            <w:r w:rsidRPr="00EB3224">
              <w:rPr>
                <w:rFonts w:cs="Times"/>
                <w:b/>
                <w:bCs/>
                <w:szCs w:val="24"/>
                <w:lang w:val="fr-CH"/>
              </w:rPr>
              <w:t>Point de l'ordre du jour: ADM 8</w:t>
            </w:r>
          </w:p>
        </w:tc>
        <w:tc>
          <w:tcPr>
            <w:tcW w:w="3261" w:type="dxa"/>
          </w:tcPr>
          <w:p w:rsidR="00520F36" w:rsidRPr="00EB3224" w:rsidRDefault="00520F36" w:rsidP="00D91A04">
            <w:pPr>
              <w:spacing w:before="0"/>
              <w:rPr>
                <w:b/>
                <w:bCs/>
                <w:lang w:val="fr-CH"/>
              </w:rPr>
            </w:pPr>
            <w:r w:rsidRPr="00EB3224">
              <w:rPr>
                <w:b/>
                <w:bCs/>
                <w:lang w:val="fr-CH"/>
              </w:rPr>
              <w:t>Document C1</w:t>
            </w:r>
            <w:r w:rsidR="003C3FAE" w:rsidRPr="00EB3224">
              <w:rPr>
                <w:b/>
                <w:bCs/>
                <w:lang w:val="fr-CH"/>
              </w:rPr>
              <w:t>8</w:t>
            </w:r>
            <w:r w:rsidRPr="00EB3224">
              <w:rPr>
                <w:b/>
                <w:bCs/>
                <w:lang w:val="fr-CH"/>
              </w:rPr>
              <w:t>/</w:t>
            </w:r>
            <w:r w:rsidR="00D91A04" w:rsidRPr="00EB3224">
              <w:rPr>
                <w:b/>
                <w:bCs/>
                <w:lang w:val="fr-CH"/>
              </w:rPr>
              <w:t>73</w:t>
            </w:r>
            <w:r w:rsidRPr="00EB3224">
              <w:rPr>
                <w:b/>
                <w:bCs/>
                <w:lang w:val="fr-CH"/>
              </w:rPr>
              <w:t>-F</w:t>
            </w:r>
          </w:p>
        </w:tc>
      </w:tr>
      <w:tr w:rsidR="00520F36" w:rsidRPr="00EB3224">
        <w:trPr>
          <w:cantSplit/>
          <w:trHeight w:val="20"/>
        </w:trPr>
        <w:tc>
          <w:tcPr>
            <w:tcW w:w="6912" w:type="dxa"/>
            <w:vMerge/>
          </w:tcPr>
          <w:p w:rsidR="00520F36" w:rsidRPr="00EB3224" w:rsidRDefault="00520F36" w:rsidP="00DF74DD">
            <w:pPr>
              <w:shd w:val="solid" w:color="FFFFFF" w:fill="FFFFFF"/>
              <w:spacing w:before="180"/>
              <w:rPr>
                <w:smallCaps/>
                <w:lang w:val="fr-CH"/>
              </w:rPr>
            </w:pPr>
            <w:bookmarkStart w:id="4" w:name="ddate" w:colFirst="1" w:colLast="1"/>
            <w:bookmarkEnd w:id="2"/>
            <w:bookmarkEnd w:id="3"/>
          </w:p>
        </w:tc>
        <w:tc>
          <w:tcPr>
            <w:tcW w:w="3261" w:type="dxa"/>
          </w:tcPr>
          <w:p w:rsidR="00520F36" w:rsidRPr="00EB3224" w:rsidRDefault="00D91A04" w:rsidP="003C3FAE">
            <w:pPr>
              <w:spacing w:before="0"/>
              <w:rPr>
                <w:b/>
                <w:bCs/>
                <w:lang w:val="fr-CH"/>
              </w:rPr>
            </w:pPr>
            <w:r w:rsidRPr="00EB3224">
              <w:rPr>
                <w:b/>
                <w:bCs/>
                <w:lang w:val="fr-CH"/>
              </w:rPr>
              <w:t>12 mars</w:t>
            </w:r>
            <w:r w:rsidR="00520F36" w:rsidRPr="00EB3224">
              <w:rPr>
                <w:b/>
                <w:bCs/>
                <w:lang w:val="fr-CH"/>
              </w:rPr>
              <w:t xml:space="preserve"> 201</w:t>
            </w:r>
            <w:r w:rsidR="003C3FAE" w:rsidRPr="00EB3224">
              <w:rPr>
                <w:b/>
                <w:bCs/>
                <w:lang w:val="fr-CH"/>
              </w:rPr>
              <w:t>8</w:t>
            </w:r>
          </w:p>
        </w:tc>
      </w:tr>
      <w:tr w:rsidR="00520F36" w:rsidRPr="00EB3224">
        <w:trPr>
          <w:cantSplit/>
          <w:trHeight w:val="20"/>
        </w:trPr>
        <w:tc>
          <w:tcPr>
            <w:tcW w:w="6912" w:type="dxa"/>
            <w:vMerge/>
          </w:tcPr>
          <w:p w:rsidR="00520F36" w:rsidRPr="00EB3224" w:rsidRDefault="00520F36" w:rsidP="00DF74DD">
            <w:pPr>
              <w:shd w:val="solid" w:color="FFFFFF" w:fill="FFFFFF"/>
              <w:spacing w:before="180"/>
              <w:rPr>
                <w:smallCaps/>
                <w:lang w:val="fr-CH"/>
              </w:rPr>
            </w:pPr>
            <w:bookmarkStart w:id="5" w:name="dorlang" w:colFirst="1" w:colLast="1"/>
            <w:bookmarkEnd w:id="4"/>
          </w:p>
        </w:tc>
        <w:tc>
          <w:tcPr>
            <w:tcW w:w="3261" w:type="dxa"/>
          </w:tcPr>
          <w:p w:rsidR="00520F36" w:rsidRPr="00EB3224" w:rsidRDefault="00520F36" w:rsidP="00520F36">
            <w:pPr>
              <w:spacing w:before="0"/>
              <w:rPr>
                <w:b/>
                <w:bCs/>
                <w:lang w:val="fr-CH"/>
              </w:rPr>
            </w:pPr>
            <w:r w:rsidRPr="00EB3224">
              <w:rPr>
                <w:b/>
                <w:bCs/>
                <w:lang w:val="fr-CH"/>
              </w:rPr>
              <w:t>Original: anglais</w:t>
            </w:r>
          </w:p>
        </w:tc>
      </w:tr>
      <w:tr w:rsidR="00520F36" w:rsidRPr="00EB3224">
        <w:trPr>
          <w:cantSplit/>
        </w:trPr>
        <w:tc>
          <w:tcPr>
            <w:tcW w:w="10173" w:type="dxa"/>
            <w:gridSpan w:val="2"/>
          </w:tcPr>
          <w:p w:rsidR="00520F36" w:rsidRPr="00EB3224" w:rsidRDefault="00D91A04" w:rsidP="00DF74DD">
            <w:pPr>
              <w:pStyle w:val="Source"/>
              <w:rPr>
                <w:lang w:val="fr-CH"/>
              </w:rPr>
            </w:pPr>
            <w:bookmarkStart w:id="6" w:name="dsource" w:colFirst="0" w:colLast="0"/>
            <w:bookmarkEnd w:id="5"/>
            <w:r w:rsidRPr="00EB3224">
              <w:rPr>
                <w:lang w:val="fr-CH"/>
              </w:rPr>
              <w:t>Note du Secrétaire général</w:t>
            </w:r>
          </w:p>
        </w:tc>
      </w:tr>
      <w:tr w:rsidR="00520F36" w:rsidRPr="00EB3224">
        <w:trPr>
          <w:cantSplit/>
        </w:trPr>
        <w:tc>
          <w:tcPr>
            <w:tcW w:w="10173" w:type="dxa"/>
            <w:gridSpan w:val="2"/>
          </w:tcPr>
          <w:p w:rsidR="00520F36" w:rsidRPr="00EB3224" w:rsidRDefault="00D109C0" w:rsidP="00DF74DD">
            <w:pPr>
              <w:pStyle w:val="Title1"/>
              <w:rPr>
                <w:lang w:val="fr-CH"/>
              </w:rPr>
            </w:pPr>
            <w:bookmarkStart w:id="7" w:name="dtitle1" w:colFirst="0" w:colLast="0"/>
            <w:bookmarkEnd w:id="6"/>
            <w:r>
              <w:rPr>
                <w:lang w:val="fr-CH"/>
              </w:rPr>
              <w:t>NOMINATION DU REMPLAç</w:t>
            </w:r>
            <w:r w:rsidR="00D91A04" w:rsidRPr="00EB3224">
              <w:rPr>
                <w:lang w:val="fr-CH"/>
              </w:rPr>
              <w:t xml:space="preserve">ANT DU MEMBRE DU COMITÉ CONSULTATIF INDÉPENDANT POUR LES QUESTIONS DE GESTION (CCIG) </w:t>
            </w:r>
            <w:r>
              <w:rPr>
                <w:lang w:val="fr-CH"/>
              </w:rPr>
              <w:br/>
            </w:r>
            <w:r w:rsidR="00D91A04" w:rsidRPr="00EB3224">
              <w:rPr>
                <w:lang w:val="fr-CH"/>
              </w:rPr>
              <w:t>AYANT DÉMISSIONNÉ</w:t>
            </w:r>
          </w:p>
        </w:tc>
      </w:tr>
    </w:tbl>
    <w:bookmarkEnd w:id="7"/>
    <w:p w:rsidR="00D91A04" w:rsidRPr="00EB3224" w:rsidRDefault="00D91A04" w:rsidP="00D91A04">
      <w:pPr>
        <w:spacing w:before="480"/>
        <w:rPr>
          <w:lang w:val="fr-CH"/>
        </w:rPr>
      </w:pPr>
      <w:r w:rsidRPr="00EB3224">
        <w:rPr>
          <w:lang w:val="fr-CH"/>
        </w:rPr>
        <w:t>J'ai l'honneur de transmettre aux Etats Membres du Conseil le ra</w:t>
      </w:r>
      <w:r w:rsidR="00AB6234">
        <w:rPr>
          <w:lang w:val="fr-CH"/>
        </w:rPr>
        <w:t>pport du comité de sélection du </w:t>
      </w:r>
      <w:r w:rsidRPr="00EB3224">
        <w:rPr>
          <w:lang w:val="fr-CH"/>
        </w:rPr>
        <w:t>Comité consultatif indépendant pour les questions de gestion (CCIG).</w:t>
      </w:r>
    </w:p>
    <w:p w:rsidR="00D91A04" w:rsidRPr="00EB3224" w:rsidRDefault="00D91A04" w:rsidP="00D91A04">
      <w:pPr>
        <w:tabs>
          <w:tab w:val="clear" w:pos="567"/>
          <w:tab w:val="clear" w:pos="1134"/>
          <w:tab w:val="clear" w:pos="1701"/>
          <w:tab w:val="clear" w:pos="2268"/>
          <w:tab w:val="clear" w:pos="2835"/>
          <w:tab w:val="center" w:pos="7088"/>
        </w:tabs>
        <w:spacing w:before="840"/>
        <w:rPr>
          <w:lang w:val="fr-CH"/>
        </w:rPr>
      </w:pPr>
      <w:r w:rsidRPr="00EB3224">
        <w:rPr>
          <w:lang w:val="fr-CH"/>
        </w:rPr>
        <w:tab/>
        <w:t>Houlin ZHAO</w:t>
      </w:r>
      <w:r w:rsidRPr="00EB3224">
        <w:rPr>
          <w:lang w:val="fr-CH"/>
        </w:rPr>
        <w:br/>
      </w:r>
      <w:r w:rsidRPr="00EB3224">
        <w:rPr>
          <w:lang w:val="fr-CH"/>
        </w:rPr>
        <w:tab/>
        <w:t>Secrétaire général</w:t>
      </w:r>
    </w:p>
    <w:p w:rsidR="00D91A04" w:rsidRPr="00EB3224" w:rsidRDefault="00D91A04">
      <w:pPr>
        <w:tabs>
          <w:tab w:val="clear" w:pos="567"/>
          <w:tab w:val="clear" w:pos="1134"/>
          <w:tab w:val="clear" w:pos="1701"/>
          <w:tab w:val="clear" w:pos="2268"/>
          <w:tab w:val="clear" w:pos="2835"/>
        </w:tabs>
        <w:overflowPunct/>
        <w:autoSpaceDE/>
        <w:autoSpaceDN/>
        <w:adjustRightInd/>
        <w:spacing w:before="0"/>
        <w:textAlignment w:val="auto"/>
        <w:rPr>
          <w:lang w:val="fr-CH"/>
        </w:rPr>
      </w:pPr>
      <w:r w:rsidRPr="00EB3224">
        <w:rPr>
          <w:lang w:val="fr-CH"/>
        </w:rPr>
        <w:br w:type="page"/>
      </w:r>
    </w:p>
    <w:p w:rsidR="00080FF6" w:rsidRPr="00EB3224" w:rsidRDefault="00080FF6" w:rsidP="006530F2">
      <w:pPr>
        <w:pStyle w:val="Title4"/>
        <w:spacing w:before="120"/>
        <w:rPr>
          <w:lang w:val="fr-CH"/>
        </w:rPr>
      </w:pPr>
      <w:r w:rsidRPr="00EB3224">
        <w:rPr>
          <w:lang w:val="fr-CH"/>
        </w:rPr>
        <w:lastRenderedPageBreak/>
        <w:t>Rapport du comité de sélection</w:t>
      </w:r>
    </w:p>
    <w:p w:rsidR="00D91A04" w:rsidRPr="00EB3224" w:rsidRDefault="00080FF6" w:rsidP="00080FF6">
      <w:pPr>
        <w:pStyle w:val="Title1"/>
        <w:rPr>
          <w:lang w:val="fr-CH"/>
        </w:rPr>
      </w:pPr>
      <w:r w:rsidRPr="00EB3224">
        <w:rPr>
          <w:lang w:val="fr-CH"/>
        </w:rPr>
        <w:t>Comité consultatif indépendant pour les questions de gestion (CCIG)</w:t>
      </w:r>
    </w:p>
    <w:p w:rsidR="00080FF6" w:rsidRPr="00EB3224" w:rsidRDefault="00080FF6" w:rsidP="00230651">
      <w:pPr>
        <w:rPr>
          <w:lang w:val="fr-CH"/>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080FF6" w:rsidRPr="00EB3224" w:rsidTr="00524839">
        <w:trPr>
          <w:trHeight w:val="3372"/>
        </w:trPr>
        <w:tc>
          <w:tcPr>
            <w:tcW w:w="8080" w:type="dxa"/>
            <w:tcBorders>
              <w:top w:val="single" w:sz="12" w:space="0" w:color="auto"/>
              <w:left w:val="single" w:sz="12" w:space="0" w:color="auto"/>
              <w:bottom w:val="single" w:sz="12" w:space="0" w:color="auto"/>
              <w:right w:val="single" w:sz="12" w:space="0" w:color="auto"/>
            </w:tcBorders>
          </w:tcPr>
          <w:p w:rsidR="00080FF6" w:rsidRPr="00EB3224" w:rsidRDefault="00080FF6" w:rsidP="00524839">
            <w:pPr>
              <w:pStyle w:val="Headingb"/>
              <w:rPr>
                <w:lang w:val="fr-CH"/>
              </w:rPr>
            </w:pPr>
            <w:r w:rsidRPr="00EB3224">
              <w:rPr>
                <w:lang w:val="fr-CH"/>
              </w:rPr>
              <w:t>Résumé</w:t>
            </w:r>
          </w:p>
          <w:p w:rsidR="00080FF6" w:rsidRPr="00EB3224" w:rsidRDefault="00080FF6" w:rsidP="00524839">
            <w:pPr>
              <w:rPr>
                <w:lang w:val="fr-CH"/>
              </w:rPr>
            </w:pPr>
            <w:r w:rsidRPr="00EB3224">
              <w:rPr>
                <w:szCs w:val="24"/>
                <w:lang w:val="fr-CH"/>
              </w:rPr>
              <w:t>Le présent rapport contient les résultats des travaux du comité de sélection pour la nomination du remplaçant du membre du CCIG ayant démissionné. Il décrit dans les grandes lignes la procédure de sélection et contient la recommandation du comité de sélection pour la nomination.</w:t>
            </w:r>
          </w:p>
          <w:p w:rsidR="00080FF6" w:rsidRPr="00EB3224" w:rsidRDefault="00080FF6" w:rsidP="00524839">
            <w:pPr>
              <w:pStyle w:val="Headingb"/>
              <w:rPr>
                <w:lang w:val="fr-CH"/>
              </w:rPr>
            </w:pPr>
            <w:r w:rsidRPr="00EB3224">
              <w:rPr>
                <w:lang w:val="fr-CH"/>
              </w:rPr>
              <w:t>Suite à donner</w:t>
            </w:r>
          </w:p>
          <w:p w:rsidR="00080FF6" w:rsidRPr="00EB3224" w:rsidRDefault="00080FF6" w:rsidP="00520D07">
            <w:pPr>
              <w:rPr>
                <w:lang w:val="fr-CH"/>
              </w:rPr>
            </w:pPr>
            <w:r w:rsidRPr="00EB3224">
              <w:rPr>
                <w:szCs w:val="24"/>
                <w:lang w:val="fr-CH"/>
              </w:rPr>
              <w:t xml:space="preserve">Le Conseil est invité à </w:t>
            </w:r>
            <w:r w:rsidRPr="00EB3224">
              <w:rPr>
                <w:b/>
                <w:bCs/>
                <w:szCs w:val="24"/>
                <w:lang w:val="fr-CH"/>
              </w:rPr>
              <w:t>prendre note</w:t>
            </w:r>
            <w:r w:rsidRPr="00EB3224">
              <w:rPr>
                <w:szCs w:val="24"/>
                <w:lang w:val="fr-CH"/>
              </w:rPr>
              <w:t xml:space="preserve"> du contenu du présent rapport et à </w:t>
            </w:r>
            <w:r w:rsidRPr="00EB3224">
              <w:rPr>
                <w:b/>
                <w:bCs/>
                <w:szCs w:val="24"/>
                <w:lang w:val="fr-CH"/>
              </w:rPr>
              <w:t>adopter</w:t>
            </w:r>
            <w:r w:rsidRPr="00EB3224">
              <w:rPr>
                <w:szCs w:val="24"/>
                <w:lang w:val="fr-CH"/>
              </w:rPr>
              <w:t xml:space="preserve"> le projet de Décision figurant dans l'Annexe B </w:t>
            </w:r>
            <w:r w:rsidR="00520D07" w:rsidRPr="00EB3224">
              <w:rPr>
                <w:szCs w:val="24"/>
                <w:lang w:val="fr-CH"/>
              </w:rPr>
              <w:t>du présent</w:t>
            </w:r>
            <w:r w:rsidRPr="00EB3224">
              <w:rPr>
                <w:szCs w:val="24"/>
                <w:lang w:val="fr-CH"/>
              </w:rPr>
              <w:t xml:space="preserve"> rapport.</w:t>
            </w:r>
          </w:p>
          <w:p w:rsidR="00080FF6" w:rsidRPr="00EB3224" w:rsidRDefault="00080FF6" w:rsidP="00524839">
            <w:pPr>
              <w:pStyle w:val="Table"/>
              <w:keepNext w:val="0"/>
              <w:spacing w:before="0" w:after="0"/>
              <w:rPr>
                <w:rFonts w:ascii="Calibri" w:hAnsi="Calibri"/>
                <w:caps w:val="0"/>
                <w:sz w:val="22"/>
                <w:lang w:val="fr-CH"/>
              </w:rPr>
            </w:pPr>
            <w:r w:rsidRPr="00EB3224">
              <w:rPr>
                <w:rFonts w:ascii="Calibri" w:hAnsi="Calibri"/>
                <w:caps w:val="0"/>
                <w:sz w:val="22"/>
                <w:lang w:val="fr-CH"/>
              </w:rPr>
              <w:t>____________</w:t>
            </w:r>
          </w:p>
          <w:p w:rsidR="00080FF6" w:rsidRPr="00EB3224" w:rsidRDefault="00080FF6" w:rsidP="00524839">
            <w:pPr>
              <w:pStyle w:val="Headingb"/>
              <w:rPr>
                <w:lang w:val="fr-CH"/>
              </w:rPr>
            </w:pPr>
            <w:r w:rsidRPr="00EB3224">
              <w:rPr>
                <w:lang w:val="fr-CH"/>
              </w:rPr>
              <w:t>Références</w:t>
            </w:r>
          </w:p>
          <w:p w:rsidR="00080FF6" w:rsidRPr="00EB3224" w:rsidRDefault="000A5E1C" w:rsidP="00080FF6">
            <w:pPr>
              <w:spacing w:after="120"/>
              <w:rPr>
                <w:rStyle w:val="Hyperlink"/>
                <w:rFonts w:cs="Calibri"/>
                <w:i/>
                <w:szCs w:val="24"/>
                <w:lang w:val="fr-CH"/>
              </w:rPr>
            </w:pPr>
            <w:hyperlink r:id="rId8" w:history="1">
              <w:r w:rsidR="00080FF6" w:rsidRPr="00EB3224">
                <w:rPr>
                  <w:rStyle w:val="Hyperlink"/>
                  <w:rFonts w:cs="Calibri"/>
                  <w:i/>
                  <w:szCs w:val="24"/>
                  <w:lang w:val="fr-CH"/>
                </w:rPr>
                <w:t>Résolution 162 (Rév. Busan, 2014) de la Conférence de plénipotentiaires</w:t>
              </w:r>
            </w:hyperlink>
          </w:p>
          <w:p w:rsidR="00080FF6" w:rsidRPr="00EB3224" w:rsidRDefault="000A5E1C" w:rsidP="00080FF6">
            <w:pPr>
              <w:spacing w:after="120"/>
              <w:rPr>
                <w:i/>
                <w:iCs/>
                <w:szCs w:val="24"/>
                <w:lang w:val="fr-CH"/>
              </w:rPr>
            </w:pPr>
            <w:hyperlink r:id="rId9" w:history="1">
              <w:r w:rsidR="00520D07" w:rsidRPr="00EB3224">
                <w:rPr>
                  <w:rStyle w:val="Hyperlink"/>
                  <w:i/>
                  <w:iCs/>
                  <w:szCs w:val="24"/>
                  <w:lang w:val="fr-CH"/>
                </w:rPr>
                <w:t>Rapport du c</w:t>
              </w:r>
              <w:r w:rsidR="00080FF6" w:rsidRPr="00EB3224">
                <w:rPr>
                  <w:rStyle w:val="Hyperlink"/>
                  <w:i/>
                  <w:iCs/>
                  <w:szCs w:val="24"/>
                  <w:lang w:val="fr-CH"/>
                </w:rPr>
                <w:t>omité de sélection sur la nomination des membres du CCIG (C15/75)</w:t>
              </w:r>
            </w:hyperlink>
          </w:p>
          <w:p w:rsidR="00080FF6" w:rsidRPr="00EB3224" w:rsidRDefault="000A5E1C" w:rsidP="00080FF6">
            <w:pPr>
              <w:spacing w:after="120"/>
              <w:rPr>
                <w:i/>
                <w:iCs/>
                <w:lang w:val="fr-CH"/>
              </w:rPr>
            </w:pPr>
            <w:hyperlink r:id="rId10" w:history="1">
              <w:r w:rsidR="00080FF6" w:rsidRPr="00EB3224">
                <w:rPr>
                  <w:rStyle w:val="Hyperlink"/>
                  <w:i/>
                  <w:iCs/>
                  <w:szCs w:val="24"/>
                  <w:lang w:val="fr-CH"/>
                </w:rPr>
                <w:t>Décision 587 (Conseil 2015) – Nomination des membres du Comité consultatif indépendant pour les questions de gestion (CCIG) (C15/122)</w:t>
              </w:r>
            </w:hyperlink>
          </w:p>
        </w:tc>
      </w:tr>
    </w:tbl>
    <w:p w:rsidR="00080FF6" w:rsidRPr="00EB3224" w:rsidRDefault="00230651" w:rsidP="00080FF6">
      <w:pPr>
        <w:pStyle w:val="Heading1"/>
        <w:rPr>
          <w:lang w:val="fr-CH"/>
        </w:rPr>
      </w:pPr>
      <w:r w:rsidRPr="00EB3224">
        <w:rPr>
          <w:lang w:val="fr-CH"/>
        </w:rPr>
        <w:t>I</w:t>
      </w:r>
      <w:r w:rsidR="00080FF6" w:rsidRPr="00EB3224">
        <w:rPr>
          <w:lang w:val="fr-CH"/>
        </w:rPr>
        <w:tab/>
        <w:t>RAPPORT DU COMITÉ DE SÉLECTION POUR LA NOMINATION DU REMPLAÇANT DU MEMBRE DU COMITÉ CONSULTATIF INDÉPENDANT POUR LES QUESTIONS DE GESTION DE L'UIT (CCIG) AYANT DÉMISSIONNÉ</w:t>
      </w:r>
    </w:p>
    <w:p w:rsidR="00080FF6" w:rsidRPr="00EB3224" w:rsidRDefault="00080FF6" w:rsidP="00080FF6">
      <w:pPr>
        <w:pStyle w:val="Headingb"/>
        <w:rPr>
          <w:lang w:val="fr-CH"/>
        </w:rPr>
      </w:pPr>
      <w:r w:rsidRPr="00EB3224">
        <w:rPr>
          <w:lang w:val="fr-CH"/>
        </w:rPr>
        <w:t>LA PROCÉDURE</w:t>
      </w:r>
    </w:p>
    <w:p w:rsidR="00080FF6" w:rsidRPr="00EB3224" w:rsidRDefault="00080FF6" w:rsidP="00080FF6">
      <w:pPr>
        <w:rPr>
          <w:lang w:val="fr-CH"/>
        </w:rPr>
      </w:pPr>
      <w:r w:rsidRPr="00EB3224">
        <w:rPr>
          <w:lang w:val="fr-CH"/>
        </w:rPr>
        <w:t>1</w:t>
      </w:r>
      <w:r w:rsidRPr="00EB3224">
        <w:rPr>
          <w:lang w:val="fr-CH"/>
        </w:rPr>
        <w:tab/>
        <w:t xml:space="preserve">Conformément à la procédure décrite dans l'Annexe de la Résolution 162 (Rév. Busan, 2014) de la Conférence de plénipotentiaires et à la procédure de sélection suivie pour la nomination des membres du CCIG en 2015 (Document </w:t>
      </w:r>
      <w:hyperlink r:id="rId11" w:history="1">
        <w:r w:rsidRPr="00EB3224">
          <w:rPr>
            <w:rStyle w:val="Hyperlink"/>
            <w:lang w:val="fr-CH"/>
          </w:rPr>
          <w:t>C15/75</w:t>
        </w:r>
      </w:hyperlink>
      <w:r w:rsidRPr="00EB3224">
        <w:rPr>
          <w:lang w:val="fr-CH"/>
        </w:rPr>
        <w:t xml:space="preserve">), les représentants des Etats Membres du Conseil </w:t>
      </w:r>
      <w:r w:rsidR="00845741">
        <w:rPr>
          <w:lang w:val="fr-CH"/>
        </w:rPr>
        <w:t xml:space="preserve">de l'UIT </w:t>
      </w:r>
      <w:r w:rsidRPr="00EB3224">
        <w:rPr>
          <w:lang w:val="fr-CH"/>
        </w:rPr>
        <w:t>ont confirmé qu'ils étaient prêts à participer aux travaux du comité de sélection. Les membres du comité de sélection étaient les suivants:</w:t>
      </w:r>
    </w:p>
    <w:p w:rsidR="00080FF6" w:rsidRPr="00EB3224" w:rsidRDefault="00080FF6" w:rsidP="00230651">
      <w:pPr>
        <w:spacing w:before="0"/>
        <w:rPr>
          <w:lang w:val="fr-CH"/>
        </w:rPr>
      </w:pPr>
    </w:p>
    <w:tbl>
      <w:tblPr>
        <w:tblW w:w="8222" w:type="dxa"/>
        <w:jc w:val="center"/>
        <w:tblLayout w:type="fixed"/>
        <w:tblLook w:val="04A0" w:firstRow="1" w:lastRow="0" w:firstColumn="1" w:lastColumn="0" w:noHBand="0" w:noVBand="1"/>
      </w:tblPr>
      <w:tblGrid>
        <w:gridCol w:w="2268"/>
        <w:gridCol w:w="2547"/>
        <w:gridCol w:w="3407"/>
      </w:tblGrid>
      <w:tr w:rsidR="00080FF6" w:rsidRPr="00EB3224" w:rsidTr="00885378">
        <w:trPr>
          <w:jc w:val="center"/>
        </w:trPr>
        <w:tc>
          <w:tcPr>
            <w:tcW w:w="2268" w:type="dxa"/>
          </w:tcPr>
          <w:p w:rsidR="00080FF6" w:rsidRPr="00EB3224" w:rsidRDefault="00080FF6" w:rsidP="00230651">
            <w:pPr>
              <w:pStyle w:val="Tabletext"/>
              <w:rPr>
                <w:i/>
                <w:iCs/>
                <w:sz w:val="24"/>
                <w:szCs w:val="24"/>
                <w:lang w:val="fr-CH"/>
              </w:rPr>
            </w:pPr>
            <w:r w:rsidRPr="00EB3224">
              <w:rPr>
                <w:i/>
                <w:iCs/>
                <w:sz w:val="24"/>
                <w:szCs w:val="24"/>
                <w:lang w:val="fr-CH"/>
              </w:rPr>
              <w:t>Région</w:t>
            </w:r>
          </w:p>
        </w:tc>
        <w:tc>
          <w:tcPr>
            <w:tcW w:w="2547" w:type="dxa"/>
          </w:tcPr>
          <w:p w:rsidR="00080FF6" w:rsidRPr="00EB3224" w:rsidRDefault="00080FF6" w:rsidP="00230651">
            <w:pPr>
              <w:pStyle w:val="Tabletext"/>
              <w:rPr>
                <w:i/>
                <w:iCs/>
                <w:sz w:val="24"/>
                <w:szCs w:val="24"/>
                <w:lang w:val="fr-CH"/>
              </w:rPr>
            </w:pPr>
            <w:r w:rsidRPr="00EB3224">
              <w:rPr>
                <w:i/>
                <w:iCs/>
                <w:sz w:val="24"/>
                <w:szCs w:val="24"/>
                <w:lang w:val="fr-CH"/>
              </w:rPr>
              <w:t>Pays</w:t>
            </w:r>
          </w:p>
        </w:tc>
        <w:tc>
          <w:tcPr>
            <w:tcW w:w="3407" w:type="dxa"/>
          </w:tcPr>
          <w:p w:rsidR="00080FF6" w:rsidRPr="00EB3224" w:rsidRDefault="00080FF6" w:rsidP="00230651">
            <w:pPr>
              <w:pStyle w:val="Tabletext"/>
              <w:rPr>
                <w:i/>
                <w:iCs/>
                <w:sz w:val="24"/>
                <w:szCs w:val="24"/>
                <w:lang w:val="fr-CH"/>
              </w:rPr>
            </w:pPr>
            <w:r w:rsidRPr="00EB3224">
              <w:rPr>
                <w:i/>
                <w:iCs/>
                <w:sz w:val="24"/>
                <w:szCs w:val="24"/>
                <w:lang w:val="fr-CH"/>
              </w:rPr>
              <w:t>Membre du comité de sélection</w:t>
            </w:r>
          </w:p>
        </w:tc>
      </w:tr>
      <w:tr w:rsidR="00080FF6" w:rsidRPr="00EB3224" w:rsidTr="00885378">
        <w:trPr>
          <w:jc w:val="center"/>
        </w:trPr>
        <w:tc>
          <w:tcPr>
            <w:tcW w:w="2268" w:type="dxa"/>
          </w:tcPr>
          <w:p w:rsidR="00080FF6" w:rsidRPr="00EB3224" w:rsidRDefault="00080FF6" w:rsidP="00230651">
            <w:pPr>
              <w:pStyle w:val="Tabletext"/>
              <w:rPr>
                <w:sz w:val="24"/>
                <w:szCs w:val="24"/>
                <w:lang w:val="fr-CH"/>
              </w:rPr>
            </w:pPr>
            <w:r w:rsidRPr="00EB3224">
              <w:rPr>
                <w:sz w:val="24"/>
                <w:szCs w:val="24"/>
                <w:lang w:val="fr-CH"/>
              </w:rPr>
              <w:t>Amériques</w:t>
            </w:r>
          </w:p>
        </w:tc>
        <w:tc>
          <w:tcPr>
            <w:tcW w:w="2547" w:type="dxa"/>
          </w:tcPr>
          <w:p w:rsidR="00080FF6" w:rsidRPr="00EB3224" w:rsidRDefault="00080FF6" w:rsidP="00230651">
            <w:pPr>
              <w:pStyle w:val="Tabletext"/>
              <w:rPr>
                <w:sz w:val="24"/>
                <w:szCs w:val="24"/>
                <w:lang w:val="fr-CH"/>
              </w:rPr>
            </w:pPr>
            <w:r w:rsidRPr="00EB3224">
              <w:rPr>
                <w:sz w:val="24"/>
                <w:szCs w:val="24"/>
                <w:lang w:val="fr-CH"/>
              </w:rPr>
              <w:t>Etats-Unis</w:t>
            </w:r>
          </w:p>
        </w:tc>
        <w:tc>
          <w:tcPr>
            <w:tcW w:w="3407" w:type="dxa"/>
          </w:tcPr>
          <w:p w:rsidR="00080FF6" w:rsidRPr="00EB3224" w:rsidRDefault="00080FF6" w:rsidP="00230651">
            <w:pPr>
              <w:pStyle w:val="Tabletext"/>
              <w:rPr>
                <w:sz w:val="24"/>
                <w:szCs w:val="24"/>
                <w:lang w:val="fr-CH"/>
              </w:rPr>
            </w:pPr>
            <w:r w:rsidRPr="00EB3224">
              <w:rPr>
                <w:sz w:val="24"/>
                <w:szCs w:val="24"/>
                <w:lang w:val="fr-CH"/>
              </w:rPr>
              <w:t>M. Brett Makens</w:t>
            </w:r>
          </w:p>
        </w:tc>
      </w:tr>
      <w:tr w:rsidR="00080FF6" w:rsidRPr="00EB3224" w:rsidTr="00885378">
        <w:trPr>
          <w:jc w:val="center"/>
        </w:trPr>
        <w:tc>
          <w:tcPr>
            <w:tcW w:w="2268" w:type="dxa"/>
          </w:tcPr>
          <w:p w:rsidR="00080FF6" w:rsidRPr="00EB3224" w:rsidRDefault="00080FF6" w:rsidP="00230651">
            <w:pPr>
              <w:pStyle w:val="Tabletext"/>
              <w:rPr>
                <w:sz w:val="24"/>
                <w:szCs w:val="24"/>
                <w:lang w:val="fr-CH"/>
              </w:rPr>
            </w:pPr>
            <w:r w:rsidRPr="00EB3224">
              <w:rPr>
                <w:sz w:val="24"/>
                <w:szCs w:val="24"/>
                <w:lang w:val="fr-CH"/>
              </w:rPr>
              <w:t>Europe</w:t>
            </w:r>
          </w:p>
        </w:tc>
        <w:tc>
          <w:tcPr>
            <w:tcW w:w="2547" w:type="dxa"/>
          </w:tcPr>
          <w:p w:rsidR="00080FF6" w:rsidRPr="00EB3224" w:rsidRDefault="00080FF6" w:rsidP="00230651">
            <w:pPr>
              <w:pStyle w:val="Tabletext"/>
              <w:rPr>
                <w:sz w:val="24"/>
                <w:szCs w:val="24"/>
                <w:lang w:val="fr-CH"/>
              </w:rPr>
            </w:pPr>
            <w:r w:rsidRPr="00EB3224">
              <w:rPr>
                <w:sz w:val="24"/>
                <w:szCs w:val="24"/>
                <w:lang w:val="fr-CH"/>
              </w:rPr>
              <w:t>Allemagne</w:t>
            </w:r>
          </w:p>
        </w:tc>
        <w:tc>
          <w:tcPr>
            <w:tcW w:w="3407" w:type="dxa"/>
          </w:tcPr>
          <w:p w:rsidR="00080FF6" w:rsidRPr="00EB3224" w:rsidRDefault="00080FF6" w:rsidP="00230651">
            <w:pPr>
              <w:pStyle w:val="Tabletext"/>
              <w:rPr>
                <w:sz w:val="24"/>
                <w:szCs w:val="24"/>
                <w:lang w:val="fr-CH"/>
              </w:rPr>
            </w:pPr>
            <w:r w:rsidRPr="00EB3224">
              <w:rPr>
                <w:sz w:val="24"/>
                <w:szCs w:val="24"/>
                <w:lang w:val="fr-CH"/>
              </w:rPr>
              <w:t>M. Uwe Petry, Président</w:t>
            </w:r>
          </w:p>
        </w:tc>
      </w:tr>
      <w:tr w:rsidR="00080FF6" w:rsidRPr="00EB3224" w:rsidTr="00885378">
        <w:trPr>
          <w:jc w:val="center"/>
        </w:trPr>
        <w:tc>
          <w:tcPr>
            <w:tcW w:w="2268" w:type="dxa"/>
          </w:tcPr>
          <w:p w:rsidR="00080FF6" w:rsidRPr="00EB3224" w:rsidRDefault="00080FF6" w:rsidP="00230651">
            <w:pPr>
              <w:pStyle w:val="Tabletext"/>
              <w:rPr>
                <w:sz w:val="24"/>
                <w:szCs w:val="24"/>
                <w:lang w:val="fr-CH"/>
              </w:rPr>
            </w:pPr>
            <w:r w:rsidRPr="00EB3224">
              <w:rPr>
                <w:sz w:val="24"/>
                <w:szCs w:val="24"/>
                <w:lang w:val="fr-CH"/>
              </w:rPr>
              <w:t>CEI</w:t>
            </w:r>
          </w:p>
        </w:tc>
        <w:tc>
          <w:tcPr>
            <w:tcW w:w="2547" w:type="dxa"/>
          </w:tcPr>
          <w:p w:rsidR="00080FF6" w:rsidRPr="00EB3224" w:rsidRDefault="00080FF6" w:rsidP="00230651">
            <w:pPr>
              <w:pStyle w:val="Tabletext"/>
              <w:rPr>
                <w:sz w:val="24"/>
                <w:szCs w:val="24"/>
                <w:lang w:val="fr-CH"/>
              </w:rPr>
            </w:pPr>
            <w:r w:rsidRPr="00EB3224">
              <w:rPr>
                <w:sz w:val="24"/>
                <w:szCs w:val="24"/>
                <w:lang w:val="fr-CH"/>
              </w:rPr>
              <w:t>Fédération de Russie</w:t>
            </w:r>
          </w:p>
        </w:tc>
        <w:tc>
          <w:tcPr>
            <w:tcW w:w="3407" w:type="dxa"/>
          </w:tcPr>
          <w:p w:rsidR="00080FF6" w:rsidRPr="00EB3224" w:rsidRDefault="00080FF6" w:rsidP="00230651">
            <w:pPr>
              <w:pStyle w:val="Tabletext"/>
              <w:rPr>
                <w:sz w:val="24"/>
                <w:szCs w:val="24"/>
                <w:lang w:val="fr-CH"/>
              </w:rPr>
            </w:pPr>
            <w:r w:rsidRPr="00EB3224">
              <w:rPr>
                <w:sz w:val="24"/>
                <w:szCs w:val="24"/>
                <w:lang w:val="fr-CH"/>
              </w:rPr>
              <w:t>Mme Natalya Reznikova</w:t>
            </w:r>
          </w:p>
        </w:tc>
      </w:tr>
      <w:tr w:rsidR="00080FF6" w:rsidRPr="00EB3224" w:rsidTr="00885378">
        <w:trPr>
          <w:jc w:val="center"/>
        </w:trPr>
        <w:tc>
          <w:tcPr>
            <w:tcW w:w="2268" w:type="dxa"/>
          </w:tcPr>
          <w:p w:rsidR="00080FF6" w:rsidRPr="00EB3224" w:rsidRDefault="00080FF6" w:rsidP="00230651">
            <w:pPr>
              <w:pStyle w:val="Tabletext"/>
              <w:rPr>
                <w:sz w:val="24"/>
                <w:szCs w:val="24"/>
                <w:lang w:val="fr-CH"/>
              </w:rPr>
            </w:pPr>
            <w:r w:rsidRPr="00EB3224">
              <w:rPr>
                <w:sz w:val="24"/>
                <w:szCs w:val="24"/>
                <w:lang w:val="fr-CH"/>
              </w:rPr>
              <w:t>Afrique</w:t>
            </w:r>
          </w:p>
        </w:tc>
        <w:tc>
          <w:tcPr>
            <w:tcW w:w="2547" w:type="dxa"/>
          </w:tcPr>
          <w:p w:rsidR="00080FF6" w:rsidRPr="00EB3224" w:rsidRDefault="00080FF6" w:rsidP="00230651">
            <w:pPr>
              <w:pStyle w:val="Tabletext"/>
              <w:rPr>
                <w:sz w:val="24"/>
                <w:szCs w:val="24"/>
                <w:lang w:val="fr-CH"/>
              </w:rPr>
            </w:pPr>
            <w:r w:rsidRPr="00EB3224">
              <w:rPr>
                <w:sz w:val="24"/>
                <w:szCs w:val="24"/>
                <w:lang w:val="fr-CH"/>
              </w:rPr>
              <w:t>Kenya</w:t>
            </w:r>
          </w:p>
        </w:tc>
        <w:tc>
          <w:tcPr>
            <w:tcW w:w="3407" w:type="dxa"/>
          </w:tcPr>
          <w:p w:rsidR="00080FF6" w:rsidRPr="00EB3224" w:rsidRDefault="00080FF6" w:rsidP="00230651">
            <w:pPr>
              <w:pStyle w:val="Tabletext"/>
              <w:rPr>
                <w:sz w:val="24"/>
                <w:szCs w:val="24"/>
                <w:lang w:val="fr-CH"/>
              </w:rPr>
            </w:pPr>
            <w:r w:rsidRPr="00EB3224">
              <w:rPr>
                <w:sz w:val="24"/>
                <w:szCs w:val="24"/>
                <w:lang w:val="fr-CH"/>
              </w:rPr>
              <w:t>M. John Omo, Vice-Président</w:t>
            </w:r>
          </w:p>
        </w:tc>
      </w:tr>
      <w:tr w:rsidR="00080FF6" w:rsidRPr="00EB3224" w:rsidTr="00885378">
        <w:trPr>
          <w:jc w:val="center"/>
        </w:trPr>
        <w:tc>
          <w:tcPr>
            <w:tcW w:w="2268" w:type="dxa"/>
          </w:tcPr>
          <w:p w:rsidR="00080FF6" w:rsidRPr="00EB3224" w:rsidRDefault="00230651" w:rsidP="00230651">
            <w:pPr>
              <w:pStyle w:val="Tabletext"/>
              <w:rPr>
                <w:sz w:val="24"/>
                <w:szCs w:val="24"/>
                <w:lang w:val="fr-CH"/>
              </w:rPr>
            </w:pPr>
            <w:r w:rsidRPr="00EB3224">
              <w:rPr>
                <w:sz w:val="24"/>
                <w:szCs w:val="24"/>
                <w:lang w:val="fr-CH"/>
              </w:rPr>
              <w:t>Asie</w:t>
            </w:r>
            <w:r w:rsidR="00080FF6" w:rsidRPr="00EB3224">
              <w:rPr>
                <w:sz w:val="24"/>
                <w:szCs w:val="24"/>
                <w:lang w:val="fr-CH"/>
              </w:rPr>
              <w:t>/Australasie</w:t>
            </w:r>
          </w:p>
        </w:tc>
        <w:tc>
          <w:tcPr>
            <w:tcW w:w="2547" w:type="dxa"/>
          </w:tcPr>
          <w:p w:rsidR="00080FF6" w:rsidRPr="00EB3224" w:rsidRDefault="00080FF6" w:rsidP="00230651">
            <w:pPr>
              <w:pStyle w:val="Tabletext"/>
              <w:rPr>
                <w:sz w:val="24"/>
                <w:szCs w:val="24"/>
                <w:lang w:val="fr-CH"/>
              </w:rPr>
            </w:pPr>
            <w:r w:rsidRPr="00EB3224">
              <w:rPr>
                <w:sz w:val="24"/>
                <w:szCs w:val="24"/>
                <w:lang w:val="fr-CH"/>
              </w:rPr>
              <w:t>Japon</w:t>
            </w:r>
          </w:p>
        </w:tc>
        <w:tc>
          <w:tcPr>
            <w:tcW w:w="3407" w:type="dxa"/>
          </w:tcPr>
          <w:p w:rsidR="00080FF6" w:rsidRPr="00EB3224" w:rsidRDefault="00080FF6" w:rsidP="00230651">
            <w:pPr>
              <w:pStyle w:val="Tabletext"/>
              <w:rPr>
                <w:sz w:val="24"/>
                <w:szCs w:val="24"/>
                <w:lang w:val="fr-CH"/>
              </w:rPr>
            </w:pPr>
            <w:r w:rsidRPr="00EB3224">
              <w:rPr>
                <w:sz w:val="24"/>
                <w:szCs w:val="24"/>
                <w:lang w:val="fr-CH"/>
              </w:rPr>
              <w:t>M. Yoshiyuki Kato</w:t>
            </w:r>
          </w:p>
        </w:tc>
      </w:tr>
      <w:tr w:rsidR="00080FF6" w:rsidRPr="00EB3224" w:rsidTr="00885378">
        <w:trPr>
          <w:jc w:val="center"/>
        </w:trPr>
        <w:tc>
          <w:tcPr>
            <w:tcW w:w="2268" w:type="dxa"/>
          </w:tcPr>
          <w:p w:rsidR="00080FF6" w:rsidRPr="00EB3224" w:rsidRDefault="00080FF6" w:rsidP="00230651">
            <w:pPr>
              <w:pStyle w:val="Tabletext"/>
              <w:rPr>
                <w:sz w:val="24"/>
                <w:szCs w:val="24"/>
                <w:lang w:val="fr-CH"/>
              </w:rPr>
            </w:pPr>
            <w:r w:rsidRPr="00EB3224">
              <w:rPr>
                <w:sz w:val="24"/>
                <w:szCs w:val="24"/>
                <w:lang w:val="fr-CH"/>
              </w:rPr>
              <w:t>Etats arabes</w:t>
            </w:r>
          </w:p>
        </w:tc>
        <w:tc>
          <w:tcPr>
            <w:tcW w:w="2547" w:type="dxa"/>
          </w:tcPr>
          <w:p w:rsidR="00080FF6" w:rsidRPr="00EB3224" w:rsidRDefault="00080FF6" w:rsidP="00230651">
            <w:pPr>
              <w:pStyle w:val="Tabletext"/>
              <w:rPr>
                <w:sz w:val="24"/>
                <w:szCs w:val="24"/>
                <w:lang w:val="fr-CH"/>
              </w:rPr>
            </w:pPr>
            <w:r w:rsidRPr="00EB3224">
              <w:rPr>
                <w:sz w:val="24"/>
                <w:szCs w:val="24"/>
                <w:lang w:val="fr-CH"/>
              </w:rPr>
              <w:t>Emirats arabes unis</w:t>
            </w:r>
          </w:p>
        </w:tc>
        <w:tc>
          <w:tcPr>
            <w:tcW w:w="3407" w:type="dxa"/>
          </w:tcPr>
          <w:p w:rsidR="00080FF6" w:rsidRPr="00EB3224" w:rsidRDefault="00080FF6" w:rsidP="00230651">
            <w:pPr>
              <w:pStyle w:val="Tabletext"/>
              <w:rPr>
                <w:sz w:val="24"/>
                <w:szCs w:val="24"/>
                <w:lang w:val="fr-CH"/>
              </w:rPr>
            </w:pPr>
            <w:r w:rsidRPr="00EB3224">
              <w:rPr>
                <w:sz w:val="24"/>
                <w:szCs w:val="24"/>
                <w:lang w:val="fr-CH"/>
              </w:rPr>
              <w:t>M. Mohamed Al Mazrouei</w:t>
            </w:r>
          </w:p>
        </w:tc>
      </w:tr>
    </w:tbl>
    <w:p w:rsidR="00080FF6" w:rsidRPr="00EB3224" w:rsidRDefault="00230651" w:rsidP="00885378">
      <w:pPr>
        <w:rPr>
          <w:lang w:val="fr-CH"/>
        </w:rPr>
      </w:pPr>
      <w:r w:rsidRPr="00EB3224">
        <w:rPr>
          <w:lang w:val="fr-CH"/>
        </w:rPr>
        <w:lastRenderedPageBreak/>
        <w:t>2</w:t>
      </w:r>
      <w:r w:rsidRPr="00EB3224">
        <w:rPr>
          <w:lang w:val="fr-CH"/>
        </w:rPr>
        <w:tab/>
      </w:r>
      <w:r w:rsidR="00080FF6" w:rsidRPr="00EB3224">
        <w:rPr>
          <w:lang w:val="fr-CH"/>
        </w:rPr>
        <w:t>Après avoir été informé de la démission de Mme Aline Vienneau, du Canada, le comité de sélection a noté que, comme suite à la Résolution 162 (Rév. Busan, 2014) de la Conférence de plénipotentiaires, le Conseil de l'UIT à sa session de 2015 a</w:t>
      </w:r>
      <w:r w:rsidR="00885378" w:rsidRPr="00EB3224">
        <w:rPr>
          <w:lang w:val="fr-CH"/>
        </w:rPr>
        <w:t>vait</w:t>
      </w:r>
      <w:r w:rsidR="00080FF6" w:rsidRPr="00EB3224">
        <w:rPr>
          <w:lang w:val="fr-CH"/>
        </w:rPr>
        <w:t xml:space="preserve"> adopté la Décision 587</w:t>
      </w:r>
      <w:r w:rsidR="00885378" w:rsidRPr="00EB3224">
        <w:rPr>
          <w:lang w:val="fr-CH"/>
        </w:rPr>
        <w:t>,</w:t>
      </w:r>
      <w:r w:rsidR="00080FF6" w:rsidRPr="00EB3224">
        <w:rPr>
          <w:lang w:val="fr-CH"/>
        </w:rPr>
        <w:t xml:space="preserve"> </w:t>
      </w:r>
      <w:r w:rsidR="00885378" w:rsidRPr="00EB3224">
        <w:rPr>
          <w:lang w:val="fr-CH"/>
        </w:rPr>
        <w:t xml:space="preserve">par laquelle </w:t>
      </w:r>
      <w:r w:rsidR="00080FF6" w:rsidRPr="00EB3224">
        <w:rPr>
          <w:lang w:val="fr-CH"/>
        </w:rPr>
        <w:t>il a</w:t>
      </w:r>
      <w:r w:rsidR="00885378" w:rsidRPr="00EB3224">
        <w:rPr>
          <w:lang w:val="fr-CH"/>
        </w:rPr>
        <w:t>vait</w:t>
      </w:r>
      <w:r w:rsidR="00080FF6" w:rsidRPr="00EB3224">
        <w:rPr>
          <w:lang w:val="fr-CH"/>
        </w:rPr>
        <w:t xml:space="preserve"> nommé les cinq experts indépendants </w:t>
      </w:r>
      <w:r w:rsidR="00885378" w:rsidRPr="00EB3224">
        <w:rPr>
          <w:lang w:val="fr-CH"/>
        </w:rPr>
        <w:t>en tant que membres du CCIG et</w:t>
      </w:r>
      <w:r w:rsidR="00080FF6" w:rsidRPr="00EB3224">
        <w:rPr>
          <w:lang w:val="fr-CH"/>
        </w:rPr>
        <w:t xml:space="preserve"> noté que le comité de sélection avait transmis au Secrétariat de l'UIT les noms de deux candidats qualifiés au cas où il serait nécessaire de pourvoir un siège devenu vacant au cours du mandat du CCIG.</w:t>
      </w:r>
    </w:p>
    <w:p w:rsidR="00080FF6" w:rsidRPr="00EB3224" w:rsidRDefault="00230651" w:rsidP="00885378">
      <w:pPr>
        <w:rPr>
          <w:lang w:val="fr-CH"/>
        </w:rPr>
      </w:pPr>
      <w:r w:rsidRPr="00EB3224">
        <w:rPr>
          <w:lang w:val="fr-CH"/>
        </w:rPr>
        <w:t>3</w:t>
      </w:r>
      <w:r w:rsidRPr="00EB3224">
        <w:rPr>
          <w:lang w:val="fr-CH"/>
        </w:rPr>
        <w:tab/>
      </w:r>
      <w:r w:rsidR="00080FF6" w:rsidRPr="00EB3224">
        <w:rPr>
          <w:lang w:val="fr-CH"/>
        </w:rPr>
        <w:t xml:space="preserve">Le comité de sélection a examiné les profils des deux candidats </w:t>
      </w:r>
      <w:r w:rsidR="00885378" w:rsidRPr="00EB3224">
        <w:rPr>
          <w:lang w:val="fr-CH"/>
        </w:rPr>
        <w:t>possédant des qualifications appropriées</w:t>
      </w:r>
      <w:r w:rsidR="00080FF6" w:rsidRPr="00EB3224">
        <w:rPr>
          <w:lang w:val="fr-CH"/>
        </w:rPr>
        <w:t xml:space="preserve"> et s'est enquis de leur disponibilité pour siéger au CCIG en tant que membre à part entière pour le reste du mandat du CCIG. Parmi eux, seule une candidate qualifiée était complètement disponible afin d'occuper le poste vacant au sein du CCIG.</w:t>
      </w:r>
    </w:p>
    <w:p w:rsidR="00080FF6" w:rsidRPr="00EB3224" w:rsidRDefault="00230651" w:rsidP="00230651">
      <w:pPr>
        <w:pStyle w:val="Heading1"/>
        <w:rPr>
          <w:lang w:val="fr-CH"/>
        </w:rPr>
      </w:pPr>
      <w:r w:rsidRPr="00EB3224">
        <w:rPr>
          <w:lang w:val="fr-CH"/>
        </w:rPr>
        <w:t>II</w:t>
      </w:r>
      <w:r w:rsidR="00080FF6" w:rsidRPr="00EB3224">
        <w:rPr>
          <w:lang w:val="fr-CH"/>
        </w:rPr>
        <w:tab/>
        <w:t>RECOMMANDATION DU COMITÉ DE SÉLECTION POUR LA NOMINATION DU REMPLAÇANT DU MEMBRE DU CCIG AYANT DÉMISSIONNÉ</w:t>
      </w:r>
    </w:p>
    <w:p w:rsidR="00080FF6" w:rsidRPr="00EB3224" w:rsidRDefault="00230651" w:rsidP="00885378">
      <w:pPr>
        <w:rPr>
          <w:lang w:val="fr-CH"/>
        </w:rPr>
      </w:pPr>
      <w:r w:rsidRPr="00EB3224">
        <w:rPr>
          <w:lang w:val="fr-CH"/>
        </w:rPr>
        <w:t>1</w:t>
      </w:r>
      <w:r w:rsidRPr="00EB3224">
        <w:rPr>
          <w:lang w:val="fr-CH"/>
        </w:rPr>
        <w:tab/>
      </w:r>
      <w:r w:rsidR="00080FF6" w:rsidRPr="00EB3224">
        <w:rPr>
          <w:lang w:val="fr-CH"/>
        </w:rPr>
        <w:t>Sur la base de la procédure indiquée ci-dessus, le comité de sélection a convenu à l'unanimité de recommander au Conseil de l'UIT la candidate suivante au</w:t>
      </w:r>
      <w:r w:rsidR="00AB6234">
        <w:rPr>
          <w:lang w:val="fr-CH"/>
        </w:rPr>
        <w:t xml:space="preserve"> poste de membre du </w:t>
      </w:r>
      <w:r w:rsidR="00080FF6" w:rsidRPr="00EB3224">
        <w:rPr>
          <w:lang w:val="fr-CH"/>
        </w:rPr>
        <w:t>CCIG pour le rest</w:t>
      </w:r>
      <w:r w:rsidR="00885378" w:rsidRPr="00EB3224">
        <w:rPr>
          <w:lang w:val="fr-CH"/>
        </w:rPr>
        <w:t>e</w:t>
      </w:r>
      <w:r w:rsidR="00080FF6" w:rsidRPr="00EB3224">
        <w:rPr>
          <w:lang w:val="fr-CH"/>
        </w:rPr>
        <w:t xml:space="preserve"> du mandat du membre ayant démissionné:</w:t>
      </w:r>
    </w:p>
    <w:p w:rsidR="00080FF6" w:rsidRPr="00EB3224" w:rsidRDefault="00080FF6" w:rsidP="00230651">
      <w:pPr>
        <w:jc w:val="center"/>
        <w:rPr>
          <w:lang w:val="fr-CH"/>
        </w:rPr>
      </w:pPr>
      <w:r w:rsidRPr="00EB3224">
        <w:rPr>
          <w:lang w:val="fr-CH"/>
        </w:rPr>
        <w:t>Mme Sarah HAMMER WILLIAMS, ressortissante des Etats-Unis d'Amérique.</w:t>
      </w:r>
    </w:p>
    <w:p w:rsidR="00080FF6" w:rsidRPr="00EB3224" w:rsidRDefault="00230651" w:rsidP="00885378">
      <w:pPr>
        <w:rPr>
          <w:lang w:val="fr-CH"/>
        </w:rPr>
      </w:pPr>
      <w:r w:rsidRPr="00EB3224">
        <w:rPr>
          <w:lang w:val="fr-CH"/>
        </w:rPr>
        <w:t>2</w:t>
      </w:r>
      <w:r w:rsidRPr="00EB3224">
        <w:rPr>
          <w:lang w:val="fr-CH"/>
        </w:rPr>
        <w:tab/>
      </w:r>
      <w:r w:rsidR="00080FF6" w:rsidRPr="00EB3224">
        <w:rPr>
          <w:lang w:val="fr-CH"/>
        </w:rPr>
        <w:t xml:space="preserve">La candidate recommandée a été reconnue </w:t>
      </w:r>
      <w:r w:rsidR="00885378" w:rsidRPr="00EB3224">
        <w:rPr>
          <w:lang w:val="fr-CH"/>
        </w:rPr>
        <w:t xml:space="preserve">possédant des qualifications appropriées </w:t>
      </w:r>
      <w:r w:rsidR="00080FF6" w:rsidRPr="00EB3224">
        <w:rPr>
          <w:lang w:val="fr-CH"/>
        </w:rPr>
        <w:t xml:space="preserve">lors de la procédure de sélection en 2015. En outre, cette candidature remplit les critères suivants – tels que définis dans les paragraphes 10 et 11 de l'Annexe de la Résolution 162 (Rév. Busan, 2014) de la Conférence de plénipotentiaires relatifs à la composition du CCIG: </w:t>
      </w:r>
      <w:r w:rsidR="00080FF6" w:rsidRPr="000A5E1C">
        <w:rPr>
          <w:lang w:val="fr-CH"/>
        </w:rPr>
        <w:t>i)</w:t>
      </w:r>
      <w:r w:rsidR="00080FF6" w:rsidRPr="00EB3224">
        <w:rPr>
          <w:i/>
          <w:iCs/>
          <w:lang w:val="fr-CH"/>
        </w:rPr>
        <w:t xml:space="preserve"> </w:t>
      </w:r>
      <w:r w:rsidR="00AB6234">
        <w:rPr>
          <w:lang w:val="fr-CH"/>
        </w:rPr>
        <w:t>aucun autre membre du </w:t>
      </w:r>
      <w:r w:rsidR="00080FF6" w:rsidRPr="00EB3224">
        <w:rPr>
          <w:lang w:val="fr-CH"/>
        </w:rPr>
        <w:t>CCIG n'est ressortissant du même Etat Membre</w:t>
      </w:r>
      <w:r w:rsidR="00080FF6" w:rsidRPr="000A5E1C">
        <w:rPr>
          <w:lang w:val="fr-CH"/>
        </w:rPr>
        <w:t>; ii)</w:t>
      </w:r>
      <w:r w:rsidR="00080FF6" w:rsidRPr="00EB3224">
        <w:rPr>
          <w:i/>
          <w:iCs/>
          <w:lang w:val="fr-CH"/>
        </w:rPr>
        <w:t xml:space="preserve"> </w:t>
      </w:r>
      <w:r w:rsidR="00080FF6" w:rsidRPr="00EB3224">
        <w:rPr>
          <w:lang w:val="fr-CH"/>
        </w:rPr>
        <w:t xml:space="preserve">la représentation des régions géographiques est conservée (même région géographique que Mme Vienneau); </w:t>
      </w:r>
      <w:r w:rsidR="00080FF6" w:rsidRPr="000A5E1C">
        <w:rPr>
          <w:lang w:val="fr-CH"/>
        </w:rPr>
        <w:t>iii)</w:t>
      </w:r>
      <w:r w:rsidR="00080FF6" w:rsidRPr="00EB3224">
        <w:rPr>
          <w:i/>
          <w:iCs/>
          <w:lang w:val="fr-CH"/>
        </w:rPr>
        <w:t xml:space="preserve"> </w:t>
      </w:r>
      <w:r w:rsidR="00080FF6" w:rsidRPr="00EB3224">
        <w:rPr>
          <w:lang w:val="fr-CH"/>
        </w:rPr>
        <w:t xml:space="preserve">l'équilibre entre les pays en développement et les pays développés au sein du CCIG est maintenu; </w:t>
      </w:r>
      <w:r w:rsidR="00080FF6" w:rsidRPr="000A5E1C">
        <w:rPr>
          <w:lang w:val="fr-CH"/>
        </w:rPr>
        <w:t>iv)</w:t>
      </w:r>
      <w:r w:rsidR="00080FF6" w:rsidRPr="00EB3224">
        <w:rPr>
          <w:lang w:val="fr-CH"/>
        </w:rPr>
        <w:t xml:space="preserve"> l'équilibre hommes/femmes est préservé; et </w:t>
      </w:r>
      <w:r w:rsidR="00080FF6" w:rsidRPr="000A5E1C">
        <w:rPr>
          <w:lang w:val="fr-CH"/>
        </w:rPr>
        <w:t>v)</w:t>
      </w:r>
      <w:r w:rsidR="00080FF6" w:rsidRPr="00EB3224">
        <w:rPr>
          <w:lang w:val="fr-CH"/>
        </w:rPr>
        <w:t xml:space="preserve"> cette candidate est dotée d'une expérience tant dans le secteur public que privé.</w:t>
      </w:r>
    </w:p>
    <w:p w:rsidR="00080FF6" w:rsidRPr="00EB3224" w:rsidRDefault="00230651" w:rsidP="00230651">
      <w:pPr>
        <w:rPr>
          <w:lang w:val="fr-CH"/>
        </w:rPr>
      </w:pPr>
      <w:r w:rsidRPr="00EB3224">
        <w:rPr>
          <w:lang w:val="fr-CH"/>
        </w:rPr>
        <w:t>3</w:t>
      </w:r>
      <w:r w:rsidRPr="00EB3224">
        <w:rPr>
          <w:lang w:val="fr-CH"/>
        </w:rPr>
        <w:tab/>
      </w:r>
      <w:r w:rsidR="00080FF6" w:rsidRPr="00EB3224">
        <w:rPr>
          <w:lang w:val="fr-CH"/>
        </w:rPr>
        <w:t xml:space="preserve">Le comité de sélection recommande au Conseil de l'UIT que, lorsqu'une offre d'engagement sera faite à la candidate ci-dessus, l'accent soit mis sur l'indépendance et la disponibilité, qualités indispensables aux membres du CCIG. </w:t>
      </w:r>
    </w:p>
    <w:p w:rsidR="00080FF6" w:rsidRPr="00EB3224" w:rsidRDefault="00230651" w:rsidP="00230651">
      <w:pPr>
        <w:rPr>
          <w:lang w:val="fr-CH"/>
        </w:rPr>
      </w:pPr>
      <w:r w:rsidRPr="00EB3224">
        <w:rPr>
          <w:lang w:val="fr-CH"/>
        </w:rPr>
        <w:t>4</w:t>
      </w:r>
      <w:r w:rsidRPr="00EB3224">
        <w:rPr>
          <w:lang w:val="fr-CH"/>
        </w:rPr>
        <w:tab/>
      </w:r>
      <w:r w:rsidR="00080FF6" w:rsidRPr="00EB3224">
        <w:rPr>
          <w:lang w:val="fr-CH"/>
        </w:rPr>
        <w:t>Conformément aux dispositions du paragraphe d) de l'Appendice B au mandat du CCIG, les renseignements concernant la candidate recommandée (sexe, nationalité, qualifications et expérience professionnelle) figurent dans l'Annexe A.</w:t>
      </w:r>
    </w:p>
    <w:p w:rsidR="00080FF6" w:rsidRPr="00EB3224" w:rsidRDefault="00230651" w:rsidP="00230651">
      <w:pPr>
        <w:rPr>
          <w:lang w:val="fr-CH"/>
        </w:rPr>
      </w:pPr>
      <w:r w:rsidRPr="00EB3224">
        <w:rPr>
          <w:lang w:val="fr-CH"/>
        </w:rPr>
        <w:t>5</w:t>
      </w:r>
      <w:r w:rsidRPr="00EB3224">
        <w:rPr>
          <w:lang w:val="fr-CH"/>
        </w:rPr>
        <w:tab/>
      </w:r>
      <w:r w:rsidR="00080FF6" w:rsidRPr="00EB3224">
        <w:rPr>
          <w:lang w:val="fr-CH"/>
        </w:rPr>
        <w:t>Le comité de sélection souhaiterait remercier le Secrétariat de l'UIT pour l'assistance qu'il a fournie au cours de cette procédure.</w:t>
      </w:r>
    </w:p>
    <w:p w:rsidR="00080FF6" w:rsidRPr="00EB3224" w:rsidRDefault="00080FF6" w:rsidP="000A5E1C">
      <w:pPr>
        <w:spacing w:before="1200"/>
        <w:rPr>
          <w:lang w:val="fr-CH"/>
        </w:rPr>
      </w:pPr>
      <w:r w:rsidRPr="00EB3224">
        <w:rPr>
          <w:lang w:val="fr-CH"/>
        </w:rPr>
        <w:t>[Annexes ci-après]</w:t>
      </w:r>
    </w:p>
    <w:p w:rsidR="00230651" w:rsidRPr="00EB3224" w:rsidRDefault="00230651" w:rsidP="0018694A">
      <w:pPr>
        <w:rPr>
          <w:lang w:val="fr-CH"/>
        </w:rPr>
      </w:pPr>
    </w:p>
    <w:p w:rsidR="00230651" w:rsidRPr="00EB3224" w:rsidRDefault="00230651" w:rsidP="0018694A">
      <w:pPr>
        <w:rPr>
          <w:lang w:val="fr-CH"/>
        </w:rPr>
        <w:sectPr w:rsidR="00230651" w:rsidRPr="00EB3224" w:rsidSect="005C3890">
          <w:headerReference w:type="even" r:id="rId12"/>
          <w:headerReference w:type="default" r:id="rId13"/>
          <w:footerReference w:type="even" r:id="rId14"/>
          <w:footerReference w:type="default" r:id="rId15"/>
          <w:footerReference w:type="first" r:id="rId16"/>
          <w:pgSz w:w="11907" w:h="16840" w:code="9"/>
          <w:pgMar w:top="1418" w:right="1134" w:bottom="1418" w:left="1134" w:header="720" w:footer="720" w:gutter="0"/>
          <w:paperSrc w:first="261" w:other="261"/>
          <w:cols w:space="720"/>
          <w:titlePg/>
        </w:sectPr>
      </w:pPr>
    </w:p>
    <w:p w:rsidR="00080FF6" w:rsidRPr="00EB3224" w:rsidRDefault="0050054D" w:rsidP="0050054D">
      <w:pPr>
        <w:pStyle w:val="AnnexNo"/>
        <w:spacing w:before="120" w:after="240"/>
        <w:rPr>
          <w:lang w:val="fr-CH"/>
        </w:rPr>
      </w:pPr>
      <w:r w:rsidRPr="00EB3224">
        <w:rPr>
          <w:lang w:val="fr-CH"/>
        </w:rPr>
        <w:lastRenderedPageBreak/>
        <w:t>Annexe A</w:t>
      </w:r>
    </w:p>
    <w:tbl>
      <w:tblPr>
        <w:tblStyle w:val="TableGrid"/>
        <w:tblW w:w="14312" w:type="dxa"/>
        <w:tblLook w:val="04A0" w:firstRow="1" w:lastRow="0" w:firstColumn="1" w:lastColumn="0" w:noHBand="0" w:noVBand="1"/>
      </w:tblPr>
      <w:tblGrid>
        <w:gridCol w:w="2798"/>
        <w:gridCol w:w="1030"/>
        <w:gridCol w:w="2268"/>
        <w:gridCol w:w="4394"/>
        <w:gridCol w:w="3822"/>
      </w:tblGrid>
      <w:tr w:rsidR="0050054D" w:rsidRPr="00EB3224" w:rsidTr="0050054D">
        <w:tc>
          <w:tcPr>
            <w:tcW w:w="6096" w:type="dxa"/>
            <w:gridSpan w:val="3"/>
            <w:tcBorders>
              <w:top w:val="nil"/>
              <w:left w:val="nil"/>
              <w:right w:val="nil"/>
            </w:tcBorders>
          </w:tcPr>
          <w:p w:rsidR="0050054D" w:rsidRPr="00EB3224" w:rsidRDefault="0050054D" w:rsidP="0050054D">
            <w:pPr>
              <w:pStyle w:val="Tablehead"/>
              <w:jc w:val="left"/>
              <w:rPr>
                <w:lang w:val="fr-CH"/>
              </w:rPr>
            </w:pPr>
            <w:r w:rsidRPr="00EB3224">
              <w:rPr>
                <w:lang w:val="fr-CH"/>
              </w:rPr>
              <w:t>Candidate sélectionnée pour le CCIG:</w:t>
            </w:r>
          </w:p>
        </w:tc>
        <w:tc>
          <w:tcPr>
            <w:tcW w:w="4394" w:type="dxa"/>
            <w:tcBorders>
              <w:top w:val="nil"/>
              <w:left w:val="nil"/>
              <w:right w:val="nil"/>
            </w:tcBorders>
          </w:tcPr>
          <w:p w:rsidR="0050054D" w:rsidRPr="00EB3224" w:rsidRDefault="0050054D" w:rsidP="0018694A">
            <w:pPr>
              <w:rPr>
                <w:lang w:val="fr-CH"/>
              </w:rPr>
            </w:pPr>
          </w:p>
        </w:tc>
        <w:tc>
          <w:tcPr>
            <w:tcW w:w="3822" w:type="dxa"/>
            <w:tcBorders>
              <w:top w:val="nil"/>
              <w:left w:val="nil"/>
              <w:right w:val="nil"/>
            </w:tcBorders>
          </w:tcPr>
          <w:p w:rsidR="0050054D" w:rsidRPr="00EB3224" w:rsidRDefault="0050054D" w:rsidP="0018694A">
            <w:pPr>
              <w:rPr>
                <w:lang w:val="fr-CH"/>
              </w:rPr>
            </w:pPr>
          </w:p>
        </w:tc>
      </w:tr>
      <w:tr w:rsidR="0050054D" w:rsidRPr="00EB3224" w:rsidTr="0050054D">
        <w:tc>
          <w:tcPr>
            <w:tcW w:w="2798" w:type="dxa"/>
            <w:shd w:val="clear" w:color="auto" w:fill="262626" w:themeFill="text1" w:themeFillTint="D9"/>
          </w:tcPr>
          <w:p w:rsidR="0050054D" w:rsidRPr="00EB3224" w:rsidRDefault="0050054D" w:rsidP="0050054D">
            <w:pPr>
              <w:pStyle w:val="Tablehead"/>
              <w:rPr>
                <w:lang w:val="fr-CH"/>
              </w:rPr>
            </w:pPr>
            <w:r w:rsidRPr="00EB3224">
              <w:rPr>
                <w:lang w:val="fr-CH"/>
              </w:rPr>
              <w:t>Nom de famille</w:t>
            </w:r>
          </w:p>
        </w:tc>
        <w:tc>
          <w:tcPr>
            <w:tcW w:w="1030" w:type="dxa"/>
            <w:shd w:val="clear" w:color="auto" w:fill="262626" w:themeFill="text1" w:themeFillTint="D9"/>
          </w:tcPr>
          <w:p w:rsidR="0050054D" w:rsidRPr="00EB3224" w:rsidRDefault="0050054D" w:rsidP="0050054D">
            <w:pPr>
              <w:pStyle w:val="Tablehead"/>
              <w:rPr>
                <w:lang w:val="fr-CH"/>
              </w:rPr>
            </w:pPr>
            <w:r w:rsidRPr="00EB3224">
              <w:rPr>
                <w:lang w:val="fr-CH"/>
              </w:rPr>
              <w:t>Sexe</w:t>
            </w:r>
          </w:p>
        </w:tc>
        <w:tc>
          <w:tcPr>
            <w:tcW w:w="2268" w:type="dxa"/>
            <w:shd w:val="clear" w:color="auto" w:fill="262626" w:themeFill="text1" w:themeFillTint="D9"/>
          </w:tcPr>
          <w:p w:rsidR="0050054D" w:rsidRPr="00EB3224" w:rsidRDefault="0050054D" w:rsidP="0050054D">
            <w:pPr>
              <w:pStyle w:val="Tablehead"/>
              <w:rPr>
                <w:lang w:val="fr-CH"/>
              </w:rPr>
            </w:pPr>
            <w:r w:rsidRPr="00EB3224">
              <w:rPr>
                <w:lang w:val="fr-CH"/>
              </w:rPr>
              <w:t>Nationalité</w:t>
            </w:r>
          </w:p>
        </w:tc>
        <w:tc>
          <w:tcPr>
            <w:tcW w:w="4394" w:type="dxa"/>
            <w:shd w:val="clear" w:color="auto" w:fill="262626" w:themeFill="text1" w:themeFillTint="D9"/>
          </w:tcPr>
          <w:p w:rsidR="0050054D" w:rsidRPr="00EB3224" w:rsidRDefault="0050054D" w:rsidP="0050054D">
            <w:pPr>
              <w:pStyle w:val="Tablehead"/>
              <w:rPr>
                <w:lang w:val="fr-CH"/>
              </w:rPr>
            </w:pPr>
            <w:r w:rsidRPr="00EB3224">
              <w:rPr>
                <w:lang w:val="fr-CH"/>
              </w:rPr>
              <w:t>Qualification</w:t>
            </w:r>
          </w:p>
        </w:tc>
        <w:tc>
          <w:tcPr>
            <w:tcW w:w="3822" w:type="dxa"/>
            <w:shd w:val="clear" w:color="auto" w:fill="262626" w:themeFill="text1" w:themeFillTint="D9"/>
          </w:tcPr>
          <w:p w:rsidR="0050054D" w:rsidRPr="00EB3224" w:rsidRDefault="0050054D" w:rsidP="0050054D">
            <w:pPr>
              <w:pStyle w:val="Tablehead"/>
              <w:rPr>
                <w:lang w:val="fr-CH"/>
              </w:rPr>
            </w:pPr>
            <w:r w:rsidRPr="00EB3224">
              <w:rPr>
                <w:lang w:val="fr-CH"/>
              </w:rPr>
              <w:t>Expérience professionnelle</w:t>
            </w:r>
          </w:p>
        </w:tc>
      </w:tr>
      <w:tr w:rsidR="0050054D" w:rsidRPr="00EB3224" w:rsidTr="0050054D">
        <w:tc>
          <w:tcPr>
            <w:tcW w:w="2798" w:type="dxa"/>
          </w:tcPr>
          <w:p w:rsidR="0050054D" w:rsidRPr="00EB3224" w:rsidRDefault="0050054D" w:rsidP="000A5E1C">
            <w:pPr>
              <w:pStyle w:val="Tabletext"/>
              <w:rPr>
                <w:lang w:val="fr-CH"/>
              </w:rPr>
            </w:pPr>
            <w:r w:rsidRPr="00EB3224">
              <w:rPr>
                <w:lang w:val="fr-CH"/>
              </w:rPr>
              <w:t>HAMMER WILLIAMS Sarah</w:t>
            </w:r>
          </w:p>
        </w:tc>
        <w:tc>
          <w:tcPr>
            <w:tcW w:w="1030" w:type="dxa"/>
          </w:tcPr>
          <w:p w:rsidR="0050054D" w:rsidRPr="00EB3224" w:rsidRDefault="0050054D" w:rsidP="0050054D">
            <w:pPr>
              <w:pStyle w:val="Tabletext"/>
              <w:rPr>
                <w:lang w:val="fr-CH"/>
              </w:rPr>
            </w:pPr>
            <w:r w:rsidRPr="00EB3224">
              <w:rPr>
                <w:lang w:val="fr-CH"/>
              </w:rPr>
              <w:t>Femme</w:t>
            </w:r>
          </w:p>
        </w:tc>
        <w:tc>
          <w:tcPr>
            <w:tcW w:w="2268" w:type="dxa"/>
          </w:tcPr>
          <w:p w:rsidR="0050054D" w:rsidRPr="00EB3224" w:rsidRDefault="0050054D" w:rsidP="0050054D">
            <w:pPr>
              <w:pStyle w:val="Tabletext"/>
              <w:rPr>
                <w:lang w:val="fr-CH"/>
              </w:rPr>
            </w:pPr>
            <w:r w:rsidRPr="00EB3224">
              <w:rPr>
                <w:szCs w:val="24"/>
                <w:lang w:val="fr-CH" w:eastAsia="en-AU"/>
              </w:rPr>
              <w:t>Etats-Unis d'Amérique</w:t>
            </w:r>
          </w:p>
        </w:tc>
        <w:tc>
          <w:tcPr>
            <w:tcW w:w="4394" w:type="dxa"/>
          </w:tcPr>
          <w:p w:rsidR="0050054D" w:rsidRPr="00EB3224" w:rsidRDefault="0050054D" w:rsidP="0050054D">
            <w:pPr>
              <w:pStyle w:val="Tabletext"/>
              <w:ind w:left="459" w:hanging="459"/>
              <w:rPr>
                <w:lang w:val="fr-CH"/>
              </w:rPr>
            </w:pPr>
            <w:r w:rsidRPr="00EB3224">
              <w:rPr>
                <w:lang w:val="fr-CH"/>
              </w:rPr>
              <w:t>–</w:t>
            </w:r>
            <w:r w:rsidRPr="00EB3224">
              <w:rPr>
                <w:lang w:val="fr-CH"/>
              </w:rPr>
              <w:tab/>
              <w:t xml:space="preserve">Doctorat en jurisprudence, réglementation financière et imposition, </w:t>
            </w:r>
            <w:r w:rsidRPr="00EB3224">
              <w:rPr>
                <w:i/>
                <w:iCs/>
                <w:lang w:val="fr-CH"/>
              </w:rPr>
              <w:t>University of Pennsylvania Law School</w:t>
            </w:r>
          </w:p>
          <w:p w:rsidR="0050054D" w:rsidRPr="00EB3224" w:rsidRDefault="0050054D" w:rsidP="0050054D">
            <w:pPr>
              <w:pStyle w:val="Tabletext"/>
              <w:ind w:left="459" w:hanging="459"/>
              <w:rPr>
                <w:lang w:val="fr-CH"/>
              </w:rPr>
            </w:pPr>
            <w:r w:rsidRPr="00EB3224">
              <w:rPr>
                <w:lang w:val="fr-CH"/>
              </w:rPr>
              <w:t>–</w:t>
            </w:r>
            <w:r w:rsidRPr="00EB3224">
              <w:rPr>
                <w:lang w:val="fr-CH"/>
              </w:rPr>
              <w:tab/>
              <w:t xml:space="preserve">Maîtrise en droit international et droits de l'homme, </w:t>
            </w:r>
            <w:r w:rsidRPr="00EB3224">
              <w:rPr>
                <w:i/>
                <w:iCs/>
                <w:lang w:val="fr-CH"/>
              </w:rPr>
              <w:t>Oxford University</w:t>
            </w:r>
          </w:p>
          <w:p w:rsidR="0050054D" w:rsidRPr="00EB3224" w:rsidRDefault="0050054D" w:rsidP="0050054D">
            <w:pPr>
              <w:pStyle w:val="Tabletext"/>
              <w:ind w:left="459" w:hanging="459"/>
              <w:rPr>
                <w:lang w:val="fr-CH"/>
              </w:rPr>
            </w:pPr>
            <w:r w:rsidRPr="00EB3224">
              <w:rPr>
                <w:lang w:val="fr-CH"/>
              </w:rPr>
              <w:t>–</w:t>
            </w:r>
            <w:r w:rsidRPr="00EB3224">
              <w:rPr>
                <w:lang w:val="fr-CH"/>
              </w:rPr>
              <w:tab/>
              <w:t xml:space="preserve">Maîtrise en gestion d'entreprise, finance et statistiques, </w:t>
            </w:r>
            <w:r w:rsidRPr="00EB3224">
              <w:rPr>
                <w:i/>
                <w:iCs/>
                <w:lang w:val="fr-CH"/>
              </w:rPr>
              <w:t>Wharton School, University of Pennsylvania</w:t>
            </w:r>
          </w:p>
          <w:p w:rsidR="0050054D" w:rsidRPr="00EB3224" w:rsidRDefault="0050054D" w:rsidP="0050054D">
            <w:pPr>
              <w:pStyle w:val="Tabletext"/>
              <w:ind w:left="459" w:hanging="459"/>
              <w:rPr>
                <w:lang w:val="fr-CH"/>
              </w:rPr>
            </w:pPr>
            <w:r w:rsidRPr="00EB3224">
              <w:rPr>
                <w:lang w:val="fr-CH"/>
              </w:rPr>
              <w:t>–</w:t>
            </w:r>
            <w:r w:rsidRPr="00EB3224">
              <w:rPr>
                <w:lang w:val="fr-CH"/>
              </w:rPr>
              <w:tab/>
              <w:t xml:space="preserve">Licence en sciences politiques, </w:t>
            </w:r>
            <w:r w:rsidRPr="00EB3224">
              <w:rPr>
                <w:i/>
                <w:iCs/>
                <w:lang w:val="fr-CH"/>
              </w:rPr>
              <w:t>Carleton College</w:t>
            </w:r>
          </w:p>
          <w:p w:rsidR="0050054D" w:rsidRPr="00EB3224" w:rsidRDefault="0050054D" w:rsidP="0050054D">
            <w:pPr>
              <w:pStyle w:val="Tabletext"/>
              <w:ind w:left="459" w:hanging="459"/>
              <w:rPr>
                <w:lang w:val="fr-CH"/>
              </w:rPr>
            </w:pPr>
            <w:r w:rsidRPr="00EB3224">
              <w:rPr>
                <w:lang w:val="fr-CH"/>
              </w:rPr>
              <w:t>–</w:t>
            </w:r>
            <w:r w:rsidRPr="00EB3224">
              <w:rPr>
                <w:lang w:val="fr-CH"/>
              </w:rPr>
              <w:tab/>
              <w:t xml:space="preserve">Certifications: Prise de décisions stratégiques et gestion des risques – </w:t>
            </w:r>
            <w:r w:rsidRPr="00EB3224">
              <w:rPr>
                <w:i/>
                <w:iCs/>
                <w:lang w:val="fr-CH"/>
              </w:rPr>
              <w:t>Stanford University</w:t>
            </w:r>
            <w:r w:rsidRPr="00EB3224">
              <w:rPr>
                <w:lang w:val="fr-CH"/>
              </w:rPr>
              <w:t xml:space="preserve">; Analyse des mégadonnées – </w:t>
            </w:r>
            <w:r w:rsidRPr="00EB3224">
              <w:rPr>
                <w:i/>
                <w:iCs/>
                <w:lang w:val="fr-CH"/>
              </w:rPr>
              <w:t>Massachusetts Institute of Technology</w:t>
            </w:r>
          </w:p>
        </w:tc>
        <w:tc>
          <w:tcPr>
            <w:tcW w:w="3822" w:type="dxa"/>
          </w:tcPr>
          <w:p w:rsidR="0050054D" w:rsidRPr="00EB3224" w:rsidRDefault="0050054D" w:rsidP="00550F57">
            <w:pPr>
              <w:pStyle w:val="Tabletext"/>
              <w:tabs>
                <w:tab w:val="left" w:pos="459"/>
              </w:tabs>
              <w:ind w:left="459" w:hanging="459"/>
              <w:rPr>
                <w:lang w:val="fr-CH"/>
              </w:rPr>
            </w:pPr>
            <w:r w:rsidRPr="00EB3224">
              <w:rPr>
                <w:lang w:val="fr-CH"/>
              </w:rPr>
              <w:t>–</w:t>
            </w:r>
            <w:r w:rsidRPr="00EB3224">
              <w:rPr>
                <w:lang w:val="fr-CH"/>
              </w:rPr>
              <w:tab/>
            </w:r>
            <w:r w:rsidR="00550F57" w:rsidRPr="00EB3224">
              <w:rPr>
                <w:lang w:val="fr-CH"/>
              </w:rPr>
              <w:t>Compétences approfondies et savoir-faire étendu en finance, droit, gestion des risques, gouvernance et innovation technologique</w:t>
            </w:r>
          </w:p>
          <w:p w:rsidR="0050054D" w:rsidRPr="00EB3224" w:rsidRDefault="0050054D" w:rsidP="00550F57">
            <w:pPr>
              <w:pStyle w:val="Tabletext"/>
              <w:tabs>
                <w:tab w:val="left" w:pos="459"/>
              </w:tabs>
              <w:ind w:left="459" w:hanging="459"/>
              <w:rPr>
                <w:lang w:val="fr-CH"/>
              </w:rPr>
            </w:pPr>
            <w:r w:rsidRPr="00EB3224">
              <w:rPr>
                <w:lang w:val="fr-CH"/>
              </w:rPr>
              <w:t>–</w:t>
            </w:r>
            <w:r w:rsidRPr="00EB3224">
              <w:rPr>
                <w:lang w:val="fr-CH"/>
              </w:rPr>
              <w:tab/>
            </w:r>
            <w:r w:rsidR="00550F57" w:rsidRPr="00EB3224">
              <w:rPr>
                <w:lang w:val="fr-CH"/>
              </w:rPr>
              <w:t>Directrice principale de l'Initiative pour les investissements alternatifs à la Wharton School de l'</w:t>
            </w:r>
            <w:r w:rsidR="00550F57" w:rsidRPr="00EB3224">
              <w:rPr>
                <w:i/>
                <w:iCs/>
                <w:lang w:val="fr-CH"/>
              </w:rPr>
              <w:t>University of Pennsylvania</w:t>
            </w:r>
            <w:r w:rsidR="00550F57" w:rsidRPr="00EB3224">
              <w:rPr>
                <w:lang w:val="fr-CH"/>
              </w:rPr>
              <w:t xml:space="preserve">; auparavant Vice-Secrétaire adjointe par intérim pour les institutions financières et Directrice du Bureau des politiques des institutions financières du </w:t>
            </w:r>
            <w:r w:rsidR="000A5E1C">
              <w:rPr>
                <w:lang w:val="fr-CH"/>
              </w:rPr>
              <w:t>Département du Trésor des Etats</w:t>
            </w:r>
            <w:r w:rsidR="000A5E1C">
              <w:rPr>
                <w:lang w:val="fr-CH"/>
              </w:rPr>
              <w:noBreakHyphen/>
            </w:r>
            <w:r w:rsidR="00550F57" w:rsidRPr="00EB3224">
              <w:rPr>
                <w:lang w:val="fr-CH"/>
              </w:rPr>
              <w:t>Unis</w:t>
            </w:r>
          </w:p>
          <w:p w:rsidR="0050054D" w:rsidRPr="00EB3224" w:rsidRDefault="0050054D" w:rsidP="00550F57">
            <w:pPr>
              <w:pStyle w:val="Tabletext"/>
              <w:tabs>
                <w:tab w:val="left" w:pos="459"/>
              </w:tabs>
              <w:ind w:left="459" w:hanging="459"/>
              <w:rPr>
                <w:lang w:val="fr-CH"/>
              </w:rPr>
            </w:pPr>
            <w:r w:rsidRPr="00EB3224">
              <w:rPr>
                <w:lang w:val="fr-CH"/>
              </w:rPr>
              <w:t>–</w:t>
            </w:r>
            <w:r w:rsidRPr="00EB3224">
              <w:rPr>
                <w:lang w:val="fr-CH"/>
              </w:rPr>
              <w:tab/>
            </w:r>
            <w:r w:rsidR="00550F57" w:rsidRPr="00EB3224">
              <w:rPr>
                <w:lang w:val="fr-CH"/>
              </w:rPr>
              <w:t>Professeur adjointe de droit à l'</w:t>
            </w:r>
            <w:r w:rsidR="00550F57" w:rsidRPr="00EB3224">
              <w:rPr>
                <w:i/>
                <w:iCs/>
                <w:lang w:val="fr-CH"/>
              </w:rPr>
              <w:t>University of Pennsylvania Law School</w:t>
            </w:r>
          </w:p>
          <w:p w:rsidR="0050054D" w:rsidRPr="00EB3224" w:rsidRDefault="0050054D" w:rsidP="00885378">
            <w:pPr>
              <w:pStyle w:val="Tabletext"/>
              <w:tabs>
                <w:tab w:val="left" w:pos="459"/>
              </w:tabs>
              <w:ind w:left="459" w:hanging="459"/>
              <w:rPr>
                <w:lang w:val="fr-CH"/>
              </w:rPr>
            </w:pPr>
            <w:r w:rsidRPr="00EB3224">
              <w:rPr>
                <w:lang w:val="fr-CH"/>
              </w:rPr>
              <w:t>–</w:t>
            </w:r>
            <w:r w:rsidRPr="00EB3224">
              <w:rPr>
                <w:lang w:val="fr-CH"/>
              </w:rPr>
              <w:tab/>
            </w:r>
            <w:r w:rsidR="00550F57" w:rsidRPr="00EB3224">
              <w:rPr>
                <w:lang w:val="fr-CH"/>
              </w:rPr>
              <w:t xml:space="preserve">A occupé plusieurs postes à responsabilités dans le domaine des services financiers: en gestion, gestion de portefeuille, </w:t>
            </w:r>
            <w:r w:rsidR="00885378" w:rsidRPr="00EB3224">
              <w:rPr>
                <w:lang w:val="fr-CH"/>
              </w:rPr>
              <w:t>négoce</w:t>
            </w:r>
            <w:r w:rsidR="00550F57" w:rsidRPr="00EB3224">
              <w:rPr>
                <w:lang w:val="fr-CH"/>
              </w:rPr>
              <w:t xml:space="preserve">, </w:t>
            </w:r>
            <w:r w:rsidR="00885378" w:rsidRPr="00EB3224">
              <w:rPr>
                <w:lang w:val="fr-CH"/>
              </w:rPr>
              <w:t>commercialisation</w:t>
            </w:r>
            <w:r w:rsidR="00550F57" w:rsidRPr="00EB3224">
              <w:rPr>
                <w:lang w:val="fr-CH"/>
              </w:rPr>
              <w:t>, recherche et analyses</w:t>
            </w:r>
          </w:p>
        </w:tc>
      </w:tr>
    </w:tbl>
    <w:p w:rsidR="008B4BB6" w:rsidRPr="00EB3224" w:rsidRDefault="008B4BB6" w:rsidP="0018694A">
      <w:pPr>
        <w:rPr>
          <w:lang w:val="fr-CH"/>
        </w:rPr>
        <w:sectPr w:rsidR="008B4BB6" w:rsidRPr="00EB3224" w:rsidSect="0050054D">
          <w:headerReference w:type="first" r:id="rId17"/>
          <w:footerReference w:type="first" r:id="rId18"/>
          <w:pgSz w:w="16840" w:h="11907" w:orient="landscape" w:code="9"/>
          <w:pgMar w:top="1134" w:right="1418" w:bottom="1134" w:left="1418" w:header="720" w:footer="720" w:gutter="0"/>
          <w:paperSrc w:first="261" w:other="261"/>
          <w:cols w:space="720"/>
          <w:titlePg/>
          <w:docGrid w:linePitch="326"/>
        </w:sectPr>
      </w:pPr>
    </w:p>
    <w:p w:rsidR="00080FF6" w:rsidRPr="00EB3224" w:rsidRDefault="00C7345B" w:rsidP="00F4779E">
      <w:pPr>
        <w:pStyle w:val="AnnexNo"/>
        <w:spacing w:before="120"/>
        <w:rPr>
          <w:lang w:val="fr-CH"/>
        </w:rPr>
      </w:pPr>
      <w:r w:rsidRPr="00EB3224">
        <w:rPr>
          <w:lang w:val="fr-CH"/>
        </w:rPr>
        <w:lastRenderedPageBreak/>
        <w:t>ANNEXE B</w:t>
      </w:r>
    </w:p>
    <w:p w:rsidR="00C7345B" w:rsidRPr="00EB3224" w:rsidRDefault="00C7345B" w:rsidP="00F4779E">
      <w:pPr>
        <w:pStyle w:val="ResNo"/>
        <w:spacing w:before="480"/>
        <w:rPr>
          <w:lang w:val="fr-CH"/>
        </w:rPr>
      </w:pPr>
      <w:r w:rsidRPr="00EB3224">
        <w:rPr>
          <w:lang w:val="fr-CH"/>
        </w:rPr>
        <w:t>PROJET DE DÉCISION</w:t>
      </w:r>
    </w:p>
    <w:p w:rsidR="00C7345B" w:rsidRPr="00EB3224" w:rsidRDefault="00C7345B" w:rsidP="00BA0EF5">
      <w:pPr>
        <w:pStyle w:val="Restitle"/>
        <w:rPr>
          <w:lang w:val="fr-CH"/>
        </w:rPr>
      </w:pPr>
      <w:r w:rsidRPr="00EB3224">
        <w:rPr>
          <w:lang w:val="fr-CH"/>
        </w:rPr>
        <w:t>Nomination d'u</w:t>
      </w:r>
      <w:bookmarkStart w:id="8" w:name="_GoBack"/>
      <w:bookmarkEnd w:id="8"/>
      <w:r w:rsidRPr="00EB3224">
        <w:rPr>
          <w:lang w:val="fr-CH"/>
        </w:rPr>
        <w:t xml:space="preserve">n remplaçant </w:t>
      </w:r>
      <w:r w:rsidR="00BA0EF5" w:rsidRPr="00EB3224">
        <w:rPr>
          <w:lang w:val="fr-CH"/>
        </w:rPr>
        <w:t>au</w:t>
      </w:r>
      <w:r w:rsidRPr="00EB3224">
        <w:rPr>
          <w:lang w:val="fr-CH"/>
        </w:rPr>
        <w:t xml:space="preserve"> Comité consultatif </w:t>
      </w:r>
      <w:r w:rsidRPr="00EB3224">
        <w:rPr>
          <w:lang w:val="fr-CH"/>
        </w:rPr>
        <w:br/>
        <w:t>indépendant pour les questions de gestion (CCIG)</w:t>
      </w:r>
    </w:p>
    <w:p w:rsidR="00C7345B" w:rsidRPr="00EB3224" w:rsidRDefault="00C7345B" w:rsidP="00C7345B">
      <w:pPr>
        <w:spacing w:before="360"/>
        <w:rPr>
          <w:lang w:val="fr-CH"/>
        </w:rPr>
      </w:pPr>
      <w:r w:rsidRPr="00EB3224">
        <w:rPr>
          <w:lang w:val="fr-CH"/>
        </w:rPr>
        <w:t>Le Conseil,</w:t>
      </w:r>
    </w:p>
    <w:p w:rsidR="00C7345B" w:rsidRPr="00EB3224" w:rsidRDefault="00C7345B" w:rsidP="00C7345B">
      <w:pPr>
        <w:pStyle w:val="Call"/>
        <w:rPr>
          <w:lang w:val="fr-CH"/>
        </w:rPr>
      </w:pPr>
      <w:r w:rsidRPr="00EB3224">
        <w:rPr>
          <w:lang w:val="fr-CH"/>
        </w:rPr>
        <w:t>considérant</w:t>
      </w:r>
    </w:p>
    <w:p w:rsidR="00C7345B" w:rsidRPr="00EB3224" w:rsidRDefault="00C7345B" w:rsidP="00C7345B">
      <w:pPr>
        <w:rPr>
          <w:lang w:val="fr-CH"/>
        </w:rPr>
      </w:pPr>
      <w:r w:rsidRPr="00EB3224">
        <w:rPr>
          <w:lang w:val="fr-CH"/>
        </w:rPr>
        <w:t>le rapport du comité de sélection du CCIG pour la nomination du remplaçant de Mme Aline VIENNEAU, du Canada, ayant démissionné du CCIG,</w:t>
      </w:r>
    </w:p>
    <w:p w:rsidR="00C7345B" w:rsidRPr="00EB3224" w:rsidRDefault="00C7345B" w:rsidP="00C7345B">
      <w:pPr>
        <w:pStyle w:val="Call"/>
        <w:rPr>
          <w:lang w:val="fr-CH"/>
        </w:rPr>
      </w:pPr>
      <w:r w:rsidRPr="00EB3224">
        <w:rPr>
          <w:lang w:val="fr-CH"/>
        </w:rPr>
        <w:t>tenant compte</w:t>
      </w:r>
    </w:p>
    <w:p w:rsidR="00C7345B" w:rsidRPr="00EB3224" w:rsidRDefault="00C7345B" w:rsidP="00BA0EF5">
      <w:pPr>
        <w:rPr>
          <w:lang w:val="fr-CH"/>
        </w:rPr>
      </w:pPr>
      <w:r w:rsidRPr="00EB3224">
        <w:rPr>
          <w:lang w:val="fr-CH"/>
        </w:rPr>
        <w:t xml:space="preserve">du mandat du CCIG, figurant dans l'Annexe de la Résolution 162 (Rév. Busan, 2014) de la Conférence de plénipotentiaires, et, en particulier, des dispositions énoncées dans l'Appendice B de ce mandat, </w:t>
      </w:r>
      <w:r w:rsidR="00BA0EF5" w:rsidRPr="00EB3224">
        <w:rPr>
          <w:lang w:val="fr-CH"/>
        </w:rPr>
        <w:t>afin de</w:t>
      </w:r>
      <w:r w:rsidRPr="00EB3224">
        <w:rPr>
          <w:lang w:val="fr-CH"/>
        </w:rPr>
        <w:t xml:space="preserve"> pourvoir un poste devenu vacant au cours d'un mandat du CCIG pour </w:t>
      </w:r>
      <w:r w:rsidR="00BA0EF5" w:rsidRPr="00EB3224">
        <w:rPr>
          <w:lang w:val="fr-CH"/>
        </w:rPr>
        <w:t>quelque</w:t>
      </w:r>
      <w:r w:rsidRPr="00EB3224">
        <w:rPr>
          <w:lang w:val="fr-CH"/>
        </w:rPr>
        <w:t xml:space="preserve"> raison </w:t>
      </w:r>
      <w:r w:rsidR="00BA0EF5" w:rsidRPr="00EB3224">
        <w:rPr>
          <w:lang w:val="fr-CH"/>
        </w:rPr>
        <w:t>que ce soit</w:t>
      </w:r>
      <w:r w:rsidRPr="00EB3224">
        <w:rPr>
          <w:lang w:val="fr-CH"/>
        </w:rPr>
        <w:t>,</w:t>
      </w:r>
    </w:p>
    <w:p w:rsidR="00C7345B" w:rsidRPr="00EB3224" w:rsidRDefault="00C7345B" w:rsidP="00C7345B">
      <w:pPr>
        <w:pStyle w:val="Call"/>
        <w:rPr>
          <w:lang w:val="fr-CH"/>
        </w:rPr>
      </w:pPr>
      <w:r w:rsidRPr="00EB3224">
        <w:rPr>
          <w:lang w:val="fr-CH"/>
        </w:rPr>
        <w:t>décide</w:t>
      </w:r>
    </w:p>
    <w:p w:rsidR="00C7345B" w:rsidRPr="00EB3224" w:rsidRDefault="00C7345B" w:rsidP="00733780">
      <w:pPr>
        <w:rPr>
          <w:lang w:val="fr-CH"/>
        </w:rPr>
      </w:pPr>
      <w:r w:rsidRPr="00EB3224">
        <w:rPr>
          <w:lang w:val="fr-CH"/>
        </w:rPr>
        <w:t>de nommer l'experte indépendante suivante en tant que membre du CCIG, pour le rest</w:t>
      </w:r>
      <w:r w:rsidR="00733780">
        <w:rPr>
          <w:lang w:val="fr-CH"/>
        </w:rPr>
        <w:t>e</w:t>
      </w:r>
      <w:r w:rsidRPr="00EB3224">
        <w:rPr>
          <w:lang w:val="fr-CH"/>
        </w:rPr>
        <w:t xml:space="preserve"> du mandat du membre ayant démissionné, c'est-à-dire jusqu'au 1er janvier 2020:</w:t>
      </w:r>
    </w:p>
    <w:p w:rsidR="00230651" w:rsidRPr="00EB3224" w:rsidRDefault="00C7345B" w:rsidP="00C7345B">
      <w:pPr>
        <w:jc w:val="center"/>
        <w:rPr>
          <w:lang w:val="fr-CH"/>
        </w:rPr>
      </w:pPr>
      <w:r w:rsidRPr="00EB3224">
        <w:rPr>
          <w:lang w:val="fr-CH"/>
        </w:rPr>
        <w:t>Mme Sarah HAMMER WILLIAMS, ressortissante des Etats-Unis d'Amérique.</w:t>
      </w:r>
    </w:p>
    <w:p w:rsidR="00230651" w:rsidRPr="00EB3224" w:rsidRDefault="00230651" w:rsidP="0018694A">
      <w:pPr>
        <w:rPr>
          <w:lang w:val="fr-CH"/>
        </w:rPr>
      </w:pPr>
    </w:p>
    <w:p w:rsidR="00C7345B" w:rsidRPr="00EB3224" w:rsidRDefault="00C7345B" w:rsidP="0032202E">
      <w:pPr>
        <w:pStyle w:val="Reasons"/>
        <w:rPr>
          <w:lang w:val="fr-CH"/>
        </w:rPr>
      </w:pPr>
    </w:p>
    <w:p w:rsidR="00230651" w:rsidRPr="00EB3224" w:rsidRDefault="00C7345B" w:rsidP="000A5E1C">
      <w:pPr>
        <w:jc w:val="center"/>
        <w:rPr>
          <w:lang w:val="fr-CH"/>
        </w:rPr>
      </w:pPr>
      <w:r w:rsidRPr="00EB3224">
        <w:rPr>
          <w:lang w:val="fr-CH"/>
        </w:rPr>
        <w:t>______________</w:t>
      </w:r>
    </w:p>
    <w:sectPr w:rsidR="00230651" w:rsidRPr="00EB3224" w:rsidSect="008B4BB6">
      <w:pgSz w:w="11907" w:h="16840" w:code="9"/>
      <w:pgMar w:top="1418" w:right="1134" w:bottom="1418" w:left="1134" w:header="720" w:footer="720" w:gutter="0"/>
      <w:paperSrc w:first="261" w:other="26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4300" w:rsidRDefault="007F4300">
      <w:r>
        <w:separator/>
      </w:r>
    </w:p>
  </w:endnote>
  <w:endnote w:type="continuationSeparator" w:id="0">
    <w:p w:rsidR="007F4300" w:rsidRDefault="007F4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0A5E1C">
    <w:pPr>
      <w:pStyle w:val="Footer"/>
    </w:pPr>
    <w:r>
      <w:fldChar w:fldCharType="begin"/>
    </w:r>
    <w:r>
      <w:instrText xml:space="preserve"> FILENAME \p \* MERGEFORMAT </w:instrText>
    </w:r>
    <w:r>
      <w:fldChar w:fldCharType="separate"/>
    </w:r>
    <w:r w:rsidR="00D109C0">
      <w:t>P:\FRA\SG\CONSEIL\C18\000\073F.docx</w:t>
    </w:r>
    <w:r>
      <w:fldChar w:fldCharType="end"/>
    </w:r>
    <w:r w:rsidR="00732045">
      <w:tab/>
    </w:r>
    <w:r w:rsidR="002F1B76">
      <w:fldChar w:fldCharType="begin"/>
    </w:r>
    <w:r w:rsidR="00732045">
      <w:instrText xml:space="preserve"> savedate \@ dd.MM.yy </w:instrText>
    </w:r>
    <w:r w:rsidR="002F1B76">
      <w:fldChar w:fldCharType="separate"/>
    </w:r>
    <w:r w:rsidR="00AB6234">
      <w:t>13.04.18</w:t>
    </w:r>
    <w:r w:rsidR="002F1B76">
      <w:fldChar w:fldCharType="end"/>
    </w:r>
    <w:r w:rsidR="00732045">
      <w:tab/>
    </w:r>
    <w:r w:rsidR="002F1B76">
      <w:fldChar w:fldCharType="begin"/>
    </w:r>
    <w:r w:rsidR="00732045">
      <w:instrText xml:space="preserve"> printdate \@ dd.MM.yy </w:instrText>
    </w:r>
    <w:r w:rsidR="002F1B76">
      <w:fldChar w:fldCharType="separate"/>
    </w:r>
    <w:r w:rsidR="00D109C0">
      <w:t>13.04.18</w:t>
    </w:r>
    <w:r w:rsidR="002F1B7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4BB6" w:rsidRDefault="008B4BB6" w:rsidP="008B4BB6">
    <w:pPr>
      <w:pStyle w:val="Footer"/>
    </w:pPr>
    <w:fldSimple w:instr=" FILENAME \p \* MERGEFORMAT ">
      <w:r w:rsidR="00D109C0">
        <w:t>P:\FRA\SG\CONSEIL\C18\000\073F.docx</w:t>
      </w:r>
    </w:fldSimple>
    <w:r>
      <w:t xml:space="preserve"> (433833)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pPr>
      <w:spacing w:after="120"/>
      <w:jc w:val="center"/>
    </w:pPr>
    <w:r>
      <w:t xml:space="preserve">• </w:t>
    </w:r>
    <w:hyperlink r:id="rId1" w:history="1">
      <w:r>
        <w:rPr>
          <w:rStyle w:val="Hyperlink"/>
        </w:rPr>
        <w:t>http://www.itu.int/council</w:t>
      </w:r>
    </w:hyperlink>
    <w: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4BB6" w:rsidRDefault="008B4BB6" w:rsidP="008B4BB6">
    <w:pPr>
      <w:pStyle w:val="Footer"/>
    </w:pPr>
    <w:fldSimple w:instr=" FILENAME \p \* MERGEFORMAT ">
      <w:r w:rsidR="00D109C0">
        <w:t>P:\FRA\SG\CONSEIL\C18\000\073F.docx</w:t>
      </w:r>
    </w:fldSimple>
    <w:r>
      <w:t xml:space="preserve"> (433833)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4300" w:rsidRDefault="007F4300">
      <w:r>
        <w:t>____________________</w:t>
      </w:r>
    </w:p>
  </w:footnote>
  <w:footnote w:type="continuationSeparator" w:id="0">
    <w:p w:rsidR="007F4300" w:rsidRDefault="007F43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rsidR="00732045" w:rsidRDefault="00732045">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C27A7C" w:rsidP="00475FB3">
    <w:pPr>
      <w:pStyle w:val="Header"/>
    </w:pPr>
    <w:r>
      <w:fldChar w:fldCharType="begin"/>
    </w:r>
    <w:r>
      <w:instrText>PAGE</w:instrText>
    </w:r>
    <w:r>
      <w:fldChar w:fldCharType="separate"/>
    </w:r>
    <w:r w:rsidR="000A5E1C">
      <w:rPr>
        <w:noProof/>
      </w:rPr>
      <w:t>3</w:t>
    </w:r>
    <w:r>
      <w:rPr>
        <w:noProof/>
      </w:rPr>
      <w:fldChar w:fldCharType="end"/>
    </w:r>
  </w:p>
  <w:p w:rsidR="00732045" w:rsidRDefault="00732045" w:rsidP="00080FF6">
    <w:pPr>
      <w:pStyle w:val="Header"/>
    </w:pPr>
    <w:r>
      <w:t>C1</w:t>
    </w:r>
    <w:r w:rsidR="003C3FAE">
      <w:t>8</w:t>
    </w:r>
    <w:r>
      <w:t>/</w:t>
    </w:r>
    <w:r w:rsidR="00080FF6">
      <w:t>73</w:t>
    </w:r>
    <w:r>
      <w:t>-F</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0D07" w:rsidRDefault="00520D07" w:rsidP="0050054D">
    <w:pPr>
      <w:pStyle w:val="Header"/>
    </w:pPr>
    <w:r>
      <w:fldChar w:fldCharType="begin"/>
    </w:r>
    <w:r>
      <w:instrText>PAGE</w:instrText>
    </w:r>
    <w:r>
      <w:fldChar w:fldCharType="separate"/>
    </w:r>
    <w:r w:rsidR="000A5E1C">
      <w:rPr>
        <w:noProof/>
      </w:rPr>
      <w:t>5</w:t>
    </w:r>
    <w:r>
      <w:rPr>
        <w:noProof/>
      </w:rPr>
      <w:fldChar w:fldCharType="end"/>
    </w:r>
  </w:p>
  <w:p w:rsidR="00520D07" w:rsidRDefault="00520D07" w:rsidP="0050054D">
    <w:pPr>
      <w:pStyle w:val="Header"/>
    </w:pPr>
    <w:r>
      <w:t>C18/73-F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5D6D671"/>
    <w:multiLevelType w:val="hybridMultilevel"/>
    <w:tmpl w:val="9D0EACDA"/>
    <w:lvl w:ilvl="0" w:tplc="B5E82264">
      <w:start w:val="1"/>
      <w:numFmt w:val="decimal"/>
      <w:lvlText w:val="%1."/>
      <w:lvlJc w:val="left"/>
    </w:lvl>
    <w:lvl w:ilvl="1" w:tplc="B99626B4">
      <w:numFmt w:val="decimal"/>
      <w:lvlText w:val=""/>
      <w:lvlJc w:val="left"/>
    </w:lvl>
    <w:lvl w:ilvl="2" w:tplc="4BC2B9FE">
      <w:numFmt w:val="decimal"/>
      <w:lvlText w:val=""/>
      <w:lvlJc w:val="left"/>
    </w:lvl>
    <w:lvl w:ilvl="3" w:tplc="E19A7776">
      <w:numFmt w:val="decimal"/>
      <w:lvlText w:val=""/>
      <w:lvlJc w:val="left"/>
    </w:lvl>
    <w:lvl w:ilvl="4" w:tplc="714E4E7C">
      <w:numFmt w:val="decimal"/>
      <w:lvlText w:val=""/>
      <w:lvlJc w:val="left"/>
    </w:lvl>
    <w:lvl w:ilvl="5" w:tplc="45C63930">
      <w:numFmt w:val="decimal"/>
      <w:lvlText w:val=""/>
      <w:lvlJc w:val="left"/>
    </w:lvl>
    <w:lvl w:ilvl="6" w:tplc="48289B70">
      <w:numFmt w:val="decimal"/>
      <w:lvlText w:val=""/>
      <w:lvlJc w:val="left"/>
    </w:lvl>
    <w:lvl w:ilvl="7" w:tplc="84E02C6C">
      <w:numFmt w:val="decimal"/>
      <w:lvlText w:val=""/>
      <w:lvlJc w:val="left"/>
    </w:lvl>
    <w:lvl w:ilvl="8" w:tplc="8DC2D026">
      <w:numFmt w:val="decimal"/>
      <w:lvlText w:val=""/>
      <w:lvlJc w:val="left"/>
    </w:lvl>
  </w:abstractNum>
  <w:abstractNum w:abstractNumId="1" w15:restartNumberingAfterBreak="0">
    <w:nsid w:val="BBF51046"/>
    <w:multiLevelType w:val="hybridMultilevel"/>
    <w:tmpl w:val="BF541833"/>
    <w:lvl w:ilvl="0" w:tplc="46DCFCAA">
      <w:start w:val="1"/>
      <w:numFmt w:val="decimal"/>
      <w:lvlText w:val="%1."/>
      <w:lvlJc w:val="left"/>
    </w:lvl>
    <w:lvl w:ilvl="1" w:tplc="A6824E16">
      <w:numFmt w:val="decimal"/>
      <w:lvlText w:val=""/>
      <w:lvlJc w:val="left"/>
    </w:lvl>
    <w:lvl w:ilvl="2" w:tplc="13E22242">
      <w:numFmt w:val="decimal"/>
      <w:lvlText w:val=""/>
      <w:lvlJc w:val="left"/>
    </w:lvl>
    <w:lvl w:ilvl="3" w:tplc="8C68D338">
      <w:numFmt w:val="decimal"/>
      <w:lvlText w:val=""/>
      <w:lvlJc w:val="left"/>
    </w:lvl>
    <w:lvl w:ilvl="4" w:tplc="A260B322">
      <w:numFmt w:val="decimal"/>
      <w:lvlText w:val=""/>
      <w:lvlJc w:val="left"/>
    </w:lvl>
    <w:lvl w:ilvl="5" w:tplc="983E2AB0">
      <w:numFmt w:val="decimal"/>
      <w:lvlText w:val=""/>
      <w:lvlJc w:val="left"/>
    </w:lvl>
    <w:lvl w:ilvl="6" w:tplc="F5CC3584">
      <w:numFmt w:val="decimal"/>
      <w:lvlText w:val=""/>
      <w:lvlJc w:val="left"/>
    </w:lvl>
    <w:lvl w:ilvl="7" w:tplc="6448A502">
      <w:numFmt w:val="decimal"/>
      <w:lvlText w:val=""/>
      <w:lvlJc w:val="left"/>
    </w:lvl>
    <w:lvl w:ilvl="8" w:tplc="A7E22CD8">
      <w:numFmt w:val="decimal"/>
      <w:lvlText w:val=""/>
      <w:lvlJc w:val="left"/>
    </w:lvl>
  </w:abstractNum>
  <w:abstractNum w:abstractNumId="2" w15:restartNumberingAfterBreak="0">
    <w:nsid w:val="3DC0229D"/>
    <w:multiLevelType w:val="hybridMultilevel"/>
    <w:tmpl w:val="33A223F0"/>
    <w:lvl w:ilvl="0" w:tplc="5E927D3C">
      <w:start w:val="1"/>
      <w:numFmt w:val="upperRoman"/>
      <w:lvlText w:val="%1."/>
      <w:lvlJc w:val="left"/>
      <w:pPr>
        <w:ind w:left="720" w:hanging="720"/>
      </w:pPr>
      <w:rPr>
        <w:rFonts w:hint="default"/>
      </w:rPr>
    </w:lvl>
    <w:lvl w:ilvl="1" w:tplc="CBC4B3A6" w:tentative="1">
      <w:start w:val="1"/>
      <w:numFmt w:val="lowerLetter"/>
      <w:lvlText w:val="%2."/>
      <w:lvlJc w:val="left"/>
      <w:pPr>
        <w:ind w:left="1080" w:hanging="360"/>
      </w:pPr>
    </w:lvl>
    <w:lvl w:ilvl="2" w:tplc="97ECD352" w:tentative="1">
      <w:start w:val="1"/>
      <w:numFmt w:val="lowerRoman"/>
      <w:lvlText w:val="%3."/>
      <w:lvlJc w:val="right"/>
      <w:pPr>
        <w:ind w:left="1800" w:hanging="180"/>
      </w:pPr>
    </w:lvl>
    <w:lvl w:ilvl="3" w:tplc="93BCFC38" w:tentative="1">
      <w:start w:val="1"/>
      <w:numFmt w:val="decimal"/>
      <w:lvlText w:val="%4."/>
      <w:lvlJc w:val="left"/>
      <w:pPr>
        <w:ind w:left="2520" w:hanging="360"/>
      </w:pPr>
    </w:lvl>
    <w:lvl w:ilvl="4" w:tplc="AED479A2" w:tentative="1">
      <w:start w:val="1"/>
      <w:numFmt w:val="lowerLetter"/>
      <w:lvlText w:val="%5."/>
      <w:lvlJc w:val="left"/>
      <w:pPr>
        <w:ind w:left="3240" w:hanging="360"/>
      </w:pPr>
    </w:lvl>
    <w:lvl w:ilvl="5" w:tplc="B78607B4" w:tentative="1">
      <w:start w:val="1"/>
      <w:numFmt w:val="lowerRoman"/>
      <w:lvlText w:val="%6."/>
      <w:lvlJc w:val="right"/>
      <w:pPr>
        <w:ind w:left="3960" w:hanging="180"/>
      </w:pPr>
    </w:lvl>
    <w:lvl w:ilvl="6" w:tplc="CEF072DC" w:tentative="1">
      <w:start w:val="1"/>
      <w:numFmt w:val="decimal"/>
      <w:lvlText w:val="%7."/>
      <w:lvlJc w:val="left"/>
      <w:pPr>
        <w:ind w:left="4680" w:hanging="360"/>
      </w:pPr>
    </w:lvl>
    <w:lvl w:ilvl="7" w:tplc="E86E8920" w:tentative="1">
      <w:start w:val="1"/>
      <w:numFmt w:val="lowerLetter"/>
      <w:lvlText w:val="%8."/>
      <w:lvlJc w:val="left"/>
      <w:pPr>
        <w:ind w:left="5400" w:hanging="360"/>
      </w:pPr>
    </w:lvl>
    <w:lvl w:ilvl="8" w:tplc="1940353E"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300"/>
    <w:rsid w:val="00080FF6"/>
    <w:rsid w:val="000A5E1C"/>
    <w:rsid w:val="000D0D0A"/>
    <w:rsid w:val="00103163"/>
    <w:rsid w:val="00115D93"/>
    <w:rsid w:val="001247A8"/>
    <w:rsid w:val="001378C0"/>
    <w:rsid w:val="0018694A"/>
    <w:rsid w:val="001A3287"/>
    <w:rsid w:val="001A6508"/>
    <w:rsid w:val="001D4C31"/>
    <w:rsid w:val="001E4D21"/>
    <w:rsid w:val="00207CD1"/>
    <w:rsid w:val="00230651"/>
    <w:rsid w:val="002477A2"/>
    <w:rsid w:val="00263A51"/>
    <w:rsid w:val="00267E02"/>
    <w:rsid w:val="002A5D44"/>
    <w:rsid w:val="002E0BC4"/>
    <w:rsid w:val="002F1B76"/>
    <w:rsid w:val="0033568E"/>
    <w:rsid w:val="00355FF5"/>
    <w:rsid w:val="00361350"/>
    <w:rsid w:val="003C3FAE"/>
    <w:rsid w:val="004038CB"/>
    <w:rsid w:val="0040546F"/>
    <w:rsid w:val="0042404A"/>
    <w:rsid w:val="004362A8"/>
    <w:rsid w:val="0044618F"/>
    <w:rsid w:val="0046769A"/>
    <w:rsid w:val="00475FB3"/>
    <w:rsid w:val="00485D42"/>
    <w:rsid w:val="004C37A9"/>
    <w:rsid w:val="004F259E"/>
    <w:rsid w:val="0050054D"/>
    <w:rsid w:val="00511F1D"/>
    <w:rsid w:val="00520D07"/>
    <w:rsid w:val="00520F36"/>
    <w:rsid w:val="00540615"/>
    <w:rsid w:val="00540A6D"/>
    <w:rsid w:val="00550F57"/>
    <w:rsid w:val="00571EEA"/>
    <w:rsid w:val="00575417"/>
    <w:rsid w:val="005768E1"/>
    <w:rsid w:val="005B1938"/>
    <w:rsid w:val="005C3890"/>
    <w:rsid w:val="005F7BFE"/>
    <w:rsid w:val="00600017"/>
    <w:rsid w:val="006235CA"/>
    <w:rsid w:val="006530F2"/>
    <w:rsid w:val="006643AB"/>
    <w:rsid w:val="007210CD"/>
    <w:rsid w:val="00732045"/>
    <w:rsid w:val="00733780"/>
    <w:rsid w:val="007369DB"/>
    <w:rsid w:val="007956C2"/>
    <w:rsid w:val="007A187E"/>
    <w:rsid w:val="007C72C2"/>
    <w:rsid w:val="007D4436"/>
    <w:rsid w:val="007F257A"/>
    <w:rsid w:val="007F3665"/>
    <w:rsid w:val="007F4300"/>
    <w:rsid w:val="00800037"/>
    <w:rsid w:val="00845741"/>
    <w:rsid w:val="00861D73"/>
    <w:rsid w:val="00885378"/>
    <w:rsid w:val="008A4E87"/>
    <w:rsid w:val="008B4BB6"/>
    <w:rsid w:val="008D76E6"/>
    <w:rsid w:val="008F1A82"/>
    <w:rsid w:val="0092392D"/>
    <w:rsid w:val="0093098F"/>
    <w:rsid w:val="0093234A"/>
    <w:rsid w:val="009C307F"/>
    <w:rsid w:val="00A2113E"/>
    <w:rsid w:val="00A23A51"/>
    <w:rsid w:val="00A24607"/>
    <w:rsid w:val="00A25CD3"/>
    <w:rsid w:val="00A82767"/>
    <w:rsid w:val="00AA332F"/>
    <w:rsid w:val="00AA7BBB"/>
    <w:rsid w:val="00AB6234"/>
    <w:rsid w:val="00AB64A8"/>
    <w:rsid w:val="00AC0266"/>
    <w:rsid w:val="00AD24EC"/>
    <w:rsid w:val="00B309F9"/>
    <w:rsid w:val="00B32B60"/>
    <w:rsid w:val="00B61619"/>
    <w:rsid w:val="00BA0EF5"/>
    <w:rsid w:val="00BB4545"/>
    <w:rsid w:val="00BD5873"/>
    <w:rsid w:val="00C04BE3"/>
    <w:rsid w:val="00C25D29"/>
    <w:rsid w:val="00C27A7C"/>
    <w:rsid w:val="00C7345B"/>
    <w:rsid w:val="00CA08ED"/>
    <w:rsid w:val="00CF183B"/>
    <w:rsid w:val="00D109C0"/>
    <w:rsid w:val="00D375CD"/>
    <w:rsid w:val="00D553A2"/>
    <w:rsid w:val="00D774D3"/>
    <w:rsid w:val="00D904E8"/>
    <w:rsid w:val="00D91A04"/>
    <w:rsid w:val="00DA08C3"/>
    <w:rsid w:val="00DB5A3E"/>
    <w:rsid w:val="00DC22AA"/>
    <w:rsid w:val="00DF74DD"/>
    <w:rsid w:val="00E25AD0"/>
    <w:rsid w:val="00EB3224"/>
    <w:rsid w:val="00EB6350"/>
    <w:rsid w:val="00F15B57"/>
    <w:rsid w:val="00F427DB"/>
    <w:rsid w:val="00F4779E"/>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BE9243CB-8987-4B81-AADF-60C0D1260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table" w:styleId="TableGrid">
    <w:name w:val="Table Grid"/>
    <w:basedOn w:val="TableNormal"/>
    <w:rsid w:val="005005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pub/S-CONF-PLEN-2015/fr"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S15-CL-C-0075/fr"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itu.int/md/S15-CL-C-0122/fr"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itu.int/md/S15-CL-C-0075/fr" TargetMode="Externa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C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PF_C18.dotx</Template>
  <TotalTime>37</TotalTime>
  <Pages>5</Pages>
  <Words>1072</Words>
  <Characters>6376</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7434</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Conseil 2018</dc:subject>
  <dc:creator>Gozel, Elsa</dc:creator>
  <cp:keywords>C2018, C18</cp:keywords>
  <dc:description/>
  <cp:lastModifiedBy>Royer, Veronique</cp:lastModifiedBy>
  <cp:revision>21</cp:revision>
  <cp:lastPrinted>2018-04-13T09:40:00Z</cp:lastPrinted>
  <dcterms:created xsi:type="dcterms:W3CDTF">2018-04-13T09:22:00Z</dcterms:created>
  <dcterms:modified xsi:type="dcterms:W3CDTF">2018-04-13T11:32:00Z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