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185E6E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A824DD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824DD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824DD">
              <w:rPr>
                <w:b/>
              </w:rPr>
              <w:t>PL</w:t>
            </w:r>
            <w:r w:rsidR="00185E6E">
              <w:rPr>
                <w:b/>
              </w:rPr>
              <w:t> </w:t>
            </w:r>
            <w:r w:rsidR="00A824DD">
              <w:rPr>
                <w:b/>
              </w:rPr>
              <w:t>2.5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A824DD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A824DD">
              <w:rPr>
                <w:b/>
                <w:bCs/>
                <w:lang w:bidi="ar-SY"/>
              </w:rPr>
              <w:t>95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A824DD" w:rsidP="00A824DD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824DD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824D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824DD" w:rsidP="00290728">
            <w:pPr>
              <w:pStyle w:val="Source"/>
              <w:rPr>
                <w:rtl/>
                <w:lang w:bidi="ar-SY"/>
              </w:rPr>
            </w:pPr>
            <w:r w:rsidRPr="00ED52EB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Default="00A824DD" w:rsidP="00383829">
            <w:pPr>
              <w:pStyle w:val="Title1"/>
              <w:rPr>
                <w:rtl/>
              </w:rPr>
            </w:pPr>
            <w:r w:rsidRPr="00ED52EB">
              <w:rPr>
                <w:rFonts w:hint="cs"/>
                <w:rtl/>
              </w:rPr>
              <w:t xml:space="preserve">مساهمة من </w:t>
            </w:r>
            <w:r w:rsidRPr="00ED52EB">
              <w:rPr>
                <w:rFonts w:hint="eastAsia"/>
                <w:rtl/>
              </w:rPr>
              <w:t>جمهورية</w:t>
            </w:r>
            <w:r w:rsidRPr="00ED52EB">
              <w:rPr>
                <w:rtl/>
              </w:rPr>
              <w:t xml:space="preserve"> </w:t>
            </w:r>
            <w:r w:rsidRPr="00ED52EB">
              <w:rPr>
                <w:rFonts w:hint="eastAsia"/>
                <w:rtl/>
              </w:rPr>
              <w:t>البرازيل</w:t>
            </w:r>
            <w:r w:rsidRPr="00ED52EB">
              <w:rPr>
                <w:rtl/>
              </w:rPr>
              <w:t xml:space="preserve"> </w:t>
            </w:r>
            <w:r w:rsidRPr="00ED52EB">
              <w:rPr>
                <w:rFonts w:hint="eastAsia"/>
                <w:rtl/>
              </w:rPr>
              <w:t>الاتحادية</w:t>
            </w:r>
          </w:p>
          <w:p w:rsidR="00A824DD" w:rsidRPr="00383829" w:rsidRDefault="002C6119" w:rsidP="00401CF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تنفيذ</w:t>
            </w:r>
            <w:r w:rsidR="00EC22F0" w:rsidRPr="002C6119">
              <w:rPr>
                <w:rFonts w:hint="cs"/>
                <w:rtl/>
              </w:rPr>
              <w:t xml:space="preserve"> جلسات </w:t>
            </w:r>
            <w:r>
              <w:rPr>
                <w:rFonts w:hint="cs"/>
                <w:rtl/>
              </w:rPr>
              <w:t>ال</w:t>
            </w:r>
            <w:r w:rsidR="00EC22F0" w:rsidRPr="002C6119">
              <w:rPr>
                <w:rFonts w:hint="cs"/>
                <w:rtl/>
              </w:rPr>
              <w:t>استماع للمرشحين</w:t>
            </w:r>
            <w:r w:rsidR="00401CF9">
              <w:rPr>
                <w:rFonts w:hint="cs"/>
                <w:rtl/>
              </w:rPr>
              <w:t xml:space="preserve"> </w:t>
            </w:r>
            <w:r w:rsidR="00EC22F0" w:rsidRPr="002C6119">
              <w:rPr>
                <w:rFonts w:hint="cs"/>
                <w:rtl/>
              </w:rPr>
              <w:t>لمناصب المسؤولين المنتخبين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EC22F0" w:rsidP="002154EE">
      <w:pPr>
        <w:rPr>
          <w:rtl/>
          <w:lang w:bidi="ar-EG"/>
        </w:rPr>
      </w:pPr>
      <w:r w:rsidRPr="002F3E70">
        <w:rPr>
          <w:rFonts w:hint="cs"/>
          <w:rtl/>
          <w:lang w:bidi="ar-EG"/>
        </w:rPr>
        <w:t>يشرفني أن أحيل</w:t>
      </w:r>
      <w:r w:rsidRPr="002F3E70">
        <w:rPr>
          <w:rtl/>
          <w:lang w:bidi="ar-EG"/>
        </w:rPr>
        <w:t xml:space="preserve"> إلى الدول الأعضاء في المجلس مساهمة </w:t>
      </w:r>
      <w:r>
        <w:rPr>
          <w:rFonts w:hint="cs"/>
          <w:rtl/>
          <w:lang w:bidi="ar-EG"/>
        </w:rPr>
        <w:t>مقدمة</w:t>
      </w:r>
      <w:r w:rsidRPr="002F3E70">
        <w:rPr>
          <w:rtl/>
          <w:lang w:bidi="ar-EG"/>
        </w:rPr>
        <w:t xml:space="preserve"> من </w:t>
      </w:r>
      <w:r w:rsidRPr="005456BB">
        <w:rPr>
          <w:rFonts w:hint="eastAsia"/>
          <w:b/>
          <w:bCs/>
          <w:rtl/>
          <w:lang w:bidi="ar-EG"/>
        </w:rPr>
        <w:t>جمهورية</w:t>
      </w:r>
      <w:r w:rsidRPr="005456BB">
        <w:rPr>
          <w:b/>
          <w:bCs/>
          <w:rtl/>
          <w:lang w:bidi="ar-EG"/>
        </w:rPr>
        <w:t xml:space="preserve"> </w:t>
      </w:r>
      <w:r w:rsidRPr="005456BB">
        <w:rPr>
          <w:rFonts w:hint="eastAsia"/>
          <w:b/>
          <w:bCs/>
          <w:rtl/>
          <w:lang w:bidi="ar-EG"/>
        </w:rPr>
        <w:t>البرازيل</w:t>
      </w:r>
      <w:r w:rsidRPr="005456BB">
        <w:rPr>
          <w:b/>
          <w:bCs/>
          <w:rtl/>
          <w:lang w:bidi="ar-EG"/>
        </w:rPr>
        <w:t xml:space="preserve"> </w:t>
      </w:r>
      <w:r w:rsidRPr="005456BB">
        <w:rPr>
          <w:rFonts w:hint="eastAsia"/>
          <w:b/>
          <w:bCs/>
          <w:rtl/>
          <w:lang w:bidi="ar-EG"/>
        </w:rPr>
        <w:t>الاتحادية</w:t>
      </w:r>
      <w:r w:rsidRPr="002F3E70">
        <w:rPr>
          <w:rtl/>
          <w:lang w:bidi="ar-EG"/>
        </w:rPr>
        <w:t>.</w:t>
      </w:r>
    </w:p>
    <w:p w:rsidR="00EC22F0" w:rsidRDefault="00EC22F0" w:rsidP="00EC22F0">
      <w:pPr>
        <w:spacing w:before="1440"/>
        <w:ind w:left="5103"/>
        <w:jc w:val="center"/>
        <w:rPr>
          <w:rtl/>
        </w:rPr>
      </w:pPr>
      <w:r w:rsidRPr="00F811CC">
        <w:rPr>
          <w:rFonts w:hint="cs"/>
          <w:rtl/>
        </w:rPr>
        <w:t>هولين جاو</w:t>
      </w:r>
      <w:r w:rsidRPr="00F811CC">
        <w:rPr>
          <w:rtl/>
        </w:rPr>
        <w:br/>
      </w:r>
      <w:r w:rsidRPr="00F811CC">
        <w:rPr>
          <w:rFonts w:hint="cs"/>
          <w:rtl/>
        </w:rPr>
        <w:t>الأمين العام</w:t>
      </w:r>
    </w:p>
    <w:p w:rsidR="00EC22F0" w:rsidRDefault="00EC22F0" w:rsidP="00EC22F0">
      <w:pPr>
        <w:spacing w:before="1440"/>
        <w:ind w:left="5103"/>
        <w:jc w:val="center"/>
        <w:rPr>
          <w:rtl/>
        </w:rPr>
      </w:pPr>
      <w:r>
        <w:rPr>
          <w:rtl/>
        </w:rPr>
        <w:br w:type="page"/>
      </w:r>
    </w:p>
    <w:p w:rsidR="00EC22F0" w:rsidRDefault="00EC22F0" w:rsidP="00EC22F0">
      <w:pPr>
        <w:pStyle w:val="Title1"/>
        <w:rPr>
          <w:rtl/>
        </w:rPr>
      </w:pPr>
      <w:r w:rsidRPr="00ED52EB">
        <w:rPr>
          <w:rFonts w:hint="cs"/>
          <w:rtl/>
        </w:rPr>
        <w:lastRenderedPageBreak/>
        <w:t xml:space="preserve">مساهمة من </w:t>
      </w:r>
      <w:r w:rsidRPr="00ED52EB">
        <w:rPr>
          <w:rFonts w:hint="eastAsia"/>
          <w:rtl/>
        </w:rPr>
        <w:t>جمهورية</w:t>
      </w:r>
      <w:r w:rsidRPr="00ED52EB">
        <w:rPr>
          <w:rtl/>
        </w:rPr>
        <w:t xml:space="preserve"> </w:t>
      </w:r>
      <w:r w:rsidRPr="00ED52EB">
        <w:rPr>
          <w:rFonts w:hint="eastAsia"/>
          <w:rtl/>
        </w:rPr>
        <w:t>البرازيل</w:t>
      </w:r>
      <w:r w:rsidRPr="00ED52EB">
        <w:rPr>
          <w:rtl/>
        </w:rPr>
        <w:t xml:space="preserve"> </w:t>
      </w:r>
      <w:r w:rsidRPr="00ED52EB">
        <w:rPr>
          <w:rFonts w:hint="eastAsia"/>
          <w:rtl/>
        </w:rPr>
        <w:t>الاتحادية</w:t>
      </w:r>
    </w:p>
    <w:p w:rsidR="00EC22F0" w:rsidRDefault="00B76DBC" w:rsidP="00401CF9">
      <w:pPr>
        <w:pStyle w:val="Title1"/>
        <w:rPr>
          <w:rtl/>
        </w:rPr>
      </w:pPr>
      <w:r>
        <w:rPr>
          <w:rFonts w:hint="cs"/>
          <w:rtl/>
        </w:rPr>
        <w:t>تنفيذ</w:t>
      </w:r>
      <w:r w:rsidRPr="002C6119">
        <w:rPr>
          <w:rFonts w:hint="cs"/>
          <w:rtl/>
        </w:rPr>
        <w:t xml:space="preserve"> جلسات </w:t>
      </w:r>
      <w:r>
        <w:rPr>
          <w:rFonts w:hint="cs"/>
          <w:rtl/>
        </w:rPr>
        <w:t>ال</w:t>
      </w:r>
      <w:r w:rsidRPr="002C6119">
        <w:rPr>
          <w:rFonts w:hint="cs"/>
          <w:rtl/>
        </w:rPr>
        <w:t xml:space="preserve">استماع </w:t>
      </w:r>
      <w:r w:rsidR="00EC22F0" w:rsidRPr="00B76DBC">
        <w:rPr>
          <w:rFonts w:hint="cs"/>
          <w:rtl/>
        </w:rPr>
        <w:t>للمرشحين</w:t>
      </w:r>
      <w:r w:rsidR="00401CF9">
        <w:rPr>
          <w:rFonts w:hint="cs"/>
          <w:rtl/>
        </w:rPr>
        <w:t xml:space="preserve"> </w:t>
      </w:r>
      <w:r w:rsidR="00EC22F0" w:rsidRPr="00B76DBC">
        <w:rPr>
          <w:rFonts w:hint="cs"/>
          <w:rtl/>
        </w:rPr>
        <w:t>لمناصب المسؤولين المنتخبين</w:t>
      </w:r>
    </w:p>
    <w:p w:rsidR="00EC22F0" w:rsidRDefault="00EC22F0" w:rsidP="00EC22F0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B76DBC" w:rsidP="00401CF9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</w:tabs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تعرض هذه الوثيقة مقترحاً لإدخال تعديلات على</w:t>
            </w:r>
            <w:r w:rsidR="00EC22F0">
              <w:rPr>
                <w:rFonts w:hint="cs"/>
                <w:rtl/>
                <w:lang w:bidi="ar-SY"/>
              </w:rPr>
              <w:t xml:space="preserve"> "</w:t>
            </w:r>
            <w:bookmarkStart w:id="1" w:name="_Toc414894666"/>
            <w:r w:rsidR="000B121D">
              <w:rPr>
                <w:rtl/>
                <w:lang w:val="fr-CH"/>
              </w:rPr>
              <w:t>القواعـد العامـة</w:t>
            </w:r>
            <w:r w:rsidR="000B121D">
              <w:rPr>
                <w:rFonts w:hint="cs"/>
                <w:rtl/>
                <w:lang w:val="fr-CH"/>
              </w:rPr>
              <w:t xml:space="preserve"> </w:t>
            </w:r>
            <w:r w:rsidR="000B121D">
              <w:rPr>
                <w:rtl/>
                <w:lang w:val="fr-CH"/>
              </w:rPr>
              <w:t>لمؤتمـرات الاتحـاد</w:t>
            </w:r>
            <w:r w:rsidR="000B121D">
              <w:rPr>
                <w:rFonts w:hint="cs"/>
                <w:rtl/>
                <w:lang w:val="fr-CH"/>
              </w:rPr>
              <w:t xml:space="preserve"> </w:t>
            </w:r>
            <w:r w:rsidR="000B121D">
              <w:rPr>
                <w:rtl/>
                <w:lang w:val="fr-CH"/>
              </w:rPr>
              <w:t>وجمعياته</w:t>
            </w:r>
            <w:r w:rsidR="000B121D">
              <w:rPr>
                <w:rFonts w:hint="cs"/>
                <w:rtl/>
                <w:lang w:val="fr-CH"/>
              </w:rPr>
              <w:t xml:space="preserve"> </w:t>
            </w:r>
            <w:r w:rsidR="000B121D" w:rsidRPr="00401CF9">
              <w:rPr>
                <w:spacing w:val="-4"/>
                <w:rtl/>
                <w:lang w:val="fr-CH"/>
              </w:rPr>
              <w:t>واجتماعاته</w:t>
            </w:r>
            <w:bookmarkEnd w:id="1"/>
            <w:r w:rsidRPr="00401CF9">
              <w:rPr>
                <w:rFonts w:hint="cs"/>
                <w:spacing w:val="-4"/>
                <w:rtl/>
                <w:lang w:bidi="ar-SY"/>
              </w:rPr>
              <w:t>" من أجل تنفيذ جلسات الاستماع للمرشحين لمناصب المسؤولين المنتخبين في</w:t>
            </w:r>
            <w:r w:rsidR="00401CF9" w:rsidRPr="00401CF9">
              <w:rPr>
                <w:rFonts w:hint="eastAsia"/>
                <w:spacing w:val="-4"/>
                <w:rtl/>
                <w:lang w:bidi="ar-SY"/>
              </w:rPr>
              <w:t> </w:t>
            </w:r>
            <w:r w:rsidRPr="00401CF9">
              <w:rPr>
                <w:rFonts w:hint="cs"/>
                <w:spacing w:val="-4"/>
                <w:rtl/>
                <w:lang w:bidi="ar-SY"/>
              </w:rPr>
              <w:t>الاتحاد</w:t>
            </w:r>
            <w:r w:rsidR="00401CF9">
              <w:rPr>
                <w:rFonts w:hint="cs"/>
                <w:rtl/>
                <w:lang w:bidi="ar-SY"/>
              </w:rPr>
              <w:t xml:space="preserve"> الدولي للاتصالات.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B76DBC" w:rsidRDefault="00B76DBC" w:rsidP="008F24F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مناقشة </w:t>
            </w:r>
            <w:r w:rsidR="008F24FA">
              <w:rPr>
                <w:rFonts w:hint="cs"/>
                <w:rtl/>
                <w:lang w:bidi="ar-SY"/>
              </w:rPr>
              <w:t>المسألة</w:t>
            </w:r>
            <w:r>
              <w:rPr>
                <w:rFonts w:hint="cs"/>
                <w:rtl/>
                <w:lang w:bidi="ar-SY"/>
              </w:rPr>
              <w:t xml:space="preserve"> وتقديم توصية إلى مؤتمر المندوبين المفوضين لعام </w:t>
            </w:r>
            <w:r>
              <w:rPr>
                <w:lang w:bidi="ar-SY"/>
              </w:rPr>
              <w:t>2018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7508D8" w:rsidRDefault="00EC22F0" w:rsidP="00401CF9">
            <w:pPr>
              <w:spacing w:after="120"/>
              <w:jc w:val="left"/>
              <w:rPr>
                <w:rStyle w:val="Hyperlink"/>
                <w:i/>
                <w:iCs/>
                <w:spacing w:val="-4"/>
                <w:rtl/>
                <w:lang w:val="de-CH"/>
              </w:rPr>
            </w:pPr>
            <w:r w:rsidRPr="007508D8">
              <w:rPr>
                <w:rFonts w:hint="cs"/>
                <w:i/>
                <w:iCs/>
                <w:rtl/>
                <w:lang w:bidi="ar-SY"/>
              </w:rPr>
              <w:t xml:space="preserve">الوثائق </w:t>
            </w:r>
            <w:hyperlink r:id="rId9" w:history="1">
              <w:r w:rsidRPr="007508D8">
                <w:rPr>
                  <w:rStyle w:val="Hyperlink"/>
                  <w:i/>
                  <w:iCs/>
                </w:rPr>
                <w:t>PP-14/DT/66</w:t>
              </w:r>
            </w:hyperlink>
            <w:r w:rsidRPr="007508D8">
              <w:rPr>
                <w:rFonts w:hint="cs"/>
                <w:i/>
                <w:iCs/>
                <w:rtl/>
              </w:rPr>
              <w:t xml:space="preserve">، </w:t>
            </w:r>
            <w:hyperlink r:id="rId10" w:history="1">
              <w:r w:rsidRPr="007508D8">
                <w:rPr>
                  <w:rStyle w:val="Hyperlink"/>
                  <w:i/>
                  <w:iCs/>
                </w:rPr>
                <w:t>PP-14/75</w:t>
              </w:r>
            </w:hyperlink>
            <w:r w:rsidRPr="007508D8">
              <w:rPr>
                <w:rFonts w:hint="cs"/>
                <w:i/>
                <w:iCs/>
                <w:rtl/>
              </w:rPr>
              <w:t>،</w:t>
            </w:r>
            <w:r w:rsidR="00C62C1A">
              <w:rPr>
                <w:rFonts w:hint="cs"/>
                <w:i/>
                <w:iCs/>
                <w:rtl/>
              </w:rPr>
              <w:t xml:space="preserve"> </w:t>
            </w:r>
            <w:hyperlink r:id="rId11" w:history="1">
              <w:r w:rsidR="00C62C1A">
                <w:rPr>
                  <w:rStyle w:val="Hyperlink"/>
                  <w:i/>
                  <w:iCs/>
                </w:rPr>
                <w:t xml:space="preserve">PP-14/175 </w:t>
              </w:r>
            </w:hyperlink>
            <w:r w:rsidR="00C62C1A">
              <w:rPr>
                <w:rStyle w:val="Hyperlink"/>
                <w:rFonts w:hint="cs"/>
                <w:i/>
                <w:iCs/>
                <w:rtl/>
              </w:rPr>
              <w:t xml:space="preserve"> (التوصية </w:t>
            </w:r>
            <w:r w:rsidR="00C62C1A">
              <w:rPr>
                <w:rStyle w:val="Hyperlink"/>
                <w:i/>
                <w:iCs/>
              </w:rPr>
              <w:t>8</w:t>
            </w:r>
            <w:r w:rsidR="00C62C1A">
              <w:rPr>
                <w:rStyle w:val="Hyperlink"/>
                <w:rFonts w:hint="cs"/>
                <w:i/>
                <w:iCs/>
                <w:rtl/>
              </w:rPr>
              <w:t>)</w:t>
            </w:r>
            <w:r w:rsidR="00C62C1A" w:rsidRPr="007508D8">
              <w:rPr>
                <w:rFonts w:hint="cs"/>
                <w:i/>
                <w:iCs/>
                <w:rtl/>
              </w:rPr>
              <w:t>،</w:t>
            </w:r>
            <w:r w:rsidRPr="007508D8">
              <w:rPr>
                <w:rFonts w:hint="cs"/>
                <w:i/>
                <w:iCs/>
                <w:rtl/>
              </w:rPr>
              <w:t xml:space="preserve"> </w:t>
            </w:r>
            <w:hyperlink r:id="rId12" w:history="1">
              <w:r w:rsidRPr="007508D8">
                <w:rPr>
                  <w:rStyle w:val="Hyperlink"/>
                  <w:i/>
                  <w:iCs/>
                </w:rPr>
                <w:t>C15/99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3" w:history="1">
              <w:r w:rsidRPr="007508D8">
                <w:rPr>
                  <w:rStyle w:val="Hyperlink"/>
                  <w:i/>
                  <w:iCs/>
                </w:rPr>
                <w:t>C16/4</w:t>
              </w:r>
            </w:hyperlink>
            <w:r w:rsidRPr="007508D8">
              <w:rPr>
                <w:rStyle w:val="Hyperlink"/>
                <w:rFonts w:hint="cs"/>
                <w:i/>
                <w:iCs/>
                <w:rtl/>
              </w:rPr>
              <w:t xml:space="preserve">، </w:t>
            </w:r>
            <w:hyperlink r:id="rId14" w:history="1">
              <w:r w:rsidRPr="007508D8">
                <w:rPr>
                  <w:rStyle w:val="Hyperlink"/>
                  <w:i/>
                  <w:iCs/>
                </w:rPr>
                <w:t>C17/4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5" w:history="1">
              <w:r w:rsidRPr="007508D8">
                <w:rPr>
                  <w:rStyle w:val="Hyperlink"/>
                  <w:i/>
                  <w:iCs/>
                </w:rPr>
                <w:t>C17/76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6" w:history="1">
              <w:r w:rsidRPr="007508D8">
                <w:rPr>
                  <w:rStyle w:val="Hyperlink"/>
                  <w:i/>
                  <w:iCs/>
                </w:rPr>
                <w:t>C17/96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7" w:history="1">
              <w:r w:rsidRPr="007508D8">
                <w:rPr>
                  <w:rStyle w:val="Hyperlink"/>
                  <w:i/>
                  <w:iCs/>
                </w:rPr>
                <w:t>C17/130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8" w:history="1">
              <w:r w:rsidRPr="007508D8">
                <w:rPr>
                  <w:rStyle w:val="Hyperlink"/>
                  <w:i/>
                  <w:iCs/>
                </w:rPr>
                <w:t>C17/INF/6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19" w:history="1">
              <w:r w:rsidRPr="007508D8">
                <w:rPr>
                  <w:rStyle w:val="Hyperlink"/>
                  <w:i/>
                  <w:iCs/>
                </w:rPr>
                <w:t>C17/DL/8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20" w:history="1">
              <w:r w:rsidRPr="007508D8">
                <w:rPr>
                  <w:rStyle w:val="Hyperlink"/>
                  <w:i/>
                  <w:iCs/>
                </w:rPr>
                <w:t>C18/5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21" w:history="1">
              <w:r w:rsidRPr="007508D8">
                <w:rPr>
                  <w:rStyle w:val="Hyperlink"/>
                  <w:i/>
                  <w:iCs/>
                </w:rPr>
                <w:t>C18/50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22" w:history="1">
              <w:r w:rsidRPr="007508D8">
                <w:rPr>
                  <w:rStyle w:val="Hyperlink"/>
                  <w:i/>
                  <w:iCs/>
                </w:rPr>
                <w:t>CWG-FHR 7/10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23" w:history="1">
              <w:r w:rsidRPr="007508D8">
                <w:rPr>
                  <w:rStyle w:val="Hyperlink"/>
                  <w:i/>
                  <w:iCs/>
                </w:rPr>
                <w:t>CWG-FHR-8/17</w:t>
              </w:r>
            </w:hyperlink>
            <w:r w:rsidRPr="00401CF9">
              <w:rPr>
                <w:rStyle w:val="Hyperlink"/>
                <w:rFonts w:hint="cs"/>
                <w:i/>
                <w:iCs/>
                <w:color w:val="auto"/>
                <w:u w:val="none"/>
                <w:rtl/>
              </w:rPr>
              <w:t xml:space="preserve">، </w:t>
            </w:r>
            <w:hyperlink r:id="rId24" w:history="1">
              <w:r w:rsidRPr="007508D8">
                <w:rPr>
                  <w:rStyle w:val="Hyperlink"/>
                  <w:i/>
                  <w:iCs/>
                  <w:spacing w:val="-4"/>
                  <w:lang w:val="de-CH"/>
                </w:rPr>
                <w:t>CWG-FHR-8/28</w:t>
              </w:r>
            </w:hyperlink>
            <w:r w:rsidR="00C62C1A" w:rsidRPr="00C62C1A">
              <w:rPr>
                <w:rFonts w:hint="cs"/>
                <w:rtl/>
                <w:lang w:bidi="ar-SY"/>
              </w:rPr>
              <w:t>؛</w:t>
            </w:r>
            <w:r w:rsidR="00C62C1A" w:rsidRPr="00401CF9">
              <w:rPr>
                <w:rStyle w:val="Hyperlink"/>
                <w:rFonts w:hint="cs"/>
                <w:i/>
                <w:iCs/>
                <w:color w:val="auto"/>
                <w:spacing w:val="-4"/>
                <w:u w:val="none"/>
                <w:rtl/>
                <w:lang w:val="de-CH"/>
              </w:rPr>
              <w:t xml:space="preserve"> </w:t>
            </w:r>
            <w:hyperlink r:id="rId25" w:history="1">
              <w:r w:rsidR="00C62C1A" w:rsidRPr="00111A60">
                <w:rPr>
                  <w:rStyle w:val="Hyperlink"/>
                  <w:rFonts w:hint="cs"/>
                  <w:i/>
                  <w:iCs/>
                  <w:spacing w:val="-4"/>
                  <w:rtl/>
                  <w:lang w:val="de-CH"/>
                </w:rPr>
                <w:t>تقرير وحدة التفتيش المشتركة لعام</w:t>
              </w:r>
              <w:r w:rsidR="00401CF9" w:rsidRPr="00111A60">
                <w:rPr>
                  <w:rStyle w:val="Hyperlink"/>
                  <w:rFonts w:hint="eastAsia"/>
                  <w:i/>
                  <w:iCs/>
                  <w:spacing w:val="-4"/>
                  <w:rtl/>
                  <w:lang w:val="de-CH"/>
                </w:rPr>
                <w:t> </w:t>
              </w:r>
              <w:r w:rsidR="00C62C1A" w:rsidRPr="00111A60">
                <w:rPr>
                  <w:rStyle w:val="Hyperlink"/>
                  <w:i/>
                  <w:iCs/>
                  <w:spacing w:val="-4"/>
                </w:rPr>
                <w:t>2009</w:t>
              </w:r>
              <w:r w:rsidR="00C62C1A" w:rsidRPr="00111A60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 بشأن</w:t>
              </w:r>
              <w:r w:rsidR="00CF012A" w:rsidRPr="00111A60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C62C1A" w:rsidRPr="00111A60">
                <w:rPr>
                  <w:rStyle w:val="Hyperlink"/>
                  <w:rFonts w:hint="cs"/>
                  <w:i/>
                  <w:iCs/>
                  <w:rtl/>
                </w:rPr>
                <w:t>"</w:t>
              </w:r>
              <w:r w:rsidR="00997B67" w:rsidRPr="00111A60">
                <w:rPr>
                  <w:rStyle w:val="Hyperlink"/>
                  <w:rFonts w:hint="cs"/>
                  <w:i/>
                  <w:iCs/>
                  <w:spacing w:val="-4"/>
                  <w:rtl/>
                  <w:lang w:val="de-CH"/>
                </w:rPr>
                <w:t xml:space="preserve">تقرير وحدة التفتيش المشتركة لعام </w:t>
              </w:r>
              <w:r w:rsidR="00997B67" w:rsidRPr="00111A60">
                <w:rPr>
                  <w:rStyle w:val="Hyperlink"/>
                  <w:i/>
                  <w:iCs/>
                  <w:spacing w:val="-4"/>
                </w:rPr>
                <w:t>2009</w:t>
              </w:r>
              <w:r w:rsidR="00997B67" w:rsidRPr="00111A60">
                <w:rPr>
                  <w:rStyle w:val="Hyperlink"/>
                  <w:rFonts w:hint="cs"/>
                  <w:i/>
                  <w:iCs/>
                  <w:spacing w:val="-4"/>
                  <w:rtl/>
                  <w:lang w:bidi="ar-EG"/>
                </w:rPr>
                <w:t xml:space="preserve"> بشأن</w:t>
              </w:r>
              <w:r w:rsidR="00997B67" w:rsidRPr="00111A60">
                <w:rPr>
                  <w:rStyle w:val="Hyperlink"/>
                  <w:rFonts w:hint="cs"/>
                  <w:i/>
                  <w:iCs/>
                  <w:rtl/>
                </w:rPr>
                <w:t xml:space="preserve"> "</w:t>
              </w:r>
              <w:r w:rsidR="00997B67" w:rsidRPr="00111A60">
                <w:rPr>
                  <w:rStyle w:val="Hyperlink"/>
                  <w:rFonts w:hint="cs"/>
                  <w:i/>
                  <w:iCs/>
                  <w:rtl/>
                  <w:lang w:bidi="ar"/>
                </w:rPr>
                <w:t>اختيار الرؤساء التنفيذيين في</w:t>
              </w:r>
              <w:r w:rsidR="00997B67" w:rsidRPr="00111A60">
                <w:rPr>
                  <w:rStyle w:val="Hyperlink"/>
                  <w:rFonts w:hint="eastAsia"/>
                  <w:i/>
                  <w:iCs/>
                  <w:rtl/>
                  <w:lang w:bidi="ar"/>
                </w:rPr>
                <w:t> </w:t>
              </w:r>
              <w:r w:rsidR="00997B67" w:rsidRPr="00111A60">
                <w:rPr>
                  <w:rStyle w:val="Hyperlink"/>
                  <w:rFonts w:hint="cs"/>
                  <w:i/>
                  <w:iCs/>
                  <w:rtl/>
                  <w:lang w:bidi="ar"/>
                </w:rPr>
                <w:t>منظمات منظومة الأمم المتحدة وشروط خدمتهم</w:t>
              </w:r>
            </w:hyperlink>
            <w:r w:rsidR="00C62C1A" w:rsidRPr="00997B67">
              <w:rPr>
                <w:rStyle w:val="Hyperlink"/>
                <w:rFonts w:hint="cs"/>
                <w:i/>
                <w:iCs/>
                <w:rtl/>
              </w:rPr>
              <w:t>"</w:t>
            </w:r>
            <w:r w:rsidR="00C62C1A" w:rsidRPr="00C62C1A">
              <w:rPr>
                <w:rFonts w:hint="cs"/>
                <w:rtl/>
                <w:lang w:bidi="ar-SY"/>
              </w:rPr>
              <w:t>؛</w:t>
            </w:r>
            <w:r w:rsidR="00C62C1A">
              <w:rPr>
                <w:rFonts w:hint="cs"/>
                <w:rtl/>
                <w:lang w:bidi="ar-SY"/>
              </w:rPr>
              <w:t xml:space="preserve"> </w:t>
            </w:r>
            <w:hyperlink r:id="rId26" w:history="1">
              <w:r w:rsidR="00C62C1A" w:rsidRPr="00111A60">
                <w:rPr>
                  <w:rStyle w:val="Hyperlink"/>
                  <w:rFonts w:hint="cs"/>
                  <w:i/>
                  <w:iCs/>
                  <w:spacing w:val="-4"/>
                  <w:rtl/>
                  <w:lang w:val="de-CH"/>
                </w:rPr>
                <w:t>النظام الأساسي لموظفي الاتحاد الدولي للاتصالات</w:t>
              </w:r>
            </w:hyperlink>
            <w:r w:rsidR="00C62C1A" w:rsidRPr="00C62C1A">
              <w:rPr>
                <w:rFonts w:hint="cs"/>
                <w:rtl/>
                <w:lang w:bidi="ar-SY"/>
              </w:rPr>
              <w:t>.</w:t>
            </w:r>
          </w:p>
          <w:p w:rsidR="007508D8" w:rsidRPr="007508D8" w:rsidRDefault="00C62C1A" w:rsidP="007508D8">
            <w:pPr>
              <w:spacing w:after="120"/>
              <w:jc w:val="left"/>
              <w:rPr>
                <w:rFonts w:cs="Arial"/>
                <w:i/>
                <w:iCs/>
                <w:rtl/>
                <w:lang w:bidi="ar-SY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>الرسالتان</w:t>
            </w:r>
            <w:r w:rsidR="007508D8" w:rsidRPr="007508D8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r>
              <w:rPr>
                <w:rFonts w:hint="cs"/>
                <w:i/>
                <w:iCs/>
                <w:rtl/>
                <w:lang w:bidi="ar-SY"/>
              </w:rPr>
              <w:t>المعممتان</w:t>
            </w:r>
            <w:r w:rsidR="007508D8" w:rsidRPr="007508D8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27" w:history="1">
              <w:r w:rsidR="007508D8" w:rsidRPr="007508D8">
                <w:rPr>
                  <w:rStyle w:val="Hyperlink"/>
                  <w:i/>
                  <w:iCs/>
                  <w:lang w:val="fr-CH"/>
                </w:rPr>
                <w:t>CL-16/48</w:t>
              </w:r>
            </w:hyperlink>
            <w:r w:rsidR="007508D8" w:rsidRPr="007508D8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val="fr-CH"/>
              </w:rPr>
              <w:t xml:space="preserve">، </w:t>
            </w:r>
            <w:hyperlink r:id="rId28" w:history="1">
              <w:r w:rsidR="007508D8" w:rsidRPr="007508D8">
                <w:rPr>
                  <w:rStyle w:val="Hyperlink"/>
                  <w:i/>
                  <w:iCs/>
                  <w:lang w:val="fr-CH"/>
                </w:rPr>
                <w:t>CL-17/07</w:t>
              </w:r>
            </w:hyperlink>
          </w:p>
        </w:tc>
      </w:tr>
    </w:tbl>
    <w:p w:rsidR="004E11DC" w:rsidRDefault="00C62C1A" w:rsidP="00401CF9">
      <w:pPr>
        <w:pStyle w:val="Headingb"/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تطور المسألة والوثائق ذات الصلة</w:t>
      </w:r>
      <w:r w:rsidR="008F24FA">
        <w:rPr>
          <w:rFonts w:hint="cs"/>
          <w:rtl/>
          <w:lang w:bidi="ar-EG"/>
        </w:rPr>
        <w:t xml:space="preserve"> بها</w:t>
      </w:r>
    </w:p>
    <w:p w:rsidR="00C62C1A" w:rsidRPr="00FE61C6" w:rsidRDefault="00FE61C6" w:rsidP="00FB4648">
      <w:pPr>
        <w:rPr>
          <w:rtl/>
          <w:lang w:bidi="ar-EG"/>
        </w:rPr>
      </w:pPr>
      <w:r>
        <w:rPr>
          <w:rFonts w:hint="cs"/>
          <w:rtl/>
          <w:lang w:bidi="ar-EG"/>
        </w:rPr>
        <w:t>تتضمن</w:t>
      </w:r>
      <w:r w:rsidR="00C62C1A">
        <w:rPr>
          <w:rFonts w:hint="cs"/>
          <w:rtl/>
          <w:lang w:bidi="ar-EG"/>
        </w:rPr>
        <w:t xml:space="preserve"> الوثيقة </w:t>
      </w:r>
      <w:hyperlink r:id="rId29" w:history="1">
        <w:r w:rsidR="00C62C1A" w:rsidRPr="00342634">
          <w:rPr>
            <w:rStyle w:val="Hyperlink"/>
            <w:rFonts w:asciiTheme="minorHAnsi" w:hAnsiTheme="minorHAnsi" w:cstheme="minorHAnsi"/>
            <w:szCs w:val="24"/>
          </w:rPr>
          <w:t>C18/5</w:t>
        </w:r>
      </w:hyperlink>
      <w:r w:rsidRPr="00FE61C6">
        <w:rPr>
          <w:rFonts w:hint="cs"/>
          <w:rtl/>
          <w:lang w:bidi="ar-EG"/>
        </w:rPr>
        <w:t xml:space="preserve"> عرضاً تاريخيا</w:t>
      </w:r>
      <w:r>
        <w:rPr>
          <w:rFonts w:hint="cs"/>
          <w:rtl/>
          <w:lang w:bidi="ar-EG"/>
        </w:rPr>
        <w:t>ً</w:t>
      </w:r>
      <w:r w:rsidRPr="00FE61C6">
        <w:rPr>
          <w:rFonts w:hint="cs"/>
          <w:rtl/>
          <w:lang w:bidi="ar-EG"/>
        </w:rPr>
        <w:t xml:space="preserve"> دقيقاً </w:t>
      </w:r>
      <w:r>
        <w:rPr>
          <w:rFonts w:hint="cs"/>
          <w:rtl/>
          <w:lang w:bidi="ar-EG"/>
        </w:rPr>
        <w:t xml:space="preserve">لمناقشة </w:t>
      </w:r>
      <w:r w:rsidR="00FB4648">
        <w:rPr>
          <w:rFonts w:hint="cs"/>
          <w:rtl/>
          <w:lang w:bidi="ar-EG"/>
        </w:rPr>
        <w:t xml:space="preserve">مسألة </w:t>
      </w:r>
      <w:r>
        <w:rPr>
          <w:rFonts w:hint="cs"/>
          <w:rtl/>
          <w:lang w:bidi="ar-EG"/>
        </w:rPr>
        <w:t>تنفيذ جلسات الاستماع للمرشحين لمناصب المسؤولين المنتخبين والوثائق ذات الصلة به</w:t>
      </w:r>
      <w:r w:rsidR="00FB4648">
        <w:rPr>
          <w:rFonts w:hint="cs"/>
          <w:rtl/>
          <w:lang w:bidi="ar-EG"/>
        </w:rPr>
        <w:t xml:space="preserve">ذه المسألة </w:t>
      </w:r>
      <w:r>
        <w:rPr>
          <w:rFonts w:hint="cs"/>
          <w:rtl/>
          <w:lang w:bidi="ar-EG"/>
        </w:rPr>
        <w:t>منذ أن عرضته</w:t>
      </w:r>
      <w:r w:rsidR="00FB464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البرازيل أول مرة في مؤتمر المندوبين المفوضين لعام </w:t>
      </w:r>
      <w:r>
        <w:rPr>
          <w:lang w:bidi="ar-EG"/>
        </w:rPr>
        <w:t>2014</w:t>
      </w:r>
      <w:r w:rsidR="003F5F68">
        <w:rPr>
          <w:rFonts w:hint="cs"/>
          <w:rtl/>
          <w:lang w:bidi="ar-EG"/>
        </w:rPr>
        <w:t>.</w:t>
      </w:r>
    </w:p>
    <w:p w:rsidR="007508D8" w:rsidRDefault="00FE61C6" w:rsidP="003F5F6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وعرضت أمانة الاتحاد تقريراً </w:t>
      </w:r>
      <w:r w:rsidR="003F5F68">
        <w:rPr>
          <w:lang w:bidi="ar-EG"/>
        </w:rPr>
        <w:t>(</w:t>
      </w:r>
      <w:hyperlink r:id="rId30" w:history="1">
        <w:r w:rsidR="007673D7" w:rsidRPr="00657BFA">
          <w:rPr>
            <w:rStyle w:val="Hyperlink"/>
          </w:rPr>
          <w:t>CWG-FHR-8/17</w:t>
        </w:r>
      </w:hyperlink>
      <w:r w:rsidR="003F5F68">
        <w:rPr>
          <w:lang w:bidi="ar-EG"/>
        </w:rPr>
        <w:t>)</w:t>
      </w:r>
      <w:r w:rsidR="007673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 هذ</w:t>
      </w:r>
      <w:r w:rsidR="00FB4648">
        <w:rPr>
          <w:rFonts w:hint="cs"/>
          <w:rtl/>
          <w:lang w:bidi="ar-EG"/>
        </w:rPr>
        <w:t xml:space="preserve">ه المسألة </w:t>
      </w:r>
      <w:r>
        <w:rPr>
          <w:rFonts w:hint="cs"/>
          <w:rtl/>
          <w:lang w:bidi="ar-EG"/>
        </w:rPr>
        <w:t xml:space="preserve">في الاجتماع الثامن لفريق العمل التابع للمجلس المعني بالموارد المالية والبشرية </w:t>
      </w:r>
      <w:r w:rsidR="003F5F68">
        <w:rPr>
          <w:lang w:bidi="ar-EG"/>
        </w:rPr>
        <w:t>(</w:t>
      </w:r>
      <w:r>
        <w:t>CWG-FHR</w:t>
      </w:r>
      <w:r w:rsidR="003F5F68">
        <w:rPr>
          <w:lang w:bidi="ar-EG"/>
        </w:rPr>
        <w:t>)</w:t>
      </w:r>
      <w:r>
        <w:rPr>
          <w:rFonts w:hint="cs"/>
          <w:rtl/>
          <w:lang w:bidi="ar-EG"/>
        </w:rPr>
        <w:t xml:space="preserve"> في يناير </w:t>
      </w:r>
      <w:r>
        <w:rPr>
          <w:lang w:bidi="ar-EG"/>
        </w:rPr>
        <w:t>2018</w:t>
      </w:r>
      <w:r w:rsidR="007673D7">
        <w:rPr>
          <w:rFonts w:hint="cs"/>
          <w:rtl/>
          <w:lang w:bidi="ar-EG"/>
        </w:rPr>
        <w:t xml:space="preserve">. وتتمثل </w:t>
      </w:r>
      <w:r w:rsidR="00605876">
        <w:rPr>
          <w:rFonts w:hint="cs"/>
          <w:rtl/>
          <w:lang w:bidi="ar-EG"/>
        </w:rPr>
        <w:t>الأمور</w:t>
      </w:r>
      <w:r w:rsidR="007673D7">
        <w:rPr>
          <w:rFonts w:hint="cs"/>
          <w:rtl/>
          <w:lang w:bidi="ar-EG"/>
        </w:rPr>
        <w:t xml:space="preserve"> المعروضة في ال</w:t>
      </w:r>
      <w:r w:rsidR="00804D9C">
        <w:rPr>
          <w:rFonts w:hint="cs"/>
          <w:rtl/>
          <w:lang w:bidi="ar-EG"/>
        </w:rPr>
        <w:t>وثيقة في</w:t>
      </w:r>
      <w:r w:rsidR="007673D7">
        <w:rPr>
          <w:rFonts w:hint="cs"/>
          <w:rtl/>
          <w:lang w:bidi="ar-EG"/>
        </w:rPr>
        <w:t>ما يلي</w:t>
      </w:r>
      <w:r w:rsidR="007508D8">
        <w:rPr>
          <w:rFonts w:hint="cs"/>
          <w:rtl/>
          <w:lang w:bidi="ar-EG"/>
        </w:rPr>
        <w:t>:</w:t>
      </w:r>
    </w:p>
    <w:p w:rsidR="007508D8" w:rsidRDefault="007508D8" w:rsidP="00605876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7673D7">
        <w:rPr>
          <w:rFonts w:hint="cs"/>
          <w:rtl/>
        </w:rPr>
        <w:t xml:space="preserve">ينبغي أن </w:t>
      </w:r>
      <w:r w:rsidR="00FB4648">
        <w:rPr>
          <w:rFonts w:hint="cs"/>
          <w:rtl/>
        </w:rPr>
        <w:t>تتضمن</w:t>
      </w:r>
      <w:r w:rsidR="007673D7">
        <w:rPr>
          <w:rFonts w:hint="cs"/>
          <w:rtl/>
        </w:rPr>
        <w:t xml:space="preserve"> القواعد العامة للاتحاد إجراءات </w:t>
      </w:r>
      <w:r w:rsidR="00FB4648">
        <w:rPr>
          <w:rFonts w:hint="cs"/>
          <w:rtl/>
        </w:rPr>
        <w:t>خاصة ب</w:t>
      </w:r>
      <w:r w:rsidR="007673D7">
        <w:rPr>
          <w:rFonts w:hint="cs"/>
          <w:rtl/>
        </w:rPr>
        <w:t>جلسات الاستماع، كما هو الحال في العديد من المنظمات الشقيقة التي تجري جلسات الاستماع</w:t>
      </w:r>
      <w:r>
        <w:rPr>
          <w:rFonts w:hint="cs"/>
          <w:rtl/>
        </w:rPr>
        <w:t>؛</w:t>
      </w:r>
    </w:p>
    <w:p w:rsidR="007508D8" w:rsidRPr="00FB3907" w:rsidRDefault="007508D8" w:rsidP="00111A60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7673D7">
        <w:rPr>
          <w:rFonts w:hint="cs"/>
          <w:rtl/>
        </w:rPr>
        <w:t xml:space="preserve">غالباً ما يكون المرشحون لمناصب المسؤولين المنتخبين </w:t>
      </w:r>
      <w:r w:rsidR="00E12E75">
        <w:rPr>
          <w:rFonts w:hint="cs"/>
          <w:rtl/>
        </w:rPr>
        <w:t xml:space="preserve">من موظفي الاتحاد الذين يوضعون </w:t>
      </w:r>
      <w:r w:rsidR="00FB4648">
        <w:rPr>
          <w:rFonts w:hint="cs"/>
          <w:rtl/>
        </w:rPr>
        <w:t xml:space="preserve">تلقائياً </w:t>
      </w:r>
      <w:r w:rsidR="00E12E75">
        <w:rPr>
          <w:rFonts w:hint="cs"/>
          <w:rtl/>
        </w:rPr>
        <w:t xml:space="preserve">في إجازة خاصة بدون أجر عندما يعلنون رسمياً عن ترشحهم، ولذلك </w:t>
      </w:r>
      <w:r w:rsidR="00FB4648">
        <w:rPr>
          <w:rFonts w:hint="cs"/>
          <w:rtl/>
        </w:rPr>
        <w:t xml:space="preserve">عادةً ما </w:t>
      </w:r>
      <w:r w:rsidR="00E12E75">
        <w:rPr>
          <w:rFonts w:hint="cs"/>
          <w:rtl/>
        </w:rPr>
        <w:t xml:space="preserve">يقدمون </w:t>
      </w:r>
      <w:r w:rsidR="00FB3907">
        <w:rPr>
          <w:rFonts w:hint="cs"/>
          <w:rtl/>
        </w:rPr>
        <w:t>ترشيحاتهم</w:t>
      </w:r>
      <w:r w:rsidR="00E12E75">
        <w:rPr>
          <w:rFonts w:hint="cs"/>
          <w:rtl/>
        </w:rPr>
        <w:t xml:space="preserve"> </w:t>
      </w:r>
      <w:r w:rsidR="00FB4648">
        <w:rPr>
          <w:rFonts w:hint="cs"/>
          <w:rtl/>
        </w:rPr>
        <w:t xml:space="preserve">قبل </w:t>
      </w:r>
      <w:r w:rsidR="00FB4648">
        <w:t>28</w:t>
      </w:r>
      <w:r w:rsidR="00FB4648">
        <w:rPr>
          <w:rFonts w:hint="cs"/>
          <w:rtl/>
          <w:lang w:bidi="ar-EG"/>
        </w:rPr>
        <w:t xml:space="preserve"> يوماً فقط</w:t>
      </w:r>
      <w:r w:rsidR="00FB4648">
        <w:rPr>
          <w:rFonts w:hint="cs"/>
          <w:rtl/>
        </w:rPr>
        <w:t xml:space="preserve"> من انعقاد مؤتمر المندوبين</w:t>
      </w:r>
      <w:r w:rsidR="00111A60">
        <w:rPr>
          <w:rFonts w:hint="eastAsia"/>
          <w:rtl/>
        </w:rPr>
        <w:t> </w:t>
      </w:r>
      <w:r w:rsidR="00FB4648">
        <w:rPr>
          <w:rFonts w:hint="cs"/>
          <w:rtl/>
        </w:rPr>
        <w:t>المفوضين</w:t>
      </w:r>
      <w:r w:rsidR="00B44EFC">
        <w:rPr>
          <w:rFonts w:hint="cs"/>
          <w:rtl/>
          <w:lang w:bidi="ar-EG"/>
        </w:rPr>
        <w:t>.</w:t>
      </w:r>
    </w:p>
    <w:p w:rsidR="007508D8" w:rsidRDefault="00FB3907" w:rsidP="00111A6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وتخلص وثيقة الأمانة إلى أن جلسات الاستماع ينبغي أن تُجرى في غضون </w:t>
      </w:r>
      <w:r>
        <w:rPr>
          <w:rFonts w:hint="cs"/>
          <w:rtl/>
        </w:rPr>
        <w:t>الثمانية والعشرين</w:t>
      </w:r>
      <w:r>
        <w:rPr>
          <w:rFonts w:hint="cs"/>
          <w:rtl/>
          <w:lang w:bidi="ar-EG"/>
        </w:rPr>
        <w:t xml:space="preserve"> يوماً المذكورة قبل انعقاد مؤتمر المندوبين المفوضين</w:t>
      </w:r>
      <w:r w:rsidR="00147F02">
        <w:rPr>
          <w:rFonts w:hint="cs"/>
          <w:rtl/>
          <w:lang w:bidi="ar-EG"/>
        </w:rPr>
        <w:t>، إنصافاً لجميع المرشحين</w:t>
      </w:r>
      <w:r w:rsidR="007508D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ولا تتفق البرازيل مع هذا الاستنتاج</w:t>
      </w:r>
      <w:r w:rsidR="003C7D0B">
        <w:rPr>
          <w:rFonts w:hint="cs"/>
          <w:rtl/>
          <w:lang w:bidi="ar-EG"/>
        </w:rPr>
        <w:t xml:space="preserve"> وقد أعربت عن رأيها بشأن الموضوع وبش</w:t>
      </w:r>
      <w:r w:rsidR="009F79A2">
        <w:rPr>
          <w:rFonts w:hint="cs"/>
          <w:rtl/>
          <w:lang w:bidi="ar-EG"/>
        </w:rPr>
        <w:t>أن مقترح الأمانة خلال</w:t>
      </w:r>
      <w:r w:rsidR="00111A60">
        <w:rPr>
          <w:rFonts w:hint="eastAsia"/>
          <w:rtl/>
          <w:lang w:bidi="ar-EG"/>
        </w:rPr>
        <w:t> </w:t>
      </w:r>
      <w:r w:rsidR="009F79A2">
        <w:rPr>
          <w:rFonts w:hint="cs"/>
          <w:rtl/>
          <w:lang w:bidi="ar-EG"/>
        </w:rPr>
        <w:t>الاجتماع.</w:t>
      </w:r>
    </w:p>
    <w:p w:rsidR="007508D8" w:rsidRDefault="003C7D0B" w:rsidP="009F79A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ويتضمن التقرير النهائي للاجتماع الثامن لفريق</w:t>
      </w:r>
      <w:r>
        <w:rPr>
          <w:rFonts w:hint="cs"/>
          <w:rtl/>
        </w:rPr>
        <w:t xml:space="preserve"> العمل التابع للمجلس المعني بالموارد المالية والبشرية </w:t>
      </w:r>
      <w:r w:rsidR="009F79A2">
        <w:t>(</w:t>
      </w:r>
      <w:hyperlink r:id="rId31" w:history="1">
        <w:r>
          <w:rPr>
            <w:rStyle w:val="Hyperlink"/>
            <w:rFonts w:asciiTheme="minorHAnsi" w:hAnsiTheme="minorHAnsi" w:cs="Times New Roman Bold"/>
            <w:spacing w:val="-4"/>
            <w:lang w:val="de-CH"/>
          </w:rPr>
          <w:t>CWG-FHR-8/28</w:t>
        </w:r>
      </w:hyperlink>
      <w:r w:rsidR="009F79A2">
        <w:t>)</w:t>
      </w:r>
      <w:r>
        <w:rPr>
          <w:rFonts w:hint="cs"/>
          <w:rtl/>
        </w:rPr>
        <w:t xml:space="preserve"> ملخصاً دقيقاً للمناقشات</w:t>
      </w:r>
      <w:r w:rsidR="00FB4648">
        <w:rPr>
          <w:rFonts w:hint="cs"/>
          <w:rtl/>
        </w:rPr>
        <w:t>،</w:t>
      </w:r>
      <w:r>
        <w:rPr>
          <w:rFonts w:hint="cs"/>
          <w:rtl/>
        </w:rPr>
        <w:t xml:space="preserve"> ويتضمن الملحق </w:t>
      </w:r>
      <w:r>
        <w:t>1</w:t>
      </w:r>
      <w:r>
        <w:rPr>
          <w:rFonts w:hint="cs"/>
          <w:rtl/>
          <w:lang w:bidi="ar-EG"/>
        </w:rPr>
        <w:t xml:space="preserve"> أجوبة عن الأسئلة التي طرحتها البرازيل على المستشار القانوني للاتحاد بشأن </w:t>
      </w:r>
      <w:r w:rsidR="00FD09FD">
        <w:rPr>
          <w:rFonts w:hint="cs"/>
          <w:rtl/>
          <w:lang w:bidi="ar-EG"/>
        </w:rPr>
        <w:t>الطريقة التي ينبغي أن تناق</w:t>
      </w:r>
      <w:r w:rsidR="007D6D78">
        <w:rPr>
          <w:rFonts w:hint="cs"/>
          <w:rtl/>
          <w:lang w:bidi="ar-EG"/>
        </w:rPr>
        <w:t>َ</w:t>
      </w:r>
      <w:r w:rsidR="00FD09FD">
        <w:rPr>
          <w:rFonts w:hint="cs"/>
          <w:rtl/>
          <w:lang w:bidi="ar-EG"/>
        </w:rPr>
        <w:t xml:space="preserve">ش بها التعديلات المقترح إدخالها على القواعد العامة والمستوى الذي ينبغي </w:t>
      </w:r>
      <w:r w:rsidR="007D6D78">
        <w:rPr>
          <w:rFonts w:hint="cs"/>
          <w:rtl/>
          <w:lang w:bidi="ar-EG"/>
        </w:rPr>
        <w:t xml:space="preserve">أن تُجرى </w:t>
      </w:r>
      <w:r w:rsidR="00FD09FD">
        <w:rPr>
          <w:rFonts w:hint="cs"/>
          <w:rtl/>
          <w:lang w:bidi="ar-EG"/>
        </w:rPr>
        <w:t xml:space="preserve">عليه </w:t>
      </w:r>
      <w:r w:rsidR="007D6D78">
        <w:rPr>
          <w:rFonts w:hint="cs"/>
          <w:rtl/>
          <w:lang w:bidi="ar-EG"/>
        </w:rPr>
        <w:t xml:space="preserve">المناقشة </w:t>
      </w:r>
      <w:r w:rsidR="00FD09FD">
        <w:rPr>
          <w:rFonts w:hint="cs"/>
          <w:rtl/>
          <w:lang w:bidi="ar-EG"/>
        </w:rPr>
        <w:t xml:space="preserve">في مؤتمر المندوبين المفوضين لعام </w:t>
      </w:r>
      <w:r w:rsidR="00FD09FD">
        <w:rPr>
          <w:lang w:bidi="ar-EG"/>
        </w:rPr>
        <w:t>2018</w:t>
      </w:r>
      <w:r w:rsidR="007508D8">
        <w:rPr>
          <w:rFonts w:hint="cs"/>
          <w:rtl/>
          <w:lang w:bidi="ar-EG"/>
        </w:rPr>
        <w:t>.</w:t>
      </w:r>
    </w:p>
    <w:p w:rsidR="007508D8" w:rsidRDefault="007508D8" w:rsidP="007508D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7508D8" w:rsidRDefault="00FD09FD" w:rsidP="00E374A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المناقشة</w:t>
      </w:r>
    </w:p>
    <w:p w:rsidR="007508D8" w:rsidRPr="00111A60" w:rsidRDefault="00FD09FD" w:rsidP="009C5BFF">
      <w:pPr>
        <w:rPr>
          <w:rtl/>
          <w:lang w:bidi="ar-EG"/>
        </w:rPr>
      </w:pPr>
      <w:r w:rsidRPr="00111A60">
        <w:rPr>
          <w:rFonts w:hint="cs"/>
          <w:rtl/>
          <w:lang w:bidi="ar-EG"/>
        </w:rPr>
        <w:t xml:space="preserve">بعد مناقشات دامت أربع سنوات، بات من الواضح جيداً للبرازيل </w:t>
      </w:r>
      <w:r w:rsidR="00175419" w:rsidRPr="00111A60">
        <w:rPr>
          <w:rFonts w:hint="cs"/>
          <w:rtl/>
          <w:lang w:bidi="ar-EG"/>
        </w:rPr>
        <w:t>و</w:t>
      </w:r>
      <w:r w:rsidRPr="00111A60">
        <w:rPr>
          <w:rFonts w:hint="cs"/>
          <w:rtl/>
          <w:lang w:bidi="ar-EG"/>
        </w:rPr>
        <w:t>للعديد من الدول الأعضاء الأخرى</w:t>
      </w:r>
      <w:r w:rsidR="00175419" w:rsidRPr="00111A60">
        <w:rPr>
          <w:rFonts w:hint="cs"/>
          <w:rtl/>
          <w:lang w:bidi="ar-EG"/>
        </w:rPr>
        <w:t xml:space="preserve"> </w:t>
      </w:r>
      <w:r w:rsidRPr="00111A60">
        <w:rPr>
          <w:rFonts w:hint="cs"/>
          <w:rtl/>
          <w:lang w:bidi="ar-EG"/>
        </w:rPr>
        <w:t xml:space="preserve">على ما يبدو، أن </w:t>
      </w:r>
      <w:r w:rsidR="00265554" w:rsidRPr="00111A60">
        <w:rPr>
          <w:rFonts w:hint="cs"/>
          <w:rtl/>
          <w:lang w:bidi="ar-EG"/>
        </w:rPr>
        <w:t>الاتح</w:t>
      </w:r>
      <w:r w:rsidR="00175419" w:rsidRPr="00111A60">
        <w:rPr>
          <w:rFonts w:hint="cs"/>
          <w:rtl/>
          <w:lang w:bidi="ar-EG"/>
        </w:rPr>
        <w:t>اد ينبغي أن ينفذ عملية خاصة بجلسات الاستماع</w:t>
      </w:r>
      <w:r w:rsidR="007508D8" w:rsidRPr="00111A60">
        <w:rPr>
          <w:rFonts w:hint="cs"/>
          <w:rtl/>
          <w:lang w:bidi="ar-EG"/>
        </w:rPr>
        <w:t>.</w:t>
      </w:r>
      <w:r w:rsidR="00175419" w:rsidRPr="00111A60">
        <w:rPr>
          <w:rFonts w:hint="cs"/>
          <w:rtl/>
          <w:lang w:bidi="ar-EG"/>
        </w:rPr>
        <w:t xml:space="preserve"> </w:t>
      </w:r>
      <w:r w:rsidR="00EA1E92" w:rsidRPr="00111A60">
        <w:rPr>
          <w:rFonts w:hint="cs"/>
          <w:rtl/>
          <w:lang w:bidi="ar-EG"/>
        </w:rPr>
        <w:t xml:space="preserve">فهذه العملية لا تحظى </w:t>
      </w:r>
      <w:r w:rsidR="00C87AF2" w:rsidRPr="00111A60">
        <w:rPr>
          <w:rFonts w:hint="cs"/>
          <w:rtl/>
          <w:lang w:bidi="ar-EG"/>
        </w:rPr>
        <w:t>فحسب</w:t>
      </w:r>
      <w:r w:rsidR="00EA1E92" w:rsidRPr="00111A60">
        <w:rPr>
          <w:rFonts w:hint="cs"/>
          <w:rtl/>
          <w:lang w:bidi="ar-EG"/>
        </w:rPr>
        <w:t xml:space="preserve"> بتوصية وحدة التفتيش المشتركة للأمم المتحدة التي تعتبرها </w:t>
      </w:r>
      <w:r w:rsidR="00C87AF2" w:rsidRPr="00111A60">
        <w:rPr>
          <w:rFonts w:hint="cs"/>
          <w:rtl/>
          <w:lang w:bidi="ar-EG"/>
        </w:rPr>
        <w:t>من أفضل الممارسات</w:t>
      </w:r>
      <w:r w:rsidR="00EA1E92" w:rsidRPr="00111A60">
        <w:rPr>
          <w:rFonts w:hint="cs"/>
          <w:rtl/>
          <w:lang w:bidi="ar-EG"/>
        </w:rPr>
        <w:t xml:space="preserve"> في مجال الانتخابات (</w:t>
      </w:r>
      <w:hyperlink r:id="rId32" w:history="1">
        <w:r w:rsidR="00EA1E92" w:rsidRPr="00111A60">
          <w:rPr>
            <w:rStyle w:val="Hyperlink"/>
            <w:rFonts w:hint="cs"/>
            <w:rtl/>
            <w:lang w:val="de-CH"/>
          </w:rPr>
          <w:t xml:space="preserve">تقرير وحدة التفتيش المشتركة لعام </w:t>
        </w:r>
        <w:r w:rsidR="00EA1E92" w:rsidRPr="00111A60">
          <w:rPr>
            <w:rStyle w:val="Hyperlink"/>
          </w:rPr>
          <w:t>2009</w:t>
        </w:r>
        <w:r w:rsidR="00EA1E92" w:rsidRPr="00111A60">
          <w:rPr>
            <w:rStyle w:val="Hyperlink"/>
            <w:rFonts w:hint="cs"/>
            <w:rtl/>
            <w:lang w:bidi="ar-EG"/>
          </w:rPr>
          <w:t xml:space="preserve"> بشأن</w:t>
        </w:r>
        <w:r w:rsidR="00EA1E92" w:rsidRPr="00111A60">
          <w:rPr>
            <w:rStyle w:val="Hyperlink"/>
            <w:rFonts w:hint="cs"/>
            <w:rtl/>
          </w:rPr>
          <w:t xml:space="preserve"> "</w:t>
        </w:r>
        <w:r w:rsidR="00EA1E92" w:rsidRPr="00111A60">
          <w:rPr>
            <w:rStyle w:val="Hyperlink"/>
            <w:rFonts w:hint="cs"/>
            <w:rtl/>
            <w:lang w:bidi="ar"/>
          </w:rPr>
          <w:t>اختيار الرؤساء التنفيذيين في</w:t>
        </w:r>
        <w:r w:rsidR="00EA1E92" w:rsidRPr="00111A60">
          <w:rPr>
            <w:rStyle w:val="Hyperlink"/>
            <w:rFonts w:hint="eastAsia"/>
            <w:rtl/>
            <w:lang w:bidi="ar"/>
          </w:rPr>
          <w:t> </w:t>
        </w:r>
        <w:r w:rsidR="00EA1E92" w:rsidRPr="00111A60">
          <w:rPr>
            <w:rStyle w:val="Hyperlink"/>
            <w:rFonts w:hint="cs"/>
            <w:rtl/>
            <w:lang w:bidi="ar"/>
          </w:rPr>
          <w:t>منظمات منظومة الأمم المتحدة وشروط خدمتهم</w:t>
        </w:r>
        <w:r w:rsidR="00EA1E92" w:rsidRPr="00111A60">
          <w:rPr>
            <w:rStyle w:val="Hyperlink"/>
            <w:rFonts w:hint="cs"/>
            <w:rtl/>
          </w:rPr>
          <w:t>"</w:t>
        </w:r>
      </w:hyperlink>
      <w:r w:rsidR="00EA1E92" w:rsidRPr="00111A60">
        <w:rPr>
          <w:rFonts w:hint="cs"/>
          <w:rtl/>
          <w:lang w:bidi="ar-EG"/>
        </w:rPr>
        <w:t xml:space="preserve">)، بل </w:t>
      </w:r>
      <w:r w:rsidR="00997B67" w:rsidRPr="00111A60">
        <w:rPr>
          <w:rFonts w:hint="cs"/>
          <w:rtl/>
          <w:lang w:bidi="ar-EG"/>
        </w:rPr>
        <w:t>نُفذت</w:t>
      </w:r>
      <w:r w:rsidR="00EA1E92" w:rsidRPr="00111A60">
        <w:rPr>
          <w:rFonts w:hint="cs"/>
          <w:rtl/>
          <w:lang w:bidi="ar-EG"/>
        </w:rPr>
        <w:t xml:space="preserve"> بنجاح أيضاً في كثير من المنظمات الدولية مثل منظمة الصحة العالمية</w:t>
      </w:r>
      <w:r w:rsidR="008F5E8D" w:rsidRPr="00111A60">
        <w:rPr>
          <w:rFonts w:hint="eastAsia"/>
          <w:rtl/>
          <w:lang w:bidi="ar-EG"/>
        </w:rPr>
        <w:t> </w:t>
      </w:r>
      <w:r w:rsidR="008F5E8D" w:rsidRPr="00111A60">
        <w:rPr>
          <w:lang w:bidi="ar-EG"/>
        </w:rPr>
        <w:t>(</w:t>
      </w:r>
      <w:r w:rsidR="00EA1E92" w:rsidRPr="00111A60">
        <w:t>WHO</w:t>
      </w:r>
      <w:r w:rsidR="008F5E8D" w:rsidRPr="00111A60">
        <w:rPr>
          <w:lang w:bidi="ar-EG"/>
        </w:rPr>
        <w:t>)</w:t>
      </w:r>
      <w:r w:rsidR="00EA1E92" w:rsidRPr="00111A60">
        <w:rPr>
          <w:rFonts w:hint="cs"/>
          <w:rtl/>
          <w:lang w:bidi="ar-EG"/>
        </w:rPr>
        <w:t xml:space="preserve"> ومنظمة التجارة العالمية </w:t>
      </w:r>
      <w:r w:rsidR="009C5BFF" w:rsidRPr="00111A60">
        <w:rPr>
          <w:lang w:bidi="ar-EG"/>
        </w:rPr>
        <w:t>(</w:t>
      </w:r>
      <w:r w:rsidR="00EA1E92" w:rsidRPr="00111A60">
        <w:t>WTO</w:t>
      </w:r>
      <w:r w:rsidR="009C5BFF" w:rsidRPr="00111A60">
        <w:rPr>
          <w:lang w:bidi="ar-EG"/>
        </w:rPr>
        <w:t>)</w:t>
      </w:r>
      <w:r w:rsidR="00EA1E92" w:rsidRPr="00111A60">
        <w:rPr>
          <w:rFonts w:hint="cs"/>
          <w:rtl/>
          <w:lang w:bidi="ar-EG"/>
        </w:rPr>
        <w:t xml:space="preserve"> ومنظمة العمل الدولية </w:t>
      </w:r>
      <w:r w:rsidR="009C5BFF" w:rsidRPr="00111A60">
        <w:rPr>
          <w:lang w:bidi="ar-EG"/>
        </w:rPr>
        <w:t>(</w:t>
      </w:r>
      <w:r w:rsidR="00EA1E92" w:rsidRPr="00111A60">
        <w:t>ILO</w:t>
      </w:r>
      <w:r w:rsidR="009C5BFF" w:rsidRPr="00111A60">
        <w:rPr>
          <w:lang w:bidi="ar-EG"/>
        </w:rPr>
        <w:t>)</w:t>
      </w:r>
      <w:r w:rsidR="00EA1E92" w:rsidRPr="00111A60">
        <w:rPr>
          <w:rFonts w:hint="cs"/>
          <w:rtl/>
          <w:lang w:bidi="ar-EG"/>
        </w:rPr>
        <w:t xml:space="preserve"> والمنظمة العالمية للملكية الفكرية </w:t>
      </w:r>
      <w:r w:rsidR="009C5BFF" w:rsidRPr="00111A60">
        <w:rPr>
          <w:lang w:bidi="ar-EG"/>
        </w:rPr>
        <w:t>(</w:t>
      </w:r>
      <w:r w:rsidR="00EA1E92" w:rsidRPr="00111A60">
        <w:t>WIPO</w:t>
      </w:r>
      <w:r w:rsidR="009C5BFF" w:rsidRPr="00111A60">
        <w:rPr>
          <w:lang w:bidi="ar-EG"/>
        </w:rPr>
        <w:t>)</w:t>
      </w:r>
      <w:r w:rsidR="00EA1E92" w:rsidRPr="00111A60">
        <w:rPr>
          <w:rFonts w:hint="cs"/>
          <w:rtl/>
          <w:lang w:bidi="ar-EG"/>
        </w:rPr>
        <w:t>، ولا</w:t>
      </w:r>
      <w:r w:rsidR="009C5BFF" w:rsidRPr="00111A60">
        <w:rPr>
          <w:rFonts w:hint="eastAsia"/>
          <w:rtl/>
          <w:lang w:bidi="ar-EG"/>
        </w:rPr>
        <w:t> </w:t>
      </w:r>
      <w:r w:rsidR="00EA1E92" w:rsidRPr="00111A60">
        <w:rPr>
          <w:rFonts w:hint="cs"/>
          <w:rtl/>
          <w:lang w:bidi="ar-EG"/>
        </w:rPr>
        <w:t>سيما في</w:t>
      </w:r>
      <w:r w:rsidR="009C5BFF" w:rsidRPr="00111A60">
        <w:rPr>
          <w:rFonts w:hint="eastAsia"/>
          <w:rtl/>
          <w:lang w:bidi="ar-EG"/>
        </w:rPr>
        <w:t> </w:t>
      </w:r>
      <w:r w:rsidR="00EA1E92" w:rsidRPr="00111A60">
        <w:rPr>
          <w:rFonts w:hint="cs"/>
          <w:rtl/>
          <w:lang w:bidi="ar-EG"/>
        </w:rPr>
        <w:t xml:space="preserve">انتخاب </w:t>
      </w:r>
      <w:r w:rsidR="00997B67" w:rsidRPr="00111A60">
        <w:rPr>
          <w:rFonts w:hint="cs"/>
          <w:rtl/>
          <w:lang w:bidi="ar-EG"/>
        </w:rPr>
        <w:t xml:space="preserve">الأمين العام الحالي للأمم المتحدة في </w:t>
      </w:r>
      <w:r w:rsidR="00997B67" w:rsidRPr="00111A60">
        <w:rPr>
          <w:lang w:bidi="ar-EG"/>
        </w:rPr>
        <w:t>2016</w:t>
      </w:r>
      <w:r w:rsidR="00997B67" w:rsidRPr="00111A60">
        <w:rPr>
          <w:rFonts w:hint="cs"/>
          <w:rtl/>
          <w:lang w:bidi="ar-EG"/>
        </w:rPr>
        <w:t>.</w:t>
      </w:r>
    </w:p>
    <w:p w:rsidR="007508D8" w:rsidRDefault="00997B67" w:rsidP="00997B67">
      <w:pPr>
        <w:rPr>
          <w:rtl/>
          <w:lang w:bidi="ar-EG"/>
        </w:rPr>
      </w:pPr>
      <w:r>
        <w:rPr>
          <w:rFonts w:hint="cs"/>
          <w:rtl/>
          <w:lang w:bidi="ar-EG"/>
        </w:rPr>
        <w:t>وينبغي إجراء جلسات الاستماع في الاتحاد الدولي للاتصالات للأسباب التالية</w:t>
      </w:r>
      <w:r w:rsidR="007508D8">
        <w:rPr>
          <w:rFonts w:hint="cs"/>
          <w:rtl/>
          <w:lang w:bidi="ar-EG"/>
        </w:rPr>
        <w:t>:</w:t>
      </w:r>
    </w:p>
    <w:p w:rsidR="007508D8" w:rsidRDefault="00FD5C27" w:rsidP="00C87AF2">
      <w:pPr>
        <w:pStyle w:val="enumlev1"/>
        <w:rPr>
          <w:rtl/>
        </w:rPr>
      </w:pPr>
      <w:r>
        <w:t>(</w:t>
      </w:r>
      <w:proofErr w:type="gramStart"/>
      <w:r w:rsidR="007508D8">
        <w:t>1</w:t>
      </w:r>
      <w:proofErr w:type="gramEnd"/>
      <w:r w:rsidR="007508D8">
        <w:tab/>
      </w:r>
      <w:r w:rsidR="00997B67">
        <w:rPr>
          <w:rFonts w:hint="cs"/>
          <w:rtl/>
        </w:rPr>
        <w:t xml:space="preserve">لتكون بمثابة منصة للتفاعل بين المندوبين والمسؤولين </w:t>
      </w:r>
      <w:r w:rsidR="007D6D78">
        <w:rPr>
          <w:rFonts w:hint="cs"/>
          <w:rtl/>
        </w:rPr>
        <w:t xml:space="preserve">المنتخبين </w:t>
      </w:r>
      <w:r w:rsidR="00C87AF2">
        <w:rPr>
          <w:rFonts w:hint="cs"/>
          <w:rtl/>
        </w:rPr>
        <w:t xml:space="preserve">المحتملين </w:t>
      </w:r>
      <w:r w:rsidR="00997B67">
        <w:rPr>
          <w:rFonts w:hint="cs"/>
          <w:rtl/>
        </w:rPr>
        <w:t>في الاتحاد</w:t>
      </w:r>
      <w:r w:rsidR="007508D8">
        <w:rPr>
          <w:rFonts w:hint="cs"/>
          <w:rtl/>
        </w:rPr>
        <w:t>؛</w:t>
      </w:r>
    </w:p>
    <w:p w:rsidR="007508D8" w:rsidRDefault="00FD5C27" w:rsidP="00FD4700">
      <w:pPr>
        <w:pStyle w:val="enumlev1"/>
        <w:rPr>
          <w:rtl/>
        </w:rPr>
      </w:pPr>
      <w:r>
        <w:t>(</w:t>
      </w:r>
      <w:proofErr w:type="gramStart"/>
      <w:r w:rsidR="007508D8">
        <w:t>2</w:t>
      </w:r>
      <w:r w:rsidR="007508D8">
        <w:tab/>
      </w:r>
      <w:r w:rsidR="00997B67">
        <w:rPr>
          <w:rFonts w:hint="cs"/>
          <w:rtl/>
        </w:rPr>
        <w:t>توضيح</w:t>
      </w:r>
      <w:proofErr w:type="gramEnd"/>
      <w:r w:rsidR="00997B67">
        <w:rPr>
          <w:rFonts w:hint="cs"/>
          <w:rtl/>
        </w:rPr>
        <w:t xml:space="preserve"> رؤية كل مرشح بشأن الاتحاد </w:t>
      </w:r>
      <w:r w:rsidR="00BE4042">
        <w:rPr>
          <w:rFonts w:hint="cs"/>
          <w:rtl/>
        </w:rPr>
        <w:t>وكيفية أداء المهام التي يتطلبها منصبه على النحو المنصوص عليه في</w:t>
      </w:r>
      <w:r w:rsidR="00FD4700">
        <w:rPr>
          <w:rFonts w:hint="eastAsia"/>
          <w:rtl/>
        </w:rPr>
        <w:t> </w:t>
      </w:r>
      <w:r w:rsidR="00BE4042">
        <w:rPr>
          <w:rFonts w:hint="cs"/>
          <w:rtl/>
        </w:rPr>
        <w:t>دستور الاتحاد واتفاقيته</w:t>
      </w:r>
      <w:r w:rsidR="007508D8">
        <w:rPr>
          <w:rFonts w:hint="cs"/>
          <w:rtl/>
        </w:rPr>
        <w:t>؛</w:t>
      </w:r>
    </w:p>
    <w:p w:rsidR="007508D8" w:rsidRDefault="00FD5C27" w:rsidP="00BE4042">
      <w:pPr>
        <w:pStyle w:val="enumlev1"/>
        <w:rPr>
          <w:rtl/>
        </w:rPr>
      </w:pPr>
      <w:r>
        <w:t>(</w:t>
      </w:r>
      <w:proofErr w:type="gramStart"/>
      <w:r w:rsidR="007508D8">
        <w:t>3</w:t>
      </w:r>
      <w:r w:rsidR="007508D8">
        <w:tab/>
      </w:r>
      <w:r w:rsidR="00BE4042">
        <w:rPr>
          <w:rFonts w:hint="cs"/>
          <w:rtl/>
        </w:rPr>
        <w:t>تقييم</w:t>
      </w:r>
      <w:proofErr w:type="gramEnd"/>
      <w:r w:rsidR="00BE4042">
        <w:rPr>
          <w:rFonts w:hint="cs"/>
          <w:rtl/>
        </w:rPr>
        <w:t xml:space="preserve"> مهارات مخاطبة الجمهور، خاصةً تحت الضغط</w:t>
      </w:r>
      <w:r w:rsidR="007508D8">
        <w:rPr>
          <w:rFonts w:hint="cs"/>
          <w:rtl/>
        </w:rPr>
        <w:t>؛</w:t>
      </w:r>
    </w:p>
    <w:p w:rsidR="007508D8" w:rsidRDefault="00FD5C27" w:rsidP="007508D8">
      <w:pPr>
        <w:pStyle w:val="enumlev1"/>
        <w:rPr>
          <w:rtl/>
        </w:rPr>
      </w:pPr>
      <w:r>
        <w:t>(</w:t>
      </w:r>
      <w:proofErr w:type="gramStart"/>
      <w:r w:rsidR="007508D8">
        <w:t>4</w:t>
      </w:r>
      <w:r w:rsidR="007508D8">
        <w:tab/>
      </w:r>
      <w:r w:rsidR="00BE4042">
        <w:rPr>
          <w:rFonts w:hint="cs"/>
          <w:rtl/>
        </w:rPr>
        <w:t>تعزيز</w:t>
      </w:r>
      <w:proofErr w:type="gramEnd"/>
      <w:r w:rsidR="00BE4042">
        <w:rPr>
          <w:rFonts w:hint="cs"/>
          <w:rtl/>
        </w:rPr>
        <w:t xml:space="preserve"> الشفافية والشرعية والشمولية في عملية الانتخاب</w:t>
      </w:r>
      <w:r w:rsidR="007508D8">
        <w:rPr>
          <w:rFonts w:hint="cs"/>
          <w:rtl/>
        </w:rPr>
        <w:t>؛</w:t>
      </w:r>
    </w:p>
    <w:p w:rsidR="007508D8" w:rsidRDefault="00FD5C27" w:rsidP="00C87AF2">
      <w:pPr>
        <w:pStyle w:val="enumlev1"/>
        <w:rPr>
          <w:rtl/>
        </w:rPr>
      </w:pPr>
      <w:r>
        <w:t>(</w:t>
      </w:r>
      <w:proofErr w:type="gramStart"/>
      <w:r w:rsidR="007508D8">
        <w:t>5</w:t>
      </w:r>
      <w:r w:rsidR="007508D8">
        <w:tab/>
      </w:r>
      <w:r w:rsidR="00841824">
        <w:rPr>
          <w:rFonts w:hint="cs"/>
          <w:rtl/>
        </w:rPr>
        <w:t>وقبل</w:t>
      </w:r>
      <w:proofErr w:type="gramEnd"/>
      <w:r w:rsidR="00841824">
        <w:rPr>
          <w:rFonts w:hint="cs"/>
          <w:rtl/>
        </w:rPr>
        <w:t xml:space="preserve"> كل شيء، توفير مدخلات قيمة تساعد على اتخاذ قرار </w:t>
      </w:r>
      <w:r w:rsidR="007D6D78">
        <w:rPr>
          <w:rFonts w:hint="cs"/>
          <w:rtl/>
        </w:rPr>
        <w:t xml:space="preserve">عن </w:t>
      </w:r>
      <w:r w:rsidR="00C87AF2">
        <w:rPr>
          <w:rFonts w:hint="cs"/>
          <w:rtl/>
        </w:rPr>
        <w:t xml:space="preserve">علم ويكون </w:t>
      </w:r>
      <w:r w:rsidR="00841824">
        <w:rPr>
          <w:rFonts w:hint="cs"/>
          <w:rtl/>
        </w:rPr>
        <w:t xml:space="preserve">أكثر استنارةً بشأن المرشحين </w:t>
      </w:r>
      <w:r w:rsidR="00C87AF2">
        <w:rPr>
          <w:rFonts w:hint="cs"/>
          <w:rtl/>
        </w:rPr>
        <w:t xml:space="preserve">الأفضل تأهيلاً </w:t>
      </w:r>
      <w:r w:rsidR="00841824">
        <w:rPr>
          <w:rFonts w:hint="cs"/>
          <w:rtl/>
        </w:rPr>
        <w:t>لمناصب الأمين العام ونائب الأمين العام ومديري المكاتب الثلاث</w:t>
      </w:r>
      <w:r w:rsidR="00C87AF2">
        <w:rPr>
          <w:rFonts w:hint="cs"/>
          <w:rtl/>
        </w:rPr>
        <w:t>ة.</w:t>
      </w:r>
    </w:p>
    <w:p w:rsidR="007508D8" w:rsidRDefault="00AF65CA" w:rsidP="00C87AF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ذلك، </w:t>
      </w:r>
      <w:r w:rsidR="00C87AF2">
        <w:rPr>
          <w:rFonts w:hint="cs"/>
          <w:rtl/>
          <w:lang w:bidi="ar-EG"/>
        </w:rPr>
        <w:t xml:space="preserve">ينبغي في </w:t>
      </w:r>
      <w:r w:rsidR="00841824">
        <w:rPr>
          <w:rFonts w:hint="cs"/>
          <w:rtl/>
          <w:lang w:bidi="ar-EG"/>
        </w:rPr>
        <w:t xml:space="preserve">تنفيذ عملية خاصة بجلسات الاستماع في الاتحاد </w:t>
      </w:r>
      <w:r>
        <w:rPr>
          <w:rFonts w:hint="cs"/>
          <w:rtl/>
          <w:lang w:bidi="ar-EG"/>
        </w:rPr>
        <w:t>ا</w:t>
      </w:r>
      <w:r w:rsidR="00C87AF2">
        <w:rPr>
          <w:rFonts w:hint="cs"/>
          <w:rtl/>
          <w:lang w:bidi="ar-EG"/>
        </w:rPr>
        <w:t>لتصدي ل</w:t>
      </w:r>
      <w:r>
        <w:rPr>
          <w:rFonts w:hint="cs"/>
          <w:rtl/>
          <w:lang w:bidi="ar-EG"/>
        </w:rPr>
        <w:t>لعقبات التالية</w:t>
      </w:r>
      <w:r w:rsidR="007508D8">
        <w:rPr>
          <w:rFonts w:hint="cs"/>
          <w:rtl/>
          <w:lang w:bidi="ar-EG"/>
        </w:rPr>
        <w:t>:</w:t>
      </w:r>
    </w:p>
    <w:p w:rsidR="007508D8" w:rsidRDefault="007508D8" w:rsidP="00E82B3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AF65CA">
        <w:rPr>
          <w:rFonts w:hint="cs"/>
          <w:rtl/>
        </w:rPr>
        <w:t xml:space="preserve">التوقيت: ينبغي تنفيذ العملية الخاصة بجلسات الاستماع في </w:t>
      </w:r>
      <w:r w:rsidR="00520200">
        <w:rPr>
          <w:rFonts w:hint="cs"/>
          <w:rtl/>
        </w:rPr>
        <w:t>مهلة</w:t>
      </w:r>
      <w:r w:rsidR="007D6D78">
        <w:rPr>
          <w:rFonts w:hint="cs"/>
          <w:rtl/>
        </w:rPr>
        <w:t xml:space="preserve"> زمنية</w:t>
      </w:r>
      <w:r w:rsidR="00AF65CA">
        <w:rPr>
          <w:rFonts w:hint="cs"/>
          <w:rtl/>
        </w:rPr>
        <w:t xml:space="preserve"> سابق</w:t>
      </w:r>
      <w:r w:rsidR="007D6D78">
        <w:rPr>
          <w:rFonts w:hint="cs"/>
          <w:rtl/>
        </w:rPr>
        <w:t>ة</w:t>
      </w:r>
      <w:r w:rsidR="00AF65CA">
        <w:rPr>
          <w:rFonts w:hint="cs"/>
          <w:rtl/>
        </w:rPr>
        <w:t xml:space="preserve"> لموعد انعقاد مؤتمر المندوبين المفوضين</w:t>
      </w:r>
      <w:r w:rsidR="00E82B38">
        <w:rPr>
          <w:rFonts w:hint="eastAsia"/>
          <w:rtl/>
        </w:rPr>
        <w:t> </w:t>
      </w:r>
      <w:r w:rsidR="00E82B38">
        <w:t>(</w:t>
      </w:r>
      <w:r w:rsidR="00AF65CA">
        <w:t>PP</w:t>
      </w:r>
      <w:r w:rsidR="00E82B38">
        <w:t>)</w:t>
      </w:r>
      <w:r w:rsidR="005159FA">
        <w:rPr>
          <w:rFonts w:hint="cs"/>
          <w:rtl/>
        </w:rPr>
        <w:t>،</w:t>
      </w:r>
      <w:r w:rsidR="00AF65CA">
        <w:rPr>
          <w:rFonts w:hint="cs"/>
          <w:rtl/>
        </w:rPr>
        <w:t xml:space="preserve"> </w:t>
      </w:r>
      <w:r w:rsidR="005159FA">
        <w:rPr>
          <w:rFonts w:hint="cs"/>
          <w:rtl/>
        </w:rPr>
        <w:t xml:space="preserve">مما </w:t>
      </w:r>
      <w:r w:rsidR="00AF65CA">
        <w:rPr>
          <w:rFonts w:hint="cs"/>
          <w:rtl/>
        </w:rPr>
        <w:t xml:space="preserve">يسمح بالتأثير على </w:t>
      </w:r>
      <w:r w:rsidR="005159FA">
        <w:rPr>
          <w:rFonts w:hint="cs"/>
          <w:rtl/>
        </w:rPr>
        <w:t xml:space="preserve">عملية </w:t>
      </w:r>
      <w:r w:rsidR="00C87AF2">
        <w:rPr>
          <w:rFonts w:hint="cs"/>
          <w:rtl/>
        </w:rPr>
        <w:t xml:space="preserve">اتخاذ القرار بشأن التصويت </w:t>
      </w:r>
      <w:r w:rsidR="005159FA">
        <w:rPr>
          <w:rFonts w:hint="cs"/>
          <w:rtl/>
        </w:rPr>
        <w:t>في كل دولة من الدول الأعضاء</w:t>
      </w:r>
      <w:r>
        <w:rPr>
          <w:rFonts w:hint="cs"/>
          <w:rtl/>
        </w:rPr>
        <w:t>؛</w:t>
      </w:r>
    </w:p>
    <w:p w:rsidR="007508D8" w:rsidRDefault="007508D8" w:rsidP="007D6D78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5159FA">
        <w:rPr>
          <w:rFonts w:hint="cs"/>
          <w:rtl/>
        </w:rPr>
        <w:t xml:space="preserve">الإنصاف والشمولية: </w:t>
      </w:r>
      <w:r w:rsidR="00147F02">
        <w:rPr>
          <w:rFonts w:hint="cs"/>
          <w:rtl/>
        </w:rPr>
        <w:t>ت</w:t>
      </w:r>
      <w:r w:rsidR="005159FA">
        <w:rPr>
          <w:rFonts w:hint="cs"/>
          <w:rtl/>
        </w:rPr>
        <w:t xml:space="preserve">حدد </w:t>
      </w:r>
      <w:hyperlink r:id="rId33" w:history="1">
        <w:r w:rsidR="00147F02" w:rsidRPr="001D5C45">
          <w:rPr>
            <w:rStyle w:val="Hyperlink"/>
            <w:rFonts w:hint="cs"/>
            <w:rtl/>
          </w:rPr>
          <w:t>المادة</w:t>
        </w:r>
        <w:r w:rsidR="005159FA" w:rsidRPr="001D5C45">
          <w:rPr>
            <w:rStyle w:val="Hyperlink"/>
            <w:rFonts w:hint="cs"/>
            <w:rtl/>
          </w:rPr>
          <w:t xml:space="preserve"> </w:t>
        </w:r>
        <w:r w:rsidR="005159FA" w:rsidRPr="001D5C45">
          <w:rPr>
            <w:rStyle w:val="Hyperlink"/>
          </w:rPr>
          <w:t>2.12</w:t>
        </w:r>
        <w:r w:rsidR="005159FA" w:rsidRPr="001D5C45">
          <w:rPr>
            <w:rStyle w:val="Hyperlink"/>
            <w:rFonts w:hint="cs"/>
            <w:rtl/>
            <w:lang w:bidi="ar-EG"/>
          </w:rPr>
          <w:t xml:space="preserve"> من النظام الأساسي لموظفي الاتحاد</w:t>
        </w:r>
      </w:hyperlink>
      <w:r w:rsidR="005159FA">
        <w:rPr>
          <w:rFonts w:hint="cs"/>
          <w:rtl/>
          <w:lang w:bidi="ar-EG"/>
        </w:rPr>
        <w:t xml:space="preserve"> أن</w:t>
      </w:r>
      <w:r w:rsidR="00147F02">
        <w:rPr>
          <w:rFonts w:hint="cs"/>
          <w:rtl/>
          <w:lang w:bidi="ar-EG"/>
        </w:rPr>
        <w:t xml:space="preserve"> الموظفين المعينين المتقدمين لمنصب مسؤول منتخب يوضعون تلقائياً في إجازة خاصة تبدأ </w:t>
      </w:r>
      <w:r w:rsidR="007D6D78">
        <w:rPr>
          <w:rFonts w:hint="cs"/>
          <w:rtl/>
          <w:lang w:bidi="ar-EG"/>
        </w:rPr>
        <w:t>بعد يوم واحد من</w:t>
      </w:r>
      <w:r w:rsidR="00147F02">
        <w:rPr>
          <w:rFonts w:hint="cs"/>
          <w:rtl/>
          <w:lang w:bidi="ar-EG"/>
        </w:rPr>
        <w:t xml:space="preserve"> تقديم ترشيحاتهم </w:t>
      </w:r>
      <w:r w:rsidR="007D6D78">
        <w:rPr>
          <w:rFonts w:hint="cs"/>
          <w:rtl/>
          <w:lang w:bidi="ar-EG"/>
        </w:rPr>
        <w:t>الرسمية</w:t>
      </w:r>
      <w:r w:rsidR="001D5C45">
        <w:rPr>
          <w:rFonts w:hint="cs"/>
          <w:rtl/>
          <w:lang w:bidi="ar-EG"/>
        </w:rPr>
        <w:t xml:space="preserve"> إلى الأمين العام.</w:t>
      </w:r>
    </w:p>
    <w:p w:rsidR="007508D8" w:rsidRDefault="00147F02" w:rsidP="007508D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التوقيت</w:t>
      </w:r>
    </w:p>
    <w:p w:rsidR="007508D8" w:rsidRDefault="00147F02" w:rsidP="00F9213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يرد فيما يلي </w:t>
      </w:r>
      <w:r w:rsidR="00F9213B">
        <w:rPr>
          <w:rFonts w:hint="cs"/>
          <w:rtl/>
          <w:lang w:bidi="ar-EG"/>
        </w:rPr>
        <w:t>وصف للعملية في البرازيل، ولكننا نعتقد أن العملية نفسه</w:t>
      </w:r>
      <w:r w:rsidR="007D6D78">
        <w:rPr>
          <w:rFonts w:hint="cs"/>
          <w:rtl/>
          <w:lang w:bidi="ar-EG"/>
        </w:rPr>
        <w:t>ا</w:t>
      </w:r>
      <w:r w:rsidR="00F9213B">
        <w:rPr>
          <w:rFonts w:hint="cs"/>
          <w:rtl/>
          <w:lang w:bidi="ar-EG"/>
        </w:rPr>
        <w:t xml:space="preserve"> تنفَّذ في العديد من الدول الأعضاء، إن لم نقل كلها</w:t>
      </w:r>
      <w:r w:rsidR="007508D8">
        <w:rPr>
          <w:rFonts w:hint="cs"/>
          <w:rtl/>
          <w:lang w:bidi="ar-EG"/>
        </w:rPr>
        <w:t>.</w:t>
      </w:r>
    </w:p>
    <w:p w:rsidR="007508D8" w:rsidRDefault="00F9213B" w:rsidP="00C87AF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تبدأ عملية </w:t>
      </w:r>
      <w:r w:rsidR="00C87AF2">
        <w:rPr>
          <w:rFonts w:hint="cs"/>
          <w:rtl/>
          <w:lang w:bidi="ar-EG"/>
        </w:rPr>
        <w:t xml:space="preserve">اتخاذ القرار بشأن التصويت </w:t>
      </w:r>
      <w:r>
        <w:rPr>
          <w:rFonts w:hint="cs"/>
          <w:rtl/>
          <w:lang w:bidi="ar-EG"/>
        </w:rPr>
        <w:t>قبل عام تقريباً من موعد انعقاد مؤتمر المندوبين المفوضين</w:t>
      </w:r>
      <w:r w:rsidR="003D6638">
        <w:rPr>
          <w:rFonts w:hint="cs"/>
          <w:rtl/>
          <w:lang w:bidi="ar-EG"/>
        </w:rPr>
        <w:t xml:space="preserve">. وفي هذا الوقت يتم تقديم الطلبات الأولى لتبادل </w:t>
      </w:r>
      <w:r w:rsidR="00C87AF2">
        <w:rPr>
          <w:rFonts w:hint="cs"/>
          <w:rtl/>
          <w:lang w:bidi="ar-EG"/>
        </w:rPr>
        <w:t xml:space="preserve">المعلومات الخاصة بالتصويت </w:t>
      </w:r>
      <w:r w:rsidR="003D6638">
        <w:rPr>
          <w:rFonts w:hint="cs"/>
          <w:rtl/>
          <w:lang w:bidi="ar-EG"/>
        </w:rPr>
        <w:t xml:space="preserve">عادةً من خلال السفارات والبعثات الأجنبية </w:t>
      </w:r>
      <w:r w:rsidR="00520200">
        <w:rPr>
          <w:rFonts w:hint="cs"/>
          <w:rtl/>
          <w:lang w:bidi="ar-EG"/>
        </w:rPr>
        <w:t>يُلتمس فيها</w:t>
      </w:r>
      <w:r w:rsidR="003D6638">
        <w:rPr>
          <w:rFonts w:hint="cs"/>
          <w:rtl/>
          <w:lang w:bidi="ar-EG"/>
        </w:rPr>
        <w:t xml:space="preserve"> من الدول الأعضاء اتخاذ </w:t>
      </w:r>
      <w:r w:rsidR="00C87AF2">
        <w:rPr>
          <w:rFonts w:hint="cs"/>
          <w:rtl/>
          <w:lang w:bidi="ar-EG"/>
        </w:rPr>
        <w:t>القرار</w:t>
      </w:r>
      <w:r w:rsidR="003D6638">
        <w:rPr>
          <w:rFonts w:hint="cs"/>
          <w:rtl/>
          <w:lang w:bidi="ar-EG"/>
        </w:rPr>
        <w:t xml:space="preserve"> بشأن التصويت في تلك المهلة الزمنية. </w:t>
      </w:r>
      <w:r w:rsidR="00402DA5">
        <w:rPr>
          <w:rFonts w:hint="cs"/>
          <w:rtl/>
          <w:lang w:bidi="ar-EG"/>
        </w:rPr>
        <w:t>ومن المؤكد</w:t>
      </w:r>
      <w:r w:rsidR="003D6638">
        <w:rPr>
          <w:rFonts w:hint="cs"/>
          <w:rtl/>
          <w:lang w:bidi="ar-EG"/>
        </w:rPr>
        <w:t xml:space="preserve"> أن هذه القرارات تقوم على اعتبارات سياسية</w:t>
      </w:r>
      <w:r w:rsidR="00402DA5">
        <w:rPr>
          <w:rFonts w:hint="cs"/>
          <w:rtl/>
          <w:lang w:bidi="ar-EG"/>
        </w:rPr>
        <w:t>،</w:t>
      </w:r>
      <w:r w:rsidR="003D6638">
        <w:rPr>
          <w:rFonts w:hint="cs"/>
          <w:rtl/>
          <w:lang w:bidi="ar-EG"/>
        </w:rPr>
        <w:t xml:space="preserve"> ولكن</w:t>
      </w:r>
      <w:r w:rsidR="00402DA5">
        <w:rPr>
          <w:rFonts w:hint="cs"/>
          <w:rtl/>
          <w:lang w:bidi="ar-EG"/>
        </w:rPr>
        <w:t>ها تدرس بدقة مؤهلات كل مرشح بما في ذلك:</w:t>
      </w:r>
    </w:p>
    <w:p w:rsidR="007508D8" w:rsidRDefault="007508D8" w:rsidP="007508D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02DA5">
        <w:rPr>
          <w:rFonts w:hint="cs"/>
          <w:rtl/>
        </w:rPr>
        <w:t>السيرة الذاتية والخبرة المهنية</w:t>
      </w:r>
      <w:r>
        <w:rPr>
          <w:rFonts w:hint="cs"/>
          <w:rtl/>
        </w:rPr>
        <w:t>؛</w:t>
      </w:r>
    </w:p>
    <w:p w:rsidR="007508D8" w:rsidRDefault="007508D8" w:rsidP="007508D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02DA5">
        <w:rPr>
          <w:rFonts w:hint="cs"/>
          <w:rtl/>
        </w:rPr>
        <w:t>الخلفية والمهارات التقنية</w:t>
      </w:r>
      <w:r>
        <w:rPr>
          <w:rFonts w:hint="cs"/>
          <w:rtl/>
        </w:rPr>
        <w:t>؛</w:t>
      </w:r>
    </w:p>
    <w:p w:rsidR="007508D8" w:rsidRDefault="007508D8" w:rsidP="007508D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02DA5">
        <w:rPr>
          <w:rFonts w:hint="cs"/>
          <w:rtl/>
        </w:rPr>
        <w:t>السمعة والخبرة الدولية</w:t>
      </w:r>
      <w:r>
        <w:rPr>
          <w:rFonts w:hint="cs"/>
          <w:rtl/>
        </w:rPr>
        <w:t>؛</w:t>
      </w:r>
    </w:p>
    <w:p w:rsidR="007508D8" w:rsidRDefault="007508D8" w:rsidP="007508D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02DA5">
        <w:rPr>
          <w:rFonts w:hint="cs"/>
          <w:rtl/>
        </w:rPr>
        <w:t>اللغات المتحدث بها</w:t>
      </w:r>
      <w:r>
        <w:rPr>
          <w:rFonts w:hint="cs"/>
          <w:rtl/>
        </w:rPr>
        <w:t>؛</w:t>
      </w:r>
    </w:p>
    <w:p w:rsidR="007508D8" w:rsidRDefault="007508D8" w:rsidP="007508D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02DA5">
        <w:rPr>
          <w:rFonts w:hint="cs"/>
          <w:rtl/>
        </w:rPr>
        <w:t>الدولة العضو التي ينتمي إليها المرشح ومدى مشاركتها في الاتحاد ودعمها له.</w:t>
      </w:r>
    </w:p>
    <w:p w:rsidR="00FC67B4" w:rsidRPr="004B3E4E" w:rsidRDefault="00402DA5" w:rsidP="0030390B">
      <w:pPr>
        <w:keepNext/>
        <w:keepLines/>
        <w:rPr>
          <w:spacing w:val="2"/>
          <w:rtl/>
        </w:rPr>
      </w:pPr>
      <w:r w:rsidRPr="004B3E4E">
        <w:rPr>
          <w:rFonts w:hint="cs"/>
          <w:spacing w:val="2"/>
          <w:rtl/>
        </w:rPr>
        <w:lastRenderedPageBreak/>
        <w:t>و</w:t>
      </w:r>
      <w:r w:rsidR="00520200" w:rsidRPr="004B3E4E">
        <w:rPr>
          <w:rFonts w:hint="cs"/>
          <w:spacing w:val="2"/>
          <w:rtl/>
        </w:rPr>
        <w:t xml:space="preserve">كما نوقش سابقاً، </w:t>
      </w:r>
      <w:r w:rsidRPr="004B3E4E">
        <w:rPr>
          <w:rFonts w:hint="cs"/>
          <w:spacing w:val="2"/>
          <w:rtl/>
        </w:rPr>
        <w:t xml:space="preserve">ينبغي </w:t>
      </w:r>
      <w:r w:rsidR="00520200" w:rsidRPr="004B3E4E">
        <w:rPr>
          <w:rFonts w:hint="cs"/>
          <w:spacing w:val="2"/>
          <w:rtl/>
        </w:rPr>
        <w:t>أن توفر جلسات الاستماع</w:t>
      </w:r>
      <w:r w:rsidRPr="004B3E4E">
        <w:rPr>
          <w:rFonts w:hint="cs"/>
          <w:spacing w:val="2"/>
          <w:rtl/>
        </w:rPr>
        <w:t xml:space="preserve"> </w:t>
      </w:r>
      <w:r w:rsidR="007C2AB1" w:rsidRPr="004B3E4E">
        <w:rPr>
          <w:rFonts w:hint="cs"/>
          <w:spacing w:val="2"/>
          <w:rtl/>
        </w:rPr>
        <w:t xml:space="preserve">مصدراً آخر للمعلومات من أجل عملية </w:t>
      </w:r>
      <w:r w:rsidR="006018D0" w:rsidRPr="004B3E4E">
        <w:rPr>
          <w:rFonts w:hint="cs"/>
          <w:spacing w:val="2"/>
          <w:rtl/>
        </w:rPr>
        <w:t>اتخاذ القرار بشأن</w:t>
      </w:r>
      <w:r w:rsidR="007C2AB1" w:rsidRPr="004B3E4E">
        <w:rPr>
          <w:rFonts w:hint="cs"/>
          <w:spacing w:val="2"/>
          <w:rtl/>
        </w:rPr>
        <w:t xml:space="preserve"> التصويت. وعلاوةً على ذلك، ستكون العملية الخاصة بجلسات الاستماع غير فع</w:t>
      </w:r>
      <w:r w:rsidR="0030390B" w:rsidRPr="004B3E4E">
        <w:rPr>
          <w:rFonts w:hint="cs"/>
          <w:spacing w:val="2"/>
          <w:rtl/>
        </w:rPr>
        <w:t>ّ</w:t>
      </w:r>
      <w:r w:rsidR="007C2AB1" w:rsidRPr="004B3E4E">
        <w:rPr>
          <w:rFonts w:hint="cs"/>
          <w:spacing w:val="2"/>
          <w:rtl/>
        </w:rPr>
        <w:t>الة إذا أجريت خلال مؤتمر المندوبين المفوضين أو في غضون شهر</w:t>
      </w:r>
      <w:r w:rsidR="00CC46BA" w:rsidRPr="004B3E4E">
        <w:rPr>
          <w:rFonts w:hint="eastAsia"/>
          <w:spacing w:val="2"/>
          <w:rtl/>
        </w:rPr>
        <w:t> </w:t>
      </w:r>
      <w:r w:rsidR="007C2AB1" w:rsidRPr="004B3E4E">
        <w:rPr>
          <w:rFonts w:hint="cs"/>
          <w:spacing w:val="2"/>
          <w:rtl/>
        </w:rPr>
        <w:t>واحد قبله، لأن قرارات التصويت ستكون</w:t>
      </w:r>
      <w:r w:rsidR="00F95634" w:rsidRPr="004B3E4E">
        <w:rPr>
          <w:rFonts w:hint="cs"/>
          <w:spacing w:val="2"/>
          <w:rtl/>
        </w:rPr>
        <w:t xml:space="preserve"> </w:t>
      </w:r>
      <w:r w:rsidR="007C2AB1" w:rsidRPr="004B3E4E">
        <w:rPr>
          <w:rFonts w:hint="cs"/>
          <w:spacing w:val="2"/>
          <w:rtl/>
        </w:rPr>
        <w:t>قد حُسمت</w:t>
      </w:r>
      <w:r w:rsidR="00520200" w:rsidRPr="004B3E4E">
        <w:rPr>
          <w:rFonts w:hint="cs"/>
          <w:spacing w:val="2"/>
          <w:rtl/>
        </w:rPr>
        <w:t xml:space="preserve"> حينئذ</w:t>
      </w:r>
      <w:r w:rsidR="00FC67B4" w:rsidRPr="004B3E4E">
        <w:rPr>
          <w:rFonts w:hint="cs"/>
          <w:spacing w:val="2"/>
          <w:rtl/>
        </w:rPr>
        <w:t>.</w:t>
      </w:r>
      <w:r w:rsidR="007C2AB1" w:rsidRPr="004B3E4E">
        <w:rPr>
          <w:rFonts w:hint="cs"/>
          <w:spacing w:val="2"/>
          <w:rtl/>
        </w:rPr>
        <w:t xml:space="preserve"> وأخذاً في الاعتبار أن</w:t>
      </w:r>
      <w:r w:rsidR="006018D0" w:rsidRPr="004B3E4E">
        <w:rPr>
          <w:rFonts w:hint="cs"/>
          <w:spacing w:val="2"/>
          <w:rtl/>
        </w:rPr>
        <w:t xml:space="preserve"> عملية</w:t>
      </w:r>
      <w:r w:rsidR="007C2AB1" w:rsidRPr="004B3E4E">
        <w:rPr>
          <w:rFonts w:hint="cs"/>
          <w:spacing w:val="2"/>
          <w:rtl/>
        </w:rPr>
        <w:t xml:space="preserve"> اتخاذ القرار بشأن </w:t>
      </w:r>
      <w:r w:rsidR="006018D0" w:rsidRPr="004B3E4E">
        <w:rPr>
          <w:rFonts w:hint="cs"/>
          <w:spacing w:val="2"/>
          <w:rtl/>
        </w:rPr>
        <w:t>التصويت تبدأ</w:t>
      </w:r>
      <w:r w:rsidR="007C2AB1" w:rsidRPr="004B3E4E">
        <w:rPr>
          <w:rFonts w:hint="cs"/>
          <w:spacing w:val="2"/>
          <w:rtl/>
        </w:rPr>
        <w:t xml:space="preserve"> قبل عام</w:t>
      </w:r>
      <w:r w:rsidR="00C55FA1" w:rsidRPr="004B3E4E">
        <w:rPr>
          <w:rFonts w:hint="eastAsia"/>
          <w:spacing w:val="2"/>
          <w:rtl/>
        </w:rPr>
        <w:t> </w:t>
      </w:r>
      <w:r w:rsidR="007C2AB1" w:rsidRPr="004B3E4E">
        <w:rPr>
          <w:rFonts w:hint="cs"/>
          <w:spacing w:val="2"/>
          <w:rtl/>
        </w:rPr>
        <w:t xml:space="preserve">واحد من انعقاد مؤتمر المندوبين المفوضين، </w:t>
      </w:r>
      <w:r w:rsidR="00F95634" w:rsidRPr="004B3E4E">
        <w:rPr>
          <w:rFonts w:hint="cs"/>
          <w:spacing w:val="2"/>
          <w:rtl/>
        </w:rPr>
        <w:t>ينبغي إجراء جلسات الاستماع في أ</w:t>
      </w:r>
      <w:r w:rsidR="00913040" w:rsidRPr="004B3E4E">
        <w:rPr>
          <w:rFonts w:hint="cs"/>
          <w:spacing w:val="2"/>
          <w:rtl/>
        </w:rPr>
        <w:t>بكر وقت ممكن.</w:t>
      </w:r>
    </w:p>
    <w:p w:rsidR="00FC67B4" w:rsidRDefault="00F95634" w:rsidP="00913040">
      <w:pPr>
        <w:rPr>
          <w:rtl/>
        </w:rPr>
      </w:pPr>
      <w:r>
        <w:rPr>
          <w:rFonts w:hint="cs"/>
          <w:rtl/>
        </w:rPr>
        <w:t xml:space="preserve">بيد أن هناك مفاضلة بين عقد جلسات الاستماع في وقت مبكر جداً وبالتالي لن تشمل </w:t>
      </w:r>
      <w:r w:rsidR="00520200">
        <w:rPr>
          <w:rFonts w:hint="cs"/>
          <w:rtl/>
        </w:rPr>
        <w:t>ال</w:t>
      </w:r>
      <w:r>
        <w:rPr>
          <w:rFonts w:hint="cs"/>
          <w:rtl/>
        </w:rPr>
        <w:t xml:space="preserve">مرشحين </w:t>
      </w:r>
      <w:r w:rsidR="00520200">
        <w:rPr>
          <w:rFonts w:hint="cs"/>
          <w:rtl/>
        </w:rPr>
        <w:t>ال</w:t>
      </w:r>
      <w:r>
        <w:rPr>
          <w:rFonts w:hint="cs"/>
          <w:rtl/>
        </w:rPr>
        <w:t>محتملين، وعقدها في</w:t>
      </w:r>
      <w:r w:rsidR="00913040">
        <w:rPr>
          <w:rFonts w:hint="eastAsia"/>
          <w:rtl/>
        </w:rPr>
        <w:t> </w:t>
      </w:r>
      <w:r>
        <w:rPr>
          <w:rFonts w:hint="cs"/>
          <w:rtl/>
        </w:rPr>
        <w:t xml:space="preserve">وقت متأخر جداً وبالتالي لن يستفاد منها حقاً كمدخلات </w:t>
      </w:r>
      <w:r w:rsidR="006018D0">
        <w:rPr>
          <w:rFonts w:hint="cs"/>
          <w:rtl/>
        </w:rPr>
        <w:t>من أجل</w:t>
      </w:r>
      <w:r>
        <w:rPr>
          <w:rFonts w:hint="cs"/>
          <w:rtl/>
        </w:rPr>
        <w:t xml:space="preserve"> اتخاذ القرار</w:t>
      </w:r>
      <w:r w:rsidR="00FC67B4">
        <w:rPr>
          <w:rFonts w:hint="cs"/>
          <w:rtl/>
        </w:rPr>
        <w:t>.</w:t>
      </w:r>
      <w:r>
        <w:rPr>
          <w:rFonts w:hint="cs"/>
          <w:rtl/>
        </w:rPr>
        <w:t xml:space="preserve"> ولذلك، </w:t>
      </w:r>
      <w:r w:rsidRPr="00C96ECE">
        <w:rPr>
          <w:rFonts w:hint="cs"/>
          <w:b/>
          <w:bCs/>
          <w:rtl/>
        </w:rPr>
        <w:t xml:space="preserve">ينبغي إجراء جلسات الاستماع خلال دورة المجلس </w:t>
      </w:r>
      <w:r w:rsidR="00C96ECE" w:rsidRPr="00C96ECE">
        <w:rPr>
          <w:rFonts w:hint="cs"/>
          <w:b/>
          <w:bCs/>
          <w:rtl/>
        </w:rPr>
        <w:t>لنفس العام الذي ينعقد</w:t>
      </w:r>
      <w:r w:rsidR="006E473D">
        <w:rPr>
          <w:rFonts w:hint="cs"/>
          <w:b/>
          <w:bCs/>
          <w:rtl/>
        </w:rPr>
        <w:t xml:space="preserve"> فيه مؤتمر المندوبين المفوضين، </w:t>
      </w:r>
      <w:r w:rsidR="009D2964">
        <w:rPr>
          <w:rFonts w:hint="cs"/>
          <w:b/>
          <w:bCs/>
          <w:rtl/>
        </w:rPr>
        <w:t>أي</w:t>
      </w:r>
      <w:r w:rsidR="00C96ECE" w:rsidRPr="00C96ECE">
        <w:rPr>
          <w:rFonts w:hint="cs"/>
          <w:b/>
          <w:bCs/>
          <w:rtl/>
        </w:rPr>
        <w:t xml:space="preserve"> قبل انعقاد هذا المؤتمر بحوالي ستة</w:t>
      </w:r>
      <w:r w:rsidR="009D2964">
        <w:rPr>
          <w:rFonts w:hint="cs"/>
          <w:b/>
          <w:bCs/>
          <w:rtl/>
        </w:rPr>
        <w:t xml:space="preserve"> أو سبعة</w:t>
      </w:r>
      <w:r w:rsidR="00C96ECE" w:rsidRPr="00C96ECE">
        <w:rPr>
          <w:rFonts w:hint="cs"/>
          <w:b/>
          <w:bCs/>
          <w:rtl/>
        </w:rPr>
        <w:t xml:space="preserve"> </w:t>
      </w:r>
      <w:r w:rsidR="00520200">
        <w:rPr>
          <w:rFonts w:hint="cs"/>
          <w:b/>
          <w:bCs/>
          <w:rtl/>
        </w:rPr>
        <w:t>أشهر</w:t>
      </w:r>
      <w:r w:rsidR="009D2964">
        <w:rPr>
          <w:rFonts w:hint="cs"/>
          <w:rtl/>
        </w:rPr>
        <w:t>.</w:t>
      </w:r>
    </w:p>
    <w:p w:rsidR="00FC67B4" w:rsidRDefault="00C96ECE" w:rsidP="00FC67B4">
      <w:pPr>
        <w:pStyle w:val="Headingb"/>
        <w:rPr>
          <w:rtl/>
        </w:rPr>
      </w:pPr>
      <w:r>
        <w:rPr>
          <w:rFonts w:hint="cs"/>
          <w:rtl/>
        </w:rPr>
        <w:t>الإنصاف والشمولية</w:t>
      </w:r>
    </w:p>
    <w:p w:rsidR="00FC67B4" w:rsidRDefault="00C96ECE" w:rsidP="009D2964">
      <w:pPr>
        <w:rPr>
          <w:rFonts w:hint="cs"/>
          <w:rtl/>
          <w:lang w:bidi="ar-EG"/>
        </w:rPr>
      </w:pPr>
      <w:r>
        <w:rPr>
          <w:rFonts w:hint="cs"/>
          <w:rtl/>
        </w:rPr>
        <w:t>عادةً ما تجذب انتخابات الاتحاد عدداً كبيراً من المرشحين من موظفي الاتحاد</w:t>
      </w:r>
      <w:r w:rsidR="00FC67B4">
        <w:rPr>
          <w:rFonts w:hint="cs"/>
          <w:rtl/>
        </w:rPr>
        <w:t>.</w:t>
      </w:r>
      <w:r>
        <w:rPr>
          <w:rFonts w:hint="cs"/>
          <w:rtl/>
        </w:rPr>
        <w:t xml:space="preserve"> وهذا الأمر مناسب لعدة أسباب نخص منها بالذكر </w:t>
      </w:r>
      <w:r w:rsidR="005202AF">
        <w:rPr>
          <w:rFonts w:hint="cs"/>
          <w:rtl/>
        </w:rPr>
        <w:t xml:space="preserve">أن موظفي الاتحاد </w:t>
      </w:r>
      <w:r w:rsidR="009D2964">
        <w:rPr>
          <w:rFonts w:hint="cs"/>
          <w:rtl/>
        </w:rPr>
        <w:t xml:space="preserve">على دراية بالمهام </w:t>
      </w:r>
      <w:r w:rsidR="005202AF">
        <w:rPr>
          <w:rFonts w:hint="cs"/>
          <w:rtl/>
        </w:rPr>
        <w:t xml:space="preserve">التي </w:t>
      </w:r>
      <w:proofErr w:type="spellStart"/>
      <w:r w:rsidR="005202AF">
        <w:rPr>
          <w:rFonts w:hint="cs"/>
          <w:rtl/>
        </w:rPr>
        <w:t>تتطلبها</w:t>
      </w:r>
      <w:proofErr w:type="spellEnd"/>
      <w:r w:rsidR="005202AF">
        <w:rPr>
          <w:rFonts w:hint="cs"/>
          <w:rtl/>
        </w:rPr>
        <w:t xml:space="preserve"> مناصب المسؤولين المنتخبين</w:t>
      </w:r>
      <w:r w:rsidR="009D2964">
        <w:rPr>
          <w:rFonts w:hint="cs"/>
          <w:rtl/>
        </w:rPr>
        <w:t xml:space="preserve"> ويساهمون بالفعل في أدائها من خلال عملهم في</w:t>
      </w:r>
      <w:r w:rsidR="009D2964">
        <w:rPr>
          <w:rFonts w:hint="eastAsia"/>
          <w:rtl/>
        </w:rPr>
        <w:t> </w:t>
      </w:r>
      <w:r w:rsidR="009D2964">
        <w:rPr>
          <w:rFonts w:hint="cs"/>
          <w:rtl/>
        </w:rPr>
        <w:t>دوائر الاتحاد</w:t>
      </w:r>
      <w:r w:rsidR="005202AF">
        <w:rPr>
          <w:rFonts w:hint="cs"/>
          <w:rtl/>
        </w:rPr>
        <w:t>. ويزخر موظفو الاتحاد أيضاً بمؤهلات عالية ويتم اختيار</w:t>
      </w:r>
      <w:r w:rsidR="00913040">
        <w:rPr>
          <w:rFonts w:hint="cs"/>
          <w:rtl/>
        </w:rPr>
        <w:t>هم من خلال عملية انتقاء صارمة.</w:t>
      </w:r>
    </w:p>
    <w:p w:rsidR="00FC67B4" w:rsidRDefault="005202AF" w:rsidP="00647DAD">
      <w:pPr>
        <w:rPr>
          <w:rtl/>
        </w:rPr>
      </w:pPr>
      <w:r>
        <w:rPr>
          <w:rFonts w:hint="cs"/>
          <w:rtl/>
        </w:rPr>
        <w:t xml:space="preserve">ونظراً لما تنص عليه </w:t>
      </w:r>
      <w:hyperlink r:id="rId34" w:history="1">
        <w:r w:rsidRPr="00913040">
          <w:rPr>
            <w:rStyle w:val="Hyperlink"/>
            <w:rFonts w:hint="cs"/>
            <w:rtl/>
          </w:rPr>
          <w:t xml:space="preserve">المادة </w:t>
        </w:r>
        <w:r w:rsidRPr="00913040">
          <w:rPr>
            <w:rStyle w:val="Hyperlink"/>
          </w:rPr>
          <w:t>2.12</w:t>
        </w:r>
        <w:r w:rsidRPr="00913040">
          <w:rPr>
            <w:rStyle w:val="Hyperlink"/>
            <w:rFonts w:hint="cs"/>
            <w:rtl/>
            <w:lang w:bidi="ar-EG"/>
          </w:rPr>
          <w:t xml:space="preserve"> من النظام الأساسي لموظفي الاتحاد</w:t>
        </w:r>
      </w:hyperlink>
      <w:r>
        <w:rPr>
          <w:rFonts w:hint="cs"/>
          <w:rtl/>
          <w:lang w:bidi="ar-EG"/>
        </w:rPr>
        <w:t xml:space="preserve">، يعلن معظم المرشحين من موظفي الاتحاد، إن لم نقل كلهم، عن ترشيحهم </w:t>
      </w:r>
      <w:r w:rsidR="00520200">
        <w:rPr>
          <w:rFonts w:hint="cs"/>
          <w:rtl/>
          <w:lang w:bidi="ar-EG"/>
        </w:rPr>
        <w:t>الرسمي</w:t>
      </w:r>
      <w:r>
        <w:rPr>
          <w:rFonts w:hint="cs"/>
          <w:rtl/>
          <w:lang w:bidi="ar-EG"/>
        </w:rPr>
        <w:t xml:space="preserve"> في آخر يوم ممكن، أي</w:t>
      </w:r>
      <w:r w:rsidR="00F4762E">
        <w:rPr>
          <w:rFonts w:hint="cs"/>
          <w:rtl/>
          <w:lang w:bidi="ar-EG"/>
        </w:rPr>
        <w:t>ْ</w:t>
      </w:r>
      <w:r>
        <w:rPr>
          <w:rFonts w:hint="cs"/>
          <w:rtl/>
          <w:lang w:bidi="ar-EG"/>
        </w:rPr>
        <w:t xml:space="preserve"> قبل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يوماً من انعقاد </w:t>
      </w:r>
      <w:r w:rsidR="00384231">
        <w:rPr>
          <w:rFonts w:hint="cs"/>
          <w:rtl/>
          <w:lang w:bidi="ar-EG"/>
        </w:rPr>
        <w:t>مؤتمر المندوبين المفوضين (القاعدة العامة</w:t>
      </w:r>
      <w:r w:rsidR="00647DAD">
        <w:rPr>
          <w:rFonts w:hint="eastAsia"/>
          <w:rtl/>
          <w:lang w:bidi="ar-EG"/>
        </w:rPr>
        <w:t> </w:t>
      </w:r>
      <w:r w:rsidR="00384231">
        <w:rPr>
          <w:lang w:bidi="ar-EG"/>
        </w:rPr>
        <w:t>170</w:t>
      </w:r>
      <w:r w:rsidR="00384231">
        <w:rPr>
          <w:rFonts w:hint="cs"/>
          <w:rtl/>
          <w:lang w:bidi="ar-EG"/>
        </w:rPr>
        <w:t>)</w:t>
      </w:r>
      <w:r w:rsidR="00FC67B4">
        <w:rPr>
          <w:rFonts w:hint="cs"/>
          <w:rtl/>
        </w:rPr>
        <w:t>.</w:t>
      </w:r>
      <w:r w:rsidR="00384231">
        <w:rPr>
          <w:rFonts w:hint="cs"/>
          <w:rtl/>
        </w:rPr>
        <w:t xml:space="preserve"> و</w:t>
      </w:r>
      <w:r w:rsidR="00E82122">
        <w:rPr>
          <w:rFonts w:hint="cs"/>
          <w:rtl/>
        </w:rPr>
        <w:t>قبل هذا</w:t>
      </w:r>
      <w:r w:rsidR="006A4D23">
        <w:rPr>
          <w:rFonts w:hint="eastAsia"/>
          <w:rtl/>
        </w:rPr>
        <w:t> </w:t>
      </w:r>
      <w:r w:rsidR="00E82122">
        <w:rPr>
          <w:rFonts w:hint="cs"/>
          <w:rtl/>
        </w:rPr>
        <w:t xml:space="preserve">الموعد النهائي بفترة طويلة، </w:t>
      </w:r>
      <w:r w:rsidR="00384231">
        <w:rPr>
          <w:rFonts w:hint="cs"/>
          <w:rtl/>
        </w:rPr>
        <w:t xml:space="preserve">ينظمون حملة انتخابية </w:t>
      </w:r>
      <w:r w:rsidR="00E82122">
        <w:rPr>
          <w:rFonts w:hint="cs"/>
          <w:rtl/>
        </w:rPr>
        <w:t xml:space="preserve">مكثفة ويشاركون في تبادل </w:t>
      </w:r>
      <w:r w:rsidR="00533B3C">
        <w:rPr>
          <w:rFonts w:hint="cs"/>
          <w:rtl/>
        </w:rPr>
        <w:t>المعلومات بشأن التصويت</w:t>
      </w:r>
      <w:r w:rsidR="00384231">
        <w:rPr>
          <w:rFonts w:hint="cs"/>
          <w:rtl/>
        </w:rPr>
        <w:t xml:space="preserve">، ولكنهم يُعتبرون مرشحين غير رسميين أو مرشحين محتملين. وعادةً ما يكون جميع المرشحين، </w:t>
      </w:r>
      <w:r w:rsidR="00533B3C">
        <w:rPr>
          <w:rFonts w:hint="cs"/>
          <w:rtl/>
        </w:rPr>
        <w:t>الرسميون منهم والمحتملون، معروفي</w:t>
      </w:r>
      <w:r w:rsidR="00384231">
        <w:rPr>
          <w:rFonts w:hint="cs"/>
          <w:rtl/>
        </w:rPr>
        <w:t>ن لدى الجميع بحلول دورة المجلس قبل انعقاد مؤتمر المندوبين المفوضين بستة</w:t>
      </w:r>
      <w:r w:rsidR="00533B3C">
        <w:rPr>
          <w:rFonts w:hint="cs"/>
          <w:rtl/>
        </w:rPr>
        <w:t xml:space="preserve"> أو سبعة أشهر.</w:t>
      </w:r>
    </w:p>
    <w:p w:rsidR="00E82122" w:rsidRDefault="00E82122" w:rsidP="00E82122">
      <w:pPr>
        <w:rPr>
          <w:rtl/>
        </w:rPr>
      </w:pPr>
      <w:r>
        <w:rPr>
          <w:rFonts w:hint="cs"/>
          <w:rtl/>
        </w:rPr>
        <w:t xml:space="preserve">وبكل بساطة، يستوفي المرشحون من موظفي الاتحاد معظم المعايير المطلوب توفرها في مسؤول منتخب مثالي، وينبغي عدم ثنيهم عن التقدم كمرشحين لمناصب المسؤولين المنتخبين. </w:t>
      </w:r>
      <w:r w:rsidRPr="00E82122">
        <w:rPr>
          <w:rFonts w:hint="cs"/>
          <w:b/>
          <w:bCs/>
          <w:rtl/>
        </w:rPr>
        <w:t>ولذلك، ينبغي أن تكون جلسات الاستماع منصفة وشاملة ومفتوحة لجميع المرشحين، بمن فيهم المرشحون "غير الرسميين أو المحتملون" من موظفي الاتحاد</w:t>
      </w:r>
      <w:r w:rsidR="006A4D23">
        <w:rPr>
          <w:rFonts w:hint="cs"/>
          <w:rtl/>
        </w:rPr>
        <w:t>.</w:t>
      </w:r>
    </w:p>
    <w:p w:rsidR="00FC67B4" w:rsidRDefault="00E82122" w:rsidP="00FC67B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A13686" w:rsidRDefault="00A13686" w:rsidP="008E4D82">
      <w:pPr>
        <w:rPr>
          <w:rtl/>
        </w:rPr>
      </w:pPr>
      <w:r>
        <w:rPr>
          <w:rFonts w:hint="cs"/>
          <w:rtl/>
        </w:rPr>
        <w:t xml:space="preserve">هناك تضارب واضح بين </w:t>
      </w:r>
      <w:r w:rsidR="00867323">
        <w:rPr>
          <w:rFonts w:hint="cs"/>
          <w:rtl/>
        </w:rPr>
        <w:t>التوقيت المثالي لإجراء</w:t>
      </w:r>
      <w:r>
        <w:rPr>
          <w:rFonts w:hint="cs"/>
          <w:rtl/>
        </w:rPr>
        <w:t xml:space="preserve"> جلسات الاستماع والقيود التي يفرضها النظام الأساسي لموظفي الاتحاد. فمن جهة، ينبغي </w:t>
      </w:r>
      <w:r w:rsidR="00867323">
        <w:rPr>
          <w:rFonts w:hint="cs"/>
          <w:rtl/>
        </w:rPr>
        <w:t>إجراء</w:t>
      </w:r>
      <w:r>
        <w:rPr>
          <w:rFonts w:hint="cs"/>
          <w:rtl/>
        </w:rPr>
        <w:t xml:space="preserve"> جلسات الاستماع في أبكر وقت ممكن لكي ي</w:t>
      </w:r>
      <w:r w:rsidR="00867323">
        <w:rPr>
          <w:rFonts w:hint="cs"/>
          <w:rtl/>
        </w:rPr>
        <w:t>ُ</w:t>
      </w:r>
      <w:r>
        <w:rPr>
          <w:rFonts w:hint="cs"/>
          <w:rtl/>
        </w:rPr>
        <w:t xml:space="preserve">سترشد بها في عملية </w:t>
      </w:r>
      <w:r w:rsidR="008E4D82">
        <w:rPr>
          <w:rFonts w:hint="cs"/>
          <w:rtl/>
        </w:rPr>
        <w:t>اتخاذ القرار بشأن التصويت</w:t>
      </w:r>
      <w:r>
        <w:rPr>
          <w:rFonts w:hint="cs"/>
          <w:rtl/>
        </w:rPr>
        <w:t xml:space="preserve">؛ ومن جهة أخرى، يجب أن تشمل جلسات الاستماع </w:t>
      </w:r>
      <w:r w:rsidR="00867323">
        <w:rPr>
          <w:rFonts w:hint="cs"/>
          <w:rtl/>
        </w:rPr>
        <w:t>ال</w:t>
      </w:r>
      <w:r>
        <w:rPr>
          <w:rFonts w:hint="cs"/>
          <w:rtl/>
        </w:rPr>
        <w:t>مرشحين من موظفي الاتحاد الذين يكونون</w:t>
      </w:r>
      <w:r w:rsidR="008E4D82">
        <w:rPr>
          <w:rFonts w:hint="cs"/>
          <w:rtl/>
        </w:rPr>
        <w:t xml:space="preserve"> عموماً</w:t>
      </w:r>
      <w:r>
        <w:rPr>
          <w:rFonts w:hint="cs"/>
          <w:rtl/>
        </w:rPr>
        <w:t xml:space="preserve"> مؤهلين تأهيلاً عالياً للوظيفة ويشكلون</w:t>
      </w:r>
      <w:r w:rsidR="008E4D82">
        <w:rPr>
          <w:rFonts w:hint="cs"/>
          <w:rtl/>
        </w:rPr>
        <w:t xml:space="preserve"> عادةً</w:t>
      </w:r>
      <w:r>
        <w:rPr>
          <w:rFonts w:hint="cs"/>
          <w:rtl/>
        </w:rPr>
        <w:t xml:space="preserve"> أغلبية المرشحين</w:t>
      </w:r>
      <w:r w:rsidR="008E4D82">
        <w:rPr>
          <w:rFonts w:hint="cs"/>
          <w:rtl/>
        </w:rPr>
        <w:t>.</w:t>
      </w:r>
    </w:p>
    <w:p w:rsidR="00FC67B4" w:rsidRDefault="00A13686" w:rsidP="00A13686">
      <w:pPr>
        <w:rPr>
          <w:rtl/>
        </w:rPr>
      </w:pPr>
      <w:r>
        <w:rPr>
          <w:rFonts w:hint="cs"/>
          <w:rtl/>
        </w:rPr>
        <w:t>وبناءً على ذلك، تقترح البرازيل ما يلي:</w:t>
      </w:r>
    </w:p>
    <w:p w:rsidR="00FC67B4" w:rsidRDefault="00FC67B4" w:rsidP="00FC67B4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625121">
        <w:rPr>
          <w:rFonts w:hint="cs"/>
          <w:rtl/>
        </w:rPr>
        <w:t xml:space="preserve">ينبغي </w:t>
      </w:r>
      <w:r w:rsidR="00A13686">
        <w:rPr>
          <w:rFonts w:hint="cs"/>
          <w:rtl/>
        </w:rPr>
        <w:t>إجراء جلسات الاستماع قبل يوم واحد من انعقاد دورة المجلس لنفس ا</w:t>
      </w:r>
      <w:r w:rsidR="00867323">
        <w:rPr>
          <w:rFonts w:hint="cs"/>
          <w:rtl/>
        </w:rPr>
        <w:t>لعام الذي ينعقد فيه مؤتمر المندو</w:t>
      </w:r>
      <w:r w:rsidR="00A13686">
        <w:rPr>
          <w:rFonts w:hint="cs"/>
          <w:rtl/>
        </w:rPr>
        <w:t>بين المفوضين، وذلك قبل انعقاد المؤتمر بستة أشهر على الأقل</w:t>
      </w:r>
      <w:r>
        <w:rPr>
          <w:rFonts w:hint="cs"/>
          <w:rtl/>
        </w:rPr>
        <w:t>؛</w:t>
      </w:r>
    </w:p>
    <w:p w:rsidR="00FC67B4" w:rsidRPr="00625121" w:rsidRDefault="00FC67B4" w:rsidP="00867323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625121">
        <w:rPr>
          <w:rFonts w:hint="cs"/>
          <w:rtl/>
        </w:rPr>
        <w:t xml:space="preserve">ينبغي أن تشمل الإجراءات الخاصة بجلسات الاستماع المرشحين المحتملين والمرشحين غير الرسميين، وتشمل من ثم موظفي الاتحاد دون ضرورة وضعهم في إجازة خاصة </w:t>
      </w:r>
      <w:r w:rsidR="00867323">
        <w:rPr>
          <w:rFonts w:hint="cs"/>
          <w:rtl/>
        </w:rPr>
        <w:t>طبقاً ل</w:t>
      </w:r>
      <w:r w:rsidR="00625121">
        <w:rPr>
          <w:rFonts w:hint="cs"/>
          <w:rtl/>
        </w:rPr>
        <w:t xml:space="preserve">لمادة </w:t>
      </w:r>
      <w:r w:rsidR="00625121">
        <w:t>2.12</w:t>
      </w:r>
      <w:r w:rsidR="00625121">
        <w:rPr>
          <w:rFonts w:hint="cs"/>
          <w:rtl/>
          <w:lang w:bidi="ar-EG"/>
        </w:rPr>
        <w:t xml:space="preserve"> من النظام الأساسي للموظفين.</w:t>
      </w:r>
    </w:p>
    <w:p w:rsidR="006A4D23" w:rsidRDefault="006A4D23" w:rsidP="00FC67B4">
      <w:pPr>
        <w:pStyle w:val="enumlev1"/>
        <w:rPr>
          <w:rtl/>
        </w:rPr>
      </w:pPr>
      <w:r>
        <w:rPr>
          <w:rtl/>
        </w:rPr>
        <w:br w:type="page"/>
      </w:r>
    </w:p>
    <w:p w:rsidR="00840B10" w:rsidRDefault="00625121" w:rsidP="00625121">
      <w:pPr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ولتحقيق ذلك، ينبغي تعديل القواعد العامة للاتحاد بإضافة الفقرة التالية:</w:t>
      </w:r>
      <w:r w:rsidR="00D054C1">
        <w:rPr>
          <w:rStyle w:val="FootnoteReference"/>
          <w:rtl/>
          <w:lang w:bidi="ar-SY"/>
        </w:rPr>
        <w:footnoteReference w:id="1"/>
      </w:r>
    </w:p>
    <w:p w:rsidR="00D054C1" w:rsidRPr="00E03F81" w:rsidRDefault="00D054C1" w:rsidP="00E03F81">
      <w:pPr>
        <w:pStyle w:val="ChapterNo"/>
        <w:rPr>
          <w:rFonts w:cs="Arial"/>
          <w:sz w:val="27"/>
          <w:szCs w:val="27"/>
          <w:rtl/>
        </w:rPr>
      </w:pPr>
      <w:r>
        <w:rPr>
          <w:rFonts w:hint="cs"/>
          <w:rtl/>
        </w:rPr>
        <w:t xml:space="preserve">الفصل </w:t>
      </w:r>
      <w:r w:rsidR="00E03F81" w:rsidRPr="00E03F81">
        <w:rPr>
          <w:rFonts w:ascii="Traditional Arabic" w:hAnsi="Traditional Arabic"/>
          <w:sz w:val="40"/>
          <w:rtl/>
        </w:rPr>
        <w:t>الثالث</w:t>
      </w:r>
    </w:p>
    <w:p w:rsidR="00D054C1" w:rsidRDefault="000B121D" w:rsidP="00D054C1">
      <w:pPr>
        <w:pStyle w:val="Chaptertitle"/>
        <w:rPr>
          <w:rtl/>
        </w:rPr>
      </w:pPr>
      <w:bookmarkStart w:id="2" w:name="_Toc414894733"/>
      <w:r>
        <w:rPr>
          <w:rtl/>
        </w:rPr>
        <w:t>الإجراءات الانتخابية</w:t>
      </w:r>
      <w:bookmarkEnd w:id="2"/>
    </w:p>
    <w:p w:rsidR="00D054C1" w:rsidRDefault="000B121D" w:rsidP="00862197">
      <w:pPr>
        <w:pStyle w:val="Chaptertitle"/>
        <w:tabs>
          <w:tab w:val="clear" w:pos="794"/>
          <w:tab w:val="clear" w:pos="1134"/>
          <w:tab w:val="clear" w:pos="1361"/>
          <w:tab w:val="clear" w:pos="1928"/>
          <w:tab w:val="clear" w:pos="2495"/>
          <w:tab w:val="clear" w:pos="3062"/>
          <w:tab w:val="clear" w:pos="3629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850"/>
        </w:tabs>
        <w:rPr>
          <w:rtl/>
        </w:rPr>
      </w:pPr>
      <w:bookmarkStart w:id="3" w:name="_Toc414894735"/>
      <w:proofErr w:type="gramStart"/>
      <w:r>
        <w:t>32</w:t>
      </w:r>
      <w:r>
        <w:rPr>
          <w:rtl/>
        </w:rPr>
        <w:tab/>
        <w:t>قواعد</w:t>
      </w:r>
      <w:proofErr w:type="gramEnd"/>
      <w:r>
        <w:rPr>
          <w:rtl/>
        </w:rPr>
        <w:t xml:space="preserve"> الإجراءات المطبقة لانتخاب</w:t>
      </w:r>
      <w:r w:rsidR="00862197">
        <w:rPr>
          <w:rtl/>
        </w:rPr>
        <w:br/>
      </w:r>
      <w:r>
        <w:rPr>
          <w:rtl/>
        </w:rPr>
        <w:t>الأمين العام ونائب الأمين العام</w:t>
      </w:r>
      <w:r w:rsidR="00862197">
        <w:rPr>
          <w:rtl/>
        </w:rPr>
        <w:br/>
      </w:r>
      <w:r>
        <w:rPr>
          <w:rtl/>
        </w:rPr>
        <w:t>ومديري مكاتب القطاعات</w:t>
      </w:r>
      <w:bookmarkEnd w:id="3"/>
    </w:p>
    <w:p w:rsidR="00D054C1" w:rsidRDefault="00625121" w:rsidP="00D054C1">
      <w:pPr>
        <w:jc w:val="center"/>
        <w:rPr>
          <w:i/>
          <w:iCs/>
          <w:rtl/>
          <w:lang w:bidi="ar-EG"/>
        </w:rPr>
      </w:pPr>
      <w:r>
        <w:rPr>
          <w:i/>
          <w:iCs/>
        </w:rPr>
        <w:t>178</w:t>
      </w:r>
      <w:r>
        <w:rPr>
          <w:rFonts w:hint="cs"/>
          <w:i/>
          <w:iCs/>
          <w:rtl/>
          <w:lang w:bidi="ar-EG"/>
        </w:rPr>
        <w:t xml:space="preserve"> (جديد)</w:t>
      </w:r>
    </w:p>
    <w:p w:rsidR="00D054C1" w:rsidRPr="00D054C1" w:rsidRDefault="00625121" w:rsidP="00E03F81">
      <w:pPr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 xml:space="preserve">يجب إجراء جلسات </w:t>
      </w:r>
      <w:r w:rsidR="00E03F81">
        <w:rPr>
          <w:rFonts w:hint="cs"/>
          <w:i/>
          <w:iCs/>
          <w:rtl/>
        </w:rPr>
        <w:t>ا</w:t>
      </w:r>
      <w:r>
        <w:rPr>
          <w:rFonts w:hint="cs"/>
          <w:i/>
          <w:iCs/>
          <w:rtl/>
        </w:rPr>
        <w:t xml:space="preserve">ستماع مع المرشحين الرسميين والمرشحين المحتملين </w:t>
      </w:r>
      <w:r w:rsidR="00FB081D">
        <w:rPr>
          <w:rFonts w:hint="cs"/>
          <w:i/>
          <w:iCs/>
          <w:rtl/>
        </w:rPr>
        <w:t xml:space="preserve">قبل يوم واحد من انعقاد دورة المجلس السنوية </w:t>
      </w:r>
      <w:r w:rsidR="00E03F81">
        <w:rPr>
          <w:rFonts w:hint="cs"/>
          <w:i/>
          <w:iCs/>
          <w:rtl/>
        </w:rPr>
        <w:t>وقبل</w:t>
      </w:r>
      <w:r w:rsidR="00FB081D">
        <w:rPr>
          <w:rFonts w:hint="cs"/>
          <w:i/>
          <w:iCs/>
          <w:rtl/>
        </w:rPr>
        <w:t xml:space="preserve"> مؤتمر المندوبين المفوضين</w:t>
      </w:r>
      <w:r w:rsidR="00E03F81">
        <w:rPr>
          <w:rFonts w:hint="cs"/>
          <w:i/>
          <w:iCs/>
          <w:rtl/>
        </w:rPr>
        <w:t xml:space="preserve"> بفترة لا تقل عن ستة أشهر</w:t>
      </w:r>
      <w:r w:rsidR="00D054C1" w:rsidRPr="00D054C1">
        <w:rPr>
          <w:rFonts w:hint="cs"/>
          <w:i/>
          <w:iCs/>
          <w:rtl/>
        </w:rPr>
        <w:t>.</w:t>
      </w:r>
      <w:r w:rsidR="00FB081D">
        <w:rPr>
          <w:rFonts w:hint="cs"/>
          <w:i/>
          <w:iCs/>
          <w:rtl/>
        </w:rPr>
        <w:t xml:space="preserve"> وتكون جلسات الاستماع مفتوحة أمام جميع الدول الأعضاء. وسيُطلب من المرشحين الرسميين والمرشحين المحتملين تقديم </w:t>
      </w:r>
      <w:r w:rsidR="007B1EA5">
        <w:rPr>
          <w:rFonts w:hint="cs"/>
          <w:i/>
          <w:iCs/>
          <w:rtl/>
        </w:rPr>
        <w:t>عرض موجز يشمل رؤيتهم بشأن الاتحاد، تليه جلسة مخصصة للأسئلة والأجوبة. ويحدَّد الوقت المخصص للمرشحين لتقديم عرضهم وتلقي الأسئلة والإجابة عنها وفقاً لعدد المرشحين. وسي</w:t>
      </w:r>
      <w:r w:rsidR="008F656B">
        <w:rPr>
          <w:rFonts w:hint="cs"/>
          <w:i/>
          <w:iCs/>
          <w:rtl/>
        </w:rPr>
        <w:t>خصَّص وقت متساو لجميع المرشحين.</w:t>
      </w:r>
    </w:p>
    <w:p w:rsidR="00D054C1" w:rsidRPr="00D054C1" w:rsidRDefault="007B1EA5" w:rsidP="00E91DFB">
      <w:pPr>
        <w:spacing w:before="360"/>
        <w:rPr>
          <w:rtl/>
        </w:rPr>
      </w:pPr>
      <w:r w:rsidRPr="00E91DFB">
        <w:rPr>
          <w:rFonts w:hint="cs"/>
          <w:spacing w:val="-4"/>
          <w:rtl/>
        </w:rPr>
        <w:t xml:space="preserve">وينبغي مناقشة قرار يتضمن وصفاً مفصلاً </w:t>
      </w:r>
      <w:r w:rsidR="008F24FA" w:rsidRPr="00E91DFB">
        <w:rPr>
          <w:rFonts w:hint="cs"/>
          <w:spacing w:val="-4"/>
          <w:rtl/>
        </w:rPr>
        <w:t>للإجراءات الخاصة بجلسات الاستماع والموافقة عليه في مؤتمر المندوبين المفوضين لعام</w:t>
      </w:r>
      <w:r w:rsidR="00E91DFB" w:rsidRPr="00E91DFB">
        <w:rPr>
          <w:rFonts w:hint="eastAsia"/>
          <w:spacing w:val="-4"/>
          <w:rtl/>
        </w:rPr>
        <w:t> </w:t>
      </w:r>
      <w:r w:rsidR="008F24FA" w:rsidRPr="00E91DFB">
        <w:rPr>
          <w:spacing w:val="-4"/>
        </w:rPr>
        <w:t>2018</w:t>
      </w:r>
      <w:r w:rsidR="00E03F81">
        <w:rPr>
          <w:rFonts w:hint="cs"/>
          <w:rtl/>
          <w:lang w:bidi="ar-EG"/>
        </w:rPr>
        <w:t xml:space="preserve"> أو</w:t>
      </w:r>
      <w:r w:rsidR="00E91DFB">
        <w:rPr>
          <w:rFonts w:hint="eastAsia"/>
          <w:rtl/>
          <w:lang w:bidi="ar-EG"/>
        </w:rPr>
        <w:t> </w:t>
      </w:r>
      <w:r w:rsidR="00E03F81">
        <w:rPr>
          <w:rFonts w:hint="cs"/>
          <w:rtl/>
          <w:lang w:bidi="ar-EG"/>
        </w:rPr>
        <w:t>في جلسات المجلس اللاحقة</w:t>
      </w:r>
      <w:r w:rsidR="008F24FA">
        <w:rPr>
          <w:rFonts w:hint="cs"/>
          <w:rtl/>
          <w:lang w:bidi="ar-EG"/>
        </w:rPr>
        <w:t xml:space="preserve">، </w:t>
      </w:r>
      <w:r>
        <w:rPr>
          <w:rFonts w:hint="cs"/>
          <w:rtl/>
        </w:rPr>
        <w:t xml:space="preserve">إذا </w:t>
      </w:r>
      <w:r w:rsidR="00650230">
        <w:rPr>
          <w:rFonts w:hint="cs"/>
          <w:rtl/>
        </w:rPr>
        <w:t>اقتضت الضرورة ذلك.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4" w:name="_GoBack"/>
      <w:bookmarkEnd w:id="4"/>
    </w:p>
    <w:sectPr w:rsidR="0074420E" w:rsidSect="006C3242">
      <w:headerReference w:type="default" r:id="rId35"/>
      <w:footerReference w:type="defaul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7B" w:rsidRDefault="002E147B" w:rsidP="006C3242">
      <w:pPr>
        <w:spacing w:before="0" w:line="240" w:lineRule="auto"/>
      </w:pPr>
      <w:r>
        <w:separator/>
      </w:r>
    </w:p>
  </w:endnote>
  <w:endnote w:type="continuationSeparator" w:id="0">
    <w:p w:rsidR="002E147B" w:rsidRDefault="002E147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508D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44EFC">
      <w:rPr>
        <w:rFonts w:ascii="Calibri" w:hAnsi="Calibri" w:cs="Calibri"/>
        <w:noProof/>
        <w:sz w:val="16"/>
        <w:szCs w:val="16"/>
        <w:lang w:val="fr-FR"/>
      </w:rPr>
      <w:t>P:\ARA\SG\CONSEIL\C18\000\095A.docx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B44EF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7508D8">
      <w:rPr>
        <w:rFonts w:ascii="Calibri" w:hAnsi="Calibri" w:cs="Calibri" w:hint="cs"/>
        <w:sz w:val="16"/>
        <w:szCs w:val="16"/>
        <w:rtl/>
        <w:lang w:val="fr-FR"/>
      </w:rPr>
      <w:t>434509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85E6E">
      <w:rPr>
        <w:rFonts w:ascii="Calibri" w:hAnsi="Calibri" w:cs="Calibri"/>
        <w:noProof/>
        <w:sz w:val="16"/>
        <w:szCs w:val="16"/>
        <w:lang w:val="fr-FR"/>
      </w:rPr>
      <w:t>18.04.18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44EFC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7B" w:rsidRDefault="002E147B" w:rsidP="006C3242">
      <w:pPr>
        <w:spacing w:before="0" w:line="240" w:lineRule="auto"/>
      </w:pPr>
      <w:r>
        <w:separator/>
      </w:r>
    </w:p>
  </w:footnote>
  <w:footnote w:type="continuationSeparator" w:id="0">
    <w:p w:rsidR="002E147B" w:rsidRDefault="002E147B" w:rsidP="006C3242">
      <w:pPr>
        <w:spacing w:before="0" w:line="240" w:lineRule="auto"/>
      </w:pPr>
      <w:r>
        <w:continuationSeparator/>
      </w:r>
    </w:p>
  </w:footnote>
  <w:footnote w:id="1">
    <w:p w:rsidR="00D054C1" w:rsidRDefault="00D054C1" w:rsidP="001E431D">
      <w:pPr>
        <w:pStyle w:val="FootnoteText"/>
        <w:tabs>
          <w:tab w:val="clear" w:pos="794"/>
          <w:tab w:val="left" w:pos="283"/>
        </w:tabs>
        <w:ind w:left="284" w:hanging="284"/>
        <w:rPr>
          <w:lang w:bidi="ar-EG"/>
        </w:rPr>
      </w:pPr>
      <w:r>
        <w:rPr>
          <w:rStyle w:val="FootnoteReference"/>
        </w:rPr>
        <w:footnoteRef/>
      </w:r>
      <w:r w:rsidR="001E431D">
        <w:rPr>
          <w:rtl/>
        </w:rPr>
        <w:tab/>
      </w:r>
      <w:r w:rsidR="008F24FA">
        <w:rPr>
          <w:rFonts w:hint="cs"/>
          <w:rtl/>
        </w:rPr>
        <w:t xml:space="preserve">تمت صياغة الفقرة بمراعاة أحكام مماثلة </w:t>
      </w:r>
      <w:proofErr w:type="spellStart"/>
      <w:r w:rsidR="008F24FA">
        <w:rPr>
          <w:rFonts w:hint="cs"/>
          <w:rtl/>
        </w:rPr>
        <w:t>مستقاة</w:t>
      </w:r>
      <w:proofErr w:type="spellEnd"/>
      <w:r w:rsidR="008F24FA">
        <w:rPr>
          <w:rFonts w:hint="cs"/>
          <w:rtl/>
        </w:rPr>
        <w:t xml:space="preserve"> من المنظمة العالمية للملكية الفكرية </w:t>
      </w:r>
      <w:r w:rsidR="00B45C97">
        <w:t>(</w:t>
      </w:r>
      <w:r w:rsidR="008F24FA">
        <w:rPr>
          <w:lang w:val="pt-BR"/>
        </w:rPr>
        <w:t>WIPO</w:t>
      </w:r>
      <w:r w:rsidR="00B45C97">
        <w:t>)</w:t>
      </w:r>
      <w:r w:rsidR="008F24FA">
        <w:rPr>
          <w:rFonts w:hint="cs"/>
          <w:rtl/>
        </w:rPr>
        <w:t xml:space="preserve"> ومنظمة العمل الدولية </w:t>
      </w:r>
      <w:r w:rsidR="00B45C97">
        <w:t>(</w:t>
      </w:r>
      <w:r w:rsidR="008F24FA">
        <w:rPr>
          <w:lang w:val="pt-BR"/>
        </w:rPr>
        <w:t>ILO</w:t>
      </w:r>
      <w:r w:rsidR="00B45C97">
        <w:t>)</w:t>
      </w:r>
      <w:r w:rsidR="008F24FA">
        <w:rPr>
          <w:rFonts w:hint="cs"/>
          <w:rtl/>
        </w:rPr>
        <w:t xml:space="preserve"> ومنظمة الصحة العالمية</w:t>
      </w:r>
      <w:r w:rsidR="00B45C97">
        <w:rPr>
          <w:rFonts w:hint="eastAsia"/>
          <w:rtl/>
        </w:rPr>
        <w:t> </w:t>
      </w:r>
      <w:r w:rsidR="00B45C97">
        <w:t>(</w:t>
      </w:r>
      <w:r w:rsidR="008F24FA">
        <w:rPr>
          <w:lang w:val="pt-BR"/>
        </w:rPr>
        <w:t>WHO</w:t>
      </w:r>
      <w:r w:rsidR="00B45C97">
        <w:t>)</w:t>
      </w:r>
      <w:r w:rsidR="008F24FA">
        <w:rPr>
          <w:rFonts w:hint="cs"/>
          <w:rtl/>
        </w:rPr>
        <w:t xml:space="preserve"> ومنظمة التجارة العالمية </w:t>
      </w:r>
      <w:r w:rsidR="00B45C97">
        <w:t>(</w:t>
      </w:r>
      <w:r w:rsidR="008F24FA">
        <w:rPr>
          <w:lang w:val="pt-BR"/>
        </w:rPr>
        <w:t>WTO</w:t>
      </w:r>
      <w:r w:rsidR="00B45C97">
        <w:t>)</w:t>
      </w:r>
      <w:r w:rsidR="00B45C9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26FC0" w:rsidP="007508D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508D8">
          <w:rPr>
            <w:rFonts w:cs="Calibri" w:hint="cs"/>
            <w:noProof/>
            <w:sz w:val="20"/>
            <w:szCs w:val="20"/>
            <w:rtl/>
          </w:rPr>
          <w:t>95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B"/>
    <w:rsid w:val="00061087"/>
    <w:rsid w:val="00090574"/>
    <w:rsid w:val="000B121D"/>
    <w:rsid w:val="000C548A"/>
    <w:rsid w:val="000E3513"/>
    <w:rsid w:val="00111A60"/>
    <w:rsid w:val="00147F02"/>
    <w:rsid w:val="00175419"/>
    <w:rsid w:val="00185E6E"/>
    <w:rsid w:val="001C0169"/>
    <w:rsid w:val="001D1D50"/>
    <w:rsid w:val="001D5C45"/>
    <w:rsid w:val="001E431D"/>
    <w:rsid w:val="001E446E"/>
    <w:rsid w:val="002154EE"/>
    <w:rsid w:val="0023283D"/>
    <w:rsid w:val="00265554"/>
    <w:rsid w:val="00271C43"/>
    <w:rsid w:val="00290728"/>
    <w:rsid w:val="002978F4"/>
    <w:rsid w:val="002B028D"/>
    <w:rsid w:val="002C6119"/>
    <w:rsid w:val="002E147B"/>
    <w:rsid w:val="002E6541"/>
    <w:rsid w:val="0030390B"/>
    <w:rsid w:val="0033665D"/>
    <w:rsid w:val="003409BC"/>
    <w:rsid w:val="00357185"/>
    <w:rsid w:val="00383829"/>
    <w:rsid w:val="00384231"/>
    <w:rsid w:val="003C7D0B"/>
    <w:rsid w:val="003D6638"/>
    <w:rsid w:val="003F4B29"/>
    <w:rsid w:val="003F5F68"/>
    <w:rsid w:val="00401CF9"/>
    <w:rsid w:val="00402DA5"/>
    <w:rsid w:val="0042686F"/>
    <w:rsid w:val="004317D8"/>
    <w:rsid w:val="00443869"/>
    <w:rsid w:val="00447F32"/>
    <w:rsid w:val="004B3E4E"/>
    <w:rsid w:val="004E11DC"/>
    <w:rsid w:val="00500048"/>
    <w:rsid w:val="005159FA"/>
    <w:rsid w:val="00520200"/>
    <w:rsid w:val="005202AF"/>
    <w:rsid w:val="00533B3C"/>
    <w:rsid w:val="005409AC"/>
    <w:rsid w:val="0055516A"/>
    <w:rsid w:val="0058491B"/>
    <w:rsid w:val="005A3170"/>
    <w:rsid w:val="006018D0"/>
    <w:rsid w:val="00605876"/>
    <w:rsid w:val="00625121"/>
    <w:rsid w:val="00626FC0"/>
    <w:rsid w:val="00647DAD"/>
    <w:rsid w:val="00650230"/>
    <w:rsid w:val="0069200F"/>
    <w:rsid w:val="006A4D23"/>
    <w:rsid w:val="006A65CB"/>
    <w:rsid w:val="006C3242"/>
    <w:rsid w:val="006C7CC0"/>
    <w:rsid w:val="006E473D"/>
    <w:rsid w:val="006F63F7"/>
    <w:rsid w:val="00706D7A"/>
    <w:rsid w:val="00722F0D"/>
    <w:rsid w:val="0074420E"/>
    <w:rsid w:val="007508D8"/>
    <w:rsid w:val="007673D7"/>
    <w:rsid w:val="00783E26"/>
    <w:rsid w:val="007B1EA5"/>
    <w:rsid w:val="007C2AB1"/>
    <w:rsid w:val="007C3BC7"/>
    <w:rsid w:val="007D4ACF"/>
    <w:rsid w:val="007D6D78"/>
    <w:rsid w:val="007F0787"/>
    <w:rsid w:val="00804D9C"/>
    <w:rsid w:val="00810B7B"/>
    <w:rsid w:val="008235CD"/>
    <w:rsid w:val="008247DE"/>
    <w:rsid w:val="00840B10"/>
    <w:rsid w:val="00841824"/>
    <w:rsid w:val="00842150"/>
    <w:rsid w:val="008513CB"/>
    <w:rsid w:val="00862197"/>
    <w:rsid w:val="00867323"/>
    <w:rsid w:val="008E4D82"/>
    <w:rsid w:val="008F24FA"/>
    <w:rsid w:val="008F5E8D"/>
    <w:rsid w:val="008F656B"/>
    <w:rsid w:val="00913040"/>
    <w:rsid w:val="00923B0C"/>
    <w:rsid w:val="0094021C"/>
    <w:rsid w:val="00982B28"/>
    <w:rsid w:val="00997B67"/>
    <w:rsid w:val="009C5BFF"/>
    <w:rsid w:val="009D2964"/>
    <w:rsid w:val="009D313F"/>
    <w:rsid w:val="009F79A2"/>
    <w:rsid w:val="00A07B90"/>
    <w:rsid w:val="00A13686"/>
    <w:rsid w:val="00A47A5A"/>
    <w:rsid w:val="00A6683B"/>
    <w:rsid w:val="00A824DD"/>
    <w:rsid w:val="00A97F94"/>
    <w:rsid w:val="00AF65CA"/>
    <w:rsid w:val="00B05BC8"/>
    <w:rsid w:val="00B44EFC"/>
    <w:rsid w:val="00B45C97"/>
    <w:rsid w:val="00B64B47"/>
    <w:rsid w:val="00B76DBC"/>
    <w:rsid w:val="00BE4042"/>
    <w:rsid w:val="00C002DE"/>
    <w:rsid w:val="00C53BF8"/>
    <w:rsid w:val="00C55FA1"/>
    <w:rsid w:val="00C62C1A"/>
    <w:rsid w:val="00C66157"/>
    <w:rsid w:val="00C674FE"/>
    <w:rsid w:val="00C75633"/>
    <w:rsid w:val="00C87AF2"/>
    <w:rsid w:val="00C96ECE"/>
    <w:rsid w:val="00CC46BA"/>
    <w:rsid w:val="00CE2EE1"/>
    <w:rsid w:val="00CF012A"/>
    <w:rsid w:val="00CF3FFD"/>
    <w:rsid w:val="00D054C1"/>
    <w:rsid w:val="00D77D0F"/>
    <w:rsid w:val="00DA1CF0"/>
    <w:rsid w:val="00DC1E02"/>
    <w:rsid w:val="00DC24B4"/>
    <w:rsid w:val="00DF16DC"/>
    <w:rsid w:val="00E03F81"/>
    <w:rsid w:val="00E0710C"/>
    <w:rsid w:val="00E12E75"/>
    <w:rsid w:val="00E374AF"/>
    <w:rsid w:val="00E45211"/>
    <w:rsid w:val="00E82122"/>
    <w:rsid w:val="00E82B38"/>
    <w:rsid w:val="00E8754D"/>
    <w:rsid w:val="00E91DFB"/>
    <w:rsid w:val="00EA1E92"/>
    <w:rsid w:val="00EB796D"/>
    <w:rsid w:val="00EC22F0"/>
    <w:rsid w:val="00F24FC4"/>
    <w:rsid w:val="00F2676C"/>
    <w:rsid w:val="00F4762E"/>
    <w:rsid w:val="00F84366"/>
    <w:rsid w:val="00F85089"/>
    <w:rsid w:val="00F9213B"/>
    <w:rsid w:val="00F95634"/>
    <w:rsid w:val="00FA6F46"/>
    <w:rsid w:val="00FB081D"/>
    <w:rsid w:val="00FB3907"/>
    <w:rsid w:val="00FB4648"/>
    <w:rsid w:val="00FC67B4"/>
    <w:rsid w:val="00FD09FD"/>
    <w:rsid w:val="00FD4700"/>
    <w:rsid w:val="00FD5C27"/>
    <w:rsid w:val="00FE5872"/>
    <w:rsid w:val="00FE61C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C0233DB-FABF-4991-B7FF-641CEBF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7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6-CL-C-0004/en" TargetMode="External"/><Relationship Id="rId18" Type="http://schemas.openxmlformats.org/officeDocument/2006/relationships/hyperlink" Target="https://www.itu.int/md/S17-CL-INF-0006/en" TargetMode="External"/><Relationship Id="rId26" Type="http://schemas.openxmlformats.org/officeDocument/2006/relationships/hyperlink" Target="https://www.itu.int/en/careers/Documents/SRR-e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S18-CL-C-0050/en" TargetMode="External"/><Relationship Id="rId34" Type="http://schemas.openxmlformats.org/officeDocument/2006/relationships/hyperlink" Target="https://www.itu.int/en/careers/Documents/SRR-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099/en" TargetMode="External"/><Relationship Id="rId17" Type="http://schemas.openxmlformats.org/officeDocument/2006/relationships/hyperlink" Target="http://www.itu.int/md/S17-CL-C-0130/en" TargetMode="External"/><Relationship Id="rId25" Type="http://schemas.openxmlformats.org/officeDocument/2006/relationships/hyperlink" Target="https://www.unjiu.org/sites/www.unjiu.org/files/jiu_document_files/products/en/reports-notes/JIU%20Products/JIU_REP_2009_8_English.pdf" TargetMode="External"/><Relationship Id="rId33" Type="http://schemas.openxmlformats.org/officeDocument/2006/relationships/hyperlink" Target="https://www.itu.int/en/careers/Documents/SRR-e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96/en" TargetMode="External"/><Relationship Id="rId20" Type="http://schemas.openxmlformats.org/officeDocument/2006/relationships/hyperlink" Target="https://www.itu.int/md/S18-CL-C-0005/en" TargetMode="External"/><Relationship Id="rId29" Type="http://schemas.openxmlformats.org/officeDocument/2006/relationships/hyperlink" Target="https://www.itu.int/md/S18-CL-C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75/en" TargetMode="External"/><Relationship Id="rId24" Type="http://schemas.openxmlformats.org/officeDocument/2006/relationships/hyperlink" Target="https://www.itu.int/md/S18-CLCWGFHRM8-C-0028/en" TargetMode="External"/><Relationship Id="rId32" Type="http://schemas.openxmlformats.org/officeDocument/2006/relationships/hyperlink" Target="https://www.unjiu.org/sites/www.unjiu.org/files/jiu_document_files/products/en/reports-notes/JIU%20Products/JIU_REP_2009_8_English.pdf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76/en" TargetMode="External"/><Relationship Id="rId23" Type="http://schemas.openxmlformats.org/officeDocument/2006/relationships/hyperlink" Target="https://www.itu.int/md/S18-CLCWGFHRM8-C-0017/en" TargetMode="External"/><Relationship Id="rId28" Type="http://schemas.openxmlformats.org/officeDocument/2006/relationships/hyperlink" Target="https://www.itu.int/md/S17-SG-CIR-0007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14-PP-C-0075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md/S18-CLCWGFHRM8-C-00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hyperlink" Target="http://www.itu.int/md/S17-CL-C-0004/en" TargetMode="External"/><Relationship Id="rId22" Type="http://schemas.openxmlformats.org/officeDocument/2006/relationships/hyperlink" Target="https://www.itu.int/md/S17-CLCWGFHRM7-C-0010/en" TargetMode="External"/><Relationship Id="rId27" Type="http://schemas.openxmlformats.org/officeDocument/2006/relationships/hyperlink" Target="https://www.itu.int/md/S16-SG-CIR-0048/en" TargetMode="External"/><Relationship Id="rId30" Type="http://schemas.openxmlformats.org/officeDocument/2006/relationships/hyperlink" Target="https://www.itu.int/md/S18-CLCWGFHRM8-C-0017/en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BD7A-15EC-4B08-A096-13FF6FE5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Awad, Samy</cp:lastModifiedBy>
  <cp:revision>42</cp:revision>
  <dcterms:created xsi:type="dcterms:W3CDTF">2018-04-18T08:56:00Z</dcterms:created>
  <dcterms:modified xsi:type="dcterms:W3CDTF">2018-04-18T10:44:00Z</dcterms:modified>
</cp:coreProperties>
</file>