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 xml:space="preserve">PL </w:t>
            </w:r>
            <w:r w:rsidR="00590970">
              <w:rPr>
                <w:b/>
              </w:rPr>
              <w:t>1.1</w:t>
            </w:r>
          </w:p>
        </w:tc>
        <w:tc>
          <w:tcPr>
            <w:tcW w:w="3120" w:type="dxa"/>
          </w:tcPr>
          <w:p w:rsidR="002A2188" w:rsidRPr="00E85629" w:rsidRDefault="002A2188" w:rsidP="00A25B06">
            <w:pPr>
              <w:tabs>
                <w:tab w:val="left" w:pos="851"/>
              </w:tabs>
              <w:spacing w:before="0" w:line="240" w:lineRule="atLeast"/>
              <w:rPr>
                <w:b/>
              </w:rPr>
            </w:pPr>
            <w:r>
              <w:rPr>
                <w:b/>
              </w:rPr>
              <w:t>Document C1</w:t>
            </w:r>
            <w:r w:rsidR="00623AE3">
              <w:rPr>
                <w:b/>
              </w:rPr>
              <w:t>8</w:t>
            </w:r>
            <w:r>
              <w:rPr>
                <w:b/>
              </w:rPr>
              <w:t>/</w:t>
            </w:r>
            <w:r w:rsidR="00D805C0">
              <w:rPr>
                <w:b/>
              </w:rPr>
              <w:t>9</w:t>
            </w:r>
            <w:r w:rsidR="00A25B06">
              <w:rPr>
                <w:b/>
              </w:rPr>
              <w:t>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141E1" w:rsidP="00310E0A">
            <w:pPr>
              <w:tabs>
                <w:tab w:val="left" w:pos="993"/>
              </w:tabs>
              <w:spacing w:before="0"/>
              <w:rPr>
                <w:b/>
              </w:rPr>
            </w:pPr>
            <w:r>
              <w:rPr>
                <w:b/>
              </w:rPr>
              <w:t>4</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2141E1">
            <w:pPr>
              <w:pStyle w:val="Title1"/>
            </w:pPr>
            <w:bookmarkStart w:id="7" w:name="dtitle1" w:colFirst="0" w:colLast="0"/>
            <w:bookmarkEnd w:id="6"/>
            <w:r>
              <w:t xml:space="preserve">CONTRIBUTION FROM THE </w:t>
            </w:r>
            <w:r w:rsidR="002141E1">
              <w:t>UNITED ARAB EMIRATES</w:t>
            </w:r>
          </w:p>
          <w:p w:rsidR="002A2188" w:rsidRPr="00A25B06" w:rsidRDefault="00A25B06" w:rsidP="00A25B06">
            <w:pPr>
              <w:pStyle w:val="Title1"/>
            </w:pPr>
            <w:r w:rsidRPr="00A25B06">
              <w:t>Inter-Sectoral Coordination at the ITU</w:t>
            </w:r>
          </w:p>
        </w:tc>
      </w:tr>
      <w:bookmarkEnd w:id="7"/>
    </w:tbl>
    <w:p w:rsidR="002A2188" w:rsidRPr="00813E5E" w:rsidRDefault="002A2188" w:rsidP="002A2188"/>
    <w:p w:rsidR="00A46E6D" w:rsidRPr="000708A2" w:rsidRDefault="00A46E6D" w:rsidP="002141E1">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w:t>
      </w:r>
      <w:r w:rsidR="002141E1">
        <w:rPr>
          <w:b/>
          <w:bCs/>
          <w:lang w:val="en-US"/>
        </w:rPr>
        <w:t>United Arab Emirates</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2141E1">
      <w:pPr>
        <w:pStyle w:val="Title1"/>
      </w:pPr>
      <w:r>
        <w:lastRenderedPageBreak/>
        <w:t xml:space="preserve">CONTRIBUTION FROM </w:t>
      </w:r>
      <w:r w:rsidR="002141E1">
        <w:t>THE UNITED ARAB EMIRATES</w:t>
      </w:r>
    </w:p>
    <w:p w:rsidR="00D805C0" w:rsidRPr="00A25B06" w:rsidRDefault="00A25B06" w:rsidP="00A25B06">
      <w:pPr>
        <w:pStyle w:val="Title1"/>
      </w:pPr>
      <w:r w:rsidRPr="00A25B06">
        <w:t>Inter-Sectoral Coordination at the ITU</w:t>
      </w:r>
    </w:p>
    <w:p w:rsidR="00A25B06" w:rsidRDefault="00A25B06" w:rsidP="00A25B06">
      <w:pPr>
        <w:pStyle w:val="Headingb"/>
        <w:spacing w:before="480"/>
        <w:rPr>
          <w:szCs w:val="24"/>
        </w:rPr>
      </w:pPr>
      <w:r w:rsidRPr="00B97909">
        <w:rPr>
          <w:szCs w:val="24"/>
        </w:rPr>
        <w:t>Background:</w:t>
      </w:r>
    </w:p>
    <w:p w:rsidR="00A25B06" w:rsidRPr="00E040E7" w:rsidRDefault="00A25B06" w:rsidP="00A25B06">
      <w:pPr>
        <w:tabs>
          <w:tab w:val="clear" w:pos="567"/>
          <w:tab w:val="clear" w:pos="1134"/>
          <w:tab w:val="clear" w:pos="1701"/>
          <w:tab w:val="clear" w:pos="2268"/>
          <w:tab w:val="clear" w:pos="2835"/>
        </w:tabs>
        <w:overflowPunct/>
        <w:autoSpaceDE/>
        <w:autoSpaceDN/>
        <w:adjustRightInd/>
        <w:snapToGrid w:val="0"/>
        <w:spacing w:after="120"/>
        <w:jc w:val="both"/>
        <w:textAlignment w:val="auto"/>
        <w:rPr>
          <w:sz w:val="2"/>
          <w:szCs w:val="2"/>
        </w:rPr>
      </w:pPr>
    </w:p>
    <w:p w:rsidR="00A25B06" w:rsidRPr="00E040E7" w:rsidRDefault="00A25B06" w:rsidP="00A25B06">
      <w:pPr>
        <w:tabs>
          <w:tab w:val="clear" w:pos="567"/>
          <w:tab w:val="clear" w:pos="1134"/>
          <w:tab w:val="clear" w:pos="1701"/>
          <w:tab w:val="clear" w:pos="2268"/>
          <w:tab w:val="clear" w:pos="2835"/>
        </w:tabs>
        <w:overflowPunct/>
        <w:autoSpaceDE/>
        <w:autoSpaceDN/>
        <w:adjustRightInd/>
        <w:snapToGrid w:val="0"/>
        <w:textAlignment w:val="auto"/>
      </w:pPr>
      <w:r w:rsidRPr="00E040E7">
        <w:t>The 2014 Plenipotentiary Conference (PP-14) adopted Resolution 191 (Busan, 2014) on “Strategy for the coordination of efforts among the three Sectors of the Union”.</w:t>
      </w:r>
    </w:p>
    <w:p w:rsidR="00A25B06" w:rsidRPr="00E040E7" w:rsidRDefault="00A25B06" w:rsidP="00A25B06">
      <w:pPr>
        <w:tabs>
          <w:tab w:val="clear" w:pos="567"/>
          <w:tab w:val="clear" w:pos="1134"/>
          <w:tab w:val="clear" w:pos="1701"/>
          <w:tab w:val="clear" w:pos="2268"/>
          <w:tab w:val="clear" w:pos="2835"/>
        </w:tabs>
        <w:overflowPunct/>
        <w:autoSpaceDE/>
        <w:autoSpaceDN/>
        <w:adjustRightInd/>
        <w:snapToGrid w:val="0"/>
        <w:textAlignment w:val="auto"/>
      </w:pPr>
      <w:r w:rsidRPr="00E040E7">
        <w:t xml:space="preserve">The Resolution </w:t>
      </w:r>
      <w:r w:rsidRPr="00E040E7">
        <w:rPr>
          <w:i/>
          <w:iCs/>
        </w:rPr>
        <w:t>instructs</w:t>
      </w:r>
      <w:r w:rsidRPr="00E040E7">
        <w:t xml:space="preserve"> the Secretary-General to ensure the design of a coordination and cooperation strategy for effective and efficient efforts in areas of mutual interest to the three ITU Sectors, in order to avoid duplication of effort and optimize the use of resources; and to ensure the preparation of an updated list containing the areas of mutual interest to the three Sectors pursuant to the mandates of each assembly and conference. </w:t>
      </w:r>
    </w:p>
    <w:p w:rsidR="00A25B06" w:rsidRPr="00E040E7" w:rsidRDefault="00A25B06" w:rsidP="00A25B06">
      <w:pPr>
        <w:tabs>
          <w:tab w:val="clear" w:pos="567"/>
          <w:tab w:val="clear" w:pos="1134"/>
          <w:tab w:val="clear" w:pos="1701"/>
          <w:tab w:val="clear" w:pos="2268"/>
          <w:tab w:val="clear" w:pos="2835"/>
        </w:tabs>
        <w:overflowPunct/>
        <w:autoSpaceDE/>
        <w:autoSpaceDN/>
        <w:adjustRightInd/>
        <w:snapToGrid w:val="0"/>
        <w:textAlignment w:val="auto"/>
      </w:pPr>
      <w:r w:rsidRPr="00E040E7">
        <w:t xml:space="preserve">Furthermore, it </w:t>
      </w:r>
      <w:r w:rsidRPr="00E040E7">
        <w:rPr>
          <w:i/>
          <w:iCs/>
        </w:rPr>
        <w:t>instructs</w:t>
      </w:r>
      <w:r w:rsidRPr="00E040E7">
        <w:t xml:space="preserve"> the Directors of the Bureaux to ensure that the agendas of the respective advisory groups include coordination with the other Sectors, so that strategies and actions are suggested for optimal development of the areas of common interest; and to provide support to the Sectors advisory groups in the inter-Sectors coordination activity in areas of mutual interest.</w:t>
      </w:r>
    </w:p>
    <w:p w:rsidR="00A25B06" w:rsidRPr="00E040E7" w:rsidRDefault="00A25B06" w:rsidP="00A25B06">
      <w:pPr>
        <w:tabs>
          <w:tab w:val="clear" w:pos="567"/>
          <w:tab w:val="clear" w:pos="1134"/>
          <w:tab w:val="clear" w:pos="1701"/>
          <w:tab w:val="clear" w:pos="2268"/>
          <w:tab w:val="clear" w:pos="2835"/>
        </w:tabs>
        <w:overflowPunct/>
        <w:autoSpaceDE/>
        <w:autoSpaceDN/>
        <w:adjustRightInd/>
        <w:snapToGrid w:val="0"/>
        <w:textAlignment w:val="auto"/>
      </w:pPr>
      <w:r w:rsidRPr="00E040E7">
        <w:t xml:space="preserve">It also </w:t>
      </w:r>
      <w:r w:rsidRPr="00E040E7">
        <w:rPr>
          <w:i/>
          <w:iCs/>
        </w:rPr>
        <w:t>instructs</w:t>
      </w:r>
      <w:r w:rsidRPr="00E040E7">
        <w:t xml:space="preserve"> the Secretary-General and the Directors of the Bureaux to ensure reporting of the coordination activities carried out among the different Sectors in each such area, as well as the results obtained.</w:t>
      </w:r>
    </w:p>
    <w:p w:rsidR="00A25B06" w:rsidRDefault="00A25B06" w:rsidP="00A25B06">
      <w:pPr>
        <w:rPr>
          <w:szCs w:val="24"/>
        </w:rPr>
      </w:pPr>
      <w:r>
        <w:rPr>
          <w:szCs w:val="24"/>
        </w:rPr>
        <w:t xml:space="preserve">Based on the above, the Council 2017 in Document C17/38-E highlighted that </w:t>
      </w:r>
      <w:r>
        <w:t>t</w:t>
      </w:r>
      <w:r w:rsidRPr="00DA3FF0">
        <w:t>he</w:t>
      </w:r>
      <w:r>
        <w:t xml:space="preserve"> Inter-Sector Coordination Task Force (</w:t>
      </w:r>
      <w:r w:rsidRPr="00DA3FF0">
        <w:t>ISC-TF</w:t>
      </w:r>
      <w:r>
        <w:t xml:space="preserve">) was established </w:t>
      </w:r>
      <w:r w:rsidRPr="004644E2">
        <w:t xml:space="preserve">to </w:t>
      </w:r>
      <w:r>
        <w:t>enhance the coordination and collaboration among the three Bureaux and the General Secretariat, with a view to avoid internal duplication of effort and optimize the use of resources.</w:t>
      </w:r>
    </w:p>
    <w:p w:rsidR="00A25B06" w:rsidRPr="00736DD2" w:rsidRDefault="00A25B06" w:rsidP="00A25B06">
      <w:r>
        <w:t>The Joint Inspectio</w:t>
      </w:r>
      <w:bookmarkStart w:id="10" w:name="_GoBack"/>
      <w:bookmarkEnd w:id="10"/>
      <w:r>
        <w:t>n Unit of the United Nations System in its “Review of management and administration in the International Telecommunication Union (ITU)” during 2015,</w:t>
      </w:r>
      <w:r w:rsidRPr="00736DD2">
        <w:t xml:space="preserve"> also</w:t>
      </w:r>
      <w:r>
        <w:t xml:space="preserve"> recommended that there is a need for</w:t>
      </w:r>
      <w:r w:rsidRPr="00736DD2">
        <w:t xml:space="preserve"> coordination and cooperation strategy in areas of mutual interest </w:t>
      </w:r>
      <w:r>
        <w:t>among the</w:t>
      </w:r>
      <w:r w:rsidRPr="00736DD2">
        <w:t xml:space="preserve"> General Secretariat and the three Sectors as requested by Member States in Res</w:t>
      </w:r>
      <w:r>
        <w:t>olution 191 (Busan, 2014).</w:t>
      </w:r>
    </w:p>
    <w:p w:rsidR="00A25B06" w:rsidRDefault="00A25B06" w:rsidP="00A25B06">
      <w:pPr>
        <w:rPr>
          <w:b/>
          <w:szCs w:val="24"/>
        </w:rPr>
      </w:pPr>
      <w:r w:rsidRPr="00B97909">
        <w:rPr>
          <w:b/>
          <w:szCs w:val="24"/>
        </w:rPr>
        <w:t>Proposal</w:t>
      </w:r>
    </w:p>
    <w:p w:rsidR="00A25B06" w:rsidRDefault="00A25B06" w:rsidP="00A25B06">
      <w:r w:rsidRPr="00E040E7">
        <w:t xml:space="preserve">The United Arab Emirates appreciates the ITU </w:t>
      </w:r>
      <w:r>
        <w:t xml:space="preserve">Secretariat for the efforts in </w:t>
      </w:r>
      <w:r w:rsidRPr="00164F67">
        <w:t xml:space="preserve">implementation of Resolution 191 (Busan, 2014) </w:t>
      </w:r>
      <w:r>
        <w:t xml:space="preserve">and </w:t>
      </w:r>
      <w:r w:rsidRPr="00164F67">
        <w:t>the strategy for the coordination of efforts among</w:t>
      </w:r>
      <w:r>
        <w:t xml:space="preserve"> the three Sectors of the Union and in this regard proposes the following:</w:t>
      </w:r>
    </w:p>
    <w:p w:rsidR="00A25B06" w:rsidRDefault="00A25B06" w:rsidP="00A25B06">
      <w:pPr>
        <w:pStyle w:val="ListParagraph"/>
        <w:numPr>
          <w:ilvl w:val="0"/>
          <w:numId w:val="29"/>
        </w:numPr>
        <w:snapToGrid w:val="0"/>
        <w:spacing w:before="120" w:after="0" w:line="240" w:lineRule="auto"/>
        <w:ind w:left="0" w:firstLine="0"/>
        <w:rPr>
          <w:sz w:val="24"/>
          <w:szCs w:val="24"/>
        </w:rPr>
      </w:pPr>
      <w:r w:rsidRPr="00B917E9">
        <w:rPr>
          <w:sz w:val="24"/>
          <w:szCs w:val="24"/>
        </w:rPr>
        <w:t xml:space="preserve">The ITU </w:t>
      </w:r>
      <w:r>
        <w:rPr>
          <w:sz w:val="24"/>
          <w:szCs w:val="24"/>
        </w:rPr>
        <w:t>shall continue to encourage Member States such that the topics related to specialty of each Conference and Assembly (for example development, standardization or radio) is proposed/ submitted, discussed and adopted at the same conference.</w:t>
      </w:r>
    </w:p>
    <w:p w:rsidR="00A25B06" w:rsidRPr="00B917E9" w:rsidRDefault="00A25B06" w:rsidP="00A25B06">
      <w:pPr>
        <w:pStyle w:val="ListParagraph"/>
        <w:numPr>
          <w:ilvl w:val="0"/>
          <w:numId w:val="29"/>
        </w:numPr>
        <w:snapToGrid w:val="0"/>
        <w:spacing w:before="120" w:after="0" w:line="240" w:lineRule="auto"/>
        <w:ind w:left="0" w:firstLine="0"/>
        <w:rPr>
          <w:sz w:val="24"/>
          <w:szCs w:val="24"/>
        </w:rPr>
      </w:pPr>
      <w:r w:rsidRPr="00B917E9">
        <w:rPr>
          <w:sz w:val="24"/>
          <w:szCs w:val="24"/>
        </w:rPr>
        <w:t xml:space="preserve">The ITU </w:t>
      </w:r>
      <w:r>
        <w:rPr>
          <w:sz w:val="24"/>
          <w:szCs w:val="24"/>
        </w:rPr>
        <w:t xml:space="preserve">to review the output of ITU Conferences and Assembly and facilitate the topics of mutual interest by identifying the required resources, budget and possibility of defining work program. </w:t>
      </w: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25B06">
      <w:rPr>
        <w:noProof/>
      </w:rPr>
      <w:t>2</w:t>
    </w:r>
    <w:r>
      <w:rPr>
        <w:noProof/>
      </w:rPr>
      <w:fldChar w:fldCharType="end"/>
    </w:r>
  </w:p>
  <w:p w:rsidR="00322D0D" w:rsidRPr="00623AE3" w:rsidRDefault="00623AE3" w:rsidP="00A25B06">
    <w:pPr>
      <w:pStyle w:val="Header"/>
      <w:rPr>
        <w:bCs/>
      </w:rPr>
    </w:pPr>
    <w:r w:rsidRPr="00623AE3">
      <w:rPr>
        <w:bCs/>
      </w:rPr>
      <w:t>C18/</w:t>
    </w:r>
    <w:r w:rsidR="00D805C0">
      <w:rPr>
        <w:bCs/>
      </w:rPr>
      <w:t>9</w:t>
    </w:r>
    <w:r w:rsidR="00A25B06">
      <w:rPr>
        <w:bCs/>
      </w:rPr>
      <w:t>8</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9A91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AA6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80D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E04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8C5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A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D875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A0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584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CC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D31D81"/>
    <w:multiLevelType w:val="hybridMultilevel"/>
    <w:tmpl w:val="088E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62D6D"/>
    <w:multiLevelType w:val="hybridMultilevel"/>
    <w:tmpl w:val="7E78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C841D92"/>
    <w:multiLevelType w:val="hybridMultilevel"/>
    <w:tmpl w:val="CCE2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81E1A"/>
    <w:multiLevelType w:val="hybridMultilevel"/>
    <w:tmpl w:val="E5D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30B85"/>
    <w:multiLevelType w:val="hybridMultilevel"/>
    <w:tmpl w:val="43D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D264173"/>
    <w:multiLevelType w:val="hybridMultilevel"/>
    <w:tmpl w:val="4AD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627ED"/>
    <w:multiLevelType w:val="hybridMultilevel"/>
    <w:tmpl w:val="EF9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19"/>
  </w:num>
  <w:num w:numId="17">
    <w:abstractNumId w:val="24"/>
  </w:num>
  <w:num w:numId="18">
    <w:abstractNumId w:val="18"/>
  </w:num>
  <w:num w:numId="19">
    <w:abstractNumId w:val="11"/>
  </w:num>
  <w:num w:numId="20">
    <w:abstractNumId w:val="10"/>
  </w:num>
  <w:num w:numId="21">
    <w:abstractNumId w:val="27"/>
  </w:num>
  <w:num w:numId="22">
    <w:abstractNumId w:val="28"/>
  </w:num>
  <w:num w:numId="23">
    <w:abstractNumId w:val="15"/>
  </w:num>
  <w:num w:numId="24">
    <w:abstractNumId w:val="26"/>
  </w:num>
  <w:num w:numId="25">
    <w:abstractNumId w:val="22"/>
  </w:num>
  <w:num w:numId="26">
    <w:abstractNumId w:val="25"/>
  </w:num>
  <w:num w:numId="27">
    <w:abstractNumId w:val="16"/>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0144"/>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141E1"/>
    <w:rsid w:val="00244428"/>
    <w:rsid w:val="00264425"/>
    <w:rsid w:val="00265875"/>
    <w:rsid w:val="0027303B"/>
    <w:rsid w:val="0028109B"/>
    <w:rsid w:val="002A2188"/>
    <w:rsid w:val="002B1F58"/>
    <w:rsid w:val="002C1C7A"/>
    <w:rsid w:val="002D46A3"/>
    <w:rsid w:val="0030160F"/>
    <w:rsid w:val="00310E0A"/>
    <w:rsid w:val="00322D0D"/>
    <w:rsid w:val="00340921"/>
    <w:rsid w:val="00342634"/>
    <w:rsid w:val="003942D4"/>
    <w:rsid w:val="003958A8"/>
    <w:rsid w:val="00397D1B"/>
    <w:rsid w:val="003B2EEA"/>
    <w:rsid w:val="003C2533"/>
    <w:rsid w:val="003D660D"/>
    <w:rsid w:val="0040435A"/>
    <w:rsid w:val="00416A24"/>
    <w:rsid w:val="00417C90"/>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4691A"/>
    <w:rsid w:val="00564FBC"/>
    <w:rsid w:val="00582442"/>
    <w:rsid w:val="00590970"/>
    <w:rsid w:val="005A6082"/>
    <w:rsid w:val="005C22A3"/>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7D55A5"/>
    <w:rsid w:val="00813E5E"/>
    <w:rsid w:val="00833F2D"/>
    <w:rsid w:val="0083581B"/>
    <w:rsid w:val="00845692"/>
    <w:rsid w:val="00864AFF"/>
    <w:rsid w:val="008B4A6A"/>
    <w:rsid w:val="008C7B3C"/>
    <w:rsid w:val="008C7E27"/>
    <w:rsid w:val="008E16A5"/>
    <w:rsid w:val="00907BB9"/>
    <w:rsid w:val="009173EF"/>
    <w:rsid w:val="00932906"/>
    <w:rsid w:val="00961B0B"/>
    <w:rsid w:val="009A1760"/>
    <w:rsid w:val="009B38C3"/>
    <w:rsid w:val="009E17BD"/>
    <w:rsid w:val="009E485A"/>
    <w:rsid w:val="00A04CEC"/>
    <w:rsid w:val="00A11454"/>
    <w:rsid w:val="00A25B06"/>
    <w:rsid w:val="00A27F92"/>
    <w:rsid w:val="00A32257"/>
    <w:rsid w:val="00A36D20"/>
    <w:rsid w:val="00A46E6D"/>
    <w:rsid w:val="00A55622"/>
    <w:rsid w:val="00A632E5"/>
    <w:rsid w:val="00A83502"/>
    <w:rsid w:val="00AA25E0"/>
    <w:rsid w:val="00AB4FC8"/>
    <w:rsid w:val="00AD15B3"/>
    <w:rsid w:val="00AE03C2"/>
    <w:rsid w:val="00AF6E49"/>
    <w:rsid w:val="00B04A67"/>
    <w:rsid w:val="00B0583C"/>
    <w:rsid w:val="00B40A81"/>
    <w:rsid w:val="00B44910"/>
    <w:rsid w:val="00B51B88"/>
    <w:rsid w:val="00B72267"/>
    <w:rsid w:val="00B76EB6"/>
    <w:rsid w:val="00B7737B"/>
    <w:rsid w:val="00B824C8"/>
    <w:rsid w:val="00BC251A"/>
    <w:rsid w:val="00BD032B"/>
    <w:rsid w:val="00BE2640"/>
    <w:rsid w:val="00C01189"/>
    <w:rsid w:val="00C058ED"/>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3471E"/>
    <w:rsid w:val="00D65041"/>
    <w:rsid w:val="00D74333"/>
    <w:rsid w:val="00D805C0"/>
    <w:rsid w:val="00D8484B"/>
    <w:rsid w:val="00DB2062"/>
    <w:rsid w:val="00DB384B"/>
    <w:rsid w:val="00E10E80"/>
    <w:rsid w:val="00E124F0"/>
    <w:rsid w:val="00E23045"/>
    <w:rsid w:val="00E60F04"/>
    <w:rsid w:val="00E854E4"/>
    <w:rsid w:val="00EB0D6F"/>
    <w:rsid w:val="00EB2232"/>
    <w:rsid w:val="00EC5337"/>
    <w:rsid w:val="00EC6F1F"/>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 w:type="paragraph" w:styleId="BodyText">
    <w:name w:val="Body Text"/>
    <w:basedOn w:val="Normal"/>
    <w:link w:val="BodyTextChar"/>
    <w:semiHidden/>
    <w:rsid w:val="00342634"/>
    <w:pPr>
      <w:tabs>
        <w:tab w:val="clear" w:pos="567"/>
        <w:tab w:val="clear" w:pos="1134"/>
        <w:tab w:val="clear" w:pos="1701"/>
        <w:tab w:val="clear" w:pos="2268"/>
        <w:tab w:val="clear" w:pos="2835"/>
        <w:tab w:val="num" w:pos="360"/>
      </w:tabs>
      <w:overflowPunct/>
      <w:autoSpaceDE/>
      <w:autoSpaceDN/>
      <w:adjustRightInd/>
      <w:spacing w:before="0" w:after="240"/>
      <w:jc w:val="both"/>
      <w:textAlignment w:val="auto"/>
    </w:pPr>
    <w:rPr>
      <w:rFonts w:ascii="Times New Roman" w:hAnsi="Times New Roman"/>
      <w:sz w:val="22"/>
    </w:rPr>
  </w:style>
  <w:style w:type="character" w:customStyle="1" w:styleId="BodyTextChar">
    <w:name w:val="Body Text Char"/>
    <w:basedOn w:val="DefaultParagraphFont"/>
    <w:link w:val="BodyText"/>
    <w:semiHidden/>
    <w:rsid w:val="00342634"/>
    <w:rPr>
      <w:rFonts w:ascii="Times New Roman" w:hAnsi="Times New Roman"/>
      <w:sz w:val="22"/>
      <w:lang w:val="en-GB" w:eastAsia="en-US"/>
    </w:rPr>
  </w:style>
  <w:style w:type="paragraph" w:customStyle="1" w:styleId="CEONormal">
    <w:name w:val="CEO_Normal"/>
    <w:link w:val="CEONormalChar"/>
    <w:uiPriority w:val="99"/>
    <w:qFormat/>
    <w:rsid w:val="002141E1"/>
    <w:pPr>
      <w:spacing w:before="120"/>
      <w:jc w:val="center"/>
    </w:pPr>
    <w:rPr>
      <w:rFonts w:ascii="Verdana" w:eastAsia="SimSun" w:hAnsi="Verdana"/>
      <w:sz w:val="19"/>
      <w:szCs w:val="19"/>
      <w:lang w:val="en-GB" w:eastAsia="en-US"/>
    </w:rPr>
  </w:style>
  <w:style w:type="character" w:customStyle="1" w:styleId="CEONormalChar">
    <w:name w:val="CEO_Normal Char"/>
    <w:link w:val="CEONormal"/>
    <w:uiPriority w:val="99"/>
    <w:locked/>
    <w:rsid w:val="002141E1"/>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3A11E52E-0A65-4405-B200-8D605166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TotalTime>
  <Pages>2</Pages>
  <Words>473</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Contribution from the UAE</vt:lpstr>
    </vt:vector>
  </TitlesOfParts>
  <Manager>General Secretariat - Pool</Manager>
  <Company>International Telecommunication Union (ITU)</Company>
  <LinksUpToDate>false</LinksUpToDate>
  <CharactersWithSpaces>3161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UAE</dc:title>
  <dc:subject>Council 2018</dc:subject>
  <dc:creator>Brouard, Ricarda</dc:creator>
  <cp:keywords>C2018, C18</cp:keywords>
  <cp:lastModifiedBy>Janin</cp:lastModifiedBy>
  <cp:revision>3</cp:revision>
  <cp:lastPrinted>2000-07-18T13:30:00Z</cp:lastPrinted>
  <dcterms:created xsi:type="dcterms:W3CDTF">2018-04-04T09:22:00Z</dcterms:created>
  <dcterms:modified xsi:type="dcterms:W3CDTF">2018-04-04T09:26:00Z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