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505C" w:rsidRPr="00AE2992" w:rsidTr="00142908">
        <w:trPr>
          <w:cantSplit/>
        </w:trPr>
        <w:tc>
          <w:tcPr>
            <w:tcW w:w="6911" w:type="dxa"/>
          </w:tcPr>
          <w:p w:rsidR="0090505C" w:rsidRPr="00AE2992" w:rsidRDefault="0090505C" w:rsidP="00142908">
            <w:pPr>
              <w:spacing w:before="360" w:after="48" w:line="240" w:lineRule="atLeast"/>
              <w:rPr>
                <w:position w:val="6"/>
                <w:lang w:val="es-ES_tradnl"/>
              </w:rPr>
            </w:pPr>
            <w:bookmarkStart w:id="0" w:name="dc06"/>
            <w:bookmarkEnd w:id="0"/>
            <w:r w:rsidRPr="00AE2992">
              <w:rPr>
                <w:b/>
                <w:lang w:val="es-ES_tradnl"/>
              </w:rPr>
              <w:t>Consejo 2018</w:t>
            </w:r>
            <w:r w:rsidRPr="00AE2992">
              <w:rPr>
                <w:b/>
                <w:lang w:val="es-ES_tradnl"/>
              </w:rPr>
              <w:br/>
              <w:t>Ginebra, 17-27 de mayo de 2018</w:t>
            </w:r>
          </w:p>
        </w:tc>
        <w:tc>
          <w:tcPr>
            <w:tcW w:w="3120" w:type="dxa"/>
          </w:tcPr>
          <w:p w:rsidR="0090505C" w:rsidRPr="00AE2992" w:rsidRDefault="0090505C" w:rsidP="00142908">
            <w:pPr>
              <w:spacing w:before="0" w:line="240" w:lineRule="atLeast"/>
              <w:jc w:val="right"/>
              <w:rPr>
                <w:lang w:val="es-ES_tradnl"/>
              </w:rPr>
            </w:pPr>
            <w:bookmarkStart w:id="1" w:name="ditulogo"/>
            <w:bookmarkEnd w:id="1"/>
            <w:r w:rsidRPr="00AE2992">
              <w:rPr>
                <w:rFonts w:ascii="Verdana" w:hAnsi="Verdana"/>
                <w:noProof/>
                <w:color w:val="FFFFFF"/>
                <w:sz w:val="26"/>
                <w:szCs w:val="26"/>
                <w:lang w:val="es-ES_tradnl" w:eastAsia="zh-CN"/>
              </w:rPr>
              <w:drawing>
                <wp:inline distT="0" distB="0" distL="0" distR="0" wp14:anchorId="02DCC56C" wp14:editId="6A8E615A">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0505C" w:rsidRPr="00AE2992" w:rsidTr="00142908">
        <w:trPr>
          <w:cantSplit/>
        </w:trPr>
        <w:tc>
          <w:tcPr>
            <w:tcW w:w="6911" w:type="dxa"/>
            <w:tcBorders>
              <w:bottom w:val="single" w:sz="12" w:space="0" w:color="auto"/>
            </w:tcBorders>
          </w:tcPr>
          <w:p w:rsidR="0090505C" w:rsidRPr="00AE2992" w:rsidRDefault="0090505C" w:rsidP="00142908">
            <w:pPr>
              <w:spacing w:before="0" w:after="48" w:line="240" w:lineRule="atLeast"/>
              <w:rPr>
                <w:b/>
                <w:smallCaps/>
                <w:szCs w:val="24"/>
                <w:lang w:val="es-ES_tradnl"/>
              </w:rPr>
            </w:pPr>
          </w:p>
        </w:tc>
        <w:tc>
          <w:tcPr>
            <w:tcW w:w="3120" w:type="dxa"/>
            <w:tcBorders>
              <w:bottom w:val="single" w:sz="12" w:space="0" w:color="auto"/>
            </w:tcBorders>
          </w:tcPr>
          <w:p w:rsidR="0090505C" w:rsidRPr="00AE2992" w:rsidRDefault="0090505C" w:rsidP="00142908">
            <w:pPr>
              <w:spacing w:before="0" w:line="240" w:lineRule="atLeast"/>
              <w:rPr>
                <w:szCs w:val="24"/>
                <w:lang w:val="es-ES_tradnl"/>
              </w:rPr>
            </w:pPr>
          </w:p>
        </w:tc>
      </w:tr>
      <w:tr w:rsidR="0090505C" w:rsidRPr="00AE2992" w:rsidTr="00142908">
        <w:trPr>
          <w:cantSplit/>
        </w:trPr>
        <w:tc>
          <w:tcPr>
            <w:tcW w:w="6911" w:type="dxa"/>
            <w:tcBorders>
              <w:top w:val="single" w:sz="12" w:space="0" w:color="auto"/>
            </w:tcBorders>
          </w:tcPr>
          <w:p w:rsidR="0090505C" w:rsidRPr="00AE2992" w:rsidRDefault="0090505C" w:rsidP="00142908">
            <w:pPr>
              <w:spacing w:before="0" w:after="48" w:line="240" w:lineRule="atLeast"/>
              <w:rPr>
                <w:b/>
                <w:smallCaps/>
                <w:szCs w:val="24"/>
                <w:lang w:val="es-ES_tradnl"/>
              </w:rPr>
            </w:pPr>
          </w:p>
        </w:tc>
        <w:tc>
          <w:tcPr>
            <w:tcW w:w="3120" w:type="dxa"/>
            <w:tcBorders>
              <w:top w:val="single" w:sz="12" w:space="0" w:color="auto"/>
            </w:tcBorders>
          </w:tcPr>
          <w:p w:rsidR="0090505C" w:rsidRPr="00AE2992" w:rsidRDefault="0090505C" w:rsidP="00142908">
            <w:pPr>
              <w:spacing w:before="0" w:line="240" w:lineRule="atLeast"/>
              <w:rPr>
                <w:szCs w:val="24"/>
                <w:lang w:val="es-ES_tradnl"/>
              </w:rPr>
            </w:pPr>
          </w:p>
        </w:tc>
      </w:tr>
      <w:tr w:rsidR="0090505C" w:rsidRPr="00AE2992" w:rsidTr="00142908">
        <w:trPr>
          <w:cantSplit/>
          <w:trHeight w:val="23"/>
        </w:trPr>
        <w:tc>
          <w:tcPr>
            <w:tcW w:w="6911" w:type="dxa"/>
            <w:vMerge w:val="restart"/>
          </w:tcPr>
          <w:p w:rsidR="0090505C" w:rsidRPr="00AE2992" w:rsidRDefault="0090505C" w:rsidP="00142908">
            <w:pPr>
              <w:tabs>
                <w:tab w:val="left" w:pos="851"/>
              </w:tabs>
              <w:spacing w:before="0" w:line="240" w:lineRule="atLeast"/>
              <w:rPr>
                <w:b/>
                <w:lang w:val="es-ES_tradnl"/>
              </w:rPr>
            </w:pPr>
            <w:bookmarkStart w:id="2" w:name="dmeeting"/>
            <w:bookmarkStart w:id="3" w:name="dnum"/>
            <w:r w:rsidRPr="00AE2992">
              <w:rPr>
                <w:b/>
                <w:lang w:val="es-ES_tradnl"/>
              </w:rPr>
              <w:t>Punto del orden del día: PL 1.1</w:t>
            </w:r>
          </w:p>
        </w:tc>
        <w:tc>
          <w:tcPr>
            <w:tcW w:w="3120" w:type="dxa"/>
          </w:tcPr>
          <w:p w:rsidR="0090505C" w:rsidRPr="00AE2992" w:rsidRDefault="0090505C" w:rsidP="00A74994">
            <w:pPr>
              <w:tabs>
                <w:tab w:val="left" w:pos="851"/>
              </w:tabs>
              <w:spacing w:before="0" w:line="240" w:lineRule="atLeast"/>
              <w:rPr>
                <w:b/>
                <w:lang w:val="es-ES_tradnl"/>
              </w:rPr>
            </w:pPr>
            <w:r w:rsidRPr="00AE2992">
              <w:rPr>
                <w:b/>
                <w:lang w:val="es-ES_tradnl"/>
              </w:rPr>
              <w:t>Documento C18/9</w:t>
            </w:r>
            <w:r w:rsidR="00A74994" w:rsidRPr="00AE2992">
              <w:rPr>
                <w:b/>
                <w:lang w:val="es-ES_tradnl"/>
              </w:rPr>
              <w:t>8</w:t>
            </w:r>
            <w:r w:rsidRPr="00AE2992">
              <w:rPr>
                <w:b/>
                <w:lang w:val="es-ES_tradnl"/>
              </w:rPr>
              <w:t>-S</w:t>
            </w:r>
          </w:p>
        </w:tc>
      </w:tr>
      <w:tr w:rsidR="0090505C" w:rsidRPr="00AE2992" w:rsidTr="00142908">
        <w:trPr>
          <w:cantSplit/>
          <w:trHeight w:val="23"/>
        </w:trPr>
        <w:tc>
          <w:tcPr>
            <w:tcW w:w="6911" w:type="dxa"/>
            <w:vMerge/>
          </w:tcPr>
          <w:p w:rsidR="0090505C" w:rsidRPr="00AE2992" w:rsidRDefault="0090505C" w:rsidP="00142908">
            <w:pPr>
              <w:tabs>
                <w:tab w:val="left" w:pos="851"/>
              </w:tabs>
              <w:spacing w:line="240" w:lineRule="atLeast"/>
              <w:rPr>
                <w:b/>
                <w:lang w:val="es-ES_tradnl"/>
              </w:rPr>
            </w:pPr>
            <w:bookmarkStart w:id="4" w:name="ddate"/>
            <w:bookmarkEnd w:id="2"/>
            <w:bookmarkEnd w:id="3"/>
          </w:p>
        </w:tc>
        <w:tc>
          <w:tcPr>
            <w:tcW w:w="3120" w:type="dxa"/>
          </w:tcPr>
          <w:p w:rsidR="0090505C" w:rsidRPr="00AE2992" w:rsidRDefault="00261A9E" w:rsidP="00142908">
            <w:pPr>
              <w:tabs>
                <w:tab w:val="left" w:pos="993"/>
              </w:tabs>
              <w:spacing w:before="0"/>
              <w:rPr>
                <w:b/>
                <w:lang w:val="es-ES_tradnl"/>
              </w:rPr>
            </w:pPr>
            <w:r w:rsidRPr="00AE2992">
              <w:rPr>
                <w:b/>
                <w:lang w:val="es-ES_tradnl"/>
              </w:rPr>
              <w:t>4</w:t>
            </w:r>
            <w:r w:rsidR="0090505C" w:rsidRPr="00AE2992">
              <w:rPr>
                <w:b/>
                <w:lang w:val="es-ES_tradnl"/>
              </w:rPr>
              <w:t xml:space="preserve"> de abril de 2018</w:t>
            </w:r>
          </w:p>
        </w:tc>
      </w:tr>
      <w:tr w:rsidR="0090505C" w:rsidRPr="00AE2992" w:rsidTr="00142908">
        <w:trPr>
          <w:cantSplit/>
          <w:trHeight w:val="23"/>
        </w:trPr>
        <w:tc>
          <w:tcPr>
            <w:tcW w:w="6911" w:type="dxa"/>
            <w:vMerge/>
          </w:tcPr>
          <w:p w:rsidR="0090505C" w:rsidRPr="00AE2992" w:rsidRDefault="0090505C" w:rsidP="00142908">
            <w:pPr>
              <w:tabs>
                <w:tab w:val="left" w:pos="851"/>
              </w:tabs>
              <w:spacing w:line="240" w:lineRule="atLeast"/>
              <w:rPr>
                <w:b/>
                <w:lang w:val="es-ES_tradnl"/>
              </w:rPr>
            </w:pPr>
            <w:bookmarkStart w:id="5" w:name="dorlang"/>
            <w:bookmarkEnd w:id="4"/>
          </w:p>
        </w:tc>
        <w:tc>
          <w:tcPr>
            <w:tcW w:w="3120" w:type="dxa"/>
          </w:tcPr>
          <w:p w:rsidR="0090505C" w:rsidRPr="00AE2992" w:rsidRDefault="0090505C" w:rsidP="00142908">
            <w:pPr>
              <w:tabs>
                <w:tab w:val="left" w:pos="993"/>
              </w:tabs>
              <w:spacing w:before="0"/>
              <w:rPr>
                <w:b/>
                <w:lang w:val="es-ES_tradnl"/>
              </w:rPr>
            </w:pPr>
            <w:r w:rsidRPr="00AE2992">
              <w:rPr>
                <w:b/>
                <w:lang w:val="es-ES_tradnl"/>
              </w:rPr>
              <w:t>Original: Inglés</w:t>
            </w:r>
          </w:p>
        </w:tc>
      </w:tr>
      <w:tr w:rsidR="0090505C" w:rsidRPr="00AE2992" w:rsidTr="00142908">
        <w:trPr>
          <w:cantSplit/>
        </w:trPr>
        <w:tc>
          <w:tcPr>
            <w:tcW w:w="10031" w:type="dxa"/>
            <w:gridSpan w:val="2"/>
          </w:tcPr>
          <w:p w:rsidR="0090505C" w:rsidRPr="00AE2992" w:rsidRDefault="0090505C" w:rsidP="00142908">
            <w:pPr>
              <w:pStyle w:val="Source"/>
              <w:rPr>
                <w:lang w:val="es-ES_tradnl"/>
              </w:rPr>
            </w:pPr>
            <w:bookmarkStart w:id="6" w:name="dsource"/>
            <w:bookmarkEnd w:id="5"/>
            <w:r w:rsidRPr="00AE2992">
              <w:rPr>
                <w:lang w:val="es-ES_tradnl"/>
              </w:rPr>
              <w:t>Nota del Secretario General</w:t>
            </w:r>
          </w:p>
        </w:tc>
      </w:tr>
      <w:tr w:rsidR="0090505C" w:rsidRPr="00AE2992" w:rsidTr="00142908">
        <w:trPr>
          <w:cantSplit/>
        </w:trPr>
        <w:tc>
          <w:tcPr>
            <w:tcW w:w="10031" w:type="dxa"/>
            <w:gridSpan w:val="2"/>
          </w:tcPr>
          <w:p w:rsidR="0090505C" w:rsidRPr="00AE2992" w:rsidRDefault="0090505C" w:rsidP="00A57607">
            <w:pPr>
              <w:pStyle w:val="Title1"/>
              <w:rPr>
                <w:lang w:val="es-ES_tradnl"/>
              </w:rPr>
            </w:pPr>
            <w:bookmarkStart w:id="7" w:name="dtitle1"/>
            <w:bookmarkEnd w:id="6"/>
            <w:r w:rsidRPr="00AE2992">
              <w:rPr>
                <w:lang w:val="es-ES_tradnl"/>
              </w:rPr>
              <w:t xml:space="preserve">CONTRIBUCIÓN DE </w:t>
            </w:r>
            <w:r w:rsidR="00261A9E" w:rsidRPr="00AE2992">
              <w:rPr>
                <w:lang w:val="es-ES_tradnl"/>
              </w:rPr>
              <w:t>los Emiratos Árabes Unidos</w:t>
            </w:r>
          </w:p>
        </w:tc>
      </w:tr>
      <w:tr w:rsidR="00A57607" w:rsidRPr="00AE2992" w:rsidTr="00142908">
        <w:trPr>
          <w:cantSplit/>
        </w:trPr>
        <w:tc>
          <w:tcPr>
            <w:tcW w:w="10031" w:type="dxa"/>
            <w:gridSpan w:val="2"/>
          </w:tcPr>
          <w:p w:rsidR="00A57607" w:rsidRPr="00AE2992" w:rsidRDefault="00A57607" w:rsidP="00A57607">
            <w:pPr>
              <w:pStyle w:val="Title2"/>
              <w:rPr>
                <w:lang w:val="es-ES_tradnl"/>
              </w:rPr>
            </w:pPr>
            <w:r w:rsidRPr="00AE2992">
              <w:rPr>
                <w:lang w:val="es-ES_tradnl"/>
              </w:rPr>
              <w:t>coordinación intersectorial en la uit</w:t>
            </w:r>
          </w:p>
        </w:tc>
      </w:tr>
    </w:tbl>
    <w:p w:rsidR="0090505C" w:rsidRPr="00AE2992" w:rsidRDefault="0090505C" w:rsidP="00A57607">
      <w:pPr>
        <w:pStyle w:val="Normalaftertitle"/>
        <w:rPr>
          <w:lang w:val="es-ES_tradnl"/>
        </w:rPr>
      </w:pPr>
      <w:bookmarkStart w:id="8" w:name="dstart"/>
      <w:bookmarkStart w:id="9" w:name="dbreak"/>
      <w:bookmarkEnd w:id="7"/>
      <w:bookmarkEnd w:id="8"/>
      <w:bookmarkEnd w:id="9"/>
      <w:r w:rsidRPr="00AE2992">
        <w:rPr>
          <w:lang w:val="es-ES_tradnl"/>
        </w:rPr>
        <w:t>Tengo el honor de transmitir a los Estados Miembros del Consejo una contribución remitida por</w:t>
      </w:r>
      <w:r w:rsidR="00B331DD" w:rsidRPr="00AE2992">
        <w:rPr>
          <w:lang w:val="es-ES_tradnl"/>
        </w:rPr>
        <w:t xml:space="preserve"> los </w:t>
      </w:r>
      <w:r w:rsidR="00B331DD" w:rsidRPr="00AE2992">
        <w:rPr>
          <w:b/>
          <w:bCs/>
          <w:lang w:val="es-ES_tradnl"/>
        </w:rPr>
        <w:t>Emiratos Árabes Unidos</w:t>
      </w:r>
      <w:r w:rsidRPr="00AE2992">
        <w:rPr>
          <w:lang w:val="es-ES_tradnl"/>
        </w:rPr>
        <w:t>.</w:t>
      </w:r>
    </w:p>
    <w:p w:rsidR="0090505C" w:rsidRPr="00AE2992" w:rsidRDefault="0090505C" w:rsidP="0090505C">
      <w:pPr>
        <w:rPr>
          <w:lang w:val="es-ES_tradnl"/>
        </w:rPr>
      </w:pPr>
    </w:p>
    <w:p w:rsidR="0090505C" w:rsidRPr="00AE2992" w:rsidRDefault="0090505C" w:rsidP="0090505C">
      <w:pPr>
        <w:tabs>
          <w:tab w:val="clear" w:pos="567"/>
          <w:tab w:val="clear" w:pos="1134"/>
          <w:tab w:val="clear" w:pos="1701"/>
          <w:tab w:val="clear" w:pos="2268"/>
          <w:tab w:val="clear" w:pos="2835"/>
          <w:tab w:val="center" w:pos="7088"/>
        </w:tabs>
        <w:rPr>
          <w:lang w:val="es-ES_tradnl"/>
        </w:rPr>
      </w:pPr>
      <w:r w:rsidRPr="00AE2992">
        <w:rPr>
          <w:lang w:val="es-ES_tradnl"/>
        </w:rPr>
        <w:tab/>
        <w:t>Houlin ZHAO</w:t>
      </w:r>
      <w:r w:rsidRPr="00AE2992">
        <w:rPr>
          <w:lang w:val="es-ES_tradnl"/>
        </w:rPr>
        <w:br/>
      </w:r>
      <w:r w:rsidRPr="00AE2992">
        <w:rPr>
          <w:lang w:val="es-ES_tradnl"/>
        </w:rPr>
        <w:tab/>
        <w:t>Secretario General</w:t>
      </w:r>
    </w:p>
    <w:p w:rsidR="0090505C" w:rsidRPr="00AE2992" w:rsidRDefault="0090505C" w:rsidP="0090505C">
      <w:pPr>
        <w:rPr>
          <w:lang w:val="es-ES_tradnl"/>
        </w:rPr>
      </w:pPr>
    </w:p>
    <w:p w:rsidR="0090505C" w:rsidRPr="00AE2992" w:rsidRDefault="0090505C" w:rsidP="0090505C">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AE2992">
        <w:rPr>
          <w:lang w:val="es-ES_tradnl"/>
        </w:rPr>
        <w:br w:type="page"/>
      </w:r>
    </w:p>
    <w:p w:rsidR="0090505C" w:rsidRPr="00AE2992" w:rsidRDefault="0090505C" w:rsidP="00A74994">
      <w:pPr>
        <w:pStyle w:val="Title1"/>
        <w:rPr>
          <w:lang w:val="es-ES_tradnl"/>
        </w:rPr>
      </w:pPr>
      <w:r w:rsidRPr="00AE2992">
        <w:rPr>
          <w:lang w:val="es-ES_tradnl"/>
        </w:rPr>
        <w:lastRenderedPageBreak/>
        <w:t xml:space="preserve">CONTRIBUCIÓN DE </w:t>
      </w:r>
      <w:r w:rsidR="00A74994" w:rsidRPr="00AE2992">
        <w:rPr>
          <w:lang w:val="es-ES_tradnl"/>
        </w:rPr>
        <w:t>los Emiratos Árabes Unidos</w:t>
      </w:r>
    </w:p>
    <w:p w:rsidR="0090505C" w:rsidRPr="00AE2992" w:rsidRDefault="00A74994" w:rsidP="00E223B2">
      <w:pPr>
        <w:pStyle w:val="Title2"/>
        <w:rPr>
          <w:b/>
          <w:lang w:val="es-ES_tradnl"/>
        </w:rPr>
      </w:pPr>
      <w:r w:rsidRPr="00AE2992">
        <w:rPr>
          <w:lang w:val="es-ES_tradnl"/>
        </w:rPr>
        <w:t>coordinación intersectorial en la uit</w:t>
      </w:r>
    </w:p>
    <w:p w:rsidR="0090505C" w:rsidRPr="00AE2992" w:rsidRDefault="00261A9E" w:rsidP="00E223B2">
      <w:pPr>
        <w:pStyle w:val="Headingb"/>
        <w:rPr>
          <w:lang w:val="es-ES_tradnl"/>
        </w:rPr>
      </w:pPr>
      <w:r w:rsidRPr="00AE2992">
        <w:rPr>
          <w:lang w:val="es-ES_tradnl"/>
        </w:rPr>
        <w:t>Antecedentes</w:t>
      </w:r>
    </w:p>
    <w:p w:rsidR="00A74994" w:rsidRPr="00AE2992" w:rsidRDefault="00A74994" w:rsidP="00E223B2">
      <w:pPr>
        <w:rPr>
          <w:lang w:val="es-ES_tradnl"/>
        </w:rPr>
      </w:pPr>
      <w:r w:rsidRPr="00AE2992">
        <w:rPr>
          <w:lang w:val="es-ES_tradnl"/>
        </w:rPr>
        <w:t xml:space="preserve">La Conferencia de Plenipotenciarios de 2014 (PP-14) adoptó la Resolución 191 (Busán, 2014) relativa a la </w:t>
      </w:r>
      <w:r w:rsidR="00AE2992">
        <w:rPr>
          <w:lang w:val="es-ES_tradnl"/>
        </w:rPr>
        <w:t>"</w:t>
      </w:r>
      <w:r w:rsidRPr="00AE2992">
        <w:rPr>
          <w:lang w:val="es-ES_tradnl"/>
        </w:rPr>
        <w:t>Estrategia de coordinación de los trabajos de los tres Sectores de la Unión</w:t>
      </w:r>
      <w:r w:rsidR="00AE2992">
        <w:rPr>
          <w:lang w:val="es-ES_tradnl"/>
        </w:rPr>
        <w:t>"</w:t>
      </w:r>
      <w:r w:rsidRPr="00AE2992">
        <w:rPr>
          <w:lang w:val="es-ES_tradnl"/>
        </w:rPr>
        <w:t>.</w:t>
      </w:r>
    </w:p>
    <w:p w:rsidR="00A74994" w:rsidRPr="00AE2992" w:rsidRDefault="00A74994" w:rsidP="00E223B2">
      <w:pPr>
        <w:rPr>
          <w:lang w:val="es-ES_tradnl"/>
        </w:rPr>
      </w:pPr>
      <w:r w:rsidRPr="00AE2992">
        <w:rPr>
          <w:lang w:val="es-ES_tradnl"/>
        </w:rPr>
        <w:t xml:space="preserve">La Resolución </w:t>
      </w:r>
      <w:r w:rsidRPr="009579EA">
        <w:rPr>
          <w:i/>
          <w:iCs/>
          <w:lang w:val="es-ES_tradnl"/>
        </w:rPr>
        <w:t>resuelve</w:t>
      </w:r>
      <w:r w:rsidRPr="00AE2992">
        <w:rPr>
          <w:lang w:val="es-ES_tradnl"/>
        </w:rPr>
        <w:t xml:space="preserve"> encargar al Secretario General que vele por que se diseñe una estrategia de coordinación y cooperación para lograr un trabajo eficaz y eficiente en aquellas temáticas para interés mutuo de los tres Sectores de la Unión, a fin de evitar la duplicación de esfuerzos y optimizar la utilización de recursos, y que garantice la preparación de una lista actualizada de los temas de interés mutuo para los tres Sectores, en virtud de los mandatos de cada una de las Asambleas y Conferencias de la Unión.</w:t>
      </w:r>
    </w:p>
    <w:p w:rsidR="00A74994" w:rsidRPr="00AE2992" w:rsidRDefault="00A74994" w:rsidP="00E223B2">
      <w:pPr>
        <w:rPr>
          <w:lang w:val="es-ES_tradnl"/>
        </w:rPr>
      </w:pPr>
      <w:r w:rsidRPr="00AE2992">
        <w:rPr>
          <w:lang w:val="es-ES_tradnl"/>
        </w:rPr>
        <w:t xml:space="preserve">Asimismo, </w:t>
      </w:r>
      <w:r w:rsidRPr="009579EA">
        <w:rPr>
          <w:i/>
          <w:iCs/>
          <w:lang w:val="es-ES_tradnl"/>
        </w:rPr>
        <w:t>encarga</w:t>
      </w:r>
      <w:r w:rsidRPr="00AE2992">
        <w:rPr>
          <w:lang w:val="es-ES_tradnl"/>
        </w:rPr>
        <w:t xml:space="preserve"> a los Directores de las tres Oficinas que en los programas de los respectivos Grupos Asesores se contemple la coordinación con los otros Sectores a fin de sugerir estrategias y acciones para el mejor desarrollo de los temas de interés común, y que den su apoyo a los Grupos Asesores de los Sectores en la coordinación intersectorial sobre temas de interés mutuo.</w:t>
      </w:r>
    </w:p>
    <w:p w:rsidR="00261A9E" w:rsidRPr="00AE2992" w:rsidRDefault="00A74994" w:rsidP="00E223B2">
      <w:pPr>
        <w:rPr>
          <w:lang w:val="es-ES_tradnl"/>
        </w:rPr>
      </w:pPr>
      <w:r w:rsidRPr="00AE2992">
        <w:rPr>
          <w:lang w:val="es-ES_tradnl"/>
        </w:rPr>
        <w:t xml:space="preserve">Por otra parte, </w:t>
      </w:r>
      <w:r w:rsidRPr="009579EA">
        <w:rPr>
          <w:i/>
          <w:iCs/>
          <w:lang w:val="es-ES_tradnl"/>
        </w:rPr>
        <w:t>encarga</w:t>
      </w:r>
      <w:r w:rsidRPr="00AE2992">
        <w:rPr>
          <w:lang w:val="es-ES_tradnl"/>
        </w:rPr>
        <w:t xml:space="preserve"> al Secretario General y a los Directores de las tres Oficinas que garanticen que se informe de las actividades de coordinación realizadas entre los distintos Sectores para cada uno de estos temas, junto con los resultados obtenidos.</w:t>
      </w:r>
    </w:p>
    <w:p w:rsidR="00A74994" w:rsidRPr="00AE2992" w:rsidRDefault="00A74994" w:rsidP="00E223B2">
      <w:pPr>
        <w:rPr>
          <w:rFonts w:eastAsia="SimSun"/>
          <w:lang w:val="es-ES_tradnl"/>
        </w:rPr>
      </w:pPr>
      <w:r w:rsidRPr="00AE2992">
        <w:rPr>
          <w:rFonts w:eastAsia="SimSun"/>
          <w:lang w:val="es-ES_tradnl"/>
        </w:rPr>
        <w:t xml:space="preserve">Sobre la base de lo anterior, el Consejo 2017, en su </w:t>
      </w:r>
      <w:r w:rsidR="009579EA" w:rsidRPr="00AE2992">
        <w:rPr>
          <w:rFonts w:eastAsia="SimSun"/>
          <w:lang w:val="es-ES_tradnl"/>
        </w:rPr>
        <w:t xml:space="preserve">Documento </w:t>
      </w:r>
      <w:r w:rsidRPr="00AE2992">
        <w:rPr>
          <w:rFonts w:eastAsia="SimSun"/>
          <w:lang w:val="es-ES_tradnl"/>
        </w:rPr>
        <w:t xml:space="preserve">C17/38 destacó que el Grupo Especial de Coordinación Intersectorial (ISC-TF) se creó con el fin de facilitar la coordinación y colaboración entre las tres Oficinas y la Secretaría General, con miras a evitar duplicaciones de actividades y optimizar la utilización de recursos. </w:t>
      </w:r>
    </w:p>
    <w:p w:rsidR="00A74994" w:rsidRPr="00AE2992" w:rsidRDefault="00A74994" w:rsidP="00E223B2">
      <w:pPr>
        <w:rPr>
          <w:rFonts w:eastAsia="SimSun"/>
          <w:lang w:val="es-ES_tradnl"/>
        </w:rPr>
      </w:pPr>
      <w:r w:rsidRPr="00AE2992">
        <w:rPr>
          <w:rFonts w:eastAsia="SimSun"/>
          <w:lang w:val="es-ES_tradnl"/>
        </w:rPr>
        <w:t xml:space="preserve">La Dependencia Común de Inspección de las Naciones Unidas, en las recomendaciones de su informe </w:t>
      </w:r>
      <w:r w:rsidR="00AE2992">
        <w:rPr>
          <w:rFonts w:eastAsia="SimSun"/>
          <w:lang w:val="es-ES_tradnl"/>
        </w:rPr>
        <w:t>"</w:t>
      </w:r>
      <w:r w:rsidRPr="00AE2992">
        <w:rPr>
          <w:rFonts w:eastAsia="SimSun"/>
          <w:lang w:val="es-ES_tradnl"/>
        </w:rPr>
        <w:t>Examen de la gestión y administración en la Unión Internacional de Telecomunicaciones (UIT)</w:t>
      </w:r>
      <w:r w:rsidR="00AE2992">
        <w:rPr>
          <w:rFonts w:eastAsia="SimSun"/>
          <w:lang w:val="es-ES_tradnl"/>
        </w:rPr>
        <w:t>"</w:t>
      </w:r>
      <w:r w:rsidRPr="00AE2992">
        <w:rPr>
          <w:rFonts w:eastAsia="SimSun"/>
          <w:lang w:val="es-ES_tradnl"/>
        </w:rPr>
        <w:t xml:space="preserve"> de 2015, también incidía en la necesidad de una estrategia de coordinación y cooperación en ámbitos de interés mutuo entre la Secretaría General y los tres Sectores, tal y como solicitaban los Estados Miembros en la Resolución 191 (Busán, 2014). </w:t>
      </w:r>
    </w:p>
    <w:p w:rsidR="0090505C" w:rsidRPr="00AE2992" w:rsidRDefault="0090505C" w:rsidP="00E223B2">
      <w:pPr>
        <w:pStyle w:val="Headingb"/>
        <w:rPr>
          <w:lang w:val="es-ES_tradnl"/>
        </w:rPr>
      </w:pPr>
      <w:r w:rsidRPr="00AE2992">
        <w:rPr>
          <w:lang w:val="es-ES_tradnl"/>
        </w:rPr>
        <w:t>Propuesta</w:t>
      </w:r>
    </w:p>
    <w:p w:rsidR="004635B2" w:rsidRPr="00AE2992" w:rsidRDefault="001E18C4" w:rsidP="00E223B2">
      <w:pPr>
        <w:rPr>
          <w:lang w:val="es-ES_tradnl"/>
        </w:rPr>
      </w:pPr>
      <w:r w:rsidRPr="00AE2992">
        <w:rPr>
          <w:lang w:val="es-ES_tradnl"/>
        </w:rPr>
        <w:t xml:space="preserve">Los Emiratos Árabes Unidos </w:t>
      </w:r>
      <w:r w:rsidR="00A74994" w:rsidRPr="00AE2992">
        <w:rPr>
          <w:lang w:val="es-ES_tradnl"/>
        </w:rPr>
        <w:t>agradecen los esfuerzos desplegados por la Secretaría de la UIT para impl</w:t>
      </w:r>
      <w:r w:rsidR="009579EA">
        <w:rPr>
          <w:lang w:val="es-ES_tradnl"/>
        </w:rPr>
        <w:t>ementar la Resolución 191 (</w:t>
      </w:r>
      <w:r w:rsidR="00A74994" w:rsidRPr="00AE2992">
        <w:rPr>
          <w:lang w:val="es-ES_tradnl"/>
        </w:rPr>
        <w:t>Busán, 2014)</w:t>
      </w:r>
      <w:r w:rsidR="004635B2" w:rsidRPr="00AE2992">
        <w:rPr>
          <w:lang w:val="es-ES_tradnl"/>
        </w:rPr>
        <w:t xml:space="preserve"> y la estrategia para la coordinación de esfuerzos entre los tres Sectores de la Unión y, a este respecto, proponen lo siguiente:</w:t>
      </w:r>
    </w:p>
    <w:p w:rsidR="004635B2" w:rsidRPr="00AE2992" w:rsidRDefault="004635B2" w:rsidP="00E223B2">
      <w:pPr>
        <w:pStyle w:val="enumlev1"/>
        <w:rPr>
          <w:lang w:val="es-ES_tradnl"/>
        </w:rPr>
      </w:pPr>
      <w:r w:rsidRPr="00AE2992">
        <w:rPr>
          <w:lang w:val="es-ES_tradnl"/>
        </w:rPr>
        <w:lastRenderedPageBreak/>
        <w:t>1</w:t>
      </w:r>
      <w:r w:rsidRPr="00AE2992">
        <w:rPr>
          <w:lang w:val="es-ES_tradnl"/>
        </w:rPr>
        <w:tab/>
      </w:r>
      <w:r w:rsidR="00E223B2" w:rsidRPr="00AE2992">
        <w:rPr>
          <w:lang w:val="es-ES_tradnl"/>
        </w:rPr>
        <w:t xml:space="preserve">que </w:t>
      </w:r>
      <w:r w:rsidRPr="00AE2992">
        <w:rPr>
          <w:lang w:val="es-ES_tradnl"/>
        </w:rPr>
        <w:t xml:space="preserve">la UIT siga alentando a los Estados Miembros para que los temas relacionados con la especialidad de cada Conferencia y Asamblea (por ejemplo desarrollo, normalización o radiocomunicaciones) se propongan/sometan, discutan y adopten en la misma </w:t>
      </w:r>
      <w:bookmarkStart w:id="10" w:name="_GoBack"/>
      <w:bookmarkEnd w:id="10"/>
      <w:r w:rsidR="009579EA" w:rsidRPr="00AE2992">
        <w:rPr>
          <w:lang w:val="es-ES_tradnl"/>
        </w:rPr>
        <w:t>Conferencia</w:t>
      </w:r>
      <w:r w:rsidRPr="00AE2992">
        <w:rPr>
          <w:lang w:val="es-ES_tradnl"/>
        </w:rPr>
        <w:t>;</w:t>
      </w:r>
    </w:p>
    <w:p w:rsidR="004635B2" w:rsidRPr="00AE2992" w:rsidRDefault="004635B2" w:rsidP="00E223B2">
      <w:pPr>
        <w:pStyle w:val="enumlev1"/>
        <w:rPr>
          <w:szCs w:val="24"/>
          <w:lang w:val="es-ES_tradnl"/>
        </w:rPr>
      </w:pPr>
      <w:r w:rsidRPr="00AE2992">
        <w:rPr>
          <w:szCs w:val="24"/>
          <w:lang w:val="es-ES_tradnl"/>
        </w:rPr>
        <w:t>2</w:t>
      </w:r>
      <w:r w:rsidRPr="00AE2992">
        <w:rPr>
          <w:szCs w:val="24"/>
          <w:lang w:val="es-ES_tradnl"/>
        </w:rPr>
        <w:tab/>
      </w:r>
      <w:r w:rsidR="00E223B2" w:rsidRPr="00AE2992">
        <w:rPr>
          <w:szCs w:val="24"/>
          <w:lang w:val="es-ES_tradnl"/>
        </w:rPr>
        <w:t xml:space="preserve">que </w:t>
      </w:r>
      <w:r w:rsidRPr="00AE2992">
        <w:rPr>
          <w:szCs w:val="24"/>
          <w:lang w:val="es-ES_tradnl"/>
        </w:rPr>
        <w:t>la UIT examine los resultados de las Conferencias y Asambleas de la UIT y facilite los temas de interés común identificando los recursos necesarios, el presupuesto y la posibilidad de definir programas de trabajo.</w:t>
      </w:r>
    </w:p>
    <w:p w:rsidR="00E223B2" w:rsidRPr="00AE2992" w:rsidRDefault="00E223B2" w:rsidP="0032202E">
      <w:pPr>
        <w:pStyle w:val="Reasons"/>
        <w:rPr>
          <w:lang w:val="es-ES_tradnl"/>
        </w:rPr>
      </w:pPr>
    </w:p>
    <w:p w:rsidR="00E223B2" w:rsidRPr="00AE2992" w:rsidRDefault="00E223B2">
      <w:pPr>
        <w:jc w:val="center"/>
        <w:rPr>
          <w:lang w:val="es-ES_tradnl"/>
        </w:rPr>
      </w:pPr>
      <w:r w:rsidRPr="00AE2992">
        <w:rPr>
          <w:lang w:val="es-ES_tradnl"/>
        </w:rPr>
        <w:t>______________</w:t>
      </w:r>
    </w:p>
    <w:sectPr w:rsidR="00E223B2" w:rsidRPr="00AE2992"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7E9" w:rsidRDefault="003037E9">
      <w:r>
        <w:separator/>
      </w:r>
    </w:p>
  </w:endnote>
  <w:endnote w:type="continuationSeparator" w:id="0">
    <w:p w:rsidR="003037E9" w:rsidRDefault="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223B2" w:rsidRDefault="00E223B2" w:rsidP="00E223B2">
    <w:pPr>
      <w:pStyle w:val="Footer"/>
      <w:rPr>
        <w:lang w:val="fr-CH"/>
      </w:rPr>
    </w:pPr>
    <w:r>
      <w:fldChar w:fldCharType="begin"/>
    </w:r>
    <w:r w:rsidRPr="00E223B2">
      <w:rPr>
        <w:lang w:val="fr-CH"/>
      </w:rPr>
      <w:instrText xml:space="preserve"> FILENAME \p  \* MERGEFORMAT </w:instrText>
    </w:r>
    <w:r>
      <w:fldChar w:fldCharType="separate"/>
    </w:r>
    <w:r w:rsidR="009579EA">
      <w:rPr>
        <w:lang w:val="fr-CH"/>
      </w:rPr>
      <w:t>P:\ESP\SG\CONSEIL\C18\000\098S.docx</w:t>
    </w:r>
    <w:r>
      <w:fldChar w:fldCharType="end"/>
    </w:r>
    <w:r>
      <w:rPr>
        <w:lang w:val="fr-CH"/>
      </w:rPr>
      <w:t xml:space="preserve"> (434515</w:t>
    </w:r>
    <w:r w:rsidRPr="00E223B2">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rsidP="00C1290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7E9" w:rsidRDefault="003037E9">
      <w:r>
        <w:t>____________________</w:t>
      </w:r>
    </w:p>
  </w:footnote>
  <w:footnote w:type="continuationSeparator" w:id="0">
    <w:p w:rsidR="003037E9" w:rsidRDefault="0030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579EA">
      <w:rPr>
        <w:noProof/>
      </w:rPr>
      <w:t>2</w:t>
    </w:r>
    <w:r>
      <w:rPr>
        <w:noProof/>
      </w:rPr>
      <w:fldChar w:fldCharType="end"/>
    </w:r>
  </w:p>
  <w:p w:rsidR="00760F1C" w:rsidRDefault="00760F1C" w:rsidP="004635B2">
    <w:pPr>
      <w:pStyle w:val="Header"/>
    </w:pPr>
    <w:r>
      <w:t>C</w:t>
    </w:r>
    <w:r w:rsidR="007F350B">
      <w:t>1</w:t>
    </w:r>
    <w:r w:rsidR="009F4811">
      <w:t>8</w:t>
    </w:r>
    <w:r>
      <w:t>/</w:t>
    </w:r>
    <w:r w:rsidR="00C1290B">
      <w:t>9</w:t>
    </w:r>
    <w:r w:rsidR="004635B2">
      <w:t>8</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31D81"/>
    <w:multiLevelType w:val="hybridMultilevel"/>
    <w:tmpl w:val="088E7E5E"/>
    <w:lvl w:ilvl="0" w:tplc="990A9694">
      <w:start w:val="1"/>
      <w:numFmt w:val="bullet"/>
      <w:lvlText w:val=""/>
      <w:lvlJc w:val="left"/>
      <w:pPr>
        <w:ind w:left="720" w:hanging="360"/>
      </w:pPr>
      <w:rPr>
        <w:rFonts w:ascii="Symbol" w:hAnsi="Symbol" w:hint="default"/>
      </w:rPr>
    </w:lvl>
    <w:lvl w:ilvl="1" w:tplc="5902057C" w:tentative="1">
      <w:start w:val="1"/>
      <w:numFmt w:val="bullet"/>
      <w:lvlText w:val="o"/>
      <w:lvlJc w:val="left"/>
      <w:pPr>
        <w:ind w:left="1440" w:hanging="360"/>
      </w:pPr>
      <w:rPr>
        <w:rFonts w:ascii="Courier New" w:hAnsi="Courier New" w:cs="Courier New" w:hint="default"/>
      </w:rPr>
    </w:lvl>
    <w:lvl w:ilvl="2" w:tplc="E1BCA242" w:tentative="1">
      <w:start w:val="1"/>
      <w:numFmt w:val="bullet"/>
      <w:lvlText w:val=""/>
      <w:lvlJc w:val="left"/>
      <w:pPr>
        <w:ind w:left="2160" w:hanging="360"/>
      </w:pPr>
      <w:rPr>
        <w:rFonts w:ascii="Wingdings" w:hAnsi="Wingdings" w:hint="default"/>
      </w:rPr>
    </w:lvl>
    <w:lvl w:ilvl="3" w:tplc="2BFCF0C6" w:tentative="1">
      <w:start w:val="1"/>
      <w:numFmt w:val="bullet"/>
      <w:lvlText w:val=""/>
      <w:lvlJc w:val="left"/>
      <w:pPr>
        <w:ind w:left="2880" w:hanging="360"/>
      </w:pPr>
      <w:rPr>
        <w:rFonts w:ascii="Symbol" w:hAnsi="Symbol" w:hint="default"/>
      </w:rPr>
    </w:lvl>
    <w:lvl w:ilvl="4" w:tplc="6ADCEA82" w:tentative="1">
      <w:start w:val="1"/>
      <w:numFmt w:val="bullet"/>
      <w:lvlText w:val="o"/>
      <w:lvlJc w:val="left"/>
      <w:pPr>
        <w:ind w:left="3600" w:hanging="360"/>
      </w:pPr>
      <w:rPr>
        <w:rFonts w:ascii="Courier New" w:hAnsi="Courier New" w:cs="Courier New" w:hint="default"/>
      </w:rPr>
    </w:lvl>
    <w:lvl w:ilvl="5" w:tplc="11BE10E8" w:tentative="1">
      <w:start w:val="1"/>
      <w:numFmt w:val="bullet"/>
      <w:lvlText w:val=""/>
      <w:lvlJc w:val="left"/>
      <w:pPr>
        <w:ind w:left="4320" w:hanging="360"/>
      </w:pPr>
      <w:rPr>
        <w:rFonts w:ascii="Wingdings" w:hAnsi="Wingdings" w:hint="default"/>
      </w:rPr>
    </w:lvl>
    <w:lvl w:ilvl="6" w:tplc="E8E2D71E" w:tentative="1">
      <w:start w:val="1"/>
      <w:numFmt w:val="bullet"/>
      <w:lvlText w:val=""/>
      <w:lvlJc w:val="left"/>
      <w:pPr>
        <w:ind w:left="5040" w:hanging="360"/>
      </w:pPr>
      <w:rPr>
        <w:rFonts w:ascii="Symbol" w:hAnsi="Symbol" w:hint="default"/>
      </w:rPr>
    </w:lvl>
    <w:lvl w:ilvl="7" w:tplc="516C14E0" w:tentative="1">
      <w:start w:val="1"/>
      <w:numFmt w:val="bullet"/>
      <w:lvlText w:val="o"/>
      <w:lvlJc w:val="left"/>
      <w:pPr>
        <w:ind w:left="5760" w:hanging="360"/>
      </w:pPr>
      <w:rPr>
        <w:rFonts w:ascii="Courier New" w:hAnsi="Courier New" w:cs="Courier New" w:hint="default"/>
      </w:rPr>
    </w:lvl>
    <w:lvl w:ilvl="8" w:tplc="5A54BAFA" w:tentative="1">
      <w:start w:val="1"/>
      <w:numFmt w:val="bullet"/>
      <w:lvlText w:val=""/>
      <w:lvlJc w:val="left"/>
      <w:pPr>
        <w:ind w:left="6480" w:hanging="360"/>
      </w:pPr>
      <w:rPr>
        <w:rFonts w:ascii="Wingdings" w:hAnsi="Wingdings" w:hint="default"/>
      </w:rPr>
    </w:lvl>
  </w:abstractNum>
  <w:abstractNum w:abstractNumId="1" w15:restartNumberingAfterBreak="0">
    <w:nsid w:val="29462D6D"/>
    <w:multiLevelType w:val="hybridMultilevel"/>
    <w:tmpl w:val="7E782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81E1A"/>
    <w:multiLevelType w:val="hybridMultilevel"/>
    <w:tmpl w:val="E5DC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30B85"/>
    <w:multiLevelType w:val="hybridMultilevel"/>
    <w:tmpl w:val="43D46A2C"/>
    <w:lvl w:ilvl="0" w:tplc="46C0A13C">
      <w:start w:val="1"/>
      <w:numFmt w:val="bullet"/>
      <w:lvlText w:val=""/>
      <w:lvlJc w:val="left"/>
      <w:pPr>
        <w:ind w:left="720" w:hanging="360"/>
      </w:pPr>
      <w:rPr>
        <w:rFonts w:ascii="Symbol" w:hAnsi="Symbol" w:hint="default"/>
      </w:rPr>
    </w:lvl>
    <w:lvl w:ilvl="1" w:tplc="00029630" w:tentative="1">
      <w:start w:val="1"/>
      <w:numFmt w:val="bullet"/>
      <w:lvlText w:val="o"/>
      <w:lvlJc w:val="left"/>
      <w:pPr>
        <w:ind w:left="1440" w:hanging="360"/>
      </w:pPr>
      <w:rPr>
        <w:rFonts w:ascii="Courier New" w:hAnsi="Courier New" w:cs="Courier New" w:hint="default"/>
      </w:rPr>
    </w:lvl>
    <w:lvl w:ilvl="2" w:tplc="4EEC34B2" w:tentative="1">
      <w:start w:val="1"/>
      <w:numFmt w:val="bullet"/>
      <w:lvlText w:val=""/>
      <w:lvlJc w:val="left"/>
      <w:pPr>
        <w:ind w:left="2160" w:hanging="360"/>
      </w:pPr>
      <w:rPr>
        <w:rFonts w:ascii="Wingdings" w:hAnsi="Wingdings" w:hint="default"/>
      </w:rPr>
    </w:lvl>
    <w:lvl w:ilvl="3" w:tplc="E5FE0154" w:tentative="1">
      <w:start w:val="1"/>
      <w:numFmt w:val="bullet"/>
      <w:lvlText w:val=""/>
      <w:lvlJc w:val="left"/>
      <w:pPr>
        <w:ind w:left="2880" w:hanging="360"/>
      </w:pPr>
      <w:rPr>
        <w:rFonts w:ascii="Symbol" w:hAnsi="Symbol" w:hint="default"/>
      </w:rPr>
    </w:lvl>
    <w:lvl w:ilvl="4" w:tplc="3970EDE0" w:tentative="1">
      <w:start w:val="1"/>
      <w:numFmt w:val="bullet"/>
      <w:lvlText w:val="o"/>
      <w:lvlJc w:val="left"/>
      <w:pPr>
        <w:ind w:left="3600" w:hanging="360"/>
      </w:pPr>
      <w:rPr>
        <w:rFonts w:ascii="Courier New" w:hAnsi="Courier New" w:cs="Courier New" w:hint="default"/>
      </w:rPr>
    </w:lvl>
    <w:lvl w:ilvl="5" w:tplc="39E688B4" w:tentative="1">
      <w:start w:val="1"/>
      <w:numFmt w:val="bullet"/>
      <w:lvlText w:val=""/>
      <w:lvlJc w:val="left"/>
      <w:pPr>
        <w:ind w:left="4320" w:hanging="360"/>
      </w:pPr>
      <w:rPr>
        <w:rFonts w:ascii="Wingdings" w:hAnsi="Wingdings" w:hint="default"/>
      </w:rPr>
    </w:lvl>
    <w:lvl w:ilvl="6" w:tplc="EA242F6E" w:tentative="1">
      <w:start w:val="1"/>
      <w:numFmt w:val="bullet"/>
      <w:lvlText w:val=""/>
      <w:lvlJc w:val="left"/>
      <w:pPr>
        <w:ind w:left="5040" w:hanging="360"/>
      </w:pPr>
      <w:rPr>
        <w:rFonts w:ascii="Symbol" w:hAnsi="Symbol" w:hint="default"/>
      </w:rPr>
    </w:lvl>
    <w:lvl w:ilvl="7" w:tplc="E33C3524" w:tentative="1">
      <w:start w:val="1"/>
      <w:numFmt w:val="bullet"/>
      <w:lvlText w:val="o"/>
      <w:lvlJc w:val="left"/>
      <w:pPr>
        <w:ind w:left="5760" w:hanging="360"/>
      </w:pPr>
      <w:rPr>
        <w:rFonts w:ascii="Courier New" w:hAnsi="Courier New" w:cs="Courier New" w:hint="default"/>
      </w:rPr>
    </w:lvl>
    <w:lvl w:ilvl="8" w:tplc="12941658" w:tentative="1">
      <w:start w:val="1"/>
      <w:numFmt w:val="bullet"/>
      <w:lvlText w:val=""/>
      <w:lvlJc w:val="left"/>
      <w:pPr>
        <w:ind w:left="6480" w:hanging="360"/>
      </w:pPr>
      <w:rPr>
        <w:rFonts w:ascii="Wingdings" w:hAnsi="Wingdings" w:hint="default"/>
      </w:rPr>
    </w:lvl>
  </w:abstractNum>
  <w:abstractNum w:abstractNumId="4" w15:restartNumberingAfterBreak="0">
    <w:nsid w:val="5D264173"/>
    <w:multiLevelType w:val="hybridMultilevel"/>
    <w:tmpl w:val="4AD67866"/>
    <w:lvl w:ilvl="0" w:tplc="8E6E8C60">
      <w:start w:val="1"/>
      <w:numFmt w:val="bullet"/>
      <w:lvlText w:val=""/>
      <w:lvlJc w:val="left"/>
      <w:pPr>
        <w:ind w:left="720" w:hanging="360"/>
      </w:pPr>
      <w:rPr>
        <w:rFonts w:ascii="Symbol" w:hAnsi="Symbol" w:hint="default"/>
      </w:rPr>
    </w:lvl>
    <w:lvl w:ilvl="1" w:tplc="E438FED6" w:tentative="1">
      <w:start w:val="1"/>
      <w:numFmt w:val="bullet"/>
      <w:lvlText w:val="o"/>
      <w:lvlJc w:val="left"/>
      <w:pPr>
        <w:ind w:left="1440" w:hanging="360"/>
      </w:pPr>
      <w:rPr>
        <w:rFonts w:ascii="Courier New" w:hAnsi="Courier New" w:hint="default"/>
      </w:rPr>
    </w:lvl>
    <w:lvl w:ilvl="2" w:tplc="20EED3BC" w:tentative="1">
      <w:start w:val="1"/>
      <w:numFmt w:val="bullet"/>
      <w:lvlText w:val=""/>
      <w:lvlJc w:val="left"/>
      <w:pPr>
        <w:ind w:left="2160" w:hanging="360"/>
      </w:pPr>
      <w:rPr>
        <w:rFonts w:ascii="Wingdings" w:hAnsi="Wingdings" w:hint="default"/>
      </w:rPr>
    </w:lvl>
    <w:lvl w:ilvl="3" w:tplc="509CF872" w:tentative="1">
      <w:start w:val="1"/>
      <w:numFmt w:val="bullet"/>
      <w:lvlText w:val=""/>
      <w:lvlJc w:val="left"/>
      <w:pPr>
        <w:ind w:left="2880" w:hanging="360"/>
      </w:pPr>
      <w:rPr>
        <w:rFonts w:ascii="Symbol" w:hAnsi="Symbol" w:hint="default"/>
      </w:rPr>
    </w:lvl>
    <w:lvl w:ilvl="4" w:tplc="F95A960C" w:tentative="1">
      <w:start w:val="1"/>
      <w:numFmt w:val="bullet"/>
      <w:lvlText w:val="o"/>
      <w:lvlJc w:val="left"/>
      <w:pPr>
        <w:ind w:left="3600" w:hanging="360"/>
      </w:pPr>
      <w:rPr>
        <w:rFonts w:ascii="Courier New" w:hAnsi="Courier New" w:hint="default"/>
      </w:rPr>
    </w:lvl>
    <w:lvl w:ilvl="5" w:tplc="B1D4822A" w:tentative="1">
      <w:start w:val="1"/>
      <w:numFmt w:val="bullet"/>
      <w:lvlText w:val=""/>
      <w:lvlJc w:val="left"/>
      <w:pPr>
        <w:ind w:left="4320" w:hanging="360"/>
      </w:pPr>
      <w:rPr>
        <w:rFonts w:ascii="Wingdings" w:hAnsi="Wingdings" w:hint="default"/>
      </w:rPr>
    </w:lvl>
    <w:lvl w:ilvl="6" w:tplc="F452AED6" w:tentative="1">
      <w:start w:val="1"/>
      <w:numFmt w:val="bullet"/>
      <w:lvlText w:val=""/>
      <w:lvlJc w:val="left"/>
      <w:pPr>
        <w:ind w:left="5040" w:hanging="360"/>
      </w:pPr>
      <w:rPr>
        <w:rFonts w:ascii="Symbol" w:hAnsi="Symbol" w:hint="default"/>
      </w:rPr>
    </w:lvl>
    <w:lvl w:ilvl="7" w:tplc="CAF6E2E2" w:tentative="1">
      <w:start w:val="1"/>
      <w:numFmt w:val="bullet"/>
      <w:lvlText w:val="o"/>
      <w:lvlJc w:val="left"/>
      <w:pPr>
        <w:ind w:left="5760" w:hanging="360"/>
      </w:pPr>
      <w:rPr>
        <w:rFonts w:ascii="Courier New" w:hAnsi="Courier New" w:hint="default"/>
      </w:rPr>
    </w:lvl>
    <w:lvl w:ilvl="8" w:tplc="95E60F28" w:tentative="1">
      <w:start w:val="1"/>
      <w:numFmt w:val="bullet"/>
      <w:lvlText w:val=""/>
      <w:lvlJc w:val="left"/>
      <w:pPr>
        <w:ind w:left="6480" w:hanging="360"/>
      </w:pPr>
      <w:rPr>
        <w:rFonts w:ascii="Wingdings" w:hAnsi="Wingdings" w:hint="default"/>
      </w:rPr>
    </w:lvl>
  </w:abstractNum>
  <w:abstractNum w:abstractNumId="5" w15:restartNumberingAfterBreak="0">
    <w:nsid w:val="68D627ED"/>
    <w:multiLevelType w:val="hybridMultilevel"/>
    <w:tmpl w:val="EF9A6C14"/>
    <w:lvl w:ilvl="0" w:tplc="D84C8E46">
      <w:start w:val="1"/>
      <w:numFmt w:val="bullet"/>
      <w:lvlText w:val=""/>
      <w:lvlJc w:val="left"/>
      <w:pPr>
        <w:ind w:left="720" w:hanging="360"/>
      </w:pPr>
      <w:rPr>
        <w:rFonts w:ascii="Symbol" w:hAnsi="Symbol" w:hint="default"/>
      </w:rPr>
    </w:lvl>
    <w:lvl w:ilvl="1" w:tplc="9BBCEA84" w:tentative="1">
      <w:start w:val="1"/>
      <w:numFmt w:val="bullet"/>
      <w:lvlText w:val="o"/>
      <w:lvlJc w:val="left"/>
      <w:pPr>
        <w:ind w:left="1440" w:hanging="360"/>
      </w:pPr>
      <w:rPr>
        <w:rFonts w:ascii="Courier New" w:hAnsi="Courier New" w:cs="Courier New" w:hint="default"/>
      </w:rPr>
    </w:lvl>
    <w:lvl w:ilvl="2" w:tplc="58AC53E8" w:tentative="1">
      <w:start w:val="1"/>
      <w:numFmt w:val="bullet"/>
      <w:lvlText w:val=""/>
      <w:lvlJc w:val="left"/>
      <w:pPr>
        <w:ind w:left="2160" w:hanging="360"/>
      </w:pPr>
      <w:rPr>
        <w:rFonts w:ascii="Wingdings" w:hAnsi="Wingdings" w:hint="default"/>
      </w:rPr>
    </w:lvl>
    <w:lvl w:ilvl="3" w:tplc="6E66C2BE" w:tentative="1">
      <w:start w:val="1"/>
      <w:numFmt w:val="bullet"/>
      <w:lvlText w:val=""/>
      <w:lvlJc w:val="left"/>
      <w:pPr>
        <w:ind w:left="2880" w:hanging="360"/>
      </w:pPr>
      <w:rPr>
        <w:rFonts w:ascii="Symbol" w:hAnsi="Symbol" w:hint="default"/>
      </w:rPr>
    </w:lvl>
    <w:lvl w:ilvl="4" w:tplc="A6381D54" w:tentative="1">
      <w:start w:val="1"/>
      <w:numFmt w:val="bullet"/>
      <w:lvlText w:val="o"/>
      <w:lvlJc w:val="left"/>
      <w:pPr>
        <w:ind w:left="3600" w:hanging="360"/>
      </w:pPr>
      <w:rPr>
        <w:rFonts w:ascii="Courier New" w:hAnsi="Courier New" w:cs="Courier New" w:hint="default"/>
      </w:rPr>
    </w:lvl>
    <w:lvl w:ilvl="5" w:tplc="61FC628E" w:tentative="1">
      <w:start w:val="1"/>
      <w:numFmt w:val="bullet"/>
      <w:lvlText w:val=""/>
      <w:lvlJc w:val="left"/>
      <w:pPr>
        <w:ind w:left="4320" w:hanging="360"/>
      </w:pPr>
      <w:rPr>
        <w:rFonts w:ascii="Wingdings" w:hAnsi="Wingdings" w:hint="default"/>
      </w:rPr>
    </w:lvl>
    <w:lvl w:ilvl="6" w:tplc="3E024E6A" w:tentative="1">
      <w:start w:val="1"/>
      <w:numFmt w:val="bullet"/>
      <w:lvlText w:val=""/>
      <w:lvlJc w:val="left"/>
      <w:pPr>
        <w:ind w:left="5040" w:hanging="360"/>
      </w:pPr>
      <w:rPr>
        <w:rFonts w:ascii="Symbol" w:hAnsi="Symbol" w:hint="default"/>
      </w:rPr>
    </w:lvl>
    <w:lvl w:ilvl="7" w:tplc="B4D4D950" w:tentative="1">
      <w:start w:val="1"/>
      <w:numFmt w:val="bullet"/>
      <w:lvlText w:val="o"/>
      <w:lvlJc w:val="left"/>
      <w:pPr>
        <w:ind w:left="5760" w:hanging="360"/>
      </w:pPr>
      <w:rPr>
        <w:rFonts w:ascii="Courier New" w:hAnsi="Courier New" w:cs="Courier New" w:hint="default"/>
      </w:rPr>
    </w:lvl>
    <w:lvl w:ilvl="8" w:tplc="6786FCBA"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E9"/>
    <w:rsid w:val="00093EEB"/>
    <w:rsid w:val="000B0D00"/>
    <w:rsid w:val="000B7C15"/>
    <w:rsid w:val="000D1D0F"/>
    <w:rsid w:val="000F5290"/>
    <w:rsid w:val="0010165C"/>
    <w:rsid w:val="00146BFB"/>
    <w:rsid w:val="0019586E"/>
    <w:rsid w:val="001E18C4"/>
    <w:rsid w:val="001E73A1"/>
    <w:rsid w:val="001F14A2"/>
    <w:rsid w:val="00261A9E"/>
    <w:rsid w:val="002801AA"/>
    <w:rsid w:val="002B524E"/>
    <w:rsid w:val="002C4676"/>
    <w:rsid w:val="002C70B0"/>
    <w:rsid w:val="002E18D1"/>
    <w:rsid w:val="002F3CC4"/>
    <w:rsid w:val="003037E9"/>
    <w:rsid w:val="00323890"/>
    <w:rsid w:val="004635B2"/>
    <w:rsid w:val="004E30F4"/>
    <w:rsid w:val="00513630"/>
    <w:rsid w:val="00560125"/>
    <w:rsid w:val="00585553"/>
    <w:rsid w:val="005A72C6"/>
    <w:rsid w:val="005B34D9"/>
    <w:rsid w:val="005D0CCF"/>
    <w:rsid w:val="005F3BCB"/>
    <w:rsid w:val="005F410F"/>
    <w:rsid w:val="0060149A"/>
    <w:rsid w:val="00601924"/>
    <w:rsid w:val="006139E0"/>
    <w:rsid w:val="006447EA"/>
    <w:rsid w:val="0064731F"/>
    <w:rsid w:val="006710F6"/>
    <w:rsid w:val="006C1B56"/>
    <w:rsid w:val="006C6743"/>
    <w:rsid w:val="006D4761"/>
    <w:rsid w:val="00726872"/>
    <w:rsid w:val="00760F1C"/>
    <w:rsid w:val="007657F0"/>
    <w:rsid w:val="0077252D"/>
    <w:rsid w:val="007E5DD3"/>
    <w:rsid w:val="007F350B"/>
    <w:rsid w:val="00820BE4"/>
    <w:rsid w:val="008451E8"/>
    <w:rsid w:val="008D4B8B"/>
    <w:rsid w:val="0090505C"/>
    <w:rsid w:val="00913B9C"/>
    <w:rsid w:val="00956E77"/>
    <w:rsid w:val="009579EA"/>
    <w:rsid w:val="009F4811"/>
    <w:rsid w:val="00A57607"/>
    <w:rsid w:val="00A74994"/>
    <w:rsid w:val="00AA390C"/>
    <w:rsid w:val="00AE2992"/>
    <w:rsid w:val="00B0200A"/>
    <w:rsid w:val="00B331DD"/>
    <w:rsid w:val="00B574DB"/>
    <w:rsid w:val="00B826C2"/>
    <w:rsid w:val="00B8298E"/>
    <w:rsid w:val="00BD0723"/>
    <w:rsid w:val="00BD2518"/>
    <w:rsid w:val="00BF1D1C"/>
    <w:rsid w:val="00C1290B"/>
    <w:rsid w:val="00C20C59"/>
    <w:rsid w:val="00C55B1F"/>
    <w:rsid w:val="00CF1A67"/>
    <w:rsid w:val="00D2750E"/>
    <w:rsid w:val="00D62446"/>
    <w:rsid w:val="00D97E3D"/>
    <w:rsid w:val="00DA4EA2"/>
    <w:rsid w:val="00DC3D3E"/>
    <w:rsid w:val="00DE2C90"/>
    <w:rsid w:val="00DE3B24"/>
    <w:rsid w:val="00DE68E4"/>
    <w:rsid w:val="00E06947"/>
    <w:rsid w:val="00E223B2"/>
    <w:rsid w:val="00E3592D"/>
    <w:rsid w:val="00E86CF2"/>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A9836F7-8E2D-4B37-A957-6ED2A54B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05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C1290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C1290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7</TotalTime>
  <Pages>2</Pages>
  <Words>537</Words>
  <Characters>2870</Characters>
  <Application>Microsoft Office Word</Application>
  <DocSecurity>0</DocSecurity>
  <Lines>23</Lines>
  <Paragraphs>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3401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Soriano, Manuel</cp:lastModifiedBy>
  <cp:revision>6</cp:revision>
  <cp:lastPrinted>2018-04-16T09:23:00Z</cp:lastPrinted>
  <dcterms:created xsi:type="dcterms:W3CDTF">2018-04-16T09:19:00Z</dcterms:created>
  <dcterms:modified xsi:type="dcterms:W3CDTF">2018-04-16T09:32:00Z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