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987D16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 w:rsidRPr="00D32FE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D32FE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D32FE4" w:rsidRPr="00D32FE4">
              <w:rPr>
                <w:b/>
                <w:bCs/>
                <w:lang w:bidi="ar-EG"/>
              </w:rPr>
              <w:t>ADM</w:t>
            </w:r>
            <w:r w:rsidR="00987D16">
              <w:rPr>
                <w:b/>
                <w:bCs/>
                <w:lang w:bidi="ar-EG"/>
              </w:rPr>
              <w:t> </w:t>
            </w:r>
            <w:r w:rsidR="00D32FE4" w:rsidRPr="00D32FE4">
              <w:rPr>
                <w:b/>
                <w:bCs/>
                <w:lang w:bidi="ar-EG"/>
              </w:rPr>
              <w:t>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987D16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987D16">
              <w:rPr>
                <w:b/>
                <w:bCs/>
                <w:lang w:bidi="ar-SY"/>
              </w:rPr>
              <w:t>100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97292" w:rsidP="00597292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32FE4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32FE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AD6FD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val="fr-CH" w:bidi="ar-SY"/>
              </w:rPr>
              <w:t>تقرير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AD6FD7" w:rsidP="00AD6FD7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تقرير عن حالة تنفيذ</w:t>
            </w:r>
            <w:r>
              <w:t xml:space="preserve"> </w:t>
            </w:r>
            <w:r>
              <w:rPr>
                <w:rFonts w:hint="cs"/>
                <w:rtl/>
                <w:lang w:val="fr-CH" w:bidi="ar-SY"/>
              </w:rPr>
              <w:t>ال</w:t>
            </w:r>
            <w:r>
              <w:rPr>
                <w:rFonts w:hint="cs"/>
                <w:rtl/>
              </w:rPr>
              <w:t xml:space="preserve">مقررين </w:t>
            </w:r>
            <w:r>
              <w:t>600</w:t>
            </w:r>
            <w:r>
              <w:rPr>
                <w:rFonts w:hint="cs"/>
                <w:rtl/>
                <w:lang w:val="fr-CH" w:bidi="ar-SY"/>
              </w:rPr>
              <w:t xml:space="preserve"> و</w:t>
            </w:r>
            <w:r>
              <w:rPr>
                <w:lang w:bidi="ar-SY"/>
              </w:rPr>
              <w:t>601</w:t>
            </w:r>
            <w:r>
              <w:rPr>
                <w:rFonts w:hint="cs"/>
                <w:rtl/>
                <w:lang w:val="fr-CH" w:bidi="ar-SY"/>
              </w:rPr>
              <w:t xml:space="preserve"> (</w:t>
            </w:r>
            <w:r>
              <w:rPr>
                <w:rFonts w:hint="cs"/>
                <w:rtl/>
                <w:lang w:bidi="ar-SY"/>
              </w:rPr>
              <w:t>الأرقام العالمية للنداء الدولي المجاني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(UIFN)</w:t>
            </w:r>
            <w:r>
              <w:rPr>
                <w:rFonts w:hint="cs"/>
                <w:rtl/>
                <w:lang w:bidi="ar-SY"/>
              </w:rPr>
              <w:t xml:space="preserve"> والجهات المخصصة لأرقام تعرف جهة الإصدار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(IIN)</w:t>
            </w:r>
            <w:r>
              <w:rPr>
                <w:rFonts w:hint="cs"/>
                <w:rtl/>
                <w:lang w:bidi="ar-SY"/>
              </w:rPr>
              <w:t xml:space="preserve">) 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</w:rPr>
              <w:t>الصادرين عن المجلس</w:t>
            </w: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290728" w:rsidTr="00290728">
        <w:trPr>
          <w:jc w:val="center"/>
        </w:trPr>
        <w:tc>
          <w:tcPr>
            <w:tcW w:w="723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D32FE4" w:rsidRDefault="00AD6FD7" w:rsidP="00AD6FD7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val="fr-CH" w:bidi="ar-SY"/>
              </w:rPr>
              <w:t xml:space="preserve">قدمت أمانة الاتحاد الدولي للاتصالات، في يناير </w:t>
            </w:r>
            <w:r>
              <w:rPr>
                <w:lang w:bidi="ar-SY"/>
              </w:rPr>
              <w:t>2018</w:t>
            </w:r>
            <w:r>
              <w:rPr>
                <w:rFonts w:hint="cs"/>
                <w:rtl/>
                <w:lang w:bidi="ar-SY"/>
              </w:rPr>
              <w:t xml:space="preserve">، </w:t>
            </w:r>
            <w:r>
              <w:rPr>
                <w:rFonts w:hint="cs"/>
                <w:rtl/>
                <w:lang w:val="fr-CH" w:bidi="ar-SY"/>
              </w:rPr>
              <w:t xml:space="preserve">إلى فريق العمل التابع للمجلس والمعني بالموارد المالية والبشرية </w:t>
            </w:r>
            <w:r>
              <w:rPr>
                <w:lang w:val="fr-CH" w:bidi="ar-SY"/>
              </w:rPr>
              <w:t>(CWG-FHR)</w:t>
            </w:r>
            <w:r>
              <w:rPr>
                <w:rFonts w:hint="cs"/>
                <w:rtl/>
                <w:lang w:val="fr-CH" w:bidi="ar-SY"/>
              </w:rPr>
              <w:t xml:space="preserve"> تقريراً عن حالة تنفيذ المقررين </w:t>
            </w:r>
            <w:r>
              <w:rPr>
                <w:lang w:bidi="ar-SY"/>
              </w:rPr>
              <w:t>600</w:t>
            </w:r>
            <w:r>
              <w:rPr>
                <w:rFonts w:hint="cs"/>
                <w:rtl/>
                <w:lang w:val="fr-CH" w:bidi="ar-SY"/>
              </w:rPr>
              <w:t xml:space="preserve"> و</w:t>
            </w:r>
            <w:r>
              <w:rPr>
                <w:lang w:bidi="ar-SY"/>
              </w:rPr>
              <w:t>601</w:t>
            </w:r>
            <w:r>
              <w:rPr>
                <w:rFonts w:hint="cs"/>
                <w:rtl/>
                <w:lang w:val="fr-CH" w:bidi="ar-SY"/>
              </w:rPr>
              <w:t xml:space="preserve"> الصادرين عن المجلس. وبناءً على مناقشات الفريق، فإن هذه الوثيقة تورد المقترح الأول:</w:t>
            </w:r>
          </w:p>
          <w:p w:rsidR="00D32FE4" w:rsidRDefault="00D32FE4" w:rsidP="00C3009F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AD6FD7">
              <w:rPr>
                <w:rFonts w:hint="cs"/>
                <w:rtl/>
              </w:rPr>
              <w:t xml:space="preserve">تدعى </w:t>
            </w:r>
            <w:r w:rsidR="00C3009F">
              <w:rPr>
                <w:rFonts w:hint="cs"/>
                <w:rtl/>
              </w:rPr>
              <w:t>الإدارات</w:t>
            </w:r>
            <w:bookmarkStart w:id="1" w:name="_GoBack"/>
            <w:bookmarkEnd w:id="1"/>
            <w:r w:rsidR="00AD6FD7">
              <w:rPr>
                <w:rFonts w:hint="cs"/>
                <w:rtl/>
              </w:rPr>
              <w:t>/الهيئات التنظيمية الوطنية إلى تعيين جهة تنسيق لتقديم قائمة محدّثة لجهات الاتصال الخاصة بمقدمي خدمات الأرقام العالمية للنداء الدولي المجاني</w:t>
            </w:r>
            <w:r w:rsidR="00AD6FD7">
              <w:rPr>
                <w:rFonts w:hint="eastAsia"/>
                <w:rtl/>
              </w:rPr>
              <w:t> </w:t>
            </w:r>
            <w:r w:rsidR="00AD6FD7">
              <w:t>(UIFN)</w:t>
            </w:r>
            <w:r w:rsidR="00AD6FD7">
              <w:rPr>
                <w:rFonts w:hint="cs"/>
                <w:rtl/>
              </w:rPr>
              <w:t xml:space="preserve"> (</w:t>
            </w:r>
            <w:r w:rsidR="00AD6FD7">
              <w:rPr>
                <w:rFonts w:hint="cs"/>
                <w:rtl/>
                <w:lang w:bidi="ar-EG"/>
              </w:rPr>
              <w:t>و</w:t>
            </w:r>
            <w:r w:rsidR="00AD6FD7" w:rsidRPr="00445659">
              <w:rPr>
                <w:rtl/>
                <w:lang w:bidi="ar-EG"/>
              </w:rPr>
              <w:t>كالات</w:t>
            </w:r>
            <w:r w:rsidR="00AD6FD7">
              <w:rPr>
                <w:rFonts w:hint="cs"/>
                <w:rtl/>
                <w:lang w:bidi="ar-EG"/>
              </w:rPr>
              <w:t> </w:t>
            </w:r>
            <w:r w:rsidR="00AD6FD7" w:rsidRPr="00445659">
              <w:rPr>
                <w:rtl/>
                <w:lang w:bidi="ar-EG"/>
              </w:rPr>
              <w:t>التشغيل المسجلة</w:t>
            </w:r>
            <w:r w:rsidR="00AD6FD7">
              <w:rPr>
                <w:rFonts w:hint="cs"/>
                <w:rtl/>
                <w:lang w:bidi="ar-EG"/>
              </w:rPr>
              <w:t> </w:t>
            </w:r>
            <w:r w:rsidR="00AD6FD7">
              <w:rPr>
                <w:lang w:bidi="ar-EG"/>
              </w:rPr>
              <w:t>(ROA)</w:t>
            </w:r>
            <w:r w:rsidR="00AD6FD7">
              <w:rPr>
                <w:rFonts w:hint="cs"/>
                <w:rtl/>
                <w:lang w:bidi="ar-EG"/>
              </w:rPr>
              <w:t xml:space="preserve">) </w:t>
            </w:r>
            <w:r w:rsidR="00AD6FD7">
              <w:rPr>
                <w:rFonts w:hint="cs"/>
                <w:rtl/>
              </w:rPr>
              <w:t>والجهات المخصصة لها أرقام تعرف جهة الإصدار</w:t>
            </w:r>
            <w:r w:rsidR="00AD6FD7">
              <w:rPr>
                <w:rFonts w:hint="eastAsia"/>
                <w:rtl/>
              </w:rPr>
              <w:t> </w:t>
            </w:r>
            <w:r w:rsidR="00AD6FD7">
              <w:t>(IIN)</w:t>
            </w:r>
            <w:r w:rsidR="00AD6FD7">
              <w:rPr>
                <w:rFonts w:hint="cs"/>
                <w:rtl/>
              </w:rPr>
              <w:t>، أو</w:t>
            </w:r>
            <w:r w:rsidR="00AD6FD7">
              <w:rPr>
                <w:rFonts w:hint="eastAsia"/>
                <w:rtl/>
              </w:rPr>
              <w:t> </w:t>
            </w:r>
            <w:r w:rsidR="00AD6FD7">
              <w:rPr>
                <w:rFonts w:hint="cs"/>
                <w:rtl/>
              </w:rPr>
              <w:t>للبحث في وضع هذه القائمة.</w:t>
            </w:r>
          </w:p>
          <w:p w:rsidR="00D32FE4" w:rsidRDefault="00AD6FD7" w:rsidP="00D1545E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وتُنقّح المقترح الثاني المقدم إلى الفريق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CWG-FHR</w:t>
            </w:r>
            <w:r>
              <w:rPr>
                <w:rFonts w:hint="cs"/>
                <w:rtl/>
                <w:lang w:val="fr-CH" w:bidi="ar-SY"/>
              </w:rPr>
              <w:t>:</w:t>
            </w:r>
          </w:p>
          <w:p w:rsidR="00D32FE4" w:rsidRDefault="00D32FE4" w:rsidP="00CA7B6F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A23CC0">
              <w:rPr>
                <w:rFonts w:hint="cs"/>
                <w:rtl/>
              </w:rPr>
              <w:t>بالنسبة للكيانات التي لم يعد للإدارات</w:t>
            </w:r>
            <w:r w:rsidR="00AD6FD7">
              <w:rPr>
                <w:rFonts w:hint="cs"/>
                <w:rtl/>
              </w:rPr>
              <w:t>/الهيئات التنظيمية الوطنية اتصالاً بها والتي لا</w:t>
            </w:r>
            <w:r w:rsidR="00AD6FD7">
              <w:rPr>
                <w:rFonts w:hint="eastAsia"/>
                <w:rtl/>
              </w:rPr>
              <w:t> </w:t>
            </w:r>
            <w:r w:rsidR="00AD6FD7">
              <w:rPr>
                <w:rFonts w:hint="cs"/>
                <w:rtl/>
              </w:rPr>
              <w:t>يمكن أن تجد جهات اتصال جديدة لها بحلول دورة المجلس في عام</w:t>
            </w:r>
            <w:r w:rsidR="00A54E58">
              <w:rPr>
                <w:rFonts w:hint="eastAsia"/>
                <w:rtl/>
              </w:rPr>
              <w:t> </w:t>
            </w:r>
            <w:r w:rsidR="00AD6FD7">
              <w:t>2019</w:t>
            </w:r>
            <w:r w:rsidR="00AD6FD7">
              <w:rPr>
                <w:rFonts w:hint="cs"/>
                <w:rtl/>
                <w:lang w:val="en-GB"/>
              </w:rPr>
              <w:t xml:space="preserve">، سيتم إزالة جميع السجلات ذات الصلة بهذه الكيانات من قاعدة بيانات </w:t>
            </w:r>
            <w:r w:rsidR="004D4F3C">
              <w:rPr>
                <w:rFonts w:hint="cs"/>
                <w:rtl/>
                <w:lang w:val="en-GB"/>
              </w:rPr>
              <w:t>الاتحاد استناداً إلى التأكيدات/</w:t>
            </w:r>
            <w:r w:rsidR="00AD6FD7">
              <w:rPr>
                <w:rFonts w:hint="cs"/>
                <w:rtl/>
                <w:lang w:val="en-GB"/>
              </w:rPr>
              <w:t xml:space="preserve">التبليغات الواردة من </w:t>
            </w:r>
            <w:r w:rsidR="00CA7B6F">
              <w:rPr>
                <w:rFonts w:hint="cs"/>
                <w:rtl/>
              </w:rPr>
              <w:t>الإدارات</w:t>
            </w:r>
            <w:r w:rsidR="004D4F3C">
              <w:rPr>
                <w:rFonts w:hint="cs"/>
                <w:rtl/>
              </w:rPr>
              <w:t>/</w:t>
            </w:r>
            <w:r w:rsidR="00AD6FD7">
              <w:rPr>
                <w:rFonts w:hint="cs"/>
                <w:rtl/>
              </w:rPr>
              <w:t xml:space="preserve">الهيئات التنظيمية </w:t>
            </w:r>
            <w:r w:rsidR="00AD6FD7">
              <w:rPr>
                <w:rFonts w:hint="cs"/>
                <w:rtl/>
                <w:lang w:val="en-GB"/>
              </w:rPr>
              <w:t>الوطنية.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D32FE4" w:rsidRDefault="00AD6FD7" w:rsidP="00AD6FD7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يرجى من المجلس </w:t>
            </w:r>
            <w:r w:rsidRPr="007511E5">
              <w:rPr>
                <w:rFonts w:hint="cs"/>
                <w:b/>
                <w:bCs/>
                <w:rtl/>
                <w:lang w:bidi="ar-SY"/>
              </w:rPr>
              <w:t>الإحاطة علماً</w:t>
            </w:r>
            <w:r>
              <w:rPr>
                <w:rFonts w:hint="cs"/>
                <w:rtl/>
                <w:lang w:bidi="ar-SY"/>
              </w:rPr>
              <w:t xml:space="preserve"> بالمقترح الأول </w:t>
            </w:r>
            <w:r w:rsidRPr="007511E5">
              <w:rPr>
                <w:rFonts w:hint="cs"/>
                <w:b/>
                <w:bCs/>
                <w:rtl/>
                <w:lang w:bidi="ar-SY"/>
              </w:rPr>
              <w:t>والموافقة</w:t>
            </w:r>
            <w:r>
              <w:rPr>
                <w:rFonts w:hint="cs"/>
                <w:rtl/>
                <w:lang w:bidi="ar-SY"/>
              </w:rPr>
              <w:t xml:space="preserve"> على المقترح الثاني المنقح.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C3009F" w:rsidP="00F31772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AD6FD7" w:rsidRPr="00720A57">
                <w:rPr>
                  <w:rStyle w:val="Hyperlink"/>
                  <w:rFonts w:asciiTheme="minorHAnsi" w:hAnsiTheme="minorHAnsi" w:cstheme="majorBidi"/>
                </w:rPr>
                <w:t>C17/133</w:t>
              </w:r>
            </w:hyperlink>
            <w:r w:rsidR="00F31772">
              <w:rPr>
                <w:rFonts w:hint="cs"/>
                <w:color w:val="000000"/>
                <w:rtl/>
              </w:rPr>
              <w:t xml:space="preserve">، </w:t>
            </w:r>
            <w:hyperlink r:id="rId10" w:history="1">
              <w:r w:rsidR="00AD6FD7" w:rsidRPr="00720A57">
                <w:rPr>
                  <w:rStyle w:val="Hyperlink"/>
                  <w:rFonts w:asciiTheme="minorHAnsi" w:hAnsiTheme="minorHAnsi" w:cstheme="majorBidi"/>
                </w:rPr>
                <w:t>C17/134</w:t>
              </w:r>
            </w:hyperlink>
            <w:r w:rsidR="00F31772" w:rsidRPr="00F31772">
              <w:rPr>
                <w:rFonts w:hint="cs"/>
                <w:rtl/>
              </w:rPr>
              <w:t xml:space="preserve">، </w:t>
            </w:r>
            <w:hyperlink r:id="rId11" w:history="1">
              <w:r w:rsidR="00AD6FD7" w:rsidRPr="00720A57">
                <w:rPr>
                  <w:rStyle w:val="Hyperlink"/>
                  <w:rFonts w:asciiTheme="minorHAnsi" w:hAnsiTheme="minorHAnsi"/>
                </w:rPr>
                <w:t>CWG-FHR</w:t>
              </w:r>
              <w:r w:rsidR="00AD6FD7" w:rsidRPr="00720A57">
                <w:rPr>
                  <w:rStyle w:val="Hyperlink"/>
                  <w:rFonts w:asciiTheme="minorHAnsi" w:hAnsiTheme="minorHAnsi"/>
                  <w:szCs w:val="24"/>
                </w:rPr>
                <w:t xml:space="preserve"> 8/18</w:t>
              </w:r>
            </w:hyperlink>
            <w:r w:rsidR="00F31772">
              <w:rPr>
                <w:rFonts w:hint="cs"/>
                <w:rtl/>
              </w:rPr>
              <w:t xml:space="preserve">، </w:t>
            </w:r>
            <w:hyperlink r:id="rId12" w:history="1">
              <w:r w:rsidR="00AD6FD7" w:rsidRPr="00720A57">
                <w:rPr>
                  <w:rStyle w:val="Hyperlink"/>
                  <w:rFonts w:asciiTheme="minorHAnsi" w:hAnsiTheme="minorHAnsi"/>
                </w:rPr>
                <w:t>CWG-FHR</w:t>
              </w:r>
              <w:r w:rsidR="00AD6FD7" w:rsidRPr="00720A57">
                <w:rPr>
                  <w:rStyle w:val="Hyperlink"/>
                  <w:rFonts w:asciiTheme="minorHAnsi" w:hAnsiTheme="minorHAnsi"/>
                  <w:szCs w:val="24"/>
                </w:rPr>
                <w:t xml:space="preserve"> 8/28</w:t>
              </w:r>
            </w:hyperlink>
          </w:p>
        </w:tc>
      </w:tr>
    </w:tbl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AD6FD7" w:rsidRPr="002F62CC" w:rsidRDefault="00AD6FD7" w:rsidP="00BA7547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خلفية</w:t>
      </w:r>
    </w:p>
    <w:p w:rsidR="00AD6FD7" w:rsidRPr="00E774AC" w:rsidRDefault="00AD6FD7" w:rsidP="00030AF9">
      <w:pPr>
        <w:rPr>
          <w:rtl/>
          <w:lang w:val="fr-CH" w:bidi="ar-SY"/>
        </w:rPr>
      </w:pPr>
      <w:r w:rsidRPr="00E774AC">
        <w:rPr>
          <w:rFonts w:hint="cs"/>
          <w:rtl/>
          <w:lang w:bidi="ar-SY"/>
        </w:rPr>
        <w:t xml:space="preserve">عقب موافقة المجلس في دورته لعام </w:t>
      </w:r>
      <w:r w:rsidRPr="00E774AC">
        <w:rPr>
          <w:lang w:bidi="ar-SY"/>
        </w:rPr>
        <w:t>2017</w:t>
      </w:r>
      <w:r w:rsidRPr="00E774AC">
        <w:rPr>
          <w:rFonts w:hint="cs"/>
          <w:rtl/>
          <w:lang w:val="fr-CH" w:bidi="ar-SY"/>
        </w:rPr>
        <w:t xml:space="preserve"> على </w:t>
      </w:r>
      <w:r w:rsidR="00365A01">
        <w:rPr>
          <w:rFonts w:hint="cs"/>
          <w:rtl/>
          <w:lang w:val="fr-CH" w:bidi="ar-SY"/>
        </w:rPr>
        <w:t>المقررين</w:t>
      </w:r>
      <w:r w:rsidRPr="00E774AC">
        <w:rPr>
          <w:rFonts w:hint="cs"/>
          <w:rtl/>
          <w:lang w:val="fr-CH" w:bidi="ar-SY"/>
        </w:rPr>
        <w:t xml:space="preserve"> </w:t>
      </w:r>
      <w:r w:rsidRPr="00E774AC">
        <w:rPr>
          <w:lang w:bidi="ar-SY"/>
        </w:rPr>
        <w:t>600</w:t>
      </w:r>
      <w:r w:rsidRPr="00E774AC">
        <w:rPr>
          <w:rFonts w:hint="cs"/>
          <w:rtl/>
          <w:lang w:val="fr-CH" w:bidi="ar-SY"/>
        </w:rPr>
        <w:t xml:space="preserve"> </w:t>
      </w:r>
      <w:r w:rsidR="007035C8" w:rsidRPr="00E774AC">
        <w:rPr>
          <w:lang w:bidi="ar-SY"/>
        </w:rPr>
        <w:t>(</w:t>
      </w:r>
      <w:hyperlink r:id="rId13" w:history="1">
        <w:r w:rsidR="007035C8" w:rsidRPr="008253EB">
          <w:rPr>
            <w:rStyle w:val="Hyperlink"/>
            <w:lang w:bidi="ar-SY"/>
          </w:rPr>
          <w:t>C17/133</w:t>
        </w:r>
      </w:hyperlink>
      <w:r w:rsidR="007035C8" w:rsidRPr="00E774AC">
        <w:rPr>
          <w:lang w:bidi="ar-SY"/>
        </w:rPr>
        <w:t>)</w:t>
      </w:r>
      <w:r w:rsidR="007035C8">
        <w:rPr>
          <w:rFonts w:hint="cs"/>
          <w:rtl/>
          <w:lang w:bidi="ar-SY"/>
        </w:rPr>
        <w:t xml:space="preserve"> </w:t>
      </w:r>
      <w:r w:rsidRPr="00E774AC">
        <w:rPr>
          <w:rFonts w:hint="cs"/>
          <w:rtl/>
          <w:lang w:val="fr-CH" w:bidi="ar-SY"/>
        </w:rPr>
        <w:t>و</w:t>
      </w:r>
      <w:r w:rsidRPr="00E774AC">
        <w:rPr>
          <w:lang w:bidi="ar-SY"/>
        </w:rPr>
        <w:t>601</w:t>
      </w:r>
      <w:r w:rsidR="007035C8">
        <w:rPr>
          <w:rFonts w:hint="cs"/>
          <w:rtl/>
          <w:lang w:val="fr-CH" w:bidi="ar-EG"/>
        </w:rPr>
        <w:t xml:space="preserve"> </w:t>
      </w:r>
      <w:r w:rsidR="007035C8" w:rsidRPr="00E774AC">
        <w:rPr>
          <w:lang w:bidi="ar-SY"/>
        </w:rPr>
        <w:t>(</w:t>
      </w:r>
      <w:hyperlink r:id="rId14" w:history="1">
        <w:r w:rsidR="007035C8" w:rsidRPr="008253EB">
          <w:rPr>
            <w:rStyle w:val="Hyperlink"/>
            <w:lang w:bidi="ar-SY"/>
          </w:rPr>
          <w:t>C17/134</w:t>
        </w:r>
      </w:hyperlink>
      <w:r w:rsidR="007035C8" w:rsidRPr="00E774AC">
        <w:rPr>
          <w:lang w:bidi="ar-SY"/>
        </w:rPr>
        <w:t>)</w:t>
      </w:r>
      <w:r w:rsidRPr="00E774AC">
        <w:rPr>
          <w:rFonts w:hint="cs"/>
          <w:rtl/>
          <w:lang w:val="fr-CH" w:bidi="ar-SY"/>
        </w:rPr>
        <w:t xml:space="preserve">، </w:t>
      </w:r>
      <w:r>
        <w:rPr>
          <w:rFonts w:hint="cs"/>
          <w:rtl/>
          <w:lang w:val="fr-CH" w:bidi="ar-SY"/>
        </w:rPr>
        <w:t>باشرت أمانة ال</w:t>
      </w:r>
      <w:r>
        <w:rPr>
          <w:rFonts w:hint="cs"/>
          <w:rtl/>
          <w:lang w:val="fr-CH" w:bidi="ar-EG"/>
        </w:rPr>
        <w:t>ا</w:t>
      </w:r>
      <w:r>
        <w:rPr>
          <w:rFonts w:hint="cs"/>
          <w:rtl/>
          <w:lang w:val="fr-CH" w:bidi="ar-SY"/>
        </w:rPr>
        <w:t xml:space="preserve">تحاد </w:t>
      </w:r>
      <w:r w:rsidRPr="00E774AC">
        <w:rPr>
          <w:rFonts w:hint="cs"/>
          <w:rtl/>
          <w:lang w:val="fr-CH" w:bidi="ar-SY"/>
        </w:rPr>
        <w:t xml:space="preserve">عملية تنفيذ هذين </w:t>
      </w:r>
      <w:r w:rsidR="00030AF9">
        <w:rPr>
          <w:rFonts w:hint="cs"/>
          <w:rtl/>
          <w:lang w:val="fr-CH" w:bidi="ar-SY"/>
        </w:rPr>
        <w:t>المقررين</w:t>
      </w:r>
      <w:r w:rsidRPr="00E774AC">
        <w:rPr>
          <w:rFonts w:hint="cs"/>
          <w:rtl/>
          <w:lang w:val="fr-CH" w:bidi="ar-SY"/>
        </w:rPr>
        <w:t xml:space="preserve">. وقد قدمت أمانة الاتحاد </w:t>
      </w:r>
      <w:r>
        <w:rPr>
          <w:rFonts w:hint="cs"/>
          <w:rtl/>
          <w:lang w:val="fr-CH" w:bidi="ar-SY"/>
        </w:rPr>
        <w:t xml:space="preserve">تقريراً عن حالة </w:t>
      </w:r>
      <w:r w:rsidRPr="00E774AC">
        <w:rPr>
          <w:rFonts w:hint="cs"/>
          <w:rtl/>
          <w:lang w:val="fr-CH" w:bidi="ar-SY"/>
        </w:rPr>
        <w:t xml:space="preserve">هذا التنفيذ </w:t>
      </w:r>
      <w:r w:rsidRPr="00E774AC">
        <w:rPr>
          <w:lang w:bidi="ar-SY"/>
        </w:rPr>
        <w:t>(</w:t>
      </w:r>
      <w:hyperlink r:id="rId15" w:history="1">
        <w:r w:rsidRPr="00974F7D">
          <w:rPr>
            <w:rStyle w:val="Hyperlink"/>
            <w:lang w:bidi="ar-SY"/>
          </w:rPr>
          <w:t>CWG-FHR 5/18</w:t>
        </w:r>
      </w:hyperlink>
      <w:r w:rsidRPr="00E774AC">
        <w:rPr>
          <w:lang w:bidi="ar-SY"/>
        </w:rPr>
        <w:t>)</w:t>
      </w:r>
      <w:r w:rsidRPr="00E774AC">
        <w:rPr>
          <w:rFonts w:hint="cs"/>
          <w:rtl/>
          <w:lang w:val="fr-CH" w:bidi="ar-SY"/>
        </w:rPr>
        <w:t xml:space="preserve"> إلى الاجتماع الثامن لفريق العمل التابع للمجلس والمعني بالموارد المالية والبشرية </w:t>
      </w:r>
      <w:r w:rsidRPr="00E774AC">
        <w:rPr>
          <w:lang w:bidi="ar-SY"/>
        </w:rPr>
        <w:t>(CWG-FHR)</w:t>
      </w:r>
      <w:r w:rsidRPr="00E774AC">
        <w:rPr>
          <w:rFonts w:hint="cs"/>
          <w:rtl/>
          <w:lang w:bidi="ar-SY"/>
        </w:rPr>
        <w:t xml:space="preserve"> (</w:t>
      </w:r>
      <w:r w:rsidRPr="00E774AC">
        <w:rPr>
          <w:lang w:bidi="ar-SY"/>
        </w:rPr>
        <w:t>23-22</w:t>
      </w:r>
      <w:r w:rsidRPr="00E774AC">
        <w:rPr>
          <w:rFonts w:hint="cs"/>
          <w:rtl/>
          <w:lang w:val="fr-CH" w:bidi="ar-SY"/>
        </w:rPr>
        <w:t xml:space="preserve"> يناير </w:t>
      </w:r>
      <w:r w:rsidRPr="00E774AC">
        <w:rPr>
          <w:lang w:bidi="ar-SY"/>
        </w:rPr>
        <w:t>2018</w:t>
      </w:r>
      <w:r w:rsidRPr="00E774AC">
        <w:rPr>
          <w:rFonts w:hint="cs"/>
          <w:rtl/>
          <w:lang w:bidi="ar-SY"/>
        </w:rPr>
        <w:t xml:space="preserve">)، </w:t>
      </w:r>
      <w:r>
        <w:rPr>
          <w:rFonts w:hint="cs"/>
          <w:rtl/>
          <w:lang w:val="fr-CH" w:bidi="ar-SY"/>
        </w:rPr>
        <w:t>كما قد</w:t>
      </w:r>
      <w:r w:rsidRPr="00E774AC">
        <w:rPr>
          <w:rFonts w:hint="cs"/>
          <w:rtl/>
          <w:lang w:val="fr-CH" w:bidi="ar-SY"/>
        </w:rPr>
        <w:t>م</w:t>
      </w:r>
      <w:r>
        <w:rPr>
          <w:rFonts w:hint="cs"/>
          <w:rtl/>
          <w:lang w:val="fr-CH" w:bidi="ar-SY"/>
        </w:rPr>
        <w:t>ت</w:t>
      </w:r>
      <w:r w:rsidRPr="00E774AC">
        <w:rPr>
          <w:rFonts w:hint="cs"/>
          <w:rtl/>
          <w:lang w:val="fr-CH" w:bidi="ar-SY"/>
        </w:rPr>
        <w:t xml:space="preserve"> أيضاً بعض الملاحظات واقتراحين اثنين. وتتضمن الوثيقة </w:t>
      </w:r>
      <w:r w:rsidRPr="00E774AC">
        <w:rPr>
          <w:lang w:bidi="ar-SY"/>
        </w:rPr>
        <w:t>(</w:t>
      </w:r>
      <w:hyperlink r:id="rId16" w:history="1">
        <w:r w:rsidRPr="009A2FF0">
          <w:rPr>
            <w:rStyle w:val="Hyperlink"/>
            <w:lang w:bidi="ar-SY"/>
          </w:rPr>
          <w:t>CWG-FHR 8/</w:t>
        </w:r>
        <w:r w:rsidR="00F31772" w:rsidRPr="009A2FF0">
          <w:rPr>
            <w:rStyle w:val="Hyperlink"/>
            <w:lang w:bidi="ar-SY"/>
          </w:rPr>
          <w:t>2</w:t>
        </w:r>
        <w:r w:rsidRPr="009A2FF0">
          <w:rPr>
            <w:rStyle w:val="Hyperlink"/>
            <w:lang w:bidi="ar-SY"/>
          </w:rPr>
          <w:t>8</w:t>
        </w:r>
      </w:hyperlink>
      <w:r w:rsidRPr="00E774AC">
        <w:rPr>
          <w:lang w:bidi="ar-SY"/>
        </w:rPr>
        <w:t>)</w:t>
      </w:r>
      <w:r w:rsidRPr="00E774AC">
        <w:rPr>
          <w:rFonts w:hint="cs"/>
          <w:rtl/>
          <w:lang w:val="fr-CH" w:bidi="ar-SY"/>
        </w:rPr>
        <w:t xml:space="preserve"> ملخص</w:t>
      </w:r>
      <w:r>
        <w:rPr>
          <w:rFonts w:hint="cs"/>
          <w:rtl/>
          <w:lang w:val="fr-CH" w:bidi="ar-SY"/>
        </w:rPr>
        <w:t>اً للم</w:t>
      </w:r>
      <w:r w:rsidRPr="00E774AC">
        <w:rPr>
          <w:rFonts w:hint="cs"/>
          <w:rtl/>
          <w:lang w:val="fr-CH" w:bidi="ar-SY"/>
        </w:rPr>
        <w:t>ناقشات ا</w:t>
      </w:r>
      <w:r w:rsidR="008253EB">
        <w:rPr>
          <w:rFonts w:hint="cs"/>
          <w:rtl/>
          <w:lang w:val="fr-CH" w:bidi="ar-SY"/>
        </w:rPr>
        <w:t>لتي دارت خلال اجتماع فريق العمل.</w:t>
      </w:r>
    </w:p>
    <w:p w:rsidR="00AD6FD7" w:rsidRPr="00295D68" w:rsidRDefault="00AD6FD7" w:rsidP="009A2FF0">
      <w:pPr>
        <w:pStyle w:val="Heading1"/>
        <w:rPr>
          <w:rtl/>
          <w:lang w:val="en-GB"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 w:rsidRPr="009A2FF0">
        <w:rPr>
          <w:rFonts w:hint="cs"/>
          <w:spacing w:val="-4"/>
          <w:rtl/>
          <w:lang w:bidi="ar-EG"/>
        </w:rPr>
        <w:t xml:space="preserve">حالة </w:t>
      </w:r>
      <w:r w:rsidRPr="009A2FF0">
        <w:rPr>
          <w:rFonts w:hint="cs"/>
          <w:spacing w:val="-4"/>
          <w:rtl/>
          <w:lang w:val="fr-CH" w:bidi="ar-SY"/>
        </w:rPr>
        <w:t>جهات الاتصال</w:t>
      </w:r>
      <w:r w:rsidRPr="009A2FF0">
        <w:rPr>
          <w:rFonts w:hint="cs"/>
          <w:spacing w:val="-4"/>
          <w:rtl/>
          <w:lang w:bidi="ar-EG"/>
        </w:rPr>
        <w:t xml:space="preserve"> الخاصة بمقدمي </w:t>
      </w:r>
      <w:r w:rsidRPr="009A2FF0">
        <w:rPr>
          <w:rFonts w:hint="cs"/>
          <w:spacing w:val="-4"/>
          <w:rtl/>
          <w:lang w:bidi="ar-SY"/>
        </w:rPr>
        <w:t>خدمات الأرقام العالمية للنداء الدولي المجاني</w:t>
      </w:r>
      <w:r w:rsidR="009A2FF0" w:rsidRPr="009A2FF0">
        <w:rPr>
          <w:rFonts w:hint="eastAsia"/>
          <w:spacing w:val="-4"/>
          <w:rtl/>
          <w:lang w:bidi="ar-SY"/>
        </w:rPr>
        <w:t> </w:t>
      </w:r>
      <w:r w:rsidRPr="009A2FF0">
        <w:rPr>
          <w:spacing w:val="-4"/>
          <w:lang w:bidi="ar-SY"/>
        </w:rPr>
        <w:t>(UIFN)</w:t>
      </w:r>
      <w:r>
        <w:rPr>
          <w:rFonts w:hint="cs"/>
          <w:rtl/>
          <w:lang w:bidi="ar-SY"/>
        </w:rPr>
        <w:t xml:space="preserve"> والجهات المخصصة </w:t>
      </w:r>
      <w:r w:rsidR="008253EB">
        <w:rPr>
          <w:rFonts w:hint="cs"/>
          <w:rtl/>
          <w:lang w:bidi="ar-SY"/>
        </w:rPr>
        <w:t>لها أرقام تعرف</w:t>
      </w:r>
      <w:r>
        <w:rPr>
          <w:rFonts w:hint="cs"/>
          <w:rtl/>
          <w:lang w:bidi="ar-SY"/>
        </w:rPr>
        <w:t xml:space="preserve"> جهة الإصدار</w:t>
      </w:r>
      <w:r w:rsidR="008253EB">
        <w:rPr>
          <w:rFonts w:hint="cs"/>
          <w:rtl/>
          <w:lang w:bidi="ar-EG"/>
        </w:rPr>
        <w:t> </w:t>
      </w:r>
      <w:r w:rsidR="008253EB">
        <w:rPr>
          <w:lang w:bidi="ar-SY"/>
        </w:rPr>
        <w:t>(IIN)</w:t>
      </w:r>
    </w:p>
    <w:p w:rsidR="00AD6FD7" w:rsidRPr="0065585B" w:rsidRDefault="00AD6FD7" w:rsidP="00F57E41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أطلق مكتب تقييس الاتصالات عملية إبلاغ عن </w:t>
      </w:r>
      <w:r>
        <w:rPr>
          <w:lang w:bidi="ar-EG"/>
        </w:rPr>
        <w:t>166</w:t>
      </w:r>
      <w:r w:rsidR="008253EB">
        <w:rPr>
          <w:rFonts w:hint="cs"/>
          <w:rtl/>
          <w:lang w:bidi="ar-SY"/>
        </w:rPr>
        <w:t xml:space="preserve"> جهة من موردي خدمات</w:t>
      </w:r>
      <w:r>
        <w:rPr>
          <w:rFonts w:hint="cs"/>
          <w:rtl/>
          <w:lang w:bidi="ar-SY"/>
        </w:rPr>
        <w:t xml:space="preserve"> الأرقام العالمية للنداء الدولي المجاني</w:t>
      </w:r>
      <w:r w:rsidR="00F57E41">
        <w:rPr>
          <w:rFonts w:hint="eastAsia"/>
          <w:rtl/>
          <w:lang w:bidi="ar-SY"/>
        </w:rPr>
        <w:t> </w:t>
      </w:r>
      <w:r>
        <w:rPr>
          <w:lang w:bidi="ar-SY"/>
        </w:rPr>
        <w:t>(UIFN)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787</w:t>
      </w:r>
      <w:r w:rsidR="00F57E41">
        <w:rPr>
          <w:rFonts w:hint="eastAsia"/>
          <w:rtl/>
          <w:lang w:val="en-GB" w:bidi="ar-SY"/>
        </w:rPr>
        <w:t> </w:t>
      </w:r>
      <w:r>
        <w:rPr>
          <w:rFonts w:hint="cs"/>
          <w:rtl/>
          <w:lang w:val="en-GB" w:bidi="ar-SY"/>
        </w:rPr>
        <w:t xml:space="preserve">جهة </w:t>
      </w:r>
      <w:r>
        <w:rPr>
          <w:rFonts w:hint="cs"/>
          <w:rtl/>
          <w:lang w:bidi="ar-SY"/>
        </w:rPr>
        <w:t xml:space="preserve">مخصصة </w:t>
      </w:r>
      <w:r w:rsidR="008253EB">
        <w:rPr>
          <w:rFonts w:hint="cs"/>
          <w:rtl/>
          <w:lang w:bidi="ar-SY"/>
        </w:rPr>
        <w:t>لها أرقام تعرف جهة الإصدار</w:t>
      </w:r>
      <w:r>
        <w:rPr>
          <w:rFonts w:hint="cs"/>
          <w:rtl/>
          <w:lang w:val="en-GB" w:bidi="ar-SY"/>
        </w:rPr>
        <w:t xml:space="preserve"> </w:t>
      </w:r>
      <w:r>
        <w:rPr>
          <w:lang w:bidi="ar-SY"/>
        </w:rPr>
        <w:t>(IIN)</w:t>
      </w:r>
      <w:r>
        <w:rPr>
          <w:rFonts w:hint="cs"/>
          <w:rtl/>
          <w:lang w:val="fr-CH" w:bidi="ar-SY"/>
        </w:rPr>
        <w:t xml:space="preserve">. وبدأ العمل </w:t>
      </w:r>
      <w:r w:rsidR="008253EB">
        <w:rPr>
          <w:rFonts w:hint="cs"/>
          <w:rtl/>
          <w:lang w:val="fr-CH" w:bidi="ar-SY"/>
        </w:rPr>
        <w:t>بالأنظمة المحد</w:t>
      </w:r>
      <w:r w:rsidR="00660BA3">
        <w:rPr>
          <w:rFonts w:hint="cs"/>
          <w:rtl/>
          <w:lang w:val="fr-CH" w:bidi="ar-SY"/>
        </w:rPr>
        <w:t>ّ</w:t>
      </w:r>
      <w:r w:rsidR="008253EB">
        <w:rPr>
          <w:rFonts w:hint="cs"/>
          <w:rtl/>
          <w:lang w:val="fr-CH" w:bidi="ar-SY"/>
        </w:rPr>
        <w:t>ثة لتخصيص وتسجيل الأرقام</w:t>
      </w:r>
      <w:r>
        <w:rPr>
          <w:rFonts w:hint="cs"/>
          <w:rtl/>
          <w:lang w:val="fr-CH" w:bidi="ar-SY"/>
        </w:rPr>
        <w:t xml:space="preserve"> </w:t>
      </w:r>
      <w:r w:rsidR="008253EB">
        <w:rPr>
          <w:lang w:bidi="ar-SY"/>
        </w:rPr>
        <w:t>UIFN</w:t>
      </w:r>
      <w:r w:rsidR="00F57E41">
        <w:rPr>
          <w:rFonts w:hint="eastAsia"/>
          <w:rtl/>
          <w:lang w:bidi="ar-EG"/>
        </w:rPr>
        <w:t> </w:t>
      </w:r>
      <w:r w:rsidR="008253EB">
        <w:rPr>
          <w:rFonts w:hint="cs"/>
          <w:rtl/>
          <w:lang w:bidi="ar-EG"/>
        </w:rPr>
        <w:t>و</w:t>
      </w:r>
      <w:r w:rsidR="008253EB">
        <w:rPr>
          <w:lang w:bidi="ar-EG"/>
        </w:rPr>
        <w:t>IIN</w:t>
      </w:r>
      <w:r w:rsidR="008253EB"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val="fr-CH" w:bidi="ar-SY"/>
        </w:rPr>
        <w:t>في</w:t>
      </w:r>
      <w:r w:rsidR="00F57E41">
        <w:rPr>
          <w:rFonts w:hint="eastAsia"/>
          <w:rtl/>
          <w:lang w:val="fr-CH" w:bidi="ar-SY"/>
        </w:rPr>
        <w:t> </w:t>
      </w:r>
      <w:r>
        <w:rPr>
          <w:lang w:bidi="ar-SY"/>
        </w:rPr>
        <w:t>16</w:t>
      </w:r>
      <w:r>
        <w:rPr>
          <w:rFonts w:hint="cs"/>
          <w:rtl/>
          <w:lang w:val="fr-CH" w:bidi="ar-SY"/>
        </w:rPr>
        <w:t xml:space="preserve"> يناير </w:t>
      </w:r>
      <w:r>
        <w:rPr>
          <w:lang w:bidi="ar-SY"/>
        </w:rPr>
        <w:t>2018</w:t>
      </w:r>
      <w:r>
        <w:rPr>
          <w:rFonts w:hint="cs"/>
          <w:rtl/>
          <w:lang w:val="fr-CH" w:bidi="ar-SY"/>
        </w:rPr>
        <w:t xml:space="preserve">. </w:t>
      </w:r>
      <w:r w:rsidR="008253EB">
        <w:rPr>
          <w:rFonts w:hint="cs"/>
          <w:rtl/>
          <w:lang w:val="fr-CH" w:bidi="ar-SY"/>
        </w:rPr>
        <w:t>وفي نهاية</w:t>
      </w:r>
      <w:r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bidi="ar-SY"/>
        </w:rPr>
        <w:t xml:space="preserve">مارس </w:t>
      </w:r>
      <w:r>
        <w:rPr>
          <w:lang w:bidi="ar-SY"/>
        </w:rPr>
        <w:t>2018</w:t>
      </w:r>
      <w:r>
        <w:rPr>
          <w:rFonts w:hint="cs"/>
          <w:rtl/>
          <w:lang w:val="fr-CH" w:bidi="ar-SY"/>
        </w:rPr>
        <w:t xml:space="preserve">، </w:t>
      </w:r>
      <w:r w:rsidR="008253EB">
        <w:rPr>
          <w:rFonts w:hint="cs"/>
          <w:rtl/>
          <w:lang w:val="fr-CH" w:bidi="ar-SY"/>
        </w:rPr>
        <w:t xml:space="preserve">كان قد </w:t>
      </w:r>
      <w:r>
        <w:rPr>
          <w:rFonts w:hint="cs"/>
          <w:rtl/>
          <w:lang w:val="fr-CH" w:bidi="ar-SY"/>
        </w:rPr>
        <w:t xml:space="preserve">تم حجز </w:t>
      </w:r>
      <w:r>
        <w:rPr>
          <w:lang w:bidi="ar-SY"/>
        </w:rPr>
        <w:t>156</w:t>
      </w:r>
      <w:r>
        <w:rPr>
          <w:rFonts w:hint="cs"/>
          <w:rtl/>
          <w:lang w:val="fr-CH" w:bidi="ar-SY"/>
        </w:rPr>
        <w:t xml:space="preserve"> </w:t>
      </w:r>
      <w:r>
        <w:rPr>
          <w:rFonts w:hint="cs"/>
          <w:rtl/>
          <w:lang w:bidi="ar-SY"/>
        </w:rPr>
        <w:t xml:space="preserve">رقماً من الأرقام </w:t>
      </w:r>
      <w:r w:rsidR="008253EB">
        <w:rPr>
          <w:lang w:bidi="ar-SY"/>
        </w:rPr>
        <w:t>UIFN</w:t>
      </w:r>
      <w:r>
        <w:rPr>
          <w:rFonts w:hint="cs"/>
          <w:rtl/>
          <w:lang w:bidi="ar-SY"/>
        </w:rPr>
        <w:t xml:space="preserve"> أو تخصيصها عبر الأنظمة </w:t>
      </w:r>
      <w:r w:rsidR="008253EB">
        <w:rPr>
          <w:rFonts w:hint="cs"/>
          <w:rtl/>
          <w:lang w:bidi="ar-SY"/>
        </w:rPr>
        <w:t>المحد</w:t>
      </w:r>
      <w:r w:rsidR="00660BA3">
        <w:rPr>
          <w:rFonts w:hint="cs"/>
          <w:rtl/>
          <w:lang w:bidi="ar-SY"/>
        </w:rPr>
        <w:t>ّ</w:t>
      </w:r>
      <w:r w:rsidR="008253EB">
        <w:rPr>
          <w:rFonts w:hint="cs"/>
          <w:rtl/>
          <w:lang w:bidi="ar-SY"/>
        </w:rPr>
        <w:t>ثة</w:t>
      </w:r>
      <w:r>
        <w:rPr>
          <w:rFonts w:hint="cs"/>
          <w:rtl/>
          <w:lang w:bidi="ar-SY"/>
        </w:rPr>
        <w:t xml:space="preserve"> باتباع هيكل الرسوم الجديد الذي وافق </w:t>
      </w:r>
      <w:r w:rsidR="002C67A8" w:rsidRPr="002C67A8">
        <w:rPr>
          <w:rFonts w:hint="cs"/>
          <w:rtl/>
          <w:lang w:bidi="ar-SY"/>
        </w:rPr>
        <w:t>عليه</w:t>
      </w:r>
      <w:r>
        <w:rPr>
          <w:rFonts w:hint="cs"/>
          <w:rtl/>
          <w:lang w:bidi="ar-SY"/>
        </w:rPr>
        <w:t xml:space="preserve"> المجلس بموجب المقرر </w:t>
      </w:r>
      <w:r>
        <w:rPr>
          <w:lang w:bidi="ar-SY"/>
        </w:rPr>
        <w:t>600</w:t>
      </w:r>
      <w:r>
        <w:rPr>
          <w:rFonts w:hint="cs"/>
          <w:rtl/>
          <w:lang w:bidi="ar-SY"/>
        </w:rPr>
        <w:t xml:space="preserve">، وسُجلت ستة أرقام </w:t>
      </w:r>
      <w:r w:rsidR="008253EB">
        <w:rPr>
          <w:lang w:bidi="ar-SY"/>
        </w:rPr>
        <w:t>IIN</w:t>
      </w:r>
      <w:r>
        <w:rPr>
          <w:rFonts w:hint="cs"/>
          <w:rtl/>
          <w:lang w:bidi="ar-SY"/>
        </w:rPr>
        <w:t xml:space="preserve"> باتباع هيك</w:t>
      </w:r>
      <w:r w:rsidR="008253EB">
        <w:rPr>
          <w:rFonts w:hint="cs"/>
          <w:rtl/>
          <w:lang w:bidi="ar-SY"/>
        </w:rPr>
        <w:t>ل الرس</w:t>
      </w:r>
      <w:r>
        <w:rPr>
          <w:rFonts w:hint="cs"/>
          <w:rtl/>
          <w:lang w:bidi="ar-SY"/>
        </w:rPr>
        <w:t xml:space="preserve">وم الجديد الذي وافق عليه المجلس بموجب القرار </w:t>
      </w:r>
      <w:r>
        <w:rPr>
          <w:lang w:bidi="ar-SY"/>
        </w:rPr>
        <w:t>601</w:t>
      </w:r>
      <w:r>
        <w:rPr>
          <w:rFonts w:hint="cs"/>
          <w:rtl/>
          <w:lang w:val="fr-CH" w:bidi="ar-SY"/>
        </w:rPr>
        <w:t>.</w:t>
      </w:r>
    </w:p>
    <w:p w:rsidR="00AD6FD7" w:rsidRPr="0065585B" w:rsidRDefault="00AD6FD7" w:rsidP="008253EB">
      <w:pPr>
        <w:rPr>
          <w:lang w:val="fr-CH" w:bidi="ar-SY"/>
        </w:rPr>
      </w:pPr>
      <w:r>
        <w:rPr>
          <w:rFonts w:hint="cs"/>
          <w:rtl/>
          <w:lang w:bidi="ar-SY"/>
        </w:rPr>
        <w:t>وعلاوة</w:t>
      </w:r>
      <w:r w:rsidR="00660BA3">
        <w:rPr>
          <w:rFonts w:hint="cs"/>
          <w:rtl/>
          <w:lang w:bidi="ar-SY"/>
        </w:rPr>
        <w:t>ً</w:t>
      </w:r>
      <w:r>
        <w:rPr>
          <w:rFonts w:hint="cs"/>
          <w:rtl/>
          <w:lang w:bidi="ar-SY"/>
        </w:rPr>
        <w:t xml:space="preserve"> على ذلك، </w:t>
      </w:r>
      <w:r w:rsidR="008253EB">
        <w:rPr>
          <w:rFonts w:hint="cs"/>
          <w:rtl/>
          <w:lang w:bidi="ar-SY"/>
        </w:rPr>
        <w:t>في</w:t>
      </w:r>
      <w:r>
        <w:rPr>
          <w:rFonts w:hint="cs"/>
          <w:rtl/>
          <w:lang w:bidi="ar-SY"/>
        </w:rPr>
        <w:t xml:space="preserve"> مارس </w:t>
      </w:r>
      <w:r>
        <w:rPr>
          <w:lang w:bidi="ar-SY"/>
        </w:rPr>
        <w:t>2018</w:t>
      </w:r>
      <w:r>
        <w:rPr>
          <w:rFonts w:hint="cs"/>
          <w:rtl/>
          <w:lang w:val="fr-CH" w:bidi="ar-SY"/>
        </w:rPr>
        <w:t>، كان الوضع كالآتي:</w:t>
      </w:r>
    </w:p>
    <w:p w:rsidR="00AD6FD7" w:rsidRPr="00F57E41" w:rsidRDefault="00AD6FD7" w:rsidP="00F57E41">
      <w:pPr>
        <w:pStyle w:val="enumlev1"/>
        <w:rPr>
          <w:rtl/>
        </w:rPr>
      </w:pPr>
      <w:r w:rsidRPr="00F57E41">
        <w:t>•</w:t>
      </w:r>
      <w:r w:rsidRPr="00F57E41">
        <w:tab/>
      </w:r>
      <w:r w:rsidRPr="00F57E41">
        <w:rPr>
          <w:rFonts w:hint="cs"/>
          <w:rtl/>
        </w:rPr>
        <w:t xml:space="preserve">الأرقام العالمية للنداء الدولي المجاني </w:t>
      </w:r>
      <w:r w:rsidRPr="00F57E41">
        <w:t>(UIFN)</w:t>
      </w:r>
      <w:r w:rsidRPr="00F57E41">
        <w:rPr>
          <w:rFonts w:hint="cs"/>
          <w:rtl/>
        </w:rPr>
        <w:t xml:space="preserve">: ضمن مجموع </w:t>
      </w:r>
      <w:r w:rsidRPr="00F57E41">
        <w:t>166</w:t>
      </w:r>
      <w:r w:rsidRPr="00F57E41">
        <w:rPr>
          <w:rFonts w:hint="cs"/>
          <w:rtl/>
        </w:rPr>
        <w:t xml:space="preserve"> مقدم</w:t>
      </w:r>
      <w:r w:rsidR="008253EB" w:rsidRPr="00F57E41">
        <w:rPr>
          <w:rFonts w:hint="cs"/>
          <w:rtl/>
        </w:rPr>
        <w:t>اً</w:t>
      </w:r>
      <w:r w:rsidRPr="00F57E41">
        <w:rPr>
          <w:rFonts w:hint="cs"/>
          <w:rtl/>
        </w:rPr>
        <w:t xml:space="preserve"> للخدمة، لا تزال المعلومات بشأن </w:t>
      </w:r>
      <w:r w:rsidRPr="00F57E41">
        <w:t>15</w:t>
      </w:r>
      <w:r w:rsidR="00F57E41" w:rsidRPr="00F57E41">
        <w:rPr>
          <w:rFonts w:hint="eastAsia"/>
          <w:rtl/>
        </w:rPr>
        <w:t> </w:t>
      </w:r>
      <w:r w:rsidRPr="00F57E41">
        <w:rPr>
          <w:rFonts w:hint="cs"/>
          <w:rtl/>
        </w:rPr>
        <w:t>مقدم</w:t>
      </w:r>
      <w:r w:rsidR="008253EB" w:rsidRPr="00F57E41">
        <w:rPr>
          <w:rFonts w:hint="cs"/>
          <w:rtl/>
        </w:rPr>
        <w:t>اً</w:t>
      </w:r>
      <w:r w:rsidRPr="00F57E41">
        <w:rPr>
          <w:rFonts w:hint="cs"/>
          <w:rtl/>
        </w:rPr>
        <w:t xml:space="preserve"> للخدمة قيد البحث (بسبب عدم تحديث معلومات الاتصال</w:t>
      </w:r>
      <w:r w:rsidR="008253EB" w:rsidRPr="00F57E41">
        <w:rPr>
          <w:rFonts w:hint="cs"/>
          <w:rtl/>
        </w:rPr>
        <w:t xml:space="preserve"> مثلاً</w:t>
      </w:r>
      <w:r w:rsidRPr="00F57E41">
        <w:rPr>
          <w:rFonts w:hint="cs"/>
          <w:rtl/>
        </w:rPr>
        <w:t>).</w:t>
      </w:r>
    </w:p>
    <w:p w:rsidR="00AD6FD7" w:rsidRPr="00B61EB1" w:rsidRDefault="00F57E41" w:rsidP="00B61EB1">
      <w:pPr>
        <w:pStyle w:val="enumlev1"/>
        <w:rPr>
          <w:rtl/>
        </w:rPr>
      </w:pPr>
      <w:r w:rsidRPr="00B61EB1">
        <w:t>•</w:t>
      </w:r>
      <w:r w:rsidR="00AD6FD7" w:rsidRPr="00B61EB1">
        <w:tab/>
      </w:r>
      <w:r w:rsidR="00AD6FD7" w:rsidRPr="00B61EB1">
        <w:rPr>
          <w:rFonts w:hint="cs"/>
          <w:rtl/>
        </w:rPr>
        <w:t xml:space="preserve">أرقام </w:t>
      </w:r>
      <w:r w:rsidR="008253EB" w:rsidRPr="00B61EB1">
        <w:rPr>
          <w:rFonts w:hint="cs"/>
          <w:rtl/>
        </w:rPr>
        <w:t>تعرف</w:t>
      </w:r>
      <w:r w:rsidR="00AD6FD7" w:rsidRPr="00B61EB1">
        <w:rPr>
          <w:rFonts w:hint="cs"/>
          <w:rtl/>
        </w:rPr>
        <w:t xml:space="preserve"> جهة الإصدار </w:t>
      </w:r>
      <w:r w:rsidR="00AD6FD7" w:rsidRPr="00B61EB1">
        <w:t>(IIN)</w:t>
      </w:r>
      <w:r w:rsidR="00AD6FD7" w:rsidRPr="00B61EB1">
        <w:rPr>
          <w:rFonts w:hint="cs"/>
          <w:rtl/>
        </w:rPr>
        <w:t xml:space="preserve">: من مجموع </w:t>
      </w:r>
      <w:r w:rsidR="00AD6FD7" w:rsidRPr="00B61EB1">
        <w:t>787</w:t>
      </w:r>
      <w:r w:rsidR="00AD6FD7" w:rsidRPr="00B61EB1">
        <w:rPr>
          <w:rFonts w:hint="cs"/>
          <w:rtl/>
        </w:rPr>
        <w:t xml:space="preserve"> جهة مخصصة</w:t>
      </w:r>
      <w:r w:rsidR="008253EB" w:rsidRPr="00B61EB1">
        <w:rPr>
          <w:rFonts w:hint="cs"/>
          <w:rtl/>
        </w:rPr>
        <w:t xml:space="preserve"> لها الأرقام، لا تعرف عناوين البريد الإ</w:t>
      </w:r>
      <w:r w:rsidR="00AD6FD7" w:rsidRPr="00B61EB1">
        <w:rPr>
          <w:rFonts w:hint="cs"/>
          <w:rtl/>
        </w:rPr>
        <w:t>لكتروني</w:t>
      </w:r>
      <w:r w:rsidRPr="00B61EB1">
        <w:rPr>
          <w:rFonts w:hint="eastAsia"/>
          <w:rtl/>
        </w:rPr>
        <w:t> </w:t>
      </w:r>
      <w:r w:rsidR="00AD6FD7" w:rsidRPr="00B61EB1">
        <w:rPr>
          <w:rFonts w:hint="cs"/>
          <w:rtl/>
        </w:rPr>
        <w:t>لما</w:t>
      </w:r>
      <w:r w:rsidR="008253EB" w:rsidRPr="00B61EB1">
        <w:rPr>
          <w:rFonts w:hint="eastAsia"/>
          <w:rtl/>
        </w:rPr>
        <w:t> </w:t>
      </w:r>
      <w:r w:rsidR="00AD6FD7" w:rsidRPr="00B61EB1">
        <w:rPr>
          <w:rFonts w:hint="cs"/>
          <w:rtl/>
        </w:rPr>
        <w:t>يبلغ عدده</w:t>
      </w:r>
      <w:r w:rsidR="00B61EB1">
        <w:rPr>
          <w:rFonts w:hint="eastAsia"/>
          <w:rtl/>
        </w:rPr>
        <w:t> </w:t>
      </w:r>
      <w:r w:rsidR="00AD6FD7" w:rsidRPr="00B61EB1">
        <w:t>288</w:t>
      </w:r>
      <w:r w:rsidR="00AD6FD7" w:rsidRPr="00B61EB1">
        <w:rPr>
          <w:rFonts w:hint="cs"/>
          <w:rtl/>
        </w:rPr>
        <w:t xml:space="preserve"> جهة، ولم يكن من الممكن تحديث معلومات الاتصال الخاصة بجهات يبلغ عددها</w:t>
      </w:r>
      <w:r w:rsidRPr="00B61EB1">
        <w:rPr>
          <w:rFonts w:hint="eastAsia"/>
          <w:rtl/>
        </w:rPr>
        <w:t> </w:t>
      </w:r>
      <w:r w:rsidR="00AD6FD7" w:rsidRPr="00B61EB1">
        <w:t>142</w:t>
      </w:r>
      <w:r w:rsidR="00AD6FD7" w:rsidRPr="00B61EB1">
        <w:rPr>
          <w:rFonts w:hint="cs"/>
          <w:rtl/>
        </w:rPr>
        <w:t xml:space="preserve"> (ارتداد</w:t>
      </w:r>
      <w:r w:rsidR="00B61EB1">
        <w:rPr>
          <w:rFonts w:hint="cs"/>
          <w:rtl/>
        </w:rPr>
        <w:t xml:space="preserve"> </w:t>
      </w:r>
      <w:r w:rsidR="008253EB" w:rsidRPr="00B61EB1">
        <w:rPr>
          <w:rFonts w:hint="cs"/>
          <w:rtl/>
        </w:rPr>
        <w:t>الرسائل</w:t>
      </w:r>
      <w:r w:rsidRPr="00B61EB1">
        <w:rPr>
          <w:rFonts w:hint="eastAsia"/>
          <w:rtl/>
        </w:rPr>
        <w:t> </w:t>
      </w:r>
      <w:r w:rsidR="008253EB" w:rsidRPr="00B61EB1">
        <w:rPr>
          <w:rFonts w:hint="cs"/>
          <w:rtl/>
        </w:rPr>
        <w:t>الإ</w:t>
      </w:r>
      <w:r w:rsidR="00AD6FD7" w:rsidRPr="00B61EB1">
        <w:rPr>
          <w:rFonts w:hint="cs"/>
          <w:rtl/>
        </w:rPr>
        <w:t>لكترونية)</w:t>
      </w:r>
      <w:r w:rsidR="00525B54">
        <w:rPr>
          <w:rFonts w:hint="cs"/>
          <w:rtl/>
        </w:rPr>
        <w:t>.</w:t>
      </w:r>
    </w:p>
    <w:p w:rsidR="00AD6FD7" w:rsidRDefault="00AD6FD7" w:rsidP="00F57E41">
      <w:pPr>
        <w:pStyle w:val="Heading1"/>
        <w:rPr>
          <w:rtl/>
          <w:lang w:bidi="ar-EG"/>
        </w:rPr>
      </w:pPr>
      <w:r>
        <w:rPr>
          <w:lang w:bidi="ar-SY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المقترح الأول المُقدّم إلى الاجتم</w:t>
      </w:r>
      <w:r w:rsidR="008253EB">
        <w:rPr>
          <w:rFonts w:hint="cs"/>
          <w:rtl/>
          <w:lang w:bidi="ar-EG"/>
        </w:rPr>
        <w:t>اع الثامن لفريق الع</w:t>
      </w:r>
      <w:r>
        <w:rPr>
          <w:rFonts w:hint="cs"/>
          <w:rtl/>
          <w:lang w:bidi="ar-EG"/>
        </w:rPr>
        <w:t>مل التابع للمجلس والمعني بالموارد المالية</w:t>
      </w:r>
      <w:r w:rsidR="00F57E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والبشرية</w:t>
      </w:r>
    </w:p>
    <w:p w:rsidR="00AD6FD7" w:rsidRPr="007922A1" w:rsidRDefault="00AD6FD7" w:rsidP="008253EB">
      <w:pPr>
        <w:rPr>
          <w:rtl/>
          <w:lang w:val="fr-CH" w:bidi="ar-SY"/>
        </w:rPr>
      </w:pPr>
      <w:r>
        <w:rPr>
          <w:rFonts w:hint="cs"/>
          <w:rtl/>
          <w:lang w:bidi="ar-EG"/>
        </w:rPr>
        <w:t>كان المقترح الأول ا</w:t>
      </w:r>
      <w:r w:rsidR="008253EB">
        <w:rPr>
          <w:rFonts w:hint="cs"/>
          <w:rtl/>
          <w:lang w:bidi="ar-EG"/>
        </w:rPr>
        <w:t>لذي قدمته أمانة الاتحاد إلى فريق الع</w:t>
      </w:r>
      <w:r>
        <w:rPr>
          <w:rFonts w:hint="cs"/>
          <w:rtl/>
          <w:lang w:bidi="ar-EG"/>
        </w:rPr>
        <w:t xml:space="preserve">مل التابع للمجلس والمعني بالموارد المالية والبشرية في يناير </w:t>
      </w:r>
      <w:r>
        <w:rPr>
          <w:lang w:bidi="ar-EG"/>
        </w:rPr>
        <w:t>2018</w:t>
      </w:r>
      <w:r>
        <w:rPr>
          <w:rFonts w:hint="cs"/>
          <w:rtl/>
          <w:lang w:val="fr-CH" w:bidi="ar-SY"/>
        </w:rPr>
        <w:t xml:space="preserve"> كالآتي:</w:t>
      </w:r>
    </w:p>
    <w:p w:rsidR="00AD6FD7" w:rsidRDefault="00AD6FD7" w:rsidP="00B3253F">
      <w:pPr>
        <w:tabs>
          <w:tab w:val="clear" w:pos="794"/>
          <w:tab w:val="clear" w:pos="1134"/>
        </w:tabs>
        <w:ind w:left="720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14</w:t>
      </w:r>
      <w:r>
        <w:rPr>
          <w:rtl/>
          <w:lang w:bidi="ar-EG"/>
        </w:rPr>
        <w:tab/>
      </w:r>
      <w:r w:rsidR="0084274E">
        <w:rPr>
          <w:rFonts w:hint="cs"/>
          <w:rtl/>
          <w:lang w:bidi="ar-SY"/>
        </w:rPr>
        <w:t>ت</w:t>
      </w:r>
      <w:r w:rsidR="00C12F87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 xml:space="preserve">دعى </w:t>
      </w:r>
      <w:r w:rsidR="00B3253F">
        <w:rPr>
          <w:rFonts w:hint="cs"/>
          <w:rtl/>
          <w:lang w:bidi="ar-SY"/>
        </w:rPr>
        <w:t>الإدارات</w:t>
      </w:r>
      <w:r>
        <w:rPr>
          <w:rFonts w:hint="cs"/>
          <w:rtl/>
          <w:lang w:bidi="ar-SY"/>
        </w:rPr>
        <w:t xml:space="preserve">/الهيئات التنظيمية الوطنية إلى تعيين جهة تنسيق لتقديم قائمة محدّثة لجهات الاتصال الخاصة بمقدمي خدمات الأرقام العالمية للنداء الدولي المجاني </w:t>
      </w:r>
      <w:r>
        <w:rPr>
          <w:lang w:bidi="ar-SY"/>
        </w:rPr>
        <w:t>(UIFN)</w:t>
      </w:r>
      <w:r>
        <w:rPr>
          <w:rFonts w:hint="cs"/>
          <w:rtl/>
          <w:lang w:bidi="ar-SY"/>
        </w:rPr>
        <w:t xml:space="preserve"> (</w:t>
      </w:r>
      <w:r>
        <w:rPr>
          <w:rFonts w:hint="cs"/>
          <w:rtl/>
          <w:lang w:bidi="ar-EG"/>
        </w:rPr>
        <w:t>و</w:t>
      </w:r>
      <w:r w:rsidRPr="00445659">
        <w:rPr>
          <w:rtl/>
          <w:lang w:bidi="ar-EG"/>
        </w:rPr>
        <w:t>كالات التشغيل المسجلة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(ROA)</w:t>
      </w:r>
      <w:r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SY"/>
        </w:rPr>
        <w:t xml:space="preserve">والجهات المخصصة </w:t>
      </w:r>
      <w:r w:rsidR="008253EB">
        <w:rPr>
          <w:rFonts w:hint="cs"/>
          <w:rtl/>
          <w:lang w:bidi="ar-SY"/>
        </w:rPr>
        <w:t>لها أرقام تعرف</w:t>
      </w:r>
      <w:r>
        <w:rPr>
          <w:rFonts w:hint="cs"/>
          <w:rtl/>
          <w:lang w:bidi="ar-SY"/>
        </w:rPr>
        <w:t xml:space="preserve"> جهة الإصدار </w:t>
      </w:r>
      <w:r>
        <w:rPr>
          <w:lang w:bidi="ar-SY"/>
        </w:rPr>
        <w:t>(IIN)</w:t>
      </w:r>
      <w:r>
        <w:rPr>
          <w:rFonts w:hint="cs"/>
          <w:rtl/>
          <w:lang w:bidi="ar-SY"/>
        </w:rPr>
        <w:t>، أو للبحث في وضع هذه القائمة."</w:t>
      </w:r>
    </w:p>
    <w:p w:rsidR="00AD6FD7" w:rsidRDefault="00AD6FD7" w:rsidP="00C12F8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وقدم تقرير اجتماع الفريق </w:t>
      </w:r>
      <w:r>
        <w:rPr>
          <w:lang w:bidi="ar-EG"/>
        </w:rPr>
        <w:t>CWG-FHR</w:t>
      </w:r>
      <w:r>
        <w:rPr>
          <w:rFonts w:hint="cs"/>
          <w:rtl/>
          <w:lang w:bidi="ar-EG"/>
        </w:rPr>
        <w:t xml:space="preserve"> موجزاً للمناقشات على النحو التالي:</w:t>
      </w:r>
    </w:p>
    <w:p w:rsidR="00AD6FD7" w:rsidRDefault="00AD6FD7" w:rsidP="008A4EAF">
      <w:pPr>
        <w:tabs>
          <w:tab w:val="clear" w:pos="794"/>
          <w:tab w:val="clear" w:pos="1134"/>
          <w:tab w:val="clear" w:pos="1361"/>
          <w:tab w:val="clear" w:pos="1928"/>
          <w:tab w:val="left" w:pos="1417"/>
        </w:tabs>
        <w:ind w:left="708" w:hanging="11"/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13.2</w:t>
      </w:r>
      <w:r>
        <w:rPr>
          <w:rtl/>
          <w:lang w:bidi="ar-EG"/>
        </w:rPr>
        <w:tab/>
      </w:r>
      <w:r w:rsidRPr="00445659">
        <w:rPr>
          <w:rtl/>
          <w:lang w:bidi="ar-EG"/>
        </w:rPr>
        <w:t xml:space="preserve">وفيما يتعلق </w:t>
      </w:r>
      <w:r>
        <w:rPr>
          <w:rFonts w:hint="cs"/>
          <w:rtl/>
          <w:lang w:bidi="ar-EG"/>
        </w:rPr>
        <w:t xml:space="preserve">بالمقترح </w:t>
      </w:r>
      <w:r>
        <w:rPr>
          <w:lang w:val="en-GB" w:bidi="ar-EG"/>
        </w:rPr>
        <w:t>1</w:t>
      </w:r>
      <w:r w:rsidRPr="00445659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تساءل</w:t>
      </w:r>
      <w:r w:rsidRPr="00445659">
        <w:rPr>
          <w:rtl/>
          <w:lang w:bidi="ar-EG"/>
        </w:rPr>
        <w:t xml:space="preserve"> بعض المندوبين عما إذا كان </w:t>
      </w:r>
      <w:r>
        <w:rPr>
          <w:rFonts w:hint="cs"/>
          <w:rtl/>
          <w:lang w:bidi="ar-EG"/>
        </w:rPr>
        <w:t>ثمة</w:t>
      </w:r>
      <w:r w:rsidRPr="00445659">
        <w:rPr>
          <w:rtl/>
          <w:lang w:bidi="ar-EG"/>
        </w:rPr>
        <w:t xml:space="preserve"> عبء إضافي </w:t>
      </w:r>
      <w:r>
        <w:rPr>
          <w:rFonts w:hint="cs"/>
          <w:rtl/>
          <w:lang w:bidi="ar-EG"/>
        </w:rPr>
        <w:t xml:space="preserve">يقع على كاهل </w:t>
      </w:r>
      <w:r w:rsidRPr="00445659">
        <w:rPr>
          <w:rtl/>
          <w:lang w:bidi="ar-EG"/>
        </w:rPr>
        <w:t xml:space="preserve">الدول الأعضاء </w:t>
      </w:r>
      <w:r>
        <w:rPr>
          <w:rFonts w:hint="cs"/>
          <w:rtl/>
          <w:lang w:bidi="ar-EG"/>
        </w:rPr>
        <w:t>جراء المقترح</w:t>
      </w:r>
      <w:r w:rsidRPr="00445659">
        <w:rPr>
          <w:rtl/>
          <w:lang w:bidi="ar-EG"/>
        </w:rPr>
        <w:t xml:space="preserve"> الأول </w:t>
      </w:r>
      <w:r>
        <w:rPr>
          <w:rFonts w:hint="cs"/>
          <w:rtl/>
          <w:lang w:bidi="ar-EG"/>
        </w:rPr>
        <w:t xml:space="preserve">بشأن </w:t>
      </w:r>
      <w:r w:rsidR="008253EB">
        <w:rPr>
          <w:rFonts w:hint="cs"/>
          <w:rtl/>
          <w:lang w:bidi="ar-EG"/>
        </w:rPr>
        <w:t>تجميع وتحديث</w:t>
      </w:r>
      <w:r>
        <w:rPr>
          <w:rFonts w:hint="cs"/>
          <w:rtl/>
          <w:lang w:bidi="ar-EG"/>
        </w:rPr>
        <w:t xml:space="preserve"> قائمة جهات الاتصال</w:t>
      </w:r>
      <w:r w:rsidRPr="00445659">
        <w:rPr>
          <w:rtl/>
          <w:lang w:bidi="ar-EG"/>
        </w:rPr>
        <w:t>.</w:t>
      </w:r>
    </w:p>
    <w:p w:rsidR="00AD6FD7" w:rsidRDefault="00AD6FD7" w:rsidP="00E6185A">
      <w:pPr>
        <w:tabs>
          <w:tab w:val="clear" w:pos="794"/>
          <w:tab w:val="clear" w:pos="1134"/>
          <w:tab w:val="clear" w:pos="1361"/>
          <w:tab w:val="left" w:pos="1417"/>
        </w:tabs>
        <w:ind w:left="720"/>
        <w:rPr>
          <w:rtl/>
          <w:lang w:bidi="ar-EG"/>
        </w:rPr>
      </w:pPr>
      <w:r>
        <w:rPr>
          <w:lang w:bidi="ar-SY"/>
        </w:rPr>
        <w:t>14.2</w:t>
      </w:r>
      <w:r>
        <w:rPr>
          <w:rtl/>
          <w:lang w:bidi="ar-EG"/>
        </w:rPr>
        <w:tab/>
      </w:r>
      <w:r w:rsidRPr="00445659">
        <w:rPr>
          <w:rtl/>
          <w:lang w:bidi="ar-EG"/>
        </w:rPr>
        <w:t>وأوضحت الأمانة أن ذلك كان تذكيرا</w:t>
      </w:r>
      <w:r>
        <w:rPr>
          <w:rFonts w:hint="cs"/>
          <w:rtl/>
          <w:lang w:bidi="ar-EG"/>
        </w:rPr>
        <w:t>ً</w:t>
      </w:r>
      <w:r w:rsidRPr="00445659">
        <w:rPr>
          <w:rtl/>
          <w:lang w:bidi="ar-EG"/>
        </w:rPr>
        <w:t xml:space="preserve"> بالدعوة الموجهة إلى </w:t>
      </w:r>
      <w:r>
        <w:rPr>
          <w:rFonts w:hint="cs"/>
          <w:rtl/>
          <w:lang w:bidi="ar-EG"/>
        </w:rPr>
        <w:t>الدول الأعضاء</w:t>
      </w:r>
      <w:r w:rsidRPr="0044565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للحفاظ على </w:t>
      </w:r>
      <w:r w:rsidRPr="00445659">
        <w:rPr>
          <w:rtl/>
          <w:lang w:bidi="ar-EG"/>
        </w:rPr>
        <w:t>سجل محد</w:t>
      </w:r>
      <w:r>
        <w:rPr>
          <w:rFonts w:hint="cs"/>
          <w:rtl/>
          <w:lang w:bidi="ar-EG"/>
        </w:rPr>
        <w:t>ّ</w:t>
      </w:r>
      <w:r w:rsidRPr="00445659">
        <w:rPr>
          <w:rtl/>
          <w:lang w:bidi="ar-EG"/>
        </w:rPr>
        <w:t>ث لوكالات التشغيل المسجلة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(ROA)</w:t>
      </w:r>
      <w:r w:rsidRPr="00445659">
        <w:rPr>
          <w:rtl/>
          <w:lang w:bidi="ar-EG"/>
        </w:rPr>
        <w:t xml:space="preserve"> </w:t>
      </w:r>
      <w:r w:rsidR="008253EB">
        <w:rPr>
          <w:rFonts w:hint="cs"/>
          <w:rtl/>
          <w:lang w:bidi="ar-EG"/>
        </w:rPr>
        <w:t>في</w:t>
      </w:r>
      <w:r w:rsidRPr="00445659">
        <w:rPr>
          <w:rtl/>
          <w:lang w:bidi="ar-EG"/>
        </w:rPr>
        <w:t xml:space="preserve"> </w:t>
      </w:r>
      <w:r w:rsidR="008253EB">
        <w:rPr>
          <w:rFonts w:hint="cs"/>
          <w:rtl/>
          <w:lang w:bidi="ar-EG"/>
        </w:rPr>
        <w:t>ال</w:t>
      </w:r>
      <w:r w:rsidR="008253EB">
        <w:rPr>
          <w:rtl/>
          <w:lang w:bidi="ar-EG"/>
        </w:rPr>
        <w:t>موقع</w:t>
      </w:r>
      <w:r w:rsidR="008253EB">
        <w:rPr>
          <w:rFonts w:hint="cs"/>
          <w:rtl/>
          <w:lang w:bidi="ar-EG"/>
        </w:rPr>
        <w:t xml:space="preserve"> الإلكتروني</w:t>
      </w:r>
      <w:r w:rsidR="008253EB">
        <w:rPr>
          <w:rtl/>
          <w:lang w:bidi="ar-EG"/>
        </w:rPr>
        <w:t xml:space="preserve"> </w:t>
      </w:r>
      <w:r w:rsidR="008253EB">
        <w:rPr>
          <w:rFonts w:hint="cs"/>
          <w:rtl/>
          <w:lang w:bidi="ar-EG"/>
        </w:rPr>
        <w:t>ل</w:t>
      </w:r>
      <w:r w:rsidRPr="00445659">
        <w:rPr>
          <w:rtl/>
          <w:lang w:bidi="ar-EG"/>
        </w:rPr>
        <w:t>لاتحاد</w:t>
      </w:r>
      <w:r w:rsidR="00F57E41">
        <w:rPr>
          <w:rFonts w:hint="cs"/>
          <w:rtl/>
          <w:lang w:bidi="ar-EG"/>
        </w:rPr>
        <w:t> </w:t>
      </w:r>
      <w:hyperlink r:id="rId17" w:history="1">
        <w:r w:rsidRPr="0072739A">
          <w:rPr>
            <w:rStyle w:val="Hyperlink"/>
          </w:rPr>
          <w:t>https://www.itu.int/en/ITU-T/inr/Pages/roa.aspx</w:t>
        </w:r>
      </w:hyperlink>
      <w:r w:rsidRPr="00E43093">
        <w:rPr>
          <w:rFonts w:hint="cs"/>
          <w:rtl/>
        </w:rPr>
        <w:t>:</w:t>
      </w:r>
    </w:p>
    <w:p w:rsidR="00AD6FD7" w:rsidRDefault="00AD6FD7" w:rsidP="00F31772">
      <w:pPr>
        <w:ind w:left="720"/>
        <w:rPr>
          <w:rtl/>
          <w:lang w:bidi="ar-EG"/>
        </w:rPr>
      </w:pPr>
      <w:r w:rsidRPr="00EA3697">
        <w:rPr>
          <w:rFonts w:hint="cs"/>
          <w:i/>
          <w:iCs/>
          <w:rtl/>
          <w:lang w:bidi="ar-EG"/>
        </w:rPr>
        <w:t xml:space="preserve">تدعى إدارات الدول الأعضاء إلى تبليغ مكتب تقييس الاتصالات، على أساس طوعي، بجميع الكيانات التي منحت صفة وكالة تشغيل معترف بها وفقاً للمادة </w:t>
      </w:r>
      <w:r w:rsidRPr="00EA3697">
        <w:rPr>
          <w:i/>
          <w:iCs/>
          <w:lang w:bidi="ar-EG"/>
        </w:rPr>
        <w:t>6</w:t>
      </w:r>
      <w:r w:rsidRPr="00EA3697">
        <w:rPr>
          <w:rFonts w:hint="cs"/>
          <w:i/>
          <w:iCs/>
          <w:rtl/>
          <w:lang w:bidi="ar-EG"/>
        </w:rPr>
        <w:t xml:space="preserve"> من دستور الاتحاد والرقمين </w:t>
      </w:r>
      <w:r w:rsidRPr="00EA3697">
        <w:rPr>
          <w:i/>
          <w:iCs/>
          <w:lang w:bidi="ar-EG"/>
        </w:rPr>
        <w:t>1007</w:t>
      </w:r>
      <w:r w:rsidRPr="00EA3697">
        <w:rPr>
          <w:rFonts w:hint="cs"/>
          <w:i/>
          <w:iCs/>
          <w:rtl/>
          <w:lang w:bidi="ar-EG"/>
        </w:rPr>
        <w:t xml:space="preserve"> و</w:t>
      </w:r>
      <w:r w:rsidRPr="00EA3697">
        <w:rPr>
          <w:i/>
          <w:iCs/>
          <w:lang w:bidi="ar-EG"/>
        </w:rPr>
        <w:t>1008</w:t>
      </w:r>
      <w:r w:rsidRPr="00EA3697">
        <w:rPr>
          <w:rFonts w:hint="cs"/>
          <w:i/>
          <w:iCs/>
          <w:rtl/>
          <w:lang w:bidi="ar-EG"/>
        </w:rPr>
        <w:t xml:space="preserve"> من الملحق، باستعمال استمارة التبليغ فيما يتعلق ب</w:t>
      </w:r>
      <w:r w:rsidRPr="00EA3697">
        <w:rPr>
          <w:i/>
          <w:iCs/>
          <w:rtl/>
          <w:lang w:bidi="ar-EG"/>
        </w:rPr>
        <w:t xml:space="preserve">وكالات التشغيل </w:t>
      </w:r>
      <w:r w:rsidRPr="00EA3697">
        <w:rPr>
          <w:rFonts w:hint="cs"/>
          <w:i/>
          <w:iCs/>
          <w:rtl/>
          <w:lang w:bidi="ar-EG"/>
        </w:rPr>
        <w:t>المعترف بها</w:t>
      </w:r>
      <w:r>
        <w:rPr>
          <w:rFonts w:hint="eastAsia"/>
          <w:i/>
          <w:iCs/>
          <w:rtl/>
          <w:lang w:bidi="ar-EG"/>
        </w:rPr>
        <w:t> </w:t>
      </w:r>
      <w:r>
        <w:rPr>
          <w:i/>
          <w:iCs/>
          <w:lang w:bidi="ar-EG"/>
        </w:rPr>
        <w:t>(ROA)</w:t>
      </w:r>
      <w:r w:rsidRPr="00EA3697">
        <w:rPr>
          <w:rFonts w:hint="cs"/>
          <w:i/>
          <w:iCs/>
          <w:rtl/>
          <w:lang w:bidi="ar-EG"/>
        </w:rPr>
        <w:t xml:space="preserve">. وبإمكان الإدارات إما أن تقدم قائمة مكتوبة أو أن تشير إلى موقع </w:t>
      </w:r>
      <w:r w:rsidR="00F31772">
        <w:rPr>
          <w:rFonts w:hint="cs"/>
          <w:i/>
          <w:iCs/>
          <w:rtl/>
          <w:lang w:bidi="ar-EG"/>
        </w:rPr>
        <w:t>إلكتروني</w:t>
      </w:r>
      <w:r w:rsidRPr="00EA3697">
        <w:rPr>
          <w:rFonts w:hint="cs"/>
          <w:i/>
          <w:iCs/>
          <w:rtl/>
          <w:lang w:bidi="ar-EG"/>
        </w:rPr>
        <w:t xml:space="preserve"> تتوفر </w:t>
      </w:r>
      <w:r>
        <w:rPr>
          <w:rFonts w:hint="cs"/>
          <w:i/>
          <w:iCs/>
          <w:rtl/>
          <w:lang w:bidi="ar-EG"/>
        </w:rPr>
        <w:t xml:space="preserve">فيه </w:t>
      </w:r>
      <w:r w:rsidRPr="00EA3697">
        <w:rPr>
          <w:rFonts w:hint="cs"/>
          <w:i/>
          <w:iCs/>
          <w:rtl/>
          <w:lang w:bidi="ar-EG"/>
        </w:rPr>
        <w:t>المعلومات.</w:t>
      </w:r>
      <w:r w:rsidR="00F31772">
        <w:rPr>
          <w:rFonts w:hint="cs"/>
          <w:i/>
          <w:iCs/>
          <w:rtl/>
          <w:lang w:bidi="ar-EG"/>
        </w:rPr>
        <w:t>"</w:t>
      </w:r>
    </w:p>
    <w:p w:rsidR="00AD6FD7" w:rsidRDefault="00AD6FD7" w:rsidP="00F57E41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المقترح الثان</w:t>
      </w:r>
      <w:r w:rsidR="00F31772">
        <w:rPr>
          <w:rFonts w:hint="cs"/>
          <w:rtl/>
          <w:lang w:bidi="ar-EG"/>
        </w:rPr>
        <w:t>ي المُقدّم إلى الاجتماع الثامن لفريق الع</w:t>
      </w:r>
      <w:r>
        <w:rPr>
          <w:rFonts w:hint="cs"/>
          <w:rtl/>
          <w:lang w:bidi="ar-EG"/>
        </w:rPr>
        <w:t>مل التابع للمجلس والمعني بالموارد المالية</w:t>
      </w:r>
      <w:r w:rsidR="00F57E4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والبشرية</w:t>
      </w:r>
    </w:p>
    <w:p w:rsidR="00AD6FD7" w:rsidRPr="007922A1" w:rsidRDefault="00AD6FD7" w:rsidP="00F31772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كان المقترح الثاني الذي </w:t>
      </w:r>
      <w:r w:rsidR="00F31772">
        <w:rPr>
          <w:rFonts w:hint="cs"/>
          <w:rtl/>
          <w:lang w:bidi="ar-EG"/>
        </w:rPr>
        <w:t>قدمته أمانة الاتحاد إلى فريق الع</w:t>
      </w:r>
      <w:r>
        <w:rPr>
          <w:rFonts w:hint="cs"/>
          <w:rtl/>
          <w:lang w:bidi="ar-EG"/>
        </w:rPr>
        <w:t xml:space="preserve">مل التابع للمجلس والمعني بالموارد المالية والبشرية في يناير </w:t>
      </w:r>
      <w:r>
        <w:rPr>
          <w:lang w:bidi="ar-EG"/>
        </w:rPr>
        <w:t>2018</w:t>
      </w:r>
      <w:r>
        <w:rPr>
          <w:rFonts w:hint="cs"/>
          <w:rtl/>
          <w:lang w:val="fr-CH" w:bidi="ar-SY"/>
        </w:rPr>
        <w:t xml:space="preserve"> كالآتي:</w:t>
      </w:r>
    </w:p>
    <w:p w:rsidR="00AD6FD7" w:rsidRDefault="00AD6FD7" w:rsidP="00F31772">
      <w:pPr>
        <w:rPr>
          <w:lang w:val="en-GB" w:bidi="ar-SY"/>
        </w:rPr>
      </w:pPr>
      <w:r>
        <w:rPr>
          <w:rFonts w:hint="cs"/>
          <w:rtl/>
          <w:lang w:bidi="ar-EG"/>
        </w:rPr>
        <w:t>"</w:t>
      </w:r>
      <w:r>
        <w:rPr>
          <w:lang w:bidi="ar-EG"/>
        </w:rPr>
        <w:t>15</w:t>
      </w:r>
      <w:r>
        <w:rPr>
          <w:rtl/>
          <w:lang w:bidi="ar-EG"/>
        </w:rPr>
        <w:tab/>
      </w:r>
      <w:r w:rsidR="00543943">
        <w:rPr>
          <w:rFonts w:hint="cs"/>
          <w:rtl/>
          <w:lang w:bidi="ar-EG"/>
        </w:rPr>
        <w:t>يُ</w:t>
      </w:r>
      <w:r>
        <w:rPr>
          <w:rFonts w:hint="cs"/>
          <w:rtl/>
          <w:lang w:bidi="ar-EG"/>
        </w:rPr>
        <w:t xml:space="preserve">قترح </w:t>
      </w:r>
      <w:r>
        <w:rPr>
          <w:rFonts w:hint="cs"/>
          <w:rtl/>
          <w:lang w:bidi="ar-SY"/>
        </w:rPr>
        <w:t xml:space="preserve">بالنسبة للكيانات التي لم يعد </w:t>
      </w:r>
      <w:r w:rsidR="00987D16">
        <w:rPr>
          <w:rFonts w:hint="cs"/>
          <w:spacing w:val="-4"/>
          <w:rtl/>
          <w:lang w:bidi="ar-EG"/>
        </w:rPr>
        <w:t>ل</w:t>
      </w:r>
      <w:r w:rsidRPr="00A7523E">
        <w:rPr>
          <w:spacing w:val="-4"/>
          <w:rtl/>
          <w:lang w:bidi="ar-EG"/>
        </w:rPr>
        <w:t>لإدارات</w:t>
      </w:r>
      <w:r w:rsidRPr="00A7523E">
        <w:rPr>
          <w:rFonts w:hint="cs"/>
          <w:spacing w:val="-4"/>
          <w:rtl/>
          <w:lang w:bidi="ar-EG"/>
        </w:rPr>
        <w:t>/</w:t>
      </w:r>
      <w:r w:rsidRPr="00A7523E">
        <w:rPr>
          <w:spacing w:val="-4"/>
          <w:rtl/>
          <w:lang w:bidi="ar-EG"/>
        </w:rPr>
        <w:t xml:space="preserve">الهيئات التنظيمية </w:t>
      </w:r>
      <w:r>
        <w:rPr>
          <w:rFonts w:hint="cs"/>
          <w:rtl/>
          <w:lang w:bidi="ar-SY"/>
        </w:rPr>
        <w:t xml:space="preserve">الوطنية اتصالاً بها والتي لا يمكن أن تجد جهات اتصال جديدة لها </w:t>
      </w:r>
      <w:r w:rsidR="00F31772">
        <w:rPr>
          <w:rFonts w:hint="cs"/>
          <w:rtl/>
          <w:lang w:bidi="ar-SY"/>
        </w:rPr>
        <w:t xml:space="preserve">قبل </w:t>
      </w:r>
      <w:r w:rsidR="00F31772">
        <w:rPr>
          <w:lang w:bidi="ar-SY"/>
        </w:rPr>
        <w:t>30</w:t>
      </w:r>
      <w:r w:rsidR="00F31772">
        <w:rPr>
          <w:rFonts w:hint="cs"/>
          <w:rtl/>
          <w:lang w:bidi="ar-EG"/>
        </w:rPr>
        <w:t xml:space="preserve"> يونيو </w:t>
      </w:r>
      <w:r w:rsidR="00F31772">
        <w:rPr>
          <w:lang w:bidi="ar-EG"/>
        </w:rPr>
        <w:t>2018</w:t>
      </w:r>
      <w:r>
        <w:rPr>
          <w:rFonts w:hint="cs"/>
          <w:rtl/>
          <w:lang w:val="en-GB" w:bidi="ar-SY"/>
        </w:rPr>
        <w:t xml:space="preserve">، سيتم إزالة جميع السجلات ذات الصلة بهذه الكيانات من قاعدة بيانات الاتحاد استناداً إلى التأكيدات/التبليغات </w:t>
      </w:r>
      <w:r w:rsidR="00F31772">
        <w:rPr>
          <w:rFonts w:hint="cs"/>
          <w:rtl/>
          <w:lang w:val="en-GB" w:bidi="ar-SY"/>
        </w:rPr>
        <w:t>الواردة</w:t>
      </w:r>
      <w:r w:rsidR="00F31772">
        <w:rPr>
          <w:rFonts w:hint="cs"/>
          <w:rtl/>
          <w:lang w:val="en-GB" w:bidi="ar-EG"/>
        </w:rPr>
        <w:t xml:space="preserve"> </w:t>
      </w:r>
      <w:r>
        <w:rPr>
          <w:rFonts w:hint="cs"/>
          <w:rtl/>
          <w:lang w:val="en-GB" w:bidi="ar-SY"/>
        </w:rPr>
        <w:t xml:space="preserve">من </w:t>
      </w:r>
      <w:r w:rsidRPr="00A7523E">
        <w:rPr>
          <w:spacing w:val="-4"/>
          <w:rtl/>
          <w:lang w:bidi="ar-EG"/>
        </w:rPr>
        <w:t>الإدارات</w:t>
      </w:r>
      <w:r w:rsidRPr="00A7523E">
        <w:rPr>
          <w:rFonts w:hint="cs"/>
          <w:spacing w:val="-4"/>
          <w:rtl/>
          <w:lang w:bidi="ar-EG"/>
        </w:rPr>
        <w:t>/</w:t>
      </w:r>
      <w:r w:rsidRPr="00A7523E">
        <w:rPr>
          <w:spacing w:val="-4"/>
          <w:rtl/>
          <w:lang w:bidi="ar-EG"/>
        </w:rPr>
        <w:t xml:space="preserve">الهيئات التنظيمية </w:t>
      </w:r>
      <w:r>
        <w:rPr>
          <w:rFonts w:hint="cs"/>
          <w:rtl/>
          <w:lang w:val="en-GB" w:bidi="ar-SY"/>
        </w:rPr>
        <w:t>الوطنية."</w:t>
      </w:r>
    </w:p>
    <w:p w:rsidR="00AD6FD7" w:rsidRPr="00AE73C4" w:rsidRDefault="00AD6FD7" w:rsidP="00F31772">
      <w:pPr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وقد ورد في تقرير اجتماع ا</w:t>
      </w:r>
      <w:r w:rsidR="00F31772">
        <w:rPr>
          <w:rFonts w:hint="cs"/>
          <w:rtl/>
          <w:lang w:bidi="ar-EG"/>
        </w:rPr>
        <w:t>لفريق</w:t>
      </w:r>
      <w:r>
        <w:rPr>
          <w:rFonts w:hint="cs"/>
          <w:rtl/>
          <w:lang w:bidi="ar-EG"/>
        </w:rPr>
        <w:t xml:space="preserve"> ما يلي:</w:t>
      </w:r>
    </w:p>
    <w:p w:rsidR="00AD6FD7" w:rsidRPr="00E6247A" w:rsidRDefault="00AD6FD7" w:rsidP="008A4EAF">
      <w:pPr>
        <w:tabs>
          <w:tab w:val="clear" w:pos="794"/>
          <w:tab w:val="clear" w:pos="1134"/>
          <w:tab w:val="clear" w:pos="1361"/>
          <w:tab w:val="left" w:pos="1417"/>
        </w:tabs>
        <w:ind w:left="720"/>
        <w:rPr>
          <w:rFonts w:hint="cs"/>
          <w:spacing w:val="4"/>
          <w:rtl/>
          <w:lang w:bidi="ar-EG"/>
        </w:rPr>
      </w:pPr>
      <w:r w:rsidRPr="00E6247A">
        <w:rPr>
          <w:rFonts w:hint="cs"/>
          <w:spacing w:val="4"/>
          <w:rtl/>
          <w:lang w:bidi="ar-EG"/>
        </w:rPr>
        <w:t>"</w:t>
      </w:r>
      <w:r w:rsidRPr="00E6247A">
        <w:rPr>
          <w:spacing w:val="4"/>
          <w:lang w:bidi="ar-EG"/>
        </w:rPr>
        <w:t>15.2</w:t>
      </w:r>
      <w:r w:rsidRPr="00E6247A">
        <w:rPr>
          <w:spacing w:val="4"/>
          <w:rtl/>
          <w:lang w:bidi="ar-EG"/>
        </w:rPr>
        <w:tab/>
      </w:r>
      <w:r w:rsidRPr="00E6247A">
        <w:rPr>
          <w:rFonts w:hint="cs"/>
          <w:spacing w:val="4"/>
          <w:rtl/>
          <w:lang w:bidi="ar-EG"/>
        </w:rPr>
        <w:t xml:space="preserve">وفيما يتعلق بالمقترح </w:t>
      </w:r>
      <w:r w:rsidRPr="00E6247A">
        <w:rPr>
          <w:spacing w:val="4"/>
          <w:lang w:val="en-GB" w:bidi="ar-EG"/>
        </w:rPr>
        <w:t>2</w:t>
      </w:r>
      <w:r w:rsidRPr="00E6247A">
        <w:rPr>
          <w:spacing w:val="4"/>
          <w:rtl/>
          <w:lang w:bidi="ar-EG"/>
        </w:rPr>
        <w:t>، أعرب بعض</w:t>
      </w:r>
      <w:r w:rsidRPr="00E6247A">
        <w:rPr>
          <w:rFonts w:hint="cs"/>
          <w:spacing w:val="4"/>
          <w:rtl/>
          <w:lang w:bidi="ar-SY"/>
        </w:rPr>
        <w:t xml:space="preserve"> الدول الأعضاء عن</w:t>
      </w:r>
      <w:r w:rsidRPr="00E6247A">
        <w:rPr>
          <w:spacing w:val="4"/>
          <w:rtl/>
          <w:lang w:bidi="ar-EG"/>
        </w:rPr>
        <w:t xml:space="preserve"> </w:t>
      </w:r>
      <w:r w:rsidRPr="00E6247A">
        <w:rPr>
          <w:rFonts w:hint="cs"/>
          <w:spacing w:val="4"/>
          <w:rtl/>
          <w:lang w:bidi="ar-EG"/>
        </w:rPr>
        <w:t>ال</w:t>
      </w:r>
      <w:r w:rsidRPr="00E6247A">
        <w:rPr>
          <w:spacing w:val="4"/>
          <w:rtl/>
          <w:lang w:bidi="ar-EG"/>
        </w:rPr>
        <w:t>قلق إزاء الآثار المترتبة على إزالة السجلات من قاعدة بيانات الاتحاد و</w:t>
      </w:r>
      <w:r w:rsidRPr="00E6247A">
        <w:rPr>
          <w:rFonts w:hint="cs"/>
          <w:spacing w:val="4"/>
          <w:rtl/>
          <w:lang w:bidi="ar-SY"/>
        </w:rPr>
        <w:t xml:space="preserve">لأن </w:t>
      </w:r>
      <w:r w:rsidRPr="00E6247A">
        <w:rPr>
          <w:spacing w:val="4"/>
          <w:rtl/>
          <w:lang w:bidi="ar-EG"/>
        </w:rPr>
        <w:t xml:space="preserve">الموعد النهائي </w:t>
      </w:r>
      <w:r w:rsidRPr="00E6247A">
        <w:rPr>
          <w:spacing w:val="4"/>
          <w:lang w:bidi="ar-EG"/>
        </w:rPr>
        <w:t>30</w:t>
      </w:r>
      <w:r w:rsidRPr="00E6247A">
        <w:rPr>
          <w:spacing w:val="4"/>
          <w:rtl/>
          <w:lang w:bidi="ar-EG"/>
        </w:rPr>
        <w:t xml:space="preserve"> يونيو </w:t>
      </w:r>
      <w:r w:rsidRPr="00E6247A">
        <w:rPr>
          <w:spacing w:val="4"/>
          <w:lang w:bidi="ar-EG"/>
        </w:rPr>
        <w:t>2018</w:t>
      </w:r>
      <w:r w:rsidRPr="00E6247A">
        <w:rPr>
          <w:spacing w:val="4"/>
          <w:rtl/>
          <w:lang w:bidi="ar-EG"/>
        </w:rPr>
        <w:t xml:space="preserve"> </w:t>
      </w:r>
      <w:r w:rsidR="00F31772" w:rsidRPr="00E6247A">
        <w:rPr>
          <w:rFonts w:hint="cs"/>
          <w:spacing w:val="4"/>
          <w:rtl/>
          <w:lang w:bidi="ar-EG"/>
        </w:rPr>
        <w:t>قريب</w:t>
      </w:r>
      <w:r w:rsidRPr="00E6247A">
        <w:rPr>
          <w:spacing w:val="4"/>
          <w:rtl/>
          <w:lang w:bidi="ar-EG"/>
        </w:rPr>
        <w:t xml:space="preserve"> جدا</w:t>
      </w:r>
      <w:r w:rsidRPr="00E6247A">
        <w:rPr>
          <w:rFonts w:hint="cs"/>
          <w:spacing w:val="4"/>
          <w:rtl/>
          <w:lang w:bidi="ar-EG"/>
        </w:rPr>
        <w:t>ً</w:t>
      </w:r>
      <w:r w:rsidRPr="00E6247A">
        <w:rPr>
          <w:spacing w:val="4"/>
          <w:rtl/>
          <w:lang w:bidi="ar-EG"/>
        </w:rPr>
        <w:t xml:space="preserve"> </w:t>
      </w:r>
      <w:r w:rsidR="00F31772" w:rsidRPr="00E6247A">
        <w:rPr>
          <w:rFonts w:hint="cs"/>
          <w:spacing w:val="4"/>
          <w:rtl/>
          <w:lang w:bidi="ar-EG"/>
        </w:rPr>
        <w:t xml:space="preserve">بحيث </w:t>
      </w:r>
      <w:r w:rsidRPr="00E6247A">
        <w:rPr>
          <w:rFonts w:hint="cs"/>
          <w:spacing w:val="4"/>
          <w:rtl/>
          <w:lang w:bidi="ar-EG"/>
        </w:rPr>
        <w:t>لا يسمح باتخاذ الإجراءات</w:t>
      </w:r>
      <w:r w:rsidRPr="00E6247A">
        <w:rPr>
          <w:spacing w:val="4"/>
          <w:rtl/>
          <w:lang w:bidi="ar-EG"/>
        </w:rPr>
        <w:t xml:space="preserve"> القانونية </w:t>
      </w:r>
      <w:r w:rsidRPr="00E6247A">
        <w:rPr>
          <w:rFonts w:hint="cs"/>
          <w:spacing w:val="4"/>
          <w:rtl/>
          <w:lang w:bidi="ar-EG"/>
        </w:rPr>
        <w:t xml:space="preserve">اللازمة </w:t>
      </w:r>
      <w:r w:rsidRPr="00E6247A">
        <w:rPr>
          <w:spacing w:val="4"/>
          <w:rtl/>
          <w:lang w:bidi="ar-EG"/>
        </w:rPr>
        <w:t>على المستوى</w:t>
      </w:r>
      <w:r w:rsidR="00F57E41" w:rsidRPr="00E6247A">
        <w:rPr>
          <w:rFonts w:hint="cs"/>
          <w:spacing w:val="4"/>
          <w:rtl/>
          <w:lang w:bidi="ar-EG"/>
        </w:rPr>
        <w:t> </w:t>
      </w:r>
      <w:r w:rsidRPr="00E6247A">
        <w:rPr>
          <w:spacing w:val="4"/>
          <w:rtl/>
          <w:lang w:bidi="ar-EG"/>
        </w:rPr>
        <w:t>الوطني.</w:t>
      </w:r>
    </w:p>
    <w:p w:rsidR="00AD6FD7" w:rsidRPr="00E6247A" w:rsidRDefault="00AD6FD7" w:rsidP="00CE24C0">
      <w:pPr>
        <w:tabs>
          <w:tab w:val="clear" w:pos="1134"/>
          <w:tab w:val="clear" w:pos="1361"/>
          <w:tab w:val="left" w:pos="1417"/>
        </w:tabs>
        <w:ind w:left="720"/>
        <w:rPr>
          <w:spacing w:val="4"/>
          <w:rtl/>
          <w:lang w:val="en-GB" w:bidi="ar-EG"/>
        </w:rPr>
      </w:pPr>
      <w:r w:rsidRPr="00E6247A">
        <w:rPr>
          <w:spacing w:val="4"/>
          <w:lang w:bidi="ar-EG"/>
        </w:rPr>
        <w:t>16.2</w:t>
      </w:r>
      <w:r w:rsidRPr="00E6247A">
        <w:rPr>
          <w:spacing w:val="4"/>
          <w:rtl/>
          <w:lang w:bidi="ar-EG"/>
        </w:rPr>
        <w:tab/>
        <w:t xml:space="preserve">وأوضحت الأمانة أن إزالة السجلات من قاعدة بيانات الاتحاد سوف تحتاج إلى </w:t>
      </w:r>
      <w:r w:rsidRPr="00E6247A">
        <w:rPr>
          <w:rFonts w:hint="cs"/>
          <w:spacing w:val="4"/>
          <w:rtl/>
          <w:lang w:bidi="ar-EG"/>
        </w:rPr>
        <w:t>تبليغات</w:t>
      </w:r>
      <w:r w:rsidRPr="00E6247A">
        <w:rPr>
          <w:spacing w:val="4"/>
          <w:rtl/>
          <w:lang w:bidi="ar-EG"/>
        </w:rPr>
        <w:t xml:space="preserve"> أو تأكيدات من الإدارات</w:t>
      </w:r>
      <w:r w:rsidRPr="00E6247A">
        <w:rPr>
          <w:rFonts w:hint="cs"/>
          <w:spacing w:val="4"/>
          <w:rtl/>
          <w:lang w:bidi="ar-EG"/>
        </w:rPr>
        <w:t>/</w:t>
      </w:r>
      <w:r w:rsidRPr="00E6247A">
        <w:rPr>
          <w:spacing w:val="4"/>
          <w:rtl/>
          <w:lang w:bidi="ar-EG"/>
        </w:rPr>
        <w:t xml:space="preserve">الهيئات التنظيمية الوطنية. وينبغي </w:t>
      </w:r>
      <w:r w:rsidRPr="00E6247A">
        <w:rPr>
          <w:rFonts w:hint="cs"/>
          <w:spacing w:val="4"/>
          <w:rtl/>
          <w:lang w:bidi="ar-EG"/>
        </w:rPr>
        <w:t>إعادة النظر في</w:t>
      </w:r>
      <w:r w:rsidRPr="00E6247A">
        <w:rPr>
          <w:spacing w:val="4"/>
          <w:rtl/>
          <w:lang w:bidi="ar-EG"/>
        </w:rPr>
        <w:t xml:space="preserve"> الموعد النهائي </w:t>
      </w:r>
      <w:r w:rsidRPr="00E6247A">
        <w:rPr>
          <w:spacing w:val="4"/>
          <w:lang w:bidi="ar-EG"/>
        </w:rPr>
        <w:t>30</w:t>
      </w:r>
      <w:r w:rsidRPr="00E6247A">
        <w:rPr>
          <w:spacing w:val="4"/>
          <w:rtl/>
          <w:lang w:bidi="ar-EG"/>
        </w:rPr>
        <w:t xml:space="preserve"> يوني</w:t>
      </w:r>
      <w:r w:rsidRPr="00E6247A">
        <w:rPr>
          <w:rFonts w:hint="cs"/>
          <w:spacing w:val="4"/>
          <w:rtl/>
          <w:lang w:bidi="ar-EG"/>
        </w:rPr>
        <w:t>و</w:t>
      </w:r>
      <w:r w:rsidRPr="00E6247A">
        <w:rPr>
          <w:spacing w:val="4"/>
          <w:rtl/>
          <w:lang w:bidi="ar-EG"/>
        </w:rPr>
        <w:t xml:space="preserve"> </w:t>
      </w:r>
      <w:r w:rsidRPr="00E6247A">
        <w:rPr>
          <w:spacing w:val="4"/>
          <w:lang w:bidi="ar-EG"/>
        </w:rPr>
        <w:t>2018</w:t>
      </w:r>
      <w:r w:rsidRPr="00E6247A">
        <w:rPr>
          <w:spacing w:val="4"/>
          <w:rtl/>
          <w:lang w:bidi="ar-EG"/>
        </w:rPr>
        <w:t xml:space="preserve"> لإتاحة الوقت اللازم للدول</w:t>
      </w:r>
      <w:r w:rsidR="00CE24C0" w:rsidRPr="00E6247A">
        <w:rPr>
          <w:rFonts w:hint="cs"/>
          <w:spacing w:val="4"/>
          <w:rtl/>
          <w:lang w:bidi="ar-EG"/>
        </w:rPr>
        <w:t> </w:t>
      </w:r>
      <w:r w:rsidRPr="00E6247A">
        <w:rPr>
          <w:spacing w:val="4"/>
          <w:rtl/>
          <w:lang w:bidi="ar-EG"/>
        </w:rPr>
        <w:t>الأعضاء.</w:t>
      </w:r>
    </w:p>
    <w:p w:rsidR="00AD6FD7" w:rsidRPr="00E6247A" w:rsidRDefault="00AD6FD7" w:rsidP="008A4EAF">
      <w:pPr>
        <w:tabs>
          <w:tab w:val="clear" w:pos="1134"/>
          <w:tab w:val="clear" w:pos="1361"/>
          <w:tab w:val="left" w:pos="1275"/>
          <w:tab w:val="left" w:pos="1417"/>
        </w:tabs>
        <w:ind w:left="720"/>
        <w:rPr>
          <w:spacing w:val="4"/>
          <w:rtl/>
          <w:lang w:bidi="ar-EG"/>
        </w:rPr>
      </w:pPr>
      <w:r w:rsidRPr="00E6247A">
        <w:rPr>
          <w:spacing w:val="4"/>
          <w:lang w:bidi="ar-EG"/>
        </w:rPr>
        <w:t>17.2</w:t>
      </w:r>
      <w:r w:rsidRPr="00E6247A">
        <w:rPr>
          <w:spacing w:val="4"/>
          <w:rtl/>
          <w:lang w:bidi="ar-EG"/>
        </w:rPr>
        <w:tab/>
        <w:t xml:space="preserve">واقترح الرئيس أن </w:t>
      </w:r>
      <w:r w:rsidRPr="00E6247A">
        <w:rPr>
          <w:rFonts w:hint="cs"/>
          <w:spacing w:val="4"/>
          <w:rtl/>
          <w:lang w:bidi="ar-EG"/>
        </w:rPr>
        <w:t>تقوم</w:t>
      </w:r>
      <w:r w:rsidRPr="00E6247A">
        <w:rPr>
          <w:spacing w:val="4"/>
          <w:rtl/>
          <w:lang w:bidi="ar-EG"/>
        </w:rPr>
        <w:t xml:space="preserve"> الأمانة</w:t>
      </w:r>
      <w:r w:rsidRPr="00E6247A">
        <w:rPr>
          <w:rFonts w:hint="cs"/>
          <w:spacing w:val="4"/>
          <w:rtl/>
          <w:lang w:bidi="ar-EG"/>
        </w:rPr>
        <w:t xml:space="preserve"> بإعداد</w:t>
      </w:r>
      <w:r w:rsidRPr="00E6247A">
        <w:rPr>
          <w:spacing w:val="4"/>
          <w:rtl/>
          <w:lang w:bidi="ar-EG"/>
        </w:rPr>
        <w:t xml:space="preserve"> وثيقة </w:t>
      </w:r>
      <w:r w:rsidR="00F31772" w:rsidRPr="00E6247A">
        <w:rPr>
          <w:rFonts w:hint="cs"/>
          <w:spacing w:val="4"/>
          <w:rtl/>
          <w:lang w:bidi="ar-EG"/>
        </w:rPr>
        <w:t>من أجل المجلس</w:t>
      </w:r>
      <w:r w:rsidRPr="00E6247A">
        <w:rPr>
          <w:spacing w:val="4"/>
          <w:rtl/>
          <w:lang w:bidi="ar-EG"/>
        </w:rPr>
        <w:t xml:space="preserve"> </w:t>
      </w:r>
      <w:r w:rsidRPr="00E6247A">
        <w:rPr>
          <w:spacing w:val="4"/>
          <w:lang w:bidi="ar-EG"/>
        </w:rPr>
        <w:t>2018</w:t>
      </w:r>
      <w:r w:rsidR="00F31772" w:rsidRPr="00E6247A">
        <w:rPr>
          <w:rFonts w:hint="cs"/>
          <w:spacing w:val="4"/>
          <w:rtl/>
          <w:lang w:bidi="ar-EG"/>
        </w:rPr>
        <w:t>، بغية مناقشة</w:t>
      </w:r>
      <w:r w:rsidRPr="00E6247A">
        <w:rPr>
          <w:spacing w:val="4"/>
          <w:rtl/>
          <w:lang w:bidi="ar-EG"/>
        </w:rPr>
        <w:t xml:space="preserve"> </w:t>
      </w:r>
      <w:r w:rsidRPr="00E6247A">
        <w:rPr>
          <w:rFonts w:hint="cs"/>
          <w:spacing w:val="4"/>
          <w:rtl/>
          <w:lang w:bidi="ar-EG"/>
        </w:rPr>
        <w:t>تنقيح المقترح</w:t>
      </w:r>
      <w:r w:rsidRPr="00E6247A">
        <w:rPr>
          <w:spacing w:val="4"/>
          <w:rtl/>
          <w:lang w:bidi="ar-EG"/>
        </w:rPr>
        <w:t xml:space="preserve"> الثاني.</w:t>
      </w:r>
      <w:r w:rsidR="00F31772" w:rsidRPr="00E6247A">
        <w:rPr>
          <w:rFonts w:hint="cs"/>
          <w:spacing w:val="4"/>
          <w:rtl/>
          <w:lang w:bidi="ar-EG"/>
        </w:rPr>
        <w:t>"</w:t>
      </w:r>
    </w:p>
    <w:p w:rsidR="00AD6FD7" w:rsidRPr="00E6247A" w:rsidRDefault="00F31772" w:rsidP="00651FF1">
      <w:pPr>
        <w:rPr>
          <w:spacing w:val="4"/>
          <w:rtl/>
          <w:lang w:val="en-GB" w:bidi="ar-EG"/>
        </w:rPr>
      </w:pPr>
      <w:r w:rsidRPr="00E6247A">
        <w:rPr>
          <w:rFonts w:hint="cs"/>
          <w:spacing w:val="4"/>
          <w:rtl/>
          <w:lang w:bidi="ar-EG"/>
        </w:rPr>
        <w:t>وعقب م</w:t>
      </w:r>
      <w:r w:rsidR="00AD6FD7" w:rsidRPr="00E6247A">
        <w:rPr>
          <w:rFonts w:hint="cs"/>
          <w:spacing w:val="4"/>
          <w:rtl/>
          <w:lang w:bidi="ar-EG"/>
        </w:rPr>
        <w:t xml:space="preserve">شاورات غير رسمية، تقترح أمانة الاتحاد تغيير الموعد النهائي من </w:t>
      </w:r>
      <w:r w:rsidR="00AD6FD7" w:rsidRPr="00E6247A">
        <w:rPr>
          <w:rFonts w:hint="cs"/>
          <w:spacing w:val="4"/>
          <w:rtl/>
          <w:lang w:val="fr-CH" w:bidi="ar-SY"/>
        </w:rPr>
        <w:t>"</w:t>
      </w:r>
      <w:r w:rsidR="00AD6FD7" w:rsidRPr="00E6247A">
        <w:rPr>
          <w:spacing w:val="4"/>
          <w:lang w:bidi="ar-SY"/>
        </w:rPr>
        <w:t>30</w:t>
      </w:r>
      <w:r w:rsidR="00AD6FD7" w:rsidRPr="00E6247A">
        <w:rPr>
          <w:rFonts w:hint="cs"/>
          <w:spacing w:val="4"/>
          <w:rtl/>
          <w:lang w:val="fr-CH" w:bidi="ar-SY"/>
        </w:rPr>
        <w:t xml:space="preserve"> يونيو </w:t>
      </w:r>
      <w:r w:rsidR="00AD6FD7" w:rsidRPr="00E6247A">
        <w:rPr>
          <w:spacing w:val="4"/>
          <w:lang w:bidi="ar-SY"/>
        </w:rPr>
        <w:t>2018</w:t>
      </w:r>
      <w:r w:rsidR="00AD6FD7" w:rsidRPr="00E6247A">
        <w:rPr>
          <w:rFonts w:hint="cs"/>
          <w:spacing w:val="4"/>
          <w:rtl/>
          <w:lang w:val="fr-CH" w:bidi="ar-SY"/>
        </w:rPr>
        <w:t>" إلى "تاريخ انعقاد دورة مجلس الاتحاد</w:t>
      </w:r>
      <w:r w:rsidR="00F57E41" w:rsidRPr="00E6247A">
        <w:rPr>
          <w:rFonts w:hint="eastAsia"/>
          <w:spacing w:val="4"/>
          <w:rtl/>
          <w:lang w:val="fr-CH" w:bidi="ar-SY"/>
        </w:rPr>
        <w:t xml:space="preserve"> </w:t>
      </w:r>
      <w:r w:rsidR="00AD6FD7" w:rsidRPr="00E6247A">
        <w:rPr>
          <w:rFonts w:hint="cs"/>
          <w:spacing w:val="4"/>
          <w:rtl/>
          <w:lang w:val="fr-CH" w:bidi="ar-SY"/>
        </w:rPr>
        <w:t>في</w:t>
      </w:r>
      <w:r w:rsidR="00F57E41" w:rsidRPr="00E6247A">
        <w:rPr>
          <w:rFonts w:hint="eastAsia"/>
          <w:spacing w:val="4"/>
          <w:rtl/>
          <w:lang w:val="fr-CH" w:bidi="ar-SY"/>
        </w:rPr>
        <w:t> </w:t>
      </w:r>
      <w:r w:rsidR="00AD6FD7" w:rsidRPr="00E6247A">
        <w:rPr>
          <w:spacing w:val="4"/>
          <w:lang w:bidi="ar-SY"/>
        </w:rPr>
        <w:t>2019</w:t>
      </w:r>
      <w:r w:rsidRPr="00E6247A">
        <w:rPr>
          <w:rFonts w:hint="cs"/>
          <w:spacing w:val="4"/>
          <w:rtl/>
          <w:lang w:val="fr-CH" w:bidi="ar-SY"/>
        </w:rPr>
        <w:t>". وترد في الموقع الإ</w:t>
      </w:r>
      <w:r w:rsidR="00AD6FD7" w:rsidRPr="00E6247A">
        <w:rPr>
          <w:rFonts w:hint="cs"/>
          <w:spacing w:val="4"/>
          <w:rtl/>
          <w:lang w:val="fr-CH" w:bidi="ar-SY"/>
        </w:rPr>
        <w:t xml:space="preserve">لكتروني للاتحاد قائمة جهات الاتصال بالنسبة </w:t>
      </w:r>
      <w:r w:rsidR="00AD6FD7" w:rsidRPr="00E6247A">
        <w:rPr>
          <w:rFonts w:hint="cs"/>
          <w:spacing w:val="4"/>
          <w:rtl/>
          <w:lang w:bidi="ar-EG"/>
        </w:rPr>
        <w:t xml:space="preserve">لمقدمي </w:t>
      </w:r>
      <w:r w:rsidR="00AD6FD7" w:rsidRPr="00E6247A">
        <w:rPr>
          <w:rFonts w:hint="cs"/>
          <w:spacing w:val="4"/>
          <w:rtl/>
          <w:lang w:bidi="ar-SY"/>
        </w:rPr>
        <w:t>خدمات الأرقام العالمية للنداء الدولي المجاني</w:t>
      </w:r>
      <w:r w:rsidR="00F57E41" w:rsidRPr="00E6247A">
        <w:rPr>
          <w:rFonts w:hint="eastAsia"/>
          <w:spacing w:val="4"/>
          <w:rtl/>
          <w:lang w:bidi="ar-SY"/>
        </w:rPr>
        <w:t> </w:t>
      </w:r>
      <w:r w:rsidR="00AD6FD7" w:rsidRPr="00E6247A">
        <w:rPr>
          <w:spacing w:val="4"/>
          <w:lang w:bidi="ar-SY"/>
        </w:rPr>
        <w:t>(UIFN)</w:t>
      </w:r>
      <w:r w:rsidR="00AD6FD7" w:rsidRPr="00E6247A">
        <w:rPr>
          <w:rFonts w:hint="cs"/>
          <w:spacing w:val="4"/>
          <w:rtl/>
          <w:lang w:bidi="ar-SY"/>
        </w:rPr>
        <w:t xml:space="preserve"> </w:t>
      </w:r>
      <w:r w:rsidR="00AD6FD7" w:rsidRPr="00E6247A">
        <w:rPr>
          <w:rFonts w:eastAsia="SimSun" w:cs="Times New Roman"/>
          <w:spacing w:val="4"/>
          <w:lang w:eastAsia="en-US"/>
        </w:rPr>
        <w:t>(</w:t>
      </w:r>
      <w:hyperlink r:id="rId18" w:history="1">
        <w:r w:rsidR="00AD6FD7" w:rsidRPr="00E6247A">
          <w:rPr>
            <w:rFonts w:eastAsia="SimSun" w:cs="Times New Roman"/>
            <w:color w:val="0000FF"/>
            <w:spacing w:val="4"/>
            <w:u w:val="single"/>
            <w:lang w:eastAsia="en-US"/>
          </w:rPr>
          <w:t>https://www.itu.int/en/ITU-T/inr/unum/Pages/uifn-service-provider.aspx</w:t>
        </w:r>
      </w:hyperlink>
      <w:r w:rsidR="00F57E41" w:rsidRPr="00E6247A">
        <w:rPr>
          <w:rFonts w:eastAsia="SimSun" w:cs="Times New Roman"/>
          <w:spacing w:val="4"/>
          <w:lang w:eastAsia="en-US"/>
        </w:rPr>
        <w:t>)</w:t>
      </w:r>
      <w:r w:rsidR="00AD6FD7" w:rsidRPr="00E6247A">
        <w:rPr>
          <w:rFonts w:eastAsia="SimSun" w:cs="Times New Roman" w:hint="cs"/>
          <w:spacing w:val="4"/>
          <w:rtl/>
          <w:lang w:eastAsia="en-US"/>
        </w:rPr>
        <w:t xml:space="preserve"> </w:t>
      </w:r>
      <w:r w:rsidR="00AD6FD7" w:rsidRPr="00E6247A">
        <w:rPr>
          <w:rFonts w:hint="cs"/>
          <w:spacing w:val="4"/>
          <w:rtl/>
          <w:lang w:bidi="ar-SY"/>
        </w:rPr>
        <w:t xml:space="preserve">والجهات المخصصة </w:t>
      </w:r>
      <w:r w:rsidRPr="00E6247A">
        <w:rPr>
          <w:rFonts w:hint="cs"/>
          <w:spacing w:val="4"/>
          <w:rtl/>
          <w:lang w:bidi="ar-SY"/>
        </w:rPr>
        <w:t>لها أرقام تعرف</w:t>
      </w:r>
      <w:r w:rsidR="00AD6FD7" w:rsidRPr="00E6247A">
        <w:rPr>
          <w:rFonts w:ascii="Traditional Arabic" w:hAnsi="Traditional Arabic"/>
          <w:spacing w:val="4"/>
          <w:rtl/>
          <w:lang w:bidi="ar-SY"/>
        </w:rPr>
        <w:t xml:space="preserve"> جهة الإصدار</w:t>
      </w:r>
      <w:r w:rsidR="00F57E41" w:rsidRPr="00E6247A">
        <w:rPr>
          <w:rFonts w:ascii="Traditional Arabic" w:hAnsi="Traditional Arabic" w:hint="eastAsia"/>
          <w:spacing w:val="4"/>
          <w:rtl/>
          <w:lang w:bidi="ar-SY"/>
        </w:rPr>
        <w:t> </w:t>
      </w:r>
      <w:r w:rsidRPr="00E6247A">
        <w:rPr>
          <w:spacing w:val="4"/>
          <w:lang w:bidi="ar-SY"/>
        </w:rPr>
        <w:t>(IIN)</w:t>
      </w:r>
      <w:r w:rsidR="00AD6FD7" w:rsidRPr="00E6247A">
        <w:rPr>
          <w:rFonts w:ascii="Traditional Arabic" w:hAnsi="Traditional Arabic" w:hint="cs"/>
          <w:spacing w:val="4"/>
          <w:rtl/>
          <w:lang w:bidi="ar-SY"/>
        </w:rPr>
        <w:t xml:space="preserve"> </w:t>
      </w:r>
      <w:r w:rsidR="00AD6FD7" w:rsidRPr="00E6247A">
        <w:rPr>
          <w:rFonts w:asciiTheme="minorHAnsi" w:eastAsia="SimSun" w:hAnsiTheme="minorHAnsi"/>
          <w:spacing w:val="4"/>
          <w:lang w:eastAsia="en-US"/>
        </w:rPr>
        <w:t>(</w:t>
      </w:r>
      <w:hyperlink r:id="rId19" w:history="1">
        <w:r w:rsidR="00AD6FD7" w:rsidRPr="00E6247A">
          <w:rPr>
            <w:rFonts w:asciiTheme="minorHAnsi" w:eastAsia="SimSun" w:hAnsiTheme="minorHAnsi"/>
            <w:color w:val="0000FF"/>
            <w:spacing w:val="4"/>
            <w:u w:val="single"/>
            <w:lang w:eastAsia="en-US"/>
          </w:rPr>
          <w:t>https://www.itu.int/net/itu-t/inrdb/secured/e118iin.aspx</w:t>
        </w:r>
      </w:hyperlink>
      <w:r w:rsidR="00AD6FD7" w:rsidRPr="00E6247A">
        <w:rPr>
          <w:rFonts w:ascii="Traditional Arabic" w:eastAsia="SimSun" w:hAnsi="Traditional Arabic"/>
          <w:spacing w:val="4"/>
          <w:rtl/>
          <w:lang w:eastAsia="en-US"/>
        </w:rPr>
        <w:t xml:space="preserve">. وترد </w:t>
      </w:r>
      <w:r w:rsidRPr="00E6247A">
        <w:rPr>
          <w:rFonts w:ascii="Traditional Arabic" w:eastAsia="SimSun" w:hAnsi="Traditional Arabic" w:hint="cs"/>
          <w:spacing w:val="4"/>
          <w:rtl/>
          <w:lang w:eastAsia="en-US" w:bidi="ar-EG"/>
        </w:rPr>
        <w:t xml:space="preserve">أيضاً </w:t>
      </w:r>
      <w:r w:rsidR="00AD6FD7" w:rsidRPr="00E6247A">
        <w:rPr>
          <w:rFonts w:ascii="Traditional Arabic" w:eastAsia="SimSun" w:hAnsi="Traditional Arabic"/>
          <w:spacing w:val="4"/>
          <w:rtl/>
          <w:lang w:eastAsia="en-US"/>
        </w:rPr>
        <w:t>قائمة جهات</w:t>
      </w:r>
      <w:r w:rsidR="00F57E41" w:rsidRPr="00E6247A">
        <w:rPr>
          <w:rFonts w:ascii="Traditional Arabic" w:eastAsia="SimSun" w:hAnsi="Traditional Arabic" w:hint="cs"/>
          <w:spacing w:val="4"/>
          <w:rtl/>
          <w:lang w:eastAsia="en-US"/>
        </w:rPr>
        <w:t> </w:t>
      </w:r>
      <w:r w:rsidR="00AD6FD7" w:rsidRPr="00E6247A">
        <w:rPr>
          <w:rFonts w:ascii="Traditional Arabic" w:eastAsia="SimSun" w:hAnsi="Traditional Arabic"/>
          <w:spacing w:val="4"/>
          <w:rtl/>
          <w:lang w:eastAsia="en-US"/>
        </w:rPr>
        <w:t>الاتصال</w:t>
      </w:r>
      <w:r w:rsidR="00AD6FD7" w:rsidRPr="00E6247A">
        <w:rPr>
          <w:rFonts w:eastAsia="SimSun" w:cs="Times New Roman" w:hint="cs"/>
          <w:spacing w:val="4"/>
          <w:rtl/>
          <w:lang w:eastAsia="en-US"/>
        </w:rPr>
        <w:t xml:space="preserve"> </w:t>
      </w:r>
      <w:r w:rsidR="00AD6FD7" w:rsidRPr="00E6247A">
        <w:rPr>
          <w:rFonts w:hint="cs"/>
          <w:spacing w:val="4"/>
          <w:rtl/>
          <w:lang w:bidi="ar-SY"/>
        </w:rPr>
        <w:t xml:space="preserve">بالنسبة للجهات المخصصة </w:t>
      </w:r>
      <w:r w:rsidRPr="00E6247A">
        <w:rPr>
          <w:rFonts w:hint="cs"/>
          <w:spacing w:val="4"/>
          <w:rtl/>
          <w:lang w:bidi="ar-SY"/>
        </w:rPr>
        <w:t>لها أرقام تعرف</w:t>
      </w:r>
      <w:r w:rsidR="00AD6FD7" w:rsidRPr="00E6247A">
        <w:rPr>
          <w:rFonts w:ascii="Traditional Arabic" w:hAnsi="Traditional Arabic"/>
          <w:spacing w:val="4"/>
          <w:rtl/>
          <w:lang w:bidi="ar-SY"/>
        </w:rPr>
        <w:t xml:space="preserve"> جهة الإصدار</w:t>
      </w:r>
      <w:r w:rsidRPr="00E6247A">
        <w:rPr>
          <w:rFonts w:ascii="Traditional Arabic" w:hAnsi="Traditional Arabic" w:hint="cs"/>
          <w:spacing w:val="4"/>
          <w:rtl/>
          <w:lang w:bidi="ar-SY"/>
        </w:rPr>
        <w:t xml:space="preserve"> </w:t>
      </w:r>
      <w:r w:rsidRPr="00E6247A">
        <w:rPr>
          <w:spacing w:val="4"/>
          <w:lang w:bidi="ar-SY"/>
        </w:rPr>
        <w:t>(IIN)</w:t>
      </w:r>
      <w:r w:rsidR="00AD6FD7" w:rsidRPr="00E6247A">
        <w:rPr>
          <w:rFonts w:ascii="Traditional Arabic" w:hAnsi="Traditional Arabic" w:hint="cs"/>
          <w:spacing w:val="4"/>
          <w:rtl/>
          <w:lang w:bidi="ar-SY"/>
        </w:rPr>
        <w:t xml:space="preserve"> في </w:t>
      </w:r>
      <w:r w:rsidR="00651FF1">
        <w:rPr>
          <w:rFonts w:ascii="Traditional Arabic" w:hAnsi="Traditional Arabic" w:hint="cs"/>
          <w:spacing w:val="4"/>
          <w:rtl/>
          <w:lang w:bidi="ar-SY"/>
        </w:rPr>
        <w:t>النشرة</w:t>
      </w:r>
      <w:r w:rsidR="00AD6FD7" w:rsidRPr="00E6247A">
        <w:rPr>
          <w:rFonts w:ascii="Traditional Arabic" w:hAnsi="Traditional Arabic" w:hint="cs"/>
          <w:spacing w:val="4"/>
          <w:rtl/>
          <w:lang w:bidi="ar-SY"/>
        </w:rPr>
        <w:t xml:space="preserve"> التشغيلية</w:t>
      </w:r>
      <w:r w:rsidR="00651FF1">
        <w:rPr>
          <w:rFonts w:ascii="Traditional Arabic" w:hAnsi="Traditional Arabic" w:hint="cs"/>
          <w:spacing w:val="4"/>
          <w:rtl/>
          <w:lang w:bidi="ar-SY"/>
        </w:rPr>
        <w:t xml:space="preserve"> للاتحاد</w:t>
      </w:r>
      <w:r w:rsidR="00F57E41" w:rsidRPr="00E6247A">
        <w:rPr>
          <w:rFonts w:ascii="Traditional Arabic" w:hAnsi="Traditional Arabic" w:hint="cs"/>
          <w:spacing w:val="4"/>
          <w:rtl/>
          <w:lang w:bidi="ar-SY"/>
        </w:rPr>
        <w:t xml:space="preserve"> </w:t>
      </w:r>
      <w:r w:rsidR="00AD6FD7" w:rsidRPr="00E6247A">
        <w:rPr>
          <w:rFonts w:eastAsia="SimSun" w:cs="Times New Roman"/>
          <w:spacing w:val="4"/>
          <w:lang w:eastAsia="en-US"/>
        </w:rPr>
        <w:t>(</w:t>
      </w:r>
      <w:hyperlink r:id="rId20" w:history="1">
        <w:r w:rsidR="00F57E41" w:rsidRPr="00E6247A">
          <w:rPr>
            <w:rStyle w:val="Hyperlink"/>
            <w:rFonts w:eastAsia="SimSun" w:cs="Times New Roman"/>
            <w:spacing w:val="4"/>
            <w:lang w:eastAsia="en-US"/>
          </w:rPr>
          <w:t>https://www.itu.int/pub/T-SP/e</w:t>
        </w:r>
      </w:hyperlink>
      <w:r w:rsidR="00AD6FD7" w:rsidRPr="00E6247A">
        <w:rPr>
          <w:rFonts w:eastAsia="SimSun" w:cs="Times New Roman"/>
          <w:spacing w:val="4"/>
          <w:lang w:eastAsia="en-US"/>
        </w:rPr>
        <w:t>)</w:t>
      </w:r>
      <w:r w:rsidR="00AD6FD7" w:rsidRPr="00E6247A">
        <w:rPr>
          <w:rFonts w:ascii="Traditional Arabic" w:hAnsi="Traditional Arabic" w:hint="cs"/>
          <w:spacing w:val="4"/>
          <w:rtl/>
          <w:lang w:bidi="ar-SY"/>
        </w:rPr>
        <w:t xml:space="preserve"> وهي متاحة</w:t>
      </w:r>
      <w:r w:rsidR="00987D16" w:rsidRPr="00E6247A">
        <w:rPr>
          <w:rFonts w:ascii="Traditional Arabic" w:hAnsi="Traditional Arabic" w:hint="eastAsia"/>
          <w:spacing w:val="4"/>
          <w:rtl/>
          <w:lang w:bidi="ar-SY"/>
        </w:rPr>
        <w:t> </w:t>
      </w:r>
      <w:r w:rsidR="00AD6FD7" w:rsidRPr="00E6247A">
        <w:rPr>
          <w:rFonts w:ascii="Traditional Arabic" w:hAnsi="Traditional Arabic" w:hint="cs"/>
          <w:spacing w:val="4"/>
          <w:rtl/>
          <w:lang w:bidi="ar-SY"/>
        </w:rPr>
        <w:t>للجميع.</w:t>
      </w:r>
    </w:p>
    <w:p w:rsidR="00AD6FD7" w:rsidRPr="0001384D" w:rsidRDefault="00AD6FD7" w:rsidP="00987D16">
      <w:pPr>
        <w:pStyle w:val="Heading1"/>
        <w:rPr>
          <w:rtl/>
          <w:lang w:val="en-GB" w:bidi="ar-SY"/>
        </w:rPr>
      </w:pPr>
      <w:r w:rsidRPr="0001384D">
        <w:rPr>
          <w:lang w:bidi="ar-EG"/>
        </w:rPr>
        <w:t>4</w:t>
      </w:r>
      <w:r w:rsidRPr="0001384D">
        <w:rPr>
          <w:rtl/>
          <w:lang w:val="en-GB" w:bidi="ar-SY"/>
        </w:rPr>
        <w:tab/>
      </w:r>
      <w:r w:rsidRPr="0001384D">
        <w:rPr>
          <w:rFonts w:hint="cs"/>
          <w:rtl/>
          <w:lang w:val="en-GB" w:bidi="ar-SY"/>
        </w:rPr>
        <w:t>الخلاصة</w:t>
      </w:r>
    </w:p>
    <w:p w:rsidR="00AD6FD7" w:rsidRDefault="00AD6FD7" w:rsidP="00AD6FD7">
      <w:pPr>
        <w:rPr>
          <w:rtl/>
          <w:lang w:bidi="ar-EG"/>
        </w:rPr>
      </w:pPr>
      <w:r w:rsidRPr="0001384D">
        <w:rPr>
          <w:rFonts w:hint="cs"/>
          <w:rtl/>
          <w:lang w:bidi="ar-EG"/>
        </w:rPr>
        <w:t xml:space="preserve">يُدعى </w:t>
      </w:r>
      <w:r w:rsidRPr="0001384D">
        <w:rPr>
          <w:rtl/>
          <w:lang w:bidi="ar-EG"/>
        </w:rPr>
        <w:t>المجلس إلى الإحاطة علما</w:t>
      </w:r>
      <w:r w:rsidRPr="0001384D">
        <w:rPr>
          <w:rFonts w:hint="cs"/>
          <w:rtl/>
          <w:lang w:bidi="ar-EG"/>
        </w:rPr>
        <w:t>ً</w:t>
      </w:r>
      <w:r w:rsidRPr="0001384D">
        <w:rPr>
          <w:rtl/>
          <w:lang w:bidi="ar-EG"/>
        </w:rPr>
        <w:t xml:space="preserve"> </w:t>
      </w:r>
      <w:r w:rsidRPr="0001384D">
        <w:rPr>
          <w:rFonts w:hint="cs"/>
          <w:rtl/>
          <w:lang w:bidi="ar-EG"/>
        </w:rPr>
        <w:t>بالمقترح</w:t>
      </w:r>
      <w:r w:rsidRPr="0001384D">
        <w:rPr>
          <w:rtl/>
          <w:lang w:bidi="ar-EG"/>
        </w:rPr>
        <w:t xml:space="preserve"> الأول والنظر في المقترح الثاني</w:t>
      </w:r>
      <w:r>
        <w:rPr>
          <w:rFonts w:hint="cs"/>
          <w:rtl/>
          <w:lang w:bidi="ar-EG"/>
        </w:rPr>
        <w:t xml:space="preserve"> المنقح</w:t>
      </w:r>
      <w:r w:rsidRPr="0001384D">
        <w:rPr>
          <w:rtl/>
          <w:lang w:bidi="ar-EG"/>
        </w:rPr>
        <w:t>.</w:t>
      </w:r>
    </w:p>
    <w:p w:rsidR="0074420E" w:rsidRDefault="00185EB0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11" w:rsidRDefault="00400611" w:rsidP="006C3242">
      <w:pPr>
        <w:spacing w:before="0" w:line="240" w:lineRule="auto"/>
      </w:pPr>
      <w:r>
        <w:separator/>
      </w:r>
    </w:p>
  </w:endnote>
  <w:endnote w:type="continuationSeparator" w:id="0">
    <w:p w:rsidR="00400611" w:rsidRDefault="0040061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029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A7547">
      <w:rPr>
        <w:rFonts w:ascii="Calibri" w:hAnsi="Calibri" w:cs="Calibri"/>
        <w:noProof/>
        <w:sz w:val="16"/>
        <w:szCs w:val="16"/>
        <w:lang w:val="fr-FR"/>
      </w:rPr>
      <w:t>P:\ARA\SG\CONSEIL\C18\000\100A.docx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F02976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F02976">
      <w:rPr>
        <w:rFonts w:ascii="Calibri" w:hAnsi="Calibri" w:cs="Calibri"/>
        <w:sz w:val="16"/>
        <w:szCs w:val="16"/>
        <w:lang w:val="fr-FR"/>
      </w:rPr>
      <w:t>434624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97292">
      <w:rPr>
        <w:rFonts w:ascii="Calibri" w:hAnsi="Calibri" w:cs="Calibri"/>
        <w:noProof/>
        <w:sz w:val="16"/>
        <w:szCs w:val="16"/>
        <w:lang w:val="fr-FR"/>
      </w:rPr>
      <w:t>18.04.18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A7547">
      <w:rPr>
        <w:rFonts w:ascii="Calibri" w:hAnsi="Calibri" w:cs="Calibri"/>
        <w:noProof/>
        <w:sz w:val="16"/>
        <w:szCs w:val="16"/>
        <w:lang w:val="fr-FR"/>
      </w:rPr>
      <w:t>18.04.18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11" w:rsidRDefault="00400611" w:rsidP="006C3242">
      <w:pPr>
        <w:spacing w:before="0" w:line="240" w:lineRule="auto"/>
      </w:pPr>
      <w:r>
        <w:separator/>
      </w:r>
    </w:p>
  </w:footnote>
  <w:footnote w:type="continuationSeparator" w:id="0">
    <w:p w:rsidR="00400611" w:rsidRDefault="0040061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3009F" w:rsidP="00F02976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F02976">
          <w:rPr>
            <w:rFonts w:cs="Calibri"/>
            <w:noProof/>
            <w:sz w:val="20"/>
            <w:szCs w:val="20"/>
          </w:rPr>
          <w:t>100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11"/>
    <w:rsid w:val="00030AF9"/>
    <w:rsid w:val="00090574"/>
    <w:rsid w:val="000C548A"/>
    <w:rsid w:val="00185EB0"/>
    <w:rsid w:val="001C0169"/>
    <w:rsid w:val="001D1D50"/>
    <w:rsid w:val="001E446E"/>
    <w:rsid w:val="002154EE"/>
    <w:rsid w:val="0023283D"/>
    <w:rsid w:val="00235065"/>
    <w:rsid w:val="00271C43"/>
    <w:rsid w:val="00290728"/>
    <w:rsid w:val="002978F4"/>
    <w:rsid w:val="002B028D"/>
    <w:rsid w:val="002C67A8"/>
    <w:rsid w:val="002E6541"/>
    <w:rsid w:val="003409BC"/>
    <w:rsid w:val="00357185"/>
    <w:rsid w:val="00365A01"/>
    <w:rsid w:val="00383829"/>
    <w:rsid w:val="003F4B29"/>
    <w:rsid w:val="00400611"/>
    <w:rsid w:val="0042686F"/>
    <w:rsid w:val="004317D8"/>
    <w:rsid w:val="00443869"/>
    <w:rsid w:val="00447F32"/>
    <w:rsid w:val="004D4F3C"/>
    <w:rsid w:val="004E11DC"/>
    <w:rsid w:val="00525B54"/>
    <w:rsid w:val="005409AC"/>
    <w:rsid w:val="00543943"/>
    <w:rsid w:val="0055516A"/>
    <w:rsid w:val="0058491B"/>
    <w:rsid w:val="00597292"/>
    <w:rsid w:val="005A3170"/>
    <w:rsid w:val="00651FF1"/>
    <w:rsid w:val="00660BA3"/>
    <w:rsid w:val="0069200F"/>
    <w:rsid w:val="006A65CB"/>
    <w:rsid w:val="006C3242"/>
    <w:rsid w:val="006C7CC0"/>
    <w:rsid w:val="006F63F7"/>
    <w:rsid w:val="007035C8"/>
    <w:rsid w:val="00706D7A"/>
    <w:rsid w:val="00722F0D"/>
    <w:rsid w:val="0074420E"/>
    <w:rsid w:val="00783E26"/>
    <w:rsid w:val="00787043"/>
    <w:rsid w:val="007C3BC7"/>
    <w:rsid w:val="007D4ACF"/>
    <w:rsid w:val="007F0787"/>
    <w:rsid w:val="00810B7B"/>
    <w:rsid w:val="008235CD"/>
    <w:rsid w:val="008247DE"/>
    <w:rsid w:val="008253EB"/>
    <w:rsid w:val="00840B10"/>
    <w:rsid w:val="0084274E"/>
    <w:rsid w:val="008513CB"/>
    <w:rsid w:val="008A4EAF"/>
    <w:rsid w:val="00923B0C"/>
    <w:rsid w:val="0094021C"/>
    <w:rsid w:val="00974F7D"/>
    <w:rsid w:val="00982B28"/>
    <w:rsid w:val="00987D16"/>
    <w:rsid w:val="009A2FF0"/>
    <w:rsid w:val="009D313F"/>
    <w:rsid w:val="00A23CC0"/>
    <w:rsid w:val="00A47A5A"/>
    <w:rsid w:val="00A54E58"/>
    <w:rsid w:val="00A6683B"/>
    <w:rsid w:val="00A97F94"/>
    <w:rsid w:val="00AC79B7"/>
    <w:rsid w:val="00AD6FD7"/>
    <w:rsid w:val="00B05BC8"/>
    <w:rsid w:val="00B3253F"/>
    <w:rsid w:val="00B61EB1"/>
    <w:rsid w:val="00B64B47"/>
    <w:rsid w:val="00B979E3"/>
    <w:rsid w:val="00BA7547"/>
    <w:rsid w:val="00C002DE"/>
    <w:rsid w:val="00C12F87"/>
    <w:rsid w:val="00C3009F"/>
    <w:rsid w:val="00C53BF8"/>
    <w:rsid w:val="00C66157"/>
    <w:rsid w:val="00C674FE"/>
    <w:rsid w:val="00C75633"/>
    <w:rsid w:val="00CA7B6F"/>
    <w:rsid w:val="00CE24C0"/>
    <w:rsid w:val="00CE2EE1"/>
    <w:rsid w:val="00CF3FFD"/>
    <w:rsid w:val="00D1545E"/>
    <w:rsid w:val="00D32FE4"/>
    <w:rsid w:val="00D77D0F"/>
    <w:rsid w:val="00DA1CF0"/>
    <w:rsid w:val="00DC1E02"/>
    <w:rsid w:val="00DC24B4"/>
    <w:rsid w:val="00DF16DC"/>
    <w:rsid w:val="00E06890"/>
    <w:rsid w:val="00E45211"/>
    <w:rsid w:val="00E6185A"/>
    <w:rsid w:val="00E6247A"/>
    <w:rsid w:val="00EB796D"/>
    <w:rsid w:val="00F0081F"/>
    <w:rsid w:val="00F02976"/>
    <w:rsid w:val="00F24FC4"/>
    <w:rsid w:val="00F2676C"/>
    <w:rsid w:val="00F31772"/>
    <w:rsid w:val="00F573BD"/>
    <w:rsid w:val="00F57E41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6159D5A-0039-4116-8D89-92515036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65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133/en" TargetMode="External"/><Relationship Id="rId18" Type="http://schemas.openxmlformats.org/officeDocument/2006/relationships/hyperlink" Target="https://www.itu.int/en/ITU-T/inr/unum/Pages/uifn-service-provider.asp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FHRM8-C-0028/en" TargetMode="External"/><Relationship Id="rId17" Type="http://schemas.openxmlformats.org/officeDocument/2006/relationships/hyperlink" Target="https://www.itu.int/en/ITU-T/inr/Pages/roa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FHRM8-C-0028/en" TargetMode="External"/><Relationship Id="rId20" Type="http://schemas.openxmlformats.org/officeDocument/2006/relationships/hyperlink" Target="https://www.itu.int/pub/T-SP/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FHRM8-C-0018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FHRM8-C-0018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7-CL-C-0134/en" TargetMode="External"/><Relationship Id="rId19" Type="http://schemas.openxmlformats.org/officeDocument/2006/relationships/hyperlink" Target="https://www.itu.int/net/itu-t/inrdb/secured/e118ii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33/en" TargetMode="External"/><Relationship Id="rId14" Type="http://schemas.openxmlformats.org/officeDocument/2006/relationships/hyperlink" Target="https://www.itu.int/md/S17-CL-C-0134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ouncil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7082-6BD1-4F10-B27A-D04BD8EA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PA_Council_2018.dotx</Template>
  <TotalTime>85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34</cp:revision>
  <cp:lastPrinted>2018-04-18T15:23:00Z</cp:lastPrinted>
  <dcterms:created xsi:type="dcterms:W3CDTF">2018-04-18T14:31:00Z</dcterms:created>
  <dcterms:modified xsi:type="dcterms:W3CDTF">2018-04-18T16:11:00Z</dcterms:modified>
</cp:coreProperties>
</file>