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720A57" w:rsidTr="008271CD">
        <w:trPr>
          <w:cantSplit/>
        </w:trPr>
        <w:tc>
          <w:tcPr>
            <w:tcW w:w="6911" w:type="dxa"/>
          </w:tcPr>
          <w:p w:rsidR="002A2188" w:rsidRPr="00720A57" w:rsidRDefault="002A2188" w:rsidP="00623AE3">
            <w:pPr>
              <w:spacing w:before="360" w:after="48" w:line="240" w:lineRule="atLeast"/>
              <w:rPr>
                <w:rFonts w:asciiTheme="minorHAnsi" w:hAnsiTheme="minorHAnsi"/>
                <w:position w:val="6"/>
              </w:rPr>
            </w:pPr>
            <w:bookmarkStart w:id="0" w:name="dc06"/>
            <w:bookmarkEnd w:id="0"/>
            <w:r w:rsidRPr="00720A57">
              <w:rPr>
                <w:rFonts w:asciiTheme="minorHAnsi" w:hAnsiTheme="minorHAnsi"/>
                <w:b/>
                <w:bCs/>
                <w:position w:val="6"/>
                <w:sz w:val="30"/>
                <w:szCs w:val="30"/>
                <w:lang w:val="fr-CH"/>
              </w:rPr>
              <w:t>Council 201</w:t>
            </w:r>
            <w:r w:rsidR="00623AE3" w:rsidRPr="00720A57">
              <w:rPr>
                <w:rFonts w:asciiTheme="minorHAnsi" w:hAnsiTheme="minorHAnsi"/>
                <w:b/>
                <w:bCs/>
                <w:position w:val="6"/>
                <w:sz w:val="30"/>
                <w:szCs w:val="30"/>
                <w:lang w:val="fr-CH"/>
              </w:rPr>
              <w:t>8</w:t>
            </w:r>
            <w:r w:rsidRPr="00720A57">
              <w:rPr>
                <w:rFonts w:asciiTheme="minorHAnsi" w:hAnsiTheme="minorHAnsi" w:cs="Times"/>
                <w:b/>
                <w:position w:val="6"/>
                <w:sz w:val="26"/>
                <w:szCs w:val="26"/>
                <w:lang w:val="en-US"/>
              </w:rPr>
              <w:br/>
            </w:r>
            <w:r w:rsidRPr="00720A57">
              <w:rPr>
                <w:rFonts w:asciiTheme="minorHAnsi" w:hAnsiTheme="minorHAnsi"/>
                <w:b/>
                <w:bCs/>
                <w:position w:val="6"/>
                <w:szCs w:val="24"/>
                <w:lang w:val="fr-CH"/>
              </w:rPr>
              <w:t>Geneva, 1</w:t>
            </w:r>
            <w:r w:rsidR="00623AE3" w:rsidRPr="00720A57">
              <w:rPr>
                <w:rFonts w:asciiTheme="minorHAnsi" w:hAnsiTheme="minorHAnsi"/>
                <w:b/>
                <w:bCs/>
                <w:position w:val="6"/>
                <w:szCs w:val="24"/>
                <w:lang w:val="fr-CH"/>
              </w:rPr>
              <w:t>7</w:t>
            </w:r>
            <w:r w:rsidRPr="00720A57">
              <w:rPr>
                <w:rFonts w:asciiTheme="minorHAnsi" w:hAnsiTheme="minorHAnsi"/>
                <w:b/>
                <w:bCs/>
                <w:position w:val="6"/>
                <w:szCs w:val="24"/>
                <w:lang w:val="fr-CH"/>
              </w:rPr>
              <w:t>-2</w:t>
            </w:r>
            <w:r w:rsidR="00623AE3" w:rsidRPr="00720A57">
              <w:rPr>
                <w:rFonts w:asciiTheme="minorHAnsi" w:hAnsiTheme="minorHAnsi"/>
                <w:b/>
                <w:bCs/>
                <w:position w:val="6"/>
                <w:szCs w:val="24"/>
                <w:lang w:val="fr-CH"/>
              </w:rPr>
              <w:t>7</w:t>
            </w:r>
            <w:r w:rsidRPr="00720A57">
              <w:rPr>
                <w:rFonts w:asciiTheme="minorHAnsi" w:hAnsiTheme="minorHAnsi"/>
                <w:b/>
                <w:bCs/>
                <w:position w:val="6"/>
                <w:szCs w:val="24"/>
                <w:lang w:val="fr-CH"/>
              </w:rPr>
              <w:t xml:space="preserve"> </w:t>
            </w:r>
            <w:r w:rsidR="00623AE3" w:rsidRPr="00720A57">
              <w:rPr>
                <w:rFonts w:asciiTheme="minorHAnsi" w:hAnsiTheme="minorHAnsi"/>
                <w:b/>
                <w:bCs/>
                <w:position w:val="6"/>
                <w:szCs w:val="24"/>
                <w:lang w:val="fr-CH"/>
              </w:rPr>
              <w:t>April</w:t>
            </w:r>
            <w:r w:rsidRPr="00720A57">
              <w:rPr>
                <w:rFonts w:asciiTheme="minorHAnsi" w:hAnsiTheme="minorHAnsi"/>
                <w:b/>
                <w:bCs/>
                <w:position w:val="6"/>
                <w:szCs w:val="24"/>
                <w:lang w:val="fr-CH"/>
              </w:rPr>
              <w:t xml:space="preserve"> 201</w:t>
            </w:r>
            <w:r w:rsidR="00623AE3" w:rsidRPr="00720A57">
              <w:rPr>
                <w:rFonts w:asciiTheme="minorHAnsi" w:hAnsiTheme="minorHAnsi"/>
                <w:b/>
                <w:bCs/>
                <w:position w:val="6"/>
                <w:szCs w:val="24"/>
                <w:lang w:val="fr-CH"/>
              </w:rPr>
              <w:t>8</w:t>
            </w:r>
          </w:p>
        </w:tc>
        <w:tc>
          <w:tcPr>
            <w:tcW w:w="3120" w:type="dxa"/>
          </w:tcPr>
          <w:p w:rsidR="002A2188" w:rsidRPr="00720A57" w:rsidRDefault="002A2188" w:rsidP="008271CD">
            <w:pPr>
              <w:spacing w:before="0" w:line="240" w:lineRule="atLeast"/>
              <w:jc w:val="right"/>
              <w:rPr>
                <w:rFonts w:asciiTheme="minorHAnsi" w:hAnsiTheme="minorHAnsi"/>
              </w:rPr>
            </w:pPr>
            <w:bookmarkStart w:id="1" w:name="ditulogo"/>
            <w:bookmarkEnd w:id="1"/>
            <w:r w:rsidRPr="00720A57">
              <w:rPr>
                <w:rFonts w:asciiTheme="minorHAnsi" w:hAnsiTheme="minorHAnsi"/>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720A57" w:rsidTr="008271CD">
        <w:trPr>
          <w:cantSplit/>
        </w:trPr>
        <w:tc>
          <w:tcPr>
            <w:tcW w:w="6911" w:type="dxa"/>
            <w:tcBorders>
              <w:bottom w:val="single" w:sz="12" w:space="0" w:color="auto"/>
            </w:tcBorders>
          </w:tcPr>
          <w:p w:rsidR="002A2188" w:rsidRPr="00720A57" w:rsidRDefault="002A2188" w:rsidP="00FA77B0">
            <w:pPr>
              <w:spacing w:before="0" w:line="240" w:lineRule="atLeast"/>
              <w:rPr>
                <w:rFonts w:asciiTheme="minorHAnsi" w:hAnsiTheme="minorHAnsi"/>
                <w:b/>
                <w:smallCaps/>
                <w:szCs w:val="24"/>
              </w:rPr>
            </w:pPr>
          </w:p>
        </w:tc>
        <w:tc>
          <w:tcPr>
            <w:tcW w:w="3120" w:type="dxa"/>
            <w:tcBorders>
              <w:bottom w:val="single" w:sz="12" w:space="0" w:color="auto"/>
            </w:tcBorders>
          </w:tcPr>
          <w:p w:rsidR="002A2188" w:rsidRPr="00720A57" w:rsidRDefault="002A2188" w:rsidP="00FA77B0">
            <w:pPr>
              <w:spacing w:before="0" w:line="240" w:lineRule="atLeast"/>
              <w:rPr>
                <w:rFonts w:asciiTheme="minorHAnsi" w:hAnsiTheme="minorHAnsi"/>
                <w:szCs w:val="24"/>
              </w:rPr>
            </w:pPr>
          </w:p>
        </w:tc>
      </w:tr>
      <w:tr w:rsidR="002A2188" w:rsidRPr="00720A57" w:rsidTr="008271CD">
        <w:trPr>
          <w:cantSplit/>
        </w:trPr>
        <w:tc>
          <w:tcPr>
            <w:tcW w:w="6911" w:type="dxa"/>
            <w:tcBorders>
              <w:top w:val="single" w:sz="12" w:space="0" w:color="auto"/>
            </w:tcBorders>
          </w:tcPr>
          <w:p w:rsidR="002A2188" w:rsidRPr="00720A57" w:rsidRDefault="002A2188" w:rsidP="00FA77B0">
            <w:pPr>
              <w:spacing w:before="0" w:line="240" w:lineRule="atLeast"/>
              <w:rPr>
                <w:rFonts w:asciiTheme="minorHAnsi" w:hAnsiTheme="minorHAnsi"/>
                <w:b/>
                <w:smallCaps/>
                <w:szCs w:val="24"/>
              </w:rPr>
            </w:pPr>
          </w:p>
        </w:tc>
        <w:tc>
          <w:tcPr>
            <w:tcW w:w="3120" w:type="dxa"/>
            <w:tcBorders>
              <w:top w:val="single" w:sz="12" w:space="0" w:color="auto"/>
            </w:tcBorders>
          </w:tcPr>
          <w:p w:rsidR="002A2188" w:rsidRPr="00720A57" w:rsidRDefault="002A2188" w:rsidP="00FA77B0">
            <w:pPr>
              <w:spacing w:before="0" w:line="240" w:lineRule="atLeast"/>
              <w:rPr>
                <w:rFonts w:asciiTheme="minorHAnsi" w:hAnsiTheme="minorHAnsi"/>
                <w:szCs w:val="24"/>
              </w:rPr>
            </w:pPr>
          </w:p>
        </w:tc>
      </w:tr>
      <w:tr w:rsidR="002A2188" w:rsidRPr="00720A57" w:rsidTr="008271CD">
        <w:trPr>
          <w:cantSplit/>
          <w:trHeight w:val="23"/>
        </w:trPr>
        <w:tc>
          <w:tcPr>
            <w:tcW w:w="6911" w:type="dxa"/>
            <w:vMerge w:val="restart"/>
          </w:tcPr>
          <w:p w:rsidR="002A2188" w:rsidRPr="00720A57" w:rsidRDefault="00D04E39" w:rsidP="00A0212E">
            <w:pPr>
              <w:tabs>
                <w:tab w:val="left" w:pos="851"/>
              </w:tabs>
              <w:spacing w:before="0" w:line="240" w:lineRule="atLeast"/>
              <w:rPr>
                <w:rFonts w:asciiTheme="minorHAnsi" w:hAnsiTheme="minorHAnsi"/>
                <w:b/>
              </w:rPr>
            </w:pPr>
            <w:bookmarkStart w:id="2" w:name="dmeeting" w:colFirst="0" w:colLast="0"/>
            <w:bookmarkStart w:id="3" w:name="dnum" w:colFirst="1" w:colLast="1"/>
            <w:r w:rsidRPr="00720A57">
              <w:rPr>
                <w:rFonts w:asciiTheme="minorHAnsi" w:hAnsiTheme="minorHAnsi"/>
                <w:b/>
              </w:rPr>
              <w:t xml:space="preserve">Agenda item: </w:t>
            </w:r>
            <w:r w:rsidR="00407746" w:rsidRPr="00720A57">
              <w:rPr>
                <w:rFonts w:asciiTheme="minorHAnsi" w:hAnsiTheme="minorHAnsi"/>
                <w:b/>
              </w:rPr>
              <w:t xml:space="preserve">ADM </w:t>
            </w:r>
            <w:r w:rsidR="00FF1526">
              <w:rPr>
                <w:rFonts w:asciiTheme="minorHAnsi" w:hAnsiTheme="minorHAnsi"/>
                <w:b/>
              </w:rPr>
              <w:t>3</w:t>
            </w:r>
          </w:p>
        </w:tc>
        <w:tc>
          <w:tcPr>
            <w:tcW w:w="3120" w:type="dxa"/>
          </w:tcPr>
          <w:p w:rsidR="002A2188" w:rsidRPr="00720A57" w:rsidRDefault="002A2188" w:rsidP="00A84A88">
            <w:pPr>
              <w:tabs>
                <w:tab w:val="left" w:pos="851"/>
              </w:tabs>
              <w:spacing w:before="0" w:line="240" w:lineRule="atLeast"/>
              <w:rPr>
                <w:rFonts w:asciiTheme="minorHAnsi" w:hAnsiTheme="minorHAnsi"/>
                <w:b/>
              </w:rPr>
            </w:pPr>
            <w:r w:rsidRPr="00720A57">
              <w:rPr>
                <w:rFonts w:asciiTheme="minorHAnsi" w:hAnsiTheme="minorHAnsi"/>
                <w:b/>
              </w:rPr>
              <w:t>Document C1</w:t>
            </w:r>
            <w:r w:rsidR="00623AE3" w:rsidRPr="00720A57">
              <w:rPr>
                <w:rFonts w:asciiTheme="minorHAnsi" w:hAnsiTheme="minorHAnsi"/>
                <w:b/>
              </w:rPr>
              <w:t>8</w:t>
            </w:r>
            <w:r w:rsidR="00237687" w:rsidRPr="00720A57">
              <w:rPr>
                <w:rFonts w:asciiTheme="minorHAnsi" w:hAnsiTheme="minorHAnsi"/>
                <w:b/>
              </w:rPr>
              <w:t>/</w:t>
            </w:r>
            <w:r w:rsidR="00A84A88">
              <w:rPr>
                <w:rFonts w:asciiTheme="minorHAnsi" w:hAnsiTheme="minorHAnsi"/>
                <w:b/>
              </w:rPr>
              <w:t>100</w:t>
            </w:r>
            <w:r w:rsidR="00407746" w:rsidRPr="00720A57">
              <w:rPr>
                <w:rFonts w:asciiTheme="minorHAnsi" w:hAnsiTheme="minorHAnsi"/>
                <w:b/>
              </w:rPr>
              <w:t>-</w:t>
            </w:r>
            <w:r w:rsidRPr="00720A57">
              <w:rPr>
                <w:rFonts w:asciiTheme="minorHAnsi" w:hAnsiTheme="minorHAnsi"/>
                <w:b/>
              </w:rPr>
              <w:t>E</w:t>
            </w:r>
          </w:p>
        </w:tc>
      </w:tr>
      <w:tr w:rsidR="002A2188" w:rsidRPr="00720A57" w:rsidTr="008271CD">
        <w:trPr>
          <w:cantSplit/>
          <w:trHeight w:val="23"/>
        </w:trPr>
        <w:tc>
          <w:tcPr>
            <w:tcW w:w="6911" w:type="dxa"/>
            <w:vMerge/>
          </w:tcPr>
          <w:p w:rsidR="002A2188" w:rsidRPr="00720A57" w:rsidRDefault="002A2188" w:rsidP="00FA77B0">
            <w:pPr>
              <w:tabs>
                <w:tab w:val="left" w:pos="851"/>
              </w:tabs>
              <w:spacing w:before="0" w:line="240" w:lineRule="atLeast"/>
              <w:rPr>
                <w:rFonts w:asciiTheme="minorHAnsi" w:hAnsiTheme="minorHAnsi"/>
                <w:b/>
              </w:rPr>
            </w:pPr>
            <w:bookmarkStart w:id="4" w:name="ddate" w:colFirst="1" w:colLast="1"/>
            <w:bookmarkEnd w:id="2"/>
            <w:bookmarkEnd w:id="3"/>
          </w:p>
        </w:tc>
        <w:tc>
          <w:tcPr>
            <w:tcW w:w="3120" w:type="dxa"/>
          </w:tcPr>
          <w:p w:rsidR="002A2188" w:rsidRPr="00720A57" w:rsidRDefault="00A0212E" w:rsidP="00FB4F2C">
            <w:pPr>
              <w:tabs>
                <w:tab w:val="left" w:pos="993"/>
              </w:tabs>
              <w:spacing w:before="0"/>
              <w:rPr>
                <w:rFonts w:asciiTheme="minorHAnsi" w:hAnsiTheme="minorHAnsi"/>
                <w:b/>
              </w:rPr>
            </w:pPr>
            <w:r>
              <w:rPr>
                <w:rFonts w:asciiTheme="minorHAnsi" w:hAnsiTheme="minorHAnsi"/>
                <w:b/>
              </w:rPr>
              <w:t>6</w:t>
            </w:r>
            <w:r w:rsidR="00407746" w:rsidRPr="00720A57">
              <w:rPr>
                <w:rFonts w:asciiTheme="minorHAnsi" w:hAnsiTheme="minorHAnsi"/>
                <w:b/>
              </w:rPr>
              <w:t xml:space="preserve"> </w:t>
            </w:r>
            <w:r w:rsidR="00FB4F2C" w:rsidRPr="00720A57">
              <w:rPr>
                <w:rFonts w:asciiTheme="minorHAnsi" w:hAnsiTheme="minorHAnsi"/>
                <w:b/>
              </w:rPr>
              <w:t>April</w:t>
            </w:r>
            <w:r w:rsidR="00407746" w:rsidRPr="00720A57">
              <w:rPr>
                <w:rFonts w:asciiTheme="minorHAnsi" w:hAnsiTheme="minorHAnsi"/>
                <w:b/>
              </w:rPr>
              <w:t xml:space="preserve"> </w:t>
            </w:r>
            <w:r w:rsidR="00EF2F84" w:rsidRPr="00720A57">
              <w:rPr>
                <w:rFonts w:asciiTheme="minorHAnsi" w:hAnsiTheme="minorHAnsi"/>
                <w:b/>
              </w:rPr>
              <w:t>2018</w:t>
            </w:r>
          </w:p>
        </w:tc>
      </w:tr>
      <w:tr w:rsidR="002A2188" w:rsidRPr="00720A57" w:rsidTr="008271CD">
        <w:trPr>
          <w:cantSplit/>
          <w:trHeight w:val="23"/>
        </w:trPr>
        <w:tc>
          <w:tcPr>
            <w:tcW w:w="6911" w:type="dxa"/>
            <w:vMerge/>
          </w:tcPr>
          <w:p w:rsidR="002A2188" w:rsidRPr="00720A57" w:rsidRDefault="002A2188" w:rsidP="00FA77B0">
            <w:pPr>
              <w:tabs>
                <w:tab w:val="left" w:pos="851"/>
              </w:tabs>
              <w:spacing w:before="0" w:line="240" w:lineRule="atLeast"/>
              <w:rPr>
                <w:rFonts w:asciiTheme="minorHAnsi" w:hAnsiTheme="minorHAnsi"/>
                <w:b/>
              </w:rPr>
            </w:pPr>
            <w:bookmarkStart w:id="5" w:name="dorlang" w:colFirst="1" w:colLast="1"/>
            <w:bookmarkEnd w:id="4"/>
          </w:p>
        </w:tc>
        <w:tc>
          <w:tcPr>
            <w:tcW w:w="3120" w:type="dxa"/>
          </w:tcPr>
          <w:p w:rsidR="002A2188" w:rsidRPr="00720A57" w:rsidRDefault="002A2188" w:rsidP="00FA77B0">
            <w:pPr>
              <w:tabs>
                <w:tab w:val="left" w:pos="993"/>
              </w:tabs>
              <w:spacing w:before="0"/>
              <w:rPr>
                <w:rFonts w:asciiTheme="minorHAnsi" w:hAnsiTheme="minorHAnsi"/>
                <w:b/>
              </w:rPr>
            </w:pPr>
            <w:r w:rsidRPr="00720A57">
              <w:rPr>
                <w:rFonts w:asciiTheme="minorHAnsi" w:hAnsiTheme="minorHAnsi"/>
                <w:b/>
              </w:rPr>
              <w:t>Original: English</w:t>
            </w:r>
          </w:p>
        </w:tc>
      </w:tr>
      <w:tr w:rsidR="002A2188" w:rsidRPr="00720A57" w:rsidTr="008271CD">
        <w:trPr>
          <w:cantSplit/>
        </w:trPr>
        <w:tc>
          <w:tcPr>
            <w:tcW w:w="10031" w:type="dxa"/>
            <w:gridSpan w:val="2"/>
          </w:tcPr>
          <w:p w:rsidR="002A2188" w:rsidRPr="00720A57" w:rsidRDefault="002C13BA" w:rsidP="008271CD">
            <w:pPr>
              <w:pStyle w:val="Source"/>
              <w:rPr>
                <w:rFonts w:asciiTheme="minorHAnsi" w:hAnsiTheme="minorHAnsi"/>
              </w:rPr>
            </w:pPr>
            <w:bookmarkStart w:id="6" w:name="dsource" w:colFirst="0" w:colLast="0"/>
            <w:bookmarkEnd w:id="5"/>
            <w:r>
              <w:rPr>
                <w:rFonts w:asciiTheme="minorHAnsi" w:hAnsiTheme="minorHAnsi"/>
              </w:rPr>
              <w:t>Report</w:t>
            </w:r>
            <w:r w:rsidR="00D04E39" w:rsidRPr="00720A57">
              <w:rPr>
                <w:rFonts w:asciiTheme="minorHAnsi" w:hAnsiTheme="minorHAnsi"/>
              </w:rPr>
              <w:t xml:space="preserve"> by the Secretary-General</w:t>
            </w:r>
          </w:p>
        </w:tc>
      </w:tr>
      <w:tr w:rsidR="002A2188" w:rsidRPr="00720A57" w:rsidTr="008271CD">
        <w:trPr>
          <w:cantSplit/>
        </w:trPr>
        <w:tc>
          <w:tcPr>
            <w:tcW w:w="10031" w:type="dxa"/>
            <w:gridSpan w:val="2"/>
          </w:tcPr>
          <w:p w:rsidR="002A2188" w:rsidRPr="00720A57" w:rsidRDefault="00FB4F2C" w:rsidP="00854160">
            <w:pPr>
              <w:pStyle w:val="Title1"/>
              <w:rPr>
                <w:rFonts w:asciiTheme="minorHAnsi" w:hAnsiTheme="minorHAnsi"/>
              </w:rPr>
            </w:pPr>
            <w:bookmarkStart w:id="7" w:name="dtitle1" w:colFirst="0" w:colLast="0"/>
            <w:bookmarkEnd w:id="6"/>
            <w:r w:rsidRPr="00720A57">
              <w:rPr>
                <w:rFonts w:asciiTheme="minorHAnsi" w:hAnsiTheme="minorHAnsi" w:cs="Times New Roman Bold"/>
                <w:bCs/>
              </w:rPr>
              <w:t xml:space="preserve">status report </w:t>
            </w:r>
            <w:r w:rsidR="008271CD" w:rsidRPr="00720A57">
              <w:rPr>
                <w:rFonts w:asciiTheme="minorHAnsi" w:hAnsiTheme="minorHAnsi" w:cs="Times New Roman Bold"/>
                <w:bCs/>
              </w:rPr>
              <w:t xml:space="preserve">on implementation of </w:t>
            </w:r>
            <w:r w:rsidR="008271CD" w:rsidRPr="00720A57">
              <w:rPr>
                <w:rFonts w:asciiTheme="minorHAnsi" w:hAnsiTheme="minorHAnsi" w:cs="Times New Roman Bold"/>
                <w:bCs/>
              </w:rPr>
              <w:br/>
              <w:t>Council Decision</w:t>
            </w:r>
            <w:r w:rsidR="00241AA0">
              <w:rPr>
                <w:rFonts w:asciiTheme="minorHAnsi" w:hAnsiTheme="minorHAnsi" w:cs="Times New Roman Bold"/>
                <w:bCs/>
              </w:rPr>
              <w:t>S</w:t>
            </w:r>
            <w:r w:rsidR="008271CD" w:rsidRPr="00720A57">
              <w:rPr>
                <w:rFonts w:asciiTheme="minorHAnsi" w:hAnsiTheme="minorHAnsi" w:cs="Times New Roman Bold"/>
                <w:bCs/>
              </w:rPr>
              <w:t xml:space="preserve"> 600 and 601 (UIFN, IIN)</w:t>
            </w:r>
          </w:p>
        </w:tc>
      </w:tr>
      <w:bookmarkEnd w:id="7"/>
    </w:tbl>
    <w:p w:rsidR="002A2188" w:rsidRPr="00720A57" w:rsidRDefault="002A2188" w:rsidP="002A2188">
      <w:pPr>
        <w:rPr>
          <w:rFonts w:asciiTheme="minorHAnsi" w:hAnsiTheme="minorHAnsi"/>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720A57" w:rsidTr="008271CD">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720A57" w:rsidRDefault="002A2188" w:rsidP="00A84A88">
            <w:pPr>
              <w:pStyle w:val="Headingb"/>
              <w:tabs>
                <w:tab w:val="clear" w:pos="567"/>
                <w:tab w:val="clear" w:pos="1134"/>
                <w:tab w:val="clear" w:pos="1701"/>
                <w:tab w:val="clear" w:pos="2268"/>
                <w:tab w:val="clear" w:pos="2835"/>
              </w:tabs>
              <w:snapToGrid w:val="0"/>
              <w:spacing w:before="120" w:after="120"/>
              <w:jc w:val="both"/>
              <w:rPr>
                <w:rFonts w:asciiTheme="minorHAnsi" w:hAnsiTheme="minorHAnsi"/>
              </w:rPr>
            </w:pPr>
            <w:r w:rsidRPr="00720A57">
              <w:rPr>
                <w:rFonts w:asciiTheme="minorHAnsi" w:hAnsiTheme="minorHAnsi"/>
              </w:rPr>
              <w:t>Summary</w:t>
            </w:r>
          </w:p>
          <w:p w:rsidR="00FB4F2C" w:rsidRPr="00720A57" w:rsidRDefault="005D5696" w:rsidP="00A84A88">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720A57">
              <w:rPr>
                <w:rFonts w:asciiTheme="minorHAnsi" w:hAnsiTheme="minorHAnsi"/>
                <w:szCs w:val="24"/>
              </w:rPr>
              <w:t xml:space="preserve">The ITU Secretariat presented a status report </w:t>
            </w:r>
            <w:r w:rsidR="00FB4F2C" w:rsidRPr="00720A57">
              <w:rPr>
                <w:rFonts w:asciiTheme="minorHAnsi" w:hAnsiTheme="minorHAnsi"/>
                <w:szCs w:val="24"/>
              </w:rPr>
              <w:t>on the implementation of Council Decision</w:t>
            </w:r>
            <w:r w:rsidR="00241AA0">
              <w:rPr>
                <w:rFonts w:asciiTheme="minorHAnsi" w:hAnsiTheme="minorHAnsi"/>
                <w:szCs w:val="24"/>
              </w:rPr>
              <w:t>s</w:t>
            </w:r>
            <w:r w:rsidR="00FB4F2C" w:rsidRPr="00720A57">
              <w:rPr>
                <w:rFonts w:asciiTheme="minorHAnsi" w:hAnsiTheme="minorHAnsi"/>
                <w:szCs w:val="24"/>
              </w:rPr>
              <w:t xml:space="preserve"> 600 and 601 to CWG-FHR in January 2018. Following the discussion at CWG-FHR, this </w:t>
            </w:r>
            <w:r w:rsidR="006B0B3B" w:rsidRPr="00720A57">
              <w:rPr>
                <w:rFonts w:asciiTheme="minorHAnsi" w:hAnsiTheme="minorHAnsi"/>
                <w:szCs w:val="24"/>
              </w:rPr>
              <w:t xml:space="preserve">document </w:t>
            </w:r>
            <w:r w:rsidR="00985F06" w:rsidRPr="00720A57">
              <w:rPr>
                <w:rFonts w:asciiTheme="minorHAnsi" w:hAnsiTheme="minorHAnsi"/>
                <w:szCs w:val="24"/>
              </w:rPr>
              <w:t xml:space="preserve">reproduces the </w:t>
            </w:r>
            <w:r w:rsidR="00FB4F2C" w:rsidRPr="00720A57">
              <w:rPr>
                <w:rFonts w:asciiTheme="minorHAnsi" w:hAnsiTheme="minorHAnsi"/>
                <w:szCs w:val="24"/>
              </w:rPr>
              <w:t>1</w:t>
            </w:r>
            <w:r w:rsidR="00FB4F2C" w:rsidRPr="00A0212E">
              <w:rPr>
                <w:rFonts w:asciiTheme="minorHAnsi" w:hAnsiTheme="minorHAnsi"/>
                <w:szCs w:val="24"/>
              </w:rPr>
              <w:t>st</w:t>
            </w:r>
            <w:r w:rsidR="00FB4F2C" w:rsidRPr="00720A57">
              <w:rPr>
                <w:rFonts w:asciiTheme="minorHAnsi" w:hAnsiTheme="minorHAnsi"/>
                <w:szCs w:val="24"/>
              </w:rPr>
              <w:t xml:space="preserve"> proposal: </w:t>
            </w:r>
          </w:p>
          <w:p w:rsidR="00FB4F2C" w:rsidRPr="00720A57" w:rsidRDefault="00FB4F2C" w:rsidP="00A84A88">
            <w:pPr>
              <w:pStyle w:val="ListParagraph"/>
              <w:numPr>
                <w:ilvl w:val="0"/>
                <w:numId w:val="24"/>
              </w:numPr>
              <w:tabs>
                <w:tab w:val="clear" w:pos="1134"/>
                <w:tab w:val="clear" w:pos="1871"/>
                <w:tab w:val="clear" w:pos="2268"/>
              </w:tabs>
              <w:snapToGrid w:val="0"/>
              <w:spacing w:after="120"/>
              <w:ind w:left="478" w:hanging="426"/>
              <w:contextualSpacing w:val="0"/>
              <w:jc w:val="both"/>
            </w:pPr>
            <w:r w:rsidRPr="00720A57">
              <w:t>National Administrations/regulators are invited to provide focal point for providing or investigating up-to-date contacts for UIFN service providers (</w:t>
            </w:r>
            <w:proofErr w:type="spellStart"/>
            <w:r w:rsidRPr="00720A57">
              <w:t>RoAs</w:t>
            </w:r>
            <w:proofErr w:type="spellEnd"/>
            <w:r w:rsidRPr="00720A57">
              <w:t>) and the assignees of IINs</w:t>
            </w:r>
            <w:r w:rsidRPr="00720A57">
              <w:rPr>
                <w:szCs w:val="24"/>
              </w:rPr>
              <w:t>,</w:t>
            </w:r>
          </w:p>
          <w:p w:rsidR="00FB4F2C" w:rsidRPr="00720A57" w:rsidRDefault="00FB4F2C" w:rsidP="00A84A88">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720A57">
              <w:rPr>
                <w:rFonts w:asciiTheme="minorHAnsi" w:hAnsiTheme="minorHAnsi"/>
                <w:szCs w:val="24"/>
              </w:rPr>
              <w:t>and modifies the 2</w:t>
            </w:r>
            <w:r w:rsidRPr="00A0212E">
              <w:rPr>
                <w:rFonts w:asciiTheme="minorHAnsi" w:hAnsiTheme="minorHAnsi"/>
                <w:szCs w:val="24"/>
              </w:rPr>
              <w:t>nd</w:t>
            </w:r>
            <w:r w:rsidRPr="00720A57">
              <w:rPr>
                <w:rFonts w:asciiTheme="minorHAnsi" w:hAnsiTheme="minorHAnsi"/>
                <w:szCs w:val="24"/>
              </w:rPr>
              <w:t xml:space="preserve"> proposal presented at CWG-FHR:</w:t>
            </w:r>
          </w:p>
          <w:p w:rsidR="002A2188" w:rsidRPr="00720A57" w:rsidRDefault="00ED2718" w:rsidP="00A84A88">
            <w:pPr>
              <w:pStyle w:val="ListParagraph"/>
              <w:numPr>
                <w:ilvl w:val="0"/>
                <w:numId w:val="24"/>
              </w:numPr>
              <w:tabs>
                <w:tab w:val="clear" w:pos="1134"/>
                <w:tab w:val="clear" w:pos="1871"/>
                <w:tab w:val="clear" w:pos="2268"/>
              </w:tabs>
              <w:snapToGrid w:val="0"/>
              <w:spacing w:after="120"/>
              <w:ind w:left="478" w:hanging="478"/>
              <w:contextualSpacing w:val="0"/>
              <w:jc w:val="both"/>
            </w:pPr>
            <w:r w:rsidRPr="00720A57">
              <w:t>F</w:t>
            </w:r>
            <w:r w:rsidR="00FB4F2C" w:rsidRPr="00720A57">
              <w:t xml:space="preserve">or entities for which national Administrations/regulators have lost contact and for which they cannot find out new contacts by the time of Council 2019, all records relevant to these entities will be removed from the ITU database </w:t>
            </w:r>
            <w:r w:rsidR="00FB4F2C" w:rsidRPr="00A0212E">
              <w:rPr>
                <w:spacing w:val="-4"/>
              </w:rPr>
              <w:t>based on confirmations/notifications from national Administrations/regulators.</w:t>
            </w:r>
          </w:p>
          <w:p w:rsidR="002A2188" w:rsidRPr="00720A57" w:rsidRDefault="002A2188" w:rsidP="00A84A88">
            <w:pPr>
              <w:pStyle w:val="Headingb"/>
              <w:tabs>
                <w:tab w:val="clear" w:pos="567"/>
                <w:tab w:val="clear" w:pos="1134"/>
                <w:tab w:val="clear" w:pos="1701"/>
                <w:tab w:val="clear" w:pos="2268"/>
                <w:tab w:val="clear" w:pos="2835"/>
              </w:tabs>
              <w:snapToGrid w:val="0"/>
              <w:spacing w:before="120" w:after="120"/>
              <w:jc w:val="both"/>
              <w:rPr>
                <w:rFonts w:asciiTheme="minorHAnsi" w:hAnsiTheme="minorHAnsi"/>
              </w:rPr>
            </w:pPr>
            <w:r w:rsidRPr="00720A57">
              <w:rPr>
                <w:rFonts w:asciiTheme="minorHAnsi" w:hAnsiTheme="minorHAnsi"/>
              </w:rPr>
              <w:t>Action required</w:t>
            </w:r>
          </w:p>
          <w:p w:rsidR="002A2188" w:rsidRPr="00720A57" w:rsidRDefault="00D40A05" w:rsidP="00A84A88">
            <w:pPr>
              <w:tabs>
                <w:tab w:val="clear" w:pos="567"/>
                <w:tab w:val="clear" w:pos="1134"/>
                <w:tab w:val="clear" w:pos="1701"/>
                <w:tab w:val="clear" w:pos="2268"/>
                <w:tab w:val="clear" w:pos="2835"/>
              </w:tabs>
              <w:snapToGrid w:val="0"/>
              <w:spacing w:after="120"/>
              <w:jc w:val="both"/>
              <w:rPr>
                <w:rFonts w:asciiTheme="minorHAnsi" w:hAnsiTheme="minorHAnsi"/>
              </w:rPr>
            </w:pPr>
            <w:r w:rsidRPr="00720A57">
              <w:rPr>
                <w:rFonts w:asciiTheme="minorHAnsi" w:hAnsiTheme="minorHAnsi" w:cstheme="minorHAnsi"/>
                <w:szCs w:val="24"/>
              </w:rPr>
              <w:t>C</w:t>
            </w:r>
            <w:r w:rsidR="00CF4436" w:rsidRPr="00720A57">
              <w:rPr>
                <w:rFonts w:asciiTheme="minorHAnsi" w:hAnsiTheme="minorHAnsi" w:cstheme="minorHAnsi"/>
                <w:szCs w:val="24"/>
              </w:rPr>
              <w:t xml:space="preserve">ouncil is invited to </w:t>
            </w:r>
            <w:r w:rsidR="00CF4436" w:rsidRPr="00A0212E">
              <w:rPr>
                <w:rFonts w:asciiTheme="minorHAnsi" w:hAnsiTheme="minorHAnsi" w:cstheme="minorHAnsi"/>
                <w:b/>
                <w:bCs/>
                <w:szCs w:val="24"/>
              </w:rPr>
              <w:t>take note</w:t>
            </w:r>
            <w:r w:rsidR="00CF4436" w:rsidRPr="00720A57">
              <w:rPr>
                <w:rFonts w:asciiTheme="minorHAnsi" w:hAnsiTheme="minorHAnsi" w:cstheme="minorHAnsi"/>
                <w:szCs w:val="24"/>
              </w:rPr>
              <w:t xml:space="preserve"> of the first proposal and </w:t>
            </w:r>
            <w:r w:rsidR="008B063F" w:rsidRPr="00A0212E">
              <w:rPr>
                <w:rFonts w:asciiTheme="minorHAnsi" w:hAnsiTheme="minorHAnsi" w:cstheme="minorHAnsi"/>
                <w:b/>
                <w:bCs/>
                <w:szCs w:val="24"/>
              </w:rPr>
              <w:t>endorse</w:t>
            </w:r>
            <w:r w:rsidR="00CF4436" w:rsidRPr="00720A57">
              <w:rPr>
                <w:rFonts w:asciiTheme="minorHAnsi" w:hAnsiTheme="minorHAnsi" w:cstheme="minorHAnsi"/>
                <w:szCs w:val="24"/>
              </w:rPr>
              <w:t xml:space="preserve"> the </w:t>
            </w:r>
            <w:r w:rsidR="00BE294E" w:rsidRPr="00720A57">
              <w:rPr>
                <w:rFonts w:asciiTheme="minorHAnsi" w:hAnsiTheme="minorHAnsi" w:cstheme="minorHAnsi"/>
                <w:szCs w:val="24"/>
              </w:rPr>
              <w:t xml:space="preserve">revised </w:t>
            </w:r>
            <w:r w:rsidR="00CF4436" w:rsidRPr="00720A57">
              <w:rPr>
                <w:rFonts w:asciiTheme="minorHAnsi" w:hAnsiTheme="minorHAnsi" w:cstheme="minorHAnsi"/>
                <w:szCs w:val="24"/>
              </w:rPr>
              <w:t>second proposal</w:t>
            </w:r>
            <w:r w:rsidR="00D8085D" w:rsidRPr="00720A57">
              <w:rPr>
                <w:rFonts w:asciiTheme="minorHAnsi" w:hAnsiTheme="minorHAnsi"/>
                <w:szCs w:val="24"/>
              </w:rPr>
              <w:t>.</w:t>
            </w:r>
          </w:p>
          <w:p w:rsidR="002A2188" w:rsidRPr="00720A57" w:rsidRDefault="002A2188" w:rsidP="00A84A88">
            <w:pPr>
              <w:pStyle w:val="Headingb"/>
              <w:tabs>
                <w:tab w:val="clear" w:pos="567"/>
                <w:tab w:val="clear" w:pos="1134"/>
                <w:tab w:val="clear" w:pos="1701"/>
                <w:tab w:val="clear" w:pos="2268"/>
                <w:tab w:val="clear" w:pos="2835"/>
              </w:tabs>
              <w:snapToGrid w:val="0"/>
              <w:spacing w:before="120" w:after="120"/>
              <w:rPr>
                <w:rFonts w:asciiTheme="minorHAnsi" w:hAnsiTheme="minorHAnsi"/>
              </w:rPr>
            </w:pPr>
            <w:r w:rsidRPr="00720A57">
              <w:rPr>
                <w:rFonts w:asciiTheme="minorHAnsi" w:hAnsiTheme="minorHAnsi"/>
              </w:rPr>
              <w:t>References</w:t>
            </w:r>
          </w:p>
          <w:p w:rsidR="002A2188" w:rsidRPr="00720A57" w:rsidRDefault="00036D2E" w:rsidP="00A84A88">
            <w:pPr>
              <w:tabs>
                <w:tab w:val="clear" w:pos="567"/>
                <w:tab w:val="clear" w:pos="1134"/>
                <w:tab w:val="clear" w:pos="1701"/>
                <w:tab w:val="clear" w:pos="2268"/>
                <w:tab w:val="clear" w:pos="2835"/>
              </w:tabs>
              <w:snapToGrid w:val="0"/>
              <w:spacing w:after="120"/>
              <w:rPr>
                <w:rFonts w:asciiTheme="minorHAnsi" w:hAnsiTheme="minorHAnsi"/>
                <w:lang w:val="en-US"/>
              </w:rPr>
            </w:pPr>
            <w:hyperlink r:id="rId9" w:history="1">
              <w:r w:rsidR="006D0F09" w:rsidRPr="00720A57">
                <w:rPr>
                  <w:rStyle w:val="Hyperlink"/>
                  <w:rFonts w:asciiTheme="minorHAnsi" w:hAnsiTheme="minorHAnsi" w:cstheme="majorBidi"/>
                  <w:lang w:val="en-US"/>
                </w:rPr>
                <w:t>C17/133</w:t>
              </w:r>
            </w:hyperlink>
            <w:r w:rsidR="006D0F09" w:rsidRPr="00720A57">
              <w:rPr>
                <w:rFonts w:asciiTheme="minorHAnsi" w:hAnsiTheme="minorHAnsi" w:cstheme="majorBidi"/>
                <w:color w:val="000000"/>
                <w:lang w:val="en-US"/>
              </w:rPr>
              <w:t xml:space="preserve">, </w:t>
            </w:r>
            <w:hyperlink r:id="rId10" w:history="1">
              <w:r w:rsidR="006D0F09" w:rsidRPr="00720A57">
                <w:rPr>
                  <w:rStyle w:val="Hyperlink"/>
                  <w:rFonts w:asciiTheme="minorHAnsi" w:hAnsiTheme="minorHAnsi" w:cstheme="majorBidi"/>
                  <w:lang w:val="en-US"/>
                </w:rPr>
                <w:t>C17/134</w:t>
              </w:r>
            </w:hyperlink>
            <w:r w:rsidR="007D5357" w:rsidRPr="00720A57">
              <w:rPr>
                <w:rFonts w:asciiTheme="minorHAnsi" w:hAnsiTheme="minorHAnsi"/>
                <w:szCs w:val="24"/>
                <w:lang w:val="en-US"/>
              </w:rPr>
              <w:t xml:space="preserve">, </w:t>
            </w:r>
            <w:hyperlink r:id="rId11" w:history="1">
              <w:r w:rsidR="006D0F09" w:rsidRPr="00720A57">
                <w:rPr>
                  <w:rStyle w:val="Hyperlink"/>
                  <w:rFonts w:asciiTheme="minorHAnsi" w:hAnsiTheme="minorHAnsi"/>
                  <w:lang w:val="en-US"/>
                </w:rPr>
                <w:t>CWG-FHR</w:t>
              </w:r>
              <w:r w:rsidR="006D0F09" w:rsidRPr="00720A57">
                <w:rPr>
                  <w:rStyle w:val="Hyperlink"/>
                  <w:rFonts w:asciiTheme="minorHAnsi" w:hAnsiTheme="minorHAnsi"/>
                  <w:szCs w:val="24"/>
                  <w:lang w:val="en-US"/>
                </w:rPr>
                <w:t xml:space="preserve"> 8/18</w:t>
              </w:r>
            </w:hyperlink>
            <w:r w:rsidR="006D0F09" w:rsidRPr="00720A57">
              <w:rPr>
                <w:rFonts w:asciiTheme="minorHAnsi" w:hAnsiTheme="minorHAnsi"/>
                <w:lang w:val="en-US"/>
              </w:rPr>
              <w:t xml:space="preserve">, </w:t>
            </w:r>
            <w:hyperlink r:id="rId12" w:history="1">
              <w:r w:rsidR="006D0F09" w:rsidRPr="00720A57">
                <w:rPr>
                  <w:rStyle w:val="Hyperlink"/>
                  <w:rFonts w:asciiTheme="minorHAnsi" w:hAnsiTheme="minorHAnsi"/>
                  <w:lang w:val="en-US"/>
                </w:rPr>
                <w:t>CWG-FHR</w:t>
              </w:r>
              <w:r w:rsidR="006D0F09" w:rsidRPr="00720A57">
                <w:rPr>
                  <w:rStyle w:val="Hyperlink"/>
                  <w:rFonts w:asciiTheme="minorHAnsi" w:hAnsiTheme="minorHAnsi"/>
                  <w:szCs w:val="24"/>
                  <w:lang w:val="en-US"/>
                </w:rPr>
                <w:t xml:space="preserve"> 8/28</w:t>
              </w:r>
            </w:hyperlink>
          </w:p>
        </w:tc>
      </w:tr>
    </w:tbl>
    <w:p w:rsidR="006B0B3B" w:rsidRPr="00720A57" w:rsidRDefault="006B0B3B" w:rsidP="00A0212E">
      <w:pPr>
        <w:tabs>
          <w:tab w:val="clear" w:pos="567"/>
          <w:tab w:val="clear" w:pos="1134"/>
          <w:tab w:val="clear" w:pos="1701"/>
          <w:tab w:val="clear" w:pos="2268"/>
          <w:tab w:val="clear" w:pos="2835"/>
        </w:tabs>
        <w:overflowPunct/>
        <w:autoSpaceDE/>
        <w:autoSpaceDN/>
        <w:snapToGrid w:val="0"/>
        <w:spacing w:before="600" w:after="120"/>
        <w:textAlignment w:val="auto"/>
        <w:rPr>
          <w:rFonts w:asciiTheme="minorHAnsi" w:hAnsiTheme="minorHAnsi"/>
          <w:b/>
          <w:bCs/>
          <w:szCs w:val="24"/>
        </w:rPr>
      </w:pPr>
      <w:bookmarkStart w:id="8" w:name="dstart"/>
      <w:bookmarkStart w:id="9" w:name="dbreak"/>
      <w:bookmarkEnd w:id="8"/>
      <w:bookmarkEnd w:id="9"/>
      <w:r w:rsidRPr="00720A57">
        <w:rPr>
          <w:rFonts w:asciiTheme="minorHAnsi" w:hAnsiTheme="minorHAnsi"/>
          <w:b/>
          <w:bCs/>
          <w:szCs w:val="24"/>
        </w:rPr>
        <w:t>Background</w:t>
      </w:r>
    </w:p>
    <w:p w:rsidR="006B0B3B" w:rsidRPr="00720A57" w:rsidRDefault="006B0B3B" w:rsidP="00A0212E">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720A57">
        <w:rPr>
          <w:rFonts w:asciiTheme="minorHAnsi" w:hAnsiTheme="minorHAnsi"/>
          <w:szCs w:val="24"/>
        </w:rPr>
        <w:t>Following the approval of Decision</w:t>
      </w:r>
      <w:r w:rsidR="00241AA0">
        <w:rPr>
          <w:rFonts w:asciiTheme="minorHAnsi" w:hAnsiTheme="minorHAnsi"/>
          <w:szCs w:val="24"/>
        </w:rPr>
        <w:t>s</w:t>
      </w:r>
      <w:r w:rsidRPr="00720A57">
        <w:rPr>
          <w:rFonts w:asciiTheme="minorHAnsi" w:hAnsiTheme="minorHAnsi"/>
          <w:szCs w:val="24"/>
        </w:rPr>
        <w:t xml:space="preserve"> 600 </w:t>
      </w:r>
      <w:r w:rsidR="006D0F09" w:rsidRPr="00720A57">
        <w:rPr>
          <w:rFonts w:asciiTheme="minorHAnsi" w:hAnsiTheme="minorHAnsi" w:cstheme="majorBidi"/>
          <w:color w:val="000000"/>
        </w:rPr>
        <w:t>(</w:t>
      </w:r>
      <w:hyperlink r:id="rId13" w:history="1">
        <w:r w:rsidR="006D0F09" w:rsidRPr="00720A57">
          <w:rPr>
            <w:rStyle w:val="Hyperlink"/>
            <w:rFonts w:asciiTheme="minorHAnsi" w:hAnsiTheme="minorHAnsi" w:cstheme="majorBidi"/>
          </w:rPr>
          <w:t>C17/133</w:t>
        </w:r>
      </w:hyperlink>
      <w:r w:rsidR="006D0F09" w:rsidRPr="00720A57">
        <w:rPr>
          <w:rFonts w:asciiTheme="minorHAnsi" w:hAnsiTheme="minorHAnsi" w:cstheme="majorBidi"/>
          <w:color w:val="000000"/>
        </w:rPr>
        <w:t xml:space="preserve">) </w:t>
      </w:r>
      <w:r w:rsidRPr="00720A57">
        <w:rPr>
          <w:rFonts w:asciiTheme="minorHAnsi" w:hAnsiTheme="minorHAnsi"/>
          <w:szCs w:val="24"/>
        </w:rPr>
        <w:t xml:space="preserve">and 601 </w:t>
      </w:r>
      <w:r w:rsidR="006D0F09" w:rsidRPr="00720A57">
        <w:rPr>
          <w:rFonts w:asciiTheme="minorHAnsi" w:hAnsiTheme="minorHAnsi" w:cstheme="majorBidi"/>
          <w:color w:val="000000"/>
        </w:rPr>
        <w:t>(</w:t>
      </w:r>
      <w:hyperlink r:id="rId14" w:history="1">
        <w:r w:rsidR="006D0F09" w:rsidRPr="00720A57">
          <w:rPr>
            <w:rStyle w:val="Hyperlink"/>
            <w:rFonts w:asciiTheme="minorHAnsi" w:hAnsiTheme="minorHAnsi" w:cstheme="majorBidi"/>
          </w:rPr>
          <w:t>C17/134</w:t>
        </w:r>
      </w:hyperlink>
      <w:r w:rsidR="006D0F09" w:rsidRPr="00720A57">
        <w:rPr>
          <w:rFonts w:asciiTheme="minorHAnsi" w:hAnsiTheme="minorHAnsi" w:cstheme="majorBidi"/>
          <w:color w:val="000000"/>
        </w:rPr>
        <w:t xml:space="preserve">) </w:t>
      </w:r>
      <w:r w:rsidRPr="00720A57">
        <w:rPr>
          <w:rFonts w:asciiTheme="minorHAnsi" w:hAnsiTheme="minorHAnsi"/>
          <w:szCs w:val="24"/>
        </w:rPr>
        <w:t xml:space="preserve">at the Council 2017 session, </w:t>
      </w:r>
      <w:r w:rsidR="00C56E74" w:rsidRPr="00720A57">
        <w:rPr>
          <w:rFonts w:asciiTheme="minorHAnsi" w:hAnsiTheme="minorHAnsi"/>
          <w:szCs w:val="24"/>
        </w:rPr>
        <w:t>t</w:t>
      </w:r>
      <w:bookmarkStart w:id="10" w:name="_GoBack"/>
      <w:bookmarkEnd w:id="10"/>
      <w:r w:rsidR="00C56E74" w:rsidRPr="00720A57">
        <w:rPr>
          <w:rFonts w:asciiTheme="minorHAnsi" w:hAnsiTheme="minorHAnsi"/>
          <w:szCs w:val="24"/>
        </w:rPr>
        <w:t xml:space="preserve">he </w:t>
      </w:r>
      <w:r w:rsidRPr="00720A57">
        <w:rPr>
          <w:rFonts w:asciiTheme="minorHAnsi" w:hAnsiTheme="minorHAnsi"/>
          <w:szCs w:val="24"/>
        </w:rPr>
        <w:t xml:space="preserve">ITU </w:t>
      </w:r>
      <w:r w:rsidR="00C56E74" w:rsidRPr="00720A57">
        <w:rPr>
          <w:rFonts w:asciiTheme="minorHAnsi" w:hAnsiTheme="minorHAnsi"/>
          <w:szCs w:val="24"/>
        </w:rPr>
        <w:t xml:space="preserve">Secretariat </w:t>
      </w:r>
      <w:r w:rsidRPr="00720A57">
        <w:rPr>
          <w:rFonts w:asciiTheme="minorHAnsi" w:hAnsiTheme="minorHAnsi"/>
          <w:szCs w:val="24"/>
        </w:rPr>
        <w:t xml:space="preserve">has been in the process of implementing these Decisions. </w:t>
      </w:r>
      <w:r w:rsidR="00C56E74" w:rsidRPr="00720A57">
        <w:rPr>
          <w:rFonts w:asciiTheme="minorHAnsi" w:hAnsiTheme="minorHAnsi"/>
          <w:szCs w:val="24"/>
        </w:rPr>
        <w:t xml:space="preserve">The </w:t>
      </w:r>
      <w:r w:rsidRPr="00720A57">
        <w:rPr>
          <w:rFonts w:asciiTheme="minorHAnsi" w:hAnsiTheme="minorHAnsi"/>
          <w:szCs w:val="24"/>
        </w:rPr>
        <w:t xml:space="preserve">ITU Secretariat </w:t>
      </w:r>
      <w:r w:rsidR="00C56E74" w:rsidRPr="00A0212E">
        <w:rPr>
          <w:rFonts w:asciiTheme="minorHAnsi" w:hAnsiTheme="minorHAnsi"/>
          <w:spacing w:val="4"/>
          <w:szCs w:val="24"/>
        </w:rPr>
        <w:t xml:space="preserve">gave a </w:t>
      </w:r>
      <w:r w:rsidRPr="00A0212E">
        <w:rPr>
          <w:rFonts w:asciiTheme="minorHAnsi" w:hAnsiTheme="minorHAnsi"/>
          <w:spacing w:val="4"/>
          <w:szCs w:val="24"/>
        </w:rPr>
        <w:t xml:space="preserve">status </w:t>
      </w:r>
      <w:r w:rsidR="00581558" w:rsidRPr="00A0212E">
        <w:rPr>
          <w:rFonts w:asciiTheme="minorHAnsi" w:hAnsiTheme="minorHAnsi"/>
          <w:spacing w:val="4"/>
          <w:szCs w:val="24"/>
        </w:rPr>
        <w:t>report on the implementation</w:t>
      </w:r>
      <w:r w:rsidRPr="00A0212E">
        <w:rPr>
          <w:rFonts w:asciiTheme="minorHAnsi" w:hAnsiTheme="minorHAnsi"/>
          <w:spacing w:val="4"/>
          <w:szCs w:val="24"/>
        </w:rPr>
        <w:t xml:space="preserve"> </w:t>
      </w:r>
      <w:r w:rsidR="009853CC" w:rsidRPr="00A0212E">
        <w:rPr>
          <w:rFonts w:asciiTheme="minorHAnsi" w:hAnsiTheme="minorHAnsi"/>
          <w:spacing w:val="4"/>
          <w:szCs w:val="24"/>
        </w:rPr>
        <w:t>(</w:t>
      </w:r>
      <w:hyperlink r:id="rId15" w:history="1">
        <w:r w:rsidR="009853CC" w:rsidRPr="00A0212E">
          <w:rPr>
            <w:rStyle w:val="Hyperlink"/>
            <w:rFonts w:asciiTheme="minorHAnsi" w:hAnsiTheme="minorHAnsi"/>
            <w:spacing w:val="4"/>
            <w:szCs w:val="24"/>
            <w:lang w:val="en-US"/>
          </w:rPr>
          <w:t>CWG-FHR 8/18</w:t>
        </w:r>
      </w:hyperlink>
      <w:r w:rsidR="009853CC" w:rsidRPr="00A0212E">
        <w:rPr>
          <w:rFonts w:asciiTheme="minorHAnsi" w:hAnsiTheme="minorHAnsi"/>
          <w:spacing w:val="4"/>
          <w:szCs w:val="24"/>
        </w:rPr>
        <w:t xml:space="preserve">) </w:t>
      </w:r>
      <w:r w:rsidRPr="00A0212E">
        <w:rPr>
          <w:rFonts w:asciiTheme="minorHAnsi" w:hAnsiTheme="minorHAnsi"/>
          <w:spacing w:val="4"/>
          <w:szCs w:val="24"/>
        </w:rPr>
        <w:t xml:space="preserve">to the eighth </w:t>
      </w:r>
      <w:r w:rsidRPr="00A0212E">
        <w:rPr>
          <w:rFonts w:asciiTheme="minorHAnsi" w:hAnsiTheme="minorHAnsi" w:cstheme="minorHAnsi"/>
          <w:spacing w:val="4"/>
          <w:szCs w:val="24"/>
        </w:rPr>
        <w:t>CWG-FHR meeting</w:t>
      </w:r>
      <w:r w:rsidR="0006624A" w:rsidRPr="00720A57">
        <w:rPr>
          <w:rFonts w:asciiTheme="minorHAnsi" w:hAnsiTheme="minorHAnsi" w:cstheme="minorHAnsi"/>
          <w:szCs w:val="24"/>
        </w:rPr>
        <w:t xml:space="preserve"> </w:t>
      </w:r>
      <w:r w:rsidR="00C56E74" w:rsidRPr="00720A57">
        <w:rPr>
          <w:rFonts w:asciiTheme="minorHAnsi" w:hAnsiTheme="minorHAnsi" w:cstheme="minorHAnsi"/>
          <w:szCs w:val="24"/>
        </w:rPr>
        <w:t>(</w:t>
      </w:r>
      <w:r w:rsidR="00A0212E">
        <w:rPr>
          <w:rFonts w:asciiTheme="minorHAnsi" w:hAnsiTheme="minorHAnsi" w:cstheme="minorHAnsi"/>
          <w:szCs w:val="24"/>
        </w:rPr>
        <w:t>22-</w:t>
      </w:r>
      <w:r w:rsidR="0006624A" w:rsidRPr="00720A57">
        <w:rPr>
          <w:rFonts w:asciiTheme="minorHAnsi" w:hAnsiTheme="minorHAnsi" w:cstheme="minorHAnsi"/>
          <w:szCs w:val="24"/>
        </w:rPr>
        <w:t>23 January 2018</w:t>
      </w:r>
      <w:r w:rsidR="00C56E74" w:rsidRPr="00720A57">
        <w:rPr>
          <w:rFonts w:asciiTheme="minorHAnsi" w:hAnsiTheme="minorHAnsi" w:cstheme="minorHAnsi"/>
          <w:szCs w:val="24"/>
        </w:rPr>
        <w:t>)</w:t>
      </w:r>
      <w:r w:rsidRPr="00720A57">
        <w:rPr>
          <w:rFonts w:asciiTheme="minorHAnsi" w:hAnsiTheme="minorHAnsi" w:cstheme="minorHAnsi"/>
          <w:szCs w:val="24"/>
        </w:rPr>
        <w:t xml:space="preserve"> and also provided</w:t>
      </w:r>
      <w:r w:rsidRPr="00720A57">
        <w:rPr>
          <w:rFonts w:asciiTheme="minorHAnsi" w:hAnsiTheme="minorHAnsi"/>
          <w:szCs w:val="24"/>
        </w:rPr>
        <w:t xml:space="preserve"> some observations and </w:t>
      </w:r>
      <w:r w:rsidR="00581558" w:rsidRPr="00720A57">
        <w:rPr>
          <w:rFonts w:asciiTheme="minorHAnsi" w:hAnsiTheme="minorHAnsi"/>
          <w:szCs w:val="24"/>
        </w:rPr>
        <w:t xml:space="preserve">made </w:t>
      </w:r>
      <w:r w:rsidRPr="00720A57">
        <w:rPr>
          <w:rFonts w:asciiTheme="minorHAnsi" w:hAnsiTheme="minorHAnsi"/>
          <w:szCs w:val="24"/>
        </w:rPr>
        <w:t>two proposals.</w:t>
      </w:r>
      <w:r w:rsidR="00C56E74" w:rsidRPr="00720A57">
        <w:rPr>
          <w:rFonts w:asciiTheme="minorHAnsi" w:hAnsiTheme="minorHAnsi"/>
          <w:szCs w:val="24"/>
        </w:rPr>
        <w:t xml:space="preserve"> Document </w:t>
      </w:r>
      <w:r w:rsidR="009853CC" w:rsidRPr="00720A57">
        <w:rPr>
          <w:rFonts w:asciiTheme="minorHAnsi" w:hAnsiTheme="minorHAnsi"/>
          <w:szCs w:val="24"/>
        </w:rPr>
        <w:t>(</w:t>
      </w:r>
      <w:hyperlink r:id="rId16" w:history="1">
        <w:r w:rsidR="009853CC" w:rsidRPr="00720A57">
          <w:rPr>
            <w:rStyle w:val="Hyperlink"/>
            <w:rFonts w:asciiTheme="minorHAnsi" w:hAnsiTheme="minorHAnsi"/>
          </w:rPr>
          <w:t>CWG-FHR</w:t>
        </w:r>
        <w:r w:rsidR="009853CC" w:rsidRPr="00720A57">
          <w:rPr>
            <w:rStyle w:val="Hyperlink"/>
            <w:rFonts w:asciiTheme="minorHAnsi" w:hAnsiTheme="minorHAnsi"/>
            <w:szCs w:val="24"/>
            <w:lang w:val="en-US"/>
          </w:rPr>
          <w:t xml:space="preserve"> 8/28</w:t>
        </w:r>
      </w:hyperlink>
      <w:r w:rsidR="009853CC" w:rsidRPr="00720A57">
        <w:rPr>
          <w:rFonts w:asciiTheme="minorHAnsi" w:hAnsiTheme="minorHAnsi"/>
        </w:rPr>
        <w:t>)</w:t>
      </w:r>
      <w:r w:rsidR="009853CC" w:rsidRPr="00720A57">
        <w:rPr>
          <w:rFonts w:asciiTheme="minorHAnsi" w:hAnsiTheme="minorHAnsi"/>
          <w:szCs w:val="24"/>
        </w:rPr>
        <w:t xml:space="preserve"> </w:t>
      </w:r>
      <w:r w:rsidR="00C56E74" w:rsidRPr="00720A57">
        <w:rPr>
          <w:rFonts w:asciiTheme="minorHAnsi" w:hAnsiTheme="minorHAnsi"/>
          <w:szCs w:val="24"/>
        </w:rPr>
        <w:t xml:space="preserve">contains the summary of the discussion at the CWG-FHR meeting. </w:t>
      </w:r>
    </w:p>
    <w:p w:rsidR="00C56E74" w:rsidRPr="00720A57" w:rsidRDefault="00C56E74" w:rsidP="00A0212E">
      <w:pPr>
        <w:pStyle w:val="ListParagraph"/>
        <w:keepNext/>
        <w:keepLines/>
        <w:numPr>
          <w:ilvl w:val="0"/>
          <w:numId w:val="10"/>
        </w:numPr>
        <w:tabs>
          <w:tab w:val="clear" w:pos="1134"/>
          <w:tab w:val="clear" w:pos="1871"/>
          <w:tab w:val="clear" w:pos="2268"/>
        </w:tabs>
        <w:overflowPunct/>
        <w:autoSpaceDE/>
        <w:autoSpaceDN/>
        <w:snapToGrid w:val="0"/>
        <w:spacing w:after="120"/>
        <w:ind w:left="0" w:firstLine="0"/>
        <w:contextualSpacing w:val="0"/>
        <w:jc w:val="both"/>
        <w:textAlignment w:val="auto"/>
        <w:rPr>
          <w:b/>
          <w:bCs/>
          <w:szCs w:val="24"/>
        </w:rPr>
      </w:pPr>
      <w:r w:rsidRPr="00720A57">
        <w:rPr>
          <w:b/>
          <w:bCs/>
          <w:szCs w:val="24"/>
        </w:rPr>
        <w:lastRenderedPageBreak/>
        <w:t>Status of the contacts for UIFN service providers and IIN assignees</w:t>
      </w:r>
    </w:p>
    <w:p w:rsidR="007E48AB" w:rsidRPr="00720A57" w:rsidRDefault="00C56E74" w:rsidP="008408C1">
      <w:pPr>
        <w:keepNext/>
        <w:keepLines/>
        <w:tabs>
          <w:tab w:val="clear" w:pos="567"/>
          <w:tab w:val="clear" w:pos="1134"/>
          <w:tab w:val="clear" w:pos="1701"/>
          <w:tab w:val="clear" w:pos="2268"/>
          <w:tab w:val="clear" w:pos="2835"/>
        </w:tabs>
        <w:snapToGrid w:val="0"/>
        <w:spacing w:after="120"/>
        <w:rPr>
          <w:rFonts w:asciiTheme="minorHAnsi" w:hAnsiTheme="minorHAnsi"/>
          <w:lang w:val="en-US"/>
        </w:rPr>
      </w:pPr>
      <w:r w:rsidRPr="00720A57">
        <w:rPr>
          <w:rFonts w:asciiTheme="minorHAnsi" w:hAnsiTheme="minorHAnsi"/>
          <w:lang w:val="en-US"/>
        </w:rPr>
        <w:t>TSB initiated the process to notif</w:t>
      </w:r>
      <w:r w:rsidR="00581558" w:rsidRPr="00720A57">
        <w:rPr>
          <w:rFonts w:asciiTheme="minorHAnsi" w:hAnsiTheme="minorHAnsi"/>
          <w:lang w:val="en-US"/>
        </w:rPr>
        <w:t>y 166 service providers of UIFN</w:t>
      </w:r>
      <w:r w:rsidRPr="00720A57">
        <w:rPr>
          <w:rFonts w:asciiTheme="minorHAnsi" w:hAnsiTheme="minorHAnsi"/>
          <w:lang w:val="en-US"/>
        </w:rPr>
        <w:t xml:space="preserve"> </w:t>
      </w:r>
      <w:r w:rsidR="006A3FD0" w:rsidRPr="00720A57">
        <w:rPr>
          <w:rFonts w:asciiTheme="minorHAnsi" w:hAnsiTheme="minorHAnsi"/>
          <w:lang w:val="en-US"/>
        </w:rPr>
        <w:t xml:space="preserve">(Universal International </w:t>
      </w:r>
      <w:proofErr w:type="spellStart"/>
      <w:r w:rsidR="006A3FD0" w:rsidRPr="00720A57">
        <w:rPr>
          <w:rFonts w:asciiTheme="minorHAnsi" w:hAnsiTheme="minorHAnsi"/>
          <w:lang w:val="en-US"/>
        </w:rPr>
        <w:t>Freephone</w:t>
      </w:r>
      <w:proofErr w:type="spellEnd"/>
      <w:r w:rsidR="006A3FD0" w:rsidRPr="00720A57">
        <w:rPr>
          <w:rFonts w:asciiTheme="minorHAnsi" w:hAnsiTheme="minorHAnsi"/>
          <w:lang w:val="en-US"/>
        </w:rPr>
        <w:t xml:space="preserve"> Number) </w:t>
      </w:r>
      <w:r w:rsidRPr="00720A57">
        <w:rPr>
          <w:rFonts w:asciiTheme="minorHAnsi" w:hAnsiTheme="minorHAnsi"/>
          <w:lang w:val="en-US"/>
        </w:rPr>
        <w:t>and 787 assignees of IIN</w:t>
      </w:r>
      <w:r w:rsidR="006A3FD0" w:rsidRPr="00720A57">
        <w:rPr>
          <w:rFonts w:asciiTheme="minorHAnsi" w:hAnsiTheme="minorHAnsi"/>
          <w:lang w:val="en-US"/>
        </w:rPr>
        <w:t xml:space="preserve"> (Issuer Identifier Number)</w:t>
      </w:r>
      <w:r w:rsidRPr="00720A57">
        <w:rPr>
          <w:rFonts w:asciiTheme="minorHAnsi" w:hAnsiTheme="minorHAnsi"/>
          <w:lang w:val="en-US"/>
        </w:rPr>
        <w:t xml:space="preserve">. </w:t>
      </w:r>
      <w:r w:rsidR="007E48AB" w:rsidRPr="00720A57">
        <w:rPr>
          <w:rFonts w:asciiTheme="minorHAnsi" w:hAnsiTheme="minorHAnsi"/>
          <w:lang w:val="en-US" w:eastAsia="zh-CN"/>
        </w:rPr>
        <w:t xml:space="preserve">The upgraded UIFN and IIN assignment and registration systems went live on 16 January 2018. As of </w:t>
      </w:r>
      <w:r w:rsidR="00E85A39" w:rsidRPr="00720A57">
        <w:rPr>
          <w:rFonts w:asciiTheme="minorHAnsi" w:hAnsiTheme="minorHAnsi"/>
          <w:lang w:val="en-US" w:eastAsia="zh-CN"/>
        </w:rPr>
        <w:t xml:space="preserve">end of </w:t>
      </w:r>
      <w:r w:rsidR="007E48AB" w:rsidRPr="00720A57">
        <w:rPr>
          <w:rFonts w:asciiTheme="minorHAnsi" w:hAnsiTheme="minorHAnsi"/>
          <w:lang w:val="en-US" w:eastAsia="zh-CN"/>
        </w:rPr>
        <w:t xml:space="preserve">March 2018, </w:t>
      </w:r>
      <w:r w:rsidR="008408C1">
        <w:rPr>
          <w:rFonts w:asciiTheme="minorHAnsi" w:eastAsiaTheme="minorEastAsia" w:hAnsiTheme="minorHAnsi"/>
          <w:lang w:val="en-US" w:eastAsia="zh-CN"/>
        </w:rPr>
        <w:t>156</w:t>
      </w:r>
      <w:r w:rsidR="008408C1" w:rsidRPr="00720A57">
        <w:rPr>
          <w:rFonts w:asciiTheme="minorHAnsi" w:hAnsiTheme="minorHAnsi"/>
          <w:lang w:val="en-US" w:eastAsia="zh-CN"/>
        </w:rPr>
        <w:t xml:space="preserve"> </w:t>
      </w:r>
      <w:r w:rsidR="006A3FD0" w:rsidRPr="00720A57">
        <w:rPr>
          <w:rFonts w:asciiTheme="minorHAnsi" w:hAnsiTheme="minorHAnsi"/>
          <w:lang w:val="en-US" w:eastAsia="zh-CN"/>
        </w:rPr>
        <w:t xml:space="preserve">new </w:t>
      </w:r>
      <w:r w:rsidR="007E48AB" w:rsidRPr="00720A57">
        <w:rPr>
          <w:rFonts w:asciiTheme="minorHAnsi" w:hAnsiTheme="minorHAnsi"/>
          <w:lang w:val="en-US" w:eastAsia="zh-CN"/>
        </w:rPr>
        <w:t xml:space="preserve">UIFN have been </w:t>
      </w:r>
      <w:r w:rsidR="008408C1">
        <w:rPr>
          <w:rFonts w:asciiTheme="minorHAnsi" w:hAnsiTheme="minorHAnsi"/>
          <w:lang w:val="en-US" w:eastAsia="zh-CN"/>
        </w:rPr>
        <w:t>reserved</w:t>
      </w:r>
      <w:r w:rsidR="0066519C">
        <w:rPr>
          <w:rFonts w:asciiTheme="minorHAnsi" w:hAnsiTheme="minorHAnsi"/>
          <w:lang w:val="en-US" w:eastAsia="zh-CN"/>
        </w:rPr>
        <w:t xml:space="preserve"> or</w:t>
      </w:r>
      <w:r w:rsidR="00036D2E">
        <w:rPr>
          <w:rFonts w:asciiTheme="minorHAnsi" w:hAnsiTheme="minorHAnsi"/>
          <w:lang w:val="en-US" w:eastAsia="zh-CN"/>
        </w:rPr>
        <w:t xml:space="preserve"> </w:t>
      </w:r>
      <w:r w:rsidR="006A3FD0" w:rsidRPr="00720A57">
        <w:rPr>
          <w:rFonts w:asciiTheme="minorHAnsi" w:hAnsiTheme="minorHAnsi"/>
          <w:lang w:val="en-US" w:eastAsia="zh-CN"/>
        </w:rPr>
        <w:t>assigned</w:t>
      </w:r>
      <w:r w:rsidR="007E48AB" w:rsidRPr="00720A57">
        <w:rPr>
          <w:rFonts w:asciiTheme="minorHAnsi" w:hAnsiTheme="minorHAnsi"/>
          <w:lang w:val="en-US" w:eastAsia="zh-CN"/>
        </w:rPr>
        <w:t xml:space="preserve"> following the new fee structure approved in Council Decision 600 via the upgraded systems</w:t>
      </w:r>
      <w:r w:rsidR="00E85A39" w:rsidRPr="00720A57">
        <w:rPr>
          <w:rFonts w:asciiTheme="minorHAnsi" w:hAnsiTheme="minorHAnsi"/>
          <w:lang w:val="en-US" w:eastAsia="zh-CN"/>
        </w:rPr>
        <w:t>, and six</w:t>
      </w:r>
      <w:r w:rsidR="00D37C2A" w:rsidRPr="00720A57">
        <w:rPr>
          <w:rFonts w:asciiTheme="minorHAnsi" w:hAnsiTheme="minorHAnsi"/>
          <w:lang w:val="en-US" w:eastAsia="zh-CN"/>
        </w:rPr>
        <w:t xml:space="preserve"> </w:t>
      </w:r>
      <w:r w:rsidR="006A3FD0" w:rsidRPr="00720A57">
        <w:rPr>
          <w:rFonts w:asciiTheme="minorHAnsi" w:hAnsiTheme="minorHAnsi"/>
          <w:lang w:val="en-US" w:eastAsia="zh-CN"/>
        </w:rPr>
        <w:t>new IIN</w:t>
      </w:r>
      <w:r w:rsidR="00D37C2A" w:rsidRPr="00720A57">
        <w:rPr>
          <w:rFonts w:asciiTheme="minorHAnsi" w:hAnsiTheme="minorHAnsi"/>
          <w:lang w:val="en-US" w:eastAsia="zh-CN"/>
        </w:rPr>
        <w:t xml:space="preserve"> have been </w:t>
      </w:r>
      <w:r w:rsidR="006A3FD0" w:rsidRPr="00720A57">
        <w:rPr>
          <w:rFonts w:asciiTheme="minorHAnsi" w:hAnsiTheme="minorHAnsi"/>
          <w:lang w:val="en-US" w:eastAsia="zh-CN"/>
        </w:rPr>
        <w:t>registered f</w:t>
      </w:r>
      <w:r w:rsidR="00D37C2A" w:rsidRPr="00720A57">
        <w:rPr>
          <w:rFonts w:asciiTheme="minorHAnsi" w:hAnsiTheme="minorHAnsi"/>
          <w:lang w:val="en-US" w:eastAsia="zh-CN"/>
        </w:rPr>
        <w:t xml:space="preserve">ollowing the new fee structure approved in Council Decision 601. </w:t>
      </w:r>
    </w:p>
    <w:p w:rsidR="00C56E74" w:rsidRPr="00720A57" w:rsidRDefault="00581558" w:rsidP="00A0212E">
      <w:pPr>
        <w:tabs>
          <w:tab w:val="clear" w:pos="567"/>
          <w:tab w:val="clear" w:pos="1134"/>
          <w:tab w:val="clear" w:pos="1701"/>
          <w:tab w:val="clear" w:pos="2268"/>
          <w:tab w:val="clear" w:pos="2835"/>
        </w:tabs>
        <w:snapToGrid w:val="0"/>
        <w:spacing w:after="120"/>
        <w:rPr>
          <w:rFonts w:asciiTheme="minorHAnsi" w:hAnsiTheme="minorHAnsi"/>
          <w:lang w:val="en-US"/>
        </w:rPr>
      </w:pPr>
      <w:r w:rsidRPr="00720A57">
        <w:rPr>
          <w:rFonts w:asciiTheme="minorHAnsi" w:hAnsiTheme="minorHAnsi"/>
          <w:lang w:val="en-US"/>
        </w:rPr>
        <w:t>Furthermore, a</w:t>
      </w:r>
      <w:r w:rsidR="00C56E74" w:rsidRPr="00720A57">
        <w:rPr>
          <w:rFonts w:asciiTheme="minorHAnsi" w:hAnsiTheme="minorHAnsi"/>
          <w:lang w:val="en-US"/>
        </w:rPr>
        <w:t>s of March 2018,</w:t>
      </w:r>
    </w:p>
    <w:p w:rsidR="00C56E74" w:rsidRPr="00A0212E" w:rsidRDefault="00C56E74" w:rsidP="00A0212E">
      <w:pPr>
        <w:pStyle w:val="ListParagraph"/>
        <w:numPr>
          <w:ilvl w:val="0"/>
          <w:numId w:val="25"/>
        </w:numPr>
        <w:tabs>
          <w:tab w:val="clear" w:pos="1134"/>
          <w:tab w:val="clear" w:pos="1871"/>
          <w:tab w:val="clear" w:pos="2268"/>
        </w:tabs>
        <w:snapToGrid w:val="0"/>
        <w:spacing w:after="60"/>
        <w:ind w:left="567" w:hanging="567"/>
        <w:contextualSpacing w:val="0"/>
        <w:rPr>
          <w:lang w:val="en-US"/>
        </w:rPr>
      </w:pPr>
      <w:r w:rsidRPr="00A0212E">
        <w:rPr>
          <w:lang w:val="en-US"/>
        </w:rPr>
        <w:t xml:space="preserve">UIFN: </w:t>
      </w:r>
      <w:r w:rsidR="004F39A7" w:rsidRPr="00A0212E">
        <w:rPr>
          <w:lang w:val="en-US"/>
        </w:rPr>
        <w:t xml:space="preserve">Out of 166 service providers, </w:t>
      </w:r>
      <w:r w:rsidR="002E3B7A" w:rsidRPr="00A0212E">
        <w:rPr>
          <w:lang w:val="en-US"/>
        </w:rPr>
        <w:t xml:space="preserve">further information </w:t>
      </w:r>
      <w:r w:rsidR="00704566" w:rsidRPr="00A0212E">
        <w:rPr>
          <w:lang w:val="en-US"/>
        </w:rPr>
        <w:t xml:space="preserve">on </w:t>
      </w:r>
      <w:r w:rsidRPr="00A0212E">
        <w:rPr>
          <w:lang w:val="en-US"/>
        </w:rPr>
        <w:t xml:space="preserve">15 service providers </w:t>
      </w:r>
      <w:r w:rsidR="002E3B7A" w:rsidRPr="00A0212E">
        <w:rPr>
          <w:lang w:val="en-US"/>
        </w:rPr>
        <w:t>is still being researched (e.g. no up-to-date c</w:t>
      </w:r>
      <w:r w:rsidR="00D37C2A" w:rsidRPr="00A0212E">
        <w:rPr>
          <w:lang w:val="en-US"/>
        </w:rPr>
        <w:t>ontact</w:t>
      </w:r>
      <w:r w:rsidR="002E3B7A" w:rsidRPr="00A0212E">
        <w:rPr>
          <w:lang w:val="en-US"/>
        </w:rPr>
        <w:t xml:space="preserve"> information)</w:t>
      </w:r>
      <w:r w:rsidRPr="00A0212E">
        <w:rPr>
          <w:lang w:val="en-US"/>
        </w:rPr>
        <w:t>.</w:t>
      </w:r>
      <w:r w:rsidR="004F39A7" w:rsidRPr="00A0212E">
        <w:rPr>
          <w:lang w:val="en-US"/>
        </w:rPr>
        <w:t xml:space="preserve"> </w:t>
      </w:r>
    </w:p>
    <w:p w:rsidR="00C56E74" w:rsidRPr="00A0212E" w:rsidRDefault="00C56E74" w:rsidP="00A0212E">
      <w:pPr>
        <w:pStyle w:val="ListParagraph"/>
        <w:numPr>
          <w:ilvl w:val="0"/>
          <w:numId w:val="25"/>
        </w:numPr>
        <w:tabs>
          <w:tab w:val="clear" w:pos="1134"/>
          <w:tab w:val="clear" w:pos="1871"/>
          <w:tab w:val="clear" w:pos="2268"/>
        </w:tabs>
        <w:snapToGrid w:val="0"/>
        <w:spacing w:before="60" w:after="120"/>
        <w:ind w:left="567" w:hanging="567"/>
        <w:contextualSpacing w:val="0"/>
        <w:jc w:val="both"/>
        <w:rPr>
          <w:lang w:val="en-US"/>
        </w:rPr>
      </w:pPr>
      <w:r w:rsidRPr="00A0212E">
        <w:rPr>
          <w:lang w:val="en-US"/>
        </w:rPr>
        <w:t xml:space="preserve">IIN: Out of 787 assignees, for 288 entities no email address </w:t>
      </w:r>
      <w:r w:rsidR="00581558" w:rsidRPr="00A0212E">
        <w:rPr>
          <w:lang w:val="en-US"/>
        </w:rPr>
        <w:t xml:space="preserve">is </w:t>
      </w:r>
      <w:r w:rsidRPr="00A0212E">
        <w:rPr>
          <w:lang w:val="en-US"/>
        </w:rPr>
        <w:t>known</w:t>
      </w:r>
      <w:r w:rsidR="009853CC" w:rsidRPr="00A0212E">
        <w:rPr>
          <w:lang w:val="en-US"/>
        </w:rPr>
        <w:t>,</w:t>
      </w:r>
      <w:r w:rsidRPr="00A0212E">
        <w:rPr>
          <w:lang w:val="en-US"/>
        </w:rPr>
        <w:t xml:space="preserve"> and for 142 entities </w:t>
      </w:r>
      <w:r w:rsidR="009853CC" w:rsidRPr="00A0212E">
        <w:rPr>
          <w:lang w:val="en-US"/>
        </w:rPr>
        <w:t>we have not been able to update the contact information (</w:t>
      </w:r>
      <w:r w:rsidRPr="00A0212E">
        <w:rPr>
          <w:lang w:val="en-US"/>
        </w:rPr>
        <w:t>e-mail</w:t>
      </w:r>
      <w:r w:rsidR="009853CC" w:rsidRPr="00A0212E">
        <w:rPr>
          <w:lang w:val="en-US"/>
        </w:rPr>
        <w:t>s bounce)</w:t>
      </w:r>
      <w:r w:rsidRPr="00A0212E">
        <w:rPr>
          <w:lang w:val="en-US"/>
        </w:rPr>
        <w:t>.</w:t>
      </w:r>
    </w:p>
    <w:p w:rsidR="005B27C9" w:rsidRPr="00720A57" w:rsidRDefault="00C56E74" w:rsidP="00A0212E">
      <w:pPr>
        <w:pStyle w:val="ListParagraph"/>
        <w:numPr>
          <w:ilvl w:val="0"/>
          <w:numId w:val="10"/>
        </w:numPr>
        <w:tabs>
          <w:tab w:val="clear" w:pos="1134"/>
          <w:tab w:val="clear" w:pos="1871"/>
          <w:tab w:val="clear" w:pos="2268"/>
        </w:tabs>
        <w:overflowPunct/>
        <w:autoSpaceDE/>
        <w:autoSpaceDN/>
        <w:snapToGrid w:val="0"/>
        <w:spacing w:before="360" w:after="120"/>
        <w:ind w:left="0" w:firstLine="0"/>
        <w:contextualSpacing w:val="0"/>
        <w:jc w:val="both"/>
        <w:textAlignment w:val="auto"/>
        <w:rPr>
          <w:b/>
          <w:bCs/>
          <w:szCs w:val="24"/>
        </w:rPr>
      </w:pPr>
      <w:r w:rsidRPr="00720A57">
        <w:rPr>
          <w:b/>
          <w:bCs/>
          <w:szCs w:val="24"/>
        </w:rPr>
        <w:t>First p</w:t>
      </w:r>
      <w:r w:rsidR="005B27C9" w:rsidRPr="00720A57">
        <w:rPr>
          <w:b/>
          <w:bCs/>
          <w:szCs w:val="24"/>
        </w:rPr>
        <w:t>roposal presented to the eighth CWG-FHR meeting</w:t>
      </w:r>
    </w:p>
    <w:p w:rsidR="00C56E74" w:rsidRPr="00720A57" w:rsidRDefault="005B27C9" w:rsidP="00A0212E">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720A57">
        <w:rPr>
          <w:rFonts w:asciiTheme="minorHAnsi" w:hAnsiTheme="minorHAnsi"/>
          <w:szCs w:val="24"/>
          <w:lang w:val="en-US"/>
        </w:rPr>
        <w:t xml:space="preserve">The first </w:t>
      </w:r>
      <w:r w:rsidR="00C56E74" w:rsidRPr="00720A57">
        <w:rPr>
          <w:rFonts w:asciiTheme="minorHAnsi" w:hAnsiTheme="minorHAnsi"/>
          <w:szCs w:val="24"/>
          <w:lang w:val="en-US"/>
        </w:rPr>
        <w:t>proposal presented by the ITU Secretariat</w:t>
      </w:r>
      <w:r w:rsidR="009853CC" w:rsidRPr="00720A57">
        <w:rPr>
          <w:rFonts w:asciiTheme="minorHAnsi" w:hAnsiTheme="minorHAnsi"/>
          <w:szCs w:val="24"/>
          <w:lang w:val="en-US"/>
        </w:rPr>
        <w:t xml:space="preserve"> to CWG-FHR </w:t>
      </w:r>
      <w:r w:rsidR="007E48AB" w:rsidRPr="00720A57">
        <w:rPr>
          <w:rFonts w:asciiTheme="minorHAnsi" w:hAnsiTheme="minorHAnsi"/>
          <w:szCs w:val="24"/>
          <w:lang w:val="en-US"/>
        </w:rPr>
        <w:t xml:space="preserve">in January 2018 </w:t>
      </w:r>
      <w:r w:rsidR="009853CC" w:rsidRPr="00720A57">
        <w:rPr>
          <w:rFonts w:asciiTheme="minorHAnsi" w:hAnsiTheme="minorHAnsi"/>
          <w:szCs w:val="24"/>
          <w:lang w:val="en-US"/>
        </w:rPr>
        <w:t>was:</w:t>
      </w:r>
      <w:r w:rsidR="00C56E74" w:rsidRPr="00720A57">
        <w:rPr>
          <w:rFonts w:asciiTheme="minorHAnsi" w:hAnsiTheme="minorHAnsi"/>
          <w:szCs w:val="24"/>
          <w:lang w:val="en-US"/>
        </w:rPr>
        <w:t xml:space="preserve"> </w:t>
      </w:r>
    </w:p>
    <w:p w:rsidR="005B27C9" w:rsidRPr="00720A57" w:rsidRDefault="009853CC" w:rsidP="00A0212E">
      <w:pPr>
        <w:tabs>
          <w:tab w:val="clear" w:pos="567"/>
          <w:tab w:val="clear" w:pos="1134"/>
          <w:tab w:val="clear" w:pos="1701"/>
          <w:tab w:val="clear" w:pos="2268"/>
          <w:tab w:val="clear" w:pos="2835"/>
        </w:tabs>
        <w:snapToGrid w:val="0"/>
        <w:spacing w:after="120"/>
        <w:ind w:left="567"/>
        <w:jc w:val="both"/>
        <w:rPr>
          <w:rFonts w:asciiTheme="minorHAnsi" w:hAnsiTheme="minorHAnsi"/>
        </w:rPr>
      </w:pPr>
      <w:r w:rsidRPr="00720A57">
        <w:rPr>
          <w:rFonts w:asciiTheme="minorHAnsi" w:hAnsiTheme="minorHAnsi"/>
        </w:rPr>
        <w:t>“</w:t>
      </w:r>
      <w:r w:rsidR="005B27C9" w:rsidRPr="00720A57">
        <w:rPr>
          <w:rFonts w:asciiTheme="minorHAnsi" w:hAnsiTheme="minorHAnsi"/>
        </w:rPr>
        <w:t>14.</w:t>
      </w:r>
      <w:r w:rsidR="005B27C9" w:rsidRPr="00720A57">
        <w:rPr>
          <w:rFonts w:asciiTheme="minorHAnsi" w:hAnsiTheme="minorHAnsi"/>
        </w:rPr>
        <w:tab/>
        <w:t>National Administrations/regulators are invited to provide focal point for providing or investigating up-to-date contacts for UIFN service providers (</w:t>
      </w:r>
      <w:proofErr w:type="spellStart"/>
      <w:r w:rsidR="005B27C9" w:rsidRPr="00720A57">
        <w:rPr>
          <w:rFonts w:asciiTheme="minorHAnsi" w:hAnsiTheme="minorHAnsi"/>
        </w:rPr>
        <w:t>RoAs</w:t>
      </w:r>
      <w:proofErr w:type="spellEnd"/>
      <w:r w:rsidR="005B27C9" w:rsidRPr="00720A57">
        <w:rPr>
          <w:rFonts w:asciiTheme="minorHAnsi" w:hAnsiTheme="minorHAnsi"/>
        </w:rPr>
        <w:t>) and the assignees of IINs.</w:t>
      </w:r>
      <w:r w:rsidRPr="00720A57">
        <w:rPr>
          <w:rFonts w:asciiTheme="minorHAnsi" w:hAnsiTheme="minorHAnsi"/>
        </w:rPr>
        <w:t>”</w:t>
      </w:r>
    </w:p>
    <w:p w:rsidR="007E48AB" w:rsidRPr="00720A57" w:rsidRDefault="000E34EB" w:rsidP="00A0212E">
      <w:pPr>
        <w:tabs>
          <w:tab w:val="clear" w:pos="567"/>
          <w:tab w:val="clear" w:pos="1134"/>
          <w:tab w:val="clear" w:pos="1701"/>
          <w:tab w:val="clear" w:pos="2268"/>
          <w:tab w:val="clear" w:pos="2835"/>
        </w:tabs>
        <w:snapToGrid w:val="0"/>
        <w:spacing w:after="120"/>
        <w:jc w:val="both"/>
        <w:rPr>
          <w:rFonts w:asciiTheme="minorHAnsi" w:hAnsiTheme="minorHAnsi"/>
        </w:rPr>
      </w:pPr>
      <w:r w:rsidRPr="00720A57">
        <w:rPr>
          <w:rFonts w:asciiTheme="minorHAnsi" w:hAnsiTheme="minorHAnsi"/>
        </w:rPr>
        <w:t>T</w:t>
      </w:r>
      <w:r w:rsidR="007E48AB" w:rsidRPr="00720A57">
        <w:rPr>
          <w:rFonts w:asciiTheme="minorHAnsi" w:hAnsiTheme="minorHAnsi"/>
        </w:rPr>
        <w:t xml:space="preserve">he CWG-FHR </w:t>
      </w:r>
      <w:r w:rsidRPr="00720A57">
        <w:rPr>
          <w:rFonts w:asciiTheme="minorHAnsi" w:hAnsiTheme="minorHAnsi"/>
        </w:rPr>
        <w:t xml:space="preserve">meeting report </w:t>
      </w:r>
      <w:r w:rsidR="007E48AB" w:rsidRPr="00720A57">
        <w:rPr>
          <w:rFonts w:asciiTheme="minorHAnsi" w:hAnsiTheme="minorHAnsi"/>
        </w:rPr>
        <w:t xml:space="preserve">summarized </w:t>
      </w:r>
      <w:r w:rsidRPr="00720A57">
        <w:rPr>
          <w:rFonts w:asciiTheme="minorHAnsi" w:hAnsiTheme="minorHAnsi"/>
        </w:rPr>
        <w:t>the discussion</w:t>
      </w:r>
      <w:r w:rsidR="00CC1884" w:rsidRPr="00720A57">
        <w:rPr>
          <w:rFonts w:asciiTheme="minorHAnsi" w:hAnsiTheme="minorHAnsi"/>
        </w:rPr>
        <w:t xml:space="preserve"> as follows</w:t>
      </w:r>
      <w:r w:rsidR="007E48AB" w:rsidRPr="00720A57">
        <w:rPr>
          <w:rFonts w:asciiTheme="minorHAnsi" w:hAnsiTheme="minorHAnsi"/>
        </w:rPr>
        <w:t>:</w:t>
      </w:r>
    </w:p>
    <w:p w:rsidR="007E48AB" w:rsidRPr="00720A57" w:rsidRDefault="007E48AB" w:rsidP="00A0212E">
      <w:pPr>
        <w:tabs>
          <w:tab w:val="clear" w:pos="567"/>
          <w:tab w:val="clear" w:pos="1134"/>
          <w:tab w:val="clear" w:pos="1701"/>
          <w:tab w:val="clear" w:pos="2268"/>
          <w:tab w:val="clear" w:pos="2835"/>
        </w:tabs>
        <w:snapToGrid w:val="0"/>
        <w:spacing w:after="120"/>
        <w:ind w:left="567"/>
        <w:rPr>
          <w:rFonts w:asciiTheme="minorHAnsi" w:hAnsiTheme="minorHAnsi"/>
          <w:lang w:val="en-US" w:eastAsia="zh-CN"/>
        </w:rPr>
      </w:pPr>
      <w:r w:rsidRPr="00720A57">
        <w:rPr>
          <w:rFonts w:asciiTheme="minorHAnsi" w:hAnsiTheme="minorHAnsi"/>
          <w:lang w:val="en-US" w:eastAsia="zh-CN"/>
        </w:rPr>
        <w:t>“2.13</w:t>
      </w:r>
      <w:r w:rsidRPr="00720A57">
        <w:rPr>
          <w:rFonts w:asciiTheme="minorHAnsi" w:hAnsiTheme="minorHAnsi"/>
          <w:lang w:val="en-US" w:eastAsia="zh-CN"/>
        </w:rPr>
        <w:tab/>
        <w:t>Related to proposal 1, some delegates asked whether additional burden would be imposed on Member States by the first proposal on collecting up-to-date contacts.</w:t>
      </w:r>
    </w:p>
    <w:p w:rsidR="007E48AB" w:rsidRPr="00720A57" w:rsidRDefault="007E48AB" w:rsidP="00A0212E">
      <w:pPr>
        <w:tabs>
          <w:tab w:val="clear" w:pos="567"/>
          <w:tab w:val="clear" w:pos="1134"/>
          <w:tab w:val="clear" w:pos="1701"/>
          <w:tab w:val="clear" w:pos="2268"/>
          <w:tab w:val="clear" w:pos="2835"/>
        </w:tabs>
        <w:snapToGrid w:val="0"/>
        <w:spacing w:after="120"/>
        <w:ind w:left="567"/>
        <w:rPr>
          <w:rFonts w:asciiTheme="minorHAnsi" w:hAnsiTheme="minorHAnsi"/>
          <w:lang w:val="en-US" w:eastAsia="zh-CN"/>
        </w:rPr>
      </w:pPr>
      <w:r w:rsidRPr="00720A57">
        <w:rPr>
          <w:rFonts w:asciiTheme="minorHAnsi" w:hAnsiTheme="minorHAnsi"/>
          <w:lang w:val="en-US" w:eastAsia="zh-CN"/>
        </w:rPr>
        <w:t>2.14</w:t>
      </w:r>
      <w:r w:rsidRPr="00720A57">
        <w:rPr>
          <w:rFonts w:asciiTheme="minorHAnsi" w:hAnsiTheme="minorHAnsi"/>
          <w:lang w:val="en-US" w:eastAsia="zh-CN"/>
        </w:rPr>
        <w:tab/>
        <w:t xml:space="preserve">The Secretariat clarified that this was a reminder of the invitation to MS to maintain an up-to-date record of Registered Operating Agencies (ROAs) on the ITU web site </w:t>
      </w:r>
      <w:hyperlink r:id="rId17" w:history="1">
        <w:r w:rsidRPr="00720A57">
          <w:rPr>
            <w:rFonts w:asciiTheme="minorHAnsi" w:hAnsiTheme="minorHAnsi"/>
            <w:color w:val="0563C1"/>
            <w:u w:val="single"/>
            <w:lang w:val="en-US" w:eastAsia="zh-CN"/>
          </w:rPr>
          <w:t>https://www.itu.int/en/ITU-T/inr/Pages/roa.aspx</w:t>
        </w:r>
      </w:hyperlink>
      <w:r w:rsidRPr="00720A57">
        <w:rPr>
          <w:rFonts w:asciiTheme="minorHAnsi" w:hAnsiTheme="minorHAnsi"/>
          <w:lang w:val="en-US" w:eastAsia="zh-CN"/>
        </w:rPr>
        <w:t xml:space="preserve"> :</w:t>
      </w:r>
    </w:p>
    <w:p w:rsidR="007E48AB" w:rsidRPr="00720A57" w:rsidRDefault="007E48AB" w:rsidP="00A0212E">
      <w:pPr>
        <w:tabs>
          <w:tab w:val="clear" w:pos="567"/>
          <w:tab w:val="clear" w:pos="1134"/>
          <w:tab w:val="clear" w:pos="1701"/>
          <w:tab w:val="clear" w:pos="2268"/>
          <w:tab w:val="clear" w:pos="2835"/>
        </w:tabs>
        <w:snapToGrid w:val="0"/>
        <w:spacing w:after="120"/>
        <w:ind w:left="567"/>
        <w:rPr>
          <w:rFonts w:asciiTheme="minorHAnsi" w:hAnsiTheme="minorHAnsi"/>
          <w:i/>
          <w:iCs/>
          <w:lang w:val="en-US" w:eastAsia="zh-CN"/>
        </w:rPr>
      </w:pPr>
      <w:r w:rsidRPr="00720A57">
        <w:rPr>
          <w:rFonts w:asciiTheme="minorHAnsi" w:hAnsiTheme="minorHAnsi"/>
          <w:i/>
          <w:iCs/>
          <w:lang w:val="en-US" w:eastAsia="zh-CN"/>
        </w:rPr>
        <w:t>Administrations of the Member States are invited to inform TSB, on a voluntary basis, of all entities which have been granted the status of ROAs in accordance with Article 6, and Nos. 1007 and 1008 of the Annex to, the Constitution of ITU, using the notification form of the list of Recognized Operating Agencies (ROAs). Administrations can either provide a written list or indicate a website where the information can be found.”</w:t>
      </w:r>
    </w:p>
    <w:p w:rsidR="00E53395" w:rsidRPr="00720A57" w:rsidRDefault="007E48AB" w:rsidP="00A0212E">
      <w:pPr>
        <w:pStyle w:val="ListParagraph"/>
        <w:numPr>
          <w:ilvl w:val="0"/>
          <w:numId w:val="10"/>
        </w:numPr>
        <w:tabs>
          <w:tab w:val="clear" w:pos="1134"/>
          <w:tab w:val="clear" w:pos="1871"/>
          <w:tab w:val="clear" w:pos="2268"/>
        </w:tabs>
        <w:overflowPunct/>
        <w:autoSpaceDE/>
        <w:autoSpaceDN/>
        <w:snapToGrid w:val="0"/>
        <w:spacing w:before="360" w:after="120"/>
        <w:ind w:left="0" w:firstLine="0"/>
        <w:contextualSpacing w:val="0"/>
        <w:jc w:val="both"/>
        <w:textAlignment w:val="auto"/>
        <w:rPr>
          <w:b/>
          <w:bCs/>
          <w:szCs w:val="24"/>
        </w:rPr>
      </w:pPr>
      <w:r w:rsidRPr="00720A57">
        <w:rPr>
          <w:b/>
          <w:bCs/>
          <w:szCs w:val="24"/>
        </w:rPr>
        <w:t>Second proposal presented to</w:t>
      </w:r>
      <w:r w:rsidR="00574C50" w:rsidRPr="00720A57">
        <w:rPr>
          <w:b/>
          <w:bCs/>
          <w:szCs w:val="24"/>
        </w:rPr>
        <w:t xml:space="preserve"> the eighth CWG-FHR meeting </w:t>
      </w:r>
    </w:p>
    <w:p w:rsidR="007E48AB" w:rsidRPr="00720A57" w:rsidRDefault="007E48AB" w:rsidP="00A0212E">
      <w:pPr>
        <w:tabs>
          <w:tab w:val="clear" w:pos="567"/>
          <w:tab w:val="clear" w:pos="1134"/>
          <w:tab w:val="clear" w:pos="1701"/>
          <w:tab w:val="clear" w:pos="2268"/>
          <w:tab w:val="clear" w:pos="2835"/>
        </w:tabs>
        <w:snapToGrid w:val="0"/>
        <w:spacing w:after="120"/>
        <w:jc w:val="both"/>
        <w:rPr>
          <w:rFonts w:asciiTheme="minorHAnsi" w:hAnsiTheme="minorHAnsi"/>
        </w:rPr>
      </w:pPr>
      <w:r w:rsidRPr="00720A57">
        <w:rPr>
          <w:rFonts w:asciiTheme="minorHAnsi" w:hAnsiTheme="minorHAnsi"/>
        </w:rPr>
        <w:t>The second proposal presented by the ITU Secretariat to CWG-FHR in January 2018 was</w:t>
      </w:r>
      <w:r w:rsidR="000E34EB" w:rsidRPr="00720A57">
        <w:rPr>
          <w:rFonts w:asciiTheme="minorHAnsi" w:hAnsiTheme="minorHAnsi"/>
        </w:rPr>
        <w:t xml:space="preserve"> as follows</w:t>
      </w:r>
      <w:r w:rsidRPr="00720A57">
        <w:rPr>
          <w:rFonts w:asciiTheme="minorHAnsi" w:hAnsiTheme="minorHAnsi"/>
        </w:rPr>
        <w:t>:</w:t>
      </w:r>
    </w:p>
    <w:p w:rsidR="007E48AB" w:rsidRPr="00720A57" w:rsidRDefault="007E48AB" w:rsidP="00A0212E">
      <w:pPr>
        <w:tabs>
          <w:tab w:val="clear" w:pos="567"/>
          <w:tab w:val="clear" w:pos="1134"/>
          <w:tab w:val="clear" w:pos="1701"/>
          <w:tab w:val="clear" w:pos="2268"/>
          <w:tab w:val="clear" w:pos="2835"/>
        </w:tabs>
        <w:snapToGrid w:val="0"/>
        <w:spacing w:after="120"/>
        <w:ind w:left="567"/>
        <w:jc w:val="both"/>
        <w:rPr>
          <w:rFonts w:asciiTheme="minorHAnsi" w:hAnsiTheme="minorHAnsi"/>
        </w:rPr>
      </w:pPr>
      <w:r w:rsidRPr="00720A57">
        <w:rPr>
          <w:rFonts w:asciiTheme="minorHAnsi" w:hAnsiTheme="minorHAnsi"/>
        </w:rPr>
        <w:t xml:space="preserve">“15. </w:t>
      </w:r>
      <w:r w:rsidRPr="00720A57">
        <w:rPr>
          <w:rFonts w:asciiTheme="minorHAnsi" w:hAnsiTheme="minorHAnsi"/>
        </w:rPr>
        <w:tab/>
        <w:t>It is proposed that for the entities for which national Administrations/regulators have lost contact and for which they cannot find out new contacts by 30 June 2018, all records relevant to these entities will be removed from the ITU database based on confirmations/notifications from national Administrations/regulators.”</w:t>
      </w:r>
    </w:p>
    <w:p w:rsidR="005D5696" w:rsidRPr="00720A57" w:rsidRDefault="005D5696" w:rsidP="00A0212E">
      <w:pPr>
        <w:tabs>
          <w:tab w:val="clear" w:pos="567"/>
          <w:tab w:val="clear" w:pos="1134"/>
          <w:tab w:val="clear" w:pos="1701"/>
          <w:tab w:val="clear" w:pos="2268"/>
          <w:tab w:val="clear" w:pos="2835"/>
        </w:tabs>
        <w:snapToGrid w:val="0"/>
        <w:spacing w:after="120"/>
        <w:rPr>
          <w:rFonts w:asciiTheme="minorHAnsi" w:hAnsiTheme="minorHAnsi"/>
        </w:rPr>
      </w:pPr>
      <w:r w:rsidRPr="00720A57">
        <w:rPr>
          <w:rFonts w:asciiTheme="minorHAnsi" w:hAnsiTheme="minorHAnsi"/>
        </w:rPr>
        <w:t xml:space="preserve">The meeting report of CWG-FHR says: </w:t>
      </w:r>
    </w:p>
    <w:p w:rsidR="0006624A" w:rsidRPr="00720A57" w:rsidRDefault="00CC1884" w:rsidP="00A0212E">
      <w:pPr>
        <w:tabs>
          <w:tab w:val="clear" w:pos="567"/>
          <w:tab w:val="clear" w:pos="1134"/>
          <w:tab w:val="clear" w:pos="1701"/>
          <w:tab w:val="clear" w:pos="2268"/>
          <w:tab w:val="clear" w:pos="2835"/>
        </w:tabs>
        <w:snapToGrid w:val="0"/>
        <w:spacing w:after="120"/>
        <w:ind w:left="567"/>
        <w:rPr>
          <w:rFonts w:asciiTheme="minorHAnsi" w:hAnsiTheme="minorHAnsi"/>
          <w:lang w:val="en-US" w:eastAsia="zh-CN"/>
        </w:rPr>
      </w:pPr>
      <w:r w:rsidRPr="00720A57">
        <w:rPr>
          <w:rFonts w:asciiTheme="minorHAnsi" w:hAnsiTheme="minorHAnsi"/>
          <w:lang w:val="en-US" w:eastAsia="zh-CN"/>
        </w:rPr>
        <w:t>“</w:t>
      </w:r>
      <w:r w:rsidR="0006624A" w:rsidRPr="00720A57">
        <w:rPr>
          <w:rFonts w:asciiTheme="minorHAnsi" w:hAnsiTheme="minorHAnsi"/>
          <w:lang w:val="en-US" w:eastAsia="zh-CN"/>
        </w:rPr>
        <w:t>2.15</w:t>
      </w:r>
      <w:r w:rsidR="0006624A" w:rsidRPr="00720A57">
        <w:rPr>
          <w:rFonts w:asciiTheme="minorHAnsi" w:hAnsiTheme="minorHAnsi"/>
          <w:lang w:val="en-US" w:eastAsia="zh-CN"/>
        </w:rPr>
        <w:tab/>
        <w:t xml:space="preserve">Related to proposal 2, some MS expressed concern about the implication of removing the records from ITU database and the deadline of 30 June 2018 is too short to go through the necessary legal at the national level. </w:t>
      </w:r>
    </w:p>
    <w:p w:rsidR="0006624A" w:rsidRPr="00720A57" w:rsidRDefault="0006624A" w:rsidP="00A0212E">
      <w:pPr>
        <w:tabs>
          <w:tab w:val="clear" w:pos="567"/>
          <w:tab w:val="clear" w:pos="1134"/>
          <w:tab w:val="clear" w:pos="1701"/>
          <w:tab w:val="clear" w:pos="2268"/>
          <w:tab w:val="clear" w:pos="2835"/>
        </w:tabs>
        <w:snapToGrid w:val="0"/>
        <w:spacing w:after="120"/>
        <w:ind w:left="567"/>
        <w:rPr>
          <w:rFonts w:asciiTheme="minorHAnsi" w:hAnsiTheme="minorHAnsi"/>
          <w:lang w:val="en-US" w:eastAsia="zh-CN"/>
        </w:rPr>
      </w:pPr>
      <w:r w:rsidRPr="00720A57">
        <w:rPr>
          <w:rFonts w:asciiTheme="minorHAnsi" w:hAnsiTheme="minorHAnsi"/>
          <w:lang w:val="en-US" w:eastAsia="zh-CN"/>
        </w:rPr>
        <w:t>2.16</w:t>
      </w:r>
      <w:r w:rsidRPr="00720A57">
        <w:rPr>
          <w:rFonts w:asciiTheme="minorHAnsi" w:hAnsiTheme="minorHAnsi"/>
          <w:lang w:val="en-US" w:eastAsia="zh-CN"/>
        </w:rPr>
        <w:tab/>
        <w:t>The Secretariat clarified that removal of records from ITU database would need notifications or confirmations from national Administrations/regulators. The deadline of 30 June 2018 should be revised to allow the time needed by Member States.</w:t>
      </w:r>
    </w:p>
    <w:p w:rsidR="0006624A" w:rsidRPr="00720A57" w:rsidRDefault="0006624A" w:rsidP="00A0212E">
      <w:pPr>
        <w:tabs>
          <w:tab w:val="clear" w:pos="567"/>
          <w:tab w:val="clear" w:pos="1134"/>
          <w:tab w:val="clear" w:pos="1701"/>
          <w:tab w:val="clear" w:pos="2268"/>
          <w:tab w:val="clear" w:pos="2835"/>
        </w:tabs>
        <w:snapToGrid w:val="0"/>
        <w:spacing w:after="120"/>
        <w:ind w:left="567"/>
        <w:rPr>
          <w:rFonts w:asciiTheme="minorHAnsi" w:hAnsiTheme="minorHAnsi"/>
          <w:lang w:val="en-US" w:eastAsia="zh-CN"/>
        </w:rPr>
      </w:pPr>
      <w:r w:rsidRPr="00720A57">
        <w:rPr>
          <w:rFonts w:asciiTheme="minorHAnsi" w:hAnsiTheme="minorHAnsi"/>
          <w:lang w:val="en-US" w:eastAsia="zh-CN"/>
        </w:rPr>
        <w:t>2.17</w:t>
      </w:r>
      <w:r w:rsidRPr="00720A57">
        <w:rPr>
          <w:rFonts w:asciiTheme="minorHAnsi" w:hAnsiTheme="minorHAnsi"/>
          <w:lang w:val="en-US" w:eastAsia="zh-CN"/>
        </w:rPr>
        <w:tab/>
        <w:t>The Chairman proposed that the Secretariat prepare a document for Council 2018 to discuss a revision of the second proposal.</w:t>
      </w:r>
      <w:r w:rsidR="005D5696" w:rsidRPr="00720A57">
        <w:rPr>
          <w:rFonts w:asciiTheme="minorHAnsi" w:hAnsiTheme="minorHAnsi"/>
          <w:lang w:val="en-US" w:eastAsia="zh-CN"/>
        </w:rPr>
        <w:t>”</w:t>
      </w:r>
    </w:p>
    <w:p w:rsidR="00352080" w:rsidRPr="00720A57" w:rsidRDefault="00574C50" w:rsidP="00A0212E">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720A57">
        <w:rPr>
          <w:rFonts w:asciiTheme="minorHAnsi" w:hAnsiTheme="minorHAnsi"/>
          <w:szCs w:val="24"/>
          <w:lang w:val="en-US"/>
        </w:rPr>
        <w:t xml:space="preserve">After informal consultation, </w:t>
      </w:r>
      <w:r w:rsidR="00CC1884" w:rsidRPr="00720A57">
        <w:rPr>
          <w:rFonts w:asciiTheme="minorHAnsi" w:hAnsiTheme="minorHAnsi"/>
          <w:szCs w:val="24"/>
          <w:lang w:val="en-US"/>
        </w:rPr>
        <w:t xml:space="preserve">the ITU Secretariat </w:t>
      </w:r>
      <w:r w:rsidRPr="00720A57">
        <w:rPr>
          <w:rFonts w:asciiTheme="minorHAnsi" w:hAnsiTheme="minorHAnsi"/>
          <w:szCs w:val="24"/>
          <w:lang w:val="en-US"/>
        </w:rPr>
        <w:t>propose</w:t>
      </w:r>
      <w:r w:rsidR="00CC1884" w:rsidRPr="00720A57">
        <w:rPr>
          <w:rFonts w:asciiTheme="minorHAnsi" w:hAnsiTheme="minorHAnsi"/>
          <w:szCs w:val="24"/>
          <w:lang w:val="en-US"/>
        </w:rPr>
        <w:t>s</w:t>
      </w:r>
      <w:r w:rsidRPr="00720A57">
        <w:rPr>
          <w:rFonts w:asciiTheme="minorHAnsi" w:hAnsiTheme="minorHAnsi"/>
          <w:szCs w:val="24"/>
          <w:lang w:val="en-US"/>
        </w:rPr>
        <w:t xml:space="preserve"> to change the deadline from “30 June 2018” to </w:t>
      </w:r>
      <w:r w:rsidR="00CC1884" w:rsidRPr="00720A57">
        <w:rPr>
          <w:rFonts w:asciiTheme="minorHAnsi" w:hAnsiTheme="minorHAnsi"/>
          <w:szCs w:val="24"/>
          <w:lang w:val="en-US"/>
        </w:rPr>
        <w:t>“</w:t>
      </w:r>
      <w:r w:rsidRPr="00720A57">
        <w:rPr>
          <w:rFonts w:asciiTheme="minorHAnsi" w:hAnsiTheme="minorHAnsi"/>
          <w:szCs w:val="24"/>
          <w:lang w:val="en-US"/>
        </w:rPr>
        <w:t>ITU Council 2019</w:t>
      </w:r>
      <w:r w:rsidR="00CC1884" w:rsidRPr="00720A57">
        <w:rPr>
          <w:rFonts w:asciiTheme="minorHAnsi" w:hAnsiTheme="minorHAnsi"/>
          <w:szCs w:val="24"/>
          <w:lang w:val="en-US"/>
        </w:rPr>
        <w:t>”</w:t>
      </w:r>
      <w:r w:rsidRPr="00720A57">
        <w:rPr>
          <w:rFonts w:asciiTheme="minorHAnsi" w:hAnsiTheme="minorHAnsi"/>
          <w:szCs w:val="24"/>
          <w:lang w:val="en-US"/>
        </w:rPr>
        <w:t>.</w:t>
      </w:r>
      <w:r w:rsidR="00352080" w:rsidRPr="00720A57">
        <w:rPr>
          <w:rFonts w:asciiTheme="minorHAnsi" w:hAnsiTheme="minorHAnsi"/>
          <w:szCs w:val="24"/>
          <w:lang w:val="en-US"/>
        </w:rPr>
        <w:t xml:space="preserve"> </w:t>
      </w:r>
      <w:r w:rsidR="004F39A7" w:rsidRPr="00720A57">
        <w:rPr>
          <w:rFonts w:asciiTheme="minorHAnsi" w:hAnsiTheme="minorHAnsi"/>
          <w:szCs w:val="24"/>
          <w:lang w:val="en-US"/>
        </w:rPr>
        <w:t>T</w:t>
      </w:r>
      <w:r w:rsidR="00352080" w:rsidRPr="00720A57">
        <w:rPr>
          <w:rFonts w:asciiTheme="minorHAnsi" w:hAnsiTheme="minorHAnsi"/>
          <w:szCs w:val="24"/>
          <w:lang w:val="en-US"/>
        </w:rPr>
        <w:t>he contacts for UIFN service providers (</w:t>
      </w:r>
      <w:hyperlink r:id="rId18" w:history="1">
        <w:r w:rsidR="006D0F09" w:rsidRPr="00720A57">
          <w:rPr>
            <w:rStyle w:val="Hyperlink"/>
            <w:rFonts w:asciiTheme="minorHAnsi" w:hAnsiTheme="minorHAnsi"/>
            <w:szCs w:val="24"/>
            <w:lang w:val="en-US"/>
          </w:rPr>
          <w:t>https://www.itu.int/en/ITU-T/inr/unum/Pages/uifn-service-provider.aspx</w:t>
        </w:r>
      </w:hyperlink>
      <w:r w:rsidR="00DD6E4A" w:rsidRPr="00720A57">
        <w:rPr>
          <w:rFonts w:asciiTheme="minorHAnsi" w:hAnsiTheme="minorHAnsi"/>
          <w:szCs w:val="24"/>
          <w:lang w:val="en-US"/>
        </w:rPr>
        <w:t xml:space="preserve">) and for IIN assignees </w:t>
      </w:r>
      <w:r w:rsidR="005D5696" w:rsidRPr="00720A57">
        <w:rPr>
          <w:rFonts w:asciiTheme="minorHAnsi" w:hAnsiTheme="minorHAnsi"/>
          <w:szCs w:val="24"/>
          <w:lang w:val="en-US"/>
        </w:rPr>
        <w:t xml:space="preserve">are </w:t>
      </w:r>
      <w:r w:rsidR="00DD6E4A" w:rsidRPr="00720A57">
        <w:rPr>
          <w:rFonts w:asciiTheme="minorHAnsi" w:hAnsiTheme="minorHAnsi"/>
          <w:szCs w:val="24"/>
          <w:lang w:val="en-US"/>
        </w:rPr>
        <w:t xml:space="preserve">published on </w:t>
      </w:r>
      <w:r w:rsidR="004F39A7" w:rsidRPr="00720A57">
        <w:rPr>
          <w:rFonts w:asciiTheme="minorHAnsi" w:hAnsiTheme="minorHAnsi"/>
          <w:szCs w:val="24"/>
          <w:lang w:val="en-US"/>
        </w:rPr>
        <w:t xml:space="preserve">the </w:t>
      </w:r>
      <w:r w:rsidR="00DD6E4A" w:rsidRPr="00720A57">
        <w:rPr>
          <w:rFonts w:asciiTheme="minorHAnsi" w:hAnsiTheme="minorHAnsi"/>
          <w:szCs w:val="24"/>
          <w:lang w:val="en-US"/>
        </w:rPr>
        <w:t>ITU website</w:t>
      </w:r>
      <w:r w:rsidR="006D0F09" w:rsidRPr="00720A57">
        <w:rPr>
          <w:rFonts w:asciiTheme="minorHAnsi" w:hAnsiTheme="minorHAnsi"/>
          <w:szCs w:val="24"/>
          <w:lang w:val="en-US"/>
        </w:rPr>
        <w:t xml:space="preserve"> (</w:t>
      </w:r>
      <w:hyperlink r:id="rId19" w:history="1">
        <w:r w:rsidR="006D0F09" w:rsidRPr="00720A57">
          <w:rPr>
            <w:rStyle w:val="Hyperlink"/>
            <w:rFonts w:asciiTheme="minorHAnsi" w:hAnsiTheme="minorHAnsi"/>
            <w:szCs w:val="24"/>
            <w:lang w:val="en-US"/>
          </w:rPr>
          <w:t>https://www.itu.int/net/itu-t/inrdb/secured/e118iin.aspx</w:t>
        </w:r>
      </w:hyperlink>
      <w:r w:rsidR="006D0F09" w:rsidRPr="00720A57">
        <w:rPr>
          <w:rFonts w:asciiTheme="minorHAnsi" w:hAnsiTheme="minorHAnsi"/>
          <w:szCs w:val="24"/>
          <w:lang w:val="en-US"/>
        </w:rPr>
        <w:t>)</w:t>
      </w:r>
      <w:r w:rsidR="00DD25BB" w:rsidRPr="00720A57">
        <w:rPr>
          <w:rFonts w:asciiTheme="minorHAnsi" w:hAnsiTheme="minorHAnsi"/>
          <w:szCs w:val="24"/>
          <w:lang w:val="en-US"/>
        </w:rPr>
        <w:t xml:space="preserve">. </w:t>
      </w:r>
      <w:r w:rsidR="004F39A7" w:rsidRPr="00720A57">
        <w:rPr>
          <w:rFonts w:asciiTheme="minorHAnsi" w:hAnsiTheme="minorHAnsi"/>
          <w:szCs w:val="24"/>
          <w:lang w:val="en-US"/>
        </w:rPr>
        <w:t>T</w:t>
      </w:r>
      <w:r w:rsidR="00DD25BB" w:rsidRPr="00720A57">
        <w:rPr>
          <w:rFonts w:asciiTheme="minorHAnsi" w:hAnsiTheme="minorHAnsi"/>
          <w:szCs w:val="24"/>
          <w:lang w:val="en-US"/>
        </w:rPr>
        <w:t xml:space="preserve">he contacts for IIN assignees are also published in </w:t>
      </w:r>
      <w:r w:rsidR="005D5696" w:rsidRPr="00720A57">
        <w:rPr>
          <w:rFonts w:asciiTheme="minorHAnsi" w:hAnsiTheme="minorHAnsi"/>
          <w:szCs w:val="24"/>
          <w:lang w:val="en-US"/>
        </w:rPr>
        <w:t xml:space="preserve">the </w:t>
      </w:r>
      <w:r w:rsidR="00DD6E4A" w:rsidRPr="00720A57">
        <w:rPr>
          <w:rFonts w:asciiTheme="minorHAnsi" w:hAnsiTheme="minorHAnsi"/>
          <w:szCs w:val="24"/>
          <w:lang w:val="en-US"/>
        </w:rPr>
        <w:t xml:space="preserve">ITU </w:t>
      </w:r>
      <w:r w:rsidR="005D5696" w:rsidRPr="00720A57">
        <w:rPr>
          <w:rFonts w:asciiTheme="minorHAnsi" w:hAnsiTheme="minorHAnsi"/>
          <w:szCs w:val="24"/>
          <w:lang w:val="en-US"/>
        </w:rPr>
        <w:t>O</w:t>
      </w:r>
      <w:r w:rsidR="00DD6E4A" w:rsidRPr="00720A57">
        <w:rPr>
          <w:rFonts w:asciiTheme="minorHAnsi" w:hAnsiTheme="minorHAnsi"/>
          <w:szCs w:val="24"/>
          <w:lang w:val="en-US"/>
        </w:rPr>
        <w:t xml:space="preserve">perational Bulletin </w:t>
      </w:r>
      <w:r w:rsidR="006D0F09" w:rsidRPr="00720A57">
        <w:rPr>
          <w:rFonts w:asciiTheme="minorHAnsi" w:hAnsiTheme="minorHAnsi"/>
          <w:szCs w:val="24"/>
          <w:lang w:val="en-US"/>
        </w:rPr>
        <w:t>(</w:t>
      </w:r>
      <w:hyperlink r:id="rId20" w:history="1">
        <w:r w:rsidR="006D0F09" w:rsidRPr="00720A57">
          <w:rPr>
            <w:rStyle w:val="Hyperlink"/>
            <w:rFonts w:asciiTheme="minorHAnsi" w:hAnsiTheme="minorHAnsi"/>
            <w:szCs w:val="24"/>
            <w:lang w:val="en-US"/>
          </w:rPr>
          <w:t>https://www.itu.int/pub/T-SP/e</w:t>
        </w:r>
      </w:hyperlink>
      <w:r w:rsidR="006D0F09" w:rsidRPr="00720A57">
        <w:rPr>
          <w:rFonts w:asciiTheme="minorHAnsi" w:hAnsiTheme="minorHAnsi"/>
          <w:szCs w:val="24"/>
          <w:lang w:val="en-US"/>
        </w:rPr>
        <w:t xml:space="preserve">) </w:t>
      </w:r>
      <w:r w:rsidR="004F39A7" w:rsidRPr="00720A57">
        <w:rPr>
          <w:rFonts w:asciiTheme="minorHAnsi" w:hAnsiTheme="minorHAnsi"/>
          <w:szCs w:val="24"/>
          <w:lang w:val="en-US"/>
        </w:rPr>
        <w:t xml:space="preserve">and </w:t>
      </w:r>
      <w:r w:rsidR="00DD6E4A" w:rsidRPr="00720A57">
        <w:rPr>
          <w:rFonts w:asciiTheme="minorHAnsi" w:hAnsiTheme="minorHAnsi"/>
          <w:szCs w:val="24"/>
          <w:lang w:val="en-US"/>
        </w:rPr>
        <w:t xml:space="preserve">are publically accessible. </w:t>
      </w:r>
    </w:p>
    <w:p w:rsidR="005D5696" w:rsidRPr="00720A57" w:rsidRDefault="00A0212E" w:rsidP="00A0212E">
      <w:pPr>
        <w:pStyle w:val="ListParagraph"/>
        <w:numPr>
          <w:ilvl w:val="0"/>
          <w:numId w:val="10"/>
        </w:numPr>
        <w:tabs>
          <w:tab w:val="clear" w:pos="1134"/>
          <w:tab w:val="clear" w:pos="1871"/>
          <w:tab w:val="clear" w:pos="2268"/>
        </w:tabs>
        <w:overflowPunct/>
        <w:autoSpaceDE/>
        <w:autoSpaceDN/>
        <w:snapToGrid w:val="0"/>
        <w:spacing w:before="360" w:after="120"/>
        <w:ind w:left="0" w:firstLine="0"/>
        <w:contextualSpacing w:val="0"/>
        <w:jc w:val="both"/>
        <w:textAlignment w:val="auto"/>
        <w:rPr>
          <w:b/>
          <w:bCs/>
          <w:szCs w:val="24"/>
        </w:rPr>
      </w:pPr>
      <w:r>
        <w:rPr>
          <w:b/>
          <w:bCs/>
          <w:szCs w:val="24"/>
        </w:rPr>
        <w:t>Conclusion</w:t>
      </w:r>
    </w:p>
    <w:p w:rsidR="005D5696" w:rsidRPr="00720A57" w:rsidRDefault="005D5696" w:rsidP="00A0212E">
      <w:pPr>
        <w:tabs>
          <w:tab w:val="clear" w:pos="567"/>
          <w:tab w:val="clear" w:pos="1134"/>
          <w:tab w:val="clear" w:pos="1701"/>
          <w:tab w:val="clear" w:pos="2268"/>
          <w:tab w:val="clear" w:pos="2835"/>
        </w:tabs>
        <w:snapToGrid w:val="0"/>
        <w:spacing w:after="120"/>
        <w:rPr>
          <w:rFonts w:asciiTheme="minorHAnsi" w:hAnsiTheme="minorHAnsi"/>
          <w:lang w:val="en-US" w:eastAsia="zh-CN"/>
        </w:rPr>
      </w:pPr>
      <w:r w:rsidRPr="00720A57">
        <w:rPr>
          <w:rFonts w:asciiTheme="minorHAnsi" w:hAnsiTheme="minorHAnsi"/>
          <w:lang w:val="en-US" w:eastAsia="zh-CN"/>
        </w:rPr>
        <w:t>Council is invited to take note of the first proposal and to consider the revised second proposal.</w:t>
      </w:r>
    </w:p>
    <w:p w:rsidR="00F42E7F" w:rsidRPr="00720A57" w:rsidRDefault="00CC1884" w:rsidP="00A0212E">
      <w:pPr>
        <w:tabs>
          <w:tab w:val="clear" w:pos="567"/>
          <w:tab w:val="clear" w:pos="1134"/>
          <w:tab w:val="clear" w:pos="1701"/>
          <w:tab w:val="clear" w:pos="2268"/>
          <w:tab w:val="clear" w:pos="2835"/>
        </w:tabs>
        <w:snapToGrid w:val="0"/>
        <w:spacing w:before="840"/>
        <w:jc w:val="center"/>
        <w:rPr>
          <w:rFonts w:asciiTheme="minorHAnsi" w:hAnsiTheme="minorHAnsi"/>
        </w:rPr>
      </w:pPr>
      <w:r w:rsidRPr="00720A57">
        <w:rPr>
          <w:rFonts w:asciiTheme="minorHAnsi" w:hAnsiTheme="minorHAnsi"/>
        </w:rPr>
        <w:t>_________________</w:t>
      </w:r>
    </w:p>
    <w:sectPr w:rsidR="00F42E7F" w:rsidRPr="00720A57" w:rsidSect="004D1851">
      <w:head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45" w:rsidRDefault="003C4845">
      <w:r>
        <w:separator/>
      </w:r>
    </w:p>
  </w:endnote>
  <w:endnote w:type="continuationSeparator" w:id="0">
    <w:p w:rsidR="003C4845" w:rsidRDefault="003C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6B7" w:rsidRDefault="007476B7" w:rsidP="0073537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45" w:rsidRDefault="003C4845">
      <w:r>
        <w:t>____________________</w:t>
      </w:r>
    </w:p>
  </w:footnote>
  <w:footnote w:type="continuationSeparator" w:id="0">
    <w:p w:rsidR="003C4845" w:rsidRDefault="003C4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6B7" w:rsidRDefault="007476B7" w:rsidP="00CE433C">
    <w:pPr>
      <w:pStyle w:val="Header"/>
    </w:pPr>
    <w:r>
      <w:fldChar w:fldCharType="begin"/>
    </w:r>
    <w:r>
      <w:instrText>PAGE</w:instrText>
    </w:r>
    <w:r>
      <w:fldChar w:fldCharType="separate"/>
    </w:r>
    <w:r w:rsidR="00036D2E">
      <w:rPr>
        <w:noProof/>
      </w:rPr>
      <w:t>2</w:t>
    </w:r>
    <w:r>
      <w:rPr>
        <w:noProof/>
      </w:rPr>
      <w:fldChar w:fldCharType="end"/>
    </w:r>
  </w:p>
  <w:p w:rsidR="007476B7" w:rsidRPr="00623AE3" w:rsidRDefault="007476B7" w:rsidP="00A0212E">
    <w:pPr>
      <w:pStyle w:val="Header"/>
      <w:rPr>
        <w:bCs/>
      </w:rPr>
    </w:pPr>
    <w:r w:rsidRPr="00623AE3">
      <w:rPr>
        <w:bCs/>
      </w:rPr>
      <w:t>C18/</w:t>
    </w:r>
    <w:r w:rsidR="00A0212E">
      <w:rPr>
        <w:bCs/>
      </w:rPr>
      <w:t>100</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C149A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08B6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B69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7C8D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90B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1AC8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7036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EE93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C43F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A27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334F7"/>
    <w:multiLevelType w:val="hybridMultilevel"/>
    <w:tmpl w:val="4FDC40F0"/>
    <w:lvl w:ilvl="0" w:tplc="269C979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9E210B"/>
    <w:multiLevelType w:val="hybridMultilevel"/>
    <w:tmpl w:val="B90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0305C6"/>
    <w:multiLevelType w:val="hybridMultilevel"/>
    <w:tmpl w:val="3BE04E98"/>
    <w:lvl w:ilvl="0" w:tplc="0409000F">
      <w:start w:val="1"/>
      <w:numFmt w:val="decimal"/>
      <w:lvlText w:val="%1."/>
      <w:lvlJc w:val="left"/>
      <w:pPr>
        <w:ind w:left="319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66F80"/>
    <w:multiLevelType w:val="hybridMultilevel"/>
    <w:tmpl w:val="9F74BA6A"/>
    <w:lvl w:ilvl="0" w:tplc="08090001">
      <w:start w:val="1"/>
      <w:numFmt w:val="bullet"/>
      <w:lvlText w:val=""/>
      <w:lvlJc w:val="left"/>
      <w:pPr>
        <w:ind w:left="409" w:hanging="360"/>
      </w:pPr>
      <w:rPr>
        <w:rFonts w:ascii="Symbol" w:hAnsi="Symbol" w:hint="default"/>
      </w:rPr>
    </w:lvl>
    <w:lvl w:ilvl="1" w:tplc="08090003" w:tentative="1">
      <w:start w:val="1"/>
      <w:numFmt w:val="bullet"/>
      <w:lvlText w:val="o"/>
      <w:lvlJc w:val="left"/>
      <w:pPr>
        <w:ind w:left="1129" w:hanging="360"/>
      </w:pPr>
      <w:rPr>
        <w:rFonts w:ascii="Courier New" w:hAnsi="Courier New" w:cs="Courier New" w:hint="default"/>
      </w:rPr>
    </w:lvl>
    <w:lvl w:ilvl="2" w:tplc="08090005" w:tentative="1">
      <w:start w:val="1"/>
      <w:numFmt w:val="bullet"/>
      <w:lvlText w:val=""/>
      <w:lvlJc w:val="left"/>
      <w:pPr>
        <w:ind w:left="1849" w:hanging="360"/>
      </w:pPr>
      <w:rPr>
        <w:rFonts w:ascii="Wingdings" w:hAnsi="Wingdings" w:hint="default"/>
      </w:rPr>
    </w:lvl>
    <w:lvl w:ilvl="3" w:tplc="08090001" w:tentative="1">
      <w:start w:val="1"/>
      <w:numFmt w:val="bullet"/>
      <w:lvlText w:val=""/>
      <w:lvlJc w:val="left"/>
      <w:pPr>
        <w:ind w:left="2569" w:hanging="360"/>
      </w:pPr>
      <w:rPr>
        <w:rFonts w:ascii="Symbol" w:hAnsi="Symbol" w:hint="default"/>
      </w:rPr>
    </w:lvl>
    <w:lvl w:ilvl="4" w:tplc="08090003" w:tentative="1">
      <w:start w:val="1"/>
      <w:numFmt w:val="bullet"/>
      <w:lvlText w:val="o"/>
      <w:lvlJc w:val="left"/>
      <w:pPr>
        <w:ind w:left="3289" w:hanging="360"/>
      </w:pPr>
      <w:rPr>
        <w:rFonts w:ascii="Courier New" w:hAnsi="Courier New" w:cs="Courier New" w:hint="default"/>
      </w:rPr>
    </w:lvl>
    <w:lvl w:ilvl="5" w:tplc="08090005" w:tentative="1">
      <w:start w:val="1"/>
      <w:numFmt w:val="bullet"/>
      <w:lvlText w:val=""/>
      <w:lvlJc w:val="left"/>
      <w:pPr>
        <w:ind w:left="4009" w:hanging="360"/>
      </w:pPr>
      <w:rPr>
        <w:rFonts w:ascii="Wingdings" w:hAnsi="Wingdings" w:hint="default"/>
      </w:rPr>
    </w:lvl>
    <w:lvl w:ilvl="6" w:tplc="08090001" w:tentative="1">
      <w:start w:val="1"/>
      <w:numFmt w:val="bullet"/>
      <w:lvlText w:val=""/>
      <w:lvlJc w:val="left"/>
      <w:pPr>
        <w:ind w:left="4729" w:hanging="360"/>
      </w:pPr>
      <w:rPr>
        <w:rFonts w:ascii="Symbol" w:hAnsi="Symbol" w:hint="default"/>
      </w:rPr>
    </w:lvl>
    <w:lvl w:ilvl="7" w:tplc="08090003" w:tentative="1">
      <w:start w:val="1"/>
      <w:numFmt w:val="bullet"/>
      <w:lvlText w:val="o"/>
      <w:lvlJc w:val="left"/>
      <w:pPr>
        <w:ind w:left="5449" w:hanging="360"/>
      </w:pPr>
      <w:rPr>
        <w:rFonts w:ascii="Courier New" w:hAnsi="Courier New" w:cs="Courier New" w:hint="default"/>
      </w:rPr>
    </w:lvl>
    <w:lvl w:ilvl="8" w:tplc="08090005" w:tentative="1">
      <w:start w:val="1"/>
      <w:numFmt w:val="bullet"/>
      <w:lvlText w:val=""/>
      <w:lvlJc w:val="left"/>
      <w:pPr>
        <w:ind w:left="6169" w:hanging="360"/>
      </w:pPr>
      <w:rPr>
        <w:rFonts w:ascii="Wingdings" w:hAnsi="Wingdings" w:hint="default"/>
      </w:rPr>
    </w:lvl>
  </w:abstractNum>
  <w:abstractNum w:abstractNumId="14" w15:restartNumberingAfterBreak="0">
    <w:nsid w:val="152B45FA"/>
    <w:multiLevelType w:val="hybridMultilevel"/>
    <w:tmpl w:val="857A0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395086"/>
    <w:multiLevelType w:val="hybridMultilevel"/>
    <w:tmpl w:val="EFFC353E"/>
    <w:lvl w:ilvl="0" w:tplc="04090001">
      <w:start w:val="1"/>
      <w:numFmt w:val="bullet"/>
      <w:lvlText w:val=""/>
      <w:lvlJc w:val="left"/>
      <w:pPr>
        <w:ind w:left="360" w:hanging="360"/>
      </w:pPr>
      <w:rPr>
        <w:rFonts w:ascii="Symbol" w:hAnsi="Symbo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9649BB"/>
    <w:multiLevelType w:val="hybridMultilevel"/>
    <w:tmpl w:val="79D2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1F48EE"/>
    <w:multiLevelType w:val="hybridMultilevel"/>
    <w:tmpl w:val="D012E4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29F6C46"/>
    <w:multiLevelType w:val="hybridMultilevel"/>
    <w:tmpl w:val="1BE8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300B3F"/>
    <w:multiLevelType w:val="hybridMultilevel"/>
    <w:tmpl w:val="5EA66264"/>
    <w:lvl w:ilvl="0" w:tplc="2F46D838">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A0F93"/>
    <w:multiLevelType w:val="hybridMultilevel"/>
    <w:tmpl w:val="0448A720"/>
    <w:lvl w:ilvl="0" w:tplc="2C94B2BA">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8109B"/>
    <w:multiLevelType w:val="hybridMultilevel"/>
    <w:tmpl w:val="740A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E0042D"/>
    <w:multiLevelType w:val="hybridMultilevel"/>
    <w:tmpl w:val="D7FC60D6"/>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5520B2"/>
    <w:multiLevelType w:val="hybridMultilevel"/>
    <w:tmpl w:val="FC8667CA"/>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CB6C75"/>
    <w:multiLevelType w:val="hybridMultilevel"/>
    <w:tmpl w:val="02967310"/>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6"/>
  </w:num>
  <w:num w:numId="3">
    <w:abstractNumId w:val="24"/>
  </w:num>
  <w:num w:numId="4">
    <w:abstractNumId w:val="11"/>
  </w:num>
  <w:num w:numId="5">
    <w:abstractNumId w:val="22"/>
  </w:num>
  <w:num w:numId="6">
    <w:abstractNumId w:val="21"/>
  </w:num>
  <w:num w:numId="7">
    <w:abstractNumId w:val="23"/>
  </w:num>
  <w:num w:numId="8">
    <w:abstractNumId w:val="10"/>
  </w:num>
  <w:num w:numId="9">
    <w:abstractNumId w:val="15"/>
  </w:num>
  <w:num w:numId="10">
    <w:abstractNumId w:val="12"/>
  </w:num>
  <w:num w:numId="11">
    <w:abstractNumId w:val="17"/>
  </w:num>
  <w:num w:numId="12">
    <w:abstractNumId w:val="13"/>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9"/>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55D8"/>
    <w:rsid w:val="000210D4"/>
    <w:rsid w:val="00036917"/>
    <w:rsid w:val="00036D2E"/>
    <w:rsid w:val="00063016"/>
    <w:rsid w:val="0006624A"/>
    <w:rsid w:val="00066795"/>
    <w:rsid w:val="00076AF6"/>
    <w:rsid w:val="00085CF2"/>
    <w:rsid w:val="000B1705"/>
    <w:rsid w:val="000D75B2"/>
    <w:rsid w:val="000E34EB"/>
    <w:rsid w:val="000E4450"/>
    <w:rsid w:val="000F28EC"/>
    <w:rsid w:val="001121F5"/>
    <w:rsid w:val="001400DC"/>
    <w:rsid w:val="00140CE1"/>
    <w:rsid w:val="001649EB"/>
    <w:rsid w:val="0017539C"/>
    <w:rsid w:val="00175AC2"/>
    <w:rsid w:val="0017609F"/>
    <w:rsid w:val="00180C4F"/>
    <w:rsid w:val="001859E0"/>
    <w:rsid w:val="001A6741"/>
    <w:rsid w:val="001C628E"/>
    <w:rsid w:val="001E0F7B"/>
    <w:rsid w:val="002119FD"/>
    <w:rsid w:val="002130E0"/>
    <w:rsid w:val="002259BB"/>
    <w:rsid w:val="00237687"/>
    <w:rsid w:val="00241AA0"/>
    <w:rsid w:val="00261BE3"/>
    <w:rsid w:val="00264425"/>
    <w:rsid w:val="00265875"/>
    <w:rsid w:val="0027303B"/>
    <w:rsid w:val="002749FD"/>
    <w:rsid w:val="0028109B"/>
    <w:rsid w:val="002A2188"/>
    <w:rsid w:val="002B1F58"/>
    <w:rsid w:val="002C13BA"/>
    <w:rsid w:val="002C1C7A"/>
    <w:rsid w:val="002C64E6"/>
    <w:rsid w:val="002E3B7A"/>
    <w:rsid w:val="002F664B"/>
    <w:rsid w:val="0030160F"/>
    <w:rsid w:val="00322D0D"/>
    <w:rsid w:val="003307A9"/>
    <w:rsid w:val="003323C8"/>
    <w:rsid w:val="00345403"/>
    <w:rsid w:val="00352080"/>
    <w:rsid w:val="003707A9"/>
    <w:rsid w:val="00371A7A"/>
    <w:rsid w:val="003942D4"/>
    <w:rsid w:val="003958A8"/>
    <w:rsid w:val="003C2533"/>
    <w:rsid w:val="003C4845"/>
    <w:rsid w:val="003D0E44"/>
    <w:rsid w:val="003E3871"/>
    <w:rsid w:val="00400453"/>
    <w:rsid w:val="0040435A"/>
    <w:rsid w:val="00407746"/>
    <w:rsid w:val="00415E80"/>
    <w:rsid w:val="00416A24"/>
    <w:rsid w:val="00421288"/>
    <w:rsid w:val="00431D9E"/>
    <w:rsid w:val="00433CE8"/>
    <w:rsid w:val="00434A5C"/>
    <w:rsid w:val="004425E0"/>
    <w:rsid w:val="004544D9"/>
    <w:rsid w:val="00490E72"/>
    <w:rsid w:val="00491157"/>
    <w:rsid w:val="004921C8"/>
    <w:rsid w:val="004A4559"/>
    <w:rsid w:val="004A6C55"/>
    <w:rsid w:val="004C09E5"/>
    <w:rsid w:val="004D1851"/>
    <w:rsid w:val="004D599D"/>
    <w:rsid w:val="004E2EA5"/>
    <w:rsid w:val="004E3AEB"/>
    <w:rsid w:val="004F39A7"/>
    <w:rsid w:val="0050223C"/>
    <w:rsid w:val="0050682D"/>
    <w:rsid w:val="005243FF"/>
    <w:rsid w:val="00526800"/>
    <w:rsid w:val="0055172A"/>
    <w:rsid w:val="00564FBC"/>
    <w:rsid w:val="00574C50"/>
    <w:rsid w:val="00581558"/>
    <w:rsid w:val="00582442"/>
    <w:rsid w:val="005B27C9"/>
    <w:rsid w:val="005D0D3D"/>
    <w:rsid w:val="005D5696"/>
    <w:rsid w:val="005E5AFA"/>
    <w:rsid w:val="005F3269"/>
    <w:rsid w:val="00623AE3"/>
    <w:rsid w:val="006455F3"/>
    <w:rsid w:val="0064737F"/>
    <w:rsid w:val="006535F1"/>
    <w:rsid w:val="0065557D"/>
    <w:rsid w:val="00656357"/>
    <w:rsid w:val="00662984"/>
    <w:rsid w:val="006633D4"/>
    <w:rsid w:val="0066519C"/>
    <w:rsid w:val="00665552"/>
    <w:rsid w:val="006716BB"/>
    <w:rsid w:val="00675485"/>
    <w:rsid w:val="006A3FD0"/>
    <w:rsid w:val="006B0B3B"/>
    <w:rsid w:val="006B6680"/>
    <w:rsid w:val="006B6DCC"/>
    <w:rsid w:val="006D0F09"/>
    <w:rsid w:val="006E69A0"/>
    <w:rsid w:val="00702DEF"/>
    <w:rsid w:val="00704566"/>
    <w:rsid w:val="00706861"/>
    <w:rsid w:val="0072004E"/>
    <w:rsid w:val="00720A57"/>
    <w:rsid w:val="00735378"/>
    <w:rsid w:val="007476B7"/>
    <w:rsid w:val="0075051B"/>
    <w:rsid w:val="00763A4B"/>
    <w:rsid w:val="00773E37"/>
    <w:rsid w:val="00774791"/>
    <w:rsid w:val="00787BC7"/>
    <w:rsid w:val="00793188"/>
    <w:rsid w:val="00794D34"/>
    <w:rsid w:val="007D5357"/>
    <w:rsid w:val="007D7305"/>
    <w:rsid w:val="007E48AB"/>
    <w:rsid w:val="00813E5E"/>
    <w:rsid w:val="008179F5"/>
    <w:rsid w:val="00826566"/>
    <w:rsid w:val="008271CD"/>
    <w:rsid w:val="00834226"/>
    <w:rsid w:val="0083581B"/>
    <w:rsid w:val="008408C1"/>
    <w:rsid w:val="00854160"/>
    <w:rsid w:val="00864AFF"/>
    <w:rsid w:val="00893DAD"/>
    <w:rsid w:val="008B063F"/>
    <w:rsid w:val="008B4A6A"/>
    <w:rsid w:val="008C7E27"/>
    <w:rsid w:val="008D6D50"/>
    <w:rsid w:val="0090701D"/>
    <w:rsid w:val="009173EF"/>
    <w:rsid w:val="00924E05"/>
    <w:rsid w:val="00925ED8"/>
    <w:rsid w:val="00932906"/>
    <w:rsid w:val="00934132"/>
    <w:rsid w:val="00946A99"/>
    <w:rsid w:val="00961B0B"/>
    <w:rsid w:val="009853CC"/>
    <w:rsid w:val="00985F06"/>
    <w:rsid w:val="00990108"/>
    <w:rsid w:val="009B2B07"/>
    <w:rsid w:val="009B38C3"/>
    <w:rsid w:val="009C12EF"/>
    <w:rsid w:val="009D2C57"/>
    <w:rsid w:val="009E17BD"/>
    <w:rsid w:val="009E485A"/>
    <w:rsid w:val="009F6D4D"/>
    <w:rsid w:val="009F7E30"/>
    <w:rsid w:val="00A020FE"/>
    <w:rsid w:val="00A0212E"/>
    <w:rsid w:val="00A04CEC"/>
    <w:rsid w:val="00A07C3A"/>
    <w:rsid w:val="00A27F92"/>
    <w:rsid w:val="00A32257"/>
    <w:rsid w:val="00A330F7"/>
    <w:rsid w:val="00A36D20"/>
    <w:rsid w:val="00A55622"/>
    <w:rsid w:val="00A608E0"/>
    <w:rsid w:val="00A64C01"/>
    <w:rsid w:val="00A83502"/>
    <w:rsid w:val="00A84A88"/>
    <w:rsid w:val="00AB43A4"/>
    <w:rsid w:val="00AB7AFD"/>
    <w:rsid w:val="00AD15B3"/>
    <w:rsid w:val="00AF6E49"/>
    <w:rsid w:val="00B04A67"/>
    <w:rsid w:val="00B0583C"/>
    <w:rsid w:val="00B151EC"/>
    <w:rsid w:val="00B36555"/>
    <w:rsid w:val="00B40A81"/>
    <w:rsid w:val="00B44910"/>
    <w:rsid w:val="00B72267"/>
    <w:rsid w:val="00B76EB6"/>
    <w:rsid w:val="00B7737B"/>
    <w:rsid w:val="00B824C8"/>
    <w:rsid w:val="00B97B5B"/>
    <w:rsid w:val="00BC251A"/>
    <w:rsid w:val="00BD032B"/>
    <w:rsid w:val="00BD38BB"/>
    <w:rsid w:val="00BD7525"/>
    <w:rsid w:val="00BE2640"/>
    <w:rsid w:val="00BE294E"/>
    <w:rsid w:val="00C01189"/>
    <w:rsid w:val="00C17EA7"/>
    <w:rsid w:val="00C374DE"/>
    <w:rsid w:val="00C47AD4"/>
    <w:rsid w:val="00C52D81"/>
    <w:rsid w:val="00C55198"/>
    <w:rsid w:val="00C56E74"/>
    <w:rsid w:val="00C838ED"/>
    <w:rsid w:val="00CA6393"/>
    <w:rsid w:val="00CB18FF"/>
    <w:rsid w:val="00CC1884"/>
    <w:rsid w:val="00CD0C08"/>
    <w:rsid w:val="00CE03FB"/>
    <w:rsid w:val="00CE23EC"/>
    <w:rsid w:val="00CE3A50"/>
    <w:rsid w:val="00CE433C"/>
    <w:rsid w:val="00CF0112"/>
    <w:rsid w:val="00CF33F3"/>
    <w:rsid w:val="00CF3BDF"/>
    <w:rsid w:val="00CF4436"/>
    <w:rsid w:val="00D04E39"/>
    <w:rsid w:val="00D06183"/>
    <w:rsid w:val="00D22C42"/>
    <w:rsid w:val="00D37C2A"/>
    <w:rsid w:val="00D40A05"/>
    <w:rsid w:val="00D50A67"/>
    <w:rsid w:val="00D65041"/>
    <w:rsid w:val="00D67431"/>
    <w:rsid w:val="00D70C35"/>
    <w:rsid w:val="00D8085D"/>
    <w:rsid w:val="00DB384B"/>
    <w:rsid w:val="00DD25BB"/>
    <w:rsid w:val="00DD4900"/>
    <w:rsid w:val="00DD5F5B"/>
    <w:rsid w:val="00DD6E4A"/>
    <w:rsid w:val="00DF54F1"/>
    <w:rsid w:val="00E10E80"/>
    <w:rsid w:val="00E124F0"/>
    <w:rsid w:val="00E22A23"/>
    <w:rsid w:val="00E3590C"/>
    <w:rsid w:val="00E53395"/>
    <w:rsid w:val="00E56C15"/>
    <w:rsid w:val="00E60F04"/>
    <w:rsid w:val="00E75F1A"/>
    <w:rsid w:val="00E854E4"/>
    <w:rsid w:val="00E85A39"/>
    <w:rsid w:val="00EB0D6F"/>
    <w:rsid w:val="00EB2232"/>
    <w:rsid w:val="00EB24B0"/>
    <w:rsid w:val="00EB7BF2"/>
    <w:rsid w:val="00EC5337"/>
    <w:rsid w:val="00ED2718"/>
    <w:rsid w:val="00ED5DD8"/>
    <w:rsid w:val="00EF2F84"/>
    <w:rsid w:val="00F11C7A"/>
    <w:rsid w:val="00F2150A"/>
    <w:rsid w:val="00F231D8"/>
    <w:rsid w:val="00F42E7F"/>
    <w:rsid w:val="00F46C5F"/>
    <w:rsid w:val="00F65ECA"/>
    <w:rsid w:val="00F94A63"/>
    <w:rsid w:val="00F9566E"/>
    <w:rsid w:val="00FA1C28"/>
    <w:rsid w:val="00FA77B0"/>
    <w:rsid w:val="00FB4F2C"/>
    <w:rsid w:val="00FB7596"/>
    <w:rsid w:val="00FE0C76"/>
    <w:rsid w:val="00FE4077"/>
    <w:rsid w:val="00FE77D2"/>
    <w:rsid w:val="00FF15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345403"/>
    <w:pPr>
      <w:tabs>
        <w:tab w:val="clear" w:pos="567"/>
        <w:tab w:val="clear" w:pos="1701"/>
        <w:tab w:val="clear" w:pos="2835"/>
        <w:tab w:val="left" w:pos="1871"/>
      </w:tabs>
      <w:ind w:left="720"/>
      <w:contextualSpacing/>
    </w:pPr>
    <w:rPr>
      <w:rFonts w:asciiTheme="minorHAnsi" w:hAnsiTheme="minorHAnsi"/>
    </w:rPr>
  </w:style>
  <w:style w:type="table" w:styleId="TableGrid">
    <w:name w:val="Table Grid"/>
    <w:basedOn w:val="TableNormal"/>
    <w:uiPriority w:val="39"/>
    <w:rsid w:val="003454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345403"/>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5403"/>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itleChar">
    <w:name w:val="Res_title Char"/>
    <w:basedOn w:val="DefaultParagraphFont"/>
    <w:link w:val="Restitle"/>
    <w:locked/>
    <w:rsid w:val="00E53395"/>
    <w:rPr>
      <w:rFonts w:ascii="Calibri" w:hAnsi="Calibri"/>
      <w:b/>
      <w:sz w:val="28"/>
      <w:lang w:val="en-GB" w:eastAsia="en-US"/>
    </w:rPr>
  </w:style>
  <w:style w:type="paragraph" w:styleId="BalloonText">
    <w:name w:val="Balloon Text"/>
    <w:basedOn w:val="Normal"/>
    <w:link w:val="BalloonTextChar"/>
    <w:semiHidden/>
    <w:unhideWhenUsed/>
    <w:rsid w:val="000055D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055D8"/>
    <w:rPr>
      <w:rFonts w:ascii="Segoe UI" w:hAnsi="Segoe UI" w:cs="Segoe UI"/>
      <w:sz w:val="18"/>
      <w:szCs w:val="18"/>
      <w:lang w:val="en-GB" w:eastAsia="en-US"/>
    </w:rPr>
  </w:style>
  <w:style w:type="paragraph" w:styleId="Revision">
    <w:name w:val="Revision"/>
    <w:hidden/>
    <w:uiPriority w:val="99"/>
    <w:semiHidden/>
    <w:rsid w:val="0072004E"/>
    <w:rPr>
      <w:rFonts w:ascii="Calibri" w:hAnsi="Calibri"/>
      <w:sz w:val="24"/>
      <w:lang w:val="en-GB" w:eastAsia="en-US"/>
    </w:rPr>
  </w:style>
  <w:style w:type="character" w:customStyle="1" w:styleId="enumlev1Char">
    <w:name w:val="enumlev1 Char"/>
    <w:basedOn w:val="DefaultParagraphFont"/>
    <w:link w:val="enumlev1"/>
    <w:rsid w:val="006633D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133/en" TargetMode="External"/><Relationship Id="rId18" Type="http://schemas.openxmlformats.org/officeDocument/2006/relationships/hyperlink" Target="https://www.itu.int/en/ITU-T/inr/unum/Pages/uifn-service-provider.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8-CLCWGFHRM8-C-0028/en" TargetMode="External"/><Relationship Id="rId17" Type="http://schemas.openxmlformats.org/officeDocument/2006/relationships/hyperlink" Target="https://www.itu.int/en/ITU-T/inr/Pages/roa.aspx" TargetMode="External"/><Relationship Id="rId2" Type="http://schemas.openxmlformats.org/officeDocument/2006/relationships/numbering" Target="numbering.xml"/><Relationship Id="rId16" Type="http://schemas.openxmlformats.org/officeDocument/2006/relationships/hyperlink" Target="https://www.itu.int/md/S18-CLCWGFHRM8-C-0028/en" TargetMode="External"/><Relationship Id="rId20" Type="http://schemas.openxmlformats.org/officeDocument/2006/relationships/hyperlink" Target="https://www.itu.int/pub/T-S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WGFHRM8-C-0018/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8-CLCWGFHRM8-C-0018/en" TargetMode="External"/><Relationship Id="rId23" Type="http://schemas.openxmlformats.org/officeDocument/2006/relationships/fontTable" Target="fontTable.xml"/><Relationship Id="rId10" Type="http://schemas.openxmlformats.org/officeDocument/2006/relationships/hyperlink" Target="https://www.itu.int/md/S17-CL-C-0134/en" TargetMode="External"/><Relationship Id="rId19" Type="http://schemas.openxmlformats.org/officeDocument/2006/relationships/hyperlink" Target="https://www.itu.int/net/itu-t/inrdb/secured/e118iin.aspx" TargetMode="External"/><Relationship Id="rId4" Type="http://schemas.openxmlformats.org/officeDocument/2006/relationships/settings" Target="settings.xml"/><Relationship Id="rId9" Type="http://schemas.openxmlformats.org/officeDocument/2006/relationships/hyperlink" Target="https://www.itu.int/md/S17-CL-C-0133/en" TargetMode="External"/><Relationship Id="rId14" Type="http://schemas.openxmlformats.org/officeDocument/2006/relationships/hyperlink" Target="https://www.itu.int/md/S17-CL-C-0134/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4A99-FD4B-48CA-8773-D62FD3EE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0</TotalTime>
  <Pages>3</Pages>
  <Words>822</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Status report on implementation of Council Decision 600 and 601 (UIFN, IIN)</vt:lpstr>
    </vt:vector>
  </TitlesOfParts>
  <Manager>General Secretariat - Pool</Manager>
  <Company>International Telecommunication Union (ITU)</Company>
  <LinksUpToDate>false</LinksUpToDate>
  <CharactersWithSpaces>6259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on implementation of Council Decision 600 and 601 (UIFN, IIN)</dc:title>
  <dc:subject>Council 2018</dc:subject>
  <dc:creator>Brouard, Ricarda</dc:creator>
  <cp:keywords>C2018, C18</cp:keywords>
  <dc:description/>
  <cp:lastModifiedBy>Janin</cp:lastModifiedBy>
  <cp:revision>3</cp:revision>
  <cp:lastPrinted>2018-01-31T19:21:00Z</cp:lastPrinted>
  <dcterms:created xsi:type="dcterms:W3CDTF">2018-04-12T05:58:00Z</dcterms:created>
  <dcterms:modified xsi:type="dcterms:W3CDTF">2018-04-12T05:58:00Z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