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7F3F36">
        <w:trPr>
          <w:cantSplit/>
        </w:trPr>
        <w:tc>
          <w:tcPr>
            <w:tcW w:w="6912" w:type="dxa"/>
          </w:tcPr>
          <w:p w:rsidR="00093EEB" w:rsidRPr="007F3F36" w:rsidRDefault="00093EEB" w:rsidP="009F4811">
            <w:pPr>
              <w:spacing w:before="360"/>
              <w:rPr>
                <w:szCs w:val="24"/>
              </w:rPr>
            </w:pPr>
            <w:bookmarkStart w:id="0" w:name="dc06"/>
            <w:bookmarkStart w:id="1" w:name="dbluepink" w:colFirst="0" w:colLast="0"/>
            <w:bookmarkEnd w:id="0"/>
            <w:r w:rsidRPr="007F3F36">
              <w:rPr>
                <w:b/>
                <w:bCs/>
                <w:sz w:val="30"/>
                <w:szCs w:val="30"/>
              </w:rPr>
              <w:t>Consejo 201</w:t>
            </w:r>
            <w:r w:rsidR="009F4811" w:rsidRPr="007F3F36">
              <w:rPr>
                <w:b/>
                <w:bCs/>
                <w:sz w:val="30"/>
                <w:szCs w:val="30"/>
              </w:rPr>
              <w:t>8</w:t>
            </w:r>
            <w:r w:rsidRPr="007F3F36">
              <w:rPr>
                <w:b/>
                <w:bCs/>
                <w:sz w:val="26"/>
                <w:szCs w:val="26"/>
              </w:rPr>
              <w:br/>
            </w:r>
            <w:r w:rsidRPr="007F3F36">
              <w:rPr>
                <w:b/>
                <w:bCs/>
                <w:szCs w:val="24"/>
              </w:rPr>
              <w:t>Ginebra, 1</w:t>
            </w:r>
            <w:r w:rsidR="009F4811" w:rsidRPr="007F3F36">
              <w:rPr>
                <w:b/>
                <w:bCs/>
                <w:szCs w:val="24"/>
              </w:rPr>
              <w:t>7</w:t>
            </w:r>
            <w:r w:rsidRPr="007F3F36">
              <w:rPr>
                <w:b/>
                <w:bCs/>
                <w:szCs w:val="24"/>
              </w:rPr>
              <w:t>-2</w:t>
            </w:r>
            <w:r w:rsidR="009F4811" w:rsidRPr="007F3F36">
              <w:rPr>
                <w:b/>
                <w:bCs/>
                <w:szCs w:val="24"/>
              </w:rPr>
              <w:t>7</w:t>
            </w:r>
            <w:r w:rsidRPr="007F3F36">
              <w:rPr>
                <w:b/>
                <w:bCs/>
                <w:szCs w:val="24"/>
              </w:rPr>
              <w:t xml:space="preserve"> de </w:t>
            </w:r>
            <w:r w:rsidR="009F4811" w:rsidRPr="007F3F36">
              <w:rPr>
                <w:b/>
                <w:bCs/>
                <w:szCs w:val="24"/>
              </w:rPr>
              <w:t>abril</w:t>
            </w:r>
            <w:r w:rsidRPr="007F3F36">
              <w:rPr>
                <w:b/>
                <w:bCs/>
                <w:szCs w:val="24"/>
              </w:rPr>
              <w:t xml:space="preserve"> de 201</w:t>
            </w:r>
            <w:r w:rsidR="009F4811" w:rsidRPr="007F3F36">
              <w:rPr>
                <w:b/>
                <w:bCs/>
                <w:szCs w:val="24"/>
              </w:rPr>
              <w:t>8</w:t>
            </w:r>
          </w:p>
        </w:tc>
        <w:tc>
          <w:tcPr>
            <w:tcW w:w="3261" w:type="dxa"/>
          </w:tcPr>
          <w:p w:rsidR="00093EEB" w:rsidRPr="007F3F36" w:rsidRDefault="00093EEB" w:rsidP="00093EEB">
            <w:pPr>
              <w:spacing w:before="0"/>
              <w:jc w:val="right"/>
              <w:rPr>
                <w:szCs w:val="24"/>
              </w:rPr>
            </w:pPr>
            <w:bookmarkStart w:id="2" w:name="ditulogo"/>
            <w:bookmarkEnd w:id="2"/>
            <w:r w:rsidRPr="007F3F36">
              <w:rPr>
                <w:rFonts w:cstheme="minorHAnsi"/>
                <w:b/>
                <w:bCs/>
                <w:noProof/>
                <w:szCs w:val="24"/>
                <w:lang w:val="en-GB"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7F3F36">
        <w:trPr>
          <w:cantSplit/>
          <w:trHeight w:val="20"/>
        </w:trPr>
        <w:tc>
          <w:tcPr>
            <w:tcW w:w="10173" w:type="dxa"/>
            <w:gridSpan w:val="2"/>
            <w:tcBorders>
              <w:bottom w:val="single" w:sz="12" w:space="0" w:color="auto"/>
            </w:tcBorders>
          </w:tcPr>
          <w:p w:rsidR="00093EEB" w:rsidRPr="007F3F36" w:rsidRDefault="00093EEB">
            <w:pPr>
              <w:spacing w:before="0"/>
              <w:rPr>
                <w:b/>
                <w:bCs/>
                <w:szCs w:val="24"/>
              </w:rPr>
            </w:pPr>
          </w:p>
        </w:tc>
      </w:tr>
      <w:tr w:rsidR="00093EEB" w:rsidRPr="007F3F36">
        <w:trPr>
          <w:cantSplit/>
          <w:trHeight w:val="20"/>
        </w:trPr>
        <w:tc>
          <w:tcPr>
            <w:tcW w:w="6912" w:type="dxa"/>
            <w:tcBorders>
              <w:top w:val="single" w:sz="12" w:space="0" w:color="auto"/>
            </w:tcBorders>
          </w:tcPr>
          <w:p w:rsidR="00093EEB" w:rsidRPr="007F3F36"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7F3F36" w:rsidRDefault="00093EEB">
            <w:pPr>
              <w:spacing w:before="0"/>
              <w:rPr>
                <w:b/>
                <w:bCs/>
                <w:szCs w:val="24"/>
              </w:rPr>
            </w:pPr>
          </w:p>
        </w:tc>
      </w:tr>
      <w:tr w:rsidR="00093EEB" w:rsidRPr="007F3F36">
        <w:trPr>
          <w:cantSplit/>
          <w:trHeight w:val="20"/>
        </w:trPr>
        <w:tc>
          <w:tcPr>
            <w:tcW w:w="6912" w:type="dxa"/>
            <w:shd w:val="clear" w:color="auto" w:fill="auto"/>
          </w:tcPr>
          <w:p w:rsidR="00093EEB" w:rsidRPr="007F3F36" w:rsidRDefault="00E76DE0">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7F3F36">
              <w:rPr>
                <w:rFonts w:cs="Times"/>
                <w:b/>
                <w:szCs w:val="24"/>
              </w:rPr>
              <w:t>Punto del orden del día: ADM 3</w:t>
            </w:r>
          </w:p>
        </w:tc>
        <w:tc>
          <w:tcPr>
            <w:tcW w:w="3261" w:type="dxa"/>
          </w:tcPr>
          <w:p w:rsidR="00093EEB" w:rsidRPr="007F3F36" w:rsidRDefault="00093EEB" w:rsidP="00E76DE0">
            <w:pPr>
              <w:spacing w:before="0"/>
              <w:rPr>
                <w:b/>
                <w:bCs/>
                <w:szCs w:val="24"/>
              </w:rPr>
            </w:pPr>
            <w:r w:rsidRPr="007F3F36">
              <w:rPr>
                <w:b/>
                <w:bCs/>
                <w:szCs w:val="24"/>
              </w:rPr>
              <w:t>Documento C1</w:t>
            </w:r>
            <w:r w:rsidR="009F4811" w:rsidRPr="007F3F36">
              <w:rPr>
                <w:b/>
                <w:bCs/>
                <w:szCs w:val="24"/>
              </w:rPr>
              <w:t>8</w:t>
            </w:r>
            <w:r w:rsidRPr="007F3F36">
              <w:rPr>
                <w:b/>
                <w:bCs/>
                <w:szCs w:val="24"/>
              </w:rPr>
              <w:t>/</w:t>
            </w:r>
            <w:r w:rsidR="00E76DE0" w:rsidRPr="007F3F36">
              <w:rPr>
                <w:b/>
                <w:bCs/>
                <w:szCs w:val="24"/>
              </w:rPr>
              <w:t>100</w:t>
            </w:r>
            <w:r w:rsidRPr="007F3F36">
              <w:rPr>
                <w:b/>
                <w:bCs/>
                <w:szCs w:val="24"/>
              </w:rPr>
              <w:t>-S</w:t>
            </w:r>
          </w:p>
        </w:tc>
      </w:tr>
      <w:tr w:rsidR="00093EEB" w:rsidRPr="007F3F36">
        <w:trPr>
          <w:cantSplit/>
          <w:trHeight w:val="20"/>
        </w:trPr>
        <w:tc>
          <w:tcPr>
            <w:tcW w:w="6912" w:type="dxa"/>
            <w:shd w:val="clear" w:color="auto" w:fill="auto"/>
          </w:tcPr>
          <w:p w:rsidR="00093EEB" w:rsidRPr="007F3F36"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7F3F36" w:rsidRDefault="00E76DE0" w:rsidP="00E76DE0">
            <w:pPr>
              <w:spacing w:before="0"/>
              <w:rPr>
                <w:b/>
                <w:bCs/>
                <w:szCs w:val="24"/>
              </w:rPr>
            </w:pPr>
            <w:r w:rsidRPr="007F3F36">
              <w:rPr>
                <w:b/>
                <w:bCs/>
                <w:szCs w:val="24"/>
              </w:rPr>
              <w:t>6 de abril</w:t>
            </w:r>
            <w:r w:rsidR="00093EEB" w:rsidRPr="007F3F36">
              <w:rPr>
                <w:b/>
                <w:bCs/>
                <w:szCs w:val="24"/>
              </w:rPr>
              <w:t xml:space="preserve"> de 201</w:t>
            </w:r>
            <w:r w:rsidR="009F4811" w:rsidRPr="007F3F36">
              <w:rPr>
                <w:b/>
                <w:bCs/>
                <w:szCs w:val="24"/>
              </w:rPr>
              <w:t>8</w:t>
            </w:r>
          </w:p>
        </w:tc>
      </w:tr>
      <w:tr w:rsidR="00093EEB" w:rsidRPr="007F3F36">
        <w:trPr>
          <w:cantSplit/>
          <w:trHeight w:val="20"/>
        </w:trPr>
        <w:tc>
          <w:tcPr>
            <w:tcW w:w="6912" w:type="dxa"/>
            <w:shd w:val="clear" w:color="auto" w:fill="auto"/>
          </w:tcPr>
          <w:p w:rsidR="00093EEB" w:rsidRPr="007F3F36" w:rsidRDefault="00093EEB">
            <w:pPr>
              <w:shd w:val="solid" w:color="FFFFFF" w:fill="FFFFFF"/>
              <w:spacing w:before="0"/>
              <w:rPr>
                <w:smallCaps/>
                <w:szCs w:val="24"/>
              </w:rPr>
            </w:pPr>
            <w:bookmarkStart w:id="6" w:name="dorlang" w:colFirst="1" w:colLast="1"/>
            <w:bookmarkEnd w:id="5"/>
          </w:p>
        </w:tc>
        <w:tc>
          <w:tcPr>
            <w:tcW w:w="3261" w:type="dxa"/>
          </w:tcPr>
          <w:p w:rsidR="00093EEB" w:rsidRPr="007F3F36" w:rsidRDefault="00093EEB" w:rsidP="00093EEB">
            <w:pPr>
              <w:spacing w:before="0"/>
              <w:rPr>
                <w:b/>
                <w:bCs/>
                <w:szCs w:val="24"/>
              </w:rPr>
            </w:pPr>
            <w:r w:rsidRPr="007F3F36">
              <w:rPr>
                <w:b/>
                <w:bCs/>
                <w:szCs w:val="24"/>
              </w:rPr>
              <w:t>Original: inglés</w:t>
            </w:r>
          </w:p>
        </w:tc>
      </w:tr>
      <w:tr w:rsidR="00093EEB" w:rsidRPr="007F3F36">
        <w:trPr>
          <w:cantSplit/>
        </w:trPr>
        <w:tc>
          <w:tcPr>
            <w:tcW w:w="10173" w:type="dxa"/>
            <w:gridSpan w:val="2"/>
          </w:tcPr>
          <w:p w:rsidR="00093EEB" w:rsidRPr="007F3F36" w:rsidRDefault="00E76DE0">
            <w:pPr>
              <w:pStyle w:val="Source"/>
            </w:pPr>
            <w:bookmarkStart w:id="7" w:name="dsource" w:colFirst="0" w:colLast="0"/>
            <w:bookmarkEnd w:id="1"/>
            <w:bookmarkEnd w:id="6"/>
            <w:r w:rsidRPr="007F3F36">
              <w:t>Informe del Secretario General</w:t>
            </w:r>
          </w:p>
        </w:tc>
      </w:tr>
      <w:tr w:rsidR="00093EEB" w:rsidRPr="007F3F36">
        <w:trPr>
          <w:cantSplit/>
        </w:trPr>
        <w:tc>
          <w:tcPr>
            <w:tcW w:w="10173" w:type="dxa"/>
            <w:gridSpan w:val="2"/>
          </w:tcPr>
          <w:p w:rsidR="00093EEB" w:rsidRPr="007F3F36" w:rsidRDefault="00E76DE0" w:rsidP="00E76DE0">
            <w:pPr>
              <w:pStyle w:val="Title1"/>
            </w:pPr>
            <w:bookmarkStart w:id="8" w:name="dtitle1" w:colFirst="0" w:colLast="0"/>
            <w:bookmarkEnd w:id="7"/>
            <w:r w:rsidRPr="007F3F36">
              <w:t>informe de situación sobre la implementación</w:t>
            </w:r>
            <w:r w:rsidRPr="007F3F36">
              <w:br/>
              <w:t>de los acuerdos 600 y 601 del consejo</w:t>
            </w:r>
            <w:r w:rsidR="00160B08">
              <w:t xml:space="preserve"> (UIFN, IIN)</w:t>
            </w:r>
          </w:p>
        </w:tc>
      </w:tr>
      <w:bookmarkEnd w:id="8"/>
    </w:tbl>
    <w:p w:rsidR="00093EEB" w:rsidRPr="007F3F36"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7F3F36">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7F3F36" w:rsidRDefault="00093EEB">
            <w:pPr>
              <w:pStyle w:val="Headingb"/>
            </w:pPr>
            <w:r w:rsidRPr="007F3F36">
              <w:t>Resumen</w:t>
            </w:r>
          </w:p>
          <w:p w:rsidR="00E76DE0" w:rsidRPr="007F3F36" w:rsidRDefault="00E76DE0" w:rsidP="00E76DE0">
            <w:r w:rsidRPr="007F3F36">
              <w:t>La Secretaría de la UIT presentó un informe de situación sobre la implementación de los Acuerdos 600 y 60</w:t>
            </w:r>
            <w:r w:rsidR="007F3F36" w:rsidRPr="007F3F36">
              <w:t xml:space="preserve">1 </w:t>
            </w:r>
            <w:r w:rsidR="00160B08">
              <w:t xml:space="preserve">del Consejo </w:t>
            </w:r>
            <w:r w:rsidR="007F3F36" w:rsidRPr="007F3F36">
              <w:t xml:space="preserve">al GTC-RHF en enero de 2018. </w:t>
            </w:r>
            <w:r w:rsidRPr="007F3F36">
              <w:t>Tras el debate en el GTC-RHF, este documento reproduce la primera propuesta:</w:t>
            </w:r>
          </w:p>
          <w:p w:rsidR="00093EEB" w:rsidRPr="007F3F36" w:rsidRDefault="00E76DE0" w:rsidP="00160B08">
            <w:pPr>
              <w:pStyle w:val="enumlev1"/>
            </w:pPr>
            <w:r w:rsidRPr="007F3F36">
              <w:t>–</w:t>
            </w:r>
            <w:r w:rsidRPr="007F3F36">
              <w:tab/>
            </w:r>
            <w:r w:rsidR="00160B08" w:rsidRPr="007F3F36">
              <w:t xml:space="preserve">se </w:t>
            </w:r>
            <w:r w:rsidRPr="007F3F36">
              <w:t>invita a las Administraciones/organismos reguladores nacionales a designar un coordinador para que facilite o investigue los contactos actualizados para los proveedores de servicios UIFN (EER) y los titulares de asignaciones de IIN</w:t>
            </w:r>
            <w:r w:rsidR="00160B08">
              <w:t>;</w:t>
            </w:r>
          </w:p>
          <w:p w:rsidR="00E76DE0" w:rsidRPr="007F3F36" w:rsidRDefault="00160B08" w:rsidP="00E76DE0">
            <w:r w:rsidRPr="007F3F36">
              <w:t xml:space="preserve">y </w:t>
            </w:r>
            <w:r w:rsidR="00E76DE0" w:rsidRPr="007F3F36">
              <w:t>modifica la segunda propuesta presentada al GTC-RHF:</w:t>
            </w:r>
          </w:p>
          <w:p w:rsidR="00E76DE0" w:rsidRPr="007F3F36" w:rsidRDefault="00E76DE0" w:rsidP="00E76DE0">
            <w:pPr>
              <w:pStyle w:val="enumlev1"/>
            </w:pPr>
            <w:r w:rsidRPr="007F3F36">
              <w:t>–</w:t>
            </w:r>
            <w:r w:rsidRPr="007F3F36">
              <w:tab/>
            </w:r>
            <w:r w:rsidR="00160B08" w:rsidRPr="007F3F36">
              <w:t xml:space="preserve">en </w:t>
            </w:r>
            <w:r w:rsidRPr="007F3F36">
              <w:t>el caso de las entidades para las que las Administraciones/organismos reguladores nacionales hayan perdido el contacto y para las que no puedan encontrar nuevos contactos cuando se celebre el Consejo de 2019, todos los registros relativos a tales entidades serán eliminados de la base de datos de la UIT sobre la base de las confirmaciones/notificaciones de las Administraciones/organismos reguladores nacionales.</w:t>
            </w:r>
          </w:p>
          <w:p w:rsidR="00093EEB" w:rsidRPr="007F3F36" w:rsidRDefault="00093EEB">
            <w:pPr>
              <w:pStyle w:val="Headingb"/>
            </w:pPr>
            <w:r w:rsidRPr="007F3F36">
              <w:t>Acción solicitada</w:t>
            </w:r>
          </w:p>
          <w:p w:rsidR="00093EEB" w:rsidRPr="007F3F36" w:rsidRDefault="00E76DE0">
            <w:r w:rsidRPr="007F3F36">
              <w:t xml:space="preserve">Se invita al Consejo a </w:t>
            </w:r>
            <w:r w:rsidRPr="007F3F36">
              <w:rPr>
                <w:b/>
                <w:bCs/>
              </w:rPr>
              <w:t>tomar nota</w:t>
            </w:r>
            <w:r w:rsidRPr="007F3F36">
              <w:t xml:space="preserve"> de la primera propuesta y a </w:t>
            </w:r>
            <w:r w:rsidRPr="007F3F36">
              <w:rPr>
                <w:b/>
                <w:bCs/>
              </w:rPr>
              <w:t>refrendar</w:t>
            </w:r>
            <w:r w:rsidRPr="007F3F36">
              <w:t xml:space="preserve"> la segunda propuesta en su versión modificada.</w:t>
            </w:r>
          </w:p>
          <w:p w:rsidR="00093EEB" w:rsidRPr="007F3F36" w:rsidRDefault="00093EEB">
            <w:pPr>
              <w:pStyle w:val="Table"/>
              <w:keepNext w:val="0"/>
              <w:spacing w:before="0" w:after="0"/>
              <w:rPr>
                <w:caps w:val="0"/>
                <w:sz w:val="22"/>
                <w:lang w:val="es-ES_tradnl"/>
              </w:rPr>
            </w:pPr>
            <w:r w:rsidRPr="007F3F36">
              <w:rPr>
                <w:caps w:val="0"/>
                <w:sz w:val="22"/>
                <w:lang w:val="es-ES_tradnl"/>
              </w:rPr>
              <w:t>____________</w:t>
            </w:r>
          </w:p>
          <w:p w:rsidR="00093EEB" w:rsidRPr="007F3F36" w:rsidRDefault="00093EEB">
            <w:pPr>
              <w:pStyle w:val="Headingb"/>
            </w:pPr>
            <w:r w:rsidRPr="007F3F36">
              <w:t>Referencia</w:t>
            </w:r>
            <w:r w:rsidR="00E76DE0" w:rsidRPr="007F3F36">
              <w:t>s</w:t>
            </w:r>
          </w:p>
          <w:p w:rsidR="00093EEB" w:rsidRPr="007F3F36" w:rsidRDefault="00FC6D82" w:rsidP="00E76DE0">
            <w:pPr>
              <w:spacing w:after="120"/>
              <w:rPr>
                <w:i/>
                <w:iCs/>
              </w:rPr>
            </w:pPr>
            <w:hyperlink r:id="rId8" w:history="1">
              <w:r w:rsidR="00E76DE0" w:rsidRPr="007F3F36">
                <w:rPr>
                  <w:rStyle w:val="Hyperlink"/>
                  <w:rFonts w:asciiTheme="minorHAnsi" w:hAnsiTheme="minorHAnsi" w:cstheme="majorBidi"/>
                </w:rPr>
                <w:t>C17/133</w:t>
              </w:r>
            </w:hyperlink>
            <w:r w:rsidR="00E76DE0" w:rsidRPr="007F3F36">
              <w:rPr>
                <w:rFonts w:asciiTheme="minorHAnsi" w:hAnsiTheme="minorHAnsi" w:cstheme="majorBidi"/>
                <w:color w:val="000000"/>
              </w:rPr>
              <w:t xml:space="preserve">, </w:t>
            </w:r>
            <w:hyperlink r:id="rId9" w:history="1">
              <w:r w:rsidR="00E76DE0" w:rsidRPr="007F3F36">
                <w:rPr>
                  <w:rStyle w:val="Hyperlink"/>
                  <w:rFonts w:asciiTheme="minorHAnsi" w:hAnsiTheme="minorHAnsi" w:cstheme="majorBidi"/>
                </w:rPr>
                <w:t>C17/134</w:t>
              </w:r>
            </w:hyperlink>
            <w:r w:rsidR="00E76DE0" w:rsidRPr="007F3F36">
              <w:rPr>
                <w:rFonts w:asciiTheme="minorHAnsi" w:hAnsiTheme="minorHAnsi"/>
                <w:szCs w:val="24"/>
              </w:rPr>
              <w:t xml:space="preserve">, </w:t>
            </w:r>
            <w:hyperlink r:id="rId10" w:history="1">
              <w:r w:rsidR="00E76DE0" w:rsidRPr="007F3F36">
                <w:rPr>
                  <w:rStyle w:val="Hyperlink"/>
                  <w:rFonts w:asciiTheme="minorHAnsi" w:hAnsiTheme="minorHAnsi"/>
                </w:rPr>
                <w:t>CWG-FHR</w:t>
              </w:r>
              <w:r w:rsidR="00E76DE0" w:rsidRPr="007F3F36">
                <w:rPr>
                  <w:rStyle w:val="Hyperlink"/>
                  <w:rFonts w:asciiTheme="minorHAnsi" w:hAnsiTheme="minorHAnsi"/>
                  <w:szCs w:val="24"/>
                </w:rPr>
                <w:t xml:space="preserve"> 8/18</w:t>
              </w:r>
            </w:hyperlink>
            <w:r w:rsidR="00E76DE0" w:rsidRPr="007F3F36">
              <w:rPr>
                <w:rFonts w:asciiTheme="minorHAnsi" w:hAnsiTheme="minorHAnsi"/>
              </w:rPr>
              <w:t xml:space="preserve">, </w:t>
            </w:r>
            <w:hyperlink r:id="rId11" w:history="1">
              <w:r w:rsidR="00E76DE0" w:rsidRPr="007F3F36">
                <w:rPr>
                  <w:rStyle w:val="Hyperlink"/>
                  <w:rFonts w:asciiTheme="minorHAnsi" w:hAnsiTheme="minorHAnsi"/>
                </w:rPr>
                <w:t>CWG-FHR</w:t>
              </w:r>
              <w:r w:rsidR="00E76DE0" w:rsidRPr="007F3F36">
                <w:rPr>
                  <w:rStyle w:val="Hyperlink"/>
                  <w:rFonts w:asciiTheme="minorHAnsi" w:hAnsiTheme="minorHAnsi"/>
                  <w:szCs w:val="24"/>
                </w:rPr>
                <w:t xml:space="preserve"> 8/28</w:t>
              </w:r>
            </w:hyperlink>
          </w:p>
        </w:tc>
      </w:tr>
    </w:tbl>
    <w:p w:rsidR="00E76DE0" w:rsidRPr="007F3F36" w:rsidRDefault="00E76DE0">
      <w:pPr>
        <w:tabs>
          <w:tab w:val="clear" w:pos="567"/>
          <w:tab w:val="clear" w:pos="1134"/>
          <w:tab w:val="clear" w:pos="1701"/>
          <w:tab w:val="clear" w:pos="2268"/>
          <w:tab w:val="clear" w:pos="2835"/>
        </w:tabs>
        <w:overflowPunct/>
        <w:autoSpaceDE/>
        <w:autoSpaceDN/>
        <w:adjustRightInd/>
        <w:spacing w:before="0"/>
        <w:textAlignment w:val="auto"/>
      </w:pPr>
      <w:r w:rsidRPr="007F3F36">
        <w:br w:type="page"/>
      </w:r>
    </w:p>
    <w:p w:rsidR="00E76DE0" w:rsidRPr="007F3F36" w:rsidRDefault="00E76DE0" w:rsidP="00E76DE0">
      <w:pPr>
        <w:pStyle w:val="Headingb"/>
      </w:pPr>
      <w:r w:rsidRPr="007F3F36">
        <w:lastRenderedPageBreak/>
        <w:t>Antecedentes</w:t>
      </w:r>
    </w:p>
    <w:p w:rsidR="00E76DE0" w:rsidRPr="007F3F36" w:rsidRDefault="00E76DE0" w:rsidP="007F3F36">
      <w:pPr>
        <w:rPr>
          <w:rFonts w:asciiTheme="minorHAnsi" w:eastAsia="SimSun" w:hAnsiTheme="minorHAnsi"/>
          <w:szCs w:val="24"/>
        </w:rPr>
      </w:pPr>
      <w:r w:rsidRPr="007F3F36">
        <w:t>Tras la aprobación de los Acuerdos 600 (</w:t>
      </w:r>
      <w:hyperlink r:id="rId12" w:history="1">
        <w:r w:rsidRPr="007F3F36">
          <w:rPr>
            <w:rStyle w:val="Hyperlink"/>
          </w:rPr>
          <w:t>C17/133</w:t>
        </w:r>
      </w:hyperlink>
      <w:r w:rsidRPr="007F3F36">
        <w:t>) y 601 (</w:t>
      </w:r>
      <w:hyperlink r:id="rId13" w:history="1">
        <w:r w:rsidRPr="007F3F36">
          <w:rPr>
            <w:rStyle w:val="Hyperlink"/>
          </w:rPr>
          <w:t>C17/134</w:t>
        </w:r>
      </w:hyperlink>
      <w:r w:rsidRPr="007F3F36">
        <w:t xml:space="preserve">) en la reunión de 2017 del Consejo, la Secretaría de la UIT ha iniciado el proceso de implementación de dichos Acuerdos. La Secretaría de la UIT presentó un informe de situación sobre la implementación </w:t>
      </w:r>
      <w:r w:rsidRPr="007F3F36">
        <w:rPr>
          <w:rFonts w:asciiTheme="minorHAnsi" w:eastAsia="SimSun" w:hAnsiTheme="minorHAnsi"/>
          <w:spacing w:val="4"/>
          <w:szCs w:val="24"/>
        </w:rPr>
        <w:t>(</w:t>
      </w:r>
      <w:hyperlink r:id="rId14" w:history="1">
        <w:r w:rsidRPr="007F3F36">
          <w:rPr>
            <w:rFonts w:asciiTheme="minorHAnsi" w:eastAsia="SimSun" w:hAnsiTheme="minorHAnsi"/>
            <w:color w:val="0000FF"/>
            <w:spacing w:val="4"/>
            <w:szCs w:val="24"/>
            <w:u w:val="single"/>
          </w:rPr>
          <w:t>CWG-FHR 8/18</w:t>
        </w:r>
      </w:hyperlink>
      <w:r w:rsidRPr="007F3F36">
        <w:rPr>
          <w:rFonts w:asciiTheme="minorHAnsi" w:eastAsia="SimSun" w:hAnsiTheme="minorHAnsi"/>
          <w:spacing w:val="4"/>
          <w:szCs w:val="24"/>
        </w:rPr>
        <w:t>) a la octava reunión del GTC-RHF (22-23 de enero de 2018), facilitó algunas observaciones y formuló dos propuestas. En el</w:t>
      </w:r>
      <w:r w:rsidR="007F3F36">
        <w:rPr>
          <w:rFonts w:asciiTheme="minorHAnsi" w:eastAsia="SimSun" w:hAnsiTheme="minorHAnsi"/>
          <w:spacing w:val="4"/>
          <w:szCs w:val="24"/>
        </w:rPr>
        <w:t xml:space="preserve"> </w:t>
      </w:r>
      <w:r w:rsidRPr="007F3F36">
        <w:rPr>
          <w:rFonts w:asciiTheme="minorHAnsi" w:eastAsia="SimSun" w:hAnsiTheme="minorHAnsi"/>
          <w:szCs w:val="24"/>
        </w:rPr>
        <w:t>Documento (</w:t>
      </w:r>
      <w:hyperlink r:id="rId15" w:history="1">
        <w:r w:rsidRPr="007F3F36">
          <w:rPr>
            <w:rFonts w:asciiTheme="minorHAnsi" w:eastAsia="SimSun" w:hAnsiTheme="minorHAnsi"/>
            <w:color w:val="0000FF"/>
            <w:u w:val="single"/>
          </w:rPr>
          <w:t>CWG-FHR</w:t>
        </w:r>
        <w:r w:rsidRPr="007F3F36">
          <w:rPr>
            <w:rFonts w:asciiTheme="minorHAnsi" w:eastAsia="SimSun" w:hAnsiTheme="minorHAnsi"/>
            <w:color w:val="0000FF"/>
            <w:szCs w:val="24"/>
            <w:u w:val="single"/>
          </w:rPr>
          <w:t xml:space="preserve"> 8/28</w:t>
        </w:r>
      </w:hyperlink>
      <w:r w:rsidRPr="007F3F36">
        <w:rPr>
          <w:rFonts w:asciiTheme="minorHAnsi" w:eastAsia="SimSun" w:hAnsiTheme="minorHAnsi"/>
        </w:rPr>
        <w:t>)</w:t>
      </w:r>
      <w:r w:rsidRPr="007F3F36">
        <w:rPr>
          <w:rFonts w:asciiTheme="minorHAnsi" w:eastAsia="SimSun" w:hAnsiTheme="minorHAnsi"/>
          <w:szCs w:val="24"/>
        </w:rPr>
        <w:t xml:space="preserve"> figura el resumen del debate en la reunión del GTC-RHF. </w:t>
      </w:r>
    </w:p>
    <w:p w:rsidR="00E76DE0" w:rsidRPr="007F3F36" w:rsidRDefault="007F3F36" w:rsidP="007F3F36">
      <w:pPr>
        <w:pStyle w:val="Heading1"/>
        <w:rPr>
          <w:rFonts w:eastAsia="SimSun"/>
        </w:rPr>
      </w:pPr>
      <w:r w:rsidRPr="007F3F36">
        <w:rPr>
          <w:rFonts w:eastAsia="SimSun"/>
        </w:rPr>
        <w:t>1</w:t>
      </w:r>
      <w:r w:rsidRPr="007F3F36">
        <w:rPr>
          <w:rFonts w:eastAsia="SimSun"/>
        </w:rPr>
        <w:tab/>
      </w:r>
      <w:r w:rsidR="00E76DE0" w:rsidRPr="007F3F36">
        <w:rPr>
          <w:rFonts w:eastAsia="SimSun"/>
        </w:rPr>
        <w:t xml:space="preserve">Situación de los contactos para los proveedores del servicio UIFN y los titulares de asignaciones de IIN </w:t>
      </w:r>
    </w:p>
    <w:p w:rsidR="00E76DE0" w:rsidRPr="007F3F36" w:rsidRDefault="00E76DE0" w:rsidP="00160B08">
      <w:pPr>
        <w:rPr>
          <w:rFonts w:eastAsia="SimSun"/>
        </w:rPr>
      </w:pPr>
      <w:r w:rsidRPr="007F3F36">
        <w:rPr>
          <w:rFonts w:eastAsia="SimSun"/>
        </w:rPr>
        <w:t xml:space="preserve">La TSB inició el proceso para notificar a 166 proveedores de servicio de UIFN (número universal internacional de llamada gratuita) y a 787 titulares de asignaciones de IIN (número identificador de expedidor). Los sistemas mejorados de asignación e inscripción de UIFN e IIN comenzaron a funcionar el 16 de enero de 2018. A finales de marzo de 2018, se han </w:t>
      </w:r>
      <w:r w:rsidR="00160B08">
        <w:rPr>
          <w:rFonts w:eastAsia="SimSun"/>
        </w:rPr>
        <w:t xml:space="preserve">reservado o </w:t>
      </w:r>
      <w:r w:rsidRPr="007F3F36">
        <w:rPr>
          <w:rFonts w:eastAsia="SimSun"/>
        </w:rPr>
        <w:t xml:space="preserve">asignado </w:t>
      </w:r>
      <w:r w:rsidR="00160B08">
        <w:rPr>
          <w:rFonts w:eastAsia="SimSun"/>
        </w:rPr>
        <w:t>156 </w:t>
      </w:r>
      <w:r w:rsidRPr="007F3F36">
        <w:rPr>
          <w:rFonts w:eastAsia="SimSun"/>
        </w:rPr>
        <w:t xml:space="preserve">nuevos UIFN aplicando la nueva estructura de tasas aprobada en el Acuerdo 600 del Consejo a través de los sistemas mejorados, y se han inscrito seis nuevos </w:t>
      </w:r>
      <w:r w:rsidRPr="007F3F36">
        <w:rPr>
          <w:rFonts w:eastAsia="SimSun"/>
          <w:lang w:eastAsia="zh-CN"/>
        </w:rPr>
        <w:t xml:space="preserve">IIN aplicando la nueva estructura de tasas aprobada en el Acuerdo 601. </w:t>
      </w:r>
    </w:p>
    <w:p w:rsidR="00E76DE0" w:rsidRPr="007F3F36" w:rsidRDefault="00E76DE0" w:rsidP="00FC6D82">
      <w:pPr>
        <w:rPr>
          <w:rFonts w:eastAsia="SimSun"/>
        </w:rPr>
      </w:pPr>
      <w:r w:rsidRPr="007F3F36">
        <w:rPr>
          <w:rFonts w:eastAsia="SimSun"/>
        </w:rPr>
        <w:t>Además, desde marzo de 2018</w:t>
      </w:r>
      <w:r w:rsidR="00FC6D82">
        <w:rPr>
          <w:rFonts w:eastAsia="SimSun"/>
        </w:rPr>
        <w:t>:</w:t>
      </w:r>
    </w:p>
    <w:p w:rsidR="00E76DE0" w:rsidRPr="007F3F36" w:rsidRDefault="007F3F36" w:rsidP="00160B08">
      <w:pPr>
        <w:pStyle w:val="enumlev1"/>
        <w:rPr>
          <w:rFonts w:eastAsia="SimSun"/>
        </w:rPr>
      </w:pPr>
      <w:r w:rsidRPr="007F3F36">
        <w:rPr>
          <w:rFonts w:eastAsia="SimSun"/>
        </w:rPr>
        <w:t>•</w:t>
      </w:r>
      <w:r w:rsidRPr="007F3F36">
        <w:rPr>
          <w:rFonts w:eastAsia="SimSun"/>
        </w:rPr>
        <w:tab/>
      </w:r>
      <w:r w:rsidR="00E76DE0" w:rsidRPr="007F3F36">
        <w:rPr>
          <w:rFonts w:eastAsia="SimSun"/>
        </w:rPr>
        <w:t>UIFN: de los 166 proveedores de servicio, sigue buscándose más información sobre 15</w:t>
      </w:r>
      <w:r w:rsidR="00160B08">
        <w:rPr>
          <w:rFonts w:eastAsia="SimSun"/>
        </w:rPr>
        <w:t> </w:t>
      </w:r>
      <w:r w:rsidR="00E76DE0" w:rsidRPr="007F3F36">
        <w:rPr>
          <w:rFonts w:eastAsia="SimSun"/>
        </w:rPr>
        <w:t>proveedores de servicios (por ejemplo</w:t>
      </w:r>
      <w:r w:rsidR="00160B08">
        <w:rPr>
          <w:rFonts w:eastAsia="SimSun"/>
        </w:rPr>
        <w:t>,</w:t>
      </w:r>
      <w:r w:rsidR="00E76DE0" w:rsidRPr="007F3F36">
        <w:rPr>
          <w:rFonts w:eastAsia="SimSun"/>
        </w:rPr>
        <w:t xml:space="preserve"> ausencia de información de contacto actualizada)</w:t>
      </w:r>
      <w:r w:rsidR="00160B08">
        <w:rPr>
          <w:rFonts w:eastAsia="SimSun"/>
        </w:rPr>
        <w:t>;</w:t>
      </w:r>
    </w:p>
    <w:p w:rsidR="00E76DE0" w:rsidRPr="007F3F36" w:rsidRDefault="007F3F36" w:rsidP="00160B08">
      <w:pPr>
        <w:pStyle w:val="enumlev1"/>
        <w:rPr>
          <w:rFonts w:asciiTheme="minorHAnsi" w:eastAsia="SimSun" w:hAnsiTheme="minorHAnsi"/>
        </w:rPr>
      </w:pPr>
      <w:r w:rsidRPr="007F3F36">
        <w:rPr>
          <w:rFonts w:eastAsia="SimSun"/>
        </w:rPr>
        <w:t>•</w:t>
      </w:r>
      <w:r w:rsidRPr="007F3F36">
        <w:rPr>
          <w:rFonts w:eastAsia="SimSun"/>
        </w:rPr>
        <w:tab/>
      </w:r>
      <w:r w:rsidR="00E76DE0" w:rsidRPr="007F3F36">
        <w:rPr>
          <w:rFonts w:asciiTheme="minorHAnsi" w:eastAsia="SimSun" w:hAnsiTheme="minorHAnsi"/>
        </w:rPr>
        <w:t>IIN: de los 787 titulares de asignaciones, se desconoce la dirección de correo-e de 288</w:t>
      </w:r>
      <w:r w:rsidR="00160B08">
        <w:rPr>
          <w:rFonts w:asciiTheme="minorHAnsi" w:eastAsia="SimSun" w:hAnsiTheme="minorHAnsi"/>
        </w:rPr>
        <w:t> </w:t>
      </w:r>
      <w:r w:rsidR="00E76DE0" w:rsidRPr="007F3F36">
        <w:rPr>
          <w:rFonts w:asciiTheme="minorHAnsi" w:eastAsia="SimSun" w:hAnsiTheme="minorHAnsi"/>
        </w:rPr>
        <w:t xml:space="preserve">entidades, y no se ha podido actualizar la información de contacto de 142 entidades (devolución de correos electrónicos). </w:t>
      </w:r>
    </w:p>
    <w:p w:rsidR="00E76DE0" w:rsidRPr="007F3F36" w:rsidRDefault="007F3F36" w:rsidP="007F3F36">
      <w:pPr>
        <w:pStyle w:val="Heading1"/>
        <w:rPr>
          <w:rFonts w:asciiTheme="minorHAnsi" w:eastAsia="SimSun" w:hAnsiTheme="minorHAnsi"/>
          <w:b w:val="0"/>
          <w:bCs/>
          <w:szCs w:val="24"/>
        </w:rPr>
      </w:pPr>
      <w:r w:rsidRPr="007F3F36">
        <w:rPr>
          <w:rFonts w:asciiTheme="minorHAnsi" w:eastAsia="SimSun" w:hAnsiTheme="minorHAnsi"/>
          <w:bCs/>
          <w:szCs w:val="24"/>
        </w:rPr>
        <w:t>2</w:t>
      </w:r>
      <w:r w:rsidRPr="007F3F36">
        <w:rPr>
          <w:rFonts w:asciiTheme="minorHAnsi" w:eastAsia="SimSun" w:hAnsiTheme="minorHAnsi"/>
          <w:bCs/>
          <w:szCs w:val="24"/>
        </w:rPr>
        <w:tab/>
      </w:r>
      <w:r w:rsidR="00E76DE0" w:rsidRPr="007F3F36">
        <w:rPr>
          <w:rFonts w:asciiTheme="minorHAnsi" w:eastAsia="SimSun" w:hAnsiTheme="minorHAnsi"/>
          <w:bCs/>
          <w:szCs w:val="24"/>
        </w:rPr>
        <w:t xml:space="preserve">Primera propuesta presentada a la octava reunión del GTC-RHF </w:t>
      </w:r>
    </w:p>
    <w:p w:rsidR="00E76DE0" w:rsidRPr="007F3F36" w:rsidRDefault="00E76DE0" w:rsidP="007F3F36">
      <w:pPr>
        <w:rPr>
          <w:rFonts w:eastAsia="SimSun"/>
        </w:rPr>
      </w:pPr>
      <w:r w:rsidRPr="007F3F36">
        <w:rPr>
          <w:rFonts w:eastAsia="SimSun"/>
        </w:rPr>
        <w:t>La propuesta inicial presentada por la Secretaría de la UIT a</w:t>
      </w:r>
      <w:r w:rsidR="007F3F36" w:rsidRPr="007F3F36">
        <w:rPr>
          <w:rFonts w:eastAsia="SimSun"/>
        </w:rPr>
        <w:t>l GTC-RHF en enero de 2018 era:</w:t>
      </w:r>
    </w:p>
    <w:p w:rsidR="00E76DE0" w:rsidRPr="007F3F36" w:rsidRDefault="007F3F36" w:rsidP="007F3F36">
      <w:pPr>
        <w:pStyle w:val="enumlev1"/>
        <w:rPr>
          <w:rFonts w:eastAsia="SimSun"/>
        </w:rPr>
      </w:pPr>
      <w:r w:rsidRPr="007F3F36">
        <w:rPr>
          <w:rFonts w:eastAsia="SimSun"/>
        </w:rPr>
        <w:tab/>
      </w:r>
      <w:r>
        <w:rPr>
          <w:rFonts w:eastAsia="SimSun"/>
        </w:rPr>
        <w:t>"</w:t>
      </w:r>
      <w:r w:rsidRPr="007F3F36">
        <w:rPr>
          <w:rFonts w:eastAsia="SimSun"/>
        </w:rPr>
        <w:t>14</w:t>
      </w:r>
      <w:r w:rsidR="00E76DE0" w:rsidRPr="007F3F36">
        <w:rPr>
          <w:rFonts w:eastAsia="SimSun"/>
        </w:rPr>
        <w:tab/>
        <w:t>Se invita a las Administraciones/organismos reguladores nacionales a designar un coordinador para que facilite o investigue los contactos actualizados para los proveedores de servicios UIFN (EER) y los titulares de asignaciones de IIN</w:t>
      </w:r>
      <w:r>
        <w:rPr>
          <w:rFonts w:eastAsia="SimSun"/>
        </w:rPr>
        <w:t>"</w:t>
      </w:r>
      <w:r w:rsidR="00E76DE0" w:rsidRPr="007F3F36">
        <w:rPr>
          <w:rFonts w:eastAsia="SimSun"/>
        </w:rPr>
        <w:t>.</w:t>
      </w:r>
    </w:p>
    <w:p w:rsidR="00E76DE0" w:rsidRPr="007F3F36" w:rsidRDefault="00E76DE0" w:rsidP="007F3F36">
      <w:pPr>
        <w:rPr>
          <w:rFonts w:eastAsia="SimSun"/>
        </w:rPr>
      </w:pPr>
      <w:r w:rsidRPr="007F3F36">
        <w:rPr>
          <w:rFonts w:eastAsia="SimSun"/>
        </w:rPr>
        <w:t>En el informe de la reunión del GTC-RHF se resumió el debate como sigue:</w:t>
      </w:r>
    </w:p>
    <w:p w:rsidR="00E76DE0" w:rsidRPr="007F3F36" w:rsidRDefault="007F3F36" w:rsidP="007F3F36">
      <w:pPr>
        <w:pStyle w:val="enumlev1"/>
        <w:rPr>
          <w:rFonts w:eastAsia="SimSun"/>
        </w:rPr>
      </w:pPr>
      <w:r w:rsidRPr="007F3F36">
        <w:rPr>
          <w:rFonts w:asciiTheme="minorHAnsi" w:eastAsia="SimSun" w:hAnsiTheme="minorHAnsi"/>
          <w:lang w:eastAsia="zh-CN"/>
        </w:rPr>
        <w:tab/>
      </w:r>
      <w:r>
        <w:rPr>
          <w:rFonts w:asciiTheme="minorHAnsi" w:eastAsia="SimSun" w:hAnsiTheme="minorHAnsi"/>
          <w:lang w:eastAsia="zh-CN"/>
        </w:rPr>
        <w:t>"</w:t>
      </w:r>
      <w:r w:rsidR="00E76DE0" w:rsidRPr="007F3F36">
        <w:rPr>
          <w:rFonts w:asciiTheme="minorHAnsi" w:eastAsia="SimSun" w:hAnsiTheme="minorHAnsi"/>
          <w:lang w:eastAsia="zh-CN"/>
        </w:rPr>
        <w:t>2.13</w:t>
      </w:r>
      <w:r w:rsidR="00E76DE0" w:rsidRPr="007F3F36">
        <w:rPr>
          <w:rFonts w:asciiTheme="minorHAnsi" w:eastAsia="SimSun" w:hAnsiTheme="minorHAnsi"/>
          <w:lang w:eastAsia="zh-CN"/>
        </w:rPr>
        <w:tab/>
        <w:t>En relación con la propuesta 1, algunos delegados preguntaron si se impondría una carga adicional a los Estados Miembros en lo concerniente a la primera propuesta sobre obtención de contactos actualizados.</w:t>
      </w:r>
    </w:p>
    <w:p w:rsidR="00E76DE0" w:rsidRPr="007F3F36" w:rsidRDefault="007F3F36" w:rsidP="007F3F36">
      <w:pPr>
        <w:pStyle w:val="enumlev1"/>
        <w:rPr>
          <w:rFonts w:asciiTheme="minorHAnsi" w:eastAsia="SimSun" w:hAnsiTheme="minorHAnsi"/>
          <w:lang w:eastAsia="zh-CN"/>
        </w:rPr>
      </w:pPr>
      <w:r w:rsidRPr="007F3F36">
        <w:rPr>
          <w:rFonts w:asciiTheme="minorHAnsi" w:eastAsia="SimSun" w:hAnsiTheme="minorHAnsi"/>
          <w:lang w:eastAsia="zh-CN"/>
        </w:rPr>
        <w:tab/>
      </w:r>
      <w:r w:rsidR="00E76DE0" w:rsidRPr="007F3F36">
        <w:rPr>
          <w:rFonts w:asciiTheme="minorHAnsi" w:eastAsia="SimSun" w:hAnsiTheme="minorHAnsi"/>
          <w:lang w:eastAsia="zh-CN"/>
        </w:rPr>
        <w:t>2.14</w:t>
      </w:r>
      <w:r w:rsidR="00E76DE0" w:rsidRPr="007F3F36">
        <w:rPr>
          <w:rFonts w:asciiTheme="minorHAnsi" w:eastAsia="SimSun" w:hAnsiTheme="minorHAnsi"/>
          <w:lang w:eastAsia="zh-CN"/>
        </w:rPr>
        <w:tab/>
        <w:t xml:space="preserve">La Secretaría aclaró que ello era un recordatorio de la invitación a los Estados Miembros a mantener un registro actualizado de las empresas de explotación reconocidas (EER) en el sitio web de la UIT </w:t>
      </w:r>
      <w:hyperlink r:id="rId16" w:history="1">
        <w:r w:rsidR="00E76DE0" w:rsidRPr="007F3F36">
          <w:rPr>
            <w:rFonts w:asciiTheme="minorHAnsi" w:eastAsia="SimSun" w:hAnsiTheme="minorHAnsi"/>
            <w:color w:val="0000FF"/>
            <w:u w:val="single"/>
          </w:rPr>
          <w:t>https://www.itu.int/en/ITU-T/inr/Pages/roa.aspx</w:t>
        </w:r>
      </w:hyperlink>
      <w:r w:rsidR="00E76DE0" w:rsidRPr="007F3F36">
        <w:rPr>
          <w:rFonts w:asciiTheme="minorHAnsi" w:eastAsia="SimSun" w:hAnsiTheme="minorHAnsi"/>
          <w:lang w:eastAsia="zh-CN"/>
        </w:rPr>
        <w:t>:</w:t>
      </w:r>
    </w:p>
    <w:p w:rsidR="00E76DE0" w:rsidRPr="007F3F36" w:rsidRDefault="007F3F36" w:rsidP="007F3F36">
      <w:pPr>
        <w:pStyle w:val="enumlev1"/>
        <w:rPr>
          <w:rFonts w:eastAsia="SimSun"/>
        </w:rPr>
      </w:pPr>
      <w:r w:rsidRPr="007F3F36">
        <w:rPr>
          <w:rFonts w:asciiTheme="minorHAnsi" w:eastAsia="SimSun" w:hAnsiTheme="minorHAnsi"/>
          <w:i/>
          <w:iCs/>
          <w:lang w:eastAsia="zh-CN"/>
        </w:rPr>
        <w:tab/>
      </w:r>
      <w:r w:rsidR="00E76DE0" w:rsidRPr="007F3F36">
        <w:rPr>
          <w:rFonts w:asciiTheme="minorHAnsi" w:eastAsia="SimSun" w:hAnsiTheme="minorHAnsi"/>
          <w:i/>
          <w:iCs/>
          <w:lang w:eastAsia="zh-CN"/>
        </w:rPr>
        <w:t>Se invita a las Administraciones de los Estados Miembros a que comuniquen a la TSB, de forma voluntaria, el nombre de todas las entidades que tienen categoría de EER de conformidad con el Artículo 6 de la Constitución de la UIT y los números 1007 y 1008 del Anexo a la misma, mediante el formulario de notificación que figura en la lista de EER. Las Administraciones podrán proporcionar una lista por escrito o la dirección web que contiene dicha información.</w:t>
      </w:r>
      <w:r>
        <w:rPr>
          <w:rFonts w:asciiTheme="minorHAnsi" w:eastAsia="SimSun" w:hAnsiTheme="minorHAnsi"/>
          <w:i/>
          <w:iCs/>
          <w:lang w:eastAsia="zh-CN"/>
        </w:rPr>
        <w:t>"</w:t>
      </w:r>
    </w:p>
    <w:p w:rsidR="00E76DE0" w:rsidRPr="007F3F36" w:rsidRDefault="007F3F36" w:rsidP="007F3F36">
      <w:pPr>
        <w:pStyle w:val="Heading1"/>
        <w:rPr>
          <w:rFonts w:asciiTheme="minorHAnsi" w:eastAsia="SimSun" w:hAnsiTheme="minorHAnsi"/>
          <w:b w:val="0"/>
          <w:bCs/>
          <w:szCs w:val="24"/>
        </w:rPr>
      </w:pPr>
      <w:r w:rsidRPr="007F3F36">
        <w:rPr>
          <w:rFonts w:asciiTheme="minorHAnsi" w:eastAsia="SimSun" w:hAnsiTheme="minorHAnsi"/>
          <w:bCs/>
          <w:szCs w:val="24"/>
        </w:rPr>
        <w:lastRenderedPageBreak/>
        <w:t>3</w:t>
      </w:r>
      <w:r w:rsidRPr="007F3F36">
        <w:rPr>
          <w:rFonts w:asciiTheme="minorHAnsi" w:eastAsia="SimSun" w:hAnsiTheme="minorHAnsi"/>
          <w:bCs/>
          <w:szCs w:val="24"/>
        </w:rPr>
        <w:tab/>
      </w:r>
      <w:r w:rsidR="00E76DE0" w:rsidRPr="007F3F36">
        <w:rPr>
          <w:rFonts w:asciiTheme="minorHAnsi" w:eastAsia="SimSun" w:hAnsiTheme="minorHAnsi"/>
          <w:bCs/>
          <w:szCs w:val="24"/>
        </w:rPr>
        <w:t xml:space="preserve">Segunda propuesta presentada a la octava reunión del GTC-RHF </w:t>
      </w:r>
    </w:p>
    <w:p w:rsidR="00E76DE0" w:rsidRPr="007F3F36" w:rsidRDefault="00E76DE0" w:rsidP="007F3F36">
      <w:pPr>
        <w:rPr>
          <w:rFonts w:eastAsia="SimSun"/>
        </w:rPr>
      </w:pPr>
      <w:r w:rsidRPr="007F3F36">
        <w:rPr>
          <w:rFonts w:eastAsia="SimSun"/>
        </w:rPr>
        <w:t xml:space="preserve">La segunda propuesta presentada por la Secretaría de la UIT al GTC-RHF en enero de 2018 fue la siguiente: </w:t>
      </w:r>
    </w:p>
    <w:p w:rsidR="00E76DE0" w:rsidRPr="007F3F36" w:rsidRDefault="007F3F36" w:rsidP="007F3F36">
      <w:pPr>
        <w:pStyle w:val="enumlev1"/>
        <w:rPr>
          <w:rFonts w:eastAsia="SimSun"/>
        </w:rPr>
      </w:pPr>
      <w:r w:rsidRPr="007F3F36">
        <w:rPr>
          <w:rFonts w:asciiTheme="minorHAnsi" w:eastAsia="SimSun" w:hAnsiTheme="minorHAnsi"/>
        </w:rPr>
        <w:tab/>
      </w:r>
      <w:r>
        <w:rPr>
          <w:rFonts w:asciiTheme="minorHAnsi" w:eastAsia="SimSun" w:hAnsiTheme="minorHAnsi"/>
        </w:rPr>
        <w:t>"</w:t>
      </w:r>
      <w:r w:rsidR="00E76DE0" w:rsidRPr="007F3F36">
        <w:rPr>
          <w:rFonts w:asciiTheme="minorHAnsi" w:eastAsia="SimSun" w:hAnsiTheme="minorHAnsi"/>
        </w:rPr>
        <w:t>15</w:t>
      </w:r>
      <w:r w:rsidR="00E76DE0" w:rsidRPr="007F3F36">
        <w:rPr>
          <w:rFonts w:asciiTheme="minorHAnsi" w:eastAsia="SimSun" w:hAnsiTheme="minorHAnsi"/>
        </w:rPr>
        <w:tab/>
        <w:t>Se propone que, en el caso de las entidades para las que las Administraciones/organismos reguladores nacionales hayan perdido el contacto y para las que no puedan encontrar nuevos contactos al 30 de junio de 2018, todos los registros relativos a tales entidades serán eliminados de la base de datos de la UIT sobre la base de las confirmaciones/notificaciones de las Administraciones/organismos reguladores nacionales.</w:t>
      </w:r>
      <w:r>
        <w:rPr>
          <w:rFonts w:asciiTheme="minorHAnsi" w:eastAsia="SimSun" w:hAnsiTheme="minorHAnsi"/>
        </w:rPr>
        <w:t>"</w:t>
      </w:r>
    </w:p>
    <w:p w:rsidR="00E76DE0" w:rsidRPr="007F3F36" w:rsidRDefault="00E76DE0" w:rsidP="007F3F36">
      <w:pPr>
        <w:rPr>
          <w:rFonts w:eastAsia="SimSun"/>
        </w:rPr>
      </w:pPr>
      <w:r w:rsidRPr="007F3F36">
        <w:rPr>
          <w:rFonts w:eastAsia="SimSun"/>
        </w:rPr>
        <w:t xml:space="preserve">En el informe de la reunión del GTC-RHF se afirma: </w:t>
      </w:r>
    </w:p>
    <w:p w:rsidR="00E76DE0" w:rsidRPr="007F3F36" w:rsidRDefault="007F3F36" w:rsidP="007F3F36">
      <w:pPr>
        <w:pStyle w:val="enumlev1"/>
        <w:rPr>
          <w:rFonts w:eastAsia="SimSun"/>
        </w:rPr>
      </w:pPr>
      <w:r w:rsidRPr="007F3F36">
        <w:rPr>
          <w:rFonts w:asciiTheme="minorHAnsi" w:eastAsia="SimSun" w:hAnsiTheme="minorHAnsi"/>
          <w:lang w:eastAsia="zh-CN"/>
        </w:rPr>
        <w:tab/>
      </w:r>
      <w:r>
        <w:rPr>
          <w:rFonts w:asciiTheme="minorHAnsi" w:eastAsia="SimSun" w:hAnsiTheme="minorHAnsi"/>
          <w:lang w:eastAsia="zh-CN"/>
        </w:rPr>
        <w:t>"</w:t>
      </w:r>
      <w:r w:rsidR="00E76DE0" w:rsidRPr="007F3F36">
        <w:rPr>
          <w:rFonts w:asciiTheme="minorHAnsi" w:eastAsia="SimSun" w:hAnsiTheme="minorHAnsi"/>
          <w:lang w:eastAsia="zh-CN"/>
        </w:rPr>
        <w:t>2.15</w:t>
      </w:r>
      <w:r w:rsidR="00E76DE0" w:rsidRPr="007F3F36">
        <w:rPr>
          <w:rFonts w:asciiTheme="minorHAnsi" w:eastAsia="SimSun" w:hAnsiTheme="minorHAnsi"/>
          <w:lang w:eastAsia="zh-CN"/>
        </w:rPr>
        <w:tab/>
        <w:t>En relación con la propuesta 2, algunos Estados Miembros manifestaron su preocupación por la implicación de suprimir los registros de la base de datos de la UIT, y porque el plazo del 30 de junio de 2018 es demasiado corto para satisfacer los requisitos jurídicos necesarios a nivel nacional.</w:t>
      </w:r>
    </w:p>
    <w:p w:rsidR="00E76DE0" w:rsidRPr="007F3F36" w:rsidRDefault="007F3F36" w:rsidP="007F3F36">
      <w:pPr>
        <w:pStyle w:val="enumlev1"/>
        <w:rPr>
          <w:rFonts w:eastAsia="SimSun"/>
        </w:rPr>
      </w:pPr>
      <w:r w:rsidRPr="007F3F36">
        <w:rPr>
          <w:rFonts w:asciiTheme="minorHAnsi" w:eastAsia="SimSun" w:hAnsiTheme="minorHAnsi"/>
          <w:lang w:eastAsia="zh-CN"/>
        </w:rPr>
        <w:tab/>
      </w:r>
      <w:r w:rsidR="00E76DE0" w:rsidRPr="007F3F36">
        <w:rPr>
          <w:rFonts w:asciiTheme="minorHAnsi" w:eastAsia="SimSun" w:hAnsiTheme="minorHAnsi"/>
          <w:lang w:eastAsia="zh-CN"/>
        </w:rPr>
        <w:t>2.16</w:t>
      </w:r>
      <w:r w:rsidR="00E76DE0" w:rsidRPr="007F3F36">
        <w:rPr>
          <w:rFonts w:asciiTheme="minorHAnsi" w:eastAsia="SimSun" w:hAnsiTheme="minorHAnsi"/>
          <w:lang w:eastAsia="zh-CN"/>
        </w:rPr>
        <w:tab/>
        <w:t>La Secretaría aclaró que la supresión de los registros de la base de datos de la UIT necesitaría la notificación o confirmación de administraciones/organismos de reglamentación nacionales. El plazo del 30 de junio de 2018 ha de revisarse para ofrecer a los Estados Miembros el tiempo necesario.</w:t>
      </w:r>
    </w:p>
    <w:p w:rsidR="00E76DE0" w:rsidRPr="007F3F36" w:rsidRDefault="007F3F36" w:rsidP="00FC6D82">
      <w:pPr>
        <w:pStyle w:val="enumlev1"/>
        <w:rPr>
          <w:rFonts w:asciiTheme="minorHAnsi" w:eastAsia="SimSun" w:hAnsiTheme="minorHAnsi"/>
          <w:lang w:eastAsia="zh-CN"/>
        </w:rPr>
      </w:pPr>
      <w:r w:rsidRPr="007F3F36">
        <w:rPr>
          <w:rFonts w:asciiTheme="minorHAnsi" w:eastAsia="SimSun" w:hAnsiTheme="minorHAnsi"/>
          <w:lang w:eastAsia="zh-CN"/>
        </w:rPr>
        <w:tab/>
      </w:r>
      <w:r w:rsidR="00E76DE0" w:rsidRPr="007F3F36">
        <w:rPr>
          <w:rFonts w:asciiTheme="minorHAnsi" w:eastAsia="SimSun" w:hAnsiTheme="minorHAnsi"/>
          <w:lang w:eastAsia="zh-CN"/>
        </w:rPr>
        <w:t>2.17</w:t>
      </w:r>
      <w:r w:rsidR="00E76DE0" w:rsidRPr="007F3F36">
        <w:rPr>
          <w:rFonts w:asciiTheme="minorHAnsi" w:eastAsia="SimSun" w:hAnsiTheme="minorHAnsi"/>
          <w:lang w:eastAsia="zh-CN"/>
        </w:rPr>
        <w:tab/>
        <w:t>El Presidente propuso que la Secretaría elaborara un documento para la reunión del Consejo de 2018 a fin de debatir una revisión de la segunda propuesta</w:t>
      </w:r>
      <w:r w:rsidR="00FC6D82" w:rsidRPr="007F3F36">
        <w:rPr>
          <w:rFonts w:asciiTheme="minorHAnsi" w:eastAsia="SimSun" w:hAnsiTheme="minorHAnsi"/>
          <w:lang w:eastAsia="zh-CN"/>
        </w:rPr>
        <w:t>.</w:t>
      </w:r>
      <w:r>
        <w:rPr>
          <w:rFonts w:asciiTheme="minorHAnsi" w:eastAsia="SimSun" w:hAnsiTheme="minorHAnsi"/>
          <w:lang w:eastAsia="zh-CN"/>
        </w:rPr>
        <w:t>"</w:t>
      </w:r>
    </w:p>
    <w:p w:rsidR="00E76DE0" w:rsidRPr="007F3F36" w:rsidRDefault="00E76DE0" w:rsidP="007F3F36">
      <w:pPr>
        <w:rPr>
          <w:rFonts w:eastAsia="SimSun"/>
        </w:rPr>
      </w:pPr>
      <w:r w:rsidRPr="007F3F36">
        <w:rPr>
          <w:rFonts w:eastAsia="SimSun"/>
        </w:rPr>
        <w:t xml:space="preserve">Tras celebrar consultas informales, la Secretaría de la UIT propone cambiar el plazo del </w:t>
      </w:r>
      <w:r w:rsidR="007F3F36">
        <w:rPr>
          <w:rFonts w:eastAsia="SimSun"/>
        </w:rPr>
        <w:t>"</w:t>
      </w:r>
      <w:r w:rsidRPr="007F3F36">
        <w:rPr>
          <w:rFonts w:eastAsia="SimSun"/>
        </w:rPr>
        <w:t>30 de junio de 2018</w:t>
      </w:r>
      <w:r w:rsidR="007F3F36">
        <w:rPr>
          <w:rFonts w:eastAsia="SimSun"/>
        </w:rPr>
        <w:t>"</w:t>
      </w:r>
      <w:r w:rsidRPr="007F3F36">
        <w:rPr>
          <w:rFonts w:eastAsia="SimSun"/>
        </w:rPr>
        <w:t xml:space="preserve"> a </w:t>
      </w:r>
      <w:r w:rsidR="007F3F36">
        <w:rPr>
          <w:rFonts w:eastAsia="SimSun"/>
        </w:rPr>
        <w:t>"</w:t>
      </w:r>
      <w:r w:rsidRPr="007F3F36">
        <w:rPr>
          <w:rFonts w:eastAsia="SimSun"/>
        </w:rPr>
        <w:t>la reunión de 2019 del Consejo de la UIT</w:t>
      </w:r>
      <w:r w:rsidR="007F3F36">
        <w:rPr>
          <w:rFonts w:eastAsia="SimSun"/>
        </w:rPr>
        <w:t>"</w:t>
      </w:r>
      <w:r w:rsidRPr="007F3F36">
        <w:rPr>
          <w:rFonts w:eastAsia="SimSun"/>
        </w:rPr>
        <w:t>. Los contactos para los proveedores del servicio UIFN (</w:t>
      </w:r>
      <w:hyperlink r:id="rId17" w:history="1">
        <w:r w:rsidRPr="007F3F36">
          <w:rPr>
            <w:rFonts w:eastAsia="SimSun"/>
            <w:color w:val="0000FF"/>
            <w:u w:val="single"/>
          </w:rPr>
          <w:t>https://www.itu.int/en/ITU-T/inr/unum/Pages/uifn-service-provider.aspx</w:t>
        </w:r>
      </w:hyperlink>
      <w:r w:rsidRPr="007F3F36">
        <w:rPr>
          <w:rFonts w:eastAsia="SimSun"/>
        </w:rPr>
        <w:t>) y para los titulares de asignaciones de IIN se publican en el sitio web de la UIT (</w:t>
      </w:r>
      <w:hyperlink r:id="rId18" w:history="1">
        <w:r w:rsidRPr="007F3F36">
          <w:rPr>
            <w:rFonts w:eastAsia="SimSun"/>
            <w:color w:val="0000FF"/>
            <w:u w:val="single"/>
          </w:rPr>
          <w:t>https://www.itu.int/net/itu-t/inrdb/secured/e118iin.aspx</w:t>
        </w:r>
      </w:hyperlink>
      <w:r w:rsidRPr="007F3F36">
        <w:rPr>
          <w:rFonts w:eastAsia="SimSun"/>
        </w:rPr>
        <w:t>). Los contactos para los titulares de asignaciones de IIN también se publican en el Bol</w:t>
      </w:r>
      <w:r w:rsidR="00FC6D82">
        <w:rPr>
          <w:rFonts w:eastAsia="SimSun"/>
        </w:rPr>
        <w:t xml:space="preserve">etín de Explotación de la UIT </w:t>
      </w:r>
      <w:bookmarkStart w:id="9" w:name="_GoBack"/>
      <w:bookmarkEnd w:id="9"/>
      <w:r w:rsidRPr="007F3F36">
        <w:rPr>
          <w:rFonts w:eastAsia="SimSun"/>
        </w:rPr>
        <w:t>(</w:t>
      </w:r>
      <w:hyperlink r:id="rId19" w:history="1">
        <w:r w:rsidR="007F3F36">
          <w:rPr>
            <w:rFonts w:eastAsia="SimSun"/>
            <w:color w:val="0000FF"/>
            <w:u w:val="single"/>
          </w:rPr>
          <w:t>https://www.itu.int/pub/T-SP/es</w:t>
        </w:r>
      </w:hyperlink>
      <w:r w:rsidRPr="007F3F36">
        <w:rPr>
          <w:rFonts w:eastAsia="SimSun"/>
        </w:rPr>
        <w:t>) y son accesibles para el público en general.</w:t>
      </w:r>
    </w:p>
    <w:p w:rsidR="00E76DE0" w:rsidRPr="007F3F36" w:rsidRDefault="007F3F36" w:rsidP="007F3F36">
      <w:pPr>
        <w:pStyle w:val="Heading1"/>
        <w:rPr>
          <w:rFonts w:eastAsia="SimSun"/>
        </w:rPr>
      </w:pPr>
      <w:r w:rsidRPr="007F3F36">
        <w:rPr>
          <w:rFonts w:eastAsia="SimSun"/>
        </w:rPr>
        <w:t>4</w:t>
      </w:r>
      <w:r w:rsidRPr="007F3F36">
        <w:rPr>
          <w:rFonts w:eastAsia="SimSun"/>
        </w:rPr>
        <w:tab/>
      </w:r>
      <w:r w:rsidR="00E76DE0" w:rsidRPr="007F3F36">
        <w:rPr>
          <w:rFonts w:eastAsia="SimSun"/>
        </w:rPr>
        <w:t>Conclusión</w:t>
      </w:r>
    </w:p>
    <w:p w:rsidR="00093EEB" w:rsidRPr="007F3F36" w:rsidRDefault="00E76DE0" w:rsidP="007F3F36">
      <w:pPr>
        <w:rPr>
          <w:rFonts w:eastAsia="SimSun"/>
          <w:lang w:eastAsia="zh-CN"/>
        </w:rPr>
      </w:pPr>
      <w:r w:rsidRPr="007F3F36">
        <w:rPr>
          <w:rFonts w:eastAsia="SimSun"/>
          <w:lang w:eastAsia="zh-CN"/>
        </w:rPr>
        <w:t>Se invita al Consejo a tomar nota de la primera propuesta y a examinar la segunda propuesta en su versión revisada.</w:t>
      </w:r>
    </w:p>
    <w:p w:rsidR="007F3F36" w:rsidRPr="007F3F36" w:rsidRDefault="007F3F36" w:rsidP="0032202E">
      <w:pPr>
        <w:pStyle w:val="Reasons"/>
      </w:pPr>
    </w:p>
    <w:p w:rsidR="007F3F36" w:rsidRPr="007F3F36" w:rsidRDefault="007F3F36">
      <w:pPr>
        <w:jc w:val="center"/>
      </w:pPr>
      <w:r w:rsidRPr="007F3F36">
        <w:t>______________</w:t>
      </w:r>
    </w:p>
    <w:sectPr w:rsidR="007F3F36" w:rsidRPr="007F3F36" w:rsidSect="006710F6">
      <w:headerReference w:type="default" r:id="rId20"/>
      <w:footerReference w:type="default" r:id="rId21"/>
      <w:footerReference w:type="first" r:id="rId2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DE0" w:rsidRDefault="00E76DE0">
      <w:r>
        <w:separator/>
      </w:r>
    </w:p>
  </w:endnote>
  <w:endnote w:type="continuationSeparator" w:id="0">
    <w:p w:rsidR="00E76DE0" w:rsidRDefault="00E7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512545" w:rsidRDefault="00512545" w:rsidP="00512545">
    <w:pPr>
      <w:pStyle w:val="Footer"/>
      <w:rPr>
        <w:lang w:val="fr-CH"/>
      </w:rPr>
    </w:pPr>
    <w:r>
      <w:fldChar w:fldCharType="begin"/>
    </w:r>
    <w:r w:rsidRPr="00512545">
      <w:rPr>
        <w:lang w:val="fr-CH"/>
      </w:rPr>
      <w:instrText xml:space="preserve"> FILENAME \p  \* MERGEFORMAT </w:instrText>
    </w:r>
    <w:r>
      <w:fldChar w:fldCharType="separate"/>
    </w:r>
    <w:r w:rsidRPr="00512545">
      <w:rPr>
        <w:lang w:val="fr-CH"/>
      </w:rPr>
      <w:t>P:\ESP\SG\CONSEIL\C18\100\100S.docx</w:t>
    </w:r>
    <w:r>
      <w:fldChar w:fldCharType="end"/>
    </w:r>
    <w:r w:rsidRPr="00512545">
      <w:rPr>
        <w:lang w:val="fr-CH"/>
      </w:rPr>
      <w:t xml:space="preserve"> (</w:t>
    </w:r>
    <w:r>
      <w:rPr>
        <w:lang w:val="fr-CH"/>
      </w:rPr>
      <w:t>434624</w:t>
    </w:r>
    <w:r w:rsidRPr="00512545">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DE0" w:rsidRDefault="00E76DE0">
      <w:r>
        <w:t>____________________</w:t>
      </w:r>
    </w:p>
  </w:footnote>
  <w:footnote w:type="continuationSeparator" w:id="0">
    <w:p w:rsidR="00E76DE0" w:rsidRDefault="00E76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FC6D82">
      <w:rPr>
        <w:noProof/>
      </w:rPr>
      <w:t>3</w:t>
    </w:r>
    <w:r>
      <w:rPr>
        <w:noProof/>
      </w:rPr>
      <w:fldChar w:fldCharType="end"/>
    </w:r>
  </w:p>
  <w:p w:rsidR="00760F1C" w:rsidRDefault="00760F1C" w:rsidP="00512545">
    <w:pPr>
      <w:pStyle w:val="Header"/>
    </w:pPr>
    <w:r>
      <w:t>C</w:t>
    </w:r>
    <w:r w:rsidR="007F350B">
      <w:t>1</w:t>
    </w:r>
    <w:r w:rsidR="009F4811">
      <w:t>8</w:t>
    </w:r>
    <w:r>
      <w:t>/</w:t>
    </w:r>
    <w:r w:rsidR="00512545">
      <w:t>100</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305C6"/>
    <w:multiLevelType w:val="hybridMultilevel"/>
    <w:tmpl w:val="3BE04E98"/>
    <w:lvl w:ilvl="0" w:tplc="0409000F">
      <w:start w:val="1"/>
      <w:numFmt w:val="decimal"/>
      <w:lvlText w:val="%1."/>
      <w:lvlJc w:val="left"/>
      <w:pPr>
        <w:ind w:left="319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F6C46"/>
    <w:multiLevelType w:val="hybridMultilevel"/>
    <w:tmpl w:val="1BE8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E0"/>
    <w:rsid w:val="00093EEB"/>
    <w:rsid w:val="000B0D00"/>
    <w:rsid w:val="000B7C15"/>
    <w:rsid w:val="000D1D0F"/>
    <w:rsid w:val="000F5290"/>
    <w:rsid w:val="0010165C"/>
    <w:rsid w:val="00146BFB"/>
    <w:rsid w:val="00160B08"/>
    <w:rsid w:val="001F14A2"/>
    <w:rsid w:val="002801AA"/>
    <w:rsid w:val="002C4676"/>
    <w:rsid w:val="002C70B0"/>
    <w:rsid w:val="002F3CC4"/>
    <w:rsid w:val="00512545"/>
    <w:rsid w:val="00513630"/>
    <w:rsid w:val="00560125"/>
    <w:rsid w:val="00585553"/>
    <w:rsid w:val="005B34D9"/>
    <w:rsid w:val="005D0CCF"/>
    <w:rsid w:val="005F3BCB"/>
    <w:rsid w:val="005F410F"/>
    <w:rsid w:val="0060149A"/>
    <w:rsid w:val="00601924"/>
    <w:rsid w:val="006447EA"/>
    <w:rsid w:val="0064731F"/>
    <w:rsid w:val="006710F6"/>
    <w:rsid w:val="006C1B56"/>
    <w:rsid w:val="006D4761"/>
    <w:rsid w:val="00726872"/>
    <w:rsid w:val="00760F1C"/>
    <w:rsid w:val="007657F0"/>
    <w:rsid w:val="0077252D"/>
    <w:rsid w:val="007E5DD3"/>
    <w:rsid w:val="007F350B"/>
    <w:rsid w:val="007F3F36"/>
    <w:rsid w:val="00820BE4"/>
    <w:rsid w:val="008451E8"/>
    <w:rsid w:val="00913B9C"/>
    <w:rsid w:val="00956E77"/>
    <w:rsid w:val="009F4811"/>
    <w:rsid w:val="00AA390C"/>
    <w:rsid w:val="00B0200A"/>
    <w:rsid w:val="00B574DB"/>
    <w:rsid w:val="00B826C2"/>
    <w:rsid w:val="00B8298E"/>
    <w:rsid w:val="00BD0723"/>
    <w:rsid w:val="00BD2518"/>
    <w:rsid w:val="00BF1D1C"/>
    <w:rsid w:val="00C20C59"/>
    <w:rsid w:val="00C55B1F"/>
    <w:rsid w:val="00CF1A67"/>
    <w:rsid w:val="00D2750E"/>
    <w:rsid w:val="00D62446"/>
    <w:rsid w:val="00DA4EA2"/>
    <w:rsid w:val="00DC3D3E"/>
    <w:rsid w:val="00DE2C90"/>
    <w:rsid w:val="00DE3B24"/>
    <w:rsid w:val="00E06947"/>
    <w:rsid w:val="00E3592D"/>
    <w:rsid w:val="00E76DE0"/>
    <w:rsid w:val="00E92DE8"/>
    <w:rsid w:val="00EB1212"/>
    <w:rsid w:val="00ED65AB"/>
    <w:rsid w:val="00F12850"/>
    <w:rsid w:val="00F33BF4"/>
    <w:rsid w:val="00F7105E"/>
    <w:rsid w:val="00F75F57"/>
    <w:rsid w:val="00F82FEE"/>
    <w:rsid w:val="00FB7D09"/>
    <w:rsid w:val="00FC6D82"/>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A3A1BDE-4578-42C4-ACBF-A1E8D2A6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aliases w:val="CEO_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7-CL-C-0133/es" TargetMode="External"/><Relationship Id="rId13" Type="http://schemas.openxmlformats.org/officeDocument/2006/relationships/hyperlink" Target="https://www.itu.int/md/S17-CL-C-0134/es" TargetMode="External"/><Relationship Id="rId18" Type="http://schemas.openxmlformats.org/officeDocument/2006/relationships/hyperlink" Target="https://www.itu.int/net/itu-t/inrdb/secured/e118iin.asp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itu.int/md/S17-CL-C-0133/es" TargetMode="External"/><Relationship Id="rId17" Type="http://schemas.openxmlformats.org/officeDocument/2006/relationships/hyperlink" Target="https://www.itu.int/en/ITU-T/inr/unum/Pages/uifn-service-provider.aspx" TargetMode="External"/><Relationship Id="rId2" Type="http://schemas.openxmlformats.org/officeDocument/2006/relationships/styles" Target="styles.xml"/><Relationship Id="rId16" Type="http://schemas.openxmlformats.org/officeDocument/2006/relationships/hyperlink" Target="https://www.itu.int/en/ITU-T/inr/Pages/roa.asp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S18-CLCWGFHRM8-C-0028/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tu.int/md/S18-CLCWGFHRM8-C-0028/es" TargetMode="External"/><Relationship Id="rId23" Type="http://schemas.openxmlformats.org/officeDocument/2006/relationships/fontTable" Target="fontTable.xml"/><Relationship Id="rId10" Type="http://schemas.openxmlformats.org/officeDocument/2006/relationships/hyperlink" Target="https://www.itu.int/md/S18-CLCWGFHRM8-C-0018/es" TargetMode="External"/><Relationship Id="rId19" Type="http://schemas.openxmlformats.org/officeDocument/2006/relationships/hyperlink" Target="https://www.itu.int/pub/T-SP/es" TargetMode="External"/><Relationship Id="rId4" Type="http://schemas.openxmlformats.org/officeDocument/2006/relationships/webSettings" Target="webSettings.xml"/><Relationship Id="rId9" Type="http://schemas.openxmlformats.org/officeDocument/2006/relationships/hyperlink" Target="https://www.itu.int/md/S17-CL-C-0134/es" TargetMode="External"/><Relationship Id="rId14" Type="http://schemas.openxmlformats.org/officeDocument/2006/relationships/hyperlink" Target="https://www.itu.int/md/S18-CLCWGFHRM8-C-0018/e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iano\AppData\Roaming\Microsoft\Templates\POOL%20S%20-%20ITU\PS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PS_C18.dotx</Template>
  <TotalTime>20</TotalTime>
  <Pages>3</Pages>
  <Words>1102</Words>
  <Characters>6286</Characters>
  <Application>Microsoft Office Word</Application>
  <DocSecurity>0</DocSecurity>
  <Lines>52</Lines>
  <Paragraphs>14</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7374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Spanish</dc:creator>
  <cp:keywords>C2018, C18</cp:keywords>
  <dc:description/>
  <cp:lastModifiedBy>Soriano, Manuel</cp:lastModifiedBy>
  <cp:revision>5</cp:revision>
  <cp:lastPrinted>2006-03-24T09:51:00Z</cp:lastPrinted>
  <dcterms:created xsi:type="dcterms:W3CDTF">2018-04-12T06:38:00Z</dcterms:created>
  <dcterms:modified xsi:type="dcterms:W3CDTF">2018-04-12T09:38:00Z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