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290728" w:rsidP="00290728">
            <w:pPr>
              <w:spacing w:before="60" w:after="60" w:line="300" w:lineRule="exact"/>
              <w:rPr>
                <w:b/>
                <w:bCs/>
                <w:highlight w:val="yellow"/>
                <w:lang w:bidi="ar-EG"/>
              </w:rPr>
            </w:pPr>
          </w:p>
        </w:tc>
        <w:tc>
          <w:tcPr>
            <w:tcW w:w="3052" w:type="dxa"/>
            <w:vAlign w:val="center"/>
          </w:tcPr>
          <w:p w:rsidR="00290728" w:rsidRPr="00290728" w:rsidRDefault="00290728" w:rsidP="00EE0705">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E7FCA">
              <w:rPr>
                <w:b/>
                <w:bCs/>
                <w:lang w:bidi="ar-SY"/>
              </w:rPr>
              <w:t>8</w:t>
            </w:r>
            <w:r w:rsidRPr="00290728">
              <w:rPr>
                <w:b/>
                <w:bCs/>
                <w:lang w:bidi="ar-SY"/>
              </w:rPr>
              <w:t>/</w:t>
            </w:r>
            <w:r w:rsidR="00EE0705">
              <w:rPr>
                <w:b/>
                <w:bCs/>
                <w:lang w:bidi="ar-SY"/>
              </w:rPr>
              <w:t>104</w:t>
            </w:r>
            <w:r w:rsidRPr="00290728">
              <w:rPr>
                <w:b/>
                <w:bCs/>
                <w:lang w:bidi="ar-SY"/>
              </w:rPr>
              <w:t>-A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A8245B" w:rsidP="00A8245B">
            <w:pPr>
              <w:spacing w:before="60" w:after="60" w:line="300" w:lineRule="exact"/>
              <w:rPr>
                <w:b/>
                <w:bCs/>
                <w:rtl/>
                <w:lang w:bidi="ar-EG"/>
              </w:rPr>
            </w:pPr>
            <w:r>
              <w:rPr>
                <w:b/>
                <w:bCs/>
                <w:lang w:bidi="ar-SY"/>
              </w:rPr>
              <w:t>8</w:t>
            </w:r>
            <w:r w:rsidR="00290728" w:rsidRPr="00290728">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FE7FCA">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EE0705">
            <w:pPr>
              <w:spacing w:before="60" w:after="60" w:line="300" w:lineRule="exact"/>
              <w:rPr>
                <w:b/>
                <w:bCs/>
                <w:lang w:bidi="ar-SY"/>
              </w:rPr>
            </w:pPr>
            <w:r w:rsidRPr="00290728">
              <w:rPr>
                <w:b/>
                <w:bCs/>
                <w:rtl/>
                <w:lang w:bidi="ar-EG"/>
              </w:rPr>
              <w:t xml:space="preserve">الأصل: </w:t>
            </w:r>
            <w:r w:rsidR="00EE0705">
              <w:rPr>
                <w:rFonts w:hint="cs"/>
                <w:b/>
                <w:bCs/>
                <w:rtl/>
                <w:lang w:bidi="ar-EG"/>
              </w:rPr>
              <w:t>بالإنكليزية</w:t>
            </w:r>
          </w:p>
        </w:tc>
      </w:tr>
      <w:tr w:rsidR="00290728" w:rsidRPr="00290728" w:rsidTr="009F66A8">
        <w:trPr>
          <w:cantSplit/>
        </w:trPr>
        <w:tc>
          <w:tcPr>
            <w:tcW w:w="9672" w:type="dxa"/>
            <w:gridSpan w:val="2"/>
          </w:tcPr>
          <w:p w:rsidR="00290728" w:rsidRPr="00290728" w:rsidRDefault="00290728" w:rsidP="00290728">
            <w:pPr>
              <w:pStyle w:val="Source"/>
              <w:rPr>
                <w:rtl/>
                <w:lang w:bidi="ar-SY"/>
              </w:rPr>
            </w:pPr>
          </w:p>
        </w:tc>
      </w:tr>
      <w:tr w:rsidR="00290728" w:rsidRPr="00290728" w:rsidTr="009F66A8">
        <w:trPr>
          <w:cantSplit/>
        </w:trPr>
        <w:tc>
          <w:tcPr>
            <w:tcW w:w="9672" w:type="dxa"/>
            <w:gridSpan w:val="2"/>
          </w:tcPr>
          <w:p w:rsidR="00290728" w:rsidRPr="00383829" w:rsidRDefault="00EE0705" w:rsidP="00EE0705">
            <w:pPr>
              <w:pStyle w:val="Title1"/>
              <w:rPr>
                <w:rtl/>
              </w:rPr>
            </w:pPr>
            <w:r w:rsidRPr="00EE0705">
              <w:rPr>
                <w:rFonts w:hint="cs"/>
                <w:rtl/>
              </w:rPr>
              <w:t>محضر موجـز</w:t>
            </w:r>
            <w:r w:rsidRPr="00EE0705">
              <w:rPr>
                <w:rtl/>
              </w:rPr>
              <w:br/>
            </w:r>
            <w:r w:rsidRPr="00EE0705">
              <w:rPr>
                <w:rFonts w:hint="cs"/>
                <w:rtl/>
              </w:rPr>
              <w:t xml:space="preserve">للجلسة العامة </w:t>
            </w:r>
            <w:r w:rsidRPr="00EE0705">
              <w:rPr>
                <w:rFonts w:hint="cs"/>
                <w:rtl/>
                <w:lang w:bidi="ar-SY"/>
              </w:rPr>
              <w:t>الأولى</w:t>
            </w:r>
          </w:p>
        </w:tc>
      </w:tr>
      <w:tr w:rsidR="00A6683B" w:rsidRPr="00290728" w:rsidTr="009F66A8">
        <w:trPr>
          <w:cantSplit/>
        </w:trPr>
        <w:tc>
          <w:tcPr>
            <w:tcW w:w="9672" w:type="dxa"/>
            <w:gridSpan w:val="2"/>
          </w:tcPr>
          <w:p w:rsidR="00A6683B" w:rsidRPr="00383829" w:rsidRDefault="00EE0705" w:rsidP="00D50490">
            <w:pPr>
              <w:spacing w:before="240"/>
              <w:jc w:val="center"/>
              <w:rPr>
                <w:rtl/>
                <w:lang w:bidi="ar-EG"/>
              </w:rPr>
            </w:pPr>
            <w:r w:rsidRPr="00EE0705">
              <w:rPr>
                <w:rFonts w:hint="cs"/>
                <w:rtl/>
              </w:rPr>
              <w:t xml:space="preserve">الثلاثاء، </w:t>
            </w:r>
            <w:r w:rsidRPr="00EE0705">
              <w:rPr>
                <w:lang w:val="fr-CH"/>
              </w:rPr>
              <w:t>17</w:t>
            </w:r>
            <w:r w:rsidRPr="00EE0705">
              <w:rPr>
                <w:rFonts w:hint="cs"/>
                <w:rtl/>
              </w:rPr>
              <w:t xml:space="preserve"> </w:t>
            </w:r>
            <w:r w:rsidRPr="00EE0705">
              <w:rPr>
                <w:rFonts w:hint="cs"/>
                <w:rtl/>
                <w:lang w:bidi="ar-EG"/>
              </w:rPr>
              <w:t>أبريل</w:t>
            </w:r>
            <w:r w:rsidRPr="00EE0705">
              <w:rPr>
                <w:rFonts w:hint="cs"/>
                <w:rtl/>
              </w:rPr>
              <w:t xml:space="preserve"> </w:t>
            </w:r>
            <w:r w:rsidRPr="00EE0705">
              <w:t>201</w:t>
            </w:r>
            <w:r w:rsidRPr="00EE0705">
              <w:rPr>
                <w:lang w:val="fr-CH"/>
              </w:rPr>
              <w:t>8</w:t>
            </w:r>
            <w:r w:rsidRPr="00EE0705">
              <w:rPr>
                <w:rFonts w:hint="cs"/>
                <w:rtl/>
              </w:rPr>
              <w:t xml:space="preserve">، من الساعة </w:t>
            </w:r>
            <w:r w:rsidRPr="00D50490">
              <w:t>14</w:t>
            </w:r>
            <w:r w:rsidR="00A8245B" w:rsidRPr="00D50490">
              <w:t>:</w:t>
            </w:r>
            <w:r w:rsidRPr="00D50490">
              <w:t>30</w:t>
            </w:r>
            <w:r w:rsidRPr="00EE0705">
              <w:rPr>
                <w:rFonts w:hint="cs"/>
                <w:rtl/>
              </w:rPr>
              <w:t xml:space="preserve"> إلى الساعة </w:t>
            </w:r>
            <w:r w:rsidRPr="00D50490">
              <w:t>16</w:t>
            </w:r>
            <w:r w:rsidR="00A8245B" w:rsidRPr="00D50490">
              <w:t>:</w:t>
            </w:r>
            <w:r w:rsidRPr="00D50490">
              <w:t>30</w:t>
            </w:r>
          </w:p>
        </w:tc>
      </w:tr>
      <w:tr w:rsidR="00EE0705" w:rsidRPr="00290728" w:rsidTr="009F66A8">
        <w:trPr>
          <w:cantSplit/>
        </w:trPr>
        <w:tc>
          <w:tcPr>
            <w:tcW w:w="9672" w:type="dxa"/>
            <w:gridSpan w:val="2"/>
          </w:tcPr>
          <w:p w:rsidR="00EE0705" w:rsidRPr="00EE0705" w:rsidRDefault="00EE0705" w:rsidP="00D50490">
            <w:pPr>
              <w:jc w:val="center"/>
              <w:rPr>
                <w:rtl/>
              </w:rPr>
            </w:pPr>
            <w:r w:rsidRPr="00EE0705">
              <w:rPr>
                <w:rFonts w:hint="cs"/>
                <w:b/>
                <w:bCs/>
                <w:rtl/>
              </w:rPr>
              <w:t>الرئيس:</w:t>
            </w:r>
            <w:r w:rsidRPr="00EE0705">
              <w:rPr>
                <w:rFonts w:hint="eastAsia"/>
                <w:rtl/>
              </w:rPr>
              <w:t xml:space="preserve"> </w:t>
            </w:r>
            <w:r w:rsidRPr="00EE0705">
              <w:rPr>
                <w:rFonts w:hint="cs"/>
                <w:rtl/>
                <w:lang w:bidi="ar-EG"/>
              </w:rPr>
              <w:t xml:space="preserve">السيد </w:t>
            </w:r>
            <w:r w:rsidRPr="00EE0705">
              <w:rPr>
                <w:rFonts w:hint="cs"/>
                <w:rtl/>
              </w:rPr>
              <w:t>ر.</w:t>
            </w:r>
            <w:r w:rsidRPr="00EE0705">
              <w:rPr>
                <w:rtl/>
              </w:rPr>
              <w:t xml:space="preserve"> </w:t>
            </w:r>
            <w:proofErr w:type="spellStart"/>
            <w:r w:rsidRPr="00EE0705">
              <w:rPr>
                <w:rFonts w:hint="cs"/>
                <w:rtl/>
              </w:rPr>
              <w:t>إسماعيلوف</w:t>
            </w:r>
            <w:proofErr w:type="spellEnd"/>
            <w:r w:rsidRPr="00EE0705">
              <w:rPr>
                <w:rtl/>
              </w:rPr>
              <w:t xml:space="preserve"> (</w:t>
            </w:r>
            <w:r w:rsidRPr="00EE0705">
              <w:rPr>
                <w:rFonts w:hint="cs"/>
                <w:rtl/>
              </w:rPr>
              <w:t>الاتحاد الروسي)</w:t>
            </w:r>
          </w:p>
        </w:tc>
      </w:tr>
    </w:tbl>
    <w:p w:rsidR="00706D7A" w:rsidRDefault="00706D7A" w:rsidP="002154EE"/>
    <w:tbl>
      <w:tblPr>
        <w:bidiVisual/>
        <w:tblW w:w="4986" w:type="pct"/>
        <w:tblLook w:val="0000" w:firstRow="0" w:lastRow="0" w:firstColumn="0" w:lastColumn="0" w:noHBand="0" w:noVBand="0"/>
      </w:tblPr>
      <w:tblGrid>
        <w:gridCol w:w="1107"/>
        <w:gridCol w:w="6317"/>
        <w:gridCol w:w="2188"/>
      </w:tblGrid>
      <w:tr w:rsidR="00EE0705" w:rsidRPr="00A8245B" w:rsidTr="0002604F">
        <w:tc>
          <w:tcPr>
            <w:tcW w:w="576" w:type="pct"/>
            <w:vAlign w:val="center"/>
          </w:tcPr>
          <w:p w:rsidR="00EE0705" w:rsidRPr="00A8245B" w:rsidRDefault="00EE0705" w:rsidP="00D50490">
            <w:pPr>
              <w:pStyle w:val="toc0"/>
              <w:spacing w:after="120" w:line="360" w:lineRule="exact"/>
              <w:jc w:val="center"/>
              <w:rPr>
                <w:position w:val="2"/>
              </w:rPr>
            </w:pPr>
          </w:p>
        </w:tc>
        <w:tc>
          <w:tcPr>
            <w:tcW w:w="3286" w:type="pct"/>
            <w:vAlign w:val="center"/>
          </w:tcPr>
          <w:p w:rsidR="00EE0705" w:rsidRPr="00A8245B" w:rsidRDefault="00EE0705" w:rsidP="00D50490">
            <w:pPr>
              <w:overflowPunct w:val="0"/>
              <w:autoSpaceDE w:val="0"/>
              <w:autoSpaceDN w:val="0"/>
              <w:adjustRightInd w:val="0"/>
              <w:snapToGrid w:val="0"/>
              <w:spacing w:after="120" w:line="360" w:lineRule="exact"/>
              <w:jc w:val="left"/>
              <w:textAlignment w:val="baseline"/>
              <w:rPr>
                <w:rFonts w:ascii="Traditional Arabic" w:hAnsi="Traditional Arabic"/>
                <w:b/>
                <w:position w:val="2"/>
                <w:lang w:val="fr-FR"/>
              </w:rPr>
            </w:pPr>
            <w:r w:rsidRPr="00A8245B">
              <w:rPr>
                <w:rFonts w:ascii="Traditional Arabic" w:hAnsi="Traditional Arabic"/>
                <w:b/>
                <w:bCs/>
                <w:position w:val="2"/>
                <w:rtl/>
                <w:lang w:val="fr-FR"/>
              </w:rPr>
              <w:t xml:space="preserve">مواضيع </w:t>
            </w:r>
            <w:r w:rsidR="00A8245B">
              <w:rPr>
                <w:rFonts w:ascii="Traditional Arabic" w:hAnsi="Traditional Arabic" w:hint="cs"/>
                <w:b/>
                <w:bCs/>
                <w:position w:val="2"/>
                <w:rtl/>
                <w:lang w:val="fr-FR"/>
              </w:rPr>
              <w:t>المناقشة</w:t>
            </w:r>
          </w:p>
        </w:tc>
        <w:tc>
          <w:tcPr>
            <w:tcW w:w="1138" w:type="pct"/>
            <w:vAlign w:val="center"/>
          </w:tcPr>
          <w:p w:rsidR="00EE0705" w:rsidRPr="00A8245B" w:rsidRDefault="00EE0705" w:rsidP="00D50490">
            <w:pPr>
              <w:overflowPunct w:val="0"/>
              <w:autoSpaceDE w:val="0"/>
              <w:autoSpaceDN w:val="0"/>
              <w:adjustRightInd w:val="0"/>
              <w:snapToGrid w:val="0"/>
              <w:spacing w:after="120" w:line="360" w:lineRule="exact"/>
              <w:jc w:val="center"/>
              <w:textAlignment w:val="baseline"/>
              <w:rPr>
                <w:rFonts w:ascii="Traditional Arabic" w:hAnsi="Traditional Arabic"/>
                <w:b/>
                <w:position w:val="2"/>
                <w:rtl/>
                <w:lang w:bidi="ar-EG"/>
              </w:rPr>
            </w:pPr>
            <w:r w:rsidRPr="00A8245B">
              <w:rPr>
                <w:rFonts w:ascii="Traditional Arabic" w:hAnsi="Traditional Arabic"/>
                <w:b/>
                <w:bCs/>
                <w:position w:val="2"/>
                <w:rtl/>
                <w:lang w:val="fr-FR"/>
              </w:rPr>
              <w:t>الوثائق</w:t>
            </w:r>
          </w:p>
        </w:tc>
      </w:tr>
      <w:tr w:rsidR="00EE0705" w:rsidRPr="00A8245B" w:rsidTr="0002604F">
        <w:tc>
          <w:tcPr>
            <w:tcW w:w="576" w:type="pct"/>
            <w:vAlign w:val="center"/>
          </w:tcPr>
          <w:p w:rsidR="00EE0705" w:rsidRPr="00A8245B" w:rsidRDefault="00EE0705" w:rsidP="00D50490">
            <w:pPr>
              <w:spacing w:after="120" w:line="360" w:lineRule="exact"/>
              <w:ind w:left="567" w:hanging="567"/>
              <w:jc w:val="center"/>
              <w:rPr>
                <w:position w:val="2"/>
              </w:rPr>
            </w:pPr>
            <w:r w:rsidRPr="00A8245B">
              <w:rPr>
                <w:position w:val="2"/>
              </w:rPr>
              <w:t>1</w:t>
            </w:r>
          </w:p>
        </w:tc>
        <w:tc>
          <w:tcPr>
            <w:tcW w:w="3286" w:type="pct"/>
            <w:vAlign w:val="center"/>
          </w:tcPr>
          <w:p w:rsidR="00EE0705" w:rsidRPr="00A8245B" w:rsidRDefault="00EE0705" w:rsidP="00D50490">
            <w:pPr>
              <w:snapToGrid w:val="0"/>
              <w:spacing w:after="120" w:line="360" w:lineRule="exact"/>
              <w:jc w:val="left"/>
              <w:rPr>
                <w:position w:val="2"/>
                <w:rtl/>
                <w:lang w:val="fr-CH" w:bidi="ar-SY"/>
              </w:rPr>
            </w:pPr>
            <w:r w:rsidRPr="00A8245B">
              <w:rPr>
                <w:rFonts w:hint="cs"/>
                <w:position w:val="2"/>
                <w:rtl/>
                <w:lang w:bidi="ar-EG"/>
              </w:rPr>
              <w:t xml:space="preserve">تقرير عن </w:t>
            </w:r>
            <w:r w:rsidRPr="00A8245B">
              <w:rPr>
                <w:rFonts w:hint="cs"/>
                <w:position w:val="2"/>
                <w:rtl/>
                <w:lang w:val="fr-CH" w:bidi="ar-SY"/>
              </w:rPr>
              <w:t>أحداث تليكوم العالمي للاتحاد</w:t>
            </w:r>
          </w:p>
        </w:tc>
        <w:tc>
          <w:tcPr>
            <w:tcW w:w="1138" w:type="pct"/>
            <w:vAlign w:val="center"/>
          </w:tcPr>
          <w:p w:rsidR="00EE0705" w:rsidRPr="00A8245B" w:rsidRDefault="000F029D" w:rsidP="00D50490">
            <w:pPr>
              <w:spacing w:after="120" w:line="360" w:lineRule="exact"/>
              <w:jc w:val="center"/>
              <w:rPr>
                <w:position w:val="2"/>
              </w:rPr>
            </w:pPr>
            <w:hyperlink r:id="rId9" w:history="1">
              <w:r w:rsidR="00EE0705" w:rsidRPr="00A8245B">
                <w:rPr>
                  <w:rStyle w:val="Hyperlink"/>
                  <w:position w:val="2"/>
                  <w:lang w:val="fr-CH"/>
                </w:rPr>
                <w:t>C18/</w:t>
              </w:r>
              <w:r w:rsidR="00EE0705" w:rsidRPr="00A8245B">
                <w:rPr>
                  <w:rStyle w:val="Hyperlink"/>
                  <w:position w:val="2"/>
                </w:rPr>
                <w:t>19(Rev.1)</w:t>
              </w:r>
            </w:hyperlink>
          </w:p>
        </w:tc>
      </w:tr>
      <w:tr w:rsidR="00EE0705" w:rsidRPr="00A8245B" w:rsidTr="0002604F">
        <w:tc>
          <w:tcPr>
            <w:tcW w:w="576" w:type="pct"/>
            <w:vAlign w:val="center"/>
          </w:tcPr>
          <w:p w:rsidR="00EE0705" w:rsidRPr="00A8245B" w:rsidRDefault="00EE0705" w:rsidP="00D50490">
            <w:pPr>
              <w:spacing w:after="120" w:line="360" w:lineRule="exact"/>
              <w:ind w:left="567" w:hanging="567"/>
              <w:jc w:val="center"/>
              <w:rPr>
                <w:position w:val="2"/>
              </w:rPr>
            </w:pPr>
            <w:r w:rsidRPr="00A8245B">
              <w:rPr>
                <w:position w:val="2"/>
              </w:rPr>
              <w:t>2</w:t>
            </w:r>
          </w:p>
        </w:tc>
        <w:tc>
          <w:tcPr>
            <w:tcW w:w="3286" w:type="pct"/>
            <w:vAlign w:val="center"/>
          </w:tcPr>
          <w:p w:rsidR="00EE0705" w:rsidRPr="00D50490" w:rsidRDefault="00EE0705" w:rsidP="00034D5B">
            <w:pPr>
              <w:snapToGrid w:val="0"/>
              <w:spacing w:after="120" w:line="360" w:lineRule="exact"/>
              <w:rPr>
                <w:spacing w:val="-4"/>
                <w:position w:val="2"/>
                <w:rtl/>
                <w:lang w:bidi="ar-EG"/>
              </w:rPr>
            </w:pPr>
            <w:r w:rsidRPr="00D50490">
              <w:rPr>
                <w:rFonts w:hint="cs"/>
                <w:spacing w:val="-4"/>
                <w:position w:val="2"/>
                <w:rtl/>
                <w:lang w:val="fr-CH"/>
              </w:rPr>
              <w:t>تقريرا</w:t>
            </w:r>
            <w:r w:rsidR="008E33AA" w:rsidRPr="00D50490">
              <w:rPr>
                <w:rFonts w:hint="cs"/>
                <w:spacing w:val="-4"/>
                <w:position w:val="2"/>
                <w:rtl/>
                <w:lang w:val="fr-CH"/>
              </w:rPr>
              <w:t>ن من</w:t>
            </w:r>
            <w:r w:rsidRPr="00D50490">
              <w:rPr>
                <w:rFonts w:hint="cs"/>
                <w:spacing w:val="-4"/>
                <w:position w:val="2"/>
                <w:rtl/>
                <w:lang w:val="fr-CH"/>
              </w:rPr>
              <w:t xml:space="preserve"> رئيس فريق العمل التابع للمجلس </w:t>
            </w:r>
            <w:r w:rsidRPr="00D50490">
              <w:rPr>
                <w:rFonts w:hint="cs"/>
                <w:spacing w:val="-4"/>
                <w:position w:val="2"/>
                <w:rtl/>
                <w:lang w:val="fr-CH" w:bidi="ar-SY"/>
              </w:rPr>
              <w:t>والمعني باستخدام اللغات الرسمية الست للاتحاد</w:t>
            </w:r>
            <w:r w:rsidR="00034D5B">
              <w:rPr>
                <w:rFonts w:hint="eastAsia"/>
                <w:spacing w:val="-4"/>
                <w:position w:val="2"/>
                <w:rtl/>
                <w:lang w:val="fr-CH" w:bidi="ar-SY"/>
              </w:rPr>
              <w:t> </w:t>
            </w:r>
            <w:r w:rsidRPr="00D50490">
              <w:rPr>
                <w:spacing w:val="-4"/>
                <w:position w:val="2"/>
                <w:lang w:bidi="ar-SY"/>
              </w:rPr>
              <w:t>(CWG-LANG)</w:t>
            </w:r>
            <w:r w:rsidRPr="00D50490">
              <w:rPr>
                <w:rFonts w:hint="cs"/>
                <w:spacing w:val="-4"/>
                <w:position w:val="2"/>
                <w:rtl/>
                <w:lang w:val="fr-CH" w:bidi="ar-SY"/>
              </w:rPr>
              <w:t>: تقرير من فريق العمل التابع للمجلس (الوثيقة</w:t>
            </w:r>
            <w:r w:rsidR="00D50490">
              <w:rPr>
                <w:rFonts w:hint="eastAsia"/>
                <w:spacing w:val="-4"/>
                <w:position w:val="2"/>
                <w:rtl/>
                <w:lang w:val="fr-CH" w:bidi="ar-SY"/>
              </w:rPr>
              <w:t> </w:t>
            </w:r>
            <w:r w:rsidRPr="00D50490">
              <w:rPr>
                <w:spacing w:val="-4"/>
                <w:position w:val="2"/>
                <w:lang w:bidi="ar-SY"/>
              </w:rPr>
              <w:t>C18/12</w:t>
            </w:r>
            <w:r w:rsidRPr="00D50490">
              <w:rPr>
                <w:rFonts w:hint="cs"/>
                <w:spacing w:val="-4"/>
                <w:position w:val="2"/>
                <w:rtl/>
                <w:lang w:val="fr-CH" w:bidi="ar-SY"/>
              </w:rPr>
              <w:t xml:space="preserve">) </w:t>
            </w:r>
            <w:r w:rsidRPr="00006671">
              <w:rPr>
                <w:rFonts w:hint="cs"/>
                <w:position w:val="2"/>
                <w:rtl/>
                <w:lang w:val="fr-CH" w:bidi="ar-SY"/>
              </w:rPr>
              <w:t xml:space="preserve">وتقرير بشأن تنفيذ القرار </w:t>
            </w:r>
            <w:r w:rsidRPr="00006671">
              <w:rPr>
                <w:position w:val="2"/>
                <w:lang w:bidi="ar-SY"/>
              </w:rPr>
              <w:t>154</w:t>
            </w:r>
            <w:r w:rsidRPr="00006671">
              <w:rPr>
                <w:rFonts w:hint="cs"/>
                <w:position w:val="2"/>
                <w:rtl/>
                <w:lang w:bidi="ar-SY"/>
              </w:rPr>
              <w:t xml:space="preserve"> (المراج</w:t>
            </w:r>
            <w:r w:rsidR="00A8245B" w:rsidRPr="00006671">
              <w:rPr>
                <w:rFonts w:hint="cs"/>
                <w:position w:val="2"/>
                <w:rtl/>
                <w:lang w:bidi="ar-EG"/>
              </w:rPr>
              <w:t>َ</w:t>
            </w:r>
            <w:r w:rsidRPr="00006671">
              <w:rPr>
                <w:rFonts w:hint="cs"/>
                <w:position w:val="2"/>
                <w:rtl/>
                <w:lang w:bidi="ar-SY"/>
              </w:rPr>
              <w:t xml:space="preserve">ع في بوسان، </w:t>
            </w:r>
            <w:r w:rsidRPr="00006671">
              <w:rPr>
                <w:position w:val="2"/>
                <w:lang w:bidi="ar-SY"/>
              </w:rPr>
              <w:t>2014</w:t>
            </w:r>
            <w:r w:rsidRPr="00006671">
              <w:rPr>
                <w:rFonts w:hint="cs"/>
                <w:position w:val="2"/>
                <w:rtl/>
                <w:lang w:val="fr-CH" w:bidi="ar-SY"/>
              </w:rPr>
              <w:t>) بشأن استعمال لغات الاتحاد الرسمية الست على قدم المساواة</w:t>
            </w:r>
          </w:p>
        </w:tc>
        <w:tc>
          <w:tcPr>
            <w:tcW w:w="1138" w:type="pct"/>
            <w:vAlign w:val="center"/>
          </w:tcPr>
          <w:p w:rsidR="00EE0705" w:rsidRPr="00A8245B" w:rsidRDefault="000F029D" w:rsidP="00D50490">
            <w:pPr>
              <w:spacing w:after="120" w:line="360" w:lineRule="exact"/>
              <w:jc w:val="center"/>
              <w:rPr>
                <w:position w:val="2"/>
              </w:rPr>
            </w:pPr>
            <w:hyperlink r:id="rId10" w:history="1">
              <w:r w:rsidR="00EE0705" w:rsidRPr="00A8245B">
                <w:rPr>
                  <w:rStyle w:val="Hyperlink"/>
                  <w:position w:val="2"/>
                  <w:lang w:val="fr-CH"/>
                </w:rPr>
                <w:t>C18/12</w:t>
              </w:r>
            </w:hyperlink>
            <w:r w:rsidR="00EE0705" w:rsidRPr="00A8245B">
              <w:rPr>
                <w:rFonts w:hint="cs"/>
                <w:position w:val="2"/>
                <w:rtl/>
                <w:lang w:bidi="ar-EG"/>
              </w:rPr>
              <w:t xml:space="preserve"> و</w:t>
            </w:r>
            <w:hyperlink r:id="rId11" w:history="1">
              <w:r w:rsidR="00EE0705" w:rsidRPr="00A8245B">
                <w:rPr>
                  <w:rStyle w:val="Hyperlink"/>
                  <w:position w:val="2"/>
                  <w:lang w:val="fr-CH" w:bidi="ar-EG"/>
                </w:rPr>
                <w:t>C18/14</w:t>
              </w:r>
            </w:hyperlink>
          </w:p>
        </w:tc>
      </w:tr>
      <w:tr w:rsidR="00EE0705" w:rsidRPr="00A8245B" w:rsidTr="0002604F">
        <w:tc>
          <w:tcPr>
            <w:tcW w:w="576" w:type="pct"/>
            <w:vAlign w:val="center"/>
          </w:tcPr>
          <w:p w:rsidR="00EE0705" w:rsidRPr="00A8245B" w:rsidRDefault="00EE0705" w:rsidP="00D50490">
            <w:pPr>
              <w:spacing w:after="120" w:line="360" w:lineRule="exact"/>
              <w:ind w:left="567" w:hanging="567"/>
              <w:jc w:val="center"/>
              <w:rPr>
                <w:position w:val="2"/>
              </w:rPr>
            </w:pPr>
            <w:r w:rsidRPr="00A8245B">
              <w:rPr>
                <w:position w:val="2"/>
              </w:rPr>
              <w:t>3</w:t>
            </w:r>
          </w:p>
        </w:tc>
        <w:tc>
          <w:tcPr>
            <w:tcW w:w="3286" w:type="pct"/>
            <w:vAlign w:val="center"/>
          </w:tcPr>
          <w:p w:rsidR="00EE0705" w:rsidRPr="00A8245B" w:rsidRDefault="00EE0705" w:rsidP="00D50490">
            <w:pPr>
              <w:snapToGrid w:val="0"/>
              <w:spacing w:after="120" w:line="360" w:lineRule="exact"/>
              <w:jc w:val="left"/>
              <w:rPr>
                <w:position w:val="2"/>
                <w:rtl/>
                <w:lang w:val="fr-CH" w:bidi="ar-SY"/>
              </w:rPr>
            </w:pPr>
            <w:r w:rsidRPr="00A8245B">
              <w:rPr>
                <w:rFonts w:hint="cs"/>
                <w:position w:val="2"/>
                <w:rtl/>
                <w:lang w:val="en-GB" w:bidi="ar-SY"/>
              </w:rPr>
              <w:t xml:space="preserve">مشاريع الخطط التشغيلية الرباعية المتجددة للفترة </w:t>
            </w:r>
            <w:r w:rsidRPr="00A8245B">
              <w:rPr>
                <w:position w:val="2"/>
                <w:lang w:bidi="ar-SY"/>
              </w:rPr>
              <w:t>2022-2019</w:t>
            </w:r>
          </w:p>
        </w:tc>
        <w:tc>
          <w:tcPr>
            <w:tcW w:w="1138" w:type="pct"/>
            <w:vAlign w:val="center"/>
          </w:tcPr>
          <w:p w:rsidR="00EE0705" w:rsidRPr="00A8245B" w:rsidRDefault="000F029D" w:rsidP="00D50490">
            <w:pPr>
              <w:spacing w:after="120" w:line="360" w:lineRule="exact"/>
              <w:jc w:val="center"/>
              <w:rPr>
                <w:position w:val="2"/>
                <w:lang w:bidi="ar-SY"/>
              </w:rPr>
            </w:pPr>
            <w:hyperlink r:id="rId12" w:history="1">
              <w:r w:rsidR="00EE0705" w:rsidRPr="00A8245B">
                <w:rPr>
                  <w:rStyle w:val="Hyperlink"/>
                  <w:position w:val="2"/>
                  <w:lang w:bidi="ar-EG"/>
                </w:rPr>
                <w:t>C18/28(Rev.1)</w:t>
              </w:r>
            </w:hyperlink>
            <w:r w:rsidR="00EE0705" w:rsidRPr="00A8245B">
              <w:rPr>
                <w:rFonts w:hint="cs"/>
                <w:position w:val="2"/>
                <w:rtl/>
                <w:lang w:val="fr-CH" w:bidi="ar-SY"/>
              </w:rPr>
              <w:t xml:space="preserve"> و</w:t>
            </w:r>
            <w:hyperlink r:id="rId13" w:history="1">
              <w:r w:rsidR="00EE0705" w:rsidRPr="00A8245B">
                <w:rPr>
                  <w:rStyle w:val="Hyperlink"/>
                  <w:position w:val="2"/>
                  <w:lang w:bidi="ar-SY"/>
                </w:rPr>
                <w:t>C18/29</w:t>
              </w:r>
            </w:hyperlink>
            <w:r w:rsidR="00EE0705" w:rsidRPr="00A8245B">
              <w:rPr>
                <w:rFonts w:hint="cs"/>
                <w:position w:val="2"/>
                <w:rtl/>
                <w:lang w:val="fr-CH" w:bidi="ar-SY"/>
              </w:rPr>
              <w:t xml:space="preserve"> و</w:t>
            </w:r>
            <w:hyperlink r:id="rId14" w:history="1">
              <w:r w:rsidR="00EE0705" w:rsidRPr="00A8245B">
                <w:rPr>
                  <w:rStyle w:val="Hyperlink"/>
                  <w:position w:val="2"/>
                  <w:lang w:bidi="ar-SY"/>
                </w:rPr>
                <w:t>C18/30</w:t>
              </w:r>
            </w:hyperlink>
            <w:r w:rsidR="00EE0705" w:rsidRPr="00A8245B">
              <w:rPr>
                <w:rFonts w:hint="cs"/>
                <w:position w:val="2"/>
                <w:rtl/>
                <w:lang w:val="fr-CH" w:bidi="ar-SY"/>
              </w:rPr>
              <w:t xml:space="preserve"> و</w:t>
            </w:r>
            <w:hyperlink r:id="rId15" w:history="1">
              <w:r w:rsidR="00EE0705" w:rsidRPr="00A8245B">
                <w:rPr>
                  <w:rStyle w:val="Hyperlink"/>
                  <w:position w:val="2"/>
                  <w:lang w:bidi="ar-SY"/>
                </w:rPr>
                <w:t>C18/31</w:t>
              </w:r>
            </w:hyperlink>
            <w:r w:rsidR="00EE0705" w:rsidRPr="00A8245B">
              <w:rPr>
                <w:rFonts w:hint="cs"/>
                <w:position w:val="2"/>
                <w:rtl/>
                <w:lang w:val="fr-CH" w:bidi="ar-SY"/>
              </w:rPr>
              <w:t xml:space="preserve"> و</w:t>
            </w:r>
            <w:hyperlink r:id="rId16" w:history="1">
              <w:r w:rsidR="00EE0705" w:rsidRPr="00A8245B">
                <w:rPr>
                  <w:rStyle w:val="Hyperlink"/>
                  <w:position w:val="2"/>
                  <w:lang w:bidi="ar-SY"/>
                </w:rPr>
                <w:t>C18/32</w:t>
              </w:r>
            </w:hyperlink>
          </w:p>
        </w:tc>
      </w:tr>
      <w:tr w:rsidR="00EE0705" w:rsidRPr="00A8245B" w:rsidTr="0002604F">
        <w:tc>
          <w:tcPr>
            <w:tcW w:w="576" w:type="pct"/>
            <w:vAlign w:val="center"/>
          </w:tcPr>
          <w:p w:rsidR="00EE0705" w:rsidRPr="00A8245B" w:rsidRDefault="00EE0705" w:rsidP="00D50490">
            <w:pPr>
              <w:spacing w:after="120" w:line="360" w:lineRule="exact"/>
              <w:ind w:left="567" w:hanging="567"/>
              <w:jc w:val="center"/>
              <w:rPr>
                <w:position w:val="2"/>
              </w:rPr>
            </w:pPr>
            <w:r w:rsidRPr="00A8245B">
              <w:rPr>
                <w:position w:val="2"/>
              </w:rPr>
              <w:t>4</w:t>
            </w:r>
          </w:p>
        </w:tc>
        <w:tc>
          <w:tcPr>
            <w:tcW w:w="3286" w:type="pct"/>
            <w:vAlign w:val="center"/>
          </w:tcPr>
          <w:p w:rsidR="00EE0705" w:rsidRPr="00A8245B" w:rsidRDefault="00EE0705" w:rsidP="00D50490">
            <w:pPr>
              <w:spacing w:after="120" w:line="360" w:lineRule="exact"/>
              <w:jc w:val="left"/>
              <w:rPr>
                <w:position w:val="2"/>
                <w:rtl/>
                <w:lang w:val="fr-CH" w:bidi="ar-SY"/>
              </w:rPr>
            </w:pPr>
            <w:r w:rsidRPr="00A8245B">
              <w:rPr>
                <w:rFonts w:hint="cs"/>
                <w:position w:val="2"/>
                <w:rtl/>
                <w:lang w:val="fr-CH" w:bidi="ar-SY"/>
              </w:rPr>
              <w:t>اليوم العالمي للاتصالات ومجتمع المعلومات</w:t>
            </w:r>
          </w:p>
        </w:tc>
        <w:tc>
          <w:tcPr>
            <w:tcW w:w="1138" w:type="pct"/>
            <w:vAlign w:val="center"/>
          </w:tcPr>
          <w:p w:rsidR="00EE0705" w:rsidRPr="00A8245B" w:rsidRDefault="000F029D" w:rsidP="00D50490">
            <w:pPr>
              <w:spacing w:after="120" w:line="360" w:lineRule="exact"/>
              <w:jc w:val="center"/>
              <w:rPr>
                <w:position w:val="2"/>
                <w:rtl/>
                <w:lang w:val="fr-CH" w:bidi="ar-SY"/>
              </w:rPr>
            </w:pPr>
            <w:hyperlink r:id="rId17" w:history="1">
              <w:r w:rsidR="00EE0705" w:rsidRPr="00A8245B">
                <w:rPr>
                  <w:rStyle w:val="Hyperlink"/>
                  <w:position w:val="2"/>
                  <w:lang w:val="fr-CH" w:bidi="ar-EG"/>
                </w:rPr>
                <w:t>C18/17</w:t>
              </w:r>
            </w:hyperlink>
          </w:p>
        </w:tc>
      </w:tr>
      <w:tr w:rsidR="00EE0705" w:rsidRPr="00A8245B" w:rsidTr="0002604F">
        <w:tc>
          <w:tcPr>
            <w:tcW w:w="576" w:type="pct"/>
            <w:vAlign w:val="center"/>
          </w:tcPr>
          <w:p w:rsidR="00EE0705" w:rsidRPr="00A8245B" w:rsidRDefault="00EE0705" w:rsidP="00D50490">
            <w:pPr>
              <w:spacing w:after="120" w:line="360" w:lineRule="exact"/>
              <w:ind w:left="567" w:hanging="567"/>
              <w:jc w:val="center"/>
              <w:rPr>
                <w:position w:val="2"/>
              </w:rPr>
            </w:pPr>
            <w:r w:rsidRPr="00A8245B">
              <w:rPr>
                <w:position w:val="2"/>
              </w:rPr>
              <w:t>5</w:t>
            </w:r>
          </w:p>
        </w:tc>
        <w:tc>
          <w:tcPr>
            <w:tcW w:w="3286" w:type="pct"/>
            <w:vAlign w:val="center"/>
          </w:tcPr>
          <w:p w:rsidR="00EE0705" w:rsidRPr="00A8245B" w:rsidRDefault="00EE0705" w:rsidP="00D50490">
            <w:pPr>
              <w:spacing w:after="120" w:line="360" w:lineRule="exact"/>
              <w:jc w:val="left"/>
              <w:rPr>
                <w:position w:val="2"/>
                <w:lang w:val="fr-CH"/>
              </w:rPr>
            </w:pPr>
            <w:r w:rsidRPr="00A8245B">
              <w:rPr>
                <w:rFonts w:hint="cs"/>
                <w:position w:val="2"/>
                <w:rtl/>
              </w:rPr>
              <w:t>مبيعات منشورات الاتحاد الدولي للاتصالات والنفاذ الإلكتروني المجاني إليها</w:t>
            </w:r>
          </w:p>
        </w:tc>
        <w:tc>
          <w:tcPr>
            <w:tcW w:w="1138" w:type="pct"/>
            <w:vAlign w:val="center"/>
          </w:tcPr>
          <w:p w:rsidR="00EE0705" w:rsidRPr="00A8245B" w:rsidRDefault="000F029D" w:rsidP="00D50490">
            <w:pPr>
              <w:spacing w:after="120" w:line="360" w:lineRule="exact"/>
              <w:jc w:val="center"/>
              <w:rPr>
                <w:position w:val="2"/>
                <w:lang w:val="fr-CH" w:bidi="ar-EG"/>
              </w:rPr>
            </w:pPr>
            <w:hyperlink r:id="rId18" w:history="1">
              <w:r w:rsidR="00EE0705" w:rsidRPr="00A8245B">
                <w:rPr>
                  <w:rStyle w:val="Hyperlink"/>
                  <w:position w:val="2"/>
                </w:rPr>
                <w:t>C18/21</w:t>
              </w:r>
            </w:hyperlink>
          </w:p>
        </w:tc>
      </w:tr>
    </w:tbl>
    <w:p w:rsidR="004E11DC" w:rsidRDefault="004E11DC" w:rsidP="004E11DC">
      <w:pPr>
        <w:rPr>
          <w:rtl/>
          <w:lang w:bidi="ar-SY"/>
        </w:rPr>
      </w:pPr>
    </w:p>
    <w:p w:rsidR="00290728" w:rsidRDefault="00290728" w:rsidP="00290728">
      <w:pPr>
        <w:rPr>
          <w:rtl/>
          <w:lang w:bidi="ar-EG"/>
        </w:rPr>
      </w:pPr>
      <w:r>
        <w:rPr>
          <w:rtl/>
          <w:lang w:bidi="ar-SY"/>
        </w:rPr>
        <w:br w:type="page"/>
      </w:r>
    </w:p>
    <w:p w:rsidR="00EE0705" w:rsidRPr="00EE0705" w:rsidRDefault="00EE0705" w:rsidP="00A8245B">
      <w:pPr>
        <w:pStyle w:val="Heading1"/>
        <w:rPr>
          <w:rtl/>
          <w:lang w:bidi="ar-SY"/>
        </w:rPr>
      </w:pPr>
      <w:r w:rsidRPr="00EE0705">
        <w:rPr>
          <w:lang w:bidi="ar-SY"/>
        </w:rPr>
        <w:lastRenderedPageBreak/>
        <w:t>1</w:t>
      </w:r>
      <w:r w:rsidRPr="00EE0705">
        <w:rPr>
          <w:rtl/>
          <w:lang w:bidi="ar-EG"/>
        </w:rPr>
        <w:tab/>
      </w:r>
      <w:r w:rsidRPr="00EE0705">
        <w:rPr>
          <w:rFonts w:hint="cs"/>
          <w:rtl/>
          <w:lang w:bidi="ar-EG"/>
        </w:rPr>
        <w:t xml:space="preserve">تقرير عن </w:t>
      </w:r>
      <w:r w:rsidRPr="00EE0705">
        <w:rPr>
          <w:rFonts w:hint="cs"/>
          <w:rtl/>
          <w:lang w:bidi="ar-SY"/>
        </w:rPr>
        <w:t>أحداث تليكوم العالمي للاتحاد</w:t>
      </w:r>
      <w:r w:rsidRPr="00EE0705">
        <w:rPr>
          <w:rFonts w:hint="cs"/>
          <w:rtl/>
          <w:lang w:bidi="ar-EG"/>
        </w:rPr>
        <w:t xml:space="preserve"> (الوثيقة </w:t>
      </w:r>
      <w:hyperlink r:id="rId19" w:history="1">
        <w:r w:rsidRPr="00EE0705">
          <w:rPr>
            <w:rStyle w:val="Hyperlink"/>
            <w:lang w:val="fr-CH" w:bidi="ar-SY"/>
          </w:rPr>
          <w:t>C18/19(Rev.1)</w:t>
        </w:r>
      </w:hyperlink>
      <w:r w:rsidRPr="00EE0705">
        <w:rPr>
          <w:rFonts w:hint="cs"/>
          <w:rtl/>
          <w:lang w:bidi="ar-EG"/>
        </w:rPr>
        <w:t>)</w:t>
      </w:r>
    </w:p>
    <w:p w:rsidR="00EE0705" w:rsidRPr="00EE0705" w:rsidRDefault="00EE0705" w:rsidP="00676121">
      <w:pPr>
        <w:rPr>
          <w:rtl/>
          <w:lang w:bidi="ar-EG"/>
        </w:rPr>
      </w:pPr>
      <w:r w:rsidRPr="00EE0705">
        <w:rPr>
          <w:lang w:val="fr-CH" w:bidi="ar-SY"/>
        </w:rPr>
        <w:t>1.</w:t>
      </w:r>
      <w:r w:rsidR="00A8245B">
        <w:rPr>
          <w:lang w:bidi="ar-SY"/>
        </w:rPr>
        <w:t>1</w:t>
      </w:r>
      <w:r w:rsidR="00A8245B">
        <w:rPr>
          <w:rtl/>
          <w:lang w:val="fr-CH" w:bidi="ar-SY"/>
        </w:rPr>
        <w:tab/>
      </w:r>
      <w:r w:rsidRPr="00EE0705">
        <w:rPr>
          <w:rFonts w:hint="cs"/>
          <w:rtl/>
          <w:lang w:bidi="ar-JO"/>
        </w:rPr>
        <w:t>قدم المدير التنفيذي لتليكوم</w:t>
      </w:r>
      <w:r w:rsidRPr="00EE0705">
        <w:rPr>
          <w:rtl/>
          <w:lang w:bidi="ar-JO"/>
        </w:rPr>
        <w:t xml:space="preserve"> </w:t>
      </w:r>
      <w:r w:rsidRPr="00EE0705">
        <w:rPr>
          <w:rFonts w:hint="cs"/>
          <w:rtl/>
          <w:lang w:bidi="ar-JO"/>
        </w:rPr>
        <w:t xml:space="preserve">الاتحاد الوثيقة </w:t>
      </w:r>
      <w:r w:rsidRPr="00EE0705">
        <w:rPr>
          <w:lang w:bidi="ar-SY"/>
        </w:rPr>
        <w:t>C18/19(Rev.1</w:t>
      </w:r>
      <w:proofErr w:type="gramStart"/>
      <w:r w:rsidRPr="00EE0705">
        <w:rPr>
          <w:lang w:bidi="ar-SY"/>
        </w:rPr>
        <w:t>)</w:t>
      </w:r>
      <w:r w:rsidRPr="00EE0705">
        <w:rPr>
          <w:rFonts w:hint="cs"/>
          <w:rtl/>
          <w:lang w:bidi="ar-SY"/>
        </w:rPr>
        <w:t>،</w:t>
      </w:r>
      <w:proofErr w:type="gramEnd"/>
      <w:r w:rsidRPr="00EE0705">
        <w:rPr>
          <w:rFonts w:hint="cs"/>
          <w:rtl/>
          <w:lang w:bidi="ar-SY"/>
        </w:rPr>
        <w:t xml:space="preserve"> موجهاً الانتباه بشكل خاص إلى المقترحات الواردة في</w:t>
      </w:r>
      <w:r w:rsidR="00A8245B">
        <w:rPr>
          <w:rFonts w:hint="eastAsia"/>
          <w:rtl/>
          <w:lang w:bidi="ar-SY"/>
        </w:rPr>
        <w:t> </w:t>
      </w:r>
      <w:r w:rsidRPr="00EE0705">
        <w:rPr>
          <w:rFonts w:hint="cs"/>
          <w:rtl/>
          <w:lang w:bidi="ar-SY"/>
        </w:rPr>
        <w:t>الفقرة</w:t>
      </w:r>
      <w:r w:rsidR="00676121">
        <w:rPr>
          <w:rFonts w:hint="eastAsia"/>
          <w:rtl/>
          <w:lang w:bidi="ar-SY"/>
        </w:rPr>
        <w:t> </w:t>
      </w:r>
      <w:r w:rsidRPr="00EE0705">
        <w:rPr>
          <w:lang w:bidi="ar-SY"/>
        </w:rPr>
        <w:t>7</w:t>
      </w:r>
      <w:r w:rsidRPr="00EE0705">
        <w:rPr>
          <w:rFonts w:hint="cs"/>
          <w:rtl/>
          <w:lang w:bidi="ar-SY"/>
        </w:rPr>
        <w:t xml:space="preserve"> منها،</w:t>
      </w:r>
      <w:r w:rsidRPr="00EE0705">
        <w:rPr>
          <w:rFonts w:hint="cs"/>
          <w:rtl/>
          <w:lang w:bidi="ar-JO"/>
        </w:rPr>
        <w:t xml:space="preserve"> وشكر مختلف الكيانات والأفراد الذين ساهموا في إنجاح حدث تليكوم</w:t>
      </w:r>
      <w:r w:rsidRPr="00EE0705">
        <w:rPr>
          <w:rtl/>
          <w:lang w:bidi="ar-JO"/>
        </w:rPr>
        <w:t xml:space="preserve"> </w:t>
      </w:r>
      <w:r w:rsidRPr="00EE0705">
        <w:rPr>
          <w:rFonts w:hint="cs"/>
          <w:rtl/>
          <w:lang w:bidi="ar-JO"/>
        </w:rPr>
        <w:t xml:space="preserve">العالمي للاتحاد </w:t>
      </w:r>
      <w:r w:rsidRPr="00EE0705">
        <w:rPr>
          <w:rFonts w:hint="cs"/>
          <w:rtl/>
          <w:lang w:bidi="ar-EG"/>
        </w:rPr>
        <w:t xml:space="preserve">في عام </w:t>
      </w:r>
      <w:r w:rsidRPr="00EE0705">
        <w:rPr>
          <w:lang w:bidi="ar-SY"/>
        </w:rPr>
        <w:t>2017</w:t>
      </w:r>
      <w:r w:rsidRPr="00EE0705">
        <w:rPr>
          <w:rFonts w:hint="cs"/>
          <w:rtl/>
          <w:lang w:bidi="ar-JO"/>
        </w:rPr>
        <w:t>.</w:t>
      </w:r>
    </w:p>
    <w:p w:rsidR="00EE0705" w:rsidRPr="00EE0705" w:rsidRDefault="00EE0705" w:rsidP="00676121">
      <w:pPr>
        <w:rPr>
          <w:rtl/>
          <w:lang w:bidi="ar-SY"/>
        </w:rPr>
      </w:pPr>
      <w:r w:rsidRPr="00EE0705">
        <w:rPr>
          <w:lang w:bidi="ar-SY"/>
        </w:rPr>
        <w:t>2.1</w:t>
      </w:r>
      <w:r w:rsidRPr="00EE0705">
        <w:rPr>
          <w:rtl/>
          <w:lang w:bidi="ar-SY"/>
        </w:rPr>
        <w:tab/>
      </w:r>
      <w:r w:rsidRPr="00EE0705">
        <w:rPr>
          <w:rFonts w:hint="cs"/>
          <w:rtl/>
          <w:lang w:bidi="ar-SY"/>
        </w:rPr>
        <w:t xml:space="preserve">وفيما يتعلق بالمقترحات الواردة في الفقرة </w:t>
      </w:r>
      <w:r w:rsidRPr="00EE0705">
        <w:rPr>
          <w:lang w:bidi="ar-SY"/>
        </w:rPr>
        <w:t>7</w:t>
      </w:r>
      <w:r w:rsidRPr="00EE0705">
        <w:rPr>
          <w:rFonts w:hint="cs"/>
          <w:rtl/>
          <w:lang w:bidi="ar-SY"/>
        </w:rPr>
        <w:t xml:space="preserve"> من الوثيقة، التي كان </w:t>
      </w:r>
      <w:r w:rsidR="00A8245B">
        <w:rPr>
          <w:rFonts w:hint="cs"/>
          <w:rtl/>
          <w:lang w:bidi="ar-SY"/>
        </w:rPr>
        <w:t>ي</w:t>
      </w:r>
      <w:r w:rsidR="008E33AA">
        <w:rPr>
          <w:rFonts w:hint="cs"/>
          <w:rtl/>
          <w:lang w:bidi="ar-SY"/>
        </w:rPr>
        <w:t>ُ</w:t>
      </w:r>
      <w:r w:rsidR="00A8245B">
        <w:rPr>
          <w:rFonts w:hint="cs"/>
          <w:rtl/>
          <w:lang w:bidi="ar-SY"/>
        </w:rPr>
        <w:t xml:space="preserve">قصد منها </w:t>
      </w:r>
      <w:r w:rsidRPr="00EE0705">
        <w:rPr>
          <w:rFonts w:hint="cs"/>
          <w:rtl/>
          <w:lang w:bidi="ar-SY"/>
        </w:rPr>
        <w:t>أن تؤدي في نهاية المطاف إلى مراج</w:t>
      </w:r>
      <w:r w:rsidR="008E33AA">
        <w:rPr>
          <w:rFonts w:hint="cs"/>
          <w:rtl/>
          <w:lang w:bidi="ar-SY"/>
        </w:rPr>
        <w:t>َ</w:t>
      </w:r>
      <w:r w:rsidRPr="00EE0705">
        <w:rPr>
          <w:rFonts w:hint="cs"/>
          <w:rtl/>
          <w:lang w:bidi="ar-SY"/>
        </w:rPr>
        <w:t>عة القرار</w:t>
      </w:r>
      <w:r w:rsidR="008E33AA">
        <w:rPr>
          <w:rFonts w:hint="eastAsia"/>
          <w:rtl/>
          <w:lang w:bidi="ar-SY"/>
        </w:rPr>
        <w:t> </w:t>
      </w:r>
      <w:r w:rsidRPr="00EE0705">
        <w:rPr>
          <w:lang w:bidi="ar-SY"/>
        </w:rPr>
        <w:t>11</w:t>
      </w:r>
      <w:r w:rsidR="008E33AA">
        <w:rPr>
          <w:rFonts w:hint="eastAsia"/>
          <w:rtl/>
          <w:lang w:bidi="ar-SY"/>
        </w:rPr>
        <w:t> </w:t>
      </w:r>
      <w:r w:rsidRPr="00EE0705">
        <w:rPr>
          <w:rFonts w:hint="cs"/>
          <w:rtl/>
          <w:lang w:bidi="ar-SY"/>
        </w:rPr>
        <w:t>(المراج</w:t>
      </w:r>
      <w:r w:rsidR="008E33AA">
        <w:rPr>
          <w:rFonts w:hint="cs"/>
          <w:rtl/>
          <w:lang w:bidi="ar-SY"/>
        </w:rPr>
        <w:t>َ</w:t>
      </w:r>
      <w:r w:rsidRPr="00EE0705">
        <w:rPr>
          <w:rFonts w:hint="cs"/>
          <w:rtl/>
          <w:lang w:bidi="ar-SY"/>
        </w:rPr>
        <w:t xml:space="preserve">ع في بوسان، </w:t>
      </w:r>
      <w:r w:rsidRPr="00EE0705">
        <w:rPr>
          <w:lang w:bidi="ar-SY"/>
        </w:rPr>
        <w:t>2014</w:t>
      </w:r>
      <w:proofErr w:type="gramStart"/>
      <w:r w:rsidRPr="00EE0705">
        <w:rPr>
          <w:rFonts w:hint="cs"/>
          <w:rtl/>
          <w:lang w:bidi="ar-SY"/>
        </w:rPr>
        <w:t>)،</w:t>
      </w:r>
      <w:proofErr w:type="gramEnd"/>
      <w:r w:rsidRPr="00EE0705">
        <w:rPr>
          <w:rFonts w:hint="cs"/>
          <w:rtl/>
          <w:lang w:bidi="ar-SY"/>
        </w:rPr>
        <w:t xml:space="preserve"> أكد </w:t>
      </w:r>
      <w:r w:rsidR="00A8245B">
        <w:rPr>
          <w:rFonts w:hint="cs"/>
          <w:rtl/>
          <w:lang w:bidi="ar-SY"/>
        </w:rPr>
        <w:t>العديد</w:t>
      </w:r>
      <w:r w:rsidRPr="00EE0705">
        <w:rPr>
          <w:rFonts w:hint="cs"/>
          <w:rtl/>
          <w:lang w:bidi="ar-SY"/>
        </w:rPr>
        <w:t xml:space="preserve"> من أعضاء المجلس أن هذه المراج</w:t>
      </w:r>
      <w:r w:rsidR="008E33AA">
        <w:rPr>
          <w:rFonts w:hint="cs"/>
          <w:rtl/>
          <w:lang w:bidi="ar-SY"/>
        </w:rPr>
        <w:t>َ</w:t>
      </w:r>
      <w:r w:rsidRPr="00EE0705">
        <w:rPr>
          <w:rFonts w:hint="cs"/>
          <w:rtl/>
          <w:lang w:bidi="ar-SY"/>
        </w:rPr>
        <w:t xml:space="preserve">عة لا يمكن </w:t>
      </w:r>
      <w:r w:rsidR="00A8245B">
        <w:rPr>
          <w:rFonts w:hint="cs"/>
          <w:rtl/>
          <w:lang w:bidi="ar-SY"/>
        </w:rPr>
        <w:t>أن ي</w:t>
      </w:r>
      <w:r w:rsidRPr="00EE0705">
        <w:rPr>
          <w:rFonts w:hint="cs"/>
          <w:rtl/>
          <w:lang w:bidi="ar-SY"/>
        </w:rPr>
        <w:t>ضطل</w:t>
      </w:r>
      <w:r w:rsidR="00A8245B">
        <w:rPr>
          <w:rFonts w:hint="cs"/>
          <w:rtl/>
          <w:lang w:bidi="ar-SY"/>
        </w:rPr>
        <w:t>ع بها إلا</w:t>
      </w:r>
      <w:r w:rsidRPr="00EE0705">
        <w:rPr>
          <w:rFonts w:hint="cs"/>
          <w:rtl/>
          <w:lang w:bidi="ar-SY"/>
        </w:rPr>
        <w:t xml:space="preserve"> مؤتمر المندوبين المفوضين. وأُعرب عن تأييد واسعٍ لجهود الأمانة لزيادة مشاركة الشركات الصغيرة والمتوسطة في أحداث تليكوم العالمي للاتحاد. وأُشير إلى أنه ينبغي أن تقدم الدول الأعضاء الدعم للشركات الصغيرة والمتوسطة في حضورها لهذه الأحداث. ورأى </w:t>
      </w:r>
      <w:r w:rsidR="00A8245B">
        <w:rPr>
          <w:rFonts w:hint="cs"/>
          <w:rtl/>
          <w:lang w:bidi="ar-SY"/>
        </w:rPr>
        <w:t>ال</w:t>
      </w:r>
      <w:r w:rsidRPr="00EE0705">
        <w:rPr>
          <w:rFonts w:hint="cs"/>
          <w:rtl/>
          <w:lang w:bidi="ar-SY"/>
        </w:rPr>
        <w:t>عد</w:t>
      </w:r>
      <w:r w:rsidR="00A8245B">
        <w:rPr>
          <w:rFonts w:hint="cs"/>
          <w:rtl/>
          <w:lang w:bidi="ar-SY"/>
        </w:rPr>
        <w:t>ي</w:t>
      </w:r>
      <w:r w:rsidRPr="00EE0705">
        <w:rPr>
          <w:rFonts w:hint="cs"/>
          <w:rtl/>
          <w:lang w:bidi="ar-SY"/>
        </w:rPr>
        <w:t xml:space="preserve">د من أعضاء المجلس أنه ينبغي بحث مسألة كيفية جذب الشركات الكبيرة لهذه الأحداث. ولزيادة شعبية هذا الحدث، ينبغي إعادة تصميم شكله لجعله أكثر جاذبية للقطاع الخاص وقطاع الصناعة. وبالنسبة لتغيير اسم الحدث، رغم أنه </w:t>
      </w:r>
      <w:r w:rsidR="00A8245B">
        <w:rPr>
          <w:rFonts w:hint="cs"/>
          <w:rtl/>
          <w:lang w:bidi="ar-SY"/>
        </w:rPr>
        <w:t xml:space="preserve">مقترح لقي </w:t>
      </w:r>
      <w:r w:rsidRPr="00EE0705">
        <w:rPr>
          <w:rFonts w:hint="cs"/>
          <w:rtl/>
          <w:lang w:bidi="ar-SY"/>
        </w:rPr>
        <w:t>ترحيباً كبيراً</w:t>
      </w:r>
      <w:r w:rsidR="00A8245B">
        <w:rPr>
          <w:rFonts w:hint="cs"/>
          <w:rtl/>
          <w:lang w:bidi="ar-SY"/>
        </w:rPr>
        <w:t>، فإنه</w:t>
      </w:r>
      <w:r w:rsidRPr="00EE0705">
        <w:rPr>
          <w:rFonts w:hint="cs"/>
          <w:rtl/>
          <w:lang w:bidi="ar-SY"/>
        </w:rPr>
        <w:t xml:space="preserve"> </w:t>
      </w:r>
      <w:r w:rsidR="00A8245B">
        <w:rPr>
          <w:rFonts w:hint="cs"/>
          <w:rtl/>
          <w:lang w:bidi="ar-SY"/>
        </w:rPr>
        <w:t>ي</w:t>
      </w:r>
      <w:r w:rsidRPr="00EE0705">
        <w:rPr>
          <w:rFonts w:hint="cs"/>
          <w:rtl/>
          <w:lang w:bidi="ar-SY"/>
        </w:rPr>
        <w:t>حتاج إلى تفكير متأنٍّ. وأُعرب عن التأييد لتحديد الفرص المتاحة لإقامة أنشطة الاتحاد واجتماعاته الأخرى وغيرها من الأحداث تحت مظلة تليكوم الاتحاد.</w:t>
      </w:r>
      <w:r w:rsidR="00A8245B">
        <w:rPr>
          <w:rFonts w:hint="cs"/>
          <w:rtl/>
          <w:lang w:bidi="ar-SY"/>
        </w:rPr>
        <w:t xml:space="preserve"> </w:t>
      </w:r>
      <w:r w:rsidRPr="00EE0705">
        <w:rPr>
          <w:rFonts w:hint="cs"/>
          <w:rtl/>
          <w:lang w:bidi="ar-SY"/>
        </w:rPr>
        <w:t xml:space="preserve">وفيما يتعلق باقتراح وقف الدور الاستشاري للجنة تليكوم الاتحاد، طُلب تقديم مزيدٍ من المعلومات حول أسباب خمول اللجنة منذ عام </w:t>
      </w:r>
      <w:r w:rsidRPr="00EE0705">
        <w:rPr>
          <w:lang w:bidi="ar-SY"/>
        </w:rPr>
        <w:t>2015</w:t>
      </w:r>
      <w:r w:rsidRPr="00EE0705">
        <w:rPr>
          <w:rFonts w:hint="cs"/>
          <w:rtl/>
          <w:lang w:bidi="ar-SY"/>
        </w:rPr>
        <w:t>. وقد أُقر بالعوائق المالية والتشغيلية التي يواج</w:t>
      </w:r>
      <w:r w:rsidR="00A8245B">
        <w:rPr>
          <w:rFonts w:hint="cs"/>
          <w:rtl/>
          <w:lang w:bidi="ar-SY"/>
        </w:rPr>
        <w:t>ه</w:t>
      </w:r>
      <w:r w:rsidRPr="00EE0705">
        <w:rPr>
          <w:rFonts w:hint="cs"/>
          <w:rtl/>
          <w:lang w:bidi="ar-SY"/>
        </w:rPr>
        <w:t xml:space="preserve">ها الاتحاد في تنظيم أحداث تليكوم العالمي للاتحاد في بلد ومكان مختلفين كل عام، ووافق </w:t>
      </w:r>
      <w:r w:rsidR="00A8245B">
        <w:rPr>
          <w:rFonts w:hint="cs"/>
          <w:rtl/>
          <w:lang w:bidi="ar-SY"/>
        </w:rPr>
        <w:t>ال</w:t>
      </w:r>
      <w:r w:rsidRPr="00EE0705">
        <w:rPr>
          <w:rFonts w:hint="cs"/>
          <w:rtl/>
          <w:lang w:bidi="ar-SY"/>
        </w:rPr>
        <w:t>عد</w:t>
      </w:r>
      <w:r w:rsidR="00A8245B">
        <w:rPr>
          <w:rFonts w:hint="cs"/>
          <w:rtl/>
          <w:lang w:bidi="ar-SY"/>
        </w:rPr>
        <w:t>ي</w:t>
      </w:r>
      <w:r w:rsidRPr="00EE0705">
        <w:rPr>
          <w:rFonts w:hint="cs"/>
          <w:rtl/>
          <w:lang w:bidi="ar-SY"/>
        </w:rPr>
        <w:t>د من أعضاء المجلس على أنه ينبغي أن يُمنح الاتحاد المرونة الكافية للنظر في</w:t>
      </w:r>
      <w:r w:rsidR="00676121">
        <w:rPr>
          <w:rFonts w:hint="eastAsia"/>
          <w:rtl/>
          <w:lang w:bidi="ar-SY"/>
        </w:rPr>
        <w:t> </w:t>
      </w:r>
      <w:r w:rsidRPr="00EE0705">
        <w:rPr>
          <w:rFonts w:hint="cs"/>
          <w:rtl/>
          <w:lang w:bidi="ar-SY"/>
        </w:rPr>
        <w:t xml:space="preserve">أي عروض من الدول الأعضاء لاستضافة الحدث لعدد من السنوات المتتالية. ويقضي القرار </w:t>
      </w:r>
      <w:r w:rsidRPr="00EE0705">
        <w:rPr>
          <w:lang w:bidi="ar-SY"/>
        </w:rPr>
        <w:t>11</w:t>
      </w:r>
      <w:r w:rsidRPr="00EE0705">
        <w:rPr>
          <w:rFonts w:hint="cs"/>
          <w:rtl/>
          <w:lang w:bidi="ar-SY"/>
        </w:rPr>
        <w:t xml:space="preserve"> (المراج</w:t>
      </w:r>
      <w:r w:rsidR="008E33AA">
        <w:rPr>
          <w:rFonts w:hint="cs"/>
          <w:rtl/>
          <w:lang w:bidi="ar-SY"/>
        </w:rPr>
        <w:t>َ</w:t>
      </w:r>
      <w:r w:rsidRPr="00EE0705">
        <w:rPr>
          <w:rFonts w:hint="cs"/>
          <w:rtl/>
          <w:lang w:bidi="ar-SY"/>
        </w:rPr>
        <w:t xml:space="preserve">ع في بوسان، </w:t>
      </w:r>
      <w:r w:rsidRPr="00EE0705">
        <w:rPr>
          <w:lang w:bidi="ar-SY"/>
        </w:rPr>
        <w:t>2014</w:t>
      </w:r>
      <w:r w:rsidRPr="00EE0705">
        <w:rPr>
          <w:rFonts w:hint="cs"/>
          <w:rtl/>
          <w:lang w:bidi="ar-SY"/>
        </w:rPr>
        <w:t xml:space="preserve">) أصلاً بأنه من الممكن عقد هذا الحدث سنوياً. واقترح أحد أعضاء المجلس أن يعقد هذا الحدث في نفس الوقت من كل عام، بالتناوب بين المناطق. ولكن أعضاء </w:t>
      </w:r>
      <w:r w:rsidR="00A8245B">
        <w:rPr>
          <w:rFonts w:hint="cs"/>
          <w:rtl/>
          <w:lang w:bidi="ar-SY"/>
        </w:rPr>
        <w:t>آخرين</w:t>
      </w:r>
      <w:r w:rsidRPr="00EE0705">
        <w:rPr>
          <w:rFonts w:hint="cs"/>
          <w:rtl/>
          <w:lang w:bidi="ar-SY"/>
        </w:rPr>
        <w:t>، أعربوا عن ترددهم بشأن تغيير تواتر الحدث و</w:t>
      </w:r>
      <w:r w:rsidR="00A8245B">
        <w:rPr>
          <w:rFonts w:hint="cs"/>
          <w:rtl/>
          <w:lang w:bidi="ar-SY"/>
        </w:rPr>
        <w:t xml:space="preserve">عقده بالتناوب </w:t>
      </w:r>
      <w:r w:rsidRPr="00EE0705">
        <w:rPr>
          <w:rFonts w:hint="cs"/>
          <w:rtl/>
          <w:lang w:bidi="ar-SY"/>
        </w:rPr>
        <w:t xml:space="preserve">مؤكدين على حساسية المسألة. ومن الأمور الحيوية لعملية تقديم العروض أن تكون مفتوحة وشفافة ومن الحيوي أيضاً بالنسبة للمقترحات أن تُستعرض على أساس مؤشرات محددة، مع مراعاة المصالح الفضلى للاتحاد. </w:t>
      </w:r>
      <w:r w:rsidR="00A8245B">
        <w:rPr>
          <w:rFonts w:hint="cs"/>
          <w:rtl/>
          <w:lang w:bidi="ar-SY"/>
        </w:rPr>
        <w:t xml:space="preserve">كما أن </w:t>
      </w:r>
      <w:r w:rsidRPr="00EE0705">
        <w:rPr>
          <w:rFonts w:hint="cs"/>
          <w:rtl/>
          <w:lang w:bidi="ar-SY"/>
        </w:rPr>
        <w:t>ميزانية متوازنة مسألة ذات أولوية</w:t>
      </w:r>
      <w:r w:rsidR="00A8245B">
        <w:rPr>
          <w:rFonts w:hint="cs"/>
          <w:rtl/>
          <w:lang w:bidi="ar-SY"/>
        </w:rPr>
        <w:t xml:space="preserve"> لاستمرارية </w:t>
      </w:r>
      <w:r w:rsidR="00A8245B" w:rsidRPr="00EE0705">
        <w:rPr>
          <w:rFonts w:hint="cs"/>
          <w:rtl/>
          <w:lang w:bidi="ar-SY"/>
        </w:rPr>
        <w:t>هذا الحدث</w:t>
      </w:r>
      <w:r w:rsidRPr="00EE0705">
        <w:rPr>
          <w:rFonts w:hint="cs"/>
          <w:rtl/>
          <w:lang w:bidi="ar-SY"/>
        </w:rPr>
        <w:t>.</w:t>
      </w:r>
    </w:p>
    <w:p w:rsidR="00EE0705" w:rsidRPr="00EE0705" w:rsidRDefault="00EE0705" w:rsidP="00676121">
      <w:pPr>
        <w:rPr>
          <w:rtl/>
          <w:lang w:bidi="ar-SY"/>
        </w:rPr>
      </w:pPr>
      <w:r w:rsidRPr="00EE0705">
        <w:rPr>
          <w:lang w:val="fr-CH" w:bidi="ar-SY"/>
        </w:rPr>
        <w:t>3.1</w:t>
      </w:r>
      <w:r w:rsidR="00A8245B">
        <w:rPr>
          <w:rtl/>
          <w:lang w:bidi="ar-EG"/>
        </w:rPr>
        <w:tab/>
      </w:r>
      <w:r w:rsidR="00A8245B">
        <w:rPr>
          <w:rFonts w:hint="cs"/>
          <w:rtl/>
          <w:lang w:bidi="ar-EG"/>
        </w:rPr>
        <w:t xml:space="preserve">وأوضح </w:t>
      </w:r>
      <w:r w:rsidRPr="00EE0705">
        <w:rPr>
          <w:rFonts w:hint="cs"/>
          <w:rtl/>
          <w:lang w:bidi="ar-EG"/>
        </w:rPr>
        <w:t xml:space="preserve">المدير التنفيذي لتليكوم الاتحاد </w:t>
      </w:r>
      <w:r w:rsidRPr="00EE0705">
        <w:rPr>
          <w:rFonts w:hint="cs"/>
          <w:rtl/>
          <w:lang w:bidi="ar-SY"/>
        </w:rPr>
        <w:t xml:space="preserve">التدابير القائمة أصلاً </w:t>
      </w:r>
      <w:r w:rsidR="00A8245B">
        <w:rPr>
          <w:rFonts w:hint="cs"/>
          <w:rtl/>
          <w:lang w:bidi="ar-SY"/>
        </w:rPr>
        <w:t xml:space="preserve">التي </w:t>
      </w:r>
      <w:r w:rsidRPr="00EE0705">
        <w:rPr>
          <w:rFonts w:hint="cs"/>
          <w:rtl/>
          <w:lang w:bidi="ar-SY"/>
        </w:rPr>
        <w:t>تكفل أن تبقى عملية تقديم العروض لاستضافة أحداث تليكوم العالمي للاتحاد نزيهة وشفافة،</w:t>
      </w:r>
      <w:r w:rsidRPr="00EE0705">
        <w:rPr>
          <w:rFonts w:hint="cs"/>
          <w:rtl/>
          <w:lang w:bidi="ar-EG"/>
        </w:rPr>
        <w:t xml:space="preserve"> مؤكداً أن أي مراج</w:t>
      </w:r>
      <w:r w:rsidR="008E33AA">
        <w:rPr>
          <w:rFonts w:hint="cs"/>
          <w:rtl/>
          <w:lang w:bidi="ar-EG"/>
        </w:rPr>
        <w:t>َ</w:t>
      </w:r>
      <w:r w:rsidRPr="00EE0705">
        <w:rPr>
          <w:rFonts w:hint="cs"/>
          <w:rtl/>
          <w:lang w:bidi="ar-EG"/>
        </w:rPr>
        <w:t xml:space="preserve">عة للقرار </w:t>
      </w:r>
      <w:r w:rsidRPr="00EE0705">
        <w:rPr>
          <w:lang w:bidi="ar-SY"/>
        </w:rPr>
        <w:t>11</w:t>
      </w:r>
      <w:r w:rsidRPr="00EE0705">
        <w:rPr>
          <w:rFonts w:hint="cs"/>
          <w:rtl/>
          <w:lang w:bidi="ar-SY"/>
        </w:rPr>
        <w:t xml:space="preserve"> ستناقش بقدر </w:t>
      </w:r>
      <w:r w:rsidR="00A8245B">
        <w:rPr>
          <w:rFonts w:hint="cs"/>
          <w:rtl/>
          <w:lang w:bidi="ar-SY"/>
        </w:rPr>
        <w:t xml:space="preserve">أوفى </w:t>
      </w:r>
      <w:r w:rsidRPr="00EE0705">
        <w:rPr>
          <w:rFonts w:hint="cs"/>
          <w:rtl/>
          <w:lang w:bidi="ar-SY"/>
        </w:rPr>
        <w:t xml:space="preserve">في مؤتمر المندوبين المفوضين </w:t>
      </w:r>
      <w:r w:rsidR="00A8245B">
        <w:rPr>
          <w:rFonts w:hint="cs"/>
          <w:rtl/>
          <w:lang w:bidi="ar-SY"/>
        </w:rPr>
        <w:t>ل</w:t>
      </w:r>
      <w:r w:rsidRPr="00EE0705">
        <w:rPr>
          <w:rFonts w:hint="cs"/>
          <w:rtl/>
          <w:lang w:bidi="ar-SY"/>
        </w:rPr>
        <w:t>عام</w:t>
      </w:r>
      <w:r w:rsidR="00A8245B">
        <w:rPr>
          <w:rFonts w:hint="eastAsia"/>
          <w:rtl/>
          <w:lang w:bidi="ar-SY"/>
        </w:rPr>
        <w:t> </w:t>
      </w:r>
      <w:r w:rsidRPr="00EE0705">
        <w:rPr>
          <w:lang w:bidi="ar-SY"/>
        </w:rPr>
        <w:t>2018</w:t>
      </w:r>
      <w:r w:rsidRPr="00EE0705">
        <w:rPr>
          <w:rFonts w:hint="cs"/>
          <w:rtl/>
          <w:lang w:bidi="ar-SY"/>
        </w:rPr>
        <w:t>. ورغم خمول لجنة تليكوم الاتحاد، فقد عُقدت اجتماعات تشاور بين الأمين العام والدول الأعضاء منذ عام</w:t>
      </w:r>
      <w:r w:rsidR="00676121">
        <w:rPr>
          <w:rFonts w:hint="eastAsia"/>
          <w:rtl/>
          <w:lang w:bidi="ar-SY"/>
        </w:rPr>
        <w:t> </w:t>
      </w:r>
      <w:r w:rsidRPr="00EE0705">
        <w:rPr>
          <w:lang w:bidi="ar-SY"/>
        </w:rPr>
        <w:t>2016</w:t>
      </w:r>
      <w:r w:rsidRPr="00EE0705">
        <w:rPr>
          <w:rFonts w:hint="cs"/>
          <w:rtl/>
          <w:lang w:bidi="ar-SY"/>
        </w:rPr>
        <w:t xml:space="preserve"> قبل بدء كل حدث من أحداث تليكوم الاتحاد. ومنذ عام </w:t>
      </w:r>
      <w:r w:rsidRPr="00EE0705">
        <w:rPr>
          <w:lang w:bidi="ar-SY"/>
        </w:rPr>
        <w:t>2015</w:t>
      </w:r>
      <w:r w:rsidRPr="00EE0705">
        <w:rPr>
          <w:rFonts w:hint="cs"/>
          <w:rtl/>
          <w:lang w:bidi="ar-SY"/>
        </w:rPr>
        <w:t xml:space="preserve">، بُذلت جهود لتوفير منتجات رعاية أرخص للشركات الصغيرة والمتوسطة، وتزويدها بوسائل أخرى لتخفيف العبء المالي المترتب </w:t>
      </w:r>
      <w:r w:rsidR="00A8245B">
        <w:rPr>
          <w:rFonts w:hint="cs"/>
          <w:rtl/>
          <w:lang w:bidi="ar-SY"/>
        </w:rPr>
        <w:t>على</w:t>
      </w:r>
      <w:r w:rsidRPr="00EE0705">
        <w:rPr>
          <w:rFonts w:hint="cs"/>
          <w:rtl/>
          <w:lang w:bidi="ar-SY"/>
        </w:rPr>
        <w:t xml:space="preserve"> المشاركة في الأحداث ولجذب الشركات الكبيرة، التي أكد بالفعل عدد كبير منها حضوره في الحدث في </w:t>
      </w:r>
      <w:r w:rsidRPr="00EE0705">
        <w:rPr>
          <w:lang w:bidi="ar-SY"/>
        </w:rPr>
        <w:t>2018</w:t>
      </w:r>
      <w:r w:rsidRPr="00EE0705">
        <w:rPr>
          <w:rFonts w:hint="cs"/>
          <w:rtl/>
          <w:lang w:bidi="ar-SY"/>
        </w:rPr>
        <w:t>.</w:t>
      </w:r>
    </w:p>
    <w:p w:rsidR="00EE0705" w:rsidRPr="00EE0705" w:rsidRDefault="00EE0705" w:rsidP="001E086D">
      <w:pPr>
        <w:rPr>
          <w:rtl/>
          <w:lang w:bidi="ar-SY"/>
        </w:rPr>
      </w:pPr>
      <w:r w:rsidRPr="00EE0705">
        <w:rPr>
          <w:lang w:val="fr-CH" w:bidi="ar-SY"/>
        </w:rPr>
        <w:t>4.1</w:t>
      </w:r>
      <w:r w:rsidR="00A8245B">
        <w:rPr>
          <w:rtl/>
          <w:lang w:bidi="ar-EG"/>
        </w:rPr>
        <w:tab/>
      </w:r>
      <w:r w:rsidRPr="00EE0705">
        <w:rPr>
          <w:rFonts w:hint="cs"/>
          <w:rtl/>
          <w:lang w:bidi="ar-EG"/>
        </w:rPr>
        <w:t xml:space="preserve">وأوضح الأمين العام أنه منذ أن بلغ حدث تليكوم العالمي للاتحاد ذروته عام </w:t>
      </w:r>
      <w:r w:rsidRPr="00EE0705">
        <w:rPr>
          <w:lang w:bidi="ar-SY"/>
        </w:rPr>
        <w:t>1999</w:t>
      </w:r>
      <w:r w:rsidRPr="00EE0705">
        <w:rPr>
          <w:rFonts w:hint="cs"/>
          <w:rtl/>
          <w:lang w:bidi="ar-SY"/>
        </w:rPr>
        <w:t xml:space="preserve">، أصبح من الصعب على نحو متزايد تشجيع مشاركة </w:t>
      </w:r>
      <w:r w:rsidR="00A8245B">
        <w:rPr>
          <w:rFonts w:hint="cs"/>
          <w:rtl/>
          <w:lang w:bidi="ar-SY"/>
        </w:rPr>
        <w:t>أوساط</w:t>
      </w:r>
      <w:r w:rsidRPr="00EE0705">
        <w:rPr>
          <w:rFonts w:hint="cs"/>
          <w:rtl/>
          <w:lang w:bidi="ar-SY"/>
        </w:rPr>
        <w:t xml:space="preserve"> الصناعة. فبالإضافة إلى أن </w:t>
      </w:r>
      <w:r w:rsidR="00A8245B">
        <w:rPr>
          <w:rFonts w:hint="cs"/>
          <w:rtl/>
          <w:lang w:bidi="ar-SY"/>
        </w:rPr>
        <w:t xml:space="preserve">أوساط </w:t>
      </w:r>
      <w:r w:rsidRPr="00EE0705">
        <w:rPr>
          <w:rFonts w:hint="cs"/>
          <w:rtl/>
          <w:lang w:bidi="ar-SY"/>
        </w:rPr>
        <w:t xml:space="preserve">الصناعة </w:t>
      </w:r>
      <w:r w:rsidR="00A8245B">
        <w:rPr>
          <w:rFonts w:hint="cs"/>
          <w:rtl/>
          <w:lang w:bidi="ar-SY"/>
        </w:rPr>
        <w:t xml:space="preserve">تواجه </w:t>
      </w:r>
      <w:r w:rsidRPr="00EE0705">
        <w:rPr>
          <w:rFonts w:hint="cs"/>
          <w:rtl/>
          <w:lang w:bidi="ar-SY"/>
        </w:rPr>
        <w:t>تحديات اقتصادية فإنه</w:t>
      </w:r>
      <w:r w:rsidR="00A8245B">
        <w:rPr>
          <w:rFonts w:hint="cs"/>
          <w:rtl/>
          <w:lang w:bidi="ar-SY"/>
        </w:rPr>
        <w:t>ا</w:t>
      </w:r>
      <w:r w:rsidRPr="00EE0705">
        <w:rPr>
          <w:rFonts w:hint="cs"/>
          <w:rtl/>
          <w:lang w:bidi="ar-SY"/>
        </w:rPr>
        <w:t xml:space="preserve"> قد نظم</w:t>
      </w:r>
      <w:r w:rsidR="00A8245B">
        <w:rPr>
          <w:rFonts w:hint="cs"/>
          <w:rtl/>
          <w:lang w:bidi="ar-SY"/>
        </w:rPr>
        <w:t>ت</w:t>
      </w:r>
      <w:r w:rsidRPr="00EE0705">
        <w:rPr>
          <w:rFonts w:hint="cs"/>
          <w:rtl/>
          <w:lang w:bidi="ar-SY"/>
        </w:rPr>
        <w:t xml:space="preserve"> فعاليات </w:t>
      </w:r>
      <w:r w:rsidR="00A8245B">
        <w:rPr>
          <w:rFonts w:hint="cs"/>
          <w:rtl/>
          <w:lang w:bidi="ar-SY"/>
        </w:rPr>
        <w:t>منافسة</w:t>
      </w:r>
      <w:r w:rsidRPr="00EE0705">
        <w:rPr>
          <w:rFonts w:hint="cs"/>
          <w:rtl/>
          <w:lang w:bidi="ar-SY"/>
        </w:rPr>
        <w:t>، لا</w:t>
      </w:r>
      <w:r w:rsidR="001E086D">
        <w:rPr>
          <w:rFonts w:hint="eastAsia"/>
          <w:rtl/>
          <w:lang w:bidi="ar-SY"/>
        </w:rPr>
        <w:t> </w:t>
      </w:r>
      <w:r w:rsidRPr="00EE0705">
        <w:rPr>
          <w:rFonts w:hint="cs"/>
          <w:rtl/>
          <w:lang w:bidi="ar-SY"/>
        </w:rPr>
        <w:t>سيما المؤتمر العا</w:t>
      </w:r>
      <w:r w:rsidR="00A8245B">
        <w:rPr>
          <w:rFonts w:hint="cs"/>
          <w:rtl/>
          <w:lang w:bidi="ar-SY"/>
        </w:rPr>
        <w:t>لمي للاتصالات المتنقلة. ولم يبد</w:t>
      </w:r>
      <w:r w:rsidR="005A083F">
        <w:rPr>
          <w:rFonts w:hint="cs"/>
          <w:rtl/>
          <w:lang w:bidi="ar-SY"/>
        </w:rPr>
        <w:t>ِ</w:t>
      </w:r>
      <w:r w:rsidRPr="00EE0705">
        <w:rPr>
          <w:rFonts w:hint="cs"/>
          <w:rtl/>
          <w:lang w:bidi="ar-SY"/>
        </w:rPr>
        <w:t xml:space="preserve"> مشغلو </w:t>
      </w:r>
      <w:r w:rsidR="005A083F">
        <w:rPr>
          <w:rFonts w:hint="cs"/>
          <w:rtl/>
          <w:lang w:bidi="ar-SY"/>
        </w:rPr>
        <w:t xml:space="preserve">ومصنعو </w:t>
      </w:r>
      <w:r w:rsidRPr="00EE0705">
        <w:rPr>
          <w:rFonts w:hint="cs"/>
          <w:rtl/>
          <w:lang w:bidi="ar-SY"/>
        </w:rPr>
        <w:t xml:space="preserve">الهواتف المتنقلة الذين </w:t>
      </w:r>
      <w:r w:rsidR="005A083F">
        <w:rPr>
          <w:rFonts w:hint="cs"/>
          <w:rtl/>
          <w:lang w:bidi="ar-SY"/>
        </w:rPr>
        <w:t xml:space="preserve">يمثلون </w:t>
      </w:r>
      <w:r w:rsidRPr="00EE0705">
        <w:rPr>
          <w:rFonts w:hint="cs"/>
          <w:rtl/>
          <w:lang w:bidi="ar-SY"/>
        </w:rPr>
        <w:t xml:space="preserve">الجزء الأكبر من أعضاء لجنة تليكوم الاتحاد إلا قليلاً من الاهتمام </w:t>
      </w:r>
      <w:r w:rsidR="005A083F">
        <w:rPr>
          <w:rFonts w:hint="cs"/>
          <w:rtl/>
          <w:lang w:bidi="ar-SY"/>
        </w:rPr>
        <w:t>ب</w:t>
      </w:r>
      <w:r w:rsidRPr="00EE0705">
        <w:rPr>
          <w:rFonts w:hint="cs"/>
          <w:rtl/>
          <w:lang w:bidi="ar-SY"/>
        </w:rPr>
        <w:t xml:space="preserve">هذا الحدث منذ عام </w:t>
      </w:r>
      <w:r w:rsidRPr="00EE0705">
        <w:rPr>
          <w:lang w:bidi="ar-SY"/>
        </w:rPr>
        <w:t>2009</w:t>
      </w:r>
      <w:r w:rsidRPr="00EE0705">
        <w:rPr>
          <w:rFonts w:hint="cs"/>
          <w:rtl/>
          <w:lang w:bidi="ar-SY"/>
        </w:rPr>
        <w:t xml:space="preserve"> ولم يلبوا الدعوات لحضور اجتماعات اللجنة رغم أن رئيس اللجنة ظل متعاوناً للغاية</w:t>
      </w:r>
      <w:r w:rsidR="005A083F">
        <w:rPr>
          <w:rFonts w:hint="cs"/>
          <w:rtl/>
          <w:lang w:bidi="ar-SY"/>
        </w:rPr>
        <w:t>. وعندما تولى الأمين العام مهام منصبه</w:t>
      </w:r>
      <w:r w:rsidRPr="00EE0705">
        <w:rPr>
          <w:rFonts w:hint="cs"/>
          <w:rtl/>
          <w:lang w:bidi="ar-SY"/>
        </w:rPr>
        <w:t xml:space="preserve"> في عام </w:t>
      </w:r>
      <w:r w:rsidRPr="00EE0705">
        <w:rPr>
          <w:lang w:bidi="ar-SY"/>
        </w:rPr>
        <w:t>2015</w:t>
      </w:r>
      <w:r w:rsidRPr="00EE0705">
        <w:rPr>
          <w:rFonts w:hint="cs"/>
          <w:rtl/>
          <w:lang w:bidi="ar-SY"/>
        </w:rPr>
        <w:t xml:space="preserve">، قرر بالتالي وقف ممارسة استشارة اللجنة. وتحول تركيز أحداث تليكوم العالمي للاتحاد من المعارض التقنية الموجهة نحو المشغل إلى دعم الشركات الصغيرة والمتوسطة </w:t>
      </w:r>
      <w:r w:rsidR="005A083F">
        <w:rPr>
          <w:rFonts w:hint="cs"/>
          <w:rtl/>
          <w:lang w:bidi="ar-SY"/>
        </w:rPr>
        <w:t>العاملة في</w:t>
      </w:r>
      <w:r w:rsidR="005A083F">
        <w:rPr>
          <w:rFonts w:hint="eastAsia"/>
          <w:rtl/>
          <w:lang w:bidi="ar-SY"/>
        </w:rPr>
        <w:t> </w:t>
      </w:r>
      <w:r w:rsidR="005A083F">
        <w:rPr>
          <w:rFonts w:hint="cs"/>
          <w:rtl/>
          <w:lang w:bidi="ar-SY"/>
        </w:rPr>
        <w:t xml:space="preserve">مجال </w:t>
      </w:r>
      <w:r w:rsidR="005A083F" w:rsidRPr="00EE0705">
        <w:rPr>
          <w:rFonts w:hint="cs"/>
          <w:rtl/>
          <w:lang w:bidi="ar-SY"/>
        </w:rPr>
        <w:t>تكنولوجيا المعلومات والاتصالات</w:t>
      </w:r>
      <w:r w:rsidR="005A083F">
        <w:rPr>
          <w:rFonts w:hint="cs"/>
          <w:rtl/>
          <w:lang w:bidi="ar-SY"/>
        </w:rPr>
        <w:t>، الأمر</w:t>
      </w:r>
      <w:r w:rsidR="005A083F" w:rsidRPr="00EE0705">
        <w:rPr>
          <w:rFonts w:hint="cs"/>
          <w:rtl/>
          <w:lang w:bidi="ar-SY"/>
        </w:rPr>
        <w:t xml:space="preserve"> </w:t>
      </w:r>
      <w:r w:rsidRPr="00EE0705">
        <w:rPr>
          <w:rFonts w:hint="cs"/>
          <w:rtl/>
          <w:lang w:bidi="ar-SY"/>
        </w:rPr>
        <w:t>الذي من شأنه أن يجذب بدوره الشركات الكبيرة التي تسعى إلى بناء شراكات مع الشركات الأصغر منها. ويجب أن تكون المنصة جذابة للشركات الصغيرة والمتوسطة والإدارا</w:t>
      </w:r>
      <w:r w:rsidR="001E086D">
        <w:rPr>
          <w:rFonts w:hint="cs"/>
          <w:rtl/>
          <w:lang w:bidi="ar-SY"/>
        </w:rPr>
        <w:t>ت والشركات الكبيرة على حد سواء.</w:t>
      </w:r>
    </w:p>
    <w:p w:rsidR="00EE0705" w:rsidRPr="00EE0705" w:rsidRDefault="00EE0705" w:rsidP="005A083F">
      <w:pPr>
        <w:rPr>
          <w:rtl/>
          <w:lang w:bidi="ar-EG"/>
        </w:rPr>
      </w:pPr>
      <w:r w:rsidRPr="00EE0705">
        <w:rPr>
          <w:lang w:val="fr-CH" w:bidi="ar-SY"/>
        </w:rPr>
        <w:t>5.1</w:t>
      </w:r>
      <w:r w:rsidR="005A083F">
        <w:rPr>
          <w:rtl/>
          <w:lang w:bidi="ar-EG"/>
        </w:rPr>
        <w:tab/>
      </w:r>
      <w:r w:rsidRPr="00EE0705">
        <w:rPr>
          <w:rFonts w:hint="cs"/>
          <w:b/>
          <w:bCs/>
          <w:rtl/>
          <w:lang w:bidi="ar-EG"/>
        </w:rPr>
        <w:t>وأُحيط علماً</w:t>
      </w:r>
      <w:r w:rsidRPr="00EE0705">
        <w:rPr>
          <w:rFonts w:hint="cs"/>
          <w:rtl/>
          <w:lang w:bidi="ar-EG"/>
        </w:rPr>
        <w:t xml:space="preserve"> بالوثيقة </w:t>
      </w:r>
      <w:r w:rsidRPr="00EE0705">
        <w:rPr>
          <w:lang w:val="fr-CH" w:bidi="ar-SY"/>
        </w:rPr>
        <w:t>C18/19(Rev.1)</w:t>
      </w:r>
      <w:r w:rsidRPr="00EE0705">
        <w:rPr>
          <w:rFonts w:hint="cs"/>
          <w:rtl/>
          <w:lang w:bidi="ar-EG"/>
        </w:rPr>
        <w:t>.</w:t>
      </w:r>
      <w:bookmarkStart w:id="1" w:name="_GoBack"/>
      <w:bookmarkEnd w:id="1"/>
    </w:p>
    <w:p w:rsidR="00EE0705" w:rsidRPr="00EE0705" w:rsidRDefault="00EE0705" w:rsidP="00006671">
      <w:pPr>
        <w:pStyle w:val="Heading1"/>
        <w:rPr>
          <w:rtl/>
          <w:lang w:bidi="ar-SY"/>
        </w:rPr>
      </w:pPr>
      <w:r w:rsidRPr="00EE0705">
        <w:rPr>
          <w:lang w:val="fr-CH" w:bidi="ar-SY"/>
        </w:rPr>
        <w:lastRenderedPageBreak/>
        <w:t>2</w:t>
      </w:r>
      <w:r w:rsidRPr="00EE0705">
        <w:rPr>
          <w:rtl/>
          <w:lang w:bidi="ar-EG"/>
        </w:rPr>
        <w:tab/>
      </w:r>
      <w:r w:rsidRPr="00EE0705">
        <w:rPr>
          <w:rFonts w:hint="cs"/>
          <w:rtl/>
        </w:rPr>
        <w:t>تقريرا</w:t>
      </w:r>
      <w:r w:rsidR="005A083F">
        <w:rPr>
          <w:rFonts w:hint="cs"/>
          <w:rtl/>
        </w:rPr>
        <w:t>ن من</w:t>
      </w:r>
      <w:r w:rsidRPr="00EE0705">
        <w:rPr>
          <w:rFonts w:hint="cs"/>
          <w:rtl/>
        </w:rPr>
        <w:t xml:space="preserve"> رئيس فريق العمل التابع للمجلس </w:t>
      </w:r>
      <w:r w:rsidRPr="00EE0705">
        <w:rPr>
          <w:rFonts w:hint="cs"/>
          <w:rtl/>
          <w:lang w:bidi="ar-SY"/>
        </w:rPr>
        <w:t>والمعني باستخدام اللغات الرسمية الست للاتحاد</w:t>
      </w:r>
      <w:r w:rsidR="00006671">
        <w:rPr>
          <w:rFonts w:hint="eastAsia"/>
          <w:rtl/>
          <w:lang w:bidi="ar-SY"/>
        </w:rPr>
        <w:t> </w:t>
      </w:r>
      <w:r w:rsidRPr="00EE0705">
        <w:rPr>
          <w:lang w:bidi="ar-SY"/>
        </w:rPr>
        <w:t>(CWG-LANG</w:t>
      </w:r>
      <w:proofErr w:type="gramStart"/>
      <w:r w:rsidRPr="00EE0705">
        <w:rPr>
          <w:lang w:bidi="ar-SY"/>
        </w:rPr>
        <w:t>)</w:t>
      </w:r>
      <w:r w:rsidRPr="00EE0705">
        <w:rPr>
          <w:rFonts w:hint="cs"/>
          <w:rtl/>
          <w:lang w:bidi="ar-SY"/>
        </w:rPr>
        <w:t>:</w:t>
      </w:r>
      <w:proofErr w:type="gramEnd"/>
      <w:r w:rsidRPr="00EE0705">
        <w:rPr>
          <w:rFonts w:hint="cs"/>
          <w:rtl/>
          <w:lang w:bidi="ar-SY"/>
        </w:rPr>
        <w:t xml:space="preserve"> تقرير من فريق العمل التابع للمجلس (الوثيقة </w:t>
      </w:r>
      <w:hyperlink r:id="rId20" w:history="1">
        <w:r w:rsidRPr="00EE0705">
          <w:rPr>
            <w:rStyle w:val="Hyperlink"/>
            <w:lang w:bidi="ar-SY"/>
          </w:rPr>
          <w:t>C18/12</w:t>
        </w:r>
      </w:hyperlink>
      <w:r w:rsidRPr="00EE0705">
        <w:rPr>
          <w:rFonts w:hint="cs"/>
          <w:rtl/>
          <w:lang w:bidi="ar-SY"/>
        </w:rPr>
        <w:t xml:space="preserve">) وتقرير بشأن تنفيذ القرار </w:t>
      </w:r>
      <w:r w:rsidRPr="00EE0705">
        <w:rPr>
          <w:lang w:bidi="ar-SY"/>
        </w:rPr>
        <w:t>154</w:t>
      </w:r>
      <w:r w:rsidRPr="00EE0705">
        <w:rPr>
          <w:rFonts w:hint="cs"/>
          <w:rtl/>
          <w:lang w:bidi="ar-SY"/>
        </w:rPr>
        <w:t xml:space="preserve"> (المراج</w:t>
      </w:r>
      <w:r w:rsidR="005A083F">
        <w:rPr>
          <w:rFonts w:hint="cs"/>
          <w:rtl/>
          <w:lang w:bidi="ar-SY"/>
        </w:rPr>
        <w:t>َ</w:t>
      </w:r>
      <w:r w:rsidRPr="00EE0705">
        <w:rPr>
          <w:rFonts w:hint="cs"/>
          <w:rtl/>
          <w:lang w:bidi="ar-SY"/>
        </w:rPr>
        <w:t xml:space="preserve">ع في بوسان، </w:t>
      </w:r>
      <w:r w:rsidRPr="00EE0705">
        <w:rPr>
          <w:lang w:bidi="ar-SY"/>
        </w:rPr>
        <w:t>2014</w:t>
      </w:r>
      <w:r w:rsidRPr="00EE0705">
        <w:rPr>
          <w:rFonts w:hint="cs"/>
          <w:rtl/>
          <w:lang w:bidi="ar-SY"/>
        </w:rPr>
        <w:t>) بشأن استعمال لغات الاتحاد الرسمية الست على قدم المساواة</w:t>
      </w:r>
      <w:r w:rsidRPr="00EE0705">
        <w:rPr>
          <w:rFonts w:hint="cs"/>
          <w:rtl/>
        </w:rPr>
        <w:t xml:space="preserve"> </w:t>
      </w:r>
      <w:r w:rsidRPr="00EE0705">
        <w:rPr>
          <w:rFonts w:hint="cs"/>
          <w:rtl/>
          <w:lang w:bidi="ar-EG"/>
        </w:rPr>
        <w:t xml:space="preserve">(الوثيقة </w:t>
      </w:r>
      <w:hyperlink r:id="rId21" w:history="1">
        <w:r w:rsidRPr="00EE0705">
          <w:rPr>
            <w:rStyle w:val="Hyperlink"/>
            <w:lang w:bidi="ar-SY"/>
          </w:rPr>
          <w:t>C18/14</w:t>
        </w:r>
      </w:hyperlink>
      <w:r w:rsidRPr="00EE0705">
        <w:rPr>
          <w:rFonts w:hint="cs"/>
          <w:rtl/>
          <w:lang w:bidi="ar-EG"/>
        </w:rPr>
        <w:t>)</w:t>
      </w:r>
    </w:p>
    <w:p w:rsidR="00EE0705" w:rsidRPr="00DD4E1F" w:rsidRDefault="00EE0705" w:rsidP="002B3BDC">
      <w:pPr>
        <w:rPr>
          <w:spacing w:val="4"/>
          <w:rtl/>
          <w:lang w:bidi="ar-SY"/>
        </w:rPr>
      </w:pPr>
      <w:r w:rsidRPr="00DD4E1F">
        <w:rPr>
          <w:spacing w:val="4"/>
          <w:lang w:val="fr-CH" w:bidi="ar-SY"/>
        </w:rPr>
        <w:t>1.2</w:t>
      </w:r>
      <w:r w:rsidR="005A083F" w:rsidRPr="00DD4E1F">
        <w:rPr>
          <w:spacing w:val="4"/>
          <w:rtl/>
          <w:lang w:bidi="ar-EG"/>
        </w:rPr>
        <w:tab/>
      </w:r>
      <w:r w:rsidRPr="00DD4E1F">
        <w:rPr>
          <w:rFonts w:hint="cs"/>
          <w:spacing w:val="4"/>
          <w:rtl/>
          <w:lang w:bidi="ar-EG"/>
        </w:rPr>
        <w:t xml:space="preserve">قدم رئيس </w:t>
      </w:r>
      <w:r w:rsidRPr="00DD4E1F">
        <w:rPr>
          <w:rFonts w:hint="cs"/>
          <w:spacing w:val="4"/>
          <w:rtl/>
        </w:rPr>
        <w:t xml:space="preserve">فريق العمل التابع للمجلس </w:t>
      </w:r>
      <w:r w:rsidRPr="00DD4E1F">
        <w:rPr>
          <w:rFonts w:hint="cs"/>
          <w:spacing w:val="4"/>
          <w:rtl/>
          <w:lang w:bidi="ar-SY"/>
        </w:rPr>
        <w:t>والمعني باستخدام اللغات الرسمية الست للاتحاد</w:t>
      </w:r>
      <w:r w:rsidR="005A083F" w:rsidRPr="00DD4E1F">
        <w:rPr>
          <w:rFonts w:hint="eastAsia"/>
          <w:spacing w:val="4"/>
          <w:rtl/>
          <w:lang w:bidi="ar-SY"/>
        </w:rPr>
        <w:t> </w:t>
      </w:r>
      <w:r w:rsidRPr="00DD4E1F">
        <w:rPr>
          <w:spacing w:val="4"/>
          <w:lang w:bidi="ar-SY"/>
        </w:rPr>
        <w:t>(CWG</w:t>
      </w:r>
      <w:r w:rsidR="005A083F" w:rsidRPr="00DD4E1F">
        <w:rPr>
          <w:spacing w:val="4"/>
          <w:lang w:bidi="ar-SY"/>
        </w:rPr>
        <w:noBreakHyphen/>
      </w:r>
      <w:r w:rsidRPr="00DD4E1F">
        <w:rPr>
          <w:spacing w:val="4"/>
          <w:lang w:bidi="ar-SY"/>
        </w:rPr>
        <w:t>LANG)</w:t>
      </w:r>
      <w:r w:rsidRPr="00DD4E1F">
        <w:rPr>
          <w:rFonts w:hint="cs"/>
          <w:spacing w:val="4"/>
          <w:rtl/>
          <w:lang w:bidi="ar-EG"/>
        </w:rPr>
        <w:t xml:space="preserve"> الوثيقتين</w:t>
      </w:r>
      <w:r w:rsidR="005A083F" w:rsidRPr="00DD4E1F">
        <w:rPr>
          <w:rFonts w:hint="eastAsia"/>
          <w:spacing w:val="4"/>
          <w:rtl/>
          <w:lang w:bidi="ar-EG"/>
        </w:rPr>
        <w:t> </w:t>
      </w:r>
      <w:r w:rsidRPr="00DD4E1F">
        <w:rPr>
          <w:spacing w:val="4"/>
          <w:lang w:bidi="ar-SY"/>
        </w:rPr>
        <w:t>C18/12</w:t>
      </w:r>
      <w:r w:rsidRPr="00DD4E1F">
        <w:rPr>
          <w:rFonts w:hint="cs"/>
          <w:spacing w:val="4"/>
          <w:rtl/>
          <w:lang w:bidi="ar-SY"/>
        </w:rPr>
        <w:t xml:space="preserve"> و</w:t>
      </w:r>
      <w:r w:rsidRPr="00DD4E1F">
        <w:rPr>
          <w:spacing w:val="4"/>
          <w:lang w:bidi="ar-SY"/>
        </w:rPr>
        <w:t>C18/14</w:t>
      </w:r>
      <w:r w:rsidRPr="00DD4E1F">
        <w:rPr>
          <w:rFonts w:hint="cs"/>
          <w:spacing w:val="4"/>
          <w:rtl/>
          <w:lang w:bidi="ar-SY"/>
        </w:rPr>
        <w:t xml:space="preserve">. وقد استعرض فريق العمل تكاليف ترجمة الوثائق وتقييم إجراءات الترجمة، واقترح نظاماً لتصنيف الوثائق </w:t>
      </w:r>
      <w:r w:rsidR="005A083F" w:rsidRPr="00DD4E1F">
        <w:rPr>
          <w:rFonts w:hint="cs"/>
          <w:spacing w:val="4"/>
          <w:rtl/>
          <w:lang w:bidi="ar-SY"/>
        </w:rPr>
        <w:t xml:space="preserve">بغرض </w:t>
      </w:r>
      <w:r w:rsidRPr="00DD4E1F">
        <w:rPr>
          <w:rFonts w:hint="cs"/>
          <w:spacing w:val="4"/>
          <w:rtl/>
          <w:lang w:bidi="ar-SY"/>
        </w:rPr>
        <w:t xml:space="preserve">تقييم الجودة. </w:t>
      </w:r>
      <w:r w:rsidR="005A083F" w:rsidRPr="00DD4E1F">
        <w:rPr>
          <w:rFonts w:hint="cs"/>
          <w:spacing w:val="4"/>
          <w:rtl/>
          <w:lang w:bidi="ar-SY"/>
        </w:rPr>
        <w:t xml:space="preserve">وتجرى تجارب </w:t>
      </w:r>
      <w:r w:rsidRPr="00DD4E1F">
        <w:rPr>
          <w:rFonts w:hint="cs"/>
          <w:spacing w:val="4"/>
          <w:rtl/>
          <w:lang w:bidi="ar-SY"/>
        </w:rPr>
        <w:t xml:space="preserve">بشأن الترجمة </w:t>
      </w:r>
      <w:r w:rsidR="005A083F" w:rsidRPr="00DD4E1F">
        <w:rPr>
          <w:rFonts w:hint="cs"/>
          <w:spacing w:val="4"/>
          <w:rtl/>
          <w:lang w:bidi="ar-SY"/>
        </w:rPr>
        <w:t xml:space="preserve">الشفوية </w:t>
      </w:r>
      <w:r w:rsidRPr="00DD4E1F">
        <w:rPr>
          <w:rFonts w:hint="cs"/>
          <w:spacing w:val="4"/>
          <w:rtl/>
          <w:lang w:bidi="ar-SY"/>
        </w:rPr>
        <w:t>عن ب</w:t>
      </w:r>
      <w:r w:rsidR="005A083F" w:rsidRPr="00DD4E1F">
        <w:rPr>
          <w:rFonts w:hint="cs"/>
          <w:spacing w:val="4"/>
          <w:rtl/>
          <w:lang w:bidi="ar-SY"/>
        </w:rPr>
        <w:t>ُ</w:t>
      </w:r>
      <w:r w:rsidRPr="00DD4E1F">
        <w:rPr>
          <w:rFonts w:hint="cs"/>
          <w:spacing w:val="4"/>
          <w:rtl/>
          <w:lang w:bidi="ar-SY"/>
        </w:rPr>
        <w:t>عد، والترجمة الآلية، والعروض النصية التلقائية للحوار، وكذلك مشروع تجريبي لترجمة صفحات الموقع الإلكتروني بمساعدة بعض الإدارات. و</w:t>
      </w:r>
      <w:r w:rsidR="005A083F" w:rsidRPr="00DD4E1F">
        <w:rPr>
          <w:rFonts w:hint="cs"/>
          <w:spacing w:val="4"/>
          <w:rtl/>
          <w:lang w:bidi="ar-SY"/>
        </w:rPr>
        <w:t>ي</w:t>
      </w:r>
      <w:r w:rsidRPr="00DD4E1F">
        <w:rPr>
          <w:rFonts w:hint="cs"/>
          <w:spacing w:val="4"/>
          <w:rtl/>
          <w:lang w:bidi="ar-SY"/>
        </w:rPr>
        <w:t xml:space="preserve">جري كذلك تنفيذ مشروع تجريبي لاستخدام الذكاء الاصطناعي والتكنولوجيا لتحديث خدمات الترجمة التحريرية </w:t>
      </w:r>
      <w:r w:rsidR="005A083F" w:rsidRPr="00DD4E1F">
        <w:rPr>
          <w:rFonts w:hint="cs"/>
          <w:spacing w:val="4"/>
          <w:rtl/>
          <w:lang w:bidi="ar-SY"/>
        </w:rPr>
        <w:t>والشفوية</w:t>
      </w:r>
      <w:r w:rsidRPr="00DD4E1F">
        <w:rPr>
          <w:rFonts w:hint="cs"/>
          <w:spacing w:val="4"/>
          <w:rtl/>
          <w:lang w:bidi="ar-SY"/>
        </w:rPr>
        <w:t xml:space="preserve"> كإجراء لتوفير التكاليف اقترحته الصين. وأعد الاتحاد الروسي اقتراحاً لتعديل القرار</w:t>
      </w:r>
      <w:r w:rsidR="00882C35" w:rsidRPr="00DD4E1F">
        <w:rPr>
          <w:rFonts w:hint="eastAsia"/>
          <w:spacing w:val="4"/>
          <w:rtl/>
          <w:lang w:bidi="ar-SY"/>
        </w:rPr>
        <w:t> </w:t>
      </w:r>
      <w:r w:rsidRPr="00DD4E1F">
        <w:rPr>
          <w:spacing w:val="4"/>
          <w:lang w:bidi="ar-SY"/>
        </w:rPr>
        <w:t>154</w:t>
      </w:r>
      <w:r w:rsidRPr="00DD4E1F">
        <w:rPr>
          <w:rFonts w:hint="cs"/>
          <w:spacing w:val="4"/>
          <w:rtl/>
          <w:lang w:bidi="ar-SY"/>
        </w:rPr>
        <w:t>، أوصى فريق العمل بأن يحيله المجلس إلى مؤتمر المندوبين المفوضين لعام</w:t>
      </w:r>
      <w:r w:rsidR="002B3BDC" w:rsidRPr="00DD4E1F">
        <w:rPr>
          <w:rFonts w:hint="eastAsia"/>
          <w:spacing w:val="4"/>
          <w:rtl/>
          <w:lang w:bidi="ar-SY"/>
        </w:rPr>
        <w:t> </w:t>
      </w:r>
      <w:r w:rsidRPr="00DD4E1F">
        <w:rPr>
          <w:spacing w:val="4"/>
          <w:lang w:bidi="ar-SY"/>
        </w:rPr>
        <w:t>2018</w:t>
      </w:r>
      <w:r w:rsidRPr="00DD4E1F">
        <w:rPr>
          <w:rFonts w:hint="cs"/>
          <w:spacing w:val="4"/>
          <w:rtl/>
          <w:lang w:bidi="ar-SY"/>
        </w:rPr>
        <w:t>.</w:t>
      </w:r>
    </w:p>
    <w:p w:rsidR="00EE0705" w:rsidRPr="00DD4E1F" w:rsidRDefault="00EE0705" w:rsidP="005A083F">
      <w:pPr>
        <w:rPr>
          <w:rtl/>
          <w:lang w:bidi="ar-SY"/>
        </w:rPr>
      </w:pPr>
      <w:r w:rsidRPr="00DD4E1F">
        <w:rPr>
          <w:lang w:val="fr-CH" w:bidi="ar-SY"/>
        </w:rPr>
        <w:t>2.2</w:t>
      </w:r>
      <w:r w:rsidRPr="00DD4E1F">
        <w:rPr>
          <w:rtl/>
          <w:lang w:bidi="ar-EG"/>
        </w:rPr>
        <w:tab/>
      </w:r>
      <w:r w:rsidRPr="00DD4E1F">
        <w:rPr>
          <w:rFonts w:hint="cs"/>
          <w:rtl/>
          <w:lang w:bidi="ar-EG"/>
        </w:rPr>
        <w:t xml:space="preserve">ورحب أعضاء المجلس بالمشروع التجريبي بشأن استخدام الذكاء الاصطناعي والخطط التي تهدف إلى تعزيز </w:t>
      </w:r>
      <w:r w:rsidR="005A083F" w:rsidRPr="00DD4E1F">
        <w:rPr>
          <w:rFonts w:hint="cs"/>
          <w:rtl/>
          <w:lang w:bidi="ar-EG"/>
        </w:rPr>
        <w:t>ال</w:t>
      </w:r>
      <w:r w:rsidRPr="00DD4E1F">
        <w:rPr>
          <w:rFonts w:hint="cs"/>
          <w:rtl/>
          <w:lang w:bidi="ar-EG"/>
        </w:rPr>
        <w:t xml:space="preserve">تكنولوجيا </w:t>
      </w:r>
      <w:r w:rsidR="005A083F" w:rsidRPr="00DD4E1F">
        <w:rPr>
          <w:rFonts w:hint="cs"/>
          <w:rtl/>
          <w:lang w:bidi="ar-EG"/>
        </w:rPr>
        <w:t xml:space="preserve">المستعملة في مجال </w:t>
      </w:r>
      <w:r w:rsidRPr="00DD4E1F">
        <w:rPr>
          <w:rFonts w:hint="cs"/>
          <w:rtl/>
          <w:lang w:bidi="ar-EG"/>
        </w:rPr>
        <w:t xml:space="preserve">اللغات لتبسيط عمليات الترجمة التحريرية </w:t>
      </w:r>
      <w:r w:rsidR="005A083F" w:rsidRPr="00DD4E1F">
        <w:rPr>
          <w:rFonts w:hint="cs"/>
          <w:rtl/>
          <w:lang w:bidi="ar-EG"/>
        </w:rPr>
        <w:t xml:space="preserve">والشفوية </w:t>
      </w:r>
      <w:r w:rsidRPr="00DD4E1F">
        <w:rPr>
          <w:rFonts w:hint="cs"/>
          <w:rtl/>
          <w:lang w:bidi="ar-EG"/>
        </w:rPr>
        <w:t xml:space="preserve">وخفض التكاليف. </w:t>
      </w:r>
      <w:r w:rsidR="005A083F" w:rsidRPr="00DD4E1F">
        <w:rPr>
          <w:rFonts w:hint="cs"/>
          <w:rtl/>
          <w:lang w:bidi="ar-EG"/>
        </w:rPr>
        <w:t xml:space="preserve">ورغم الترحيب </w:t>
      </w:r>
      <w:r w:rsidRPr="00DD4E1F">
        <w:rPr>
          <w:rFonts w:hint="cs"/>
          <w:rtl/>
          <w:lang w:bidi="ar-EG"/>
        </w:rPr>
        <w:t xml:space="preserve">بمسألة تقديم </w:t>
      </w:r>
      <w:r w:rsidR="005A083F" w:rsidRPr="00DD4E1F">
        <w:rPr>
          <w:rFonts w:hint="cs"/>
          <w:rtl/>
          <w:lang w:bidi="ar-EG"/>
        </w:rPr>
        <w:t>الدول الأعضاء ل</w:t>
      </w:r>
      <w:r w:rsidRPr="00DD4E1F">
        <w:rPr>
          <w:rFonts w:hint="cs"/>
          <w:rtl/>
          <w:lang w:bidi="ar-EG"/>
        </w:rPr>
        <w:t xml:space="preserve">لدعم في توفير </w:t>
      </w:r>
      <w:r w:rsidR="005A083F" w:rsidRPr="00DD4E1F">
        <w:rPr>
          <w:rFonts w:hint="cs"/>
          <w:rtl/>
          <w:lang w:bidi="ar-EG"/>
        </w:rPr>
        <w:t xml:space="preserve">الترجمة </w:t>
      </w:r>
      <w:r w:rsidRPr="00DD4E1F">
        <w:rPr>
          <w:rFonts w:hint="cs"/>
          <w:rtl/>
          <w:lang w:bidi="ar-EG"/>
        </w:rPr>
        <w:t xml:space="preserve">لصفحات الموقع الإلكتروني للاتحاد، فإن إيلاء العناية أمر واجب لضمان مراقبة كافية للجودة. وكون الاتحاد منظمة تركز على دراسة التكنولوجيات الجديدة، </w:t>
      </w:r>
      <w:r w:rsidR="005A083F" w:rsidRPr="00DD4E1F">
        <w:rPr>
          <w:rFonts w:hint="cs"/>
          <w:rtl/>
          <w:lang w:bidi="ar-EG"/>
        </w:rPr>
        <w:t>ي</w:t>
      </w:r>
      <w:r w:rsidRPr="00DD4E1F">
        <w:rPr>
          <w:rFonts w:hint="cs"/>
          <w:rtl/>
          <w:lang w:bidi="ar-EG"/>
        </w:rPr>
        <w:t xml:space="preserve">نبغي </w:t>
      </w:r>
      <w:r w:rsidR="005A083F" w:rsidRPr="00DD4E1F">
        <w:rPr>
          <w:rFonts w:hint="cs"/>
          <w:rtl/>
          <w:lang w:bidi="ar-EG"/>
        </w:rPr>
        <w:t xml:space="preserve">له </w:t>
      </w:r>
      <w:r w:rsidRPr="00DD4E1F">
        <w:rPr>
          <w:rFonts w:hint="cs"/>
          <w:rtl/>
          <w:lang w:bidi="ar-EG"/>
        </w:rPr>
        <w:t xml:space="preserve">أن يتولى القيادة في تنفيذ هذه التكنولوجيات. وأشار أحد أعضاء المجلس إلى أنه يمكن النظر في تقليص </w:t>
      </w:r>
      <w:r w:rsidR="005A083F" w:rsidRPr="00DD4E1F">
        <w:rPr>
          <w:rFonts w:hint="cs"/>
          <w:rtl/>
          <w:lang w:bidi="ar-EG"/>
        </w:rPr>
        <w:t>طول</w:t>
      </w:r>
      <w:r w:rsidRPr="00DD4E1F">
        <w:rPr>
          <w:rFonts w:hint="cs"/>
          <w:rtl/>
          <w:lang w:bidi="ar-EG"/>
        </w:rPr>
        <w:t xml:space="preserve"> النصوص التي ت</w:t>
      </w:r>
      <w:r w:rsidR="005A083F" w:rsidRPr="00DD4E1F">
        <w:rPr>
          <w:rFonts w:hint="cs"/>
          <w:rtl/>
          <w:lang w:bidi="ar-EG"/>
        </w:rPr>
        <w:t>ُ</w:t>
      </w:r>
      <w:r w:rsidRPr="00DD4E1F">
        <w:rPr>
          <w:rFonts w:hint="cs"/>
          <w:rtl/>
          <w:lang w:bidi="ar-EG"/>
        </w:rPr>
        <w:t xml:space="preserve">نشر </w:t>
      </w:r>
      <w:r w:rsidR="005A083F" w:rsidRPr="00DD4E1F">
        <w:rPr>
          <w:rFonts w:hint="cs"/>
          <w:rtl/>
          <w:lang w:bidi="ar-EG"/>
        </w:rPr>
        <w:t>في </w:t>
      </w:r>
      <w:r w:rsidRPr="00DD4E1F">
        <w:rPr>
          <w:rFonts w:hint="cs"/>
          <w:rtl/>
          <w:lang w:bidi="ar-EG"/>
        </w:rPr>
        <w:t>الموقع الإلكتروني</w:t>
      </w:r>
      <w:r w:rsidR="005A083F" w:rsidRPr="00DD4E1F">
        <w:rPr>
          <w:rFonts w:hint="cs"/>
          <w:rtl/>
          <w:lang w:bidi="ar-EG"/>
        </w:rPr>
        <w:t>، كإجراء لتوفير التكاليف.</w:t>
      </w:r>
    </w:p>
    <w:p w:rsidR="00EE0705" w:rsidRPr="00EE0705" w:rsidRDefault="00EE0705" w:rsidP="008E33AA">
      <w:pPr>
        <w:rPr>
          <w:rtl/>
          <w:lang w:bidi="ar-SY"/>
        </w:rPr>
      </w:pPr>
      <w:r w:rsidRPr="00EE0705">
        <w:rPr>
          <w:lang w:val="fr-CH" w:bidi="ar-SY"/>
        </w:rPr>
        <w:t>3.2</w:t>
      </w:r>
      <w:r w:rsidRPr="00EE0705">
        <w:rPr>
          <w:rtl/>
          <w:lang w:bidi="ar-SY"/>
        </w:rPr>
        <w:tab/>
      </w:r>
      <w:r w:rsidRPr="00EE0705">
        <w:rPr>
          <w:rFonts w:hint="cs"/>
          <w:rtl/>
          <w:lang w:bidi="ar-SY"/>
        </w:rPr>
        <w:t xml:space="preserve">وطلب أحد أعضاء المجلس توضيحات بشأن دور الأمانة </w:t>
      </w:r>
      <w:r w:rsidR="005A083F">
        <w:rPr>
          <w:rFonts w:hint="cs"/>
          <w:rtl/>
          <w:lang w:bidi="ar-SY"/>
        </w:rPr>
        <w:t xml:space="preserve">العامة </w:t>
      </w:r>
      <w:r w:rsidRPr="00EE0705">
        <w:rPr>
          <w:rFonts w:hint="cs"/>
          <w:rtl/>
          <w:lang w:bidi="ar-SY"/>
        </w:rPr>
        <w:t xml:space="preserve">في </w:t>
      </w:r>
      <w:r w:rsidR="005A083F">
        <w:rPr>
          <w:rFonts w:hint="cs"/>
          <w:rtl/>
          <w:lang w:bidi="ar-SY"/>
        </w:rPr>
        <w:t xml:space="preserve">حال قدمت </w:t>
      </w:r>
      <w:r w:rsidRPr="00EE0705">
        <w:rPr>
          <w:rFonts w:hint="cs"/>
          <w:rtl/>
          <w:lang w:bidi="ar-SY"/>
        </w:rPr>
        <w:t xml:space="preserve">الإدارات ترجمةً لصفحات الموقع الإلكتروني؛ ينبغي أن يواصل موظفو </w:t>
      </w:r>
      <w:r w:rsidR="005A083F">
        <w:rPr>
          <w:rFonts w:hint="cs"/>
          <w:rtl/>
          <w:lang w:bidi="ar-SY"/>
        </w:rPr>
        <w:t>أ</w:t>
      </w:r>
      <w:r w:rsidRPr="00EE0705">
        <w:rPr>
          <w:rFonts w:hint="cs"/>
          <w:rtl/>
          <w:lang w:bidi="ar-SY"/>
        </w:rPr>
        <w:t>قس</w:t>
      </w:r>
      <w:r w:rsidR="005A083F">
        <w:rPr>
          <w:rFonts w:hint="cs"/>
          <w:rtl/>
          <w:lang w:bidi="ar-SY"/>
        </w:rPr>
        <w:t>ا</w:t>
      </w:r>
      <w:r w:rsidRPr="00EE0705">
        <w:rPr>
          <w:rFonts w:hint="cs"/>
          <w:rtl/>
          <w:lang w:bidi="ar-SY"/>
        </w:rPr>
        <w:t>م اللغات في الاتحاد تولي مسؤولية الإشراف، مع إيلاء الحرص الواجب، على ترجمة النصوص ونشرها في الموقع الإلكتروني للاتحاد، وليس مجرد تقديم "الإشراف والمساعدة" كما اقترح في حواشي الوثيقتين</w:t>
      </w:r>
      <w:r w:rsidR="008E33AA">
        <w:rPr>
          <w:rFonts w:hint="eastAsia"/>
          <w:rtl/>
          <w:lang w:bidi="ar-SY"/>
        </w:rPr>
        <w:t> </w:t>
      </w:r>
      <w:r w:rsidRPr="00EE0705">
        <w:rPr>
          <w:lang w:bidi="ar-SY"/>
        </w:rPr>
        <w:t>C18/12</w:t>
      </w:r>
      <w:r w:rsidRPr="00EE0705">
        <w:rPr>
          <w:rFonts w:hint="cs"/>
          <w:rtl/>
          <w:lang w:bidi="ar-SY"/>
        </w:rPr>
        <w:t xml:space="preserve"> و</w:t>
      </w:r>
      <w:r w:rsidRPr="00EE0705">
        <w:rPr>
          <w:lang w:bidi="ar-SY"/>
        </w:rPr>
        <w:t>C18/14</w:t>
      </w:r>
      <w:r w:rsidRPr="00EE0705">
        <w:rPr>
          <w:rFonts w:hint="cs"/>
          <w:rtl/>
          <w:lang w:bidi="ar-SY"/>
        </w:rPr>
        <w:t>. وينبغي أن تبقى الأمانة العامة للاتحاد مسؤولة عن جودة الترجمة وخاضعة للمساءلة بشأنها.</w:t>
      </w:r>
    </w:p>
    <w:p w:rsidR="00EE0705" w:rsidRPr="00EE0705" w:rsidRDefault="00EE0705" w:rsidP="008A6FEB">
      <w:pPr>
        <w:rPr>
          <w:rtl/>
          <w:lang w:val="en-GB" w:bidi="ar-EG"/>
        </w:rPr>
      </w:pPr>
      <w:r w:rsidRPr="00EE0705">
        <w:rPr>
          <w:lang w:val="fr-CH" w:bidi="ar-SY"/>
        </w:rPr>
        <w:t>4.2</w:t>
      </w:r>
      <w:r w:rsidRPr="00EE0705">
        <w:rPr>
          <w:lang w:val="en-GB" w:bidi="ar-SY"/>
        </w:rPr>
        <w:tab/>
      </w:r>
      <w:r w:rsidRPr="00EE0705">
        <w:rPr>
          <w:rFonts w:hint="cs"/>
          <w:rtl/>
          <w:lang w:bidi="ar-SY"/>
        </w:rPr>
        <w:t>وأكد نائب الأمين العام أنه لا</w:t>
      </w:r>
      <w:r w:rsidR="008A6FEB">
        <w:rPr>
          <w:rFonts w:hint="eastAsia"/>
          <w:rtl/>
          <w:lang w:bidi="ar-SY"/>
        </w:rPr>
        <w:t> </w:t>
      </w:r>
      <w:r w:rsidRPr="00EE0705">
        <w:rPr>
          <w:rFonts w:hint="cs"/>
          <w:rtl/>
          <w:lang w:bidi="ar-SY"/>
        </w:rPr>
        <w:t xml:space="preserve">بد من تطبيق مبدأ الحرص الواجب. وفي حين أن الترجمات لن تفحص كلمة بكلمة، فإن الأمانة تظل مسؤولة عن جودة محتوى صفحات الموقع الإلكتروني. ومع ذلك، فإن النهج الجديد سيؤدي إلى زيادة </w:t>
      </w:r>
      <w:r w:rsidR="005A083F">
        <w:rPr>
          <w:rFonts w:hint="cs"/>
          <w:rtl/>
          <w:lang w:bidi="ar-SY"/>
        </w:rPr>
        <w:t>مقدار</w:t>
      </w:r>
      <w:r w:rsidRPr="00EE0705">
        <w:rPr>
          <w:rFonts w:hint="cs"/>
          <w:rtl/>
          <w:lang w:bidi="ar-SY"/>
        </w:rPr>
        <w:t xml:space="preserve"> النصوص المترجمة والمنشورة </w:t>
      </w:r>
      <w:r w:rsidR="005A083F">
        <w:rPr>
          <w:rFonts w:hint="cs"/>
          <w:rtl/>
          <w:lang w:bidi="ar-SY"/>
        </w:rPr>
        <w:t xml:space="preserve">في الموقع الإلكتروني </w:t>
      </w:r>
      <w:r w:rsidRPr="00EE0705">
        <w:rPr>
          <w:rFonts w:hint="cs"/>
          <w:rtl/>
          <w:lang w:bidi="ar-SY"/>
        </w:rPr>
        <w:t xml:space="preserve">زيادة يتراوح قدرها من ثلاثة إلى أربعة </w:t>
      </w:r>
      <w:r w:rsidR="005A083F">
        <w:rPr>
          <w:rFonts w:hint="cs"/>
          <w:rtl/>
          <w:lang w:bidi="ar-SY"/>
        </w:rPr>
        <w:t>أمثال، ولن يكون لذلك أثر كبير</w:t>
      </w:r>
      <w:r w:rsidRPr="00EE0705">
        <w:rPr>
          <w:rFonts w:hint="cs"/>
          <w:rtl/>
          <w:lang w:bidi="ar-SY"/>
        </w:rPr>
        <w:t xml:space="preserve"> على ميزانية المنظمة. وستقدم نتائج المشروع التجريبي لمؤتمر المندوبين المفوضين.</w:t>
      </w:r>
    </w:p>
    <w:p w:rsidR="00EE0705" w:rsidRPr="00EE0705" w:rsidRDefault="00EE0705" w:rsidP="005A083F">
      <w:pPr>
        <w:rPr>
          <w:rtl/>
          <w:lang w:bidi="ar-SY"/>
        </w:rPr>
      </w:pPr>
      <w:r w:rsidRPr="00EE0705">
        <w:rPr>
          <w:lang w:val="fr-CH" w:bidi="ar-SY"/>
        </w:rPr>
        <w:t>5.2</w:t>
      </w:r>
      <w:r w:rsidRPr="00EE0705">
        <w:rPr>
          <w:lang w:val="en-GB" w:bidi="ar-SY"/>
        </w:rPr>
        <w:tab/>
      </w:r>
      <w:r w:rsidRPr="00EE0705">
        <w:rPr>
          <w:rFonts w:hint="cs"/>
          <w:b/>
          <w:bCs/>
          <w:rtl/>
          <w:lang w:bidi="ar-SY"/>
        </w:rPr>
        <w:t>وأقر</w:t>
      </w:r>
      <w:r w:rsidRPr="00EE0705">
        <w:rPr>
          <w:rFonts w:hint="cs"/>
          <w:rtl/>
          <w:lang w:bidi="ar-SY"/>
        </w:rPr>
        <w:t xml:space="preserve"> المجلس الوثيقة </w:t>
      </w:r>
      <w:r w:rsidRPr="00EE0705">
        <w:rPr>
          <w:lang w:bidi="ar-SY"/>
        </w:rPr>
        <w:t>C18/12</w:t>
      </w:r>
      <w:r w:rsidRPr="00EE0705">
        <w:rPr>
          <w:rFonts w:hint="cs"/>
          <w:rtl/>
          <w:lang w:bidi="ar-SY"/>
        </w:rPr>
        <w:t xml:space="preserve">. </w:t>
      </w:r>
      <w:r w:rsidRPr="00D079EA">
        <w:rPr>
          <w:rFonts w:hint="cs"/>
          <w:rtl/>
          <w:lang w:bidi="ar-SY"/>
        </w:rPr>
        <w:t>كما</w:t>
      </w:r>
      <w:r w:rsidRPr="00EE0705">
        <w:rPr>
          <w:rFonts w:hint="cs"/>
          <w:b/>
          <w:bCs/>
          <w:rtl/>
          <w:lang w:bidi="ar-SY"/>
        </w:rPr>
        <w:t xml:space="preserve"> أحاط علماً</w:t>
      </w:r>
      <w:r w:rsidRPr="00EE0705">
        <w:rPr>
          <w:rFonts w:hint="cs"/>
          <w:rtl/>
          <w:lang w:bidi="ar-SY"/>
        </w:rPr>
        <w:t xml:space="preserve"> بالوثيقة </w:t>
      </w:r>
      <w:r w:rsidRPr="00EE0705">
        <w:rPr>
          <w:lang w:bidi="ar-SY"/>
        </w:rPr>
        <w:t>C18/14</w:t>
      </w:r>
      <w:r w:rsidRPr="00EE0705">
        <w:rPr>
          <w:rFonts w:hint="cs"/>
          <w:rtl/>
          <w:lang w:bidi="ar-SY"/>
        </w:rPr>
        <w:t xml:space="preserve">، </w:t>
      </w:r>
      <w:r w:rsidR="005A083F">
        <w:rPr>
          <w:rFonts w:hint="cs"/>
          <w:b/>
          <w:bCs/>
          <w:rtl/>
          <w:lang w:bidi="ar-SY"/>
        </w:rPr>
        <w:t>وأقر</w:t>
      </w:r>
      <w:r w:rsidRPr="00EE0705">
        <w:rPr>
          <w:rFonts w:hint="cs"/>
          <w:rtl/>
          <w:lang w:bidi="ar-SY"/>
        </w:rPr>
        <w:t xml:space="preserve"> التوصيات الواردة فيها </w:t>
      </w:r>
      <w:r w:rsidRPr="00EE0705">
        <w:rPr>
          <w:rFonts w:hint="cs"/>
          <w:b/>
          <w:bCs/>
          <w:rtl/>
          <w:lang w:bidi="ar-SY"/>
        </w:rPr>
        <w:t>واتفق</w:t>
      </w:r>
      <w:r w:rsidRPr="00EE0705">
        <w:rPr>
          <w:rFonts w:hint="cs"/>
          <w:rtl/>
          <w:lang w:bidi="ar-SY"/>
        </w:rPr>
        <w:t xml:space="preserve"> على إحالة الوثيقة إلى مؤتمر المندوبين المفوضين لعام </w:t>
      </w:r>
      <w:r w:rsidRPr="00EE0705">
        <w:rPr>
          <w:lang w:bidi="ar-SY"/>
        </w:rPr>
        <w:t>2018</w:t>
      </w:r>
      <w:r w:rsidRPr="00EE0705">
        <w:rPr>
          <w:rFonts w:hint="cs"/>
          <w:rtl/>
          <w:lang w:bidi="ar-SY"/>
        </w:rPr>
        <w:t>.</w:t>
      </w:r>
    </w:p>
    <w:p w:rsidR="00EE0705" w:rsidRPr="00EE0705" w:rsidRDefault="00EE0705" w:rsidP="00245B58">
      <w:pPr>
        <w:pStyle w:val="Heading1"/>
        <w:rPr>
          <w:rtl/>
          <w:lang w:val="fr-CH" w:bidi="ar-SY"/>
        </w:rPr>
      </w:pPr>
      <w:r w:rsidRPr="00EE0705">
        <w:rPr>
          <w:lang w:val="fr-CH" w:bidi="ar-SY"/>
        </w:rPr>
        <w:t>3</w:t>
      </w:r>
      <w:r w:rsidRPr="00EE0705">
        <w:rPr>
          <w:rtl/>
        </w:rPr>
        <w:tab/>
      </w:r>
      <w:r w:rsidRPr="00EE0705">
        <w:rPr>
          <w:rFonts w:hint="cs"/>
          <w:rtl/>
          <w:lang w:bidi="ar-SY"/>
        </w:rPr>
        <w:t xml:space="preserve">مشاريع الخطط التشغيلية الرباعية المتجددة للفترة </w:t>
      </w:r>
      <w:r w:rsidRPr="00EE0705">
        <w:rPr>
          <w:lang w:bidi="ar-SY"/>
        </w:rPr>
        <w:t>2022-2019</w:t>
      </w:r>
      <w:r w:rsidRPr="00EE0705">
        <w:rPr>
          <w:rFonts w:hint="cs"/>
          <w:rtl/>
        </w:rPr>
        <w:t xml:space="preserve"> (الوثائق </w:t>
      </w:r>
      <w:hyperlink r:id="rId22" w:history="1">
        <w:r w:rsidRPr="00EE0705">
          <w:rPr>
            <w:rStyle w:val="Hyperlink"/>
            <w:lang w:val="fr-CH" w:bidi="ar-SY"/>
          </w:rPr>
          <w:t>C18/28(Rev.1)</w:t>
        </w:r>
      </w:hyperlink>
      <w:r w:rsidRPr="00EE0705">
        <w:rPr>
          <w:rFonts w:hint="cs"/>
          <w:rtl/>
          <w:lang w:bidi="ar-EG"/>
        </w:rPr>
        <w:t xml:space="preserve"> و</w:t>
      </w:r>
      <w:hyperlink r:id="rId23" w:history="1">
        <w:r w:rsidRPr="00EE0705">
          <w:rPr>
            <w:rStyle w:val="Hyperlink"/>
            <w:lang w:val="fr-CH" w:bidi="ar-SY"/>
          </w:rPr>
          <w:t>C18/29</w:t>
        </w:r>
      </w:hyperlink>
      <w:r w:rsidRPr="00EE0705">
        <w:rPr>
          <w:rFonts w:hint="cs"/>
          <w:rtl/>
          <w:lang w:bidi="ar-EG"/>
        </w:rPr>
        <w:t xml:space="preserve"> و</w:t>
      </w:r>
      <w:hyperlink r:id="rId24" w:history="1">
        <w:r w:rsidRPr="00EE0705">
          <w:rPr>
            <w:rStyle w:val="Hyperlink"/>
            <w:lang w:val="fr-CH" w:bidi="ar-SY"/>
          </w:rPr>
          <w:t>C18/30</w:t>
        </w:r>
      </w:hyperlink>
      <w:r w:rsidRPr="00EE0705">
        <w:rPr>
          <w:rFonts w:hint="cs"/>
          <w:rtl/>
          <w:lang w:bidi="ar-EG"/>
        </w:rPr>
        <w:t xml:space="preserve"> و</w:t>
      </w:r>
      <w:hyperlink r:id="rId25" w:history="1">
        <w:r w:rsidRPr="00EE0705">
          <w:rPr>
            <w:rStyle w:val="Hyperlink"/>
            <w:lang w:val="fr-CH" w:bidi="ar-SY"/>
          </w:rPr>
          <w:t>C18/31</w:t>
        </w:r>
      </w:hyperlink>
      <w:r w:rsidRPr="00EE0705">
        <w:rPr>
          <w:rFonts w:hint="cs"/>
          <w:rtl/>
          <w:lang w:bidi="ar-SY"/>
        </w:rPr>
        <w:t xml:space="preserve">، </w:t>
      </w:r>
      <w:r w:rsidRPr="00EE0705">
        <w:rPr>
          <w:rFonts w:hint="cs"/>
          <w:rtl/>
          <w:lang w:bidi="ar-EG"/>
        </w:rPr>
        <w:t>و</w:t>
      </w:r>
      <w:hyperlink r:id="rId26" w:history="1">
        <w:r w:rsidRPr="00EE0705">
          <w:rPr>
            <w:rStyle w:val="Hyperlink"/>
            <w:lang w:val="fr-CH" w:bidi="ar-SY"/>
          </w:rPr>
          <w:t>C18/32</w:t>
        </w:r>
      </w:hyperlink>
      <w:r w:rsidRPr="00EE0705">
        <w:rPr>
          <w:rFonts w:hint="cs"/>
          <w:rtl/>
          <w:lang w:bidi="ar-EG"/>
        </w:rPr>
        <w:t>)</w:t>
      </w:r>
    </w:p>
    <w:p w:rsidR="00EE0705" w:rsidRPr="00EE0705" w:rsidRDefault="00EE0705" w:rsidP="002F586A">
      <w:pPr>
        <w:rPr>
          <w:rtl/>
          <w:lang w:bidi="ar-SY"/>
        </w:rPr>
      </w:pPr>
      <w:r w:rsidRPr="00EE0705">
        <w:rPr>
          <w:lang w:val="fr-CH" w:bidi="ar-SY"/>
        </w:rPr>
        <w:t>1.3</w:t>
      </w:r>
      <w:r w:rsidR="005A083F">
        <w:rPr>
          <w:rtl/>
          <w:lang w:bidi="ar-EG"/>
        </w:rPr>
        <w:tab/>
      </w:r>
      <w:r w:rsidRPr="00EE0705">
        <w:rPr>
          <w:rFonts w:hint="cs"/>
          <w:rtl/>
          <w:lang w:bidi="ar-EG"/>
        </w:rPr>
        <w:t xml:space="preserve">قدم نائب الأمين العام الوثيقة </w:t>
      </w:r>
      <w:r w:rsidRPr="00EE0705">
        <w:rPr>
          <w:lang w:bidi="ar-SY"/>
        </w:rPr>
        <w:t>C18/32</w:t>
      </w:r>
      <w:r w:rsidRPr="00EE0705">
        <w:rPr>
          <w:rFonts w:hint="cs"/>
          <w:rtl/>
          <w:lang w:bidi="ar-SY"/>
        </w:rPr>
        <w:t xml:space="preserve">، التي تضمنت مشروع قرار </w:t>
      </w:r>
      <w:r w:rsidR="005A083F">
        <w:rPr>
          <w:rFonts w:hint="cs"/>
          <w:rtl/>
          <w:lang w:bidi="ar-SY"/>
        </w:rPr>
        <w:t xml:space="preserve">للموافقة على </w:t>
      </w:r>
      <w:r w:rsidRPr="00EE0705">
        <w:rPr>
          <w:rFonts w:hint="cs"/>
          <w:rtl/>
          <w:lang w:bidi="ar-SY"/>
        </w:rPr>
        <w:t xml:space="preserve">الخطط التشغيلية الرباعية المتجددة للقطاعات والأمانة العامة للفترة </w:t>
      </w:r>
      <w:r w:rsidRPr="00EE0705">
        <w:rPr>
          <w:lang w:bidi="ar-SY"/>
        </w:rPr>
        <w:t>2022-2019</w:t>
      </w:r>
      <w:r w:rsidRPr="00EE0705">
        <w:rPr>
          <w:rFonts w:hint="cs"/>
          <w:rtl/>
          <w:lang w:bidi="ar-SY"/>
        </w:rPr>
        <w:t xml:space="preserve">. وقد أُعدت جميع الخطط التشغيلية باتباع نهج وشكل مبسطين تماشياً مع الخطة الاستراتيجية للفترة </w:t>
      </w:r>
      <w:r w:rsidRPr="00EE0705">
        <w:rPr>
          <w:lang w:bidi="ar-SY"/>
        </w:rPr>
        <w:t>2019-2016</w:t>
      </w:r>
      <w:r w:rsidRPr="00EE0705">
        <w:rPr>
          <w:rFonts w:hint="cs"/>
          <w:rtl/>
          <w:lang w:bidi="ar-SY"/>
        </w:rPr>
        <w:t xml:space="preserve">. وقد استعرض كل خطة على حدة الفريق الاستشاري للقطاع المعني، أما الخطة التشغيلية للأمانة العامة فقد </w:t>
      </w:r>
      <w:r w:rsidR="005A083F">
        <w:rPr>
          <w:rFonts w:hint="cs"/>
          <w:rtl/>
          <w:lang w:bidi="ar-SY"/>
        </w:rPr>
        <w:t>استعرضتها</w:t>
      </w:r>
      <w:r w:rsidRPr="00EE0705">
        <w:rPr>
          <w:rFonts w:hint="cs"/>
          <w:rtl/>
          <w:lang w:bidi="ar-SY"/>
        </w:rPr>
        <w:t xml:space="preserve"> الأفرقة الاس</w:t>
      </w:r>
      <w:r w:rsidR="00DD4E1F">
        <w:rPr>
          <w:rFonts w:hint="cs"/>
          <w:rtl/>
          <w:lang w:bidi="ar-SY"/>
        </w:rPr>
        <w:t>تشارية للقطاعات الثلاثة جميعها.</w:t>
      </w:r>
    </w:p>
    <w:p w:rsidR="00EE0705" w:rsidRPr="00980032" w:rsidRDefault="00EE0705" w:rsidP="00DD4E1F">
      <w:pPr>
        <w:rPr>
          <w:spacing w:val="2"/>
          <w:rtl/>
          <w:lang w:bidi="ar-JO"/>
        </w:rPr>
      </w:pPr>
      <w:r w:rsidRPr="00980032">
        <w:rPr>
          <w:spacing w:val="2"/>
          <w:lang w:val="fr-CH" w:bidi="ar-SY"/>
        </w:rPr>
        <w:t>2.3</w:t>
      </w:r>
      <w:r w:rsidRPr="00980032">
        <w:rPr>
          <w:spacing w:val="2"/>
          <w:rtl/>
          <w:lang w:bidi="ar-EG"/>
        </w:rPr>
        <w:tab/>
      </w:r>
      <w:r w:rsidRPr="00980032">
        <w:rPr>
          <w:rFonts w:hint="cs"/>
          <w:spacing w:val="2"/>
          <w:rtl/>
          <w:lang w:bidi="ar-EG"/>
        </w:rPr>
        <w:t xml:space="preserve">وقدم نائب مدير مكتب الاتصالات الراديوية مشروع الخطة التشغيلية </w:t>
      </w:r>
      <w:r w:rsidR="005A083F" w:rsidRPr="00980032">
        <w:rPr>
          <w:rFonts w:hint="cs"/>
          <w:spacing w:val="2"/>
          <w:rtl/>
          <w:lang w:bidi="ar-EG"/>
        </w:rPr>
        <w:t xml:space="preserve">الرباعية </w:t>
      </w:r>
      <w:r w:rsidRPr="00980032">
        <w:rPr>
          <w:rFonts w:hint="cs"/>
          <w:spacing w:val="2"/>
          <w:rtl/>
          <w:lang w:bidi="ar-EG"/>
        </w:rPr>
        <w:t>المتجددة للفترة</w:t>
      </w:r>
      <w:r w:rsidR="003F1413" w:rsidRPr="00980032">
        <w:rPr>
          <w:rFonts w:hint="eastAsia"/>
          <w:spacing w:val="2"/>
          <w:rtl/>
          <w:lang w:bidi="ar-EG"/>
        </w:rPr>
        <w:t> </w:t>
      </w:r>
      <w:r w:rsidRPr="00980032">
        <w:rPr>
          <w:spacing w:val="2"/>
          <w:lang w:bidi="ar-SY"/>
        </w:rPr>
        <w:t>2022-2019</w:t>
      </w:r>
      <w:r w:rsidRPr="00980032">
        <w:rPr>
          <w:rFonts w:hint="cs"/>
          <w:spacing w:val="2"/>
          <w:rtl/>
          <w:lang w:bidi="ar-SY"/>
        </w:rPr>
        <w:t xml:space="preserve"> لقطاع</w:t>
      </w:r>
      <w:r w:rsidR="00980032">
        <w:rPr>
          <w:rFonts w:hint="eastAsia"/>
          <w:spacing w:val="2"/>
          <w:rtl/>
          <w:lang w:bidi="ar-SY"/>
        </w:rPr>
        <w:t> </w:t>
      </w:r>
      <w:r w:rsidRPr="00980032">
        <w:rPr>
          <w:rFonts w:hint="cs"/>
          <w:spacing w:val="2"/>
          <w:rtl/>
          <w:lang w:bidi="ar-SY"/>
        </w:rPr>
        <w:t xml:space="preserve">الاتصالات الراديوية (الوثيقة </w:t>
      </w:r>
      <w:r w:rsidRPr="00980032">
        <w:rPr>
          <w:spacing w:val="2"/>
          <w:lang w:bidi="ar-SY"/>
        </w:rPr>
        <w:t>C18/28(Rev.1)</w:t>
      </w:r>
      <w:r w:rsidRPr="00980032">
        <w:rPr>
          <w:rFonts w:hint="cs"/>
          <w:spacing w:val="2"/>
          <w:rtl/>
          <w:lang w:bidi="ar-SY"/>
        </w:rPr>
        <w:t xml:space="preserve">)، وقدم نائب </w:t>
      </w:r>
      <w:r w:rsidRPr="00980032">
        <w:rPr>
          <w:rFonts w:hint="cs"/>
          <w:spacing w:val="2"/>
          <w:rtl/>
          <w:lang w:bidi="ar-JO"/>
        </w:rPr>
        <w:t xml:space="preserve">مدير </w:t>
      </w:r>
      <w:r w:rsidRPr="00980032">
        <w:rPr>
          <w:rFonts w:hint="cs"/>
          <w:spacing w:val="2"/>
          <w:rtl/>
          <w:lang w:bidi="ar-SY"/>
        </w:rPr>
        <w:t xml:space="preserve">مكتب </w:t>
      </w:r>
      <w:r w:rsidRPr="00980032">
        <w:rPr>
          <w:rFonts w:hint="cs"/>
          <w:spacing w:val="2"/>
          <w:rtl/>
          <w:lang w:bidi="ar-JO"/>
        </w:rPr>
        <w:t>تقييس الاتصالات مشروع الخطة التشغيلية لقطاع</w:t>
      </w:r>
      <w:r w:rsidR="00980032">
        <w:rPr>
          <w:rFonts w:hint="eastAsia"/>
          <w:spacing w:val="2"/>
          <w:rtl/>
          <w:lang w:bidi="ar-JO"/>
        </w:rPr>
        <w:t> </w:t>
      </w:r>
      <w:r w:rsidRPr="00980032">
        <w:rPr>
          <w:rFonts w:hint="cs"/>
          <w:spacing w:val="2"/>
          <w:rtl/>
          <w:lang w:bidi="ar-JO"/>
        </w:rPr>
        <w:t>تقييس الاتصالات</w:t>
      </w:r>
      <w:r w:rsidRPr="00980032">
        <w:rPr>
          <w:rFonts w:hint="eastAsia"/>
          <w:spacing w:val="2"/>
          <w:rtl/>
          <w:lang w:bidi="ar-JO"/>
        </w:rPr>
        <w:t> </w:t>
      </w:r>
      <w:r w:rsidRPr="00980032">
        <w:rPr>
          <w:rFonts w:hint="cs"/>
          <w:spacing w:val="2"/>
          <w:rtl/>
          <w:lang w:bidi="ar-JO"/>
        </w:rPr>
        <w:t>(الوثيقة</w:t>
      </w:r>
      <w:r w:rsidR="005A083F" w:rsidRPr="00980032">
        <w:rPr>
          <w:rFonts w:hint="eastAsia"/>
          <w:spacing w:val="2"/>
          <w:rtl/>
          <w:lang w:bidi="ar-JO"/>
        </w:rPr>
        <w:t> </w:t>
      </w:r>
      <w:r w:rsidRPr="00980032">
        <w:rPr>
          <w:spacing w:val="2"/>
          <w:lang w:bidi="ar-SY"/>
        </w:rPr>
        <w:t>C18/29</w:t>
      </w:r>
      <w:r w:rsidRPr="00980032">
        <w:rPr>
          <w:rFonts w:hint="cs"/>
          <w:spacing w:val="2"/>
          <w:rtl/>
          <w:lang w:bidi="ar-JO"/>
        </w:rPr>
        <w:t xml:space="preserve">)، وقدم نائب مدير مكتب تنمية الاتصالات مشروع الخطة التشغيلية لقطاع تنمية </w:t>
      </w:r>
      <w:r w:rsidRPr="00980032">
        <w:rPr>
          <w:rFonts w:hint="cs"/>
          <w:spacing w:val="2"/>
          <w:rtl/>
          <w:lang w:bidi="ar-JO"/>
        </w:rPr>
        <w:lastRenderedPageBreak/>
        <w:t>الاتصالات</w:t>
      </w:r>
      <w:r w:rsidR="005A083F" w:rsidRPr="00980032">
        <w:rPr>
          <w:rFonts w:hint="eastAsia"/>
          <w:spacing w:val="2"/>
          <w:rtl/>
          <w:lang w:bidi="ar-JO"/>
        </w:rPr>
        <w:t> </w:t>
      </w:r>
      <w:r w:rsidRPr="00980032">
        <w:rPr>
          <w:rFonts w:hint="cs"/>
          <w:spacing w:val="2"/>
          <w:rtl/>
          <w:lang w:bidi="ar-JO"/>
        </w:rPr>
        <w:t>(الوثيقة</w:t>
      </w:r>
      <w:r w:rsidRPr="00980032">
        <w:rPr>
          <w:rFonts w:hint="eastAsia"/>
          <w:spacing w:val="2"/>
          <w:rtl/>
          <w:lang w:bidi="ar-JO"/>
        </w:rPr>
        <w:t> </w:t>
      </w:r>
      <w:r w:rsidRPr="00980032">
        <w:rPr>
          <w:spacing w:val="2"/>
          <w:lang w:bidi="ar-SY"/>
        </w:rPr>
        <w:t>C18/30</w:t>
      </w:r>
      <w:r w:rsidRPr="00980032">
        <w:rPr>
          <w:rFonts w:hint="cs"/>
          <w:spacing w:val="2"/>
          <w:rtl/>
          <w:lang w:bidi="ar-JO"/>
        </w:rPr>
        <w:t>)، وقدمت رئيسة دائرة التخطيط الاستراتيجي وشؤون الأعضاء مشروع الخطة التشغيلية للأمانة العامة</w:t>
      </w:r>
      <w:r w:rsidR="005A083F" w:rsidRPr="00980032">
        <w:rPr>
          <w:rFonts w:hint="eastAsia"/>
          <w:spacing w:val="2"/>
          <w:rtl/>
          <w:lang w:bidi="ar-JO"/>
        </w:rPr>
        <w:t> </w:t>
      </w:r>
      <w:r w:rsidRPr="00980032">
        <w:rPr>
          <w:rFonts w:hint="cs"/>
          <w:spacing w:val="2"/>
          <w:rtl/>
          <w:lang w:bidi="ar-JO"/>
        </w:rPr>
        <w:t>(الوثيقة</w:t>
      </w:r>
      <w:r w:rsidRPr="00980032">
        <w:rPr>
          <w:rFonts w:hint="eastAsia"/>
          <w:spacing w:val="2"/>
          <w:rtl/>
          <w:lang w:bidi="ar-JO"/>
        </w:rPr>
        <w:t> </w:t>
      </w:r>
      <w:r w:rsidRPr="00980032">
        <w:rPr>
          <w:spacing w:val="2"/>
          <w:lang w:bidi="ar-SY"/>
        </w:rPr>
        <w:t>C18/31</w:t>
      </w:r>
      <w:r w:rsidRPr="00980032">
        <w:rPr>
          <w:rFonts w:hint="cs"/>
          <w:spacing w:val="2"/>
          <w:rtl/>
          <w:lang w:bidi="ar-JO"/>
        </w:rPr>
        <w:t>).</w:t>
      </w:r>
    </w:p>
    <w:p w:rsidR="00EE0705" w:rsidRPr="00EE0705" w:rsidRDefault="00EE0705" w:rsidP="005A083F">
      <w:pPr>
        <w:rPr>
          <w:rtl/>
          <w:lang w:bidi="ar-SY"/>
        </w:rPr>
      </w:pPr>
      <w:r w:rsidRPr="00EE0705">
        <w:rPr>
          <w:lang w:val="fr-CH" w:bidi="ar-SY"/>
        </w:rPr>
        <w:t>3.3</w:t>
      </w:r>
      <w:r w:rsidR="005A083F">
        <w:rPr>
          <w:rtl/>
          <w:lang w:bidi="ar-EG"/>
        </w:rPr>
        <w:tab/>
      </w:r>
      <w:r w:rsidRPr="00EE0705">
        <w:rPr>
          <w:rFonts w:hint="cs"/>
          <w:rtl/>
          <w:lang w:bidi="ar-EG"/>
        </w:rPr>
        <w:t xml:space="preserve">وأعرب أحد أعضاء المجلس عن دعمه لمشروع الخطة التشغيلية الخاص بقطاع تنمية الاتصالات </w:t>
      </w:r>
      <w:r w:rsidRPr="00EE0705">
        <w:rPr>
          <w:lang w:bidi="ar-SY"/>
        </w:rPr>
        <w:t>(ITU-D</w:t>
      </w:r>
      <w:proofErr w:type="gramStart"/>
      <w:r w:rsidRPr="00EE0705">
        <w:rPr>
          <w:lang w:bidi="ar-SY"/>
        </w:rPr>
        <w:t>)</w:t>
      </w:r>
      <w:r w:rsidRPr="00EE0705">
        <w:rPr>
          <w:rFonts w:hint="cs"/>
          <w:rtl/>
          <w:lang w:bidi="ar-SY"/>
        </w:rPr>
        <w:t>،</w:t>
      </w:r>
      <w:proofErr w:type="gramEnd"/>
      <w:r w:rsidRPr="00EE0705">
        <w:rPr>
          <w:rFonts w:hint="cs"/>
          <w:rtl/>
          <w:lang w:bidi="ar-SY"/>
        </w:rPr>
        <w:t xml:space="preserve"> لا</w:t>
      </w:r>
      <w:r w:rsidR="005A083F">
        <w:rPr>
          <w:rFonts w:hint="eastAsia"/>
          <w:rtl/>
          <w:lang w:bidi="ar-SY"/>
        </w:rPr>
        <w:t> </w:t>
      </w:r>
      <w:r w:rsidRPr="00EE0705">
        <w:rPr>
          <w:rFonts w:hint="cs"/>
          <w:rtl/>
          <w:lang w:bidi="ar-SY"/>
        </w:rPr>
        <w:t>سيما التدابير التي تهدف إلى تعزيز القدرة على الشمو</w:t>
      </w:r>
      <w:r w:rsidR="00980032">
        <w:rPr>
          <w:rFonts w:hint="cs"/>
          <w:rtl/>
          <w:lang w:bidi="ar-SY"/>
        </w:rPr>
        <w:t>ل الرقمي، واتصالات الطوار</w:t>
      </w:r>
      <w:r w:rsidRPr="00EE0705">
        <w:rPr>
          <w:rFonts w:hint="cs"/>
          <w:rtl/>
          <w:lang w:bidi="ar-SY"/>
        </w:rPr>
        <w:t xml:space="preserve">ئ، والشراكات في القطاع العام، والأمن السيبراني لكي تستفيد منها الدول الأعضاء </w:t>
      </w:r>
      <w:r w:rsidR="005A083F">
        <w:rPr>
          <w:rFonts w:hint="cs"/>
          <w:rtl/>
          <w:lang w:bidi="ar-SY"/>
        </w:rPr>
        <w:t>وخصوصاً</w:t>
      </w:r>
      <w:r w:rsidRPr="00EE0705">
        <w:rPr>
          <w:rFonts w:hint="cs"/>
          <w:rtl/>
          <w:lang w:bidi="ar-SY"/>
        </w:rPr>
        <w:t xml:space="preserve"> البلدان النامية. كما أعرب عضو آخر من أعضاء المجلس عن قلقه إزاء مشروع الخطة التشغيلية لقطاع الاتصالات الراديوية (الوثيقة </w:t>
      </w:r>
      <w:r w:rsidRPr="00EE0705">
        <w:rPr>
          <w:lang w:bidi="ar-SY"/>
        </w:rPr>
        <w:t>C18/28(Rev.1)</w:t>
      </w:r>
      <w:r w:rsidRPr="00EE0705">
        <w:rPr>
          <w:rFonts w:hint="cs"/>
          <w:rtl/>
          <w:lang w:bidi="ar-SY"/>
        </w:rPr>
        <w:t>) وخاصة فيما يتعلق بزيادة الوقت اللازم لمعالجة بطاقات التبليغ عن الشبكات الساتلية وعدم الامتثال للمواعيد النهائية الإلزامية لفترات طويلة من الوقت؛ وفي هذا الصدد: يحتاج مكتب الاتصالات الراديوية إلى وضع تدابير تنظيمية وتقنية عاجلة لحل المشكلة.</w:t>
      </w:r>
    </w:p>
    <w:p w:rsidR="00EE0705" w:rsidRPr="00EE0705" w:rsidRDefault="00EE0705" w:rsidP="004271E2">
      <w:pPr>
        <w:rPr>
          <w:rtl/>
          <w:lang w:bidi="ar-EG"/>
        </w:rPr>
      </w:pPr>
      <w:r w:rsidRPr="00EE0705">
        <w:rPr>
          <w:lang w:val="fr-CH" w:bidi="ar-SY"/>
        </w:rPr>
        <w:t>4.3</w:t>
      </w:r>
      <w:r w:rsidR="005A083F">
        <w:rPr>
          <w:rtl/>
          <w:lang w:bidi="ar-EG"/>
        </w:rPr>
        <w:tab/>
      </w:r>
      <w:r w:rsidRPr="00EE0705">
        <w:rPr>
          <w:rFonts w:hint="cs"/>
          <w:b/>
          <w:bCs/>
          <w:rtl/>
          <w:lang w:bidi="ar-EG"/>
        </w:rPr>
        <w:t>وأقر</w:t>
      </w:r>
      <w:r w:rsidRPr="00EE0705">
        <w:rPr>
          <w:rFonts w:hint="cs"/>
          <w:rtl/>
          <w:lang w:bidi="ar-EG"/>
        </w:rPr>
        <w:t xml:space="preserve"> المجلس مشاريع الخطط التشغيلية الرباعية المتجددة لقطاع الاتصالات الراديوية</w:t>
      </w:r>
      <w:r w:rsidR="004271E2">
        <w:rPr>
          <w:rFonts w:hint="eastAsia"/>
          <w:rtl/>
          <w:lang w:bidi="ar-EG"/>
        </w:rPr>
        <w:t> </w:t>
      </w:r>
      <w:r w:rsidRPr="00EE0705">
        <w:rPr>
          <w:lang w:bidi="ar-SY"/>
        </w:rPr>
        <w:t>(ITU-R)</w:t>
      </w:r>
      <w:r w:rsidRPr="00EE0705">
        <w:rPr>
          <w:rFonts w:hint="cs"/>
          <w:rtl/>
          <w:lang w:bidi="ar-SY"/>
        </w:rPr>
        <w:t xml:space="preserve"> وقطاع تقييس الاتصالات</w:t>
      </w:r>
      <w:r w:rsidR="005A083F">
        <w:rPr>
          <w:rFonts w:hint="eastAsia"/>
          <w:rtl/>
          <w:lang w:bidi="ar-SY"/>
        </w:rPr>
        <w:t> </w:t>
      </w:r>
      <w:r w:rsidRPr="00EE0705">
        <w:rPr>
          <w:lang w:bidi="ar-SY"/>
        </w:rPr>
        <w:t>(ITU-T)</w:t>
      </w:r>
      <w:r w:rsidRPr="00EE0705">
        <w:rPr>
          <w:rFonts w:hint="cs"/>
          <w:rtl/>
          <w:lang w:bidi="ar-SY"/>
        </w:rPr>
        <w:t xml:space="preserve"> وقطاع تنمية الاتصالات</w:t>
      </w:r>
      <w:r w:rsidR="00F97AA9">
        <w:rPr>
          <w:rFonts w:hint="eastAsia"/>
          <w:rtl/>
          <w:lang w:bidi="ar-SY"/>
        </w:rPr>
        <w:t> </w:t>
      </w:r>
      <w:r w:rsidRPr="00EE0705">
        <w:rPr>
          <w:lang w:bidi="ar-SY"/>
        </w:rPr>
        <w:t>(ITU-D)</w:t>
      </w:r>
      <w:r w:rsidRPr="00EE0705">
        <w:rPr>
          <w:rFonts w:hint="cs"/>
          <w:rtl/>
          <w:lang w:bidi="ar-SY"/>
        </w:rPr>
        <w:t xml:space="preserve"> والأمانة العامة، كما</w:t>
      </w:r>
      <w:r w:rsidRPr="00EE0705">
        <w:rPr>
          <w:rFonts w:hint="cs"/>
          <w:b/>
          <w:bCs/>
          <w:rtl/>
          <w:lang w:bidi="ar-SY"/>
        </w:rPr>
        <w:t xml:space="preserve"> اعتمد</w:t>
      </w:r>
      <w:r w:rsidRPr="00EE0705">
        <w:rPr>
          <w:rFonts w:hint="cs"/>
          <w:rtl/>
          <w:lang w:bidi="ar-SY"/>
        </w:rPr>
        <w:t xml:space="preserve"> القرار الوارد في الوثيقة</w:t>
      </w:r>
      <w:r w:rsidR="004271E2">
        <w:rPr>
          <w:rFonts w:hint="eastAsia"/>
          <w:rtl/>
          <w:lang w:bidi="ar-SY"/>
        </w:rPr>
        <w:t> </w:t>
      </w:r>
      <w:r w:rsidRPr="00EE0705">
        <w:rPr>
          <w:lang w:bidi="ar-SY"/>
        </w:rPr>
        <w:t>C18/32</w:t>
      </w:r>
      <w:r w:rsidRPr="00EE0705">
        <w:rPr>
          <w:rFonts w:hint="cs"/>
          <w:rtl/>
          <w:lang w:bidi="ar-SY"/>
        </w:rPr>
        <w:t>.</w:t>
      </w:r>
    </w:p>
    <w:p w:rsidR="00EE0705" w:rsidRPr="00EE0705" w:rsidRDefault="00EE0705" w:rsidP="00DE6BBC">
      <w:pPr>
        <w:pStyle w:val="Heading1"/>
        <w:rPr>
          <w:rtl/>
          <w:lang w:bidi="ar-SY"/>
        </w:rPr>
      </w:pPr>
      <w:r w:rsidRPr="00EE0705">
        <w:rPr>
          <w:lang w:val="fr-CH" w:bidi="ar-SY"/>
        </w:rPr>
        <w:t>4</w:t>
      </w:r>
      <w:r w:rsidRPr="00EE0705">
        <w:rPr>
          <w:rtl/>
          <w:lang w:bidi="ar-EG"/>
        </w:rPr>
        <w:tab/>
      </w:r>
      <w:r w:rsidRPr="00EE0705">
        <w:rPr>
          <w:rFonts w:hint="cs"/>
          <w:rtl/>
          <w:lang w:bidi="ar-SY"/>
        </w:rPr>
        <w:t>اليوم العالمي للاتصالات ومجتمع المعلومات</w:t>
      </w:r>
      <w:r w:rsidRPr="00EE0705">
        <w:rPr>
          <w:rFonts w:hint="cs"/>
          <w:rtl/>
        </w:rPr>
        <w:t xml:space="preserve"> </w:t>
      </w:r>
      <w:r w:rsidRPr="00EE0705">
        <w:rPr>
          <w:rFonts w:hint="cs"/>
          <w:rtl/>
          <w:lang w:bidi="ar-EG"/>
        </w:rPr>
        <w:t>(الوثيق</w:t>
      </w:r>
      <w:r w:rsidRPr="00EE0705">
        <w:rPr>
          <w:rFonts w:hint="cs"/>
          <w:rtl/>
          <w:lang w:bidi="ar-SY"/>
        </w:rPr>
        <w:t>ة</w:t>
      </w:r>
      <w:r w:rsidRPr="00EE0705">
        <w:rPr>
          <w:rFonts w:hint="cs"/>
          <w:rtl/>
          <w:lang w:bidi="ar-EG"/>
        </w:rPr>
        <w:t xml:space="preserve"> </w:t>
      </w:r>
      <w:r w:rsidRPr="00EE0705">
        <w:rPr>
          <w:lang w:bidi="ar-SY"/>
        </w:rPr>
        <w:t>C18/</w:t>
      </w:r>
      <w:r w:rsidR="00DE6BBC">
        <w:rPr>
          <w:lang w:bidi="ar-SY"/>
        </w:rPr>
        <w:t>17</w:t>
      </w:r>
      <w:r w:rsidRPr="00EE0705">
        <w:rPr>
          <w:rFonts w:hint="cs"/>
          <w:rtl/>
          <w:lang w:bidi="ar-EG"/>
        </w:rPr>
        <w:t>)</w:t>
      </w:r>
    </w:p>
    <w:p w:rsidR="00EE0705" w:rsidRPr="00EE0705" w:rsidRDefault="00EE0705" w:rsidP="00696811">
      <w:pPr>
        <w:rPr>
          <w:rtl/>
          <w:lang w:bidi="ar-SY"/>
        </w:rPr>
      </w:pPr>
      <w:r w:rsidRPr="00EE0705">
        <w:rPr>
          <w:lang w:val="fr-CH" w:bidi="ar-SY"/>
        </w:rPr>
        <w:t>1.4</w:t>
      </w:r>
      <w:r w:rsidR="005A083F">
        <w:rPr>
          <w:rtl/>
          <w:lang w:bidi="ar-EG"/>
        </w:rPr>
        <w:tab/>
      </w:r>
      <w:r w:rsidRPr="005A083F">
        <w:rPr>
          <w:rFonts w:hint="cs"/>
          <w:spacing w:val="2"/>
          <w:rtl/>
          <w:lang w:bidi="ar-EG"/>
        </w:rPr>
        <w:t>قدمت ممثلة الأمانة تقرير الأمين العام بشأن اليوم العالمي للاتصالات ومجتمع المعلومات</w:t>
      </w:r>
      <w:r w:rsidR="00696811">
        <w:rPr>
          <w:rFonts w:hint="eastAsia"/>
          <w:spacing w:val="2"/>
          <w:rtl/>
          <w:lang w:bidi="ar-EG"/>
        </w:rPr>
        <w:t> </w:t>
      </w:r>
      <w:r w:rsidRPr="005A083F">
        <w:rPr>
          <w:spacing w:val="2"/>
          <w:lang w:bidi="ar-SY"/>
        </w:rPr>
        <w:t>(WTISD</w:t>
      </w:r>
      <w:proofErr w:type="gramStart"/>
      <w:r w:rsidRPr="005A083F">
        <w:rPr>
          <w:spacing w:val="2"/>
          <w:lang w:bidi="ar-SY"/>
        </w:rPr>
        <w:t>)</w:t>
      </w:r>
      <w:r w:rsidRPr="005A083F">
        <w:rPr>
          <w:rFonts w:hint="cs"/>
          <w:spacing w:val="2"/>
          <w:rtl/>
          <w:lang w:bidi="ar-SY"/>
        </w:rPr>
        <w:t>،</w:t>
      </w:r>
      <w:proofErr w:type="gramEnd"/>
      <w:r w:rsidRPr="005A083F">
        <w:rPr>
          <w:rFonts w:hint="cs"/>
          <w:spacing w:val="2"/>
          <w:rtl/>
          <w:lang w:bidi="ar-SY"/>
        </w:rPr>
        <w:t xml:space="preserve"> الوارد في</w:t>
      </w:r>
      <w:r w:rsidR="005A083F" w:rsidRPr="005A083F">
        <w:rPr>
          <w:rFonts w:hint="eastAsia"/>
          <w:spacing w:val="2"/>
          <w:rtl/>
          <w:lang w:bidi="ar-SY"/>
        </w:rPr>
        <w:t> </w:t>
      </w:r>
      <w:r w:rsidRPr="005A083F">
        <w:rPr>
          <w:rFonts w:hint="cs"/>
          <w:spacing w:val="2"/>
          <w:rtl/>
          <w:lang w:bidi="ar-SY"/>
        </w:rPr>
        <w:t>الوثيقة</w:t>
      </w:r>
      <w:r w:rsidR="005A083F" w:rsidRPr="005A083F">
        <w:rPr>
          <w:rFonts w:hint="eastAsia"/>
          <w:spacing w:val="2"/>
          <w:rtl/>
          <w:lang w:bidi="ar-SY"/>
        </w:rPr>
        <w:t> </w:t>
      </w:r>
      <w:r w:rsidRPr="005A083F">
        <w:rPr>
          <w:spacing w:val="2"/>
          <w:lang w:bidi="ar-SY"/>
        </w:rPr>
        <w:t>C18/17</w:t>
      </w:r>
      <w:r w:rsidRPr="005A083F">
        <w:rPr>
          <w:rFonts w:hint="cs"/>
          <w:spacing w:val="2"/>
          <w:rtl/>
          <w:lang w:bidi="ar-SY"/>
        </w:rPr>
        <w:t>.</w:t>
      </w:r>
    </w:p>
    <w:p w:rsidR="00EE0705" w:rsidRPr="00DD4E1F" w:rsidRDefault="00EE0705" w:rsidP="005A083F">
      <w:pPr>
        <w:rPr>
          <w:spacing w:val="-4"/>
          <w:rtl/>
          <w:lang w:bidi="ar-SY"/>
        </w:rPr>
      </w:pPr>
      <w:r w:rsidRPr="00DD4E1F">
        <w:rPr>
          <w:spacing w:val="-4"/>
          <w:lang w:val="fr-CH" w:bidi="ar-SY"/>
        </w:rPr>
        <w:t>2.4</w:t>
      </w:r>
      <w:r w:rsidR="005A083F" w:rsidRPr="00DD4E1F">
        <w:rPr>
          <w:spacing w:val="-4"/>
          <w:rtl/>
          <w:lang w:bidi="ar-EG"/>
        </w:rPr>
        <w:tab/>
      </w:r>
      <w:r w:rsidRPr="00DD4E1F">
        <w:rPr>
          <w:rFonts w:hint="cs"/>
          <w:b/>
          <w:bCs/>
          <w:spacing w:val="-4"/>
          <w:rtl/>
          <w:lang w:bidi="ar-EG"/>
        </w:rPr>
        <w:t>وأحاط</w:t>
      </w:r>
      <w:r w:rsidRPr="00DD4E1F">
        <w:rPr>
          <w:rFonts w:hint="cs"/>
          <w:spacing w:val="-4"/>
          <w:rtl/>
          <w:lang w:bidi="ar-EG"/>
        </w:rPr>
        <w:t xml:space="preserve"> المجلس </w:t>
      </w:r>
      <w:r w:rsidRPr="00DD4E1F">
        <w:rPr>
          <w:rFonts w:hint="cs"/>
          <w:b/>
          <w:bCs/>
          <w:spacing w:val="-4"/>
          <w:rtl/>
          <w:lang w:bidi="ar-EG"/>
        </w:rPr>
        <w:t>علماً</w:t>
      </w:r>
      <w:r w:rsidRPr="00DD4E1F">
        <w:rPr>
          <w:rFonts w:hint="cs"/>
          <w:spacing w:val="-4"/>
          <w:rtl/>
          <w:lang w:bidi="ar-EG"/>
        </w:rPr>
        <w:t xml:space="preserve"> بالاحتفال باليوم العالمي للاتصالات ومجتمع المعلومات </w:t>
      </w:r>
      <w:r w:rsidRPr="00DD4E1F">
        <w:rPr>
          <w:spacing w:val="-4"/>
          <w:lang w:bidi="ar-SY"/>
        </w:rPr>
        <w:t>(WTISD)</w:t>
      </w:r>
      <w:r w:rsidRPr="00DD4E1F">
        <w:rPr>
          <w:rFonts w:hint="cs"/>
          <w:spacing w:val="-4"/>
          <w:rtl/>
          <w:lang w:bidi="ar-EG"/>
        </w:rPr>
        <w:t xml:space="preserve"> لعام </w:t>
      </w:r>
      <w:r w:rsidRPr="00DD4E1F">
        <w:rPr>
          <w:spacing w:val="-4"/>
          <w:lang w:bidi="ar-SY"/>
        </w:rPr>
        <w:t>2018</w:t>
      </w:r>
      <w:r w:rsidRPr="00DD4E1F">
        <w:rPr>
          <w:rFonts w:hint="cs"/>
          <w:spacing w:val="-4"/>
          <w:rtl/>
          <w:lang w:bidi="ar-SY"/>
        </w:rPr>
        <w:t xml:space="preserve"> حول موضوع</w:t>
      </w:r>
      <w:r w:rsidR="005A083F" w:rsidRPr="00DD4E1F">
        <w:rPr>
          <w:rFonts w:hint="eastAsia"/>
          <w:spacing w:val="-4"/>
          <w:rtl/>
          <w:lang w:bidi="ar-SY"/>
        </w:rPr>
        <w:t> </w:t>
      </w:r>
      <w:r w:rsidRPr="00DD4E1F">
        <w:rPr>
          <w:rFonts w:hint="cs"/>
          <w:spacing w:val="-4"/>
          <w:rtl/>
          <w:lang w:bidi="ar-SY"/>
        </w:rPr>
        <w:t xml:space="preserve">"الذكاء الاصطناعي من أجل الصالح العام"، </w:t>
      </w:r>
      <w:r w:rsidRPr="00DD4E1F">
        <w:rPr>
          <w:rFonts w:hint="cs"/>
          <w:b/>
          <w:bCs/>
          <w:spacing w:val="-4"/>
          <w:rtl/>
          <w:lang w:bidi="ar-SY"/>
        </w:rPr>
        <w:t>ووافق</w:t>
      </w:r>
      <w:r w:rsidRPr="00DD4E1F">
        <w:rPr>
          <w:rFonts w:hint="cs"/>
          <w:spacing w:val="-4"/>
          <w:rtl/>
          <w:lang w:bidi="ar-SY"/>
        </w:rPr>
        <w:t xml:space="preserve"> على اختيار موضوع "سد الفجوة التقييسية" للاحتفال باليوم العالمي</w:t>
      </w:r>
      <w:r w:rsidR="005A083F" w:rsidRPr="00DD4E1F">
        <w:rPr>
          <w:rFonts w:hint="eastAsia"/>
          <w:spacing w:val="-4"/>
          <w:rtl/>
          <w:lang w:bidi="ar-SY"/>
        </w:rPr>
        <w:t> </w:t>
      </w:r>
      <w:r w:rsidRPr="00DD4E1F">
        <w:rPr>
          <w:spacing w:val="-4"/>
          <w:lang w:bidi="ar-SY"/>
        </w:rPr>
        <w:t>(WTISD)</w:t>
      </w:r>
      <w:r w:rsidRPr="00DD4E1F">
        <w:rPr>
          <w:rFonts w:hint="cs"/>
          <w:spacing w:val="-4"/>
          <w:rtl/>
          <w:lang w:bidi="ar-SY"/>
        </w:rPr>
        <w:t xml:space="preserve"> لعام</w:t>
      </w:r>
      <w:r w:rsidR="005A083F" w:rsidRPr="00DD4E1F">
        <w:rPr>
          <w:rFonts w:hint="eastAsia"/>
          <w:spacing w:val="-4"/>
          <w:rtl/>
          <w:lang w:bidi="ar-SY"/>
        </w:rPr>
        <w:t> </w:t>
      </w:r>
      <w:r w:rsidRPr="00DD4E1F">
        <w:rPr>
          <w:spacing w:val="-4"/>
          <w:lang w:bidi="ar-SY"/>
        </w:rPr>
        <w:t>2019</w:t>
      </w:r>
      <w:r w:rsidRPr="00DD4E1F">
        <w:rPr>
          <w:rFonts w:hint="cs"/>
          <w:spacing w:val="-4"/>
          <w:rtl/>
          <w:lang w:bidi="ar-SY"/>
        </w:rPr>
        <w:t>.</w:t>
      </w:r>
    </w:p>
    <w:p w:rsidR="00EE0705" w:rsidRPr="00EE0705" w:rsidRDefault="00EE0705" w:rsidP="005A083F">
      <w:pPr>
        <w:pStyle w:val="Heading1"/>
        <w:rPr>
          <w:lang w:bidi="ar-SY"/>
        </w:rPr>
      </w:pPr>
      <w:r w:rsidRPr="00EE0705">
        <w:rPr>
          <w:lang w:val="fr-CH" w:bidi="ar-SY"/>
        </w:rPr>
        <w:t>5</w:t>
      </w:r>
      <w:r w:rsidRPr="00EE0705">
        <w:rPr>
          <w:rtl/>
          <w:lang w:bidi="ar-EG"/>
        </w:rPr>
        <w:tab/>
      </w:r>
      <w:r w:rsidRPr="00EE0705">
        <w:rPr>
          <w:rFonts w:hint="cs"/>
          <w:rtl/>
          <w:lang w:bidi="ar-EG"/>
        </w:rPr>
        <w:t>مبيعات منشورات الاتحاد الدولي للاتصالات والنفاذ الإلكتروني المجاني إليها</w:t>
      </w:r>
    </w:p>
    <w:p w:rsidR="00EE0705" w:rsidRPr="00EE0705" w:rsidRDefault="00EE0705" w:rsidP="005A083F">
      <w:pPr>
        <w:rPr>
          <w:rtl/>
          <w:lang w:bidi="ar-SY"/>
        </w:rPr>
      </w:pPr>
      <w:proofErr w:type="gramStart"/>
      <w:r w:rsidRPr="00EE0705">
        <w:rPr>
          <w:lang w:bidi="ar-SY"/>
        </w:rPr>
        <w:t>1.5</w:t>
      </w:r>
      <w:proofErr w:type="gramEnd"/>
      <w:r w:rsidRPr="00EE0705">
        <w:rPr>
          <w:rFonts w:hint="cs"/>
          <w:rtl/>
          <w:lang w:bidi="ar-SY"/>
        </w:rPr>
        <w:tab/>
      </w:r>
      <w:r w:rsidRPr="00EE0705">
        <w:rPr>
          <w:rFonts w:hint="cs"/>
          <w:rtl/>
          <w:lang w:bidi="ar-EG"/>
        </w:rPr>
        <w:t xml:space="preserve">قدم رئيس دائرة إدارة الموارد </w:t>
      </w:r>
      <w:r w:rsidR="005A083F">
        <w:rPr>
          <w:rFonts w:hint="cs"/>
          <w:rtl/>
          <w:lang w:bidi="ar-EG"/>
        </w:rPr>
        <w:t>المالية</w:t>
      </w:r>
      <w:r w:rsidRPr="00EE0705">
        <w:rPr>
          <w:rFonts w:hint="cs"/>
          <w:rtl/>
          <w:lang w:bidi="ar-EG"/>
        </w:rPr>
        <w:t xml:space="preserve"> تقرير الأمين العام بشأن مبيعات منشورات الاتحاد الدولي للاتصالات والنفاذ الإلكتروني المجاني إليها، الوارد في الوثيقة </w:t>
      </w:r>
      <w:r w:rsidRPr="00EE0705">
        <w:rPr>
          <w:lang w:bidi="ar-SY"/>
        </w:rPr>
        <w:t>C18/21</w:t>
      </w:r>
      <w:r w:rsidRPr="00EE0705">
        <w:rPr>
          <w:rFonts w:hint="cs"/>
          <w:rtl/>
          <w:lang w:bidi="ar-SY"/>
        </w:rPr>
        <w:t xml:space="preserve">. وقد شهد النفاذ الإلكتروني المجاني إلى منشورات الاتحاد توسعاً كبيراً، ليشمل قواعد بيانات الإحصاءات والمؤشرات، </w:t>
      </w:r>
      <w:r w:rsidR="005A083F">
        <w:rPr>
          <w:rFonts w:hint="cs"/>
          <w:rtl/>
          <w:lang w:bidi="ar-SY"/>
        </w:rPr>
        <w:t>ال</w:t>
      </w:r>
      <w:r w:rsidRPr="00EE0705">
        <w:rPr>
          <w:rFonts w:hint="cs"/>
          <w:rtl/>
          <w:lang w:bidi="ar-SY"/>
        </w:rPr>
        <w:t xml:space="preserve">متاحة مجاناً؛ وأدى </w:t>
      </w:r>
      <w:r w:rsidR="005A083F">
        <w:rPr>
          <w:rFonts w:hint="cs"/>
          <w:rtl/>
          <w:lang w:bidi="ar-SY"/>
        </w:rPr>
        <w:t xml:space="preserve">إصدار </w:t>
      </w:r>
      <w:r w:rsidRPr="00EE0705">
        <w:rPr>
          <w:rFonts w:hint="cs"/>
          <w:rtl/>
          <w:lang w:bidi="ar-SY"/>
        </w:rPr>
        <w:t xml:space="preserve">الطبعات الجديدة من الوثائق </w:t>
      </w:r>
      <w:r w:rsidR="005A083F">
        <w:rPr>
          <w:rFonts w:hint="cs"/>
          <w:rtl/>
          <w:lang w:bidi="ar-SY"/>
        </w:rPr>
        <w:t xml:space="preserve">الرئيسية المتعلقة بالخدمة </w:t>
      </w:r>
      <w:r w:rsidRPr="00EE0705">
        <w:rPr>
          <w:rFonts w:hint="cs"/>
          <w:rtl/>
          <w:lang w:bidi="ar-SY"/>
        </w:rPr>
        <w:t>البحرية في</w:t>
      </w:r>
      <w:r w:rsidR="005A083F">
        <w:rPr>
          <w:rFonts w:hint="eastAsia"/>
          <w:rtl/>
          <w:lang w:bidi="ar-SY"/>
        </w:rPr>
        <w:t> </w:t>
      </w:r>
      <w:r w:rsidRPr="00EE0705">
        <w:rPr>
          <w:rFonts w:hint="cs"/>
          <w:rtl/>
          <w:lang w:bidi="ar-SY"/>
        </w:rPr>
        <w:t>عام</w:t>
      </w:r>
      <w:r w:rsidR="005A083F">
        <w:rPr>
          <w:rFonts w:hint="eastAsia"/>
          <w:rtl/>
          <w:lang w:bidi="ar-SY"/>
        </w:rPr>
        <w:t> </w:t>
      </w:r>
      <w:r w:rsidRPr="00EE0705">
        <w:rPr>
          <w:lang w:bidi="ar-SY"/>
        </w:rPr>
        <w:t>2017</w:t>
      </w:r>
      <w:r w:rsidRPr="00EE0705">
        <w:rPr>
          <w:rFonts w:hint="cs"/>
          <w:rtl/>
          <w:lang w:bidi="ar-SY"/>
        </w:rPr>
        <w:t xml:space="preserve"> إلى إيرادات في المبيعات بلغت قيمتها </w:t>
      </w:r>
      <w:r w:rsidRPr="00EE0705">
        <w:rPr>
          <w:lang w:bidi="ar-SY"/>
        </w:rPr>
        <w:t>19</w:t>
      </w:r>
      <w:r w:rsidR="005A083F">
        <w:rPr>
          <w:lang w:bidi="ar-SY"/>
        </w:rPr>
        <w:t>,</w:t>
      </w:r>
      <w:r w:rsidRPr="00EE0705">
        <w:rPr>
          <w:lang w:bidi="ar-SY"/>
        </w:rPr>
        <w:t>5</w:t>
      </w:r>
      <w:r w:rsidRPr="00EE0705">
        <w:rPr>
          <w:rFonts w:hint="cs"/>
          <w:rtl/>
          <w:lang w:bidi="ar-SY"/>
        </w:rPr>
        <w:t xml:space="preserve"> مليون فرنك سويسري. </w:t>
      </w:r>
      <w:r w:rsidR="005A083F">
        <w:rPr>
          <w:rFonts w:hint="cs"/>
          <w:rtl/>
          <w:lang w:bidi="ar-SY"/>
        </w:rPr>
        <w:t>ويُ</w:t>
      </w:r>
      <w:r w:rsidRPr="00EE0705">
        <w:rPr>
          <w:rFonts w:hint="cs"/>
          <w:rtl/>
          <w:lang w:bidi="ar-SY"/>
        </w:rPr>
        <w:t>قترح تضمين هذه المعلومات في</w:t>
      </w:r>
      <w:r w:rsidR="005A083F">
        <w:rPr>
          <w:rFonts w:hint="eastAsia"/>
          <w:rtl/>
          <w:lang w:bidi="ar-SY"/>
        </w:rPr>
        <w:t> </w:t>
      </w:r>
      <w:r w:rsidR="005A083F">
        <w:rPr>
          <w:rFonts w:hint="cs"/>
          <w:rtl/>
          <w:lang w:bidi="ar-SY"/>
        </w:rPr>
        <w:t>المستقبل في </w:t>
      </w:r>
      <w:r w:rsidRPr="00EE0705">
        <w:rPr>
          <w:rFonts w:hint="cs"/>
          <w:rtl/>
          <w:lang w:bidi="ar-SY"/>
        </w:rPr>
        <w:t xml:space="preserve">التقرير السنوي الخاص بالأنشطة (الوثيقة </w:t>
      </w:r>
      <w:r w:rsidRPr="00EE0705">
        <w:rPr>
          <w:lang w:bidi="ar-SY"/>
        </w:rPr>
        <w:t>35</w:t>
      </w:r>
      <w:r w:rsidRPr="00EE0705">
        <w:rPr>
          <w:rFonts w:hint="cs"/>
          <w:rtl/>
          <w:lang w:bidi="ar-SY"/>
        </w:rPr>
        <w:t>)، وبالتالي الاستغناء عن الحاجة إلى تقرير منفصل.</w:t>
      </w:r>
    </w:p>
    <w:p w:rsidR="00EE0705" w:rsidRPr="00EE0705" w:rsidRDefault="00EE0705" w:rsidP="00A7408E">
      <w:pPr>
        <w:rPr>
          <w:rtl/>
          <w:lang w:bidi="ar-EG"/>
        </w:rPr>
      </w:pPr>
      <w:proofErr w:type="gramStart"/>
      <w:r w:rsidRPr="00EE0705">
        <w:rPr>
          <w:lang w:val="en-GB" w:bidi="ar-SY"/>
        </w:rPr>
        <w:t>2.5</w:t>
      </w:r>
      <w:proofErr w:type="gramEnd"/>
      <w:r w:rsidRPr="00EE0705">
        <w:rPr>
          <w:rtl/>
          <w:lang w:bidi="ar-SY"/>
        </w:rPr>
        <w:tab/>
      </w:r>
      <w:r w:rsidRPr="00EE0705">
        <w:rPr>
          <w:rFonts w:hint="cs"/>
          <w:rtl/>
          <w:lang w:bidi="ar-SY"/>
        </w:rPr>
        <w:t>ورحب أعضاء المجلس بالزيادة في النفاذ الإلكتروني المجاني إلى المنشورات، وبانعدام</w:t>
      </w:r>
      <w:r w:rsidR="005A083F">
        <w:rPr>
          <w:rFonts w:hint="cs"/>
          <w:rtl/>
          <w:lang w:bidi="ar-SY"/>
        </w:rPr>
        <w:t xml:space="preserve"> أي</w:t>
      </w:r>
      <w:r w:rsidRPr="00EE0705">
        <w:rPr>
          <w:rFonts w:hint="cs"/>
          <w:rtl/>
          <w:lang w:bidi="ar-SY"/>
        </w:rPr>
        <w:t xml:space="preserve"> أثر مالي مترتب </w:t>
      </w:r>
      <w:r w:rsidR="005A083F">
        <w:rPr>
          <w:rFonts w:hint="cs"/>
          <w:rtl/>
          <w:lang w:bidi="ar-SY"/>
        </w:rPr>
        <w:t xml:space="preserve">على </w:t>
      </w:r>
      <w:r w:rsidRPr="00EE0705">
        <w:rPr>
          <w:rFonts w:hint="cs"/>
          <w:rtl/>
          <w:lang w:bidi="ar-SY"/>
        </w:rPr>
        <w:t xml:space="preserve">هذه الزيادة، وأثار أحد أعضاء المجلس إمكانية وضع علامات مائية للمنشورات الجديدة </w:t>
      </w:r>
      <w:r w:rsidR="005A083F">
        <w:rPr>
          <w:rFonts w:hint="cs"/>
          <w:rtl/>
          <w:lang w:bidi="ar-SY"/>
        </w:rPr>
        <w:t xml:space="preserve">بشأن الخدمة البحرية </w:t>
      </w:r>
      <w:r w:rsidRPr="00EE0705">
        <w:rPr>
          <w:rFonts w:hint="cs"/>
          <w:rtl/>
          <w:lang w:bidi="ar-SY"/>
        </w:rPr>
        <w:t>لمنع النسخ غير</w:t>
      </w:r>
      <w:r w:rsidR="00A7408E">
        <w:rPr>
          <w:rFonts w:hint="eastAsia"/>
          <w:rtl/>
          <w:lang w:bidi="ar-SY"/>
        </w:rPr>
        <w:t> </w:t>
      </w:r>
      <w:r w:rsidRPr="00EE0705">
        <w:rPr>
          <w:rFonts w:hint="cs"/>
          <w:rtl/>
          <w:lang w:bidi="ar-SY"/>
        </w:rPr>
        <w:t>المشروع؛ ويمكن أن تساهم هذه التدابير في زيادة إيرادات المبيعات.</w:t>
      </w:r>
    </w:p>
    <w:p w:rsidR="00EE0705" w:rsidRDefault="00EE0705" w:rsidP="005A083F">
      <w:pPr>
        <w:rPr>
          <w:rtl/>
          <w:lang w:bidi="ar-EG"/>
        </w:rPr>
      </w:pPr>
      <w:r w:rsidRPr="00EE0705">
        <w:rPr>
          <w:lang w:val="fr-CH" w:bidi="ar-SY"/>
        </w:rPr>
        <w:t>3.5</w:t>
      </w:r>
      <w:r w:rsidR="005A083F">
        <w:rPr>
          <w:rtl/>
          <w:lang w:bidi="ar-EG"/>
        </w:rPr>
        <w:tab/>
      </w:r>
      <w:r w:rsidRPr="00EE0705">
        <w:rPr>
          <w:rFonts w:hint="cs"/>
          <w:rtl/>
          <w:lang w:bidi="ar-EG"/>
        </w:rPr>
        <w:t xml:space="preserve">وأحاط المجلس </w:t>
      </w:r>
      <w:r w:rsidRPr="00EE0705">
        <w:rPr>
          <w:rFonts w:hint="cs"/>
          <w:b/>
          <w:bCs/>
          <w:rtl/>
          <w:lang w:bidi="ar-EG"/>
        </w:rPr>
        <w:t>علماً</w:t>
      </w:r>
      <w:r w:rsidRPr="00EE0705">
        <w:rPr>
          <w:rFonts w:hint="cs"/>
          <w:rtl/>
          <w:lang w:bidi="ar-EG"/>
        </w:rPr>
        <w:t xml:space="preserve"> </w:t>
      </w:r>
      <w:r w:rsidRPr="00EE0705">
        <w:rPr>
          <w:rFonts w:hint="cs"/>
          <w:rtl/>
          <w:lang w:bidi="ar-SY"/>
        </w:rPr>
        <w:t>ب</w:t>
      </w:r>
      <w:r w:rsidRPr="00EE0705">
        <w:rPr>
          <w:rFonts w:hint="cs"/>
          <w:rtl/>
          <w:lang w:bidi="ar-EG"/>
        </w:rPr>
        <w:t xml:space="preserve">الوثيقة </w:t>
      </w:r>
      <w:r w:rsidRPr="00EE0705">
        <w:rPr>
          <w:lang w:val="fr-CH" w:bidi="ar-SY"/>
        </w:rPr>
        <w:t>C18/21</w:t>
      </w:r>
      <w:r w:rsidRPr="00EE0705">
        <w:rPr>
          <w:rFonts w:hint="cs"/>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gridCol w:w="2977"/>
      </w:tblGrid>
      <w:tr w:rsidR="005A083F" w:rsidTr="00696811">
        <w:tc>
          <w:tcPr>
            <w:tcW w:w="6652" w:type="dxa"/>
          </w:tcPr>
          <w:p w:rsidR="005A083F" w:rsidRDefault="005A083F" w:rsidP="0038460E">
            <w:pPr>
              <w:spacing w:before="840"/>
              <w:jc w:val="left"/>
              <w:rPr>
                <w:rtl/>
                <w:lang w:bidi="ar-EG"/>
              </w:rPr>
            </w:pPr>
            <w:r w:rsidRPr="00EE0705">
              <w:rPr>
                <w:rtl/>
                <w:lang w:bidi="ar-EG"/>
              </w:rPr>
              <w:t>الأمين</w:t>
            </w:r>
            <w:r w:rsidR="00A7408E">
              <w:rPr>
                <w:rFonts w:hint="cs"/>
                <w:rtl/>
                <w:lang w:bidi="ar-EG"/>
              </w:rPr>
              <w:t> </w:t>
            </w:r>
            <w:proofErr w:type="gramStart"/>
            <w:r w:rsidRPr="00EE0705">
              <w:rPr>
                <w:rtl/>
                <w:lang w:bidi="ar-EG"/>
              </w:rPr>
              <w:t>العام</w:t>
            </w:r>
            <w:r>
              <w:rPr>
                <w:rFonts w:hint="cs"/>
                <w:rtl/>
                <w:lang w:bidi="ar-EG"/>
              </w:rPr>
              <w:t>:</w:t>
            </w:r>
            <w:r>
              <w:rPr>
                <w:rtl/>
                <w:lang w:bidi="ar-EG"/>
              </w:rPr>
              <w:br/>
            </w:r>
            <w:r w:rsidR="00696811">
              <w:rPr>
                <w:rFonts w:hint="cs"/>
                <w:rtl/>
                <w:lang w:bidi="ar-EG"/>
              </w:rPr>
              <w:t>هولين</w:t>
            </w:r>
            <w:proofErr w:type="gramEnd"/>
            <w:r w:rsidR="0038460E">
              <w:rPr>
                <w:rFonts w:hint="eastAsia"/>
                <w:rtl/>
                <w:lang w:bidi="ar-EG"/>
              </w:rPr>
              <w:t> </w:t>
            </w:r>
            <w:r>
              <w:rPr>
                <w:rFonts w:hint="cs"/>
                <w:rtl/>
                <w:lang w:bidi="ar-EG"/>
              </w:rPr>
              <w:t>جاو</w:t>
            </w:r>
          </w:p>
        </w:tc>
        <w:tc>
          <w:tcPr>
            <w:tcW w:w="2977" w:type="dxa"/>
          </w:tcPr>
          <w:p w:rsidR="005A083F" w:rsidRDefault="005A083F" w:rsidP="00CA39D1">
            <w:pPr>
              <w:spacing w:before="840"/>
              <w:rPr>
                <w:rtl/>
                <w:lang w:bidi="ar-EG"/>
              </w:rPr>
            </w:pPr>
            <w:proofErr w:type="gramStart"/>
            <w:r>
              <w:rPr>
                <w:rFonts w:hint="cs"/>
                <w:rtl/>
                <w:lang w:bidi="ar-EG"/>
              </w:rPr>
              <w:t>الرئيس:</w:t>
            </w:r>
            <w:r>
              <w:rPr>
                <w:rtl/>
                <w:lang w:bidi="ar-EG"/>
              </w:rPr>
              <w:br/>
            </w:r>
            <w:r>
              <w:rPr>
                <w:rFonts w:hint="cs"/>
                <w:rtl/>
                <w:lang w:bidi="ar-EG"/>
              </w:rPr>
              <w:t>ر.</w:t>
            </w:r>
            <w:proofErr w:type="gramEnd"/>
            <w:r>
              <w:rPr>
                <w:rFonts w:hint="cs"/>
                <w:rtl/>
                <w:lang w:bidi="ar-EG"/>
              </w:rPr>
              <w:t xml:space="preserve"> </w:t>
            </w:r>
            <w:proofErr w:type="spellStart"/>
            <w:r>
              <w:rPr>
                <w:rFonts w:hint="cs"/>
                <w:rtl/>
                <w:lang w:bidi="ar-EG"/>
              </w:rPr>
              <w:t>إسماعيلوف</w:t>
            </w:r>
            <w:proofErr w:type="spellEnd"/>
          </w:p>
        </w:tc>
      </w:tr>
    </w:tbl>
    <w:p w:rsidR="0074420E" w:rsidRDefault="00F2676C" w:rsidP="00E57140">
      <w:pPr>
        <w:spacing w:before="600"/>
        <w:jc w:val="center"/>
        <w:rPr>
          <w:rtl/>
          <w:lang w:bidi="ar-EG"/>
        </w:rPr>
      </w:pPr>
      <w:r>
        <w:rPr>
          <w:rFonts w:hint="cs"/>
          <w:rtl/>
          <w:lang w:bidi="ar-SY"/>
        </w:rPr>
        <w:t>___________</w:t>
      </w:r>
    </w:p>
    <w:sectPr w:rsidR="0074420E" w:rsidSect="006C3242">
      <w:headerReference w:type="default" r:id="rId27"/>
      <w:footerReference w:type="default" r:id="rId28"/>
      <w:footerReference w:type="first" r:id="rId2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05" w:rsidRDefault="00EE0705" w:rsidP="006C3242">
      <w:pPr>
        <w:spacing w:before="0" w:line="240" w:lineRule="auto"/>
      </w:pPr>
      <w:r>
        <w:separator/>
      </w:r>
    </w:p>
  </w:endnote>
  <w:endnote w:type="continuationSeparator" w:id="0">
    <w:p w:rsidR="00EE0705" w:rsidRDefault="00EE070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0F029D" w:rsidRDefault="006C3242" w:rsidP="00A8245B">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0F029D">
      <w:rPr>
        <w:rFonts w:ascii="Calibri" w:hAnsi="Calibri" w:cs="Calibri"/>
        <w:color w:val="D9D9D9" w:themeColor="background1" w:themeShade="D9"/>
        <w:sz w:val="16"/>
        <w:szCs w:val="16"/>
        <w:lang w:val="fr-FR"/>
      </w:rPr>
      <w:fldChar w:fldCharType="begin"/>
    </w:r>
    <w:r w:rsidRPr="000F029D">
      <w:rPr>
        <w:rFonts w:ascii="Calibri" w:hAnsi="Calibri" w:cs="Calibri"/>
        <w:color w:val="D9D9D9" w:themeColor="background1" w:themeShade="D9"/>
        <w:sz w:val="16"/>
        <w:szCs w:val="16"/>
        <w:lang w:val="fr-FR"/>
      </w:rPr>
      <w:instrText xml:space="preserve"> FILENAME \p \* MERGEFORMAT </w:instrText>
    </w:r>
    <w:r w:rsidRPr="000F029D">
      <w:rPr>
        <w:rFonts w:ascii="Calibri" w:hAnsi="Calibri" w:cs="Calibri"/>
        <w:color w:val="D9D9D9" w:themeColor="background1" w:themeShade="D9"/>
        <w:sz w:val="16"/>
        <w:szCs w:val="16"/>
        <w:lang w:val="fr-FR"/>
      </w:rPr>
      <w:fldChar w:fldCharType="separate"/>
    </w:r>
    <w:r w:rsidR="00A8245B" w:rsidRPr="000F029D">
      <w:rPr>
        <w:rFonts w:ascii="Calibri" w:hAnsi="Calibri" w:cs="Calibri"/>
        <w:noProof/>
        <w:color w:val="D9D9D9" w:themeColor="background1" w:themeShade="D9"/>
        <w:sz w:val="16"/>
        <w:szCs w:val="16"/>
        <w:lang w:val="fr-FR"/>
      </w:rPr>
      <w:t>P:\ARA\SG\CONSEIL\C18\100\104A.docx</w:t>
    </w:r>
    <w:r w:rsidRPr="000F029D">
      <w:rPr>
        <w:rFonts w:ascii="Calibri" w:hAnsi="Calibri" w:cs="Calibri"/>
        <w:color w:val="D9D9D9" w:themeColor="background1" w:themeShade="D9"/>
        <w:sz w:val="16"/>
        <w:szCs w:val="16"/>
      </w:rPr>
      <w:fldChar w:fldCharType="end"/>
    </w:r>
    <w:r w:rsidRPr="000F029D">
      <w:rPr>
        <w:rFonts w:ascii="Calibri" w:hAnsi="Calibri" w:cs="Calibri"/>
        <w:color w:val="D9D9D9" w:themeColor="background1" w:themeShade="D9"/>
        <w:sz w:val="16"/>
        <w:szCs w:val="16"/>
        <w:lang w:val="fr-CH"/>
      </w:rPr>
      <w:t xml:space="preserve">  </w:t>
    </w:r>
    <w:r w:rsidRPr="000F029D">
      <w:rPr>
        <w:rFonts w:ascii="Calibri" w:hAnsi="Calibri" w:cs="Calibri"/>
        <w:color w:val="D9D9D9" w:themeColor="background1" w:themeShade="D9"/>
        <w:sz w:val="16"/>
        <w:szCs w:val="16"/>
        <w:lang w:val="fr-FR"/>
      </w:rPr>
      <w:t xml:space="preserve"> (</w:t>
    </w:r>
    <w:r w:rsidR="00A8245B" w:rsidRPr="000F029D">
      <w:rPr>
        <w:rFonts w:ascii="Calibri" w:hAnsi="Calibri" w:cs="Calibri"/>
        <w:color w:val="D9D9D9" w:themeColor="background1" w:themeShade="D9"/>
        <w:sz w:val="16"/>
        <w:szCs w:val="16"/>
        <w:lang w:val="fr-FR"/>
      </w:rPr>
      <w:t>435435</w:t>
    </w:r>
    <w:r w:rsidRPr="000F029D">
      <w:rPr>
        <w:rFonts w:ascii="Calibri" w:hAnsi="Calibri" w:cs="Calibri"/>
        <w:color w:val="D9D9D9" w:themeColor="background1" w:themeShade="D9"/>
        <w:sz w:val="16"/>
        <w:szCs w:val="16"/>
        <w:lang w:val="fr-FR"/>
      </w:rPr>
      <w:t>)</w:t>
    </w:r>
    <w:r w:rsidRPr="000F029D">
      <w:rPr>
        <w:rFonts w:ascii="Calibri" w:hAnsi="Calibri" w:cs="Calibri"/>
        <w:color w:val="D9D9D9" w:themeColor="background1" w:themeShade="D9"/>
        <w:sz w:val="16"/>
        <w:szCs w:val="16"/>
        <w:lang w:val="fr-FR"/>
      </w:rPr>
      <w:tab/>
    </w:r>
    <w:r w:rsidRPr="000F029D">
      <w:rPr>
        <w:rFonts w:ascii="Calibri" w:hAnsi="Calibri" w:cs="Calibri"/>
        <w:color w:val="D9D9D9" w:themeColor="background1" w:themeShade="D9"/>
        <w:sz w:val="16"/>
        <w:szCs w:val="16"/>
        <w:lang w:val="fr-FR"/>
      </w:rPr>
      <w:fldChar w:fldCharType="begin"/>
    </w:r>
    <w:r w:rsidRPr="000F029D">
      <w:rPr>
        <w:rFonts w:ascii="Calibri" w:hAnsi="Calibri" w:cs="Calibri"/>
        <w:color w:val="D9D9D9" w:themeColor="background1" w:themeShade="D9"/>
        <w:sz w:val="16"/>
        <w:szCs w:val="16"/>
        <w:lang w:val="fr-FR"/>
      </w:rPr>
      <w:instrText xml:space="preserve"> savedate \@ dd.MM.yy </w:instrText>
    </w:r>
    <w:r w:rsidRPr="000F029D">
      <w:rPr>
        <w:rFonts w:ascii="Calibri" w:hAnsi="Calibri" w:cs="Calibri"/>
        <w:color w:val="D9D9D9" w:themeColor="background1" w:themeShade="D9"/>
        <w:sz w:val="16"/>
        <w:szCs w:val="16"/>
        <w:lang w:val="fr-FR"/>
      </w:rPr>
      <w:fldChar w:fldCharType="separate"/>
    </w:r>
    <w:r w:rsidR="000F029D" w:rsidRPr="000F029D">
      <w:rPr>
        <w:rFonts w:ascii="Calibri" w:hAnsi="Calibri" w:cs="Calibri"/>
        <w:noProof/>
        <w:color w:val="D9D9D9" w:themeColor="background1" w:themeShade="D9"/>
        <w:sz w:val="16"/>
        <w:szCs w:val="16"/>
        <w:lang w:val="fr-FR"/>
      </w:rPr>
      <w:t>23.05.18</w:t>
    </w:r>
    <w:r w:rsidRPr="000F029D">
      <w:rPr>
        <w:rFonts w:ascii="Calibri" w:hAnsi="Calibri" w:cs="Calibri"/>
        <w:color w:val="D9D9D9" w:themeColor="background1" w:themeShade="D9"/>
        <w:sz w:val="16"/>
        <w:szCs w:val="16"/>
      </w:rPr>
      <w:fldChar w:fldCharType="end"/>
    </w:r>
    <w:r w:rsidRPr="000F029D">
      <w:rPr>
        <w:rFonts w:ascii="Calibri" w:hAnsi="Calibri" w:cs="Calibri"/>
        <w:color w:val="D9D9D9" w:themeColor="background1" w:themeShade="D9"/>
        <w:sz w:val="16"/>
        <w:szCs w:val="16"/>
        <w:lang w:val="fr-FR"/>
      </w:rPr>
      <w:tab/>
    </w:r>
    <w:r w:rsidRPr="000F029D">
      <w:rPr>
        <w:rFonts w:ascii="Calibri" w:hAnsi="Calibri" w:cs="Calibri"/>
        <w:color w:val="D9D9D9" w:themeColor="background1" w:themeShade="D9"/>
        <w:sz w:val="16"/>
        <w:szCs w:val="16"/>
        <w:lang w:val="fr-FR"/>
      </w:rPr>
      <w:fldChar w:fldCharType="begin"/>
    </w:r>
    <w:r w:rsidRPr="000F029D">
      <w:rPr>
        <w:rFonts w:ascii="Calibri" w:hAnsi="Calibri" w:cs="Calibri"/>
        <w:color w:val="D9D9D9" w:themeColor="background1" w:themeShade="D9"/>
        <w:sz w:val="16"/>
        <w:szCs w:val="16"/>
        <w:lang w:val="fr-FR"/>
      </w:rPr>
      <w:instrText xml:space="preserve"> printdate \@ dd.MM.yy </w:instrText>
    </w:r>
    <w:r w:rsidRPr="000F029D">
      <w:rPr>
        <w:rFonts w:ascii="Calibri" w:hAnsi="Calibri" w:cs="Calibri"/>
        <w:color w:val="D9D9D9" w:themeColor="background1" w:themeShade="D9"/>
        <w:sz w:val="16"/>
        <w:szCs w:val="16"/>
        <w:lang w:val="fr-FR"/>
      </w:rPr>
      <w:fldChar w:fldCharType="separate"/>
    </w:r>
    <w:r w:rsidR="00EE0705" w:rsidRPr="000F029D">
      <w:rPr>
        <w:rFonts w:ascii="Calibri" w:hAnsi="Calibri" w:cs="Calibri"/>
        <w:noProof/>
        <w:color w:val="D9D9D9" w:themeColor="background1" w:themeShade="D9"/>
        <w:sz w:val="16"/>
        <w:szCs w:val="16"/>
        <w:lang w:val="fr-FR"/>
      </w:rPr>
      <w:t>00.00.00</w:t>
    </w:r>
    <w:r w:rsidRPr="000F029D">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05" w:rsidRDefault="00EE0705" w:rsidP="006C3242">
      <w:pPr>
        <w:spacing w:before="0" w:line="240" w:lineRule="auto"/>
      </w:pPr>
      <w:r>
        <w:separator/>
      </w:r>
    </w:p>
  </w:footnote>
  <w:footnote w:type="continuationSeparator" w:id="0">
    <w:p w:rsidR="00EE0705" w:rsidRDefault="00EE0705"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0F029D" w:rsidP="00EE0705">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4</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EE0705">
          <w:rPr>
            <w:rFonts w:cs="Calibri"/>
            <w:noProof/>
            <w:sz w:val="20"/>
            <w:szCs w:val="20"/>
          </w:rPr>
          <w:t>104</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05"/>
    <w:rsid w:val="00006671"/>
    <w:rsid w:val="00034D5B"/>
    <w:rsid w:val="00090574"/>
    <w:rsid w:val="000C43CA"/>
    <w:rsid w:val="000C548A"/>
    <w:rsid w:val="000F029D"/>
    <w:rsid w:val="001C0169"/>
    <w:rsid w:val="001D1D50"/>
    <w:rsid w:val="001E086D"/>
    <w:rsid w:val="001E446E"/>
    <w:rsid w:val="002154EE"/>
    <w:rsid w:val="0023283D"/>
    <w:rsid w:val="00245B58"/>
    <w:rsid w:val="00271C43"/>
    <w:rsid w:val="00290728"/>
    <w:rsid w:val="002978F4"/>
    <w:rsid w:val="002B028D"/>
    <w:rsid w:val="002B3BDC"/>
    <w:rsid w:val="002E6541"/>
    <w:rsid w:val="002F586A"/>
    <w:rsid w:val="003409BC"/>
    <w:rsid w:val="00357185"/>
    <w:rsid w:val="00383829"/>
    <w:rsid w:val="0038460E"/>
    <w:rsid w:val="003F1413"/>
    <w:rsid w:val="003F4B29"/>
    <w:rsid w:val="0042686F"/>
    <w:rsid w:val="004271E2"/>
    <w:rsid w:val="004317D8"/>
    <w:rsid w:val="00434183"/>
    <w:rsid w:val="00443869"/>
    <w:rsid w:val="00447F32"/>
    <w:rsid w:val="004E11DC"/>
    <w:rsid w:val="005409AC"/>
    <w:rsid w:val="0055516A"/>
    <w:rsid w:val="0058491B"/>
    <w:rsid w:val="005A083F"/>
    <w:rsid w:val="005A3170"/>
    <w:rsid w:val="00676121"/>
    <w:rsid w:val="0069200F"/>
    <w:rsid w:val="00696811"/>
    <w:rsid w:val="006A65CB"/>
    <w:rsid w:val="006C3242"/>
    <w:rsid w:val="006C7CC0"/>
    <w:rsid w:val="006F63F7"/>
    <w:rsid w:val="00706D7A"/>
    <w:rsid w:val="00722F0D"/>
    <w:rsid w:val="0074420E"/>
    <w:rsid w:val="00783E26"/>
    <w:rsid w:val="007C3BC7"/>
    <w:rsid w:val="007D4ACF"/>
    <w:rsid w:val="007F0787"/>
    <w:rsid w:val="00810B7B"/>
    <w:rsid w:val="008235CD"/>
    <w:rsid w:val="008247DE"/>
    <w:rsid w:val="00840B10"/>
    <w:rsid w:val="008513CB"/>
    <w:rsid w:val="00882C35"/>
    <w:rsid w:val="008A6FEB"/>
    <w:rsid w:val="008E33AA"/>
    <w:rsid w:val="00923B0C"/>
    <w:rsid w:val="0094021C"/>
    <w:rsid w:val="00980032"/>
    <w:rsid w:val="00982B28"/>
    <w:rsid w:val="009D313F"/>
    <w:rsid w:val="00A47A5A"/>
    <w:rsid w:val="00A6683B"/>
    <w:rsid w:val="00A7408E"/>
    <w:rsid w:val="00A8245B"/>
    <w:rsid w:val="00A97F94"/>
    <w:rsid w:val="00B05BC8"/>
    <w:rsid w:val="00B64B47"/>
    <w:rsid w:val="00BD0510"/>
    <w:rsid w:val="00C002DE"/>
    <w:rsid w:val="00C43341"/>
    <w:rsid w:val="00C53BF8"/>
    <w:rsid w:val="00C66157"/>
    <w:rsid w:val="00C674FE"/>
    <w:rsid w:val="00C75633"/>
    <w:rsid w:val="00CA39D1"/>
    <w:rsid w:val="00CE2EE1"/>
    <w:rsid w:val="00CF3FFD"/>
    <w:rsid w:val="00D079EA"/>
    <w:rsid w:val="00D50490"/>
    <w:rsid w:val="00D77D0F"/>
    <w:rsid w:val="00DA1CF0"/>
    <w:rsid w:val="00DC1E02"/>
    <w:rsid w:val="00DC24B4"/>
    <w:rsid w:val="00DD4E1F"/>
    <w:rsid w:val="00DE6BBC"/>
    <w:rsid w:val="00DF16DC"/>
    <w:rsid w:val="00E45211"/>
    <w:rsid w:val="00E57140"/>
    <w:rsid w:val="00EB796D"/>
    <w:rsid w:val="00EE0705"/>
    <w:rsid w:val="00F24FC4"/>
    <w:rsid w:val="00F2676C"/>
    <w:rsid w:val="00F84366"/>
    <w:rsid w:val="00F85089"/>
    <w:rsid w:val="00F97AA9"/>
    <w:rsid w:val="00FA6F46"/>
    <w:rsid w:val="00FE5872"/>
    <w:rsid w:val="00FE7FCA"/>
    <w:rsid w:val="00FF4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B567C67-3DDE-4FA0-A6B2-838C7B8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83"/>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toc0">
    <w:name w:val="toc 0"/>
    <w:basedOn w:val="Normal"/>
    <w:next w:val="Normal"/>
    <w:rsid w:val="00EE0705"/>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spacing w:line="240" w:lineRule="auto"/>
      <w:ind w:right="-142"/>
      <w:jc w:val="right"/>
    </w:pPr>
    <w:rPr>
      <w:rFonts w:ascii="Times New Roman Bold" w:eastAsia="Times New Roman" w:hAnsi="Times New Roman Bol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29/en" TargetMode="External"/><Relationship Id="rId18" Type="http://schemas.openxmlformats.org/officeDocument/2006/relationships/hyperlink" Target="https://www.itu.int/md/S18-CL-C-0021/en" TargetMode="External"/><Relationship Id="rId26" Type="http://schemas.openxmlformats.org/officeDocument/2006/relationships/hyperlink" Target="https://www.itu.int/md/S18-CL-C-0032/en" TargetMode="External"/><Relationship Id="rId3" Type="http://schemas.openxmlformats.org/officeDocument/2006/relationships/styles" Target="styles.xml"/><Relationship Id="rId21" Type="http://schemas.openxmlformats.org/officeDocument/2006/relationships/hyperlink" Target="https://www.itu.int/md/S18-CL-C-0014/en" TargetMode="External"/><Relationship Id="rId7" Type="http://schemas.openxmlformats.org/officeDocument/2006/relationships/endnotes" Target="endnotes.xml"/><Relationship Id="rId12" Type="http://schemas.openxmlformats.org/officeDocument/2006/relationships/hyperlink" Target="https://www.itu.int/md/S18-CL-C-0028/en" TargetMode="External"/><Relationship Id="rId17" Type="http://schemas.openxmlformats.org/officeDocument/2006/relationships/hyperlink" Target="https://www.itu.int/md/S18-CL-C-0017/en" TargetMode="External"/><Relationship Id="rId25" Type="http://schemas.openxmlformats.org/officeDocument/2006/relationships/hyperlink" Target="https://www.itu.int/md/S18-CL-C-0031/en" TargetMode="External"/><Relationship Id="rId2" Type="http://schemas.openxmlformats.org/officeDocument/2006/relationships/numbering" Target="numbering.xml"/><Relationship Id="rId16" Type="http://schemas.openxmlformats.org/officeDocument/2006/relationships/hyperlink" Target="https://www.itu.int/md/S18-CL-C-0032/en" TargetMode="External"/><Relationship Id="rId20" Type="http://schemas.openxmlformats.org/officeDocument/2006/relationships/hyperlink" Target="https://www.itu.int/md/S18-CL-C-0012/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14/en" TargetMode="External"/><Relationship Id="rId24" Type="http://schemas.openxmlformats.org/officeDocument/2006/relationships/hyperlink" Target="https://www.itu.int/md/S18-CL-C-0030/en" TargetMode="External"/><Relationship Id="rId5" Type="http://schemas.openxmlformats.org/officeDocument/2006/relationships/webSettings" Target="webSettings.xml"/><Relationship Id="rId15" Type="http://schemas.openxmlformats.org/officeDocument/2006/relationships/hyperlink" Target="https://www.itu.int/md/S18-CL-C-0031/en" TargetMode="External"/><Relationship Id="rId23" Type="http://schemas.openxmlformats.org/officeDocument/2006/relationships/hyperlink" Target="https://www.itu.int/md/S18-CL-C-0029/en" TargetMode="External"/><Relationship Id="rId28" Type="http://schemas.openxmlformats.org/officeDocument/2006/relationships/footer" Target="footer1.xml"/><Relationship Id="rId10" Type="http://schemas.openxmlformats.org/officeDocument/2006/relationships/hyperlink" Target="https://www.itu.int/md/S18-CL-C-0012/en" TargetMode="External"/><Relationship Id="rId19" Type="http://schemas.openxmlformats.org/officeDocument/2006/relationships/hyperlink" Target="https://www.itu.int/md/S18-CL-C-0019/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8-CL-C-0019/en" TargetMode="External"/><Relationship Id="rId14" Type="http://schemas.openxmlformats.org/officeDocument/2006/relationships/hyperlink" Target="https://www.itu.int/md/S18-CL-C-0030/en" TargetMode="External"/><Relationship Id="rId22" Type="http://schemas.openxmlformats.org/officeDocument/2006/relationships/hyperlink" Target="https://www.itu.int/md/S18-CL-C-0028/en"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61FD-3A80-4906-AECF-2DAF7862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first Plenary meeting</dc:title>
  <dc:subject>Council 2018</dc:subject>
  <dc:creator>Elbahnassawy, Ganat</dc:creator>
  <cp:keywords>C18, C2018</cp:keywords>
  <dc:description/>
  <cp:lastModifiedBy>Brouard, Ricarda</cp:lastModifiedBy>
  <cp:revision>2</cp:revision>
  <dcterms:created xsi:type="dcterms:W3CDTF">2018-05-24T08:57:00Z</dcterms:created>
  <dcterms:modified xsi:type="dcterms:W3CDTF">2018-05-24T08:57:00Z</dcterms:modified>
  <cp:category>Conference document</cp:category>
</cp:coreProperties>
</file>