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2A2188" w:rsidRPr="00813E5E" w:rsidTr="00464B6C">
        <w:trPr>
          <w:cantSplit/>
        </w:trPr>
        <w:tc>
          <w:tcPr>
            <w:tcW w:w="6911" w:type="dxa"/>
          </w:tcPr>
          <w:p w:rsidR="002A2188" w:rsidRPr="00813E5E" w:rsidRDefault="002A2188" w:rsidP="00623AE3">
            <w:pPr>
              <w:spacing w:before="360" w:after="48" w:line="240" w:lineRule="atLeast"/>
              <w:rPr>
                <w:position w:val="6"/>
              </w:rPr>
            </w:pPr>
            <w:bookmarkStart w:id="0" w:name="dc06"/>
            <w:bookmarkEnd w:id="0"/>
            <w:r w:rsidRPr="00E85629">
              <w:rPr>
                <w:b/>
                <w:bCs/>
                <w:position w:val="6"/>
                <w:sz w:val="30"/>
                <w:szCs w:val="30"/>
                <w:lang w:val="fr-CH"/>
              </w:rPr>
              <w:t>Council 201</w:t>
            </w:r>
            <w:r w:rsidR="00623AE3">
              <w:rPr>
                <w:b/>
                <w:bCs/>
                <w:position w:val="6"/>
                <w:sz w:val="30"/>
                <w:szCs w:val="30"/>
                <w:lang w:val="fr-CH"/>
              </w:rPr>
              <w:t>8</w:t>
            </w:r>
            <w:r w:rsidRPr="00E85629">
              <w:rPr>
                <w:rFonts w:cs="Times"/>
                <w:b/>
                <w:position w:val="6"/>
                <w:sz w:val="26"/>
                <w:szCs w:val="26"/>
                <w:lang w:val="en-US"/>
              </w:rPr>
              <w:br/>
            </w:r>
            <w:r w:rsidRPr="00E85629">
              <w:rPr>
                <w:b/>
                <w:bCs/>
                <w:position w:val="6"/>
                <w:szCs w:val="24"/>
                <w:lang w:val="fr-CH"/>
              </w:rPr>
              <w:t>Geneva, 1</w:t>
            </w:r>
            <w:r w:rsidR="00623AE3">
              <w:rPr>
                <w:b/>
                <w:bCs/>
                <w:position w:val="6"/>
                <w:szCs w:val="24"/>
                <w:lang w:val="fr-CH"/>
              </w:rPr>
              <w:t>7</w:t>
            </w:r>
            <w:r w:rsidRPr="00E85629">
              <w:rPr>
                <w:b/>
                <w:bCs/>
                <w:position w:val="6"/>
                <w:szCs w:val="24"/>
                <w:lang w:val="fr-CH"/>
              </w:rPr>
              <w:t>-2</w:t>
            </w:r>
            <w:r w:rsidR="00623AE3">
              <w:rPr>
                <w:b/>
                <w:bCs/>
                <w:position w:val="6"/>
                <w:szCs w:val="24"/>
                <w:lang w:val="fr-CH"/>
              </w:rPr>
              <w:t>7</w:t>
            </w:r>
            <w:r w:rsidRPr="00E85629">
              <w:rPr>
                <w:b/>
                <w:bCs/>
                <w:position w:val="6"/>
                <w:szCs w:val="24"/>
                <w:lang w:val="fr-CH"/>
              </w:rPr>
              <w:t xml:space="preserve"> </w:t>
            </w:r>
            <w:r w:rsidR="00623AE3">
              <w:rPr>
                <w:b/>
                <w:bCs/>
                <w:position w:val="6"/>
                <w:szCs w:val="24"/>
                <w:lang w:val="fr-CH"/>
              </w:rPr>
              <w:t>April</w:t>
            </w:r>
            <w:r w:rsidRPr="00E85629">
              <w:rPr>
                <w:b/>
                <w:bCs/>
                <w:position w:val="6"/>
                <w:szCs w:val="24"/>
                <w:lang w:val="fr-CH"/>
              </w:rPr>
              <w:t xml:space="preserve"> 201</w:t>
            </w:r>
            <w:r w:rsidR="00623AE3">
              <w:rPr>
                <w:b/>
                <w:bCs/>
                <w:position w:val="6"/>
                <w:szCs w:val="24"/>
                <w:lang w:val="fr-CH"/>
              </w:rPr>
              <w:t>8</w:t>
            </w:r>
          </w:p>
        </w:tc>
        <w:tc>
          <w:tcPr>
            <w:tcW w:w="3120" w:type="dxa"/>
          </w:tcPr>
          <w:p w:rsidR="002A2188" w:rsidRPr="00813E5E" w:rsidRDefault="002A2188" w:rsidP="00464B6C">
            <w:pPr>
              <w:spacing w:before="0" w:line="240" w:lineRule="atLeast"/>
              <w:jc w:val="right"/>
            </w:pPr>
            <w:bookmarkStart w:id="1" w:name="ditulogo"/>
            <w:bookmarkEnd w:id="1"/>
            <w:r w:rsidRPr="00F21593">
              <w:rPr>
                <w:rFonts w:ascii="Verdana" w:hAnsi="Verdana"/>
                <w:noProof/>
                <w:color w:val="FFFFFF"/>
                <w:sz w:val="26"/>
                <w:szCs w:val="26"/>
                <w:lang w:val="en-US" w:eastAsia="zh-CN"/>
              </w:rPr>
              <w:drawing>
                <wp:inline distT="0" distB="0" distL="0" distR="0" wp14:anchorId="18F94E10" wp14:editId="2F347762">
                  <wp:extent cx="1765300" cy="74295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65300" cy="742950"/>
                          </a:xfrm>
                          <a:prstGeom prst="rect">
                            <a:avLst/>
                          </a:prstGeom>
                          <a:noFill/>
                          <a:ln>
                            <a:noFill/>
                          </a:ln>
                        </pic:spPr>
                      </pic:pic>
                    </a:graphicData>
                  </a:graphic>
                </wp:inline>
              </w:drawing>
            </w:r>
          </w:p>
        </w:tc>
      </w:tr>
      <w:tr w:rsidR="002A2188" w:rsidRPr="00813E5E" w:rsidTr="00464B6C">
        <w:trPr>
          <w:cantSplit/>
        </w:trPr>
        <w:tc>
          <w:tcPr>
            <w:tcW w:w="6911" w:type="dxa"/>
            <w:tcBorders>
              <w:bottom w:val="single" w:sz="12" w:space="0" w:color="auto"/>
            </w:tcBorders>
          </w:tcPr>
          <w:p w:rsidR="002A2188" w:rsidRPr="00813E5E" w:rsidRDefault="002A2188" w:rsidP="00464B6C">
            <w:pPr>
              <w:spacing w:before="0" w:after="48" w:line="240" w:lineRule="atLeast"/>
              <w:rPr>
                <w:b/>
                <w:smallCaps/>
                <w:szCs w:val="24"/>
              </w:rPr>
            </w:pPr>
          </w:p>
        </w:tc>
        <w:tc>
          <w:tcPr>
            <w:tcW w:w="3120" w:type="dxa"/>
            <w:tcBorders>
              <w:bottom w:val="single" w:sz="12" w:space="0" w:color="auto"/>
            </w:tcBorders>
          </w:tcPr>
          <w:p w:rsidR="002A2188" w:rsidRPr="00813E5E" w:rsidRDefault="002A2188" w:rsidP="00464B6C">
            <w:pPr>
              <w:spacing w:before="0" w:line="240" w:lineRule="atLeast"/>
              <w:rPr>
                <w:szCs w:val="24"/>
              </w:rPr>
            </w:pPr>
          </w:p>
        </w:tc>
      </w:tr>
      <w:tr w:rsidR="002A2188" w:rsidRPr="00813E5E" w:rsidTr="00464B6C">
        <w:trPr>
          <w:cantSplit/>
        </w:trPr>
        <w:tc>
          <w:tcPr>
            <w:tcW w:w="6911" w:type="dxa"/>
            <w:tcBorders>
              <w:top w:val="single" w:sz="12" w:space="0" w:color="auto"/>
            </w:tcBorders>
          </w:tcPr>
          <w:p w:rsidR="002A2188" w:rsidRPr="00813E5E" w:rsidRDefault="002A2188" w:rsidP="00464B6C">
            <w:pPr>
              <w:spacing w:before="0" w:after="48" w:line="240" w:lineRule="atLeast"/>
              <w:rPr>
                <w:b/>
                <w:smallCaps/>
                <w:szCs w:val="24"/>
              </w:rPr>
            </w:pPr>
          </w:p>
        </w:tc>
        <w:tc>
          <w:tcPr>
            <w:tcW w:w="3120" w:type="dxa"/>
            <w:tcBorders>
              <w:top w:val="single" w:sz="12" w:space="0" w:color="auto"/>
            </w:tcBorders>
          </w:tcPr>
          <w:p w:rsidR="002A2188" w:rsidRPr="00813E5E" w:rsidRDefault="002A2188" w:rsidP="00464B6C">
            <w:pPr>
              <w:spacing w:before="0" w:line="240" w:lineRule="atLeast"/>
              <w:rPr>
                <w:szCs w:val="24"/>
              </w:rPr>
            </w:pPr>
          </w:p>
        </w:tc>
      </w:tr>
      <w:tr w:rsidR="002A2188" w:rsidRPr="00813E5E" w:rsidTr="00464B6C">
        <w:trPr>
          <w:cantSplit/>
          <w:trHeight w:val="23"/>
        </w:trPr>
        <w:tc>
          <w:tcPr>
            <w:tcW w:w="6911" w:type="dxa"/>
            <w:vMerge w:val="restart"/>
          </w:tcPr>
          <w:p w:rsidR="002A2188" w:rsidRPr="00E85629" w:rsidRDefault="002A2188" w:rsidP="00D04E39">
            <w:pPr>
              <w:tabs>
                <w:tab w:val="left" w:pos="851"/>
              </w:tabs>
              <w:spacing w:before="0" w:line="240" w:lineRule="atLeast"/>
              <w:rPr>
                <w:b/>
              </w:rPr>
            </w:pPr>
            <w:bookmarkStart w:id="2" w:name="dmeeting" w:colFirst="0" w:colLast="0"/>
            <w:bookmarkStart w:id="3" w:name="dnum" w:colFirst="1" w:colLast="1"/>
          </w:p>
        </w:tc>
        <w:tc>
          <w:tcPr>
            <w:tcW w:w="3120" w:type="dxa"/>
          </w:tcPr>
          <w:p w:rsidR="002A2188" w:rsidRPr="00E85629" w:rsidRDefault="002A2188" w:rsidP="00401D85">
            <w:pPr>
              <w:tabs>
                <w:tab w:val="left" w:pos="851"/>
              </w:tabs>
              <w:spacing w:before="0" w:line="240" w:lineRule="atLeast"/>
              <w:rPr>
                <w:b/>
              </w:rPr>
            </w:pPr>
            <w:r>
              <w:rPr>
                <w:b/>
              </w:rPr>
              <w:t>Document C1</w:t>
            </w:r>
            <w:r w:rsidR="00623AE3">
              <w:rPr>
                <w:b/>
              </w:rPr>
              <w:t>8</w:t>
            </w:r>
            <w:r>
              <w:rPr>
                <w:b/>
              </w:rPr>
              <w:t>/</w:t>
            </w:r>
            <w:r w:rsidR="00401D85">
              <w:rPr>
                <w:b/>
              </w:rPr>
              <w:t>104</w:t>
            </w:r>
            <w:r>
              <w:rPr>
                <w:b/>
              </w:rPr>
              <w:t>-E</w:t>
            </w:r>
          </w:p>
        </w:tc>
      </w:tr>
      <w:tr w:rsidR="002A2188" w:rsidRPr="00813E5E" w:rsidTr="00464B6C">
        <w:trPr>
          <w:cantSplit/>
          <w:trHeight w:val="23"/>
        </w:trPr>
        <w:tc>
          <w:tcPr>
            <w:tcW w:w="6911" w:type="dxa"/>
            <w:vMerge/>
          </w:tcPr>
          <w:p w:rsidR="002A2188" w:rsidRPr="00813E5E" w:rsidRDefault="002A2188" w:rsidP="00464B6C">
            <w:pPr>
              <w:tabs>
                <w:tab w:val="left" w:pos="851"/>
              </w:tabs>
              <w:spacing w:line="240" w:lineRule="atLeast"/>
              <w:rPr>
                <w:b/>
              </w:rPr>
            </w:pPr>
            <w:bookmarkStart w:id="4" w:name="ddate" w:colFirst="1" w:colLast="1"/>
            <w:bookmarkEnd w:id="2"/>
            <w:bookmarkEnd w:id="3"/>
          </w:p>
        </w:tc>
        <w:tc>
          <w:tcPr>
            <w:tcW w:w="3120" w:type="dxa"/>
          </w:tcPr>
          <w:p w:rsidR="002A2188" w:rsidRPr="00E85629" w:rsidRDefault="00C0095E" w:rsidP="00623AE3">
            <w:pPr>
              <w:tabs>
                <w:tab w:val="left" w:pos="993"/>
              </w:tabs>
              <w:spacing w:before="0"/>
              <w:rPr>
                <w:b/>
              </w:rPr>
            </w:pPr>
            <w:r>
              <w:rPr>
                <w:b/>
              </w:rPr>
              <w:t>8 May</w:t>
            </w:r>
            <w:r w:rsidR="002A2188">
              <w:rPr>
                <w:b/>
              </w:rPr>
              <w:t xml:space="preserve"> 201</w:t>
            </w:r>
            <w:r w:rsidR="00623AE3">
              <w:rPr>
                <w:b/>
              </w:rPr>
              <w:t>8</w:t>
            </w:r>
          </w:p>
        </w:tc>
      </w:tr>
      <w:tr w:rsidR="002A2188" w:rsidRPr="00813E5E" w:rsidTr="00464B6C">
        <w:trPr>
          <w:cantSplit/>
          <w:trHeight w:val="23"/>
        </w:trPr>
        <w:tc>
          <w:tcPr>
            <w:tcW w:w="6911" w:type="dxa"/>
            <w:vMerge/>
          </w:tcPr>
          <w:p w:rsidR="002A2188" w:rsidRPr="00813E5E" w:rsidRDefault="002A2188" w:rsidP="00464B6C">
            <w:pPr>
              <w:tabs>
                <w:tab w:val="left" w:pos="851"/>
              </w:tabs>
              <w:spacing w:line="240" w:lineRule="atLeast"/>
              <w:rPr>
                <w:b/>
              </w:rPr>
            </w:pPr>
            <w:bookmarkStart w:id="5" w:name="dorlang" w:colFirst="1" w:colLast="1"/>
            <w:bookmarkEnd w:id="4"/>
          </w:p>
        </w:tc>
        <w:tc>
          <w:tcPr>
            <w:tcW w:w="3120" w:type="dxa"/>
          </w:tcPr>
          <w:p w:rsidR="002A2188" w:rsidRPr="00E85629" w:rsidRDefault="002A2188" w:rsidP="00464B6C">
            <w:pPr>
              <w:tabs>
                <w:tab w:val="left" w:pos="993"/>
              </w:tabs>
              <w:spacing w:before="0"/>
              <w:rPr>
                <w:b/>
              </w:rPr>
            </w:pPr>
            <w:r>
              <w:rPr>
                <w:b/>
              </w:rPr>
              <w:t>Original: English</w:t>
            </w:r>
          </w:p>
        </w:tc>
      </w:tr>
      <w:tr w:rsidR="002A2188" w:rsidRPr="00813E5E" w:rsidTr="00464B6C">
        <w:trPr>
          <w:cantSplit/>
        </w:trPr>
        <w:tc>
          <w:tcPr>
            <w:tcW w:w="10031" w:type="dxa"/>
            <w:gridSpan w:val="2"/>
          </w:tcPr>
          <w:p w:rsidR="002A2188" w:rsidRPr="00813E5E" w:rsidRDefault="002A2188" w:rsidP="00464B6C">
            <w:pPr>
              <w:pStyle w:val="Source"/>
            </w:pPr>
            <w:bookmarkStart w:id="6" w:name="dsource" w:colFirst="0" w:colLast="0"/>
            <w:bookmarkEnd w:id="5"/>
          </w:p>
        </w:tc>
      </w:tr>
      <w:tr w:rsidR="002A2188" w:rsidRPr="00813E5E" w:rsidTr="00464B6C">
        <w:trPr>
          <w:cantSplit/>
        </w:trPr>
        <w:tc>
          <w:tcPr>
            <w:tcW w:w="10031" w:type="dxa"/>
            <w:gridSpan w:val="2"/>
          </w:tcPr>
          <w:p w:rsidR="00401D85" w:rsidRDefault="00401D85" w:rsidP="00464B6C">
            <w:pPr>
              <w:pStyle w:val="Title1"/>
            </w:pPr>
            <w:bookmarkStart w:id="7" w:name="dtitle1" w:colFirst="0" w:colLast="0"/>
            <w:bookmarkEnd w:id="6"/>
            <w:r>
              <w:t xml:space="preserve">Summary record </w:t>
            </w:r>
          </w:p>
          <w:p w:rsidR="00401D85" w:rsidRDefault="00401D85" w:rsidP="00464B6C">
            <w:pPr>
              <w:pStyle w:val="Title1"/>
            </w:pPr>
            <w:r>
              <w:t xml:space="preserve">of the </w:t>
            </w:r>
          </w:p>
          <w:p w:rsidR="002A2188" w:rsidRPr="00813E5E" w:rsidRDefault="00401D85" w:rsidP="00464B6C">
            <w:pPr>
              <w:pStyle w:val="Title1"/>
            </w:pPr>
            <w:r>
              <w:t>first Plenary meeting</w:t>
            </w:r>
          </w:p>
        </w:tc>
      </w:tr>
      <w:tr w:rsidR="00401D85" w:rsidRPr="00813E5E" w:rsidTr="00464B6C">
        <w:trPr>
          <w:cantSplit/>
        </w:trPr>
        <w:tc>
          <w:tcPr>
            <w:tcW w:w="10031" w:type="dxa"/>
            <w:gridSpan w:val="2"/>
          </w:tcPr>
          <w:p w:rsidR="00401D85" w:rsidRPr="006043C6" w:rsidRDefault="00401D85" w:rsidP="00464B6C">
            <w:pPr>
              <w:pStyle w:val="Title1"/>
              <w:rPr>
                <w:sz w:val="24"/>
                <w:szCs w:val="24"/>
              </w:rPr>
            </w:pPr>
            <w:r w:rsidRPr="006043C6">
              <w:rPr>
                <w:caps w:val="0"/>
                <w:sz w:val="24"/>
                <w:szCs w:val="24"/>
              </w:rPr>
              <w:t>Tuesday, 17 April 2018, from 1430 to 1630 hours</w:t>
            </w:r>
          </w:p>
        </w:tc>
      </w:tr>
      <w:tr w:rsidR="00401D85" w:rsidRPr="00813E5E" w:rsidTr="00464B6C">
        <w:trPr>
          <w:cantSplit/>
        </w:trPr>
        <w:tc>
          <w:tcPr>
            <w:tcW w:w="10031" w:type="dxa"/>
            <w:gridSpan w:val="2"/>
          </w:tcPr>
          <w:p w:rsidR="00401D85" w:rsidRPr="006043C6" w:rsidRDefault="00401D85" w:rsidP="00464B6C">
            <w:pPr>
              <w:pStyle w:val="Title1"/>
              <w:rPr>
                <w:sz w:val="24"/>
                <w:szCs w:val="24"/>
              </w:rPr>
            </w:pPr>
            <w:r w:rsidRPr="006043C6">
              <w:rPr>
                <w:b/>
                <w:bCs/>
                <w:caps w:val="0"/>
                <w:sz w:val="24"/>
                <w:szCs w:val="24"/>
              </w:rPr>
              <w:t>Chairman</w:t>
            </w:r>
            <w:r w:rsidR="006043C6">
              <w:rPr>
                <w:caps w:val="0"/>
                <w:sz w:val="24"/>
                <w:szCs w:val="24"/>
              </w:rPr>
              <w:t xml:space="preserve">: </w:t>
            </w:r>
            <w:r w:rsidRPr="006043C6">
              <w:rPr>
                <w:caps w:val="0"/>
                <w:sz w:val="24"/>
                <w:szCs w:val="24"/>
              </w:rPr>
              <w:t>Mr R. ISMAILOV (Russian Federation)</w:t>
            </w:r>
          </w:p>
        </w:tc>
      </w:tr>
      <w:bookmarkEnd w:id="7"/>
    </w:tbl>
    <w:p w:rsidR="002A2188" w:rsidRPr="00813E5E" w:rsidRDefault="002A2188" w:rsidP="006043C6">
      <w:pPr>
        <w:spacing w:before="1080"/>
      </w:pPr>
    </w:p>
    <w:tbl>
      <w:tblPr>
        <w:tblW w:w="5221" w:type="pct"/>
        <w:tblLook w:val="0000" w:firstRow="0" w:lastRow="0" w:firstColumn="0" w:lastColumn="0" w:noHBand="0" w:noVBand="0"/>
      </w:tblPr>
      <w:tblGrid>
        <w:gridCol w:w="505"/>
        <w:gridCol w:w="7575"/>
        <w:gridCol w:w="1985"/>
      </w:tblGrid>
      <w:tr w:rsidR="006043C6" w:rsidRPr="00224CB8" w:rsidTr="001A421C">
        <w:tc>
          <w:tcPr>
            <w:tcW w:w="251" w:type="pct"/>
          </w:tcPr>
          <w:p w:rsidR="006043C6" w:rsidRPr="00224CB8" w:rsidRDefault="006043C6" w:rsidP="006043C6">
            <w:pPr>
              <w:pStyle w:val="toc0"/>
              <w:snapToGrid w:val="0"/>
              <w:spacing w:after="120"/>
            </w:pPr>
            <w:bookmarkStart w:id="8" w:name="dstart"/>
            <w:bookmarkStart w:id="9" w:name="dbreak"/>
            <w:bookmarkEnd w:id="8"/>
            <w:bookmarkEnd w:id="9"/>
            <w:r>
              <w:rPr>
                <w:b w:val="0"/>
              </w:rPr>
              <w:br w:type="page"/>
            </w:r>
            <w:r>
              <w:rPr>
                <w:b w:val="0"/>
              </w:rPr>
              <w:br w:type="page"/>
            </w:r>
          </w:p>
        </w:tc>
        <w:tc>
          <w:tcPr>
            <w:tcW w:w="3763" w:type="pct"/>
          </w:tcPr>
          <w:p w:rsidR="006043C6" w:rsidRPr="00224CB8" w:rsidRDefault="006043C6" w:rsidP="006043C6">
            <w:pPr>
              <w:pStyle w:val="toc0"/>
              <w:snapToGrid w:val="0"/>
              <w:spacing w:after="120"/>
            </w:pPr>
            <w:r w:rsidRPr="00224CB8">
              <w:t>Subjects discussed</w:t>
            </w:r>
          </w:p>
        </w:tc>
        <w:tc>
          <w:tcPr>
            <w:tcW w:w="986" w:type="pct"/>
          </w:tcPr>
          <w:p w:rsidR="006043C6" w:rsidRPr="00224CB8" w:rsidRDefault="006043C6" w:rsidP="006043C6">
            <w:pPr>
              <w:pStyle w:val="toc0"/>
              <w:snapToGrid w:val="0"/>
              <w:spacing w:after="120"/>
              <w:jc w:val="center"/>
            </w:pPr>
            <w:r w:rsidRPr="00224CB8">
              <w:t>Documents</w:t>
            </w:r>
          </w:p>
        </w:tc>
      </w:tr>
      <w:tr w:rsidR="006043C6" w:rsidRPr="00224CB8" w:rsidTr="001A421C">
        <w:tc>
          <w:tcPr>
            <w:tcW w:w="251" w:type="pct"/>
          </w:tcPr>
          <w:p w:rsidR="006043C6" w:rsidRPr="00224CB8" w:rsidRDefault="006043C6" w:rsidP="006043C6">
            <w:pPr>
              <w:snapToGrid w:val="0"/>
              <w:spacing w:before="160" w:after="160"/>
            </w:pPr>
            <w:r w:rsidRPr="00224CB8">
              <w:t>1</w:t>
            </w:r>
          </w:p>
        </w:tc>
        <w:tc>
          <w:tcPr>
            <w:tcW w:w="3763" w:type="pct"/>
          </w:tcPr>
          <w:p w:rsidR="006043C6" w:rsidRPr="00224CB8" w:rsidRDefault="006043C6" w:rsidP="006043C6">
            <w:pPr>
              <w:snapToGrid w:val="0"/>
              <w:spacing w:before="160" w:after="160"/>
            </w:pPr>
            <w:r w:rsidRPr="009F648C">
              <w:t>Report on ITU TELECOM World events</w:t>
            </w:r>
          </w:p>
        </w:tc>
        <w:tc>
          <w:tcPr>
            <w:tcW w:w="986" w:type="pct"/>
          </w:tcPr>
          <w:p w:rsidR="006043C6" w:rsidRPr="00224CB8" w:rsidRDefault="00232861" w:rsidP="006043C6">
            <w:pPr>
              <w:snapToGrid w:val="0"/>
              <w:spacing w:before="160" w:after="160"/>
              <w:jc w:val="center"/>
            </w:pPr>
            <w:hyperlink r:id="rId9" w:history="1">
              <w:r w:rsidR="006043C6" w:rsidRPr="006043C6">
                <w:rPr>
                  <w:rStyle w:val="Hyperlink"/>
                </w:rPr>
                <w:t>C18/19(Rev.1)</w:t>
              </w:r>
            </w:hyperlink>
          </w:p>
        </w:tc>
      </w:tr>
      <w:tr w:rsidR="006043C6" w:rsidRPr="00224CB8" w:rsidTr="001A421C">
        <w:tc>
          <w:tcPr>
            <w:tcW w:w="251" w:type="pct"/>
          </w:tcPr>
          <w:p w:rsidR="006043C6" w:rsidRPr="00224CB8" w:rsidRDefault="006043C6" w:rsidP="006043C6">
            <w:pPr>
              <w:snapToGrid w:val="0"/>
              <w:spacing w:before="160" w:after="160"/>
            </w:pPr>
            <w:r w:rsidRPr="00224CB8">
              <w:t>2</w:t>
            </w:r>
          </w:p>
        </w:tc>
        <w:tc>
          <w:tcPr>
            <w:tcW w:w="3763" w:type="pct"/>
          </w:tcPr>
          <w:p w:rsidR="006043C6" w:rsidRPr="00927EB8" w:rsidRDefault="006043C6" w:rsidP="006043C6">
            <w:pPr>
              <w:snapToGrid w:val="0"/>
              <w:spacing w:before="160" w:after="160"/>
              <w:rPr>
                <w:bCs/>
              </w:rPr>
            </w:pPr>
            <w:r w:rsidRPr="00927EB8">
              <w:rPr>
                <w:bCs/>
              </w:rPr>
              <w:t xml:space="preserve">Reports by the Chairman of the Council Working Group on the use of the six official languages of the Union (CWG-LANG): Report by the Council Working Group (Document C18/12) and report on implementation of Resolution 154 (Rev. Busan, 2014) on use of the six official languages of the Union on an equal footing </w:t>
            </w:r>
          </w:p>
        </w:tc>
        <w:tc>
          <w:tcPr>
            <w:tcW w:w="986" w:type="pct"/>
          </w:tcPr>
          <w:p w:rsidR="006043C6" w:rsidRPr="00224CB8" w:rsidRDefault="00232861" w:rsidP="006043C6">
            <w:pPr>
              <w:snapToGrid w:val="0"/>
              <w:spacing w:before="160" w:after="160"/>
              <w:jc w:val="center"/>
            </w:pPr>
            <w:hyperlink r:id="rId10" w:history="1">
              <w:r w:rsidR="006043C6" w:rsidRPr="006043C6">
                <w:rPr>
                  <w:rStyle w:val="Hyperlink"/>
                </w:rPr>
                <w:t>C18/12</w:t>
              </w:r>
            </w:hyperlink>
            <w:r w:rsidR="006043C6">
              <w:t>,</w:t>
            </w:r>
            <w:r w:rsidR="006043C6" w:rsidRPr="00B43032">
              <w:t xml:space="preserve"> </w:t>
            </w:r>
            <w:hyperlink r:id="rId11" w:history="1">
              <w:r w:rsidR="006043C6" w:rsidRPr="006043C6">
                <w:rPr>
                  <w:rStyle w:val="Hyperlink"/>
                </w:rPr>
                <w:t>C18/14</w:t>
              </w:r>
            </w:hyperlink>
          </w:p>
        </w:tc>
      </w:tr>
      <w:tr w:rsidR="006043C6" w:rsidRPr="00224CB8" w:rsidTr="001A421C">
        <w:tc>
          <w:tcPr>
            <w:tcW w:w="251" w:type="pct"/>
          </w:tcPr>
          <w:p w:rsidR="006043C6" w:rsidRPr="00224CB8" w:rsidRDefault="006043C6" w:rsidP="006043C6">
            <w:pPr>
              <w:snapToGrid w:val="0"/>
              <w:spacing w:before="160" w:after="160"/>
            </w:pPr>
            <w:r>
              <w:t>3</w:t>
            </w:r>
          </w:p>
        </w:tc>
        <w:tc>
          <w:tcPr>
            <w:tcW w:w="3763" w:type="pct"/>
          </w:tcPr>
          <w:p w:rsidR="006043C6" w:rsidRPr="00B43032" w:rsidRDefault="006043C6" w:rsidP="006043C6">
            <w:pPr>
              <w:snapToGrid w:val="0"/>
              <w:spacing w:before="160" w:after="160"/>
            </w:pPr>
            <w:r w:rsidRPr="00B43032">
              <w:t>Draft four-y</w:t>
            </w:r>
            <w:r>
              <w:t>ear operational plans for 2019–</w:t>
            </w:r>
            <w:r w:rsidRPr="00B43032">
              <w:t>2022</w:t>
            </w:r>
          </w:p>
        </w:tc>
        <w:tc>
          <w:tcPr>
            <w:tcW w:w="986" w:type="pct"/>
          </w:tcPr>
          <w:p w:rsidR="006043C6" w:rsidRPr="00B43032" w:rsidRDefault="00232861" w:rsidP="006043C6">
            <w:pPr>
              <w:snapToGrid w:val="0"/>
              <w:spacing w:before="160" w:after="160"/>
              <w:jc w:val="center"/>
            </w:pPr>
            <w:hyperlink r:id="rId12" w:history="1">
              <w:r w:rsidR="006043C6" w:rsidRPr="006043C6">
                <w:rPr>
                  <w:rStyle w:val="Hyperlink"/>
                </w:rPr>
                <w:t>C18/28(Rev.1)</w:t>
              </w:r>
            </w:hyperlink>
            <w:r w:rsidR="006043C6">
              <w:t xml:space="preserve">, </w:t>
            </w:r>
            <w:hyperlink r:id="rId13" w:history="1">
              <w:r w:rsidR="006043C6" w:rsidRPr="006043C6">
                <w:rPr>
                  <w:rStyle w:val="Hyperlink"/>
                </w:rPr>
                <w:t>C18/29</w:t>
              </w:r>
            </w:hyperlink>
            <w:r w:rsidR="006043C6">
              <w:t xml:space="preserve">, </w:t>
            </w:r>
            <w:hyperlink r:id="rId14" w:history="1">
              <w:r w:rsidR="006043C6" w:rsidRPr="006043C6">
                <w:rPr>
                  <w:rStyle w:val="Hyperlink"/>
                </w:rPr>
                <w:t>C18/30</w:t>
              </w:r>
            </w:hyperlink>
            <w:r w:rsidR="006043C6">
              <w:t xml:space="preserve">, </w:t>
            </w:r>
            <w:hyperlink r:id="rId15" w:history="1">
              <w:r w:rsidR="006043C6" w:rsidRPr="00C969B9">
                <w:rPr>
                  <w:rStyle w:val="Hyperlink"/>
                </w:rPr>
                <w:t>C18/31</w:t>
              </w:r>
            </w:hyperlink>
            <w:r w:rsidR="006043C6">
              <w:t>,</w:t>
            </w:r>
            <w:r w:rsidR="006043C6" w:rsidRPr="00B43032">
              <w:t xml:space="preserve"> </w:t>
            </w:r>
            <w:hyperlink r:id="rId16" w:history="1">
              <w:r w:rsidR="006043C6" w:rsidRPr="00C969B9">
                <w:rPr>
                  <w:rStyle w:val="Hyperlink"/>
                </w:rPr>
                <w:t>C18/32</w:t>
              </w:r>
            </w:hyperlink>
          </w:p>
        </w:tc>
      </w:tr>
      <w:tr w:rsidR="006043C6" w:rsidRPr="00224CB8" w:rsidTr="001A421C">
        <w:tc>
          <w:tcPr>
            <w:tcW w:w="251" w:type="pct"/>
          </w:tcPr>
          <w:p w:rsidR="006043C6" w:rsidRDefault="006043C6" w:rsidP="006043C6">
            <w:pPr>
              <w:snapToGrid w:val="0"/>
              <w:spacing w:before="160" w:after="160"/>
            </w:pPr>
            <w:r>
              <w:t>4</w:t>
            </w:r>
          </w:p>
        </w:tc>
        <w:tc>
          <w:tcPr>
            <w:tcW w:w="3763" w:type="pct"/>
          </w:tcPr>
          <w:p w:rsidR="006043C6" w:rsidRPr="00B43032" w:rsidRDefault="006043C6" w:rsidP="006043C6">
            <w:pPr>
              <w:snapToGrid w:val="0"/>
              <w:spacing w:before="160" w:after="160"/>
            </w:pPr>
            <w:r w:rsidRPr="00B43032">
              <w:t>World Telecommunication and Information Society Day</w:t>
            </w:r>
          </w:p>
        </w:tc>
        <w:tc>
          <w:tcPr>
            <w:tcW w:w="986" w:type="pct"/>
          </w:tcPr>
          <w:p w:rsidR="006043C6" w:rsidRPr="00B43032" w:rsidRDefault="00232861" w:rsidP="006043C6">
            <w:pPr>
              <w:snapToGrid w:val="0"/>
              <w:spacing w:before="160" w:after="160"/>
              <w:jc w:val="center"/>
            </w:pPr>
            <w:hyperlink r:id="rId17" w:history="1">
              <w:r w:rsidR="006043C6" w:rsidRPr="00C969B9">
                <w:rPr>
                  <w:rStyle w:val="Hyperlink"/>
                </w:rPr>
                <w:t>C18/17</w:t>
              </w:r>
            </w:hyperlink>
          </w:p>
        </w:tc>
      </w:tr>
      <w:tr w:rsidR="006043C6" w:rsidRPr="00224CB8" w:rsidTr="001A421C">
        <w:tc>
          <w:tcPr>
            <w:tcW w:w="251" w:type="pct"/>
          </w:tcPr>
          <w:p w:rsidR="006043C6" w:rsidRDefault="006043C6" w:rsidP="006043C6">
            <w:pPr>
              <w:snapToGrid w:val="0"/>
              <w:spacing w:before="160" w:after="160"/>
            </w:pPr>
            <w:r>
              <w:t>5</w:t>
            </w:r>
          </w:p>
        </w:tc>
        <w:tc>
          <w:tcPr>
            <w:tcW w:w="3763" w:type="pct"/>
          </w:tcPr>
          <w:p w:rsidR="006043C6" w:rsidRPr="00B43032" w:rsidRDefault="006043C6" w:rsidP="006043C6">
            <w:pPr>
              <w:snapToGrid w:val="0"/>
              <w:spacing w:before="160" w:after="160"/>
            </w:pPr>
            <w:r w:rsidRPr="00B43032">
              <w:t>Sales of, and free online access to, ITU publications</w:t>
            </w:r>
          </w:p>
        </w:tc>
        <w:tc>
          <w:tcPr>
            <w:tcW w:w="986" w:type="pct"/>
          </w:tcPr>
          <w:p w:rsidR="006043C6" w:rsidRDefault="00232861" w:rsidP="006043C6">
            <w:pPr>
              <w:snapToGrid w:val="0"/>
              <w:spacing w:before="160" w:after="160"/>
              <w:jc w:val="center"/>
            </w:pPr>
            <w:hyperlink r:id="rId18" w:history="1">
              <w:r w:rsidR="006043C6" w:rsidRPr="00C969B9">
                <w:rPr>
                  <w:rStyle w:val="Hyperlink"/>
                </w:rPr>
                <w:t>C18/21</w:t>
              </w:r>
            </w:hyperlink>
          </w:p>
        </w:tc>
      </w:tr>
    </w:tbl>
    <w:p w:rsidR="002A2188" w:rsidRDefault="002A2188" w:rsidP="002A2188">
      <w:pPr>
        <w:tabs>
          <w:tab w:val="clear" w:pos="567"/>
          <w:tab w:val="clear" w:pos="1134"/>
          <w:tab w:val="clear" w:pos="1701"/>
          <w:tab w:val="clear" w:pos="2268"/>
          <w:tab w:val="clear" w:pos="2835"/>
        </w:tabs>
        <w:overflowPunct/>
        <w:autoSpaceDE/>
        <w:autoSpaceDN/>
        <w:adjustRightInd/>
        <w:spacing w:before="0"/>
        <w:textAlignment w:val="auto"/>
      </w:pPr>
      <w:r>
        <w:br w:type="page"/>
      </w:r>
    </w:p>
    <w:p w:rsidR="00C969B9" w:rsidRDefault="00C969B9" w:rsidP="006043C6">
      <w:pPr>
        <w:tabs>
          <w:tab w:val="clear" w:pos="567"/>
          <w:tab w:val="clear" w:pos="1134"/>
          <w:tab w:val="clear" w:pos="1701"/>
          <w:tab w:val="clear" w:pos="2268"/>
          <w:tab w:val="clear" w:pos="2835"/>
        </w:tabs>
        <w:snapToGrid w:val="0"/>
        <w:spacing w:after="120"/>
        <w:rPr>
          <w:b/>
          <w:bCs/>
          <w:sz w:val="26"/>
          <w:szCs w:val="26"/>
        </w:rPr>
        <w:sectPr w:rsidR="00C969B9" w:rsidSect="004D1851">
          <w:headerReference w:type="default" r:id="rId19"/>
          <w:footerReference w:type="first" r:id="rId20"/>
          <w:pgSz w:w="11907" w:h="16834"/>
          <w:pgMar w:top="1418" w:right="1134" w:bottom="1418" w:left="1134" w:header="720" w:footer="720" w:gutter="0"/>
          <w:paperSrc w:first="15" w:other="15"/>
          <w:cols w:space="720"/>
          <w:titlePg/>
        </w:sectPr>
      </w:pPr>
    </w:p>
    <w:p w:rsidR="006043C6" w:rsidRPr="006043C6" w:rsidRDefault="006043C6" w:rsidP="006043C6">
      <w:pPr>
        <w:tabs>
          <w:tab w:val="clear" w:pos="567"/>
          <w:tab w:val="clear" w:pos="1134"/>
          <w:tab w:val="clear" w:pos="1701"/>
          <w:tab w:val="clear" w:pos="2268"/>
          <w:tab w:val="clear" w:pos="2835"/>
        </w:tabs>
        <w:snapToGrid w:val="0"/>
        <w:spacing w:after="120"/>
        <w:rPr>
          <w:b/>
          <w:bCs/>
          <w:sz w:val="26"/>
          <w:szCs w:val="26"/>
        </w:rPr>
      </w:pPr>
      <w:r w:rsidRPr="006043C6">
        <w:rPr>
          <w:b/>
          <w:bCs/>
          <w:sz w:val="26"/>
          <w:szCs w:val="26"/>
        </w:rPr>
        <w:lastRenderedPageBreak/>
        <w:t>1</w:t>
      </w:r>
      <w:r w:rsidRPr="006043C6">
        <w:rPr>
          <w:b/>
          <w:bCs/>
          <w:sz w:val="26"/>
          <w:szCs w:val="26"/>
        </w:rPr>
        <w:tab/>
        <w:t xml:space="preserve">Report on ITU TELECOM World events (Document </w:t>
      </w:r>
      <w:hyperlink r:id="rId21" w:history="1">
        <w:r w:rsidRPr="00C969B9">
          <w:rPr>
            <w:rStyle w:val="Hyperlink"/>
            <w:b/>
            <w:bCs/>
            <w:sz w:val="26"/>
            <w:szCs w:val="26"/>
          </w:rPr>
          <w:t>C18/19 (Rev.1)</w:t>
        </w:r>
      </w:hyperlink>
      <w:r w:rsidRPr="006043C6">
        <w:rPr>
          <w:b/>
          <w:bCs/>
          <w:sz w:val="26"/>
          <w:szCs w:val="26"/>
        </w:rPr>
        <w:t>)</w:t>
      </w:r>
    </w:p>
    <w:p w:rsidR="006043C6" w:rsidRPr="005D7579" w:rsidRDefault="006043C6" w:rsidP="006043C6">
      <w:pPr>
        <w:tabs>
          <w:tab w:val="clear" w:pos="567"/>
          <w:tab w:val="clear" w:pos="1134"/>
          <w:tab w:val="clear" w:pos="1701"/>
          <w:tab w:val="clear" w:pos="2268"/>
          <w:tab w:val="clear" w:pos="2835"/>
        </w:tabs>
        <w:snapToGrid w:val="0"/>
        <w:spacing w:after="120"/>
        <w:rPr>
          <w:szCs w:val="24"/>
        </w:rPr>
      </w:pPr>
      <w:r>
        <w:rPr>
          <w:szCs w:val="24"/>
        </w:rPr>
        <w:t>1</w:t>
      </w:r>
      <w:r w:rsidRPr="005D7579">
        <w:rPr>
          <w:szCs w:val="24"/>
        </w:rPr>
        <w:t>.1</w:t>
      </w:r>
      <w:r w:rsidRPr="005D7579">
        <w:rPr>
          <w:szCs w:val="24"/>
        </w:rPr>
        <w:tab/>
        <w:t>The Executive Manager of ITU</w:t>
      </w:r>
      <w:r>
        <w:rPr>
          <w:szCs w:val="24"/>
        </w:rPr>
        <w:t xml:space="preserve"> TELECOM introduced Document C18</w:t>
      </w:r>
      <w:r w:rsidRPr="005D7579">
        <w:rPr>
          <w:szCs w:val="24"/>
        </w:rPr>
        <w:t>/19</w:t>
      </w:r>
      <w:r>
        <w:rPr>
          <w:szCs w:val="24"/>
        </w:rPr>
        <w:t xml:space="preserve">(Rev.1), drawing particular attention to the proposals contained in </w:t>
      </w:r>
      <w:r>
        <w:rPr>
          <w:rFonts w:cs="Calibri"/>
          <w:szCs w:val="24"/>
        </w:rPr>
        <w:t>§7 thereof,</w:t>
      </w:r>
      <w:r w:rsidRPr="005D7579">
        <w:rPr>
          <w:szCs w:val="24"/>
        </w:rPr>
        <w:t xml:space="preserve"> and thanked the various entities and individuals who had contributed to the s</w:t>
      </w:r>
      <w:r>
        <w:rPr>
          <w:szCs w:val="24"/>
        </w:rPr>
        <w:t>uccess of ITU TELECOM World 2017</w:t>
      </w:r>
      <w:r w:rsidRPr="005D7579">
        <w:rPr>
          <w:szCs w:val="24"/>
        </w:rPr>
        <w:t xml:space="preserve">. </w:t>
      </w:r>
    </w:p>
    <w:p w:rsidR="006043C6" w:rsidRDefault="006043C6" w:rsidP="00C969B9">
      <w:pPr>
        <w:tabs>
          <w:tab w:val="clear" w:pos="567"/>
          <w:tab w:val="clear" w:pos="1134"/>
          <w:tab w:val="clear" w:pos="1701"/>
          <w:tab w:val="clear" w:pos="2268"/>
          <w:tab w:val="clear" w:pos="2835"/>
        </w:tabs>
        <w:snapToGrid w:val="0"/>
        <w:spacing w:before="100" w:after="100"/>
        <w:rPr>
          <w:szCs w:val="24"/>
        </w:rPr>
      </w:pPr>
      <w:r>
        <w:rPr>
          <w:szCs w:val="24"/>
        </w:rPr>
        <w:t>1</w:t>
      </w:r>
      <w:r w:rsidRPr="005D7579">
        <w:rPr>
          <w:szCs w:val="24"/>
        </w:rPr>
        <w:t>.2</w:t>
      </w:r>
      <w:r w:rsidRPr="005D7579">
        <w:rPr>
          <w:szCs w:val="24"/>
        </w:rPr>
        <w:tab/>
      </w:r>
      <w:r>
        <w:rPr>
          <w:szCs w:val="24"/>
        </w:rPr>
        <w:t xml:space="preserve">With regard to the proposals contained in </w:t>
      </w:r>
      <w:r>
        <w:rPr>
          <w:rFonts w:cs="Calibri"/>
          <w:szCs w:val="24"/>
        </w:rPr>
        <w:t>§7 of the document, which were intended to lead to an eventual revision of Resolution 11 (Rev. Busan, 2014), several councillors emphasized that such a revision could only be undertaken by the plenipotentiary conference. Broad support was expressed for the secretariat’s efforts to increase participation in ITU TELECOM World events by SMEs. It was suggested that Member States should support SMEs in attending such events. Several councillors felt that the issue of how to attract larger companies should be explored. To boost the event’s popularity, its format should be reformed to make it more attractive to the private and industry sectors. Changing the name of the event, while largely welcomed as a suggestion, would need careful thought. Support was expressed for identifying opportunities to hold other ITU activities, meetings and events under the ITU TELECOM umbrella. Concerning the proposal to discontinue the advisory role of the ITU TELECOM Board, further information was sought on the reasons for the Board’s inactivity since 2015. The financial and operational disadvantages to the Union of organizing ITU TELECOM World events in a different country and venue every year were acknowledged, and several councillors agreed that the Union should be given the flexibility to consider offers from Member States to host the event for a number of years consecutively. Under Resolution 11 (Rev. Busan, 2014), it already appeared possible for the event to be held annually. One councillor suggested that it be held at the same time each year, rotating among the regions. Other councillors, however, expressed reluctance to alter the frequency or rotation of the event, emphasizing the sensitivity of the issue. It was vital for the bidding process to be open and transparent and for proposals to be examined on the basis of specific indicators, taking into account the best interests of the Union. A balanced budget was also a priority for the continuation of the event.</w:t>
      </w:r>
    </w:p>
    <w:p w:rsidR="006043C6" w:rsidRDefault="006043C6" w:rsidP="00C969B9">
      <w:pPr>
        <w:tabs>
          <w:tab w:val="clear" w:pos="567"/>
          <w:tab w:val="clear" w:pos="1134"/>
          <w:tab w:val="clear" w:pos="1701"/>
          <w:tab w:val="clear" w:pos="2268"/>
          <w:tab w:val="clear" w:pos="2835"/>
        </w:tabs>
        <w:snapToGrid w:val="0"/>
        <w:spacing w:before="100" w:after="100"/>
        <w:rPr>
          <w:szCs w:val="24"/>
        </w:rPr>
      </w:pPr>
      <w:r>
        <w:rPr>
          <w:szCs w:val="24"/>
        </w:rPr>
        <w:t>1</w:t>
      </w:r>
      <w:r w:rsidRPr="005D7579">
        <w:rPr>
          <w:szCs w:val="24"/>
        </w:rPr>
        <w:t>.3</w:t>
      </w:r>
      <w:r w:rsidRPr="005D7579">
        <w:rPr>
          <w:szCs w:val="24"/>
        </w:rPr>
        <w:tab/>
        <w:t>The Executive Manager of ITU</w:t>
      </w:r>
      <w:r>
        <w:rPr>
          <w:szCs w:val="24"/>
        </w:rPr>
        <w:t xml:space="preserve"> TELECOM, confirming that any revision of Resolution 11 would be discussed further at PP-18, outlined the measures already in place to ensure that the bidding process for hosting ITU TELECOM World events remained fair and transparent. Despite the inactivity of the ITU TELECOM Board, regular consultation meetings had been held between the Secretary-General and Member States since 2016 prior to the start of each ITU TELECOM event. Since 2015, efforts had been made to provide SMEs with cheaper sponsorship products and other means of reducing the financial burden of participation and to attract larger companies, many of which had already committed to attend the event in 2018</w:t>
      </w:r>
      <w:r w:rsidRPr="005D7579">
        <w:rPr>
          <w:szCs w:val="24"/>
        </w:rPr>
        <w:t>.</w:t>
      </w:r>
    </w:p>
    <w:p w:rsidR="006043C6" w:rsidRPr="005D7579" w:rsidRDefault="006043C6" w:rsidP="00C969B9">
      <w:pPr>
        <w:tabs>
          <w:tab w:val="clear" w:pos="567"/>
          <w:tab w:val="clear" w:pos="1134"/>
          <w:tab w:val="clear" w:pos="1701"/>
          <w:tab w:val="clear" w:pos="2268"/>
          <w:tab w:val="clear" w:pos="2835"/>
        </w:tabs>
        <w:snapToGrid w:val="0"/>
        <w:spacing w:before="100" w:after="100"/>
        <w:rPr>
          <w:szCs w:val="24"/>
        </w:rPr>
      </w:pPr>
      <w:r>
        <w:rPr>
          <w:szCs w:val="24"/>
        </w:rPr>
        <w:t>1.4</w:t>
      </w:r>
      <w:r>
        <w:rPr>
          <w:szCs w:val="24"/>
        </w:rPr>
        <w:tab/>
        <w:t>The Secretary-General explained that, since the high point of the ITU TELECOM World event in 1999, it had become increasingly difficult to encourage industry participation. In addition to facing economic challenges, the industry had organized competing events, notably the Mobile World Congress. The mobile phone operators and manufacturers who made up the bulk of the ITU TELECOM Board members had shown little interest in the event since 2009 and had usually failed to reply to invitations to Board meetings, although the Chairman of the Board had remained very cooperative. Upon taking up his duties as Secretary-General in 2015, he had therefore decided to discontinue the practice of consulting the Board. Shifting the focus of ITU TELECOM World events from operator-oriented technical exhibitions to supporting ICT SMEs would in turn attract larger companies seeking to establish partnerships with smaller firms. The platform must be made attractive to SMEs, administrations and large companies alike.</w:t>
      </w:r>
    </w:p>
    <w:p w:rsidR="006043C6" w:rsidRPr="005D7579" w:rsidRDefault="006043C6" w:rsidP="00C969B9">
      <w:pPr>
        <w:tabs>
          <w:tab w:val="clear" w:pos="567"/>
          <w:tab w:val="clear" w:pos="1134"/>
          <w:tab w:val="clear" w:pos="1701"/>
          <w:tab w:val="clear" w:pos="2268"/>
          <w:tab w:val="clear" w:pos="2835"/>
        </w:tabs>
        <w:snapToGrid w:val="0"/>
        <w:spacing w:before="100" w:after="120"/>
        <w:rPr>
          <w:szCs w:val="24"/>
        </w:rPr>
      </w:pPr>
      <w:r>
        <w:rPr>
          <w:szCs w:val="24"/>
        </w:rPr>
        <w:t>1.5</w:t>
      </w:r>
      <w:r>
        <w:rPr>
          <w:szCs w:val="24"/>
        </w:rPr>
        <w:tab/>
        <w:t>Document C18</w:t>
      </w:r>
      <w:r w:rsidRPr="005D7579">
        <w:rPr>
          <w:szCs w:val="24"/>
        </w:rPr>
        <w:t>/19</w:t>
      </w:r>
      <w:r>
        <w:rPr>
          <w:szCs w:val="24"/>
        </w:rPr>
        <w:t>(Rev.1)</w:t>
      </w:r>
      <w:r w:rsidRPr="005D7579">
        <w:rPr>
          <w:szCs w:val="24"/>
        </w:rPr>
        <w:t xml:space="preserve"> was </w:t>
      </w:r>
      <w:r w:rsidRPr="005D7579">
        <w:rPr>
          <w:b/>
          <w:bCs/>
          <w:szCs w:val="24"/>
        </w:rPr>
        <w:t>noted</w:t>
      </w:r>
      <w:r w:rsidRPr="005D7579">
        <w:rPr>
          <w:szCs w:val="24"/>
        </w:rPr>
        <w:t>.</w:t>
      </w:r>
    </w:p>
    <w:p w:rsidR="006043C6" w:rsidRPr="006043C6" w:rsidRDefault="006043C6" w:rsidP="006043C6">
      <w:pPr>
        <w:snapToGrid w:val="0"/>
        <w:spacing w:after="120"/>
        <w:ind w:left="567" w:hanging="567"/>
        <w:rPr>
          <w:b/>
          <w:sz w:val="26"/>
          <w:szCs w:val="26"/>
        </w:rPr>
      </w:pPr>
      <w:r w:rsidRPr="006043C6">
        <w:rPr>
          <w:b/>
          <w:sz w:val="26"/>
          <w:szCs w:val="26"/>
        </w:rPr>
        <w:t>2</w:t>
      </w:r>
      <w:r w:rsidRPr="006043C6">
        <w:rPr>
          <w:b/>
          <w:sz w:val="26"/>
          <w:szCs w:val="26"/>
        </w:rPr>
        <w:tab/>
        <w:t xml:space="preserve">Reports by the Chairman of the Council Working Group on the use of the six official languages of the Union (CWG-LANG): </w:t>
      </w:r>
      <w:r w:rsidR="00C969B9">
        <w:rPr>
          <w:b/>
          <w:sz w:val="26"/>
          <w:szCs w:val="26"/>
        </w:rPr>
        <w:br/>
      </w:r>
      <w:r w:rsidRPr="006043C6">
        <w:rPr>
          <w:b/>
          <w:sz w:val="26"/>
          <w:szCs w:val="26"/>
        </w:rPr>
        <w:t xml:space="preserve">Report by the Council Working Group (Document </w:t>
      </w:r>
      <w:hyperlink r:id="rId22" w:history="1">
        <w:r w:rsidRPr="00C969B9">
          <w:rPr>
            <w:rStyle w:val="Hyperlink"/>
            <w:b/>
            <w:sz w:val="26"/>
            <w:szCs w:val="26"/>
          </w:rPr>
          <w:t>C18/12</w:t>
        </w:r>
      </w:hyperlink>
      <w:r w:rsidRPr="006043C6">
        <w:rPr>
          <w:b/>
          <w:sz w:val="26"/>
          <w:szCs w:val="26"/>
        </w:rPr>
        <w:t xml:space="preserve">) and report on implementation of Resolution 154 (Rev. Busan, 2014) on use of the six official languages of the Union on an equal footing (Document </w:t>
      </w:r>
      <w:hyperlink r:id="rId23" w:history="1">
        <w:r w:rsidRPr="00C969B9">
          <w:rPr>
            <w:rStyle w:val="Hyperlink"/>
            <w:b/>
            <w:sz w:val="26"/>
            <w:szCs w:val="26"/>
          </w:rPr>
          <w:t>C18/14</w:t>
        </w:r>
      </w:hyperlink>
      <w:r w:rsidRPr="006043C6">
        <w:rPr>
          <w:b/>
          <w:sz w:val="26"/>
          <w:szCs w:val="26"/>
        </w:rPr>
        <w:t>)</w:t>
      </w:r>
    </w:p>
    <w:p w:rsidR="006043C6" w:rsidRDefault="006043C6" w:rsidP="006043C6">
      <w:pPr>
        <w:snapToGrid w:val="0"/>
        <w:spacing w:after="120"/>
      </w:pPr>
      <w:r>
        <w:t>2.1</w:t>
      </w:r>
      <w:r>
        <w:tab/>
        <w:t>The Chairman of CWG-LANG introduced Documents C18/12 and C18/14. The working group had reviewed the costs of the translation of documents and an evaluation of translation procedures, and had proposed a system of categorization of documents for quality assessment. Experiments in remote interpreting, automatic translation and automatic captioning, and a pilot project for the translation of webpages with the help of some administrations, were under way. A pilot project was also being implemented on the use of artificial intelligence and technology to modernize translation and interpretation services as a cost-saving measure, suggested by China. The Russian Federation had prepared a proposed revision of Resolution 154, which the working group recommended that the Council transmit to PP-18.</w:t>
      </w:r>
    </w:p>
    <w:p w:rsidR="006043C6" w:rsidRDefault="006043C6" w:rsidP="006043C6">
      <w:pPr>
        <w:snapToGrid w:val="0"/>
        <w:spacing w:after="120"/>
      </w:pPr>
      <w:r>
        <w:t>2.2</w:t>
      </w:r>
      <w:r>
        <w:tab/>
        <w:t>Councillors welcomed the pilot project on the use of artificial intelligence and plans to promote language technology to streamline translation and interpretation processes and reduce costs. While support from Member States in the provision of translations for the ITU website was welcome, care must be taken to ensure sufficient quality control. As an organization that focused on the study of new technologies, ITU should take the lead in their implementation. One councillor pointed out that consideration could be given to reducing the length of texts for publication on the website, as a cost-saving measure.</w:t>
      </w:r>
    </w:p>
    <w:p w:rsidR="006043C6" w:rsidRDefault="006043C6" w:rsidP="006043C6">
      <w:pPr>
        <w:snapToGrid w:val="0"/>
        <w:spacing w:after="120"/>
      </w:pPr>
      <w:r>
        <w:t>2.3</w:t>
      </w:r>
      <w:r>
        <w:tab/>
        <w:t xml:space="preserve">One councillor requested clarification regarding the role of the General Secretariat in the event that the translation of webpages was provided by administrations; ITU language staff should maintain the responsibility to oversee, with due diligence, the translation and posting of texts to the ITU website, not simply provide "oversight and assistance" as suggested in the footnotes in Documents C18/12 and C18/14. The ITU General Secretariat should remain responsible and accountable for the quality of translations. </w:t>
      </w:r>
    </w:p>
    <w:p w:rsidR="006043C6" w:rsidRDefault="006043C6" w:rsidP="006043C6">
      <w:pPr>
        <w:snapToGrid w:val="0"/>
        <w:spacing w:after="120"/>
      </w:pPr>
      <w:r>
        <w:t>2.4</w:t>
      </w:r>
      <w:r>
        <w:tab/>
        <w:t>The Deputy Secretary-General confirmed that due diligence would be applied. While translations would not be checked word-for-word, the secretariat would remain responsible for the quality of web content. The new approach would, however, enable a three- to four-fold increase in the amount of text translated and published online, with no budgetary significance for the organization. The results of the pilot project would be presented to the plenipotentiary conference.</w:t>
      </w:r>
    </w:p>
    <w:p w:rsidR="006043C6" w:rsidRDefault="006043C6" w:rsidP="006043C6">
      <w:pPr>
        <w:snapToGrid w:val="0"/>
        <w:spacing w:after="120"/>
      </w:pPr>
      <w:r>
        <w:t>2.5</w:t>
      </w:r>
      <w:r>
        <w:tab/>
        <w:t xml:space="preserve">The Council </w:t>
      </w:r>
      <w:r w:rsidRPr="001F0E9D">
        <w:rPr>
          <w:b/>
        </w:rPr>
        <w:t>endorsed</w:t>
      </w:r>
      <w:r>
        <w:t xml:space="preserve"> Document C18/12. It </w:t>
      </w:r>
      <w:r w:rsidRPr="001F0E9D">
        <w:rPr>
          <w:b/>
        </w:rPr>
        <w:t>noted</w:t>
      </w:r>
      <w:r>
        <w:t xml:space="preserve"> Document C18/14, </w:t>
      </w:r>
      <w:r w:rsidRPr="001F0E9D">
        <w:rPr>
          <w:b/>
        </w:rPr>
        <w:t>endors</w:t>
      </w:r>
      <w:r>
        <w:rPr>
          <w:b/>
        </w:rPr>
        <w:t>ed</w:t>
      </w:r>
      <w:r>
        <w:t xml:space="preserve"> the recommendations therein and </w:t>
      </w:r>
      <w:r w:rsidRPr="001F0E9D">
        <w:rPr>
          <w:b/>
        </w:rPr>
        <w:t>agre</w:t>
      </w:r>
      <w:r>
        <w:rPr>
          <w:b/>
        </w:rPr>
        <w:t>ed</w:t>
      </w:r>
      <w:r>
        <w:t xml:space="preserve"> to transmit the document to PP-18. </w:t>
      </w:r>
      <w:r>
        <w:tab/>
      </w:r>
    </w:p>
    <w:p w:rsidR="006043C6" w:rsidRPr="006043C6" w:rsidRDefault="006043C6" w:rsidP="00C969B9">
      <w:pPr>
        <w:snapToGrid w:val="0"/>
        <w:spacing w:before="360" w:after="120"/>
        <w:ind w:left="567" w:hanging="567"/>
        <w:rPr>
          <w:b/>
          <w:sz w:val="26"/>
          <w:szCs w:val="26"/>
        </w:rPr>
      </w:pPr>
      <w:r w:rsidRPr="006043C6">
        <w:rPr>
          <w:b/>
          <w:sz w:val="26"/>
          <w:szCs w:val="26"/>
        </w:rPr>
        <w:t>3</w:t>
      </w:r>
      <w:r w:rsidRPr="006043C6">
        <w:rPr>
          <w:sz w:val="26"/>
          <w:szCs w:val="26"/>
        </w:rPr>
        <w:tab/>
      </w:r>
      <w:r w:rsidRPr="006043C6">
        <w:rPr>
          <w:b/>
          <w:sz w:val="26"/>
          <w:szCs w:val="26"/>
        </w:rPr>
        <w:t xml:space="preserve">Draft four-year operational plans for 2019–2022 (Documents </w:t>
      </w:r>
      <w:hyperlink r:id="rId24" w:history="1">
        <w:r w:rsidRPr="00C969B9">
          <w:rPr>
            <w:rStyle w:val="Hyperlink"/>
            <w:b/>
            <w:sz w:val="26"/>
            <w:szCs w:val="26"/>
          </w:rPr>
          <w:t>C18/28(Rev.1)</w:t>
        </w:r>
      </w:hyperlink>
      <w:r w:rsidRPr="006043C6">
        <w:rPr>
          <w:b/>
          <w:sz w:val="26"/>
          <w:szCs w:val="26"/>
        </w:rPr>
        <w:t xml:space="preserve">, </w:t>
      </w:r>
      <w:hyperlink r:id="rId25" w:history="1">
        <w:r w:rsidRPr="00C969B9">
          <w:rPr>
            <w:rStyle w:val="Hyperlink"/>
            <w:b/>
            <w:sz w:val="26"/>
            <w:szCs w:val="26"/>
          </w:rPr>
          <w:t>C18/29</w:t>
        </w:r>
      </w:hyperlink>
      <w:r w:rsidRPr="006043C6">
        <w:rPr>
          <w:b/>
          <w:sz w:val="26"/>
          <w:szCs w:val="26"/>
        </w:rPr>
        <w:t xml:space="preserve">, </w:t>
      </w:r>
      <w:hyperlink r:id="rId26" w:history="1">
        <w:r w:rsidRPr="00C969B9">
          <w:rPr>
            <w:rStyle w:val="Hyperlink"/>
            <w:b/>
            <w:sz w:val="26"/>
            <w:szCs w:val="26"/>
          </w:rPr>
          <w:t>C18/30</w:t>
        </w:r>
      </w:hyperlink>
      <w:r w:rsidRPr="006043C6">
        <w:rPr>
          <w:b/>
          <w:sz w:val="26"/>
          <w:szCs w:val="26"/>
        </w:rPr>
        <w:t xml:space="preserve">, </w:t>
      </w:r>
      <w:hyperlink r:id="rId27" w:history="1">
        <w:r w:rsidRPr="00C969B9">
          <w:rPr>
            <w:rStyle w:val="Hyperlink"/>
            <w:b/>
            <w:sz w:val="26"/>
            <w:szCs w:val="26"/>
          </w:rPr>
          <w:t>C18/31</w:t>
        </w:r>
      </w:hyperlink>
      <w:r w:rsidRPr="006043C6">
        <w:rPr>
          <w:b/>
          <w:sz w:val="26"/>
          <w:szCs w:val="26"/>
        </w:rPr>
        <w:t xml:space="preserve"> and </w:t>
      </w:r>
      <w:hyperlink r:id="rId28" w:history="1">
        <w:r w:rsidRPr="00C969B9">
          <w:rPr>
            <w:rStyle w:val="Hyperlink"/>
            <w:b/>
            <w:sz w:val="26"/>
            <w:szCs w:val="26"/>
          </w:rPr>
          <w:t>C18/32</w:t>
        </w:r>
      </w:hyperlink>
      <w:r w:rsidRPr="006043C6">
        <w:rPr>
          <w:b/>
          <w:sz w:val="26"/>
          <w:szCs w:val="26"/>
        </w:rPr>
        <w:t>)</w:t>
      </w:r>
    </w:p>
    <w:p w:rsidR="006043C6" w:rsidRDefault="006043C6" w:rsidP="006043C6">
      <w:pPr>
        <w:snapToGrid w:val="0"/>
        <w:spacing w:after="120"/>
      </w:pPr>
      <w:r>
        <w:t>3.1</w:t>
      </w:r>
      <w:r>
        <w:tab/>
        <w:t>The Deputy Secretary-General introduced Document C18/32, which contained the draft resolution approving the four-year rolling operation plans of the Sectors and the General Secretariat for 2019-2022. All of the operational plans followed a streamlined approach and format in line with the 2016-2019 strategic plan. Each sectoral plan had been reviewed by the corresponding Sector advisory group, while the plan for the General Secretariat had been reviewed by all three Sector advisory groups.</w:t>
      </w:r>
    </w:p>
    <w:p w:rsidR="006043C6" w:rsidRPr="005D7579" w:rsidRDefault="006043C6" w:rsidP="006043C6">
      <w:pPr>
        <w:snapToGrid w:val="0"/>
        <w:spacing w:after="120"/>
      </w:pPr>
      <w:r>
        <w:t xml:space="preserve">3.2 </w:t>
      </w:r>
      <w:r>
        <w:tab/>
      </w:r>
      <w:r w:rsidRPr="005D7579">
        <w:t>The Deputy Director of BR introduced the</w:t>
      </w:r>
      <w:r>
        <w:t xml:space="preserve"> draft four-year </w:t>
      </w:r>
      <w:r w:rsidRPr="005D7579">
        <w:t>rolling operational plan for 201</w:t>
      </w:r>
      <w:r>
        <w:t>9</w:t>
      </w:r>
      <w:r w:rsidRPr="005D7579">
        <w:t>-202</w:t>
      </w:r>
      <w:r>
        <w:t>2</w:t>
      </w:r>
      <w:r w:rsidRPr="005D7579">
        <w:t xml:space="preserve"> f</w:t>
      </w:r>
      <w:r>
        <w:t>or ITU-R (Document C18</w:t>
      </w:r>
      <w:r w:rsidRPr="005D7579">
        <w:t>/28(Rev.1)), the Deputy Director of TSB introd</w:t>
      </w:r>
      <w:r>
        <w:t>uced that of ITU-T (Document C18</w:t>
      </w:r>
      <w:r w:rsidRPr="005D7579">
        <w:t>/29), the Deputy Director of</w:t>
      </w:r>
      <w:r>
        <w:t xml:space="preserve"> BDT that of ITU-D (Document C18</w:t>
      </w:r>
      <w:r w:rsidRPr="005D7579">
        <w:t>/30) and the Chief of the Strategic Planning and Membership Department that of the Genera</w:t>
      </w:r>
      <w:r>
        <w:t>l Secretariat (Document C18</w:t>
      </w:r>
      <w:r w:rsidRPr="005D7579">
        <w:t>/31).</w:t>
      </w:r>
    </w:p>
    <w:p w:rsidR="00C0095E" w:rsidRDefault="00C0095E" w:rsidP="00232861">
      <w:pPr>
        <w:snapToGrid w:val="0"/>
        <w:spacing w:after="120"/>
      </w:pPr>
      <w:r>
        <w:t>3.3</w:t>
      </w:r>
      <w:r>
        <w:tab/>
        <w:t xml:space="preserve">One councillor expressed support for the draft operational plan for ITU-D, in particular measures to strengthen the capacity for digital inclusion, emergency telecommunications, public partnerships and cybersecurity to benefit Member States, in particular developing countries. Another councillor expressed concern regarding the draft operational plan of the </w:t>
      </w:r>
      <w:proofErr w:type="spellStart"/>
      <w:r>
        <w:t>Radiocommunication</w:t>
      </w:r>
      <w:proofErr w:type="spellEnd"/>
      <w:r>
        <w:t xml:space="preserve"> Sector (Document C18/28</w:t>
      </w:r>
      <w:r w:rsidR="00232861">
        <w:t>(</w:t>
      </w:r>
      <w:r>
        <w:rPr>
          <w:lang w:val="en-US"/>
        </w:rPr>
        <w:t>Rev.1</w:t>
      </w:r>
      <w:r w:rsidR="00232861">
        <w:rPr>
          <w:lang w:val="en-US"/>
        </w:rPr>
        <w:t>)</w:t>
      </w:r>
      <w:bookmarkStart w:id="10" w:name="_GoBack"/>
      <w:bookmarkEnd w:id="10"/>
      <w:r>
        <w:t>) and specifically to increases in processing times for satellite network filings and the lack of compliance with the established mandatory deadlines during long period of time; in that regard: urgent organizational and technical measures are needed by the BR to resolve the problem.</w:t>
      </w:r>
    </w:p>
    <w:p w:rsidR="006043C6" w:rsidRDefault="006043C6" w:rsidP="006043C6">
      <w:pPr>
        <w:snapToGrid w:val="0"/>
        <w:spacing w:after="120"/>
      </w:pPr>
      <w:r>
        <w:t>3.4</w:t>
      </w:r>
      <w:r>
        <w:tab/>
        <w:t xml:space="preserve">The Council </w:t>
      </w:r>
      <w:r w:rsidRPr="00E44FDD">
        <w:rPr>
          <w:b/>
        </w:rPr>
        <w:t>approved</w:t>
      </w:r>
      <w:r>
        <w:t xml:space="preserve"> the draft four-year rolling operational plans for ITU-R, ITU-T, ITU-D and the General Secretariat, and </w:t>
      </w:r>
      <w:r w:rsidRPr="00E44FDD">
        <w:rPr>
          <w:b/>
        </w:rPr>
        <w:t>adopted</w:t>
      </w:r>
      <w:r>
        <w:t xml:space="preserve"> the resolution contained in Document C18/32.</w:t>
      </w:r>
    </w:p>
    <w:p w:rsidR="006043C6" w:rsidRPr="006043C6" w:rsidRDefault="006043C6" w:rsidP="00DE2AA7">
      <w:pPr>
        <w:snapToGrid w:val="0"/>
        <w:spacing w:before="360" w:after="120"/>
        <w:rPr>
          <w:b/>
          <w:sz w:val="26"/>
          <w:szCs w:val="26"/>
        </w:rPr>
      </w:pPr>
      <w:r w:rsidRPr="006043C6">
        <w:rPr>
          <w:b/>
          <w:sz w:val="26"/>
          <w:szCs w:val="26"/>
        </w:rPr>
        <w:t>4</w:t>
      </w:r>
      <w:r w:rsidRPr="006043C6">
        <w:rPr>
          <w:b/>
          <w:sz w:val="26"/>
          <w:szCs w:val="26"/>
        </w:rPr>
        <w:tab/>
        <w:t>World Telecommunication and Information Society Day (Document C18/17)</w:t>
      </w:r>
    </w:p>
    <w:p w:rsidR="006043C6" w:rsidRDefault="006043C6" w:rsidP="006043C6">
      <w:pPr>
        <w:snapToGrid w:val="0"/>
        <w:spacing w:after="120"/>
      </w:pPr>
      <w:r>
        <w:t>4.1</w:t>
      </w:r>
      <w:r>
        <w:tab/>
        <w:t>The representative of the secretariat introduced the report by the Secretary-General on World Telecommunication and Information Society Day (WTISD), contained in Document C18/17.</w:t>
      </w:r>
    </w:p>
    <w:p w:rsidR="006043C6" w:rsidRPr="00207363" w:rsidRDefault="006043C6" w:rsidP="006043C6">
      <w:pPr>
        <w:snapToGrid w:val="0"/>
        <w:spacing w:after="120"/>
      </w:pPr>
      <w:r>
        <w:t>4.2</w:t>
      </w:r>
      <w:r>
        <w:tab/>
        <w:t xml:space="preserve">The Council </w:t>
      </w:r>
      <w:r>
        <w:rPr>
          <w:b/>
        </w:rPr>
        <w:t>noted</w:t>
      </w:r>
      <w:r>
        <w:t xml:space="preserve"> the celebration of WTISD-18 on the theme "Artificial Intelligence for Good", and </w:t>
      </w:r>
      <w:r>
        <w:rPr>
          <w:b/>
        </w:rPr>
        <w:t>approved</w:t>
      </w:r>
      <w:r>
        <w:t xml:space="preserve"> the choice of the theme "Bridging the standardization gap" for WTISD-19.</w:t>
      </w:r>
    </w:p>
    <w:p w:rsidR="006043C6" w:rsidRPr="006043C6" w:rsidRDefault="006043C6" w:rsidP="00DE2AA7">
      <w:pPr>
        <w:snapToGrid w:val="0"/>
        <w:spacing w:before="360" w:after="120"/>
        <w:rPr>
          <w:b/>
          <w:sz w:val="26"/>
          <w:szCs w:val="26"/>
        </w:rPr>
      </w:pPr>
      <w:r w:rsidRPr="006043C6">
        <w:rPr>
          <w:b/>
          <w:sz w:val="26"/>
          <w:szCs w:val="26"/>
        </w:rPr>
        <w:t>5</w:t>
      </w:r>
      <w:r w:rsidRPr="006043C6">
        <w:rPr>
          <w:b/>
          <w:sz w:val="26"/>
          <w:szCs w:val="26"/>
        </w:rPr>
        <w:tab/>
        <w:t>Sales of, and free online access to, ITU publications</w:t>
      </w:r>
    </w:p>
    <w:p w:rsidR="006043C6" w:rsidRDefault="006043C6" w:rsidP="00706FCC">
      <w:pPr>
        <w:snapToGrid w:val="0"/>
        <w:spacing w:after="120"/>
      </w:pPr>
      <w:r>
        <w:t>5.1</w:t>
      </w:r>
      <w:r>
        <w:tab/>
        <w:t xml:space="preserve">The Chief of the Financial Resources Management Department introduced the report by the Secretary-General on sales of, and free online access to, ITU publications, contained in Document C18/21. Free online access to ITU publications had been broadened considerably, to include databases of statistics and indicators, which were available free of charge; the release of new editions of major maritime documents in 2017 had driven sales revenues to CHF 19.5 million. </w:t>
      </w:r>
      <w:r w:rsidR="00706FCC">
        <w:t>In the future, it was proposed to include this information in the Annual Activities Report (Document 35), thereby eliminating the need for a separate report.</w:t>
      </w:r>
    </w:p>
    <w:p w:rsidR="006043C6" w:rsidRDefault="006043C6" w:rsidP="006043C6">
      <w:pPr>
        <w:snapToGrid w:val="0"/>
        <w:spacing w:after="120"/>
      </w:pPr>
      <w:r>
        <w:t>5.2</w:t>
      </w:r>
      <w:r>
        <w:tab/>
        <w:t xml:space="preserve">Councillors welcomed the increase in free online access to publications and the lack of financial impact thereof, and one raised the possibility of watermarking new maritime publications to prevent illicit copying; such measures could contribute to increased sales revenues. </w:t>
      </w:r>
    </w:p>
    <w:p w:rsidR="006043C6" w:rsidRPr="00662486" w:rsidRDefault="006043C6" w:rsidP="00706FCC">
      <w:pPr>
        <w:snapToGrid w:val="0"/>
        <w:spacing w:after="120"/>
      </w:pPr>
      <w:r>
        <w:t xml:space="preserve">5.3 </w:t>
      </w:r>
      <w:r>
        <w:tab/>
        <w:t xml:space="preserve">The Council </w:t>
      </w:r>
      <w:r>
        <w:rPr>
          <w:b/>
        </w:rPr>
        <w:t>noted</w:t>
      </w:r>
      <w:r>
        <w:t xml:space="preserve"> Document C18/21.</w:t>
      </w:r>
    </w:p>
    <w:p w:rsidR="006043C6" w:rsidRDefault="00C969B9" w:rsidP="00DE2AA7">
      <w:pPr>
        <w:pStyle w:val="Normalaftertitle"/>
        <w:tabs>
          <w:tab w:val="clear" w:pos="567"/>
          <w:tab w:val="clear" w:pos="1134"/>
          <w:tab w:val="clear" w:pos="1701"/>
          <w:tab w:val="clear" w:pos="2268"/>
          <w:tab w:val="clear" w:pos="2835"/>
          <w:tab w:val="left" w:pos="6521"/>
        </w:tabs>
        <w:snapToGrid w:val="0"/>
        <w:spacing w:before="600"/>
      </w:pPr>
      <w:r>
        <w:t>The Secretary-General:</w:t>
      </w:r>
      <w:r>
        <w:tab/>
      </w:r>
      <w:r w:rsidR="006043C6">
        <w:t>The Chairman:</w:t>
      </w:r>
    </w:p>
    <w:p w:rsidR="006043C6" w:rsidRPr="00024730" w:rsidRDefault="006043C6" w:rsidP="00C969B9">
      <w:pPr>
        <w:pStyle w:val="Normalaftertitle"/>
        <w:tabs>
          <w:tab w:val="clear" w:pos="567"/>
          <w:tab w:val="clear" w:pos="1134"/>
          <w:tab w:val="clear" w:pos="1701"/>
          <w:tab w:val="clear" w:pos="2268"/>
          <w:tab w:val="clear" w:pos="2835"/>
          <w:tab w:val="left" w:pos="6521"/>
        </w:tabs>
        <w:snapToGrid w:val="0"/>
        <w:spacing w:before="0" w:after="120"/>
      </w:pPr>
      <w:r>
        <w:t>H. ZHAO</w:t>
      </w:r>
      <w:r>
        <w:tab/>
        <w:t>R. ISMAILOV</w:t>
      </w:r>
    </w:p>
    <w:p w:rsidR="00264425" w:rsidRPr="006043C6" w:rsidRDefault="006043C6" w:rsidP="00C969B9">
      <w:pPr>
        <w:pStyle w:val="Normalaftertitle"/>
        <w:snapToGrid w:val="0"/>
        <w:spacing w:before="840"/>
        <w:jc w:val="center"/>
      </w:pPr>
      <w:r>
        <w:t>__________________</w:t>
      </w:r>
    </w:p>
    <w:sectPr w:rsidR="00264425" w:rsidRPr="006043C6" w:rsidSect="00C969B9">
      <w:headerReference w:type="first" r:id="rId29"/>
      <w:footerReference w:type="first" r:id="rId30"/>
      <w:pgSz w:w="11907" w:h="16834"/>
      <w:pgMar w:top="1361" w:right="1134" w:bottom="1361" w:left="113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59E0" w:rsidRDefault="001859E0">
      <w:r>
        <w:separator/>
      </w:r>
    </w:p>
  </w:endnote>
  <w:endnote w:type="continuationSeparator" w:id="0">
    <w:p w:rsidR="001859E0" w:rsidRDefault="001859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2D0D" w:rsidRDefault="00322D0D">
    <w:pPr>
      <w:spacing w:after="120"/>
      <w:jc w:val="center"/>
    </w:pPr>
    <w:r>
      <w:t xml:space="preserve">• </w:t>
    </w:r>
    <w:hyperlink r:id="rId1" w:history="1">
      <w:r>
        <w:rPr>
          <w:rStyle w:val="Hyperlink"/>
        </w:rPr>
        <w:t>http://www.itu.int/council</w:t>
      </w:r>
    </w:hyperlink>
    <w:r>
      <w:t xml:space="preserve"> •</w:t>
    </w:r>
  </w:p>
  <w:p w:rsidR="00322D0D" w:rsidRDefault="00322D0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69B9" w:rsidRDefault="00C969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59E0" w:rsidRDefault="001859E0">
      <w:r>
        <w:t>____________________</w:t>
      </w:r>
    </w:p>
  </w:footnote>
  <w:footnote w:type="continuationSeparator" w:id="0">
    <w:p w:rsidR="001859E0" w:rsidRDefault="001859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2D0D" w:rsidRDefault="006535F1" w:rsidP="00CE433C">
    <w:pPr>
      <w:pStyle w:val="Header"/>
    </w:pPr>
    <w:r>
      <w:fldChar w:fldCharType="begin"/>
    </w:r>
    <w:r>
      <w:instrText>PAGE</w:instrText>
    </w:r>
    <w:r>
      <w:fldChar w:fldCharType="separate"/>
    </w:r>
    <w:r w:rsidR="00232861">
      <w:rPr>
        <w:noProof/>
      </w:rPr>
      <w:t>3</w:t>
    </w:r>
    <w:r>
      <w:rPr>
        <w:noProof/>
      </w:rPr>
      <w:fldChar w:fldCharType="end"/>
    </w:r>
  </w:p>
  <w:p w:rsidR="00322D0D" w:rsidRPr="00623AE3" w:rsidRDefault="006043C6" w:rsidP="005243FF">
    <w:pPr>
      <w:pStyle w:val="Header"/>
      <w:rPr>
        <w:bCs/>
      </w:rPr>
    </w:pPr>
    <w:r>
      <w:rPr>
        <w:bCs/>
      </w:rPr>
      <w:t>C18/104</w:t>
    </w:r>
    <w:r w:rsidR="00623AE3" w:rsidRPr="00623AE3">
      <w:rPr>
        <w:bCs/>
      </w:rPr>
      <w:t>-E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69B9" w:rsidRDefault="00C969B9" w:rsidP="00C969B9">
    <w:pPr>
      <w:pStyle w:val="Header"/>
    </w:pPr>
    <w:r>
      <w:fldChar w:fldCharType="begin"/>
    </w:r>
    <w:r>
      <w:instrText>PAGE</w:instrText>
    </w:r>
    <w:r>
      <w:fldChar w:fldCharType="separate"/>
    </w:r>
    <w:r w:rsidR="00232861">
      <w:rPr>
        <w:noProof/>
      </w:rPr>
      <w:t>2</w:t>
    </w:r>
    <w:r>
      <w:rPr>
        <w:noProof/>
      </w:rPr>
      <w:fldChar w:fldCharType="end"/>
    </w:r>
  </w:p>
  <w:p w:rsidR="00C969B9" w:rsidRPr="00623AE3" w:rsidRDefault="00C969B9" w:rsidP="00C969B9">
    <w:pPr>
      <w:pStyle w:val="Header"/>
      <w:rPr>
        <w:bCs/>
      </w:rPr>
    </w:pPr>
    <w:r>
      <w:rPr>
        <w:bCs/>
      </w:rPr>
      <w:t>C18/104</w:t>
    </w:r>
    <w:r w:rsidRPr="00623AE3">
      <w:rPr>
        <w:bCs/>
      </w:rPr>
      <w:t>-E</w:t>
    </w:r>
  </w:p>
  <w:p w:rsidR="00C969B9" w:rsidRDefault="00C969B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3FAD728"/>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9E0"/>
    <w:rsid w:val="000210D4"/>
    <w:rsid w:val="00063016"/>
    <w:rsid w:val="00066795"/>
    <w:rsid w:val="00076AF6"/>
    <w:rsid w:val="00085CF2"/>
    <w:rsid w:val="000B1705"/>
    <w:rsid w:val="000D75B2"/>
    <w:rsid w:val="001121F5"/>
    <w:rsid w:val="001400DC"/>
    <w:rsid w:val="00140CE1"/>
    <w:rsid w:val="0017539C"/>
    <w:rsid w:val="00175AC2"/>
    <w:rsid w:val="0017609F"/>
    <w:rsid w:val="001859E0"/>
    <w:rsid w:val="001C628E"/>
    <w:rsid w:val="001E0F7B"/>
    <w:rsid w:val="001E410F"/>
    <w:rsid w:val="002119FD"/>
    <w:rsid w:val="002130E0"/>
    <w:rsid w:val="00232861"/>
    <w:rsid w:val="00264425"/>
    <w:rsid w:val="00265875"/>
    <w:rsid w:val="0027303B"/>
    <w:rsid w:val="0028109B"/>
    <w:rsid w:val="002A2188"/>
    <w:rsid w:val="002B1F58"/>
    <w:rsid w:val="002C1C7A"/>
    <w:rsid w:val="0030160F"/>
    <w:rsid w:val="003154F0"/>
    <w:rsid w:val="00322D0D"/>
    <w:rsid w:val="003942D4"/>
    <w:rsid w:val="003958A8"/>
    <w:rsid w:val="003B2F44"/>
    <w:rsid w:val="003C2533"/>
    <w:rsid w:val="00401D85"/>
    <w:rsid w:val="0040435A"/>
    <w:rsid w:val="00416A24"/>
    <w:rsid w:val="00431D9E"/>
    <w:rsid w:val="00433CE8"/>
    <w:rsid w:val="00434A5C"/>
    <w:rsid w:val="004544D9"/>
    <w:rsid w:val="00490E72"/>
    <w:rsid w:val="00491157"/>
    <w:rsid w:val="004921C8"/>
    <w:rsid w:val="004D1851"/>
    <w:rsid w:val="004D599D"/>
    <w:rsid w:val="004E2EA5"/>
    <w:rsid w:val="004E3AEB"/>
    <w:rsid w:val="0050223C"/>
    <w:rsid w:val="005243FF"/>
    <w:rsid w:val="00564FBC"/>
    <w:rsid w:val="00582442"/>
    <w:rsid w:val="005F3269"/>
    <w:rsid w:val="006043C6"/>
    <w:rsid w:val="00623AE3"/>
    <w:rsid w:val="0064737F"/>
    <w:rsid w:val="006535F1"/>
    <w:rsid w:val="0065557D"/>
    <w:rsid w:val="00662984"/>
    <w:rsid w:val="006716BB"/>
    <w:rsid w:val="006B6680"/>
    <w:rsid w:val="006B6DCC"/>
    <w:rsid w:val="00702DEF"/>
    <w:rsid w:val="00706861"/>
    <w:rsid w:val="00706FCC"/>
    <w:rsid w:val="0075051B"/>
    <w:rsid w:val="00793188"/>
    <w:rsid w:val="00794D34"/>
    <w:rsid w:val="00813E5E"/>
    <w:rsid w:val="0083581B"/>
    <w:rsid w:val="00864AFF"/>
    <w:rsid w:val="008B4A6A"/>
    <w:rsid w:val="008C7E27"/>
    <w:rsid w:val="009173EF"/>
    <w:rsid w:val="00932906"/>
    <w:rsid w:val="00961B0B"/>
    <w:rsid w:val="009B38C3"/>
    <w:rsid w:val="009E17BD"/>
    <w:rsid w:val="009E485A"/>
    <w:rsid w:val="00A04CEC"/>
    <w:rsid w:val="00A27F92"/>
    <w:rsid w:val="00A32257"/>
    <w:rsid w:val="00A36D20"/>
    <w:rsid w:val="00A55622"/>
    <w:rsid w:val="00A83502"/>
    <w:rsid w:val="00AD15B3"/>
    <w:rsid w:val="00AF6E49"/>
    <w:rsid w:val="00B04A67"/>
    <w:rsid w:val="00B0583C"/>
    <w:rsid w:val="00B40A81"/>
    <w:rsid w:val="00B44910"/>
    <w:rsid w:val="00B72267"/>
    <w:rsid w:val="00B76EB6"/>
    <w:rsid w:val="00B7737B"/>
    <w:rsid w:val="00B824C8"/>
    <w:rsid w:val="00BC251A"/>
    <w:rsid w:val="00BD032B"/>
    <w:rsid w:val="00BE2640"/>
    <w:rsid w:val="00BF7886"/>
    <w:rsid w:val="00C0095E"/>
    <w:rsid w:val="00C01189"/>
    <w:rsid w:val="00C374DE"/>
    <w:rsid w:val="00C47AD4"/>
    <w:rsid w:val="00C52D81"/>
    <w:rsid w:val="00C55198"/>
    <w:rsid w:val="00C969B9"/>
    <w:rsid w:val="00CA6393"/>
    <w:rsid w:val="00CB18FF"/>
    <w:rsid w:val="00CD0C08"/>
    <w:rsid w:val="00CE03FB"/>
    <w:rsid w:val="00CE433C"/>
    <w:rsid w:val="00CF33F3"/>
    <w:rsid w:val="00D04E39"/>
    <w:rsid w:val="00D06183"/>
    <w:rsid w:val="00D22C42"/>
    <w:rsid w:val="00D65041"/>
    <w:rsid w:val="00DB384B"/>
    <w:rsid w:val="00DE2AA7"/>
    <w:rsid w:val="00E01B11"/>
    <w:rsid w:val="00E10E80"/>
    <w:rsid w:val="00E124F0"/>
    <w:rsid w:val="00E60F04"/>
    <w:rsid w:val="00E854E4"/>
    <w:rsid w:val="00EB0D6F"/>
    <w:rsid w:val="00EB2232"/>
    <w:rsid w:val="00EC5337"/>
    <w:rsid w:val="00F2150A"/>
    <w:rsid w:val="00F231D8"/>
    <w:rsid w:val="00F30E3E"/>
    <w:rsid w:val="00F46C5F"/>
    <w:rsid w:val="00F94A63"/>
    <w:rsid w:val="00FA1C28"/>
    <w:rsid w:val="00FB7596"/>
    <w:rsid w:val="00FE4077"/>
    <w:rsid w:val="00FE77D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B6AD2ADC-75F5-4FFE-BBAC-C36186120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3E5E"/>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qFormat/>
    <w:rsid w:val="00813E5E"/>
    <w:pPr>
      <w:keepNext/>
      <w:keepLines/>
      <w:spacing w:before="480"/>
      <w:ind w:left="567" w:hanging="567"/>
      <w:outlineLvl w:val="0"/>
    </w:pPr>
    <w:rPr>
      <w:b/>
      <w:sz w:val="28"/>
    </w:rPr>
  </w:style>
  <w:style w:type="paragraph" w:styleId="Heading2">
    <w:name w:val="heading 2"/>
    <w:basedOn w:val="Heading1"/>
    <w:next w:val="Normal"/>
    <w:qFormat/>
    <w:rsid w:val="00813E5E"/>
    <w:pPr>
      <w:spacing w:before="320"/>
      <w:outlineLvl w:val="1"/>
    </w:pPr>
    <w:rPr>
      <w:sz w:val="24"/>
    </w:rPr>
  </w:style>
  <w:style w:type="paragraph" w:styleId="Heading3">
    <w:name w:val="heading 3"/>
    <w:basedOn w:val="Heading1"/>
    <w:next w:val="Normal"/>
    <w:qFormat/>
    <w:rsid w:val="00813E5E"/>
    <w:pPr>
      <w:spacing w:before="200"/>
      <w:outlineLvl w:val="2"/>
    </w:pPr>
    <w:rPr>
      <w:sz w:val="24"/>
    </w:rPr>
  </w:style>
  <w:style w:type="paragraph" w:styleId="Heading4">
    <w:name w:val="heading 4"/>
    <w:basedOn w:val="Heading3"/>
    <w:next w:val="Normal"/>
    <w:qFormat/>
    <w:rsid w:val="00813E5E"/>
    <w:pPr>
      <w:ind w:left="1134" w:hanging="1134"/>
      <w:outlineLvl w:val="3"/>
    </w:pPr>
  </w:style>
  <w:style w:type="paragraph" w:styleId="Heading5">
    <w:name w:val="heading 5"/>
    <w:basedOn w:val="Heading4"/>
    <w:next w:val="Normal"/>
    <w:qFormat/>
    <w:rsid w:val="00813E5E"/>
    <w:pPr>
      <w:outlineLvl w:val="4"/>
    </w:pPr>
  </w:style>
  <w:style w:type="paragraph" w:styleId="Heading6">
    <w:name w:val="heading 6"/>
    <w:basedOn w:val="Heading4"/>
    <w:next w:val="Normal"/>
    <w:qFormat/>
    <w:rsid w:val="00813E5E"/>
    <w:pPr>
      <w:outlineLvl w:val="5"/>
    </w:pPr>
  </w:style>
  <w:style w:type="paragraph" w:styleId="Heading7">
    <w:name w:val="heading 7"/>
    <w:basedOn w:val="Heading4"/>
    <w:next w:val="Normal"/>
    <w:qFormat/>
    <w:rsid w:val="00813E5E"/>
    <w:pPr>
      <w:ind w:left="1701" w:hanging="1701"/>
      <w:outlineLvl w:val="6"/>
    </w:pPr>
  </w:style>
  <w:style w:type="paragraph" w:styleId="Heading8">
    <w:name w:val="heading 8"/>
    <w:basedOn w:val="Heading4"/>
    <w:next w:val="Normal"/>
    <w:qFormat/>
    <w:rsid w:val="00813E5E"/>
    <w:pPr>
      <w:ind w:left="1701" w:hanging="1701"/>
      <w:outlineLvl w:val="7"/>
    </w:pPr>
  </w:style>
  <w:style w:type="paragraph" w:styleId="Heading9">
    <w:name w:val="heading 9"/>
    <w:basedOn w:val="Heading4"/>
    <w:next w:val="Normal"/>
    <w:qFormat/>
    <w:rsid w:val="00813E5E"/>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813E5E"/>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813E5E"/>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Index7">
    <w:name w:val="index 7"/>
    <w:basedOn w:val="Normal"/>
    <w:next w:val="Normal"/>
    <w:rsid w:val="004D1851"/>
    <w:pPr>
      <w:ind w:left="1698"/>
    </w:pPr>
  </w:style>
  <w:style w:type="paragraph" w:styleId="Index6">
    <w:name w:val="index 6"/>
    <w:basedOn w:val="Normal"/>
    <w:next w:val="Normal"/>
    <w:rsid w:val="004D1851"/>
    <w:pPr>
      <w:ind w:left="1415"/>
    </w:pPr>
  </w:style>
  <w:style w:type="paragraph" w:styleId="Index5">
    <w:name w:val="index 5"/>
    <w:basedOn w:val="Normal"/>
    <w:next w:val="Normal"/>
    <w:rsid w:val="004D1851"/>
    <w:pPr>
      <w:ind w:left="1132"/>
    </w:pPr>
  </w:style>
  <w:style w:type="paragraph" w:styleId="Index4">
    <w:name w:val="index 4"/>
    <w:basedOn w:val="Normal"/>
    <w:next w:val="Normal"/>
    <w:rsid w:val="004D1851"/>
    <w:pPr>
      <w:ind w:left="849"/>
    </w:pPr>
  </w:style>
  <w:style w:type="paragraph" w:styleId="Index3">
    <w:name w:val="index 3"/>
    <w:basedOn w:val="Normal"/>
    <w:next w:val="Normal"/>
    <w:rsid w:val="004D1851"/>
    <w:pPr>
      <w:ind w:left="566"/>
    </w:pPr>
  </w:style>
  <w:style w:type="paragraph" w:styleId="Index2">
    <w:name w:val="index 2"/>
    <w:basedOn w:val="Normal"/>
    <w:next w:val="Normal"/>
    <w:rsid w:val="004D1851"/>
    <w:pPr>
      <w:ind w:left="283"/>
    </w:pPr>
  </w:style>
  <w:style w:type="paragraph" w:styleId="Index1">
    <w:name w:val="index 1"/>
    <w:basedOn w:val="Normal"/>
    <w:next w:val="Normal"/>
    <w:rsid w:val="004D1851"/>
  </w:style>
  <w:style w:type="character" w:styleId="LineNumber">
    <w:name w:val="line number"/>
    <w:basedOn w:val="DefaultParagraphFont"/>
    <w:rsid w:val="004D1851"/>
  </w:style>
  <w:style w:type="paragraph" w:styleId="IndexHeading">
    <w:name w:val="index heading"/>
    <w:basedOn w:val="Normal"/>
    <w:next w:val="Index1"/>
    <w:rsid w:val="004D1851"/>
  </w:style>
  <w:style w:type="paragraph" w:styleId="Footer">
    <w:name w:val="footer"/>
    <w:basedOn w:val="Normal"/>
    <w:rsid w:val="00813E5E"/>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813E5E"/>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813E5E"/>
    <w:rPr>
      <w:rFonts w:ascii="Calibri" w:hAnsi="Calibri"/>
      <w:position w:val="6"/>
      <w:sz w:val="16"/>
    </w:rPr>
  </w:style>
  <w:style w:type="paragraph" w:styleId="FootnoteText">
    <w:name w:val="footnote text"/>
    <w:basedOn w:val="Normal"/>
    <w:rsid w:val="00813E5E"/>
    <w:pPr>
      <w:keepLines/>
      <w:tabs>
        <w:tab w:val="left" w:pos="256"/>
      </w:tabs>
      <w:ind w:left="256" w:hanging="256"/>
    </w:pPr>
  </w:style>
  <w:style w:type="paragraph" w:styleId="NormalIndent">
    <w:name w:val="Normal Indent"/>
    <w:basedOn w:val="Normal"/>
    <w:rsid w:val="00813E5E"/>
    <w:pPr>
      <w:ind w:left="567"/>
    </w:pPr>
  </w:style>
  <w:style w:type="paragraph" w:customStyle="1" w:styleId="enumlev1">
    <w:name w:val="enumlev1"/>
    <w:basedOn w:val="Normal"/>
    <w:rsid w:val="00813E5E"/>
    <w:pPr>
      <w:spacing w:before="86"/>
      <w:ind w:left="567" w:hanging="567"/>
    </w:pPr>
  </w:style>
  <w:style w:type="paragraph" w:customStyle="1" w:styleId="enumlev2">
    <w:name w:val="enumlev2"/>
    <w:basedOn w:val="enumlev1"/>
    <w:rsid w:val="00813E5E"/>
    <w:pPr>
      <w:ind w:left="1134"/>
    </w:pPr>
  </w:style>
  <w:style w:type="paragraph" w:customStyle="1" w:styleId="enumlev3">
    <w:name w:val="enumlev3"/>
    <w:basedOn w:val="enumlev2"/>
    <w:rsid w:val="00813E5E"/>
    <w:pPr>
      <w:ind w:left="1701"/>
    </w:pPr>
  </w:style>
  <w:style w:type="paragraph" w:customStyle="1" w:styleId="Normalaftertitle">
    <w:name w:val="Normal after title"/>
    <w:basedOn w:val="Normal"/>
    <w:next w:val="Normal"/>
    <w:rsid w:val="00813E5E"/>
    <w:pPr>
      <w:spacing w:before="240"/>
    </w:pPr>
  </w:style>
  <w:style w:type="paragraph" w:customStyle="1" w:styleId="Equation">
    <w:name w:val="Equation"/>
    <w:basedOn w:val="Normal"/>
    <w:rsid w:val="004D1851"/>
    <w:pPr>
      <w:tabs>
        <w:tab w:val="center" w:pos="4820"/>
        <w:tab w:val="right" w:pos="9639"/>
      </w:tabs>
    </w:pPr>
  </w:style>
  <w:style w:type="paragraph" w:customStyle="1" w:styleId="Head">
    <w:name w:val="Head"/>
    <w:basedOn w:val="Normal"/>
    <w:rsid w:val="004D1851"/>
    <w:pPr>
      <w:tabs>
        <w:tab w:val="left" w:pos="6663"/>
      </w:tabs>
      <w:overflowPunct/>
      <w:autoSpaceDE/>
      <w:autoSpaceDN/>
      <w:adjustRightInd/>
      <w:spacing w:before="0"/>
      <w:textAlignment w:val="auto"/>
    </w:pPr>
  </w:style>
  <w:style w:type="paragraph" w:customStyle="1" w:styleId="toc0">
    <w:name w:val="toc 0"/>
    <w:basedOn w:val="Normal"/>
    <w:next w:val="TOC1"/>
    <w:rsid w:val="00813E5E"/>
    <w:pPr>
      <w:tabs>
        <w:tab w:val="clear" w:pos="567"/>
        <w:tab w:val="clear" w:pos="1134"/>
        <w:tab w:val="clear" w:pos="1701"/>
        <w:tab w:val="clear" w:pos="2268"/>
        <w:tab w:val="clear" w:pos="2835"/>
        <w:tab w:val="right" w:pos="9781"/>
      </w:tabs>
    </w:pPr>
    <w:rPr>
      <w:b/>
    </w:rPr>
  </w:style>
  <w:style w:type="paragraph" w:styleId="List">
    <w:name w:val="List"/>
    <w:basedOn w:val="Normal"/>
    <w:rsid w:val="004D1851"/>
    <w:pPr>
      <w:tabs>
        <w:tab w:val="left" w:pos="2127"/>
      </w:tabs>
      <w:ind w:left="2127" w:hanging="2127"/>
    </w:pPr>
  </w:style>
  <w:style w:type="paragraph" w:customStyle="1" w:styleId="Part">
    <w:name w:val="Part"/>
    <w:basedOn w:val="Normal"/>
    <w:next w:val="Normal"/>
    <w:rsid w:val="00813E5E"/>
    <w:pPr>
      <w:tabs>
        <w:tab w:val="clear" w:pos="567"/>
        <w:tab w:val="clear" w:pos="1134"/>
        <w:tab w:val="clear" w:pos="1701"/>
        <w:tab w:val="clear" w:pos="2268"/>
        <w:tab w:val="clear" w:pos="2835"/>
      </w:tabs>
      <w:spacing w:before="600"/>
      <w:jc w:val="center"/>
    </w:pPr>
    <w:rPr>
      <w:caps/>
      <w:sz w:val="28"/>
    </w:rPr>
  </w:style>
  <w:style w:type="paragraph" w:customStyle="1" w:styleId="Source">
    <w:name w:val="Source"/>
    <w:basedOn w:val="Normal"/>
    <w:next w:val="Title1"/>
    <w:autoRedefine/>
    <w:rsid w:val="00813E5E"/>
    <w:pPr>
      <w:spacing w:before="840"/>
      <w:jc w:val="center"/>
    </w:pPr>
    <w:rPr>
      <w:b/>
      <w:sz w:val="28"/>
    </w:rPr>
  </w:style>
  <w:style w:type="paragraph" w:customStyle="1" w:styleId="meeting">
    <w:name w:val="meeting"/>
    <w:basedOn w:val="Head"/>
    <w:next w:val="Head"/>
    <w:rsid w:val="004D1851"/>
    <w:pPr>
      <w:tabs>
        <w:tab w:val="left" w:pos="7371"/>
      </w:tabs>
      <w:spacing w:after="567"/>
    </w:pPr>
  </w:style>
  <w:style w:type="paragraph" w:customStyle="1" w:styleId="Subject">
    <w:name w:val="Subject"/>
    <w:basedOn w:val="Normal"/>
    <w:next w:val="Source"/>
    <w:rsid w:val="004D1851"/>
    <w:pPr>
      <w:spacing w:before="0"/>
      <w:ind w:left="1134" w:hanging="1134"/>
    </w:pPr>
  </w:style>
  <w:style w:type="paragraph" w:customStyle="1" w:styleId="Object">
    <w:name w:val="Object"/>
    <w:basedOn w:val="Subject"/>
    <w:next w:val="Subject"/>
    <w:rsid w:val="004D1851"/>
  </w:style>
  <w:style w:type="paragraph" w:customStyle="1" w:styleId="Data">
    <w:name w:val="Data"/>
    <w:basedOn w:val="Subject"/>
    <w:next w:val="Subject"/>
    <w:rsid w:val="004D1851"/>
  </w:style>
  <w:style w:type="paragraph" w:customStyle="1" w:styleId="Reasons">
    <w:name w:val="Reasons"/>
    <w:basedOn w:val="Normal"/>
    <w:rsid w:val="00813E5E"/>
  </w:style>
  <w:style w:type="character" w:styleId="Hyperlink">
    <w:name w:val="Hyperlink"/>
    <w:basedOn w:val="DefaultParagraphFont"/>
    <w:rsid w:val="00813E5E"/>
    <w:rPr>
      <w:color w:val="0000FF"/>
      <w:u w:val="single"/>
    </w:rPr>
  </w:style>
  <w:style w:type="paragraph" w:customStyle="1" w:styleId="FirstFooter">
    <w:name w:val="FirstFooter"/>
    <w:basedOn w:val="Footer"/>
    <w:rsid w:val="00813E5E"/>
    <w:rPr>
      <w:caps w:val="0"/>
    </w:rPr>
  </w:style>
  <w:style w:type="paragraph" w:customStyle="1" w:styleId="Note">
    <w:name w:val="Note"/>
    <w:basedOn w:val="Normal"/>
    <w:rsid w:val="00813E5E"/>
    <w:pPr>
      <w:tabs>
        <w:tab w:val="clear" w:pos="567"/>
        <w:tab w:val="left" w:pos="851"/>
      </w:tabs>
    </w:pPr>
  </w:style>
  <w:style w:type="paragraph" w:styleId="TOC9">
    <w:name w:val="toc 9"/>
    <w:basedOn w:val="TOC4"/>
    <w:rsid w:val="004D1851"/>
  </w:style>
  <w:style w:type="paragraph" w:customStyle="1" w:styleId="Headingb">
    <w:name w:val="Heading_b"/>
    <w:basedOn w:val="Heading3"/>
    <w:next w:val="Normal"/>
    <w:rsid w:val="00813E5E"/>
    <w:pPr>
      <w:spacing w:before="160"/>
      <w:outlineLvl w:val="0"/>
    </w:pPr>
  </w:style>
  <w:style w:type="character" w:styleId="FollowedHyperlink">
    <w:name w:val="FollowedHyperlink"/>
    <w:basedOn w:val="DefaultParagraphFont"/>
    <w:rsid w:val="00813E5E"/>
    <w:rPr>
      <w:color w:val="800080"/>
      <w:u w:val="single"/>
    </w:rPr>
  </w:style>
  <w:style w:type="paragraph" w:customStyle="1" w:styleId="Title1">
    <w:name w:val="Title 1"/>
    <w:basedOn w:val="Source"/>
    <w:next w:val="Title2"/>
    <w:rsid w:val="00813E5E"/>
    <w:pPr>
      <w:spacing w:before="240"/>
    </w:pPr>
    <w:rPr>
      <w:b w:val="0"/>
      <w:caps/>
    </w:rPr>
  </w:style>
  <w:style w:type="paragraph" w:customStyle="1" w:styleId="Title2">
    <w:name w:val="Title 2"/>
    <w:basedOn w:val="Source"/>
    <w:next w:val="Title3"/>
    <w:rsid w:val="00813E5E"/>
    <w:pPr>
      <w:spacing w:before="240"/>
    </w:pPr>
    <w:rPr>
      <w:b w:val="0"/>
      <w:caps/>
    </w:rPr>
  </w:style>
  <w:style w:type="paragraph" w:customStyle="1" w:styleId="Title3">
    <w:name w:val="Title 3"/>
    <w:basedOn w:val="Title2"/>
    <w:next w:val="Normalaftertitle"/>
    <w:rsid w:val="00813E5E"/>
    <w:rPr>
      <w:caps w:val="0"/>
    </w:rPr>
  </w:style>
  <w:style w:type="paragraph" w:customStyle="1" w:styleId="Title4">
    <w:name w:val="Title 4"/>
    <w:basedOn w:val="Title3"/>
    <w:next w:val="Heading1"/>
    <w:rsid w:val="004D1851"/>
    <w:rPr>
      <w:b/>
    </w:rPr>
  </w:style>
  <w:style w:type="paragraph" w:customStyle="1" w:styleId="dnum">
    <w:name w:val="dnum"/>
    <w:basedOn w:val="Normal"/>
    <w:rsid w:val="004D1851"/>
    <w:pPr>
      <w:framePr w:hSpace="181" w:wrap="around" w:vAnchor="page" w:hAnchor="margin" w:y="852"/>
      <w:shd w:val="solid" w:color="FFFFFF" w:fill="FFFFFF"/>
      <w:tabs>
        <w:tab w:val="left" w:pos="1871"/>
      </w:tabs>
    </w:pPr>
    <w:rPr>
      <w:b/>
      <w:bCs/>
    </w:rPr>
  </w:style>
  <w:style w:type="paragraph" w:customStyle="1" w:styleId="ddate">
    <w:name w:val="ddate"/>
    <w:basedOn w:val="Normal"/>
    <w:rsid w:val="004D1851"/>
    <w:pPr>
      <w:framePr w:hSpace="181" w:wrap="around" w:vAnchor="page" w:hAnchor="margin" w:y="852"/>
      <w:shd w:val="solid" w:color="FFFFFF" w:fill="FFFFFF"/>
      <w:tabs>
        <w:tab w:val="left" w:pos="1871"/>
      </w:tabs>
      <w:spacing w:before="0"/>
    </w:pPr>
    <w:rPr>
      <w:b/>
      <w:bCs/>
    </w:rPr>
  </w:style>
  <w:style w:type="paragraph" w:customStyle="1" w:styleId="dorlang">
    <w:name w:val="dorlang"/>
    <w:basedOn w:val="Normal"/>
    <w:rsid w:val="004D1851"/>
    <w:pPr>
      <w:framePr w:hSpace="181" w:wrap="around" w:vAnchor="page" w:hAnchor="margin" w:y="852"/>
      <w:shd w:val="solid" w:color="FFFFFF" w:fill="FFFFFF"/>
      <w:tabs>
        <w:tab w:val="left" w:pos="1871"/>
      </w:tabs>
      <w:spacing w:before="0"/>
    </w:pPr>
    <w:rPr>
      <w:b/>
      <w:bCs/>
    </w:rPr>
  </w:style>
  <w:style w:type="paragraph" w:customStyle="1" w:styleId="AnnexNo">
    <w:name w:val="Annex_No"/>
    <w:basedOn w:val="Normal"/>
    <w:next w:val="Annexref"/>
    <w:rsid w:val="00813E5E"/>
    <w:pPr>
      <w:spacing w:before="720"/>
      <w:jc w:val="center"/>
    </w:pPr>
    <w:rPr>
      <w:caps/>
      <w:sz w:val="28"/>
    </w:rPr>
  </w:style>
  <w:style w:type="paragraph" w:customStyle="1" w:styleId="Annextitle">
    <w:name w:val="Annex_title"/>
    <w:basedOn w:val="Normal"/>
    <w:next w:val="Normal"/>
    <w:rsid w:val="00813E5E"/>
    <w:pPr>
      <w:spacing w:before="240" w:after="240"/>
      <w:jc w:val="center"/>
    </w:pPr>
    <w:rPr>
      <w:b/>
      <w:sz w:val="28"/>
    </w:rPr>
  </w:style>
  <w:style w:type="paragraph" w:customStyle="1" w:styleId="Annexref">
    <w:name w:val="Annex_ref"/>
    <w:basedOn w:val="Normal"/>
    <w:next w:val="Annextitle"/>
    <w:rsid w:val="00813E5E"/>
    <w:pPr>
      <w:jc w:val="center"/>
    </w:pPr>
  </w:style>
  <w:style w:type="paragraph" w:customStyle="1" w:styleId="AppendixNo">
    <w:name w:val="Appendix_No"/>
    <w:basedOn w:val="AnnexNo"/>
    <w:next w:val="Appendixref"/>
    <w:rsid w:val="00813E5E"/>
  </w:style>
  <w:style w:type="paragraph" w:customStyle="1" w:styleId="Appendixtitle">
    <w:name w:val="Appendix_title"/>
    <w:basedOn w:val="Annextitle"/>
    <w:next w:val="Normal"/>
    <w:rsid w:val="00813E5E"/>
  </w:style>
  <w:style w:type="paragraph" w:customStyle="1" w:styleId="Appendixref">
    <w:name w:val="Appendix_ref"/>
    <w:basedOn w:val="Annexref"/>
    <w:next w:val="Appendixtitle"/>
    <w:rsid w:val="00813E5E"/>
  </w:style>
  <w:style w:type="paragraph" w:customStyle="1" w:styleId="Call">
    <w:name w:val="Call"/>
    <w:basedOn w:val="Normal"/>
    <w:next w:val="Normal"/>
    <w:rsid w:val="00813E5E"/>
    <w:pPr>
      <w:keepNext/>
      <w:keepLines/>
      <w:tabs>
        <w:tab w:val="clear" w:pos="1134"/>
        <w:tab w:val="clear" w:pos="1701"/>
        <w:tab w:val="clear" w:pos="2268"/>
        <w:tab w:val="clear" w:pos="2835"/>
      </w:tabs>
      <w:spacing w:before="160"/>
      <w:ind w:left="567"/>
    </w:pPr>
    <w:rPr>
      <w:i/>
    </w:rPr>
  </w:style>
  <w:style w:type="paragraph" w:customStyle="1" w:styleId="Equationlegend">
    <w:name w:val="Equation_legend"/>
    <w:basedOn w:val="Normal"/>
    <w:rsid w:val="004D1851"/>
    <w:pPr>
      <w:tabs>
        <w:tab w:val="right" w:pos="1531"/>
      </w:tabs>
      <w:overflowPunct/>
      <w:autoSpaceDE/>
      <w:autoSpaceDN/>
      <w:adjustRightInd/>
      <w:spacing w:before="80"/>
      <w:ind w:left="1701" w:hanging="1701"/>
      <w:textAlignment w:val="auto"/>
    </w:pPr>
  </w:style>
  <w:style w:type="paragraph" w:customStyle="1" w:styleId="Figure">
    <w:name w:val="Figure"/>
    <w:basedOn w:val="Normal"/>
    <w:next w:val="Figuretitle"/>
    <w:rsid w:val="004D1851"/>
    <w:pPr>
      <w:keepNext/>
      <w:keepLines/>
      <w:spacing w:after="120"/>
      <w:jc w:val="center"/>
    </w:pPr>
  </w:style>
  <w:style w:type="paragraph" w:customStyle="1" w:styleId="Figuretitle">
    <w:name w:val="Figure_title"/>
    <w:basedOn w:val="Tabletitle"/>
    <w:next w:val="Normalaftertitle"/>
    <w:rsid w:val="004D1851"/>
    <w:pPr>
      <w:spacing w:before="240" w:after="480"/>
    </w:pPr>
  </w:style>
  <w:style w:type="paragraph" w:customStyle="1" w:styleId="Tabletitle">
    <w:name w:val="Table_title"/>
    <w:basedOn w:val="TableNo"/>
    <w:next w:val="Tabletext"/>
    <w:rsid w:val="00813E5E"/>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813E5E"/>
    <w:pPr>
      <w:keepNext/>
      <w:spacing w:before="560" w:after="120"/>
      <w:jc w:val="center"/>
    </w:pPr>
    <w:rPr>
      <w:caps/>
    </w:rPr>
  </w:style>
  <w:style w:type="paragraph" w:customStyle="1" w:styleId="Tabletext">
    <w:name w:val="Table_text"/>
    <w:basedOn w:val="Normal"/>
    <w:rsid w:val="00813E5E"/>
    <w:pPr>
      <w:tabs>
        <w:tab w:val="clear" w:pos="567"/>
        <w:tab w:val="clear" w:pos="1134"/>
        <w:tab w:val="clear" w:pos="1701"/>
        <w:tab w:val="clear" w:pos="2268"/>
        <w:tab w:val="clear" w:pos="2835"/>
      </w:tabs>
      <w:spacing w:before="60" w:after="60"/>
    </w:pPr>
    <w:rPr>
      <w:sz w:val="22"/>
    </w:rPr>
  </w:style>
  <w:style w:type="paragraph" w:customStyle="1" w:styleId="Figurelegend">
    <w:name w:val="Figure_legend"/>
    <w:basedOn w:val="Normal"/>
    <w:rsid w:val="004D1851"/>
    <w:pPr>
      <w:keepNext/>
      <w:keepLines/>
      <w:spacing w:before="20" w:after="20"/>
    </w:pPr>
    <w:rPr>
      <w:sz w:val="18"/>
    </w:rPr>
  </w:style>
  <w:style w:type="paragraph" w:customStyle="1" w:styleId="FigureNo">
    <w:name w:val="Figure_No"/>
    <w:basedOn w:val="Normal"/>
    <w:next w:val="Figuretitle"/>
    <w:rsid w:val="004D1851"/>
    <w:pPr>
      <w:keepNext/>
      <w:keepLines/>
      <w:spacing w:before="240" w:after="120"/>
      <w:jc w:val="center"/>
    </w:pPr>
    <w:rPr>
      <w:caps/>
    </w:rPr>
  </w:style>
  <w:style w:type="paragraph" w:customStyle="1" w:styleId="Figurewithouttitle">
    <w:name w:val="Figure_without_title"/>
    <w:basedOn w:val="Figure"/>
    <w:next w:val="Normalaftertitle"/>
    <w:rsid w:val="004D1851"/>
    <w:pPr>
      <w:keepNext w:val="0"/>
      <w:spacing w:after="240"/>
    </w:pPr>
  </w:style>
  <w:style w:type="paragraph" w:customStyle="1" w:styleId="Headingi">
    <w:name w:val="Heading_i"/>
    <w:basedOn w:val="Heading3"/>
    <w:next w:val="Normal"/>
    <w:rsid w:val="00813E5E"/>
    <w:pPr>
      <w:spacing w:before="160"/>
      <w:outlineLvl w:val="0"/>
    </w:pPr>
    <w:rPr>
      <w:rFonts w:asciiTheme="minorHAnsi" w:hAnsiTheme="minorHAnsi"/>
      <w:b w:val="0"/>
      <w:i/>
    </w:rPr>
  </w:style>
  <w:style w:type="character" w:styleId="PageNumber">
    <w:name w:val="page number"/>
    <w:basedOn w:val="DefaultParagraphFont"/>
    <w:rsid w:val="00813E5E"/>
    <w:rPr>
      <w:rFonts w:ascii="Calibri" w:hAnsi="Calibri"/>
    </w:rPr>
  </w:style>
  <w:style w:type="paragraph" w:customStyle="1" w:styleId="PartNo">
    <w:name w:val="Part_No"/>
    <w:basedOn w:val="AnnexNo"/>
    <w:next w:val="Parttitle"/>
    <w:rsid w:val="004D1851"/>
  </w:style>
  <w:style w:type="paragraph" w:customStyle="1" w:styleId="Parttitle">
    <w:name w:val="Part_title"/>
    <w:basedOn w:val="Annextitle"/>
    <w:next w:val="Partref"/>
    <w:rsid w:val="004D1851"/>
  </w:style>
  <w:style w:type="paragraph" w:customStyle="1" w:styleId="Partref">
    <w:name w:val="Part_ref"/>
    <w:basedOn w:val="Annexref"/>
    <w:next w:val="Normalaftertitle"/>
    <w:rsid w:val="004D1851"/>
  </w:style>
  <w:style w:type="paragraph" w:customStyle="1" w:styleId="RecNo">
    <w:name w:val="Rec_No"/>
    <w:basedOn w:val="Normal"/>
    <w:next w:val="Rectitle"/>
    <w:rsid w:val="00813E5E"/>
    <w:pPr>
      <w:spacing w:before="720"/>
      <w:jc w:val="center"/>
    </w:pPr>
    <w:rPr>
      <w:caps/>
      <w:sz w:val="28"/>
    </w:rPr>
  </w:style>
  <w:style w:type="paragraph" w:customStyle="1" w:styleId="Rectitle">
    <w:name w:val="Rec_title"/>
    <w:basedOn w:val="Normal"/>
    <w:next w:val="Heading1"/>
    <w:rsid w:val="00813E5E"/>
    <w:pPr>
      <w:spacing w:before="240"/>
      <w:jc w:val="center"/>
    </w:pPr>
    <w:rPr>
      <w:b/>
      <w:sz w:val="28"/>
    </w:rPr>
  </w:style>
  <w:style w:type="paragraph" w:customStyle="1" w:styleId="Recref">
    <w:name w:val="Rec_ref"/>
    <w:basedOn w:val="Rectitle"/>
    <w:next w:val="Recdate"/>
    <w:rsid w:val="004D1851"/>
    <w:pPr>
      <w:spacing w:before="120"/>
    </w:pPr>
    <w:rPr>
      <w:rFonts w:ascii="Times New Roman" w:hAnsi="Times New Roman"/>
      <w:b w:val="0"/>
      <w:sz w:val="24"/>
    </w:rPr>
  </w:style>
  <w:style w:type="paragraph" w:customStyle="1" w:styleId="Recdate">
    <w:name w:val="Rec_date"/>
    <w:basedOn w:val="Recref"/>
    <w:next w:val="Normalaftertitle"/>
    <w:rsid w:val="004D1851"/>
    <w:pPr>
      <w:jc w:val="right"/>
    </w:pPr>
    <w:rPr>
      <w:sz w:val="22"/>
    </w:rPr>
  </w:style>
  <w:style w:type="paragraph" w:customStyle="1" w:styleId="Questiondate">
    <w:name w:val="Question_date"/>
    <w:basedOn w:val="Recdate"/>
    <w:next w:val="Normalaftertitle"/>
    <w:rsid w:val="004D1851"/>
  </w:style>
  <w:style w:type="paragraph" w:customStyle="1" w:styleId="QuestionNo">
    <w:name w:val="Question_No"/>
    <w:basedOn w:val="RecNo"/>
    <w:next w:val="Questiontitle"/>
    <w:rsid w:val="004D1851"/>
  </w:style>
  <w:style w:type="paragraph" w:customStyle="1" w:styleId="Questionref">
    <w:name w:val="Question_ref"/>
    <w:basedOn w:val="Recref"/>
    <w:next w:val="Questiondate"/>
    <w:rsid w:val="004D1851"/>
  </w:style>
  <w:style w:type="paragraph" w:customStyle="1" w:styleId="Questiontitle">
    <w:name w:val="Question_title"/>
    <w:basedOn w:val="Rectitle"/>
    <w:next w:val="Questionref"/>
    <w:rsid w:val="004D1851"/>
  </w:style>
  <w:style w:type="paragraph" w:customStyle="1" w:styleId="Reftext">
    <w:name w:val="Ref_text"/>
    <w:basedOn w:val="Normal"/>
    <w:rsid w:val="00813E5E"/>
    <w:pPr>
      <w:ind w:left="567" w:hanging="567"/>
    </w:pPr>
  </w:style>
  <w:style w:type="paragraph" w:customStyle="1" w:styleId="Reftitle">
    <w:name w:val="Ref_title"/>
    <w:basedOn w:val="Normal"/>
    <w:next w:val="Reftext"/>
    <w:rsid w:val="00813E5E"/>
    <w:pPr>
      <w:spacing w:before="480"/>
      <w:jc w:val="center"/>
    </w:pPr>
    <w:rPr>
      <w:caps/>
      <w:sz w:val="28"/>
    </w:rPr>
  </w:style>
  <w:style w:type="paragraph" w:customStyle="1" w:styleId="Repdate">
    <w:name w:val="Rep_date"/>
    <w:basedOn w:val="Recdate"/>
    <w:next w:val="Normalaftertitle"/>
    <w:rsid w:val="004D1851"/>
  </w:style>
  <w:style w:type="paragraph" w:customStyle="1" w:styleId="RepNo">
    <w:name w:val="Rep_No"/>
    <w:basedOn w:val="RecNo"/>
    <w:next w:val="Reptitle"/>
    <w:rsid w:val="004D1851"/>
  </w:style>
  <w:style w:type="paragraph" w:customStyle="1" w:styleId="Reptitle">
    <w:name w:val="Rep_title"/>
    <w:basedOn w:val="Rectitle"/>
    <w:next w:val="Repref"/>
    <w:rsid w:val="004D1851"/>
  </w:style>
  <w:style w:type="paragraph" w:customStyle="1" w:styleId="Repref">
    <w:name w:val="Rep_ref"/>
    <w:basedOn w:val="Recref"/>
    <w:next w:val="Repdate"/>
    <w:rsid w:val="004D1851"/>
  </w:style>
  <w:style w:type="paragraph" w:customStyle="1" w:styleId="Resdate">
    <w:name w:val="Res_date"/>
    <w:basedOn w:val="Recdate"/>
    <w:next w:val="Normalaftertitle"/>
    <w:rsid w:val="004D1851"/>
  </w:style>
  <w:style w:type="paragraph" w:customStyle="1" w:styleId="ResNo">
    <w:name w:val="Res_No"/>
    <w:basedOn w:val="AnnexNo"/>
    <w:next w:val="Restitle"/>
    <w:rsid w:val="00813E5E"/>
  </w:style>
  <w:style w:type="paragraph" w:customStyle="1" w:styleId="Restitle">
    <w:name w:val="Res_title"/>
    <w:basedOn w:val="Annextitle"/>
    <w:next w:val="Normal"/>
    <w:rsid w:val="00813E5E"/>
  </w:style>
  <w:style w:type="paragraph" w:customStyle="1" w:styleId="Resref">
    <w:name w:val="Res_ref"/>
    <w:basedOn w:val="Recref"/>
    <w:next w:val="Resdate"/>
    <w:rsid w:val="004D1851"/>
  </w:style>
  <w:style w:type="paragraph" w:customStyle="1" w:styleId="SectionNo">
    <w:name w:val="Section_No"/>
    <w:basedOn w:val="AnnexNo"/>
    <w:next w:val="Sectiontitle"/>
    <w:rsid w:val="004D1851"/>
  </w:style>
  <w:style w:type="paragraph" w:customStyle="1" w:styleId="Sectiontitle">
    <w:name w:val="Section_title"/>
    <w:basedOn w:val="Normal"/>
    <w:next w:val="Normalaftertitle"/>
    <w:rsid w:val="004D1851"/>
    <w:rPr>
      <w:sz w:val="28"/>
    </w:rPr>
  </w:style>
  <w:style w:type="paragraph" w:customStyle="1" w:styleId="SpecialFooter">
    <w:name w:val="Special Footer"/>
    <w:basedOn w:val="Footer"/>
    <w:rsid w:val="004D1851"/>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rsid w:val="00813E5E"/>
    <w:pPr>
      <w:spacing w:before="120" w:after="120"/>
      <w:jc w:val="center"/>
    </w:pPr>
    <w:rPr>
      <w:b/>
    </w:rPr>
  </w:style>
  <w:style w:type="paragraph" w:customStyle="1" w:styleId="Tablelegend">
    <w:name w:val="Table_legend"/>
    <w:basedOn w:val="Tabletext"/>
    <w:rsid w:val="00813E5E"/>
    <w:pPr>
      <w:spacing w:before="120"/>
    </w:pPr>
  </w:style>
  <w:style w:type="paragraph" w:customStyle="1" w:styleId="Tableref">
    <w:name w:val="Table_ref"/>
    <w:basedOn w:val="Normal"/>
    <w:next w:val="Tabletitle"/>
    <w:rsid w:val="004D1851"/>
    <w:pPr>
      <w:keepNext/>
      <w:spacing w:before="567"/>
      <w:jc w:val="center"/>
    </w:pPr>
  </w:style>
  <w:style w:type="paragraph" w:customStyle="1" w:styleId="Artheading">
    <w:name w:val="Art_heading"/>
    <w:basedOn w:val="Normal"/>
    <w:next w:val="Normalaftertitle"/>
    <w:rsid w:val="00813E5E"/>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813E5E"/>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813E5E"/>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813E5E"/>
  </w:style>
  <w:style w:type="paragraph" w:customStyle="1" w:styleId="Chaptitle">
    <w:name w:val="Chap_title"/>
    <w:basedOn w:val="Arttitle"/>
    <w:next w:val="Normal"/>
    <w:rsid w:val="00813E5E"/>
  </w:style>
  <w:style w:type="paragraph" w:customStyle="1" w:styleId="Table">
    <w:name w:val="Table_#"/>
    <w:basedOn w:val="Normal"/>
    <w:next w:val="Normal"/>
    <w:rsid w:val="002A2188"/>
    <w:pPr>
      <w:keepNext/>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pacing w:before="560" w:after="120"/>
      <w:jc w:val="center"/>
      <w:textAlignment w:val="auto"/>
    </w:pPr>
    <w:rPr>
      <w:rFonts w:ascii="Times New Roman" w:hAnsi="Times New Roman"/>
      <w:caps/>
    </w:rPr>
  </w:style>
  <w:style w:type="paragraph" w:styleId="BalloonText">
    <w:name w:val="Balloon Text"/>
    <w:basedOn w:val="Normal"/>
    <w:link w:val="BalloonTextChar"/>
    <w:semiHidden/>
    <w:unhideWhenUsed/>
    <w:rsid w:val="00706FCC"/>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706FCC"/>
    <w:rPr>
      <w:rFonts w:ascii="Segoe U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itu.int/md/S18-CL-C-0029/en" TargetMode="External"/><Relationship Id="rId18" Type="http://schemas.openxmlformats.org/officeDocument/2006/relationships/hyperlink" Target="https://www.itu.int/md/S18-CL-C-0021/en" TargetMode="External"/><Relationship Id="rId26" Type="http://schemas.openxmlformats.org/officeDocument/2006/relationships/hyperlink" Target="https://www.itu.int/md/S18-CL-C-0030/en" TargetMode="External"/><Relationship Id="rId3" Type="http://schemas.openxmlformats.org/officeDocument/2006/relationships/styles" Target="styles.xml"/><Relationship Id="rId21" Type="http://schemas.openxmlformats.org/officeDocument/2006/relationships/hyperlink" Target="https://www.itu.int/md/S18-CL-C-0019/en" TargetMode="External"/><Relationship Id="rId7" Type="http://schemas.openxmlformats.org/officeDocument/2006/relationships/endnotes" Target="endnotes.xml"/><Relationship Id="rId12" Type="http://schemas.openxmlformats.org/officeDocument/2006/relationships/hyperlink" Target="https://www.itu.int/md/S18-CL-C-0028/en" TargetMode="External"/><Relationship Id="rId17" Type="http://schemas.openxmlformats.org/officeDocument/2006/relationships/hyperlink" Target="https://www.itu.int/md/S18-CL-C-0017/en" TargetMode="External"/><Relationship Id="rId25" Type="http://schemas.openxmlformats.org/officeDocument/2006/relationships/hyperlink" Target="https://www.itu.int/md/S18-CL-C-0029/en" TargetMode="External"/><Relationship Id="rId2" Type="http://schemas.openxmlformats.org/officeDocument/2006/relationships/numbering" Target="numbering.xml"/><Relationship Id="rId16" Type="http://schemas.openxmlformats.org/officeDocument/2006/relationships/hyperlink" Target="https://www.itu.int/md/S18-CL-C-0032/en" TargetMode="External"/><Relationship Id="rId20" Type="http://schemas.openxmlformats.org/officeDocument/2006/relationships/footer" Target="footer1.xm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md/S18-CL-C-0014/en" TargetMode="External"/><Relationship Id="rId24" Type="http://schemas.openxmlformats.org/officeDocument/2006/relationships/hyperlink" Target="https://www.itu.int/md/S18-CL-C-0028/en"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itu.int/md/S18-CL-C-0031/en" TargetMode="External"/><Relationship Id="rId23" Type="http://schemas.openxmlformats.org/officeDocument/2006/relationships/hyperlink" Target="https://www.itu.int/md/S18-CL-C-0014/en" TargetMode="External"/><Relationship Id="rId28" Type="http://schemas.openxmlformats.org/officeDocument/2006/relationships/hyperlink" Target="https://www.itu.int/md/S18-CL-C-0032/en" TargetMode="External"/><Relationship Id="rId10" Type="http://schemas.openxmlformats.org/officeDocument/2006/relationships/hyperlink" Target="https://www.itu.int/md/S18-CL-C-0012/en" TargetMode="External"/><Relationship Id="rId19" Type="http://schemas.openxmlformats.org/officeDocument/2006/relationships/header" Target="header1.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itu.int/md/S18-CL-C-0019/en" TargetMode="External"/><Relationship Id="rId14" Type="http://schemas.openxmlformats.org/officeDocument/2006/relationships/hyperlink" Target="https://www.itu.int/md/S18-CL-C-0030/en" TargetMode="External"/><Relationship Id="rId22" Type="http://schemas.openxmlformats.org/officeDocument/2006/relationships/hyperlink" Target="https://www.itu.int/md/S18-CL-C-0012/en" TargetMode="External"/><Relationship Id="rId27" Type="http://schemas.openxmlformats.org/officeDocument/2006/relationships/hyperlink" Target="https://www.itu.int/md/S18-CL-C-0031/en" TargetMode="External"/><Relationship Id="rId30"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E%20-%20ITU\PE_C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D6CCED-D06F-41A2-AC4F-FC5914919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PE_C18.dotx</Template>
  <TotalTime>3</TotalTime>
  <Pages>4</Pages>
  <Words>1834</Words>
  <Characters>10458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Summary record of the first Plenary meeting</vt:lpstr>
    </vt:vector>
  </TitlesOfParts>
  <Manager>General Secretariat - Pool</Manager>
  <Company>International Telecommunication Union (ITU)</Company>
  <LinksUpToDate>false</LinksUpToDate>
  <CharactersWithSpaces>12268</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record of the first Plenary meeting</dc:title>
  <dc:subject>Council 2018</dc:subject>
  <dc:creator>Brouard, Ricarda</dc:creator>
  <cp:keywords>C2018, C18</cp:keywords>
  <dc:description/>
  <cp:lastModifiedBy>Janin</cp:lastModifiedBy>
  <cp:revision>6</cp:revision>
  <cp:lastPrinted>2000-07-18T13:30:00Z</cp:lastPrinted>
  <dcterms:created xsi:type="dcterms:W3CDTF">2018-05-02T15:25:00Z</dcterms:created>
  <dcterms:modified xsi:type="dcterms:W3CDTF">2018-05-09T08:58:00Z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PE_C08.DOT</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