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6919D3" w:rsidTr="001823EB">
        <w:trPr>
          <w:cantSplit/>
        </w:trPr>
        <w:tc>
          <w:tcPr>
            <w:tcW w:w="6911" w:type="dxa"/>
          </w:tcPr>
          <w:p w:rsidR="002A2188" w:rsidRPr="006919D3" w:rsidRDefault="00EB0B1D" w:rsidP="006C02A6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6919D3">
              <w:rPr>
                <w:rFonts w:asciiTheme="minorHAnsi" w:hAnsiTheme="minorHAnsi"/>
                <w:b/>
                <w:position w:val="6"/>
                <w:sz w:val="28"/>
                <w:szCs w:val="28"/>
                <w:lang w:val="ru-RU"/>
              </w:rPr>
              <w:t>СОВЕТ 2018</w:t>
            </w:r>
            <w:r w:rsidRPr="006919D3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bookmarkStart w:id="0" w:name="lt_pId004"/>
            <w:r w:rsidR="006C02A6" w:rsidRPr="006919D3">
              <w:rPr>
                <w:b/>
                <w:bCs/>
                <w:position w:val="6"/>
                <w:lang w:val="ru-RU"/>
              </w:rPr>
              <w:t>Заключительное заседание</w:t>
            </w:r>
            <w:r w:rsidR="00C06178" w:rsidRPr="006919D3">
              <w:rPr>
                <w:b/>
                <w:bCs/>
                <w:position w:val="6"/>
                <w:lang w:val="ru-RU"/>
              </w:rPr>
              <w:t>, Дубай, 27 октября 2018</w:t>
            </w:r>
            <w:bookmarkEnd w:id="0"/>
            <w:r w:rsidR="00C06178" w:rsidRPr="006919D3">
              <w:rPr>
                <w:b/>
                <w:bCs/>
                <w:position w:val="6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2A2188" w:rsidRPr="006919D3" w:rsidRDefault="000E2A4C" w:rsidP="001823EB">
            <w:pPr>
              <w:spacing w:before="0" w:line="240" w:lineRule="atLeast"/>
              <w:jc w:val="right"/>
              <w:rPr>
                <w:lang w:val="ru-RU"/>
              </w:rPr>
            </w:pPr>
            <w:bookmarkStart w:id="1" w:name="ditulogo"/>
            <w:bookmarkEnd w:id="1"/>
            <w:r w:rsidRPr="006919D3">
              <w:rPr>
                <w:noProof/>
                <w:lang w:eastAsia="zh-CN"/>
              </w:rPr>
              <w:drawing>
                <wp:inline distT="0" distB="0" distL="0" distR="0" wp14:anchorId="378FEA59" wp14:editId="271E1D4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919D3" w:rsidTr="001823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6919D3" w:rsidRDefault="002A2188" w:rsidP="001823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6919D3" w:rsidRDefault="002A2188" w:rsidP="001823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6919D3" w:rsidTr="001823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6919D3" w:rsidRDefault="002A2188" w:rsidP="001823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6919D3" w:rsidRDefault="002A2188" w:rsidP="001823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5B0E60" w:rsidRPr="006919D3" w:rsidTr="001823EB">
        <w:trPr>
          <w:cantSplit/>
          <w:trHeight w:val="23"/>
        </w:trPr>
        <w:tc>
          <w:tcPr>
            <w:tcW w:w="6911" w:type="dxa"/>
            <w:vMerge w:val="restart"/>
          </w:tcPr>
          <w:p w:rsidR="005B0E60" w:rsidRPr="006919D3" w:rsidRDefault="005B0E60" w:rsidP="005B0E6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5B0E60" w:rsidRPr="006919D3" w:rsidRDefault="005B0E60" w:rsidP="0020274A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6919D3">
              <w:rPr>
                <w:rFonts w:asciiTheme="minorHAnsi" w:hAnsiTheme="minorHAnsi"/>
                <w:b/>
                <w:szCs w:val="22"/>
                <w:lang w:val="ru-RU"/>
              </w:rPr>
              <w:t>Документ C18/</w:t>
            </w:r>
            <w:r w:rsidR="0020274A" w:rsidRPr="006919D3">
              <w:rPr>
                <w:rFonts w:asciiTheme="minorHAnsi" w:hAnsiTheme="minorHAnsi"/>
                <w:b/>
                <w:szCs w:val="22"/>
                <w:lang w:val="ru-RU"/>
              </w:rPr>
              <w:t>122</w:t>
            </w:r>
            <w:r w:rsidRPr="006919D3">
              <w:rPr>
                <w:rFonts w:asciiTheme="minorHAnsi" w:hAnsiTheme="minorHAnsi"/>
                <w:b/>
                <w:szCs w:val="22"/>
                <w:lang w:val="ru-RU"/>
              </w:rPr>
              <w:t>-</w:t>
            </w:r>
            <w:r w:rsidR="000E2A4C" w:rsidRPr="006919D3">
              <w:rPr>
                <w:rFonts w:asciiTheme="minorHAnsi" w:hAnsiTheme="minorHAnsi"/>
                <w:b/>
                <w:szCs w:val="22"/>
                <w:lang w:val="ru-RU"/>
              </w:rPr>
              <w:t>R</w:t>
            </w:r>
          </w:p>
        </w:tc>
      </w:tr>
      <w:tr w:rsidR="005B0E60" w:rsidRPr="006919D3" w:rsidTr="001823EB">
        <w:trPr>
          <w:cantSplit/>
          <w:trHeight w:val="23"/>
        </w:trPr>
        <w:tc>
          <w:tcPr>
            <w:tcW w:w="6911" w:type="dxa"/>
            <w:vMerge/>
          </w:tcPr>
          <w:p w:rsidR="005B0E60" w:rsidRPr="006919D3" w:rsidRDefault="005B0E60" w:rsidP="005B0E6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5B0E60" w:rsidRPr="006919D3" w:rsidRDefault="0020274A" w:rsidP="005B0E6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2"/>
                <w:lang w:val="ru-RU"/>
              </w:rPr>
            </w:pPr>
            <w:r w:rsidRPr="006919D3">
              <w:rPr>
                <w:rFonts w:asciiTheme="minorHAnsi" w:hAnsiTheme="minorHAnsi"/>
                <w:b/>
                <w:szCs w:val="22"/>
                <w:lang w:val="ru-RU"/>
              </w:rPr>
              <w:t>5 сентября</w:t>
            </w:r>
            <w:r w:rsidR="005B0E60" w:rsidRPr="006919D3">
              <w:rPr>
                <w:rFonts w:asciiTheme="minorHAnsi" w:hAnsiTheme="minorHAnsi"/>
                <w:b/>
                <w:szCs w:val="22"/>
                <w:lang w:val="ru-RU"/>
              </w:rPr>
              <w:t xml:space="preserve"> 2018 года</w:t>
            </w:r>
          </w:p>
        </w:tc>
      </w:tr>
      <w:tr w:rsidR="005B0E60" w:rsidRPr="006919D3" w:rsidTr="001823EB">
        <w:trPr>
          <w:cantSplit/>
          <w:trHeight w:val="23"/>
        </w:trPr>
        <w:tc>
          <w:tcPr>
            <w:tcW w:w="6911" w:type="dxa"/>
            <w:vMerge/>
          </w:tcPr>
          <w:p w:rsidR="005B0E60" w:rsidRPr="006919D3" w:rsidRDefault="005B0E60" w:rsidP="005B0E6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5B0E60" w:rsidRPr="006919D3" w:rsidRDefault="005B0E60" w:rsidP="005B0E6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6919D3">
              <w:rPr>
                <w:rFonts w:asciiTheme="minorHAnsi" w:hAnsiTheme="minorHAnsi"/>
                <w:b/>
                <w:szCs w:val="22"/>
                <w:lang w:val="ru-RU"/>
              </w:rPr>
              <w:t>Оригинал: английский</w:t>
            </w:r>
          </w:p>
        </w:tc>
      </w:tr>
      <w:tr w:rsidR="002A2188" w:rsidRPr="006919D3" w:rsidTr="001823EB">
        <w:trPr>
          <w:cantSplit/>
        </w:trPr>
        <w:tc>
          <w:tcPr>
            <w:tcW w:w="10031" w:type="dxa"/>
            <w:gridSpan w:val="2"/>
          </w:tcPr>
          <w:p w:rsidR="002A2188" w:rsidRPr="006919D3" w:rsidRDefault="0020274A" w:rsidP="00EB0B1D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6919D3">
              <w:rPr>
                <w:lang w:val="ru-RU"/>
              </w:rPr>
              <w:t>Отчет</w:t>
            </w:r>
            <w:r w:rsidR="00DB45C6" w:rsidRPr="006919D3">
              <w:rPr>
                <w:lang w:val="ru-RU"/>
              </w:rPr>
              <w:t xml:space="preserve"> Генерального секрета</w:t>
            </w:r>
            <w:bookmarkStart w:id="7" w:name="_GoBack"/>
            <w:bookmarkEnd w:id="7"/>
            <w:r w:rsidR="00DB45C6" w:rsidRPr="006919D3">
              <w:rPr>
                <w:lang w:val="ru-RU"/>
              </w:rPr>
              <w:t>ря</w:t>
            </w:r>
          </w:p>
        </w:tc>
      </w:tr>
      <w:tr w:rsidR="002A2188" w:rsidRPr="006919D3" w:rsidTr="001823EB">
        <w:trPr>
          <w:cantSplit/>
        </w:trPr>
        <w:tc>
          <w:tcPr>
            <w:tcW w:w="10031" w:type="dxa"/>
            <w:gridSpan w:val="2"/>
          </w:tcPr>
          <w:p w:rsidR="002A2188" w:rsidRPr="006919D3" w:rsidRDefault="006C02A6" w:rsidP="006C02A6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6"/>
            <w:r w:rsidRPr="006919D3">
              <w:rPr>
                <w:lang w:val="ru-RU"/>
              </w:rPr>
              <w:t>создание зонального отделения</w:t>
            </w:r>
            <w:r w:rsidR="00C06178" w:rsidRPr="006919D3">
              <w:rPr>
                <w:lang w:val="ru-RU"/>
              </w:rPr>
              <w:t xml:space="preserve"> </w:t>
            </w:r>
            <w:r w:rsidR="00900D7F" w:rsidRPr="006919D3">
              <w:rPr>
                <w:lang w:val="ru-RU"/>
              </w:rPr>
              <w:t>МСЭ</w:t>
            </w:r>
            <w:r w:rsidR="00C06178" w:rsidRPr="006919D3">
              <w:rPr>
                <w:lang w:val="ru-RU"/>
              </w:rPr>
              <w:t xml:space="preserve"> </w:t>
            </w:r>
            <w:r w:rsidRPr="006919D3">
              <w:rPr>
                <w:lang w:val="ru-RU"/>
              </w:rPr>
              <w:t>для стран южной азии</w:t>
            </w:r>
          </w:p>
        </w:tc>
      </w:tr>
    </w:tbl>
    <w:p w:rsidR="00A46E6D" w:rsidRPr="006919D3" w:rsidRDefault="00A46E6D" w:rsidP="00EB0B1D">
      <w:pPr>
        <w:pStyle w:val="Normalaftertitle"/>
        <w:rPr>
          <w:lang w:val="ru-RU"/>
        </w:rPr>
      </w:pPr>
      <w:bookmarkStart w:id="9" w:name="dstart"/>
      <w:bookmarkStart w:id="10" w:name="dbreak"/>
      <w:bookmarkEnd w:id="8"/>
      <w:bookmarkEnd w:id="9"/>
      <w:bookmarkEnd w:id="10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0274A" w:rsidRPr="006919D3" w:rsidTr="00C01DE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74A" w:rsidRPr="006919D3" w:rsidRDefault="00F21A3C" w:rsidP="00F21A3C">
            <w:pPr>
              <w:pStyle w:val="Headingb"/>
              <w:rPr>
                <w:lang w:val="ru-RU"/>
              </w:rPr>
            </w:pPr>
            <w:bookmarkStart w:id="11" w:name="lt_pId011"/>
            <w:r w:rsidRPr="006919D3">
              <w:rPr>
                <w:lang w:val="ru-RU"/>
              </w:rPr>
              <w:t>Резюме</w:t>
            </w:r>
            <w:bookmarkEnd w:id="11"/>
          </w:p>
          <w:p w:rsidR="0020274A" w:rsidRPr="006919D3" w:rsidRDefault="00F21A3C" w:rsidP="00F21A3C">
            <w:pPr>
              <w:rPr>
                <w:lang w:val="ru-RU"/>
              </w:rPr>
            </w:pPr>
            <w:bookmarkStart w:id="12" w:name="lt_pId012"/>
            <w:r w:rsidRPr="006919D3">
              <w:rPr>
                <w:lang w:val="ru-RU"/>
              </w:rPr>
              <w:t>По поручению сессии Совета, прошедшей в апреле 2018 года, секретариат проанализировал различные элементы, связанные с созданием зонального отделения в Южной Азии, и представляет свои выводы в настоящем отчете</w:t>
            </w:r>
            <w:r w:rsidR="0020274A" w:rsidRPr="006919D3">
              <w:rPr>
                <w:lang w:val="ru-RU"/>
              </w:rPr>
              <w:t>.</w:t>
            </w:r>
            <w:bookmarkEnd w:id="12"/>
          </w:p>
          <w:p w:rsidR="0020274A" w:rsidRPr="006919D3" w:rsidRDefault="00F21A3C" w:rsidP="00C01DE4">
            <w:pPr>
              <w:pStyle w:val="Headingb"/>
              <w:jc w:val="both"/>
              <w:rPr>
                <w:lang w:val="ru-RU"/>
              </w:rPr>
            </w:pPr>
            <w:r w:rsidRPr="006919D3">
              <w:rPr>
                <w:szCs w:val="22"/>
                <w:lang w:val="ru-RU"/>
              </w:rPr>
              <w:t>Необходимые действия</w:t>
            </w:r>
          </w:p>
          <w:p w:rsidR="0020274A" w:rsidRPr="006919D3" w:rsidRDefault="00F21A3C" w:rsidP="00F21A3C">
            <w:pPr>
              <w:spacing w:after="120"/>
              <w:rPr>
                <w:lang w:val="ru-RU"/>
              </w:rPr>
            </w:pPr>
            <w:bookmarkStart w:id="13" w:name="lt_pId014"/>
            <w:r w:rsidRPr="006919D3">
              <w:rPr>
                <w:lang w:val="ru-RU"/>
              </w:rPr>
              <w:t xml:space="preserve">Совету предлагается </w:t>
            </w:r>
            <w:r w:rsidRPr="006919D3">
              <w:rPr>
                <w:b/>
                <w:bCs/>
                <w:lang w:val="ru-RU"/>
              </w:rPr>
              <w:t xml:space="preserve">принять во внимание </w:t>
            </w:r>
            <w:r w:rsidRPr="006919D3">
              <w:rPr>
                <w:lang w:val="ru-RU"/>
              </w:rPr>
              <w:t>представляемую в настоящем отчете информацию при принятии окончательного решения по этому вопросу</w:t>
            </w:r>
            <w:r w:rsidR="0020274A" w:rsidRPr="006919D3">
              <w:rPr>
                <w:lang w:val="ru-RU"/>
              </w:rPr>
              <w:t>.</w:t>
            </w:r>
            <w:bookmarkEnd w:id="13"/>
          </w:p>
          <w:p w:rsidR="0020274A" w:rsidRPr="006919D3" w:rsidRDefault="0020274A" w:rsidP="00C01DE4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lang w:val="ru-RU"/>
              </w:rPr>
            </w:pPr>
            <w:r w:rsidRPr="006919D3">
              <w:rPr>
                <w:rFonts w:ascii="Calibri" w:hAnsi="Calibri"/>
                <w:caps w:val="0"/>
                <w:lang w:val="ru-RU"/>
              </w:rPr>
              <w:t>____________</w:t>
            </w:r>
          </w:p>
          <w:p w:rsidR="0020274A" w:rsidRPr="006919D3" w:rsidRDefault="00F21A3C" w:rsidP="00C01DE4">
            <w:pPr>
              <w:pStyle w:val="Headingb"/>
              <w:rPr>
                <w:lang w:val="ru-RU"/>
              </w:rPr>
            </w:pPr>
            <w:r w:rsidRPr="006919D3">
              <w:rPr>
                <w:szCs w:val="22"/>
                <w:lang w:val="ru-RU"/>
              </w:rPr>
              <w:t>Справочные материалы</w:t>
            </w:r>
          </w:p>
          <w:bookmarkStart w:id="14" w:name="lt_pId017"/>
          <w:p w:rsidR="0020274A" w:rsidRPr="006919D3" w:rsidRDefault="0020274A" w:rsidP="00C01DE4">
            <w:pPr>
              <w:spacing w:after="120"/>
              <w:rPr>
                <w:lang w:val="ru-RU"/>
              </w:rPr>
            </w:pPr>
            <w:r w:rsidRPr="006919D3">
              <w:rPr>
                <w:lang w:val="ru-RU"/>
              </w:rPr>
              <w:fldChar w:fldCharType="begin"/>
            </w:r>
            <w:r w:rsidRPr="006919D3">
              <w:rPr>
                <w:lang w:val="ru-RU"/>
              </w:rPr>
              <w:instrText xml:space="preserve"> HYPERLINK "https://www.itu.int/md/S18-CL-C-0085/" </w:instrText>
            </w:r>
            <w:r w:rsidRPr="006919D3">
              <w:rPr>
                <w:lang w:val="ru-RU"/>
              </w:rPr>
              <w:fldChar w:fldCharType="separate"/>
            </w:r>
            <w:r w:rsidRPr="006919D3">
              <w:rPr>
                <w:rStyle w:val="Hyperlink"/>
                <w:lang w:val="ru-RU"/>
              </w:rPr>
              <w:t>C18/85(Rev.1)</w:t>
            </w:r>
            <w:r w:rsidRPr="006919D3">
              <w:rPr>
                <w:lang w:val="ru-RU"/>
              </w:rPr>
              <w:fldChar w:fldCharType="end"/>
            </w:r>
            <w:r w:rsidRPr="006919D3">
              <w:rPr>
                <w:lang w:val="ru-RU"/>
              </w:rPr>
              <w:t xml:space="preserve">, </w:t>
            </w:r>
            <w:hyperlink r:id="rId12" w:history="1">
              <w:r w:rsidRPr="006919D3">
                <w:rPr>
                  <w:rStyle w:val="Hyperlink"/>
                  <w:lang w:val="ru-RU"/>
                </w:rPr>
                <w:t>C18/119</w:t>
              </w:r>
            </w:hyperlink>
            <w:bookmarkEnd w:id="14"/>
            <w:r w:rsidRPr="006919D3">
              <w:rPr>
                <w:lang w:val="ru-RU"/>
              </w:rPr>
              <w:t xml:space="preserve"> </w:t>
            </w:r>
          </w:p>
        </w:tc>
      </w:tr>
    </w:tbl>
    <w:p w:rsidR="00C06178" w:rsidRPr="006919D3" w:rsidRDefault="00900D7F" w:rsidP="00F21A3C">
      <w:pPr>
        <w:pStyle w:val="Normalaftertitle"/>
        <w:rPr>
          <w:lang w:val="ru-RU"/>
        </w:rPr>
      </w:pPr>
      <w:r w:rsidRPr="006919D3">
        <w:rPr>
          <w:lang w:val="ru-RU"/>
        </w:rPr>
        <w:t>1</w:t>
      </w:r>
      <w:r w:rsidRPr="006919D3">
        <w:rPr>
          <w:lang w:val="ru-RU"/>
        </w:rPr>
        <w:tab/>
      </w:r>
      <w:r w:rsidR="00F21A3C" w:rsidRPr="006919D3">
        <w:rPr>
          <w:lang w:val="ru-RU"/>
        </w:rPr>
        <w:t xml:space="preserve">На своей ежегодной сессии в апреле 2018 года Совет </w:t>
      </w:r>
      <w:r w:rsidR="00C06178" w:rsidRPr="006919D3">
        <w:rPr>
          <w:lang w:val="ru-RU"/>
        </w:rPr>
        <w:t xml:space="preserve">МСЭ </w:t>
      </w:r>
      <w:r w:rsidR="00F21A3C" w:rsidRPr="006919D3">
        <w:rPr>
          <w:lang w:val="ru-RU"/>
        </w:rPr>
        <w:t>о</w:t>
      </w:r>
      <w:r w:rsidR="00BF19D6" w:rsidRPr="006919D3">
        <w:rPr>
          <w:lang w:val="ru-RU"/>
        </w:rPr>
        <w:t>б</w:t>
      </w:r>
      <w:r w:rsidR="00F21A3C" w:rsidRPr="006919D3">
        <w:rPr>
          <w:lang w:val="ru-RU"/>
        </w:rPr>
        <w:t>судил Документ </w:t>
      </w:r>
      <w:hyperlink r:id="rId13" w:history="1">
        <w:r w:rsidR="00C06178" w:rsidRPr="006919D3">
          <w:rPr>
            <w:rStyle w:val="Hyperlink"/>
            <w:lang w:val="ru-RU"/>
          </w:rPr>
          <w:t>C18/85(Rev.1)</w:t>
        </w:r>
      </w:hyperlink>
      <w:r w:rsidR="00C06178" w:rsidRPr="006919D3">
        <w:rPr>
          <w:lang w:val="ru-RU"/>
        </w:rPr>
        <w:t xml:space="preserve">, </w:t>
      </w:r>
      <w:r w:rsidR="00F21A3C" w:rsidRPr="006919D3">
        <w:rPr>
          <w:lang w:val="ru-RU"/>
        </w:rPr>
        <w:t>озаглавленный</w:t>
      </w:r>
      <w:r w:rsidR="00C06178" w:rsidRPr="006919D3">
        <w:rPr>
          <w:lang w:val="ru-RU"/>
        </w:rPr>
        <w:t xml:space="preserve"> "</w:t>
      </w:r>
      <w:r w:rsidR="00230F6E" w:rsidRPr="006919D3">
        <w:rPr>
          <w:lang w:val="ru-RU"/>
        </w:rPr>
        <w:t>Вклад от Республики Индии, Народной Республики Бангладеш, Буркина-Фасо и Федеративной Республики Нигерии</w:t>
      </w:r>
      <w:r w:rsidR="00C06178" w:rsidRPr="006919D3">
        <w:rPr>
          <w:lang w:val="ru-RU"/>
        </w:rPr>
        <w:t xml:space="preserve">: </w:t>
      </w:r>
      <w:r w:rsidR="00230F6E" w:rsidRPr="006919D3">
        <w:rPr>
          <w:lang w:val="ru-RU"/>
        </w:rPr>
        <w:t>Возможность создания зонального отделения МСЭ для стран Южной Азии и технологического инновационного центра в Индии</w:t>
      </w:r>
      <w:r w:rsidR="00C06178" w:rsidRPr="006919D3">
        <w:rPr>
          <w:lang w:val="ru-RU"/>
        </w:rPr>
        <w:t>".</w:t>
      </w:r>
    </w:p>
    <w:p w:rsidR="0020274A" w:rsidRPr="006919D3" w:rsidRDefault="00F21A3C" w:rsidP="00AE1CFD">
      <w:pPr>
        <w:rPr>
          <w:lang w:val="ru-RU"/>
        </w:rPr>
      </w:pPr>
      <w:r w:rsidRPr="006919D3">
        <w:rPr>
          <w:lang w:val="ru-RU"/>
        </w:rPr>
        <w:t>В выдержке из Документа </w:t>
      </w:r>
      <w:hyperlink r:id="rId14" w:history="1">
        <w:r w:rsidR="00C06178" w:rsidRPr="006919D3">
          <w:rPr>
            <w:rStyle w:val="Hyperlink"/>
            <w:lang w:val="ru-RU"/>
          </w:rPr>
          <w:t>C18/119</w:t>
        </w:r>
      </w:hyperlink>
      <w:r w:rsidR="00C06178" w:rsidRPr="006919D3">
        <w:rPr>
          <w:lang w:val="ru-RU"/>
        </w:rPr>
        <w:t xml:space="preserve">, </w:t>
      </w:r>
      <w:r w:rsidR="00414732" w:rsidRPr="006919D3">
        <w:rPr>
          <w:lang w:val="ru-RU"/>
        </w:rPr>
        <w:t xml:space="preserve">"Краткий отчет о седьмом </w:t>
      </w:r>
      <w:r w:rsidRPr="006919D3">
        <w:rPr>
          <w:lang w:val="ru-RU"/>
        </w:rPr>
        <w:t>пленарном заседании</w:t>
      </w:r>
      <w:r w:rsidR="00414732" w:rsidRPr="006919D3">
        <w:rPr>
          <w:lang w:val="ru-RU"/>
        </w:rPr>
        <w:t xml:space="preserve">" </w:t>
      </w:r>
      <w:r w:rsidR="00AE1CFD" w:rsidRPr="006919D3">
        <w:rPr>
          <w:lang w:val="ru-RU"/>
        </w:rPr>
        <w:t>говорится</w:t>
      </w:r>
      <w:r w:rsidR="00C06178" w:rsidRPr="006919D3">
        <w:rPr>
          <w:lang w:val="ru-RU"/>
        </w:rPr>
        <w:t>:</w:t>
      </w:r>
    </w:p>
    <w:p w:rsidR="00414732" w:rsidRPr="006919D3" w:rsidRDefault="00414732" w:rsidP="00064FDF">
      <w:pPr>
        <w:tabs>
          <w:tab w:val="clear" w:pos="1191"/>
        </w:tabs>
        <w:ind w:left="794"/>
        <w:rPr>
          <w:rFonts w:asciiTheme="minorHAnsi" w:hAnsiTheme="minorHAnsi"/>
          <w:i/>
          <w:iCs/>
          <w:szCs w:val="24"/>
          <w:lang w:val="ru-RU"/>
        </w:rPr>
      </w:pPr>
      <w:r w:rsidRPr="006919D3">
        <w:rPr>
          <w:rFonts w:asciiTheme="minorHAnsi" w:hAnsiTheme="minorHAnsi"/>
          <w:szCs w:val="24"/>
          <w:lang w:val="ru-RU"/>
        </w:rPr>
        <w:t>"</w:t>
      </w:r>
      <w:r w:rsidRPr="006919D3">
        <w:rPr>
          <w:rFonts w:asciiTheme="minorHAnsi" w:hAnsiTheme="minorHAnsi"/>
          <w:i/>
          <w:iCs/>
          <w:szCs w:val="24"/>
          <w:lang w:val="ru-RU"/>
        </w:rPr>
        <w:t>3.6</w:t>
      </w:r>
      <w:r w:rsidRPr="006919D3">
        <w:rPr>
          <w:rFonts w:asciiTheme="minorHAnsi" w:hAnsiTheme="minorHAnsi"/>
          <w:i/>
          <w:iCs/>
          <w:szCs w:val="24"/>
          <w:lang w:val="ru-RU"/>
        </w:rPr>
        <w:tab/>
        <w:t xml:space="preserve">Председатель считает, что Совет хочет утвердить в принципе предложение о создании Зонального отделения МСЭ для Южной Азии, при том что окончательное решение будет принято на последнем заседании Совета-18, и просить секретариат провести дополнительный анализ и представить Совету отчет по таким вопросам, как косвенные финансовые последствия, </w:t>
      </w:r>
      <w:r w:rsidRPr="006919D3">
        <w:rPr>
          <w:i/>
          <w:iCs/>
          <w:color w:val="000000"/>
          <w:lang w:val="ru-RU"/>
        </w:rPr>
        <w:t>договорные отношения с сотрудниками, откомандированными в это отделение, дипломатические иммунитеты и оборудование</w:t>
      </w:r>
      <w:r w:rsidRPr="006919D3">
        <w:rPr>
          <w:rFonts w:asciiTheme="minorHAnsi" w:hAnsiTheme="minorHAnsi"/>
          <w:i/>
          <w:iCs/>
          <w:szCs w:val="24"/>
          <w:lang w:val="ru-RU"/>
        </w:rPr>
        <w:t>.</w:t>
      </w:r>
    </w:p>
    <w:p w:rsidR="00414732" w:rsidRPr="006919D3" w:rsidRDefault="00414732" w:rsidP="00064FDF">
      <w:pPr>
        <w:tabs>
          <w:tab w:val="clear" w:pos="1191"/>
          <w:tab w:val="left" w:pos="720"/>
        </w:tabs>
        <w:snapToGrid w:val="0"/>
        <w:spacing w:after="120"/>
        <w:ind w:left="794"/>
        <w:rPr>
          <w:rFonts w:asciiTheme="minorHAnsi" w:hAnsiTheme="minorHAnsi"/>
          <w:szCs w:val="24"/>
          <w:lang w:val="ru-RU"/>
        </w:rPr>
      </w:pPr>
      <w:r w:rsidRPr="006919D3">
        <w:rPr>
          <w:rFonts w:asciiTheme="minorHAnsi" w:hAnsiTheme="minorHAnsi"/>
          <w:i/>
          <w:iCs/>
          <w:szCs w:val="24"/>
          <w:lang w:val="ru-RU"/>
        </w:rPr>
        <w:t>3.7</w:t>
      </w:r>
      <w:r w:rsidRPr="006919D3">
        <w:rPr>
          <w:rFonts w:asciiTheme="minorHAnsi" w:hAnsiTheme="minorHAnsi"/>
          <w:i/>
          <w:iCs/>
          <w:szCs w:val="24"/>
          <w:lang w:val="ru-RU"/>
        </w:rPr>
        <w:tab/>
        <w:t>Решение принимается</w:t>
      </w:r>
      <w:r w:rsidRPr="006919D3">
        <w:rPr>
          <w:rFonts w:asciiTheme="minorHAnsi" w:hAnsiTheme="minorHAnsi"/>
          <w:szCs w:val="24"/>
          <w:lang w:val="ru-RU"/>
        </w:rPr>
        <w:t>"</w:t>
      </w:r>
      <w:r w:rsidR="00064FDF" w:rsidRPr="006919D3">
        <w:rPr>
          <w:rFonts w:asciiTheme="minorHAnsi" w:hAnsiTheme="minorHAnsi"/>
          <w:i/>
          <w:iCs/>
          <w:szCs w:val="24"/>
          <w:lang w:val="ru-RU"/>
        </w:rPr>
        <w:t>.</w:t>
      </w:r>
    </w:p>
    <w:p w:rsidR="00305826" w:rsidRPr="006919D3" w:rsidRDefault="00F21A3C" w:rsidP="00AE1CFD">
      <w:pPr>
        <w:rPr>
          <w:lang w:val="ru-RU"/>
        </w:rPr>
      </w:pPr>
      <w:bookmarkStart w:id="15" w:name="lt_pId022"/>
      <w:bookmarkStart w:id="16" w:name="lt_pId024"/>
      <w:r w:rsidRPr="006919D3">
        <w:rPr>
          <w:lang w:val="ru-RU"/>
        </w:rPr>
        <w:t>Впоследствии</w:t>
      </w:r>
      <w:r w:rsidR="00305826" w:rsidRPr="006919D3">
        <w:rPr>
          <w:lang w:val="ru-RU"/>
        </w:rPr>
        <w:t xml:space="preserve">, </w:t>
      </w:r>
      <w:r w:rsidRPr="006919D3">
        <w:rPr>
          <w:lang w:val="ru-RU"/>
        </w:rPr>
        <w:t xml:space="preserve">в письме от министра связи Индии </w:t>
      </w:r>
      <w:r w:rsidR="00AE1CFD" w:rsidRPr="006919D3">
        <w:rPr>
          <w:lang w:val="ru-RU"/>
        </w:rPr>
        <w:t>было подтверждено, что предлагаемое Зональное отделение МСЭ разместится в Нью-Дели и что Индия предоставит полную материально-техническую и финансовую поддержку этому отделению</w:t>
      </w:r>
      <w:r w:rsidR="00305826" w:rsidRPr="006919D3">
        <w:rPr>
          <w:lang w:val="ru-RU"/>
        </w:rPr>
        <w:t xml:space="preserve"> (</w:t>
      </w:r>
      <w:r w:rsidR="00AE1CFD" w:rsidRPr="006919D3">
        <w:rPr>
          <w:lang w:val="ru-RU"/>
        </w:rPr>
        <w:t>см. пп. </w:t>
      </w:r>
      <w:r w:rsidR="00305826" w:rsidRPr="006919D3">
        <w:rPr>
          <w:lang w:val="ru-RU"/>
        </w:rPr>
        <w:t xml:space="preserve">24 </w:t>
      </w:r>
      <w:r w:rsidR="00AE1CFD" w:rsidRPr="006919D3">
        <w:rPr>
          <w:lang w:val="ru-RU"/>
        </w:rPr>
        <w:t>и</w:t>
      </w:r>
      <w:r w:rsidR="00305826" w:rsidRPr="006919D3">
        <w:rPr>
          <w:lang w:val="ru-RU"/>
        </w:rPr>
        <w:t xml:space="preserve"> 25</w:t>
      </w:r>
      <w:r w:rsidR="00AE1CFD" w:rsidRPr="006919D3">
        <w:rPr>
          <w:lang w:val="ru-RU"/>
        </w:rPr>
        <w:t>, ниже</w:t>
      </w:r>
      <w:r w:rsidR="00305826" w:rsidRPr="006919D3">
        <w:rPr>
          <w:lang w:val="ru-RU"/>
        </w:rPr>
        <w:t>).</w:t>
      </w:r>
      <w:bookmarkEnd w:id="15"/>
    </w:p>
    <w:p w:rsidR="00305826" w:rsidRPr="006919D3" w:rsidRDefault="00900D7F" w:rsidP="00AE1CFD">
      <w:pPr>
        <w:rPr>
          <w:lang w:val="ru-RU"/>
        </w:rPr>
      </w:pPr>
      <w:bookmarkStart w:id="17" w:name="lt_pId023"/>
      <w:r w:rsidRPr="006919D3">
        <w:rPr>
          <w:lang w:val="ru-RU"/>
        </w:rPr>
        <w:t>2</w:t>
      </w:r>
      <w:r w:rsidRPr="006919D3">
        <w:rPr>
          <w:lang w:val="ru-RU"/>
        </w:rPr>
        <w:tab/>
      </w:r>
      <w:r w:rsidR="00AE1CFD" w:rsidRPr="006919D3">
        <w:rPr>
          <w:lang w:val="ru-RU"/>
        </w:rPr>
        <w:t>В соответствии с решением Совета, принятым в апреле 2018 года, секретариат проанализировал различные элементы, связанные с созданием зонального отделения в Южной Азии, и представляет свои выводы в настоящем отчете</w:t>
      </w:r>
      <w:r w:rsidR="00305826" w:rsidRPr="006919D3">
        <w:rPr>
          <w:lang w:val="ru-RU"/>
        </w:rPr>
        <w:t>.</w:t>
      </w:r>
      <w:bookmarkEnd w:id="17"/>
      <w:r w:rsidR="00305826" w:rsidRPr="006919D3">
        <w:rPr>
          <w:lang w:val="ru-RU"/>
        </w:rPr>
        <w:t xml:space="preserve"> </w:t>
      </w:r>
    </w:p>
    <w:p w:rsidR="00414732" w:rsidRPr="006919D3" w:rsidRDefault="00AE1CFD" w:rsidP="00AE1CFD">
      <w:pPr>
        <w:pStyle w:val="Headingb"/>
        <w:rPr>
          <w:lang w:val="ru-RU"/>
        </w:rPr>
      </w:pPr>
      <w:r w:rsidRPr="006919D3">
        <w:rPr>
          <w:lang w:val="ru-RU"/>
        </w:rPr>
        <w:lastRenderedPageBreak/>
        <w:t>Расположение отделения</w:t>
      </w:r>
      <w:bookmarkEnd w:id="16"/>
    </w:p>
    <w:p w:rsidR="00414732" w:rsidRPr="006919D3" w:rsidRDefault="00900D7F" w:rsidP="00AD3F73">
      <w:pPr>
        <w:rPr>
          <w:lang w:val="ru-RU"/>
        </w:rPr>
      </w:pPr>
      <w:bookmarkStart w:id="18" w:name="lt_pId025"/>
      <w:r w:rsidRPr="006919D3">
        <w:rPr>
          <w:lang w:val="ru-RU"/>
        </w:rPr>
        <w:t>3</w:t>
      </w:r>
      <w:r w:rsidRPr="006919D3">
        <w:rPr>
          <w:lang w:val="ru-RU"/>
        </w:rPr>
        <w:tab/>
      </w:r>
      <w:r w:rsidR="00AE1CFD" w:rsidRPr="006919D3">
        <w:rPr>
          <w:lang w:val="ru-RU"/>
        </w:rPr>
        <w:t>Девять стран</w:t>
      </w:r>
      <w:r w:rsidR="00414732" w:rsidRPr="006919D3">
        <w:rPr>
          <w:lang w:val="ru-RU"/>
        </w:rPr>
        <w:t xml:space="preserve"> (</w:t>
      </w:r>
      <w:r w:rsidR="00AE1CFD" w:rsidRPr="006919D3">
        <w:rPr>
          <w:lang w:val="ru-RU"/>
        </w:rPr>
        <w:t>Афганистан, Бангладеш, Бутан, Индия, Иран, Мальдивские Острова, Непал, Пакистан и Шри-Ланка</w:t>
      </w:r>
      <w:r w:rsidR="00414732" w:rsidRPr="006919D3">
        <w:rPr>
          <w:lang w:val="ru-RU"/>
        </w:rPr>
        <w:t xml:space="preserve">) </w:t>
      </w:r>
      <w:r w:rsidR="00AE1CFD" w:rsidRPr="006919D3">
        <w:rPr>
          <w:lang w:val="ru-RU"/>
        </w:rPr>
        <w:t>считаются частью субрегиона Южной Азии</w:t>
      </w:r>
      <w:r w:rsidR="00414732" w:rsidRPr="006919D3">
        <w:rPr>
          <w:lang w:val="ru-RU"/>
        </w:rPr>
        <w:t>.</w:t>
      </w:r>
      <w:bookmarkEnd w:id="18"/>
      <w:r w:rsidR="00414732" w:rsidRPr="006919D3">
        <w:rPr>
          <w:lang w:val="ru-RU"/>
        </w:rPr>
        <w:t xml:space="preserve"> </w:t>
      </w:r>
      <w:bookmarkStart w:id="19" w:name="lt_pId026"/>
      <w:r w:rsidR="00AE1CFD" w:rsidRPr="006919D3">
        <w:rPr>
          <w:lang w:val="ru-RU"/>
        </w:rPr>
        <w:t>По итогам обсуждения на Совете</w:t>
      </w:r>
      <w:r w:rsidR="00AE1CFD" w:rsidRPr="006919D3">
        <w:rPr>
          <w:lang w:val="ru-RU"/>
        </w:rPr>
        <w:noBreakHyphen/>
        <w:t xml:space="preserve">18 </w:t>
      </w:r>
      <w:r w:rsidR="00305826" w:rsidRPr="006919D3">
        <w:rPr>
          <w:lang w:val="ru-RU"/>
        </w:rPr>
        <w:t>МСЭ</w:t>
      </w:r>
      <w:r w:rsidR="00414732" w:rsidRPr="006919D3">
        <w:rPr>
          <w:lang w:val="ru-RU"/>
        </w:rPr>
        <w:t xml:space="preserve"> </w:t>
      </w:r>
      <w:r w:rsidR="00AE1CFD" w:rsidRPr="006919D3">
        <w:rPr>
          <w:lang w:val="ru-RU"/>
        </w:rPr>
        <w:t>подготовил и направил письмо министрам ИКТ восьми заинтересованных стран</w:t>
      </w:r>
      <w:r w:rsidR="00855C21" w:rsidRPr="006919D3">
        <w:rPr>
          <w:lang w:val="ru-RU"/>
        </w:rPr>
        <w:t xml:space="preserve"> с просьбой подтвердить их согласие на </w:t>
      </w:r>
      <w:r w:rsidR="00AD3F73" w:rsidRPr="006919D3">
        <w:rPr>
          <w:lang w:val="ru-RU"/>
        </w:rPr>
        <w:t>созда</w:t>
      </w:r>
      <w:r w:rsidR="00855C21" w:rsidRPr="006919D3">
        <w:rPr>
          <w:lang w:val="ru-RU"/>
        </w:rPr>
        <w:t xml:space="preserve">ние Зонального отделения МСЭ для стран Южной Азии </w:t>
      </w:r>
      <w:r w:rsidR="00AD3F73" w:rsidRPr="006919D3">
        <w:rPr>
          <w:lang w:val="ru-RU"/>
        </w:rPr>
        <w:t>в</w:t>
      </w:r>
      <w:r w:rsidR="00855C21" w:rsidRPr="006919D3">
        <w:rPr>
          <w:lang w:val="ru-RU"/>
        </w:rPr>
        <w:t xml:space="preserve"> Индии</w:t>
      </w:r>
      <w:r w:rsidR="00414732" w:rsidRPr="006919D3">
        <w:rPr>
          <w:lang w:val="ru-RU"/>
        </w:rPr>
        <w:t>.</w:t>
      </w:r>
      <w:bookmarkEnd w:id="19"/>
      <w:r w:rsidR="00414732" w:rsidRPr="006919D3">
        <w:rPr>
          <w:lang w:val="ru-RU"/>
        </w:rPr>
        <w:t xml:space="preserve"> </w:t>
      </w:r>
      <w:bookmarkStart w:id="20" w:name="lt_pId027"/>
      <w:r w:rsidR="00855C21" w:rsidRPr="006919D3">
        <w:rPr>
          <w:lang w:val="ru-RU"/>
        </w:rPr>
        <w:t>Эти</w:t>
      </w:r>
      <w:r w:rsidR="00AD3F73" w:rsidRPr="006919D3">
        <w:rPr>
          <w:lang w:val="ru-RU"/>
        </w:rPr>
        <w:t>м</w:t>
      </w:r>
      <w:r w:rsidR="00855C21" w:rsidRPr="006919D3">
        <w:rPr>
          <w:lang w:val="ru-RU"/>
        </w:rPr>
        <w:t xml:space="preserve"> стран</w:t>
      </w:r>
      <w:r w:rsidR="00AD3F73" w:rsidRPr="006919D3">
        <w:rPr>
          <w:lang w:val="ru-RU"/>
        </w:rPr>
        <w:t>ам было предложено</w:t>
      </w:r>
      <w:r w:rsidR="00855C21" w:rsidRPr="006919D3">
        <w:rPr>
          <w:lang w:val="ru-RU"/>
        </w:rPr>
        <w:t xml:space="preserve"> подтвердить свое согласие до</w:t>
      </w:r>
      <w:r w:rsidR="00414732" w:rsidRPr="006919D3">
        <w:rPr>
          <w:lang w:val="ru-RU"/>
        </w:rPr>
        <w:t xml:space="preserve"> 6</w:t>
      </w:r>
      <w:r w:rsidR="00855C21" w:rsidRPr="006919D3">
        <w:rPr>
          <w:lang w:val="ru-RU"/>
        </w:rPr>
        <w:t> июля</w:t>
      </w:r>
      <w:r w:rsidR="00414732" w:rsidRPr="006919D3">
        <w:rPr>
          <w:lang w:val="ru-RU"/>
        </w:rPr>
        <w:t xml:space="preserve"> 2018</w:t>
      </w:r>
      <w:r w:rsidR="00855C21" w:rsidRPr="006919D3">
        <w:rPr>
          <w:lang w:val="ru-RU"/>
        </w:rPr>
        <w:t xml:space="preserve"> года, чтобы дать секретариату время </w:t>
      </w:r>
      <w:r w:rsidR="00AD3F73" w:rsidRPr="006919D3">
        <w:rPr>
          <w:lang w:val="ru-RU"/>
        </w:rPr>
        <w:t xml:space="preserve">на </w:t>
      </w:r>
      <w:r w:rsidR="00855C21" w:rsidRPr="006919D3">
        <w:rPr>
          <w:lang w:val="ru-RU"/>
        </w:rPr>
        <w:t>подготов</w:t>
      </w:r>
      <w:r w:rsidR="00AD3F73" w:rsidRPr="006919D3">
        <w:rPr>
          <w:lang w:val="ru-RU"/>
        </w:rPr>
        <w:t>ку</w:t>
      </w:r>
      <w:r w:rsidR="00855C21" w:rsidRPr="006919D3">
        <w:rPr>
          <w:lang w:val="ru-RU"/>
        </w:rPr>
        <w:t xml:space="preserve"> отчет</w:t>
      </w:r>
      <w:r w:rsidR="00AD3F73" w:rsidRPr="006919D3">
        <w:rPr>
          <w:lang w:val="ru-RU"/>
        </w:rPr>
        <w:t>а</w:t>
      </w:r>
      <w:r w:rsidR="00855C21" w:rsidRPr="006919D3">
        <w:rPr>
          <w:lang w:val="ru-RU"/>
        </w:rPr>
        <w:t xml:space="preserve"> для Совета</w:t>
      </w:r>
      <w:r w:rsidR="00414732" w:rsidRPr="006919D3">
        <w:rPr>
          <w:lang w:val="ru-RU"/>
        </w:rPr>
        <w:t>.</w:t>
      </w:r>
      <w:bookmarkEnd w:id="20"/>
    </w:p>
    <w:p w:rsidR="00414732" w:rsidRPr="006919D3" w:rsidRDefault="00900D7F" w:rsidP="00B97A9E">
      <w:pPr>
        <w:rPr>
          <w:lang w:val="ru-RU"/>
        </w:rPr>
      </w:pPr>
      <w:bookmarkStart w:id="21" w:name="lt_pId028"/>
      <w:r w:rsidRPr="006919D3">
        <w:rPr>
          <w:lang w:val="ru-RU"/>
        </w:rPr>
        <w:t>4</w:t>
      </w:r>
      <w:r w:rsidRPr="006919D3">
        <w:rPr>
          <w:lang w:val="ru-RU"/>
        </w:rPr>
        <w:tab/>
      </w:r>
      <w:r w:rsidR="00855C21" w:rsidRPr="006919D3">
        <w:rPr>
          <w:lang w:val="ru-RU"/>
        </w:rPr>
        <w:t>На</w:t>
      </w:r>
      <w:r w:rsidR="00414732" w:rsidRPr="006919D3">
        <w:rPr>
          <w:lang w:val="ru-RU"/>
        </w:rPr>
        <w:t xml:space="preserve"> 3</w:t>
      </w:r>
      <w:r w:rsidR="00855C21" w:rsidRPr="006919D3">
        <w:rPr>
          <w:lang w:val="ru-RU"/>
        </w:rPr>
        <w:t> сентября</w:t>
      </w:r>
      <w:r w:rsidR="00414732" w:rsidRPr="006919D3">
        <w:rPr>
          <w:lang w:val="ru-RU"/>
        </w:rPr>
        <w:t xml:space="preserve"> 2018</w:t>
      </w:r>
      <w:r w:rsidR="00855C21" w:rsidRPr="006919D3">
        <w:rPr>
          <w:lang w:val="ru-RU"/>
        </w:rPr>
        <w:t> года из восьми запрошенных стран пять</w:t>
      </w:r>
      <w:r w:rsidR="00B97A9E" w:rsidRPr="006919D3">
        <w:rPr>
          <w:lang w:val="ru-RU"/>
        </w:rPr>
        <w:t xml:space="preserve"> стран подтвердили в письменной форме</w:t>
      </w:r>
      <w:r w:rsidR="00855C21" w:rsidRPr="006919D3">
        <w:rPr>
          <w:lang w:val="ru-RU"/>
        </w:rPr>
        <w:t xml:space="preserve"> свое согласие на </w:t>
      </w:r>
      <w:r w:rsidR="00AD3F73" w:rsidRPr="006919D3">
        <w:rPr>
          <w:lang w:val="ru-RU"/>
        </w:rPr>
        <w:t>созда</w:t>
      </w:r>
      <w:r w:rsidR="00855C21" w:rsidRPr="006919D3">
        <w:rPr>
          <w:lang w:val="ru-RU"/>
        </w:rPr>
        <w:t>ние Зонального отделения МСЭ для стран Южной Азии следующим образом</w:t>
      </w:r>
      <w:r w:rsidR="00414732" w:rsidRPr="006919D3">
        <w:rPr>
          <w:lang w:val="ru-RU"/>
        </w:rPr>
        <w:t>.</w:t>
      </w:r>
      <w:bookmarkEnd w:id="21"/>
      <w:r w:rsidR="00414732" w:rsidRPr="006919D3">
        <w:rPr>
          <w:lang w:val="ru-RU"/>
        </w:rPr>
        <w:t xml:space="preserve"> </w:t>
      </w:r>
      <w:bookmarkStart w:id="22" w:name="lt_pId029"/>
      <w:r w:rsidR="00855C21" w:rsidRPr="006919D3">
        <w:rPr>
          <w:lang w:val="ru-RU"/>
        </w:rPr>
        <w:t>Две страны из пяти поддержали создание Зонального отделения МСЭ в Нью</w:t>
      </w:r>
      <w:r w:rsidR="00AD3F73" w:rsidRPr="006919D3">
        <w:rPr>
          <w:lang w:val="ru-RU"/>
        </w:rPr>
        <w:noBreakHyphen/>
      </w:r>
      <w:r w:rsidR="00855C21" w:rsidRPr="006919D3">
        <w:rPr>
          <w:lang w:val="ru-RU"/>
        </w:rPr>
        <w:t>Дели, Индия</w:t>
      </w:r>
      <w:r w:rsidR="00414732" w:rsidRPr="006919D3">
        <w:rPr>
          <w:lang w:val="ru-RU"/>
        </w:rPr>
        <w:t>.</w:t>
      </w:r>
      <w:bookmarkEnd w:id="22"/>
      <w:r w:rsidR="00414732" w:rsidRPr="006919D3">
        <w:rPr>
          <w:lang w:val="ru-RU"/>
        </w:rPr>
        <w:t xml:space="preserve"> </w:t>
      </w:r>
      <w:bookmarkStart w:id="23" w:name="lt_pId030"/>
      <w:r w:rsidR="00EA6DD0" w:rsidRPr="006919D3">
        <w:rPr>
          <w:lang w:val="ru-RU"/>
        </w:rPr>
        <w:t>Одна страна поддержала вклад от Республики Индии, озаглавленный "</w:t>
      </w:r>
      <w:r w:rsidR="00EA6DD0" w:rsidRPr="006919D3">
        <w:rPr>
          <w:color w:val="000000"/>
          <w:lang w:val="ru-RU"/>
        </w:rPr>
        <w:t>Возможность создания Зонального отделения МСЭ для стран Южной Азии и технологического инновационного центра в Индии</w:t>
      </w:r>
      <w:r w:rsidR="00305826" w:rsidRPr="006919D3">
        <w:rPr>
          <w:lang w:val="ru-RU"/>
        </w:rPr>
        <w:t>"</w:t>
      </w:r>
      <w:r w:rsidR="00414732" w:rsidRPr="006919D3">
        <w:rPr>
          <w:lang w:val="ru-RU"/>
        </w:rPr>
        <w:t xml:space="preserve">, </w:t>
      </w:r>
      <w:r w:rsidR="00EA6DD0" w:rsidRPr="006919D3">
        <w:rPr>
          <w:lang w:val="ru-RU"/>
        </w:rPr>
        <w:t xml:space="preserve">а одна страна поддержала предложение правительства Индии </w:t>
      </w:r>
      <w:r w:rsidR="00AC7CDA" w:rsidRPr="006919D3">
        <w:rPr>
          <w:lang w:val="ru-RU"/>
        </w:rPr>
        <w:t>создать Зональное отделение МСЭ для стран Южной Азии и технологический инновационный центр в Индии</w:t>
      </w:r>
      <w:r w:rsidR="00414732" w:rsidRPr="006919D3">
        <w:rPr>
          <w:lang w:val="ru-RU"/>
        </w:rPr>
        <w:t>.</w:t>
      </w:r>
      <w:bookmarkEnd w:id="23"/>
      <w:r w:rsidR="00414732" w:rsidRPr="006919D3">
        <w:rPr>
          <w:lang w:val="ru-RU"/>
        </w:rPr>
        <w:t xml:space="preserve"> </w:t>
      </w:r>
      <w:bookmarkStart w:id="24" w:name="lt_pId031"/>
      <w:r w:rsidR="00AC7CDA" w:rsidRPr="006919D3">
        <w:rPr>
          <w:lang w:val="ru-RU"/>
        </w:rPr>
        <w:t>Одна страна, поддерживая в принципе создание Зонального центра МСЭ для стран Южной Азии, все же считает, что необходимы дальнейшие консультации между странами относительно точного расположения этого отделения и что было бы предпочтительно провести подробное обсуждение на очередной сессии Совета в 2019 году</w:t>
      </w:r>
      <w:r w:rsidR="00414732" w:rsidRPr="006919D3">
        <w:rPr>
          <w:lang w:val="ru-RU"/>
        </w:rPr>
        <w:t>.</w:t>
      </w:r>
      <w:bookmarkEnd w:id="24"/>
      <w:r w:rsidR="00414732" w:rsidRPr="006919D3">
        <w:rPr>
          <w:lang w:val="ru-RU"/>
        </w:rPr>
        <w:t xml:space="preserve"> </w:t>
      </w:r>
    </w:p>
    <w:p w:rsidR="00305826" w:rsidRPr="006919D3" w:rsidRDefault="00C51DF5" w:rsidP="00900D7F">
      <w:pPr>
        <w:pStyle w:val="Headingb"/>
        <w:rPr>
          <w:lang w:val="ru-RU"/>
        </w:rPr>
      </w:pPr>
      <w:r w:rsidRPr="006919D3">
        <w:rPr>
          <w:lang w:val="ru-RU"/>
        </w:rPr>
        <w:t>Соглашение с принимающей страной</w:t>
      </w:r>
    </w:p>
    <w:p w:rsidR="00305826" w:rsidRPr="006919D3" w:rsidRDefault="00900D7F" w:rsidP="00E1375A">
      <w:pPr>
        <w:rPr>
          <w:lang w:val="ru-RU"/>
        </w:rPr>
      </w:pPr>
      <w:r w:rsidRPr="006919D3">
        <w:rPr>
          <w:lang w:val="ru-RU"/>
        </w:rPr>
        <w:t>5</w:t>
      </w:r>
      <w:r w:rsidRPr="006919D3">
        <w:rPr>
          <w:lang w:val="ru-RU"/>
        </w:rPr>
        <w:tab/>
      </w:r>
      <w:r w:rsidR="00C51DF5" w:rsidRPr="006919D3">
        <w:rPr>
          <w:lang w:val="ru-RU"/>
        </w:rPr>
        <w:t>В целях регулирования юридического статуса МСЭ и статуса зонального отделения необходимо заключить и подписать соглашение с принимающей страной между МСЭ и правительством Индии</w:t>
      </w:r>
      <w:r w:rsidR="00305826" w:rsidRPr="006919D3">
        <w:rPr>
          <w:lang w:val="ru-RU"/>
        </w:rPr>
        <w:t xml:space="preserve">. </w:t>
      </w:r>
      <w:r w:rsidR="00C51DF5" w:rsidRPr="006919D3">
        <w:rPr>
          <w:lang w:val="ru-RU"/>
        </w:rPr>
        <w:t>Это соглашение должно включать положения о целях и сфере деятельности зонального отделения, финансировании, правоспособности, привилеги</w:t>
      </w:r>
      <w:r w:rsidR="00E1375A" w:rsidRPr="006919D3">
        <w:rPr>
          <w:lang w:val="ru-RU"/>
        </w:rPr>
        <w:t>ях</w:t>
      </w:r>
      <w:r w:rsidR="00C51DF5" w:rsidRPr="006919D3">
        <w:rPr>
          <w:lang w:val="ru-RU"/>
        </w:rPr>
        <w:t>, иммунитет</w:t>
      </w:r>
      <w:r w:rsidR="00E1375A" w:rsidRPr="006919D3">
        <w:rPr>
          <w:lang w:val="ru-RU"/>
        </w:rPr>
        <w:t>ах</w:t>
      </w:r>
      <w:r w:rsidR="00C51DF5" w:rsidRPr="006919D3">
        <w:rPr>
          <w:lang w:val="ru-RU"/>
        </w:rPr>
        <w:t xml:space="preserve"> и льгот</w:t>
      </w:r>
      <w:r w:rsidR="00E1375A" w:rsidRPr="006919D3">
        <w:rPr>
          <w:lang w:val="ru-RU"/>
        </w:rPr>
        <w:t>ах</w:t>
      </w:r>
      <w:r w:rsidR="00C51DF5" w:rsidRPr="006919D3">
        <w:rPr>
          <w:lang w:val="ru-RU"/>
        </w:rPr>
        <w:t xml:space="preserve"> Союза, отделения и его персонала, а также о въезде в Индию, выезде из Индии и перемещении по Индии персонала МСЭ и делегатов, средств</w:t>
      </w:r>
      <w:r w:rsidR="00E1375A" w:rsidRPr="006919D3">
        <w:rPr>
          <w:lang w:val="ru-RU"/>
        </w:rPr>
        <w:t>ах</w:t>
      </w:r>
      <w:r w:rsidR="00C51DF5" w:rsidRPr="006919D3">
        <w:rPr>
          <w:lang w:val="ru-RU"/>
        </w:rPr>
        <w:t xml:space="preserve"> связи, выдач</w:t>
      </w:r>
      <w:r w:rsidR="00E1375A" w:rsidRPr="006919D3">
        <w:rPr>
          <w:lang w:val="ru-RU"/>
        </w:rPr>
        <w:t>е</w:t>
      </w:r>
      <w:r w:rsidR="00C51DF5" w:rsidRPr="006919D3">
        <w:rPr>
          <w:lang w:val="ru-RU"/>
        </w:rPr>
        <w:t xml:space="preserve"> идентификационных карт, доступе супругов на рынок труда, продолжительности и возможном прекра</w:t>
      </w:r>
      <w:r w:rsidR="006919D3">
        <w:rPr>
          <w:lang w:val="ru-RU"/>
        </w:rPr>
        <w:t>щении деятельности отделения и</w:t>
      </w:r>
      <w:r w:rsidR="006919D3">
        <w:t> </w:t>
      </w:r>
      <w:r w:rsidR="00C51DF5" w:rsidRPr="006919D3">
        <w:rPr>
          <w:lang w:val="ru-RU"/>
        </w:rPr>
        <w:t>т. п</w:t>
      </w:r>
      <w:r w:rsidR="00305826" w:rsidRPr="006919D3">
        <w:rPr>
          <w:lang w:val="ru-RU"/>
        </w:rPr>
        <w:t>.</w:t>
      </w:r>
    </w:p>
    <w:p w:rsidR="00305826" w:rsidRPr="006919D3" w:rsidRDefault="00900D7F" w:rsidP="00E1375A">
      <w:pPr>
        <w:rPr>
          <w:lang w:val="ru-RU"/>
        </w:rPr>
      </w:pPr>
      <w:r w:rsidRPr="006919D3">
        <w:rPr>
          <w:lang w:val="ru-RU"/>
        </w:rPr>
        <w:t>6</w:t>
      </w:r>
      <w:r w:rsidRPr="006919D3">
        <w:rPr>
          <w:lang w:val="ru-RU"/>
        </w:rPr>
        <w:tab/>
      </w:r>
      <w:r w:rsidR="00305826" w:rsidRPr="006919D3">
        <w:rPr>
          <w:lang w:val="ru-RU"/>
        </w:rPr>
        <w:t xml:space="preserve">Хотя на данном этапе необходимости в подробном рассмотрении возможных положений такого соглашения нет, важно определить основные принципы, на которых </w:t>
      </w:r>
      <w:r w:rsidR="00C51DF5" w:rsidRPr="006919D3">
        <w:rPr>
          <w:lang w:val="ru-RU"/>
        </w:rPr>
        <w:t>данное соглашени</w:t>
      </w:r>
      <w:r w:rsidR="00E1375A" w:rsidRPr="006919D3">
        <w:rPr>
          <w:lang w:val="ru-RU"/>
        </w:rPr>
        <w:t>е</w:t>
      </w:r>
      <w:r w:rsidR="00305826" w:rsidRPr="006919D3">
        <w:rPr>
          <w:lang w:val="ru-RU"/>
        </w:rPr>
        <w:t xml:space="preserve"> должно строиться.</w:t>
      </w:r>
    </w:p>
    <w:p w:rsidR="00305826" w:rsidRPr="006919D3" w:rsidRDefault="00900D7F" w:rsidP="00900D7F">
      <w:pPr>
        <w:rPr>
          <w:lang w:val="ru-RU"/>
        </w:rPr>
      </w:pPr>
      <w:r w:rsidRPr="006919D3">
        <w:rPr>
          <w:lang w:val="ru-RU"/>
        </w:rPr>
        <w:t>7</w:t>
      </w:r>
      <w:r w:rsidRPr="006919D3">
        <w:rPr>
          <w:lang w:val="ru-RU"/>
        </w:rPr>
        <w:tab/>
      </w:r>
      <w:r w:rsidR="00305826" w:rsidRPr="006919D3">
        <w:rPr>
          <w:lang w:val="ru-RU"/>
        </w:rPr>
        <w:t>Первым и самым главным является вопрос о признании независимости МСЭ в отношении принимающей страны и, точнее, вопрос об институциональной и юрисдикционной независимости.</w:t>
      </w:r>
    </w:p>
    <w:p w:rsidR="00414732" w:rsidRPr="006919D3" w:rsidRDefault="00305826" w:rsidP="00305826">
      <w:pPr>
        <w:pStyle w:val="Headingb"/>
        <w:rPr>
          <w:lang w:val="ru-RU"/>
        </w:rPr>
      </w:pPr>
      <w:r w:rsidRPr="006919D3">
        <w:rPr>
          <w:lang w:val="ru-RU"/>
        </w:rPr>
        <w:t>i)</w:t>
      </w:r>
      <w:r w:rsidRPr="006919D3">
        <w:rPr>
          <w:lang w:val="ru-RU"/>
        </w:rPr>
        <w:tab/>
        <w:t>Институциональная независимость</w:t>
      </w:r>
    </w:p>
    <w:p w:rsidR="00305826" w:rsidRPr="006919D3" w:rsidRDefault="00900D7F" w:rsidP="00C51DF5">
      <w:pPr>
        <w:rPr>
          <w:lang w:val="ru-RU"/>
        </w:rPr>
      </w:pPr>
      <w:r w:rsidRPr="006919D3">
        <w:rPr>
          <w:lang w:val="ru-RU"/>
        </w:rPr>
        <w:t>8</w:t>
      </w:r>
      <w:r w:rsidRPr="006919D3">
        <w:rPr>
          <w:lang w:val="ru-RU"/>
        </w:rPr>
        <w:tab/>
      </w:r>
      <w:r w:rsidR="00305826" w:rsidRPr="006919D3">
        <w:rPr>
          <w:lang w:val="ru-RU"/>
        </w:rPr>
        <w:t xml:space="preserve">Независимость требует от принимающей страны признания правосубъектности Союза </w:t>
      </w:r>
      <w:r w:rsidR="00C51DF5" w:rsidRPr="006919D3">
        <w:rPr>
          <w:lang w:val="ru-RU"/>
        </w:rPr>
        <w:t xml:space="preserve">и зонального отделения </w:t>
      </w:r>
      <w:r w:rsidR="00305826" w:rsidRPr="006919D3">
        <w:rPr>
          <w:lang w:val="ru-RU"/>
        </w:rPr>
        <w:t xml:space="preserve">и </w:t>
      </w:r>
      <w:r w:rsidR="00C51DF5" w:rsidRPr="006919D3">
        <w:rPr>
          <w:lang w:val="ru-RU"/>
        </w:rPr>
        <w:t>их</w:t>
      </w:r>
      <w:r w:rsidR="00305826" w:rsidRPr="006919D3">
        <w:rPr>
          <w:lang w:val="ru-RU"/>
        </w:rPr>
        <w:t xml:space="preserve"> правоспособности (способности заключать договоры, участвовать в судебных разбирательствах, приобретать и использовать движимое и недвижимое имущество, принимать собственные правила, процедуры и правовые процессы и пр.).</w:t>
      </w:r>
    </w:p>
    <w:p w:rsidR="00305826" w:rsidRPr="006919D3" w:rsidRDefault="00900D7F" w:rsidP="00D234E7">
      <w:pPr>
        <w:rPr>
          <w:spacing w:val="-2"/>
          <w:lang w:val="ru-RU"/>
        </w:rPr>
      </w:pPr>
      <w:r w:rsidRPr="006919D3">
        <w:rPr>
          <w:lang w:val="ru-RU"/>
        </w:rPr>
        <w:t>9</w:t>
      </w:r>
      <w:r w:rsidRPr="006919D3">
        <w:rPr>
          <w:lang w:val="ru-RU"/>
        </w:rPr>
        <w:tab/>
      </w:r>
      <w:r w:rsidR="00C51DF5" w:rsidRPr="006919D3">
        <w:rPr>
          <w:lang w:val="ru-RU"/>
        </w:rPr>
        <w:t>Эта и</w:t>
      </w:r>
      <w:r w:rsidR="00305826" w:rsidRPr="006919D3">
        <w:rPr>
          <w:lang w:val="ru-RU"/>
        </w:rPr>
        <w:t xml:space="preserve">нституциональная независимость также предполагает признание соглашением неприкосновенности помещений, занимаемых </w:t>
      </w:r>
      <w:r w:rsidR="00D234E7" w:rsidRPr="006919D3">
        <w:rPr>
          <w:lang w:val="ru-RU"/>
        </w:rPr>
        <w:t>зональным отделением</w:t>
      </w:r>
      <w:r w:rsidR="00305826" w:rsidRPr="006919D3">
        <w:rPr>
          <w:lang w:val="ru-RU"/>
        </w:rPr>
        <w:t xml:space="preserve">, и, как неотъемлемое следствие данного соглашения, свободы Союза в вопросах обеспечения надзора, безопасности и охраны помещений, а также неприкосновенности его архивов и всех документов (независимо от носителя), предназначенных для </w:t>
      </w:r>
      <w:r w:rsidR="00D234E7" w:rsidRPr="006919D3">
        <w:rPr>
          <w:lang w:val="ru-RU"/>
        </w:rPr>
        <w:t xml:space="preserve">его </w:t>
      </w:r>
      <w:r w:rsidR="00305826" w:rsidRPr="006919D3">
        <w:rPr>
          <w:lang w:val="ru-RU"/>
        </w:rPr>
        <w:t>официального использования.</w:t>
      </w:r>
    </w:p>
    <w:p w:rsidR="00305826" w:rsidRPr="006919D3" w:rsidRDefault="00305826" w:rsidP="00305826">
      <w:pPr>
        <w:pStyle w:val="Headingb"/>
        <w:rPr>
          <w:lang w:val="ru-RU"/>
        </w:rPr>
      </w:pPr>
      <w:r w:rsidRPr="006919D3">
        <w:rPr>
          <w:lang w:val="ru-RU"/>
        </w:rPr>
        <w:t>ii)</w:t>
      </w:r>
      <w:r w:rsidRPr="006919D3">
        <w:rPr>
          <w:lang w:val="ru-RU"/>
        </w:rPr>
        <w:tab/>
        <w:t>Юрисдикционная независимость</w:t>
      </w:r>
    </w:p>
    <w:p w:rsidR="00305826" w:rsidRPr="006919D3" w:rsidRDefault="00900D7F" w:rsidP="00E93799">
      <w:pPr>
        <w:rPr>
          <w:lang w:val="ru-RU"/>
        </w:rPr>
      </w:pPr>
      <w:r w:rsidRPr="006919D3">
        <w:rPr>
          <w:lang w:val="ru-RU"/>
        </w:rPr>
        <w:t>10</w:t>
      </w:r>
      <w:r w:rsidRPr="006919D3">
        <w:rPr>
          <w:lang w:val="ru-RU"/>
        </w:rPr>
        <w:tab/>
      </w:r>
      <w:r w:rsidR="00305826" w:rsidRPr="006919D3">
        <w:rPr>
          <w:lang w:val="ru-RU"/>
        </w:rPr>
        <w:t xml:space="preserve">Первостепенной задачей всех правил, касающихся международных организаций, является обеспечение выполнения их функций и достижения поставленных перед ними целей в условиях полной самостоятельности. В связи с этим абсолютно необходимо, чтобы Союз, </w:t>
      </w:r>
      <w:r w:rsidR="00D234E7" w:rsidRPr="006919D3">
        <w:rPr>
          <w:lang w:val="ru-RU"/>
        </w:rPr>
        <w:t xml:space="preserve">и, следовательно, его </w:t>
      </w:r>
      <w:r w:rsidR="00D234E7" w:rsidRPr="006919D3">
        <w:rPr>
          <w:lang w:val="ru-RU"/>
        </w:rPr>
        <w:lastRenderedPageBreak/>
        <w:t xml:space="preserve">зональное отделение, </w:t>
      </w:r>
      <w:r w:rsidR="00305826" w:rsidRPr="006919D3">
        <w:rPr>
          <w:lang w:val="ru-RU"/>
        </w:rPr>
        <w:t>являясь по своей сути международной организацией, пользовал</w:t>
      </w:r>
      <w:r w:rsidR="00D234E7" w:rsidRPr="006919D3">
        <w:rPr>
          <w:lang w:val="ru-RU"/>
        </w:rPr>
        <w:t>ись</w:t>
      </w:r>
      <w:r w:rsidR="00305826" w:rsidRPr="006919D3">
        <w:rPr>
          <w:lang w:val="ru-RU"/>
        </w:rPr>
        <w:t xml:space="preserve"> иммунитетом от уголовной, гражданской и административной юрисдикции, что должно быть официально признано в соглашении, и чтобы в то же время здания и помещения, занимаемые </w:t>
      </w:r>
      <w:r w:rsidR="00D234E7" w:rsidRPr="006919D3">
        <w:rPr>
          <w:lang w:val="ru-RU"/>
        </w:rPr>
        <w:t>зональным отделением</w:t>
      </w:r>
      <w:r w:rsidR="00305826" w:rsidRPr="006919D3">
        <w:rPr>
          <w:lang w:val="ru-RU"/>
        </w:rPr>
        <w:t xml:space="preserve">, а также имущество, принадлежащее </w:t>
      </w:r>
      <w:r w:rsidR="00D234E7" w:rsidRPr="006919D3">
        <w:rPr>
          <w:lang w:val="ru-RU"/>
        </w:rPr>
        <w:t xml:space="preserve">зональному отделению </w:t>
      </w:r>
      <w:r w:rsidR="00305826" w:rsidRPr="006919D3">
        <w:rPr>
          <w:lang w:val="ru-RU"/>
        </w:rPr>
        <w:t>или используемое им, не подлежало изъятию, обыскам, конфискации или другим мерам принудительного характера. Все указанные положения также должны быть включены в соглашение.</w:t>
      </w:r>
    </w:p>
    <w:p w:rsidR="0001327F" w:rsidRPr="006919D3" w:rsidRDefault="0001327F" w:rsidP="0001327F">
      <w:pPr>
        <w:pStyle w:val="Headingb"/>
        <w:rPr>
          <w:lang w:val="ru-RU"/>
        </w:rPr>
      </w:pPr>
      <w:r w:rsidRPr="006919D3">
        <w:rPr>
          <w:lang w:val="ru-RU"/>
        </w:rPr>
        <w:t>iii)</w:t>
      </w:r>
      <w:r w:rsidRPr="006919D3">
        <w:rPr>
          <w:lang w:val="ru-RU"/>
        </w:rPr>
        <w:tab/>
        <w:t>Свобода обмена информацией и публикаций</w:t>
      </w:r>
    </w:p>
    <w:p w:rsidR="0001327F" w:rsidRPr="006919D3" w:rsidRDefault="00900D7F" w:rsidP="00900D7F">
      <w:pPr>
        <w:rPr>
          <w:lang w:val="ru-RU"/>
        </w:rPr>
      </w:pPr>
      <w:r w:rsidRPr="006919D3">
        <w:rPr>
          <w:lang w:val="ru-RU"/>
        </w:rPr>
        <w:t>11</w:t>
      </w:r>
      <w:r w:rsidRPr="006919D3">
        <w:rPr>
          <w:lang w:val="ru-RU"/>
        </w:rPr>
        <w:tab/>
      </w:r>
      <w:r w:rsidR="0001327F" w:rsidRPr="006919D3">
        <w:rPr>
          <w:lang w:val="ru-RU"/>
        </w:rPr>
        <w:t xml:space="preserve">Публикации Союза являются одним из основных средств выражения его мнения. Соответственно, принцип, согласно которому все публикации Союза не подлежат ограничениям любого характера со стороны принимающей страны, должен </w:t>
      </w:r>
      <w:r w:rsidR="00E93799" w:rsidRPr="006919D3">
        <w:rPr>
          <w:lang w:val="ru-RU"/>
        </w:rPr>
        <w:t xml:space="preserve">также </w:t>
      </w:r>
      <w:r w:rsidR="0001327F" w:rsidRPr="006919D3">
        <w:rPr>
          <w:lang w:val="ru-RU"/>
        </w:rPr>
        <w:t>быть заложен в соглашение.</w:t>
      </w:r>
    </w:p>
    <w:p w:rsidR="0001327F" w:rsidRPr="006919D3" w:rsidRDefault="00900D7F" w:rsidP="00E93799">
      <w:pPr>
        <w:rPr>
          <w:lang w:val="ru-RU"/>
        </w:rPr>
      </w:pPr>
      <w:r w:rsidRPr="006919D3">
        <w:rPr>
          <w:lang w:val="ru-RU"/>
        </w:rPr>
        <w:t>12</w:t>
      </w:r>
      <w:r w:rsidRPr="006919D3">
        <w:rPr>
          <w:lang w:val="ru-RU"/>
        </w:rPr>
        <w:tab/>
      </w:r>
      <w:r w:rsidR="0001327F" w:rsidRPr="006919D3">
        <w:rPr>
          <w:lang w:val="ru-RU"/>
        </w:rPr>
        <w:t>Таким же образом, по сути трансграничный характер работы любой международной организации и, в частности, МСЭ требует организации свободного и эффективного обмена информацией. В настоящее время статус информации международных организаций, включая МСЭ, определяется с учетом прав, привилегий и льгот, предоставленных в этой связи Организации Объединенных Наций, и дипломатических договоренностей, в соответствующих случаях. Именно в таком режиме в настоящий момент обеспечивается неприкосновенность информации МСЭ. Данный режим обязательно должен быть закреплен соответствующим положени</w:t>
      </w:r>
      <w:r w:rsidR="00E93799" w:rsidRPr="006919D3">
        <w:rPr>
          <w:lang w:val="ru-RU"/>
        </w:rPr>
        <w:t>ем</w:t>
      </w:r>
      <w:r w:rsidR="0001327F" w:rsidRPr="006919D3">
        <w:rPr>
          <w:lang w:val="ru-RU"/>
        </w:rPr>
        <w:t xml:space="preserve"> соглашения.</w:t>
      </w:r>
    </w:p>
    <w:p w:rsidR="0001327F" w:rsidRPr="006919D3" w:rsidRDefault="0001327F" w:rsidP="00064FDF">
      <w:pPr>
        <w:pStyle w:val="Headingb"/>
        <w:tabs>
          <w:tab w:val="clear" w:pos="2410"/>
        </w:tabs>
        <w:ind w:left="794" w:hanging="794"/>
        <w:rPr>
          <w:lang w:val="ru-RU"/>
        </w:rPr>
      </w:pPr>
      <w:r w:rsidRPr="006919D3">
        <w:rPr>
          <w:lang w:val="ru-RU"/>
        </w:rPr>
        <w:t>iv)</w:t>
      </w:r>
      <w:r w:rsidRPr="006919D3">
        <w:rPr>
          <w:lang w:val="ru-RU"/>
        </w:rPr>
        <w:tab/>
        <w:t xml:space="preserve">Привилегии и иммунитеты в фискальных, финансовых и таможенных вопросах и, в </w:t>
      </w:r>
      <w:r w:rsidR="00E93799" w:rsidRPr="006919D3">
        <w:rPr>
          <w:lang w:val="ru-RU"/>
        </w:rPr>
        <w:t>более общем плане</w:t>
      </w:r>
      <w:r w:rsidRPr="006919D3">
        <w:rPr>
          <w:lang w:val="ru-RU"/>
        </w:rPr>
        <w:t>, неограниченная свобода оборота товаров и капитала</w:t>
      </w:r>
    </w:p>
    <w:p w:rsidR="0001327F" w:rsidRPr="006919D3" w:rsidRDefault="00260E30" w:rsidP="00E93799">
      <w:pPr>
        <w:rPr>
          <w:lang w:val="ru-RU"/>
        </w:rPr>
      </w:pPr>
      <w:r w:rsidRPr="006919D3">
        <w:rPr>
          <w:lang w:val="ru-RU"/>
        </w:rPr>
        <w:t>13</w:t>
      </w:r>
      <w:r w:rsidRPr="006919D3">
        <w:rPr>
          <w:lang w:val="ru-RU"/>
        </w:rPr>
        <w:tab/>
      </w:r>
      <w:r w:rsidR="0001327F" w:rsidRPr="006919D3">
        <w:rPr>
          <w:lang w:val="ru-RU"/>
        </w:rPr>
        <w:t xml:space="preserve">Освобождение Союза, его активов, доходов и прочей собственности от всех прямых налогов, национальных, региональных или местных, должно быть </w:t>
      </w:r>
      <w:r w:rsidR="00E93799" w:rsidRPr="006919D3">
        <w:rPr>
          <w:lang w:val="ru-RU"/>
        </w:rPr>
        <w:t>закреплено в</w:t>
      </w:r>
      <w:r w:rsidR="0001327F" w:rsidRPr="006919D3">
        <w:rPr>
          <w:lang w:val="ru-RU"/>
        </w:rPr>
        <w:t xml:space="preserve"> соглашени</w:t>
      </w:r>
      <w:r w:rsidR="00E93799" w:rsidRPr="006919D3">
        <w:rPr>
          <w:lang w:val="ru-RU"/>
        </w:rPr>
        <w:t>и</w:t>
      </w:r>
      <w:r w:rsidR="0001327F" w:rsidRPr="006919D3">
        <w:rPr>
          <w:lang w:val="ru-RU"/>
        </w:rPr>
        <w:t>, равно как и освобождение от любого рода косвенных налогов, в частности, налога на добавленную стоимость и регистрационных или акцизных сборов, особенно тех, которые обычно начисляются по сделкам с недвижимостью.</w:t>
      </w:r>
    </w:p>
    <w:p w:rsidR="0001327F" w:rsidRPr="006919D3" w:rsidRDefault="0001327F" w:rsidP="0001327F">
      <w:pPr>
        <w:pStyle w:val="Headingb"/>
        <w:rPr>
          <w:lang w:val="ru-RU"/>
        </w:rPr>
      </w:pPr>
      <w:r w:rsidRPr="006919D3">
        <w:rPr>
          <w:lang w:val="ru-RU"/>
        </w:rPr>
        <w:t>v)</w:t>
      </w:r>
      <w:r w:rsidRPr="006919D3">
        <w:rPr>
          <w:lang w:val="ru-RU"/>
        </w:rPr>
        <w:tab/>
        <w:t>Финансовые привилегии и иммунитеты</w:t>
      </w:r>
    </w:p>
    <w:p w:rsidR="0001327F" w:rsidRPr="006919D3" w:rsidRDefault="00260E30" w:rsidP="00E93799">
      <w:pPr>
        <w:rPr>
          <w:lang w:val="ru-RU"/>
        </w:rPr>
      </w:pPr>
      <w:r w:rsidRPr="006919D3">
        <w:rPr>
          <w:lang w:val="ru-RU"/>
        </w:rPr>
        <w:t>14</w:t>
      </w:r>
      <w:r w:rsidRPr="006919D3">
        <w:rPr>
          <w:lang w:val="ru-RU"/>
        </w:rPr>
        <w:tab/>
      </w:r>
      <w:r w:rsidR="0001327F" w:rsidRPr="006919D3">
        <w:rPr>
          <w:lang w:val="ru-RU"/>
        </w:rPr>
        <w:t xml:space="preserve">МСЭ </w:t>
      </w:r>
      <w:r w:rsidR="00E93799" w:rsidRPr="006919D3">
        <w:rPr>
          <w:lang w:val="ru-RU"/>
        </w:rPr>
        <w:t xml:space="preserve">и его зональное отделение </w:t>
      </w:r>
      <w:r w:rsidR="0001327F" w:rsidRPr="006919D3">
        <w:rPr>
          <w:lang w:val="ru-RU"/>
        </w:rPr>
        <w:t>долж</w:t>
      </w:r>
      <w:r w:rsidR="00E93799" w:rsidRPr="006919D3">
        <w:rPr>
          <w:lang w:val="ru-RU"/>
        </w:rPr>
        <w:t>ны</w:t>
      </w:r>
      <w:r w:rsidR="0001327F" w:rsidRPr="006919D3">
        <w:rPr>
          <w:lang w:val="ru-RU"/>
        </w:rPr>
        <w:t xml:space="preserve"> пользоваться широкой свободой обмена валюты и, в связи</w:t>
      </w:r>
      <w:r w:rsidR="00E93799" w:rsidRPr="006919D3">
        <w:rPr>
          <w:lang w:val="ru-RU"/>
        </w:rPr>
        <w:t xml:space="preserve"> с этим</w:t>
      </w:r>
      <w:r w:rsidR="0001327F" w:rsidRPr="006919D3">
        <w:rPr>
          <w:lang w:val="ru-RU"/>
        </w:rPr>
        <w:t>, долж</w:t>
      </w:r>
      <w:r w:rsidR="00E93799" w:rsidRPr="006919D3">
        <w:rPr>
          <w:lang w:val="ru-RU"/>
        </w:rPr>
        <w:t>ны</w:t>
      </w:r>
      <w:r w:rsidR="0001327F" w:rsidRPr="006919D3">
        <w:rPr>
          <w:lang w:val="ru-RU"/>
        </w:rPr>
        <w:t xml:space="preserve"> иметь возможность беспрепятственно получать и хранить, переводить или конвертировать валюту. Тот же принцип должен действовать в отношении золота, наличных средств и других ценных бумаг. Все эти аспекты также должны быть отражены в соглашении.</w:t>
      </w:r>
    </w:p>
    <w:p w:rsidR="0001327F" w:rsidRPr="006919D3" w:rsidRDefault="0001327F" w:rsidP="00064FDF">
      <w:pPr>
        <w:pStyle w:val="Headingb"/>
        <w:tabs>
          <w:tab w:val="clear" w:pos="2410"/>
        </w:tabs>
        <w:ind w:left="794" w:hanging="794"/>
        <w:rPr>
          <w:lang w:val="ru-RU"/>
        </w:rPr>
      </w:pPr>
      <w:r w:rsidRPr="006919D3">
        <w:rPr>
          <w:lang w:val="ru-RU"/>
        </w:rPr>
        <w:t>vi)</w:t>
      </w:r>
      <w:r w:rsidRPr="006919D3">
        <w:rPr>
          <w:lang w:val="ru-RU"/>
        </w:rPr>
        <w:tab/>
        <w:t>Таможенные привилегии и иммунитеты и отсутствие запрета или ограничений на импорт и экспорт</w:t>
      </w:r>
    </w:p>
    <w:p w:rsidR="0001327F" w:rsidRPr="006919D3" w:rsidRDefault="00707B6E" w:rsidP="00E93799">
      <w:pPr>
        <w:rPr>
          <w:lang w:val="ru-RU"/>
        </w:rPr>
      </w:pPr>
      <w:r w:rsidRPr="006919D3">
        <w:rPr>
          <w:lang w:val="ru-RU"/>
        </w:rPr>
        <w:t>15</w:t>
      </w:r>
      <w:r w:rsidRPr="006919D3">
        <w:rPr>
          <w:lang w:val="ru-RU"/>
        </w:rPr>
        <w:tab/>
      </w:r>
      <w:r w:rsidR="00654BC0" w:rsidRPr="006919D3">
        <w:rPr>
          <w:lang w:val="ru-RU"/>
        </w:rPr>
        <w:t xml:space="preserve">Свободный оборот товаров Союза </w:t>
      </w:r>
      <w:r w:rsidR="00E93799" w:rsidRPr="006919D3">
        <w:rPr>
          <w:lang w:val="ru-RU"/>
        </w:rPr>
        <w:t xml:space="preserve">(и его зонального отделения) </w:t>
      </w:r>
      <w:r w:rsidR="00654BC0" w:rsidRPr="006919D3">
        <w:rPr>
          <w:lang w:val="ru-RU"/>
        </w:rPr>
        <w:t xml:space="preserve">не может затрудняться в результате увеличения закупочной цены, связанного с уплатой таможенных пошлин на импорт или экспорт. В противном случае свобода Союза будет считаться ущемленной в той степени, в которой начисление таможенных пошлин может вести к ситуации, вынуждающей </w:t>
      </w:r>
      <w:r w:rsidR="00E93799" w:rsidRPr="006919D3">
        <w:rPr>
          <w:lang w:val="ru-RU"/>
        </w:rPr>
        <w:t xml:space="preserve">зональное отделение </w:t>
      </w:r>
      <w:r w:rsidR="00654BC0" w:rsidRPr="006919D3">
        <w:rPr>
          <w:lang w:val="ru-RU"/>
        </w:rPr>
        <w:t>искать источники поставок внутри страны пребывания.</w:t>
      </w:r>
    </w:p>
    <w:p w:rsidR="0001327F" w:rsidRPr="006919D3" w:rsidRDefault="00707B6E" w:rsidP="00707B6E">
      <w:pPr>
        <w:rPr>
          <w:lang w:val="ru-RU"/>
        </w:rPr>
      </w:pPr>
      <w:r w:rsidRPr="006919D3">
        <w:rPr>
          <w:lang w:val="ru-RU"/>
        </w:rPr>
        <w:t>16</w:t>
      </w:r>
      <w:r w:rsidRPr="006919D3">
        <w:rPr>
          <w:lang w:val="ru-RU"/>
        </w:rPr>
        <w:tab/>
      </w:r>
      <w:r w:rsidR="00654BC0" w:rsidRPr="006919D3">
        <w:rPr>
          <w:lang w:val="ru-RU"/>
        </w:rPr>
        <w:t>В равной степени данная свобода не должна ущемляться в результате административных препятствий. Запрет или ограничение оборота товаров Союза</w:t>
      </w:r>
      <w:r w:rsidR="00E93799" w:rsidRPr="006919D3">
        <w:rPr>
          <w:lang w:val="ru-RU"/>
        </w:rPr>
        <w:t>/зонального отделения</w:t>
      </w:r>
      <w:r w:rsidR="00654BC0" w:rsidRPr="006919D3">
        <w:rPr>
          <w:lang w:val="ru-RU"/>
        </w:rPr>
        <w:t xml:space="preserve"> в силу административных предписаний, вынуждающих Союз</w:t>
      </w:r>
      <w:r w:rsidR="00E93799" w:rsidRPr="006919D3">
        <w:rPr>
          <w:lang w:val="ru-RU"/>
        </w:rPr>
        <w:t>/зональное отделение</w:t>
      </w:r>
      <w:r w:rsidR="00654BC0" w:rsidRPr="006919D3">
        <w:rPr>
          <w:lang w:val="ru-RU"/>
        </w:rPr>
        <w:t xml:space="preserve"> приобретать товары на местных рынках принимающей страны, являются недопустимыми.</w:t>
      </w:r>
    </w:p>
    <w:p w:rsidR="0001327F" w:rsidRPr="006919D3" w:rsidRDefault="00707B6E" w:rsidP="00707B6E">
      <w:pPr>
        <w:rPr>
          <w:lang w:val="ru-RU"/>
        </w:rPr>
      </w:pPr>
      <w:r w:rsidRPr="006919D3">
        <w:rPr>
          <w:lang w:val="ru-RU"/>
        </w:rPr>
        <w:t>17</w:t>
      </w:r>
      <w:r w:rsidRPr="006919D3">
        <w:rPr>
          <w:lang w:val="ru-RU"/>
        </w:rPr>
        <w:tab/>
      </w:r>
      <w:r w:rsidR="00654BC0" w:rsidRPr="006919D3">
        <w:rPr>
          <w:lang w:val="ru-RU"/>
        </w:rPr>
        <w:t>Следовательно, в соглашении важно четко указать, что товары Союза освобождаются от уплаты таможенных пошлин и не подлежат действию каких-либо запретов или ограничений на импорт или экспорт.</w:t>
      </w:r>
    </w:p>
    <w:p w:rsidR="00654BC0" w:rsidRPr="006919D3" w:rsidRDefault="00707B6E" w:rsidP="00E93799">
      <w:pPr>
        <w:rPr>
          <w:lang w:val="ru-RU"/>
        </w:rPr>
      </w:pPr>
      <w:r w:rsidRPr="006919D3">
        <w:rPr>
          <w:lang w:val="ru-RU"/>
        </w:rPr>
        <w:t>18</w:t>
      </w:r>
      <w:r w:rsidRPr="006919D3">
        <w:rPr>
          <w:lang w:val="ru-RU"/>
        </w:rPr>
        <w:tab/>
      </w:r>
      <w:r w:rsidR="00654BC0" w:rsidRPr="006919D3">
        <w:rPr>
          <w:lang w:val="ru-RU"/>
        </w:rPr>
        <w:t>Помимо привилегий, иммунитетов и льгот, предоставляемых МСЭ как юридическому лицу, соглашение о штаб-квартире должно содержать точные и подробные положения о привилегиях, иммунитетах и льготах, предоставляемых его персоналу.</w:t>
      </w:r>
    </w:p>
    <w:p w:rsidR="00654BC0" w:rsidRPr="006919D3" w:rsidRDefault="00654BC0" w:rsidP="004E5ECC">
      <w:pPr>
        <w:pStyle w:val="Headingb"/>
        <w:rPr>
          <w:lang w:val="ru-RU"/>
        </w:rPr>
      </w:pPr>
      <w:r w:rsidRPr="006919D3">
        <w:rPr>
          <w:lang w:val="ru-RU"/>
        </w:rPr>
        <w:lastRenderedPageBreak/>
        <w:t>vii)</w:t>
      </w:r>
      <w:r w:rsidRPr="006919D3">
        <w:rPr>
          <w:lang w:val="ru-RU"/>
        </w:rPr>
        <w:tab/>
      </w:r>
      <w:r w:rsidR="004E5ECC" w:rsidRPr="006919D3">
        <w:rPr>
          <w:lang w:val="ru-RU"/>
        </w:rPr>
        <w:t>Привилегии, иммунитеты и льготы, предоставляемые сотрудникам Союза</w:t>
      </w:r>
    </w:p>
    <w:p w:rsidR="00654BC0" w:rsidRPr="006919D3" w:rsidRDefault="00707B6E" w:rsidP="00B97A9E">
      <w:pPr>
        <w:rPr>
          <w:lang w:val="ru-RU"/>
        </w:rPr>
      </w:pPr>
      <w:r w:rsidRPr="006919D3">
        <w:rPr>
          <w:lang w:val="ru-RU"/>
        </w:rPr>
        <w:t>19</w:t>
      </w:r>
      <w:r w:rsidRPr="006919D3">
        <w:rPr>
          <w:lang w:val="ru-RU"/>
        </w:rPr>
        <w:tab/>
      </w:r>
      <w:r w:rsidR="00B97A9E" w:rsidRPr="006919D3">
        <w:rPr>
          <w:lang w:val="ru-RU"/>
        </w:rPr>
        <w:t>Руководитель</w:t>
      </w:r>
      <w:r w:rsidR="00E93799" w:rsidRPr="006919D3">
        <w:rPr>
          <w:lang w:val="ru-RU"/>
        </w:rPr>
        <w:t xml:space="preserve"> зонального отделения</w:t>
      </w:r>
      <w:r w:rsidR="00654BC0" w:rsidRPr="006919D3">
        <w:rPr>
          <w:lang w:val="ru-RU"/>
        </w:rPr>
        <w:t xml:space="preserve"> </w:t>
      </w:r>
      <w:r w:rsidR="004E5ECC" w:rsidRPr="006919D3">
        <w:rPr>
          <w:lang w:val="ru-RU"/>
        </w:rPr>
        <w:t>долж</w:t>
      </w:r>
      <w:r w:rsidR="00E93799" w:rsidRPr="006919D3">
        <w:rPr>
          <w:lang w:val="ru-RU"/>
        </w:rPr>
        <w:t>ен</w:t>
      </w:r>
      <w:r w:rsidR="004E5ECC" w:rsidRPr="006919D3">
        <w:rPr>
          <w:lang w:val="ru-RU"/>
        </w:rPr>
        <w:t>, в силу соглашения, пользоваться на территории принимающей страны привилегиями, иммунитетами, исключениями и льготами, предоставляемыми работникам дипломатических миссий согласно нормам и правилам международного права (например, полный и абсолютный иммунитет от юрисдикции, регистрация частных автотранспортных средств с выдачей дипломатических номеров, освобождение от таможенных сборов и импортных пошлин и, в соответствующих случаях, от налога на добавленную стоимость или ее эквивалента, беспошлинный импорт двух автомобилей, беспошлинный импорт другого движимого имущества, беспошлинное топливо, допуск в специализированные магазины беспошлинной торговли и пр.).</w:t>
      </w:r>
      <w:r w:rsidR="00654BC0" w:rsidRPr="006919D3">
        <w:rPr>
          <w:lang w:val="ru-RU"/>
        </w:rPr>
        <w:t xml:space="preserve"> </w:t>
      </w:r>
      <w:r w:rsidR="00ED77DF" w:rsidRPr="006919D3">
        <w:rPr>
          <w:lang w:val="ru-RU"/>
        </w:rPr>
        <w:t xml:space="preserve">Правительство также должно предоставить другим служащим зонального отделения, независимо </w:t>
      </w:r>
      <w:r w:rsidR="00ED77DF" w:rsidRPr="006919D3">
        <w:rPr>
          <w:color w:val="000000"/>
          <w:lang w:val="ru-RU"/>
        </w:rPr>
        <w:t>от категории их должности и гражданства</w:t>
      </w:r>
      <w:r w:rsidR="00654BC0" w:rsidRPr="006919D3">
        <w:rPr>
          <w:lang w:val="ru-RU"/>
        </w:rPr>
        <w:t xml:space="preserve">, </w:t>
      </w:r>
      <w:r w:rsidR="00ED77DF" w:rsidRPr="006919D3">
        <w:rPr>
          <w:color w:val="000000"/>
          <w:lang w:val="ru-RU"/>
        </w:rPr>
        <w:t>привилегии, иммунитеты и льготы, не менее благоприятные, чем предоставляемые правительством персоналу Организации Объединенных Наций и любых ее специализированных учреждений</w:t>
      </w:r>
      <w:r w:rsidR="00ED77DF" w:rsidRPr="006919D3">
        <w:rPr>
          <w:lang w:val="ru-RU"/>
        </w:rPr>
        <w:t xml:space="preserve"> в Индии</w:t>
      </w:r>
      <w:r w:rsidR="00654BC0" w:rsidRPr="006919D3">
        <w:rPr>
          <w:lang w:val="ru-RU"/>
        </w:rPr>
        <w:t>.</w:t>
      </w:r>
    </w:p>
    <w:p w:rsidR="00654BC0" w:rsidRPr="006919D3" w:rsidRDefault="00707B6E" w:rsidP="00ED77DF">
      <w:pPr>
        <w:rPr>
          <w:lang w:val="ru-RU"/>
        </w:rPr>
      </w:pPr>
      <w:r w:rsidRPr="006919D3">
        <w:rPr>
          <w:lang w:val="ru-RU"/>
        </w:rPr>
        <w:t>20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Вместе с тем и как минимум</w:t>
      </w:r>
      <w:r w:rsidR="00654BC0" w:rsidRPr="006919D3">
        <w:rPr>
          <w:lang w:val="ru-RU"/>
        </w:rPr>
        <w:t>,</w:t>
      </w:r>
      <w:r w:rsidR="00654BC0" w:rsidRPr="006919D3" w:rsidDel="00CB3181">
        <w:rPr>
          <w:lang w:val="ru-RU"/>
        </w:rPr>
        <w:t xml:space="preserve"> </w:t>
      </w:r>
      <w:r w:rsidR="004E5ECC" w:rsidRPr="006919D3">
        <w:rPr>
          <w:lang w:val="ru-RU"/>
        </w:rPr>
        <w:t>всем сотрудникам независимо от категории их должности и гражданства, включая граждан принимающей страны, должны быть предоставлены, в силу соглашения, по меньшей мере, следующие привилегии, иммунитеты и льготы: иммунитет от юрисдикции в отношении совершенных действий, высказанных слов или материалов, написанных в рамках выполнения ими своих обязанностей; освобождение от всех (национальных, региональных, местных) налогов на заработную плату, вознаграждения и компенсации, выплачиваемые им Союзом, капитализированные суммы, выплачиваемые им из пенсионного или страхового фонда, учрежденного в пользу сотрудников, любого рода компенсации по болезни или в связи с несчастным случаем; освобождение от воинской службы на территории принимающей страны (кроме сотрудников, являющихся гражданами принимающей страны); отсутствие иммиграционных ограничений или регистрационных процедур, применяемых в отношении подданных других государств (включая их супругов и членов семьи); льготы по обмену валюты; льготы по репатриации в случае международного кризиса (в том числе для членов их семей и их домашних работников); таможенные льготы и пр.</w:t>
      </w:r>
    </w:p>
    <w:p w:rsidR="007625C1" w:rsidRPr="006919D3" w:rsidRDefault="00707B6E" w:rsidP="00ED77DF">
      <w:pPr>
        <w:rPr>
          <w:lang w:val="ru-RU"/>
        </w:rPr>
      </w:pPr>
      <w:r w:rsidRPr="006919D3">
        <w:rPr>
          <w:lang w:val="ru-RU"/>
        </w:rPr>
        <w:t>21</w:t>
      </w:r>
      <w:r w:rsidRPr="006919D3">
        <w:rPr>
          <w:lang w:val="ru-RU"/>
        </w:rPr>
        <w:tab/>
      </w:r>
      <w:r w:rsidR="007625C1" w:rsidRPr="006919D3">
        <w:rPr>
          <w:lang w:val="ru-RU"/>
        </w:rPr>
        <w:t xml:space="preserve">В то же время соглашение о штаб-квартире должно предусматривать, как в отношении участников мероприятий МСЭ, так и в отношении штатных сотрудников Союза, упрощенный и ускоренный порядок выдачи виз без уплаты каких бы то ни было сборов и бесплатную выдачу сотрудникам и членам их семей документов, составляющих вид на жительство в принимающей стране. </w:t>
      </w:r>
    </w:p>
    <w:p w:rsidR="007625C1" w:rsidRPr="006919D3" w:rsidRDefault="00707B6E" w:rsidP="00707B6E">
      <w:pPr>
        <w:rPr>
          <w:lang w:val="ru-RU"/>
        </w:rPr>
      </w:pPr>
      <w:r w:rsidRPr="006919D3">
        <w:rPr>
          <w:lang w:val="ru-RU"/>
        </w:rPr>
        <w:t>22</w:t>
      </w:r>
      <w:r w:rsidRPr="006919D3">
        <w:rPr>
          <w:lang w:val="ru-RU"/>
        </w:rPr>
        <w:tab/>
      </w:r>
      <w:r w:rsidR="007625C1" w:rsidRPr="006919D3">
        <w:rPr>
          <w:lang w:val="ru-RU"/>
        </w:rPr>
        <w:t>Если принимающая страна является частью какого-либо особого территориального пространства, где предписываются определенные условия/ограничения в отношении постоянного проживания/передвижения (например, в случае Швейцарии это Шенгенская зона), сотрудники, находящиеся в принимающей стране, должны иметь беспрепятственный неограниченный доступ на территорию всех стран, входящих в такое пространство.</w:t>
      </w:r>
    </w:p>
    <w:p w:rsidR="007625C1" w:rsidRPr="006919D3" w:rsidRDefault="00707B6E" w:rsidP="00707B6E">
      <w:pPr>
        <w:rPr>
          <w:lang w:val="ru-RU"/>
        </w:rPr>
      </w:pPr>
      <w:r w:rsidRPr="006919D3">
        <w:rPr>
          <w:lang w:val="ru-RU"/>
        </w:rPr>
        <w:t>23</w:t>
      </w:r>
      <w:r w:rsidRPr="006919D3">
        <w:rPr>
          <w:lang w:val="ru-RU"/>
        </w:rPr>
        <w:tab/>
      </w:r>
      <w:r w:rsidR="007625C1" w:rsidRPr="006919D3">
        <w:rPr>
          <w:lang w:val="ru-RU"/>
        </w:rPr>
        <w:t>В завершение настоящего краткого обзора, который ни при каких условиях нельзя назвать исчерпывающим, важно отметить, что соглашение также должно содержать положения об освобождении Союза от всех обязательных взносов в общие фонды социального страхования принимающей страны.</w:t>
      </w:r>
    </w:p>
    <w:p w:rsidR="007625C1" w:rsidRPr="006919D3" w:rsidRDefault="00ED77DF" w:rsidP="003F7152">
      <w:pPr>
        <w:pStyle w:val="Headingb"/>
        <w:rPr>
          <w:lang w:val="ru-RU"/>
        </w:rPr>
      </w:pPr>
      <w:r w:rsidRPr="006919D3">
        <w:rPr>
          <w:lang w:val="ru-RU"/>
        </w:rPr>
        <w:t>Прямые финансовые требования</w:t>
      </w:r>
    </w:p>
    <w:p w:rsidR="007625C1" w:rsidRPr="006919D3" w:rsidRDefault="003F7152" w:rsidP="00ED77DF">
      <w:pPr>
        <w:rPr>
          <w:lang w:val="ru-RU"/>
        </w:rPr>
      </w:pPr>
      <w:r w:rsidRPr="006919D3">
        <w:rPr>
          <w:lang w:val="ru-RU"/>
        </w:rPr>
        <w:t>24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Напоминается, что администрация Индии выдвинула следующее предложение в Документе </w:t>
      </w:r>
      <w:r w:rsidR="007625C1" w:rsidRPr="006919D3">
        <w:rPr>
          <w:lang w:val="ru-RU"/>
        </w:rPr>
        <w:t>C18/85(Rev.1):</w:t>
      </w:r>
    </w:p>
    <w:p w:rsidR="007625C1" w:rsidRPr="006919D3" w:rsidRDefault="00D17B4B" w:rsidP="00D17B4B">
      <w:pPr>
        <w:rPr>
          <w:i/>
          <w:iCs/>
          <w:lang w:val="ru-RU"/>
        </w:rPr>
      </w:pPr>
      <w:r w:rsidRPr="006919D3">
        <w:rPr>
          <w:i/>
          <w:iCs/>
          <w:lang w:val="ru-RU"/>
        </w:rPr>
        <w:tab/>
      </w:r>
      <w:r w:rsidR="007625C1" w:rsidRPr="006919D3">
        <w:rPr>
          <w:lang w:val="ru-RU"/>
        </w:rPr>
        <w:t>"</w:t>
      </w:r>
      <w:r w:rsidR="007625C1" w:rsidRPr="006919D3">
        <w:rPr>
          <w:i/>
          <w:iCs/>
          <w:lang w:val="ru-RU"/>
        </w:rPr>
        <w:t>Предложение индийской администрации</w:t>
      </w:r>
    </w:p>
    <w:p w:rsidR="007625C1" w:rsidRPr="006919D3" w:rsidRDefault="007625C1" w:rsidP="00E06992">
      <w:pPr>
        <w:pStyle w:val="enumlev2"/>
        <w:rPr>
          <w:i/>
          <w:iCs/>
          <w:lang w:val="ru-RU"/>
        </w:rPr>
      </w:pPr>
      <w:r w:rsidRPr="006919D3">
        <w:rPr>
          <w:i/>
          <w:iCs/>
          <w:lang w:val="ru-RU"/>
        </w:rPr>
        <w:t>•</w:t>
      </w:r>
      <w:r w:rsidRPr="006919D3">
        <w:rPr>
          <w:i/>
          <w:iCs/>
          <w:lang w:val="ru-RU"/>
        </w:rPr>
        <w:tab/>
        <w:t xml:space="preserve">Разместить зональное отделение МСЭ для стран Южной Азии и технологический инновационный центр в Нью-Дели или Бангалоре и обеспечить необходимые </w:t>
      </w:r>
      <w:r w:rsidRPr="006919D3">
        <w:rPr>
          <w:i/>
          <w:iCs/>
          <w:lang w:val="ru-RU"/>
        </w:rPr>
        <w:lastRenderedPageBreak/>
        <w:t>материально-технические средства, включая пространство, инфраструктуру и другие условия;</w:t>
      </w:r>
    </w:p>
    <w:p w:rsidR="007625C1" w:rsidRPr="006919D3" w:rsidRDefault="007625C1" w:rsidP="00E06992">
      <w:pPr>
        <w:pStyle w:val="enumlev2"/>
        <w:rPr>
          <w:i/>
          <w:iCs/>
          <w:lang w:val="ru-RU"/>
        </w:rPr>
      </w:pPr>
      <w:r w:rsidRPr="006919D3">
        <w:rPr>
          <w:i/>
          <w:iCs/>
          <w:lang w:val="ru-RU"/>
        </w:rPr>
        <w:t>•</w:t>
      </w:r>
      <w:r w:rsidRPr="006919D3">
        <w:rPr>
          <w:i/>
          <w:iCs/>
          <w:lang w:val="ru-RU"/>
        </w:rPr>
        <w:tab/>
        <w:t>откомандировать сотрудников категории специалистов и общей категории, необходимых для поддержки деятельности, на первоначальный срок 4 года с последующим продлением срока при необходимости. Участие других стран приветствуется и будет осуществляться в соответствии с СОП МСЭ;</w:t>
      </w:r>
    </w:p>
    <w:p w:rsidR="007625C1" w:rsidRPr="006919D3" w:rsidRDefault="007625C1" w:rsidP="00E06992">
      <w:pPr>
        <w:pStyle w:val="enumlev2"/>
        <w:rPr>
          <w:i/>
          <w:iCs/>
          <w:lang w:val="ru-RU"/>
        </w:rPr>
      </w:pPr>
      <w:r w:rsidRPr="006919D3">
        <w:rPr>
          <w:i/>
          <w:iCs/>
          <w:lang w:val="ru-RU"/>
        </w:rPr>
        <w:t>•</w:t>
      </w:r>
      <w:r w:rsidRPr="006919D3">
        <w:rPr>
          <w:i/>
          <w:iCs/>
          <w:lang w:val="ru-RU"/>
        </w:rPr>
        <w:tab/>
        <w:t xml:space="preserve">предложить необходимые иммунитеты и привилегии по мере необходимости; и </w:t>
      </w:r>
    </w:p>
    <w:p w:rsidR="007625C1" w:rsidRPr="006919D3" w:rsidRDefault="007625C1" w:rsidP="002D51B2">
      <w:pPr>
        <w:pStyle w:val="enumlev2"/>
        <w:rPr>
          <w:i/>
          <w:iCs/>
          <w:lang w:val="ru-RU"/>
        </w:rPr>
      </w:pPr>
      <w:r w:rsidRPr="006919D3">
        <w:rPr>
          <w:i/>
          <w:iCs/>
          <w:lang w:val="ru-RU"/>
        </w:rPr>
        <w:t>•</w:t>
      </w:r>
      <w:r w:rsidRPr="006919D3">
        <w:rPr>
          <w:i/>
          <w:iCs/>
          <w:lang w:val="ru-RU"/>
        </w:rPr>
        <w:tab/>
        <w:t>разработать в дальнейшем дополнительные подробности на основе консультаций с Секретариатом и другими странами региона"</w:t>
      </w:r>
      <w:r w:rsidR="002D51B2" w:rsidRPr="006919D3">
        <w:rPr>
          <w:i/>
          <w:iCs/>
          <w:lang w:val="ru-RU"/>
        </w:rPr>
        <w:t>.</w:t>
      </w:r>
    </w:p>
    <w:p w:rsidR="007625C1" w:rsidRPr="006919D3" w:rsidRDefault="003F7152" w:rsidP="00B97A9E">
      <w:pPr>
        <w:rPr>
          <w:lang w:val="ru-RU"/>
        </w:rPr>
      </w:pPr>
      <w:r w:rsidRPr="006919D3">
        <w:rPr>
          <w:lang w:val="ru-RU"/>
        </w:rPr>
        <w:t>25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 xml:space="preserve">Индия </w:t>
      </w:r>
      <w:r w:rsidR="00B97A9E" w:rsidRPr="006919D3">
        <w:rPr>
          <w:lang w:val="ru-RU"/>
        </w:rPr>
        <w:t xml:space="preserve">должна </w:t>
      </w:r>
      <w:r w:rsidR="00ED77DF" w:rsidRPr="006919D3">
        <w:rPr>
          <w:lang w:val="ru-RU"/>
        </w:rPr>
        <w:t>предостав</w:t>
      </w:r>
      <w:r w:rsidR="00B97A9E" w:rsidRPr="006919D3">
        <w:rPr>
          <w:lang w:val="ru-RU"/>
        </w:rPr>
        <w:t>ить</w:t>
      </w:r>
      <w:r w:rsidR="00ED77DF" w:rsidRPr="006919D3">
        <w:rPr>
          <w:lang w:val="ru-RU"/>
        </w:rPr>
        <w:t xml:space="preserve"> или </w:t>
      </w:r>
      <w:r w:rsidR="00B97A9E" w:rsidRPr="006919D3">
        <w:rPr>
          <w:lang w:val="ru-RU"/>
        </w:rPr>
        <w:t>про</w:t>
      </w:r>
      <w:r w:rsidR="00ED77DF" w:rsidRPr="006919D3">
        <w:rPr>
          <w:lang w:val="ru-RU"/>
        </w:rPr>
        <w:t>финансир</w:t>
      </w:r>
      <w:r w:rsidR="00B97A9E" w:rsidRPr="006919D3">
        <w:rPr>
          <w:lang w:val="ru-RU"/>
        </w:rPr>
        <w:t>овать</w:t>
      </w:r>
      <w:r w:rsidR="00ED77DF" w:rsidRPr="006919D3">
        <w:rPr>
          <w:lang w:val="ru-RU"/>
        </w:rPr>
        <w:t xml:space="preserve"> следующее</w:t>
      </w:r>
      <w:r w:rsidR="007625C1" w:rsidRPr="006919D3">
        <w:rPr>
          <w:lang w:val="ru-RU"/>
        </w:rPr>
        <w:t>:</w:t>
      </w:r>
    </w:p>
    <w:p w:rsidR="007625C1" w:rsidRPr="006919D3" w:rsidRDefault="003F7152" w:rsidP="00ED77DF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помещения для отделения;</w:t>
      </w:r>
    </w:p>
    <w:p w:rsidR="007625C1" w:rsidRPr="006919D3" w:rsidRDefault="003F7152" w:rsidP="00ED77DF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офисную мебель и оборудование, включая компьютеры;</w:t>
      </w:r>
    </w:p>
    <w:p w:rsidR="007625C1" w:rsidRPr="006919D3" w:rsidRDefault="003F7152" w:rsidP="00ED77DF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коммуникационное оборудование, включая телефоны, интернет и т. п.;</w:t>
      </w:r>
      <w:r w:rsidR="007625C1" w:rsidRPr="006919D3">
        <w:rPr>
          <w:lang w:val="ru-RU"/>
        </w:rPr>
        <w:t xml:space="preserve"> </w:t>
      </w:r>
    </w:p>
    <w:p w:rsidR="007625C1" w:rsidRPr="006919D3" w:rsidRDefault="003F7152" w:rsidP="00ED77DF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ED77DF" w:rsidRPr="006919D3">
        <w:rPr>
          <w:lang w:val="ru-RU"/>
        </w:rPr>
        <w:t>коммунальные услуги, включая электроснабжение, водоснабжение, страхование помещений и т. п</w:t>
      </w:r>
      <w:r w:rsidR="007625C1" w:rsidRPr="006919D3">
        <w:rPr>
          <w:lang w:val="ru-RU"/>
        </w:rPr>
        <w:t>.</w:t>
      </w:r>
      <w:r w:rsidR="00ED77DF" w:rsidRPr="006919D3">
        <w:rPr>
          <w:lang w:val="ru-RU"/>
        </w:rPr>
        <w:t>;</w:t>
      </w:r>
      <w:r w:rsidR="007625C1" w:rsidRPr="006919D3">
        <w:rPr>
          <w:lang w:val="ru-RU"/>
        </w:rPr>
        <w:t xml:space="preserve"> </w:t>
      </w:r>
    </w:p>
    <w:p w:rsidR="007625C1" w:rsidRPr="006919D3" w:rsidRDefault="003F7152" w:rsidP="00DD6BE6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DD6BE6" w:rsidRPr="006919D3">
        <w:rPr>
          <w:lang w:val="ru-RU"/>
        </w:rPr>
        <w:t>парковочные места для офисных нужд;</w:t>
      </w:r>
    </w:p>
    <w:p w:rsidR="007625C1" w:rsidRPr="006919D3" w:rsidRDefault="003F7152" w:rsidP="00DD6BE6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DD6BE6" w:rsidRPr="006919D3">
        <w:rPr>
          <w:lang w:val="ru-RU"/>
        </w:rPr>
        <w:t>оборудование безопасности в соответствии с требованиями безопасности ООН;</w:t>
      </w:r>
    </w:p>
    <w:p w:rsidR="007625C1" w:rsidRPr="006919D3" w:rsidRDefault="003F7152" w:rsidP="00DD6BE6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DD6BE6" w:rsidRPr="006919D3">
        <w:rPr>
          <w:lang w:val="ru-RU"/>
        </w:rPr>
        <w:t>контракты на эксплуатацию и текущий ремонт вышеуказанного оборудования и услуг;</w:t>
      </w:r>
    </w:p>
    <w:p w:rsidR="007625C1" w:rsidRPr="006919D3" w:rsidRDefault="003F7152" w:rsidP="00DD6BE6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DD6BE6" w:rsidRPr="006919D3">
        <w:rPr>
          <w:lang w:val="ru-RU"/>
        </w:rPr>
        <w:t>все разрешения и допуски, требующиеся для нормального функционирования отделения;</w:t>
      </w:r>
    </w:p>
    <w:p w:rsidR="007625C1" w:rsidRPr="006919D3" w:rsidRDefault="003F7152" w:rsidP="00DD6BE6">
      <w:pPr>
        <w:pStyle w:val="enumlev2"/>
        <w:rPr>
          <w:lang w:val="ru-RU"/>
        </w:rPr>
      </w:pPr>
      <w:r w:rsidRPr="006919D3">
        <w:rPr>
          <w:lang w:val="ru-RU"/>
        </w:rPr>
        <w:t>•</w:t>
      </w:r>
      <w:r w:rsidRPr="006919D3">
        <w:rPr>
          <w:lang w:val="ru-RU"/>
        </w:rPr>
        <w:tab/>
      </w:r>
      <w:r w:rsidR="00DD6BE6" w:rsidRPr="006919D3">
        <w:rPr>
          <w:lang w:val="ru-RU"/>
        </w:rPr>
        <w:t>все затраты по персоналу в соответствии с нормами, правилами и процедурами МСЭ.</w:t>
      </w:r>
    </w:p>
    <w:p w:rsidR="007625C1" w:rsidRPr="006919D3" w:rsidRDefault="00DD6BE6" w:rsidP="00DD6BE6">
      <w:pPr>
        <w:pStyle w:val="Headingb"/>
        <w:rPr>
          <w:lang w:val="ru-RU"/>
        </w:rPr>
      </w:pPr>
      <w:r w:rsidRPr="006919D3">
        <w:rPr>
          <w:lang w:val="ru-RU"/>
        </w:rPr>
        <w:t>Косвенные финансовые последствия</w:t>
      </w:r>
    </w:p>
    <w:p w:rsidR="007625C1" w:rsidRPr="006919D3" w:rsidRDefault="00DD6BE6" w:rsidP="0023520C">
      <w:pPr>
        <w:rPr>
          <w:lang w:val="ru-RU"/>
        </w:rPr>
      </w:pPr>
      <w:r w:rsidRPr="006919D3">
        <w:rPr>
          <w:lang w:val="ru-RU"/>
        </w:rPr>
        <w:t>Косвенными являются затраты</w:t>
      </w:r>
      <w:r w:rsidR="00977A58" w:rsidRPr="006919D3">
        <w:rPr>
          <w:lang w:val="ru-RU"/>
        </w:rPr>
        <w:t xml:space="preserve">, осуществляемые при </w:t>
      </w:r>
      <w:r w:rsidR="009B6D3F" w:rsidRPr="006919D3">
        <w:rPr>
          <w:lang w:val="ru-RU"/>
        </w:rPr>
        <w:t>предоставлении поддержки зональному отделению различными службами МСЭ, включая региональное отделение, БРЭ и Генеральный секретариат</w:t>
      </w:r>
      <w:r w:rsidR="007625C1" w:rsidRPr="006919D3">
        <w:rPr>
          <w:lang w:val="ru-RU"/>
        </w:rPr>
        <w:t xml:space="preserve">. </w:t>
      </w:r>
      <w:r w:rsidR="009B6D3F" w:rsidRPr="006919D3">
        <w:rPr>
          <w:lang w:val="ru-RU"/>
        </w:rPr>
        <w:t>Новое предлагаемое зональное отделение не будет создавать каких-либо новых косвенных затрат для административных и вспомогательных служб ввиду ограниченного масштаба предлагаемого отделения</w:t>
      </w:r>
      <w:r w:rsidR="007625C1" w:rsidRPr="006919D3">
        <w:rPr>
          <w:lang w:val="ru-RU"/>
        </w:rPr>
        <w:t xml:space="preserve">. </w:t>
      </w:r>
      <w:r w:rsidR="0023520C" w:rsidRPr="006919D3">
        <w:rPr>
          <w:lang w:val="ru-RU"/>
        </w:rPr>
        <w:t>Единственные особые дополнительные затраты будут связаны с аспектами безопасности, в том числе с регулярными посещениями и инспекциями сотрудника безопасности штаб-квартиры МСЭ в новом зональном отделении</w:t>
      </w:r>
      <w:r w:rsidR="007625C1" w:rsidRPr="006919D3">
        <w:rPr>
          <w:lang w:val="ru-RU"/>
        </w:rPr>
        <w:t xml:space="preserve">. </w:t>
      </w:r>
      <w:r w:rsidR="0023520C" w:rsidRPr="006919D3">
        <w:rPr>
          <w:lang w:val="ru-RU"/>
        </w:rPr>
        <w:t>За год текущие дополнительные затраты могут составлять от 10 000 до 20 000 швейцарских франков, в зависимости от характеристик новых помещений</w:t>
      </w:r>
      <w:r w:rsidR="007625C1" w:rsidRPr="006919D3">
        <w:rPr>
          <w:lang w:val="ru-RU"/>
        </w:rPr>
        <w:t>.</w:t>
      </w:r>
    </w:p>
    <w:p w:rsidR="007625C1" w:rsidRPr="006919D3" w:rsidRDefault="008C7A91" w:rsidP="00742E9C">
      <w:pPr>
        <w:rPr>
          <w:lang w:val="ru-RU"/>
        </w:rPr>
      </w:pPr>
      <w:r w:rsidRPr="006919D3">
        <w:rPr>
          <w:lang w:val="ru-RU"/>
        </w:rPr>
        <w:t>26</w:t>
      </w:r>
      <w:r w:rsidRPr="006919D3">
        <w:rPr>
          <w:lang w:val="ru-RU"/>
        </w:rPr>
        <w:tab/>
      </w:r>
      <w:r w:rsidR="0023520C" w:rsidRPr="006919D3">
        <w:rPr>
          <w:lang w:val="ru-RU"/>
        </w:rPr>
        <w:t>Экономия при официальных поездках по Южной Азии из Дели по сравнению с Бангкоком на основе поездок, предпринятых за последние два года, оценивается в 7%</w:t>
      </w:r>
      <w:r w:rsidR="00742E9C" w:rsidRPr="006919D3">
        <w:rPr>
          <w:lang w:val="ru-RU"/>
        </w:rPr>
        <w:t xml:space="preserve"> от общих затрат на авиапоездки</w:t>
      </w:r>
      <w:r w:rsidR="00B97A9E" w:rsidRPr="006919D3">
        <w:rPr>
          <w:lang w:val="ru-RU"/>
        </w:rPr>
        <w:t>.</w:t>
      </w:r>
    </w:p>
    <w:p w:rsidR="007625C1" w:rsidRPr="006919D3" w:rsidRDefault="00742E9C" w:rsidP="00742E9C">
      <w:pPr>
        <w:pStyle w:val="Headingb"/>
        <w:rPr>
          <w:lang w:val="ru-RU"/>
        </w:rPr>
      </w:pPr>
      <w:r w:rsidRPr="006919D3">
        <w:rPr>
          <w:lang w:val="ru-RU"/>
        </w:rPr>
        <w:t>Контрактный статус персонала</w:t>
      </w:r>
    </w:p>
    <w:p w:rsidR="00EA49A9" w:rsidRPr="006919D3" w:rsidRDefault="00742E9C" w:rsidP="00B97A9E">
      <w:pPr>
        <w:rPr>
          <w:lang w:val="ru-RU"/>
        </w:rPr>
      </w:pPr>
      <w:r w:rsidRPr="006919D3">
        <w:rPr>
          <w:lang w:val="ru-RU"/>
        </w:rPr>
        <w:t>Штат зонального отделения будет комплектоваться согласно соответствующей политике МСЭ в отношении региональных и зональных отделений и на основе стандартной структуры, представленной сессии Совета 2012 года в Документе </w:t>
      </w:r>
      <w:hyperlink r:id="rId15" w:history="1">
        <w:r w:rsidR="007625C1" w:rsidRPr="006919D3">
          <w:rPr>
            <w:rStyle w:val="Hyperlink"/>
            <w:lang w:val="ru-RU"/>
          </w:rPr>
          <w:t>C12/25</w:t>
        </w:r>
      </w:hyperlink>
      <w:r w:rsidR="007625C1" w:rsidRPr="006919D3">
        <w:rPr>
          <w:lang w:val="ru-RU"/>
        </w:rPr>
        <w:t xml:space="preserve">. </w:t>
      </w:r>
      <w:r w:rsidRPr="006919D3">
        <w:rPr>
          <w:lang w:val="ru-RU"/>
        </w:rPr>
        <w:t>Процесс подбора персонала будет осуществляться в соответствии с применимыми положениями Положений о персонале и Правил о персонале МСЭ и другими соответствующими текстами</w:t>
      </w:r>
      <w:r w:rsidR="007625C1" w:rsidRPr="006919D3">
        <w:rPr>
          <w:lang w:val="ru-RU"/>
        </w:rPr>
        <w:t xml:space="preserve">. </w:t>
      </w:r>
      <w:r w:rsidRPr="006919D3">
        <w:rPr>
          <w:lang w:val="ru-RU"/>
        </w:rPr>
        <w:t>Конкурс на должности категории специалистов и выше будет проводиться на международном уровне</w:t>
      </w:r>
      <w:r w:rsidR="007625C1" w:rsidRPr="006919D3">
        <w:rPr>
          <w:lang w:val="ru-RU"/>
        </w:rPr>
        <w:t xml:space="preserve">. </w:t>
      </w:r>
      <w:r w:rsidR="00784D89" w:rsidRPr="006919D3">
        <w:rPr>
          <w:color w:val="000000"/>
          <w:lang w:val="ru-RU"/>
        </w:rPr>
        <w:t>Главным соображением при наборе персонала должна быть необходимость обеспечить Союз служащими, соответствующими высшим нормам эффективности, компетентности и добросовестности</w:t>
      </w:r>
      <w:r w:rsidR="007625C1" w:rsidRPr="006919D3">
        <w:rPr>
          <w:lang w:val="ru-RU"/>
        </w:rPr>
        <w:t xml:space="preserve">, </w:t>
      </w:r>
      <w:r w:rsidR="00784D89" w:rsidRPr="006919D3">
        <w:rPr>
          <w:lang w:val="ru-RU"/>
        </w:rPr>
        <w:t xml:space="preserve">при должном учете значения </w:t>
      </w:r>
      <w:r w:rsidR="00784D89" w:rsidRPr="006919D3">
        <w:rPr>
          <w:color w:val="000000"/>
          <w:lang w:val="ru-RU"/>
        </w:rPr>
        <w:t>поддержания географически и гендерно сбалансированного персонала</w:t>
      </w:r>
      <w:r w:rsidR="007625C1" w:rsidRPr="006919D3">
        <w:rPr>
          <w:lang w:val="ru-RU"/>
        </w:rPr>
        <w:t xml:space="preserve">. </w:t>
      </w:r>
      <w:r w:rsidR="00784D89" w:rsidRPr="006919D3">
        <w:rPr>
          <w:lang w:val="ru-RU"/>
        </w:rPr>
        <w:t>Должности в категории общего обслуживания будут заполняться на местном уровне</w:t>
      </w:r>
      <w:r w:rsidR="007625C1" w:rsidRPr="006919D3">
        <w:rPr>
          <w:lang w:val="ru-RU"/>
        </w:rPr>
        <w:t xml:space="preserve">. </w:t>
      </w:r>
      <w:r w:rsidR="008C7A91" w:rsidRPr="006919D3">
        <w:rPr>
          <w:lang w:val="ru-RU"/>
        </w:rPr>
        <w:t xml:space="preserve">При равных характеристиках </w:t>
      </w:r>
      <w:r w:rsidR="0041363F" w:rsidRPr="006919D3">
        <w:rPr>
          <w:lang w:val="ru-RU"/>
        </w:rPr>
        <w:t xml:space="preserve">при </w:t>
      </w:r>
      <w:r w:rsidR="0041363F" w:rsidRPr="006919D3">
        <w:rPr>
          <w:lang w:val="ru-RU"/>
        </w:rPr>
        <w:lastRenderedPageBreak/>
        <w:t xml:space="preserve">отборе кандидатур на должности в этой категории </w:t>
      </w:r>
      <w:r w:rsidR="008C7A91" w:rsidRPr="006919D3">
        <w:rPr>
          <w:lang w:val="ru-RU"/>
        </w:rPr>
        <w:t>следует принимать во внимание желательный баланс между персоналом женского и мужского пола</w:t>
      </w:r>
      <w:r w:rsidR="007625C1" w:rsidRPr="006919D3">
        <w:rPr>
          <w:lang w:val="ru-RU"/>
        </w:rPr>
        <w:t xml:space="preserve">. </w:t>
      </w:r>
      <w:r w:rsidR="00784D89" w:rsidRPr="006919D3">
        <w:rPr>
          <w:lang w:val="ru-RU"/>
        </w:rPr>
        <w:t xml:space="preserve">С отобранными кандидатами будут заключаться </w:t>
      </w:r>
      <w:r w:rsidR="00E605E9" w:rsidRPr="006919D3">
        <w:rPr>
          <w:lang w:val="ru-RU"/>
        </w:rPr>
        <w:t>срочные контракты на первоначальный период в два года с возможностью продления на два дополнительных года</w:t>
      </w:r>
      <w:r w:rsidR="007625C1" w:rsidRPr="006919D3">
        <w:rPr>
          <w:lang w:val="ru-RU"/>
        </w:rPr>
        <w:t xml:space="preserve">. </w:t>
      </w:r>
      <w:r w:rsidR="00E605E9" w:rsidRPr="006919D3">
        <w:rPr>
          <w:lang w:val="ru-RU"/>
        </w:rPr>
        <w:t>Дальнейшее продление будет зависеть от подтверждения сохраняющейся необходимости в функциях и наличия финансирования</w:t>
      </w:r>
      <w:r w:rsidR="007625C1" w:rsidRPr="006919D3">
        <w:rPr>
          <w:lang w:val="ru-RU"/>
        </w:rPr>
        <w:t>.</w:t>
      </w:r>
    </w:p>
    <w:p w:rsidR="00B97A9E" w:rsidRPr="006919D3" w:rsidRDefault="00B97A9E" w:rsidP="00B97A9E">
      <w:pPr>
        <w:spacing w:before="480"/>
        <w:jc w:val="center"/>
        <w:rPr>
          <w:lang w:val="ru-RU"/>
        </w:rPr>
      </w:pPr>
      <w:r w:rsidRPr="006919D3">
        <w:rPr>
          <w:lang w:val="ru-RU"/>
        </w:rPr>
        <w:t>______________</w:t>
      </w:r>
    </w:p>
    <w:sectPr w:rsidR="00B97A9E" w:rsidRPr="006919D3" w:rsidSect="004D1851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23" w:rsidRDefault="003A4423">
      <w:r>
        <w:separator/>
      </w:r>
    </w:p>
  </w:endnote>
  <w:endnote w:type="continuationSeparator" w:id="0">
    <w:p w:rsidR="003A4423" w:rsidRDefault="003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1D" w:rsidRPr="00E365CC" w:rsidRDefault="006919D3" w:rsidP="0020274A">
    <w:pPr>
      <w:pStyle w:val="Footer"/>
      <w:rPr>
        <w:color w:val="BFBFBF" w:themeColor="background1" w:themeShade="BF"/>
      </w:rPr>
    </w:pPr>
    <w:r w:rsidRPr="00E365CC">
      <w:rPr>
        <w:color w:val="BFBFBF" w:themeColor="background1" w:themeShade="BF"/>
      </w:rPr>
      <w:fldChar w:fldCharType="begin"/>
    </w:r>
    <w:r w:rsidRPr="00E365CC">
      <w:rPr>
        <w:color w:val="BFBFBF" w:themeColor="background1" w:themeShade="BF"/>
      </w:rPr>
      <w:instrText xml:space="preserve"> FILENAME \p  \* MERGEFORMAT </w:instrText>
    </w:r>
    <w:r w:rsidRPr="00E365CC">
      <w:rPr>
        <w:color w:val="BFBFBF" w:themeColor="background1" w:themeShade="BF"/>
      </w:rPr>
      <w:fldChar w:fldCharType="separate"/>
    </w:r>
    <w:r w:rsidR="00DA4215" w:rsidRPr="00E365CC">
      <w:rPr>
        <w:color w:val="BFBFBF" w:themeColor="background1" w:themeShade="BF"/>
      </w:rPr>
      <w:t>P:\RUS\SG\CONSEIL\C18\100\122R.docx</w:t>
    </w:r>
    <w:r w:rsidRPr="00E365CC">
      <w:rPr>
        <w:color w:val="BFBFBF" w:themeColor="background1" w:themeShade="BF"/>
      </w:rPr>
      <w:fldChar w:fldCharType="end"/>
    </w:r>
    <w:r w:rsidR="00EB0B1D" w:rsidRPr="00E365CC">
      <w:rPr>
        <w:color w:val="BFBFBF" w:themeColor="background1" w:themeShade="BF"/>
      </w:rPr>
      <w:t xml:space="preserve"> (</w:t>
    </w:r>
    <w:r w:rsidR="0020274A" w:rsidRPr="00E365CC">
      <w:rPr>
        <w:color w:val="BFBFBF" w:themeColor="background1" w:themeShade="BF"/>
        <w:lang w:val="fr-CH"/>
      </w:rPr>
      <w:t>438482</w:t>
    </w:r>
    <w:r w:rsidR="00EB0B1D" w:rsidRPr="00E365CC">
      <w:rPr>
        <w:color w:val="BFBFBF" w:themeColor="background1" w:themeShade="BF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EB" w:rsidRPr="007612C6" w:rsidRDefault="001823EB">
    <w:pPr>
      <w:spacing w:after="120"/>
      <w:jc w:val="center"/>
      <w:rPr>
        <w:szCs w:val="22"/>
      </w:rPr>
    </w:pPr>
    <w:r w:rsidRPr="007612C6">
      <w:rPr>
        <w:szCs w:val="22"/>
      </w:rPr>
      <w:t xml:space="preserve">• </w:t>
    </w:r>
    <w:hyperlink r:id="rId1" w:history="1">
      <w:r w:rsidRPr="007612C6">
        <w:rPr>
          <w:rStyle w:val="Hyperlink"/>
          <w:szCs w:val="22"/>
        </w:rPr>
        <w:t>http://www.itu.int/council</w:t>
      </w:r>
    </w:hyperlink>
    <w:r w:rsidRPr="007612C6">
      <w:rPr>
        <w:szCs w:val="22"/>
      </w:rPr>
      <w:t xml:space="preserve"> •</w:t>
    </w:r>
  </w:p>
  <w:p w:rsidR="001823EB" w:rsidRPr="003B2EEA" w:rsidRDefault="006919D3" w:rsidP="0020274A">
    <w:pPr>
      <w:pStyle w:val="Footer"/>
    </w:pPr>
    <w:fldSimple w:instr=" FILENAME \p  \* MERGEFORMAT ">
      <w:r w:rsidR="00DA4215">
        <w:t>P:\RUS\SG\CONSEIL\C18\100\122R.docx</w:t>
      </w:r>
    </w:fldSimple>
    <w:r w:rsidR="00EB0B1D">
      <w:t xml:space="preserve"> (</w:t>
    </w:r>
    <w:r w:rsidR="0020274A" w:rsidRPr="00C06178">
      <w:rPr>
        <w:lang w:val="fr-CH"/>
      </w:rPr>
      <w:t>438482</w:t>
    </w:r>
    <w:r w:rsidR="00EB0B1D" w:rsidRPr="00EB0B1D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23" w:rsidRDefault="003A4423">
      <w:r>
        <w:t>____________________</w:t>
      </w:r>
    </w:p>
  </w:footnote>
  <w:footnote w:type="continuationSeparator" w:id="0">
    <w:p w:rsidR="003A4423" w:rsidRDefault="003A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EB" w:rsidRDefault="001823EB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A1675">
      <w:rPr>
        <w:noProof/>
      </w:rPr>
      <w:t>6</w:t>
    </w:r>
    <w:r>
      <w:rPr>
        <w:noProof/>
      </w:rPr>
      <w:fldChar w:fldCharType="end"/>
    </w:r>
  </w:p>
  <w:p w:rsidR="001823EB" w:rsidRPr="00623AE3" w:rsidRDefault="001823EB" w:rsidP="0020274A">
    <w:pPr>
      <w:pStyle w:val="Header"/>
      <w:rPr>
        <w:bCs/>
      </w:rPr>
    </w:pPr>
    <w:r w:rsidRPr="00623AE3">
      <w:rPr>
        <w:bCs/>
      </w:rPr>
      <w:t>C18/</w:t>
    </w:r>
    <w:r w:rsidR="0020274A">
      <w:rPr>
        <w:bCs/>
        <w:lang w:val="ru-RU"/>
      </w:rPr>
      <w:t>122</w:t>
    </w:r>
    <w:r w:rsidRPr="00623AE3">
      <w:rPr>
        <w:bCs/>
      </w:rPr>
      <w:t>-</w:t>
    </w:r>
    <w:r>
      <w:rPr>
        <w:bCs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E2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D42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E0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CF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FE3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C1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89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61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AF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B5132"/>
    <w:multiLevelType w:val="multilevel"/>
    <w:tmpl w:val="4C5A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AA048C"/>
    <w:multiLevelType w:val="hybridMultilevel"/>
    <w:tmpl w:val="5E3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30D99"/>
    <w:multiLevelType w:val="hybridMultilevel"/>
    <w:tmpl w:val="9982B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35E5F"/>
    <w:multiLevelType w:val="hybridMultilevel"/>
    <w:tmpl w:val="C54EE04C"/>
    <w:lvl w:ilvl="0" w:tplc="6E60D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D2213"/>
    <w:multiLevelType w:val="hybridMultilevel"/>
    <w:tmpl w:val="9C9C8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6134B"/>
    <w:multiLevelType w:val="hybridMultilevel"/>
    <w:tmpl w:val="85A482D0"/>
    <w:lvl w:ilvl="0" w:tplc="8154E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3008F"/>
    <w:multiLevelType w:val="hybridMultilevel"/>
    <w:tmpl w:val="4D7CE4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5FD"/>
    <w:multiLevelType w:val="hybridMultilevel"/>
    <w:tmpl w:val="9D0C6890"/>
    <w:lvl w:ilvl="0" w:tplc="67269DD4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7E201A0C" w:tentative="1">
      <w:start w:val="1"/>
      <w:numFmt w:val="lowerLetter"/>
      <w:lvlText w:val="%2."/>
      <w:lvlJc w:val="left"/>
      <w:pPr>
        <w:ind w:left="1506" w:hanging="360"/>
      </w:pPr>
    </w:lvl>
    <w:lvl w:ilvl="2" w:tplc="C27CA87E" w:tentative="1">
      <w:start w:val="1"/>
      <w:numFmt w:val="lowerRoman"/>
      <w:lvlText w:val="%3."/>
      <w:lvlJc w:val="right"/>
      <w:pPr>
        <w:ind w:left="2226" w:hanging="180"/>
      </w:pPr>
    </w:lvl>
    <w:lvl w:ilvl="3" w:tplc="587AA326" w:tentative="1">
      <w:start w:val="1"/>
      <w:numFmt w:val="decimal"/>
      <w:lvlText w:val="%4."/>
      <w:lvlJc w:val="left"/>
      <w:pPr>
        <w:ind w:left="2946" w:hanging="360"/>
      </w:pPr>
    </w:lvl>
    <w:lvl w:ilvl="4" w:tplc="89F8559E" w:tentative="1">
      <w:start w:val="1"/>
      <w:numFmt w:val="lowerLetter"/>
      <w:lvlText w:val="%5."/>
      <w:lvlJc w:val="left"/>
      <w:pPr>
        <w:ind w:left="3666" w:hanging="360"/>
      </w:pPr>
    </w:lvl>
    <w:lvl w:ilvl="5" w:tplc="06600CF0" w:tentative="1">
      <w:start w:val="1"/>
      <w:numFmt w:val="lowerRoman"/>
      <w:lvlText w:val="%6."/>
      <w:lvlJc w:val="right"/>
      <w:pPr>
        <w:ind w:left="4386" w:hanging="180"/>
      </w:pPr>
    </w:lvl>
    <w:lvl w:ilvl="6" w:tplc="B5203C9A" w:tentative="1">
      <w:start w:val="1"/>
      <w:numFmt w:val="decimal"/>
      <w:lvlText w:val="%7."/>
      <w:lvlJc w:val="left"/>
      <w:pPr>
        <w:ind w:left="5106" w:hanging="360"/>
      </w:pPr>
    </w:lvl>
    <w:lvl w:ilvl="7" w:tplc="2B3E62B8" w:tentative="1">
      <w:start w:val="1"/>
      <w:numFmt w:val="lowerLetter"/>
      <w:lvlText w:val="%8."/>
      <w:lvlJc w:val="left"/>
      <w:pPr>
        <w:ind w:left="5826" w:hanging="360"/>
      </w:pPr>
    </w:lvl>
    <w:lvl w:ilvl="8" w:tplc="9ACE711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327F"/>
    <w:rsid w:val="000210D4"/>
    <w:rsid w:val="000449D4"/>
    <w:rsid w:val="00063016"/>
    <w:rsid w:val="00064FDF"/>
    <w:rsid w:val="00066795"/>
    <w:rsid w:val="00076AF6"/>
    <w:rsid w:val="00085CF2"/>
    <w:rsid w:val="000A6CFD"/>
    <w:rsid w:val="000B1705"/>
    <w:rsid w:val="000B2017"/>
    <w:rsid w:val="000D75B2"/>
    <w:rsid w:val="000E2A4C"/>
    <w:rsid w:val="000F28B7"/>
    <w:rsid w:val="001121F5"/>
    <w:rsid w:val="001273F2"/>
    <w:rsid w:val="0013157E"/>
    <w:rsid w:val="001400DC"/>
    <w:rsid w:val="001408E7"/>
    <w:rsid w:val="00140CE1"/>
    <w:rsid w:val="0017539C"/>
    <w:rsid w:val="00175AC2"/>
    <w:rsid w:val="0017609F"/>
    <w:rsid w:val="0018013D"/>
    <w:rsid w:val="001823EB"/>
    <w:rsid w:val="00183649"/>
    <w:rsid w:val="001859E0"/>
    <w:rsid w:val="001C2143"/>
    <w:rsid w:val="001C628E"/>
    <w:rsid w:val="001D2DAF"/>
    <w:rsid w:val="001E0F7B"/>
    <w:rsid w:val="0020274A"/>
    <w:rsid w:val="0020387E"/>
    <w:rsid w:val="00205CC2"/>
    <w:rsid w:val="002078B4"/>
    <w:rsid w:val="002119FD"/>
    <w:rsid w:val="002130E0"/>
    <w:rsid w:val="00230F6E"/>
    <w:rsid w:val="0023520C"/>
    <w:rsid w:val="00260E30"/>
    <w:rsid w:val="00264425"/>
    <w:rsid w:val="00265875"/>
    <w:rsid w:val="0027303B"/>
    <w:rsid w:val="0028109B"/>
    <w:rsid w:val="002A2188"/>
    <w:rsid w:val="002B1F58"/>
    <w:rsid w:val="002C1C7A"/>
    <w:rsid w:val="002D46A3"/>
    <w:rsid w:val="002D51B2"/>
    <w:rsid w:val="0030160F"/>
    <w:rsid w:val="00305826"/>
    <w:rsid w:val="00310E0A"/>
    <w:rsid w:val="00322D0D"/>
    <w:rsid w:val="00340F56"/>
    <w:rsid w:val="00350C95"/>
    <w:rsid w:val="0035199A"/>
    <w:rsid w:val="00353278"/>
    <w:rsid w:val="00362ECF"/>
    <w:rsid w:val="003942D4"/>
    <w:rsid w:val="003958A8"/>
    <w:rsid w:val="003A4423"/>
    <w:rsid w:val="003B2EEA"/>
    <w:rsid w:val="003C2533"/>
    <w:rsid w:val="003F60F4"/>
    <w:rsid w:val="003F7152"/>
    <w:rsid w:val="0040435A"/>
    <w:rsid w:val="0041363F"/>
    <w:rsid w:val="00414732"/>
    <w:rsid w:val="00416A24"/>
    <w:rsid w:val="00431D9E"/>
    <w:rsid w:val="00433CE8"/>
    <w:rsid w:val="00434A5C"/>
    <w:rsid w:val="00440A4E"/>
    <w:rsid w:val="004544D9"/>
    <w:rsid w:val="00490E72"/>
    <w:rsid w:val="00491157"/>
    <w:rsid w:val="004921C8"/>
    <w:rsid w:val="004A2CD0"/>
    <w:rsid w:val="004B4DA4"/>
    <w:rsid w:val="004C7263"/>
    <w:rsid w:val="004D1851"/>
    <w:rsid w:val="004D599D"/>
    <w:rsid w:val="004E2EA5"/>
    <w:rsid w:val="004E3AEB"/>
    <w:rsid w:val="004E5ECC"/>
    <w:rsid w:val="004F222C"/>
    <w:rsid w:val="0050223C"/>
    <w:rsid w:val="005243FF"/>
    <w:rsid w:val="0054691A"/>
    <w:rsid w:val="00564FBC"/>
    <w:rsid w:val="00582442"/>
    <w:rsid w:val="0058686C"/>
    <w:rsid w:val="005A301A"/>
    <w:rsid w:val="005B0E60"/>
    <w:rsid w:val="005F3269"/>
    <w:rsid w:val="005F4892"/>
    <w:rsid w:val="00623AE3"/>
    <w:rsid w:val="006450CE"/>
    <w:rsid w:val="0064737F"/>
    <w:rsid w:val="006535F1"/>
    <w:rsid w:val="00654BC0"/>
    <w:rsid w:val="0065557D"/>
    <w:rsid w:val="00662984"/>
    <w:rsid w:val="006716BB"/>
    <w:rsid w:val="0067748E"/>
    <w:rsid w:val="006919D3"/>
    <w:rsid w:val="006B6680"/>
    <w:rsid w:val="006B6DCC"/>
    <w:rsid w:val="006C02A6"/>
    <w:rsid w:val="007024DA"/>
    <w:rsid w:val="00702DEF"/>
    <w:rsid w:val="00706861"/>
    <w:rsid w:val="00707B6E"/>
    <w:rsid w:val="00711F2D"/>
    <w:rsid w:val="00733231"/>
    <w:rsid w:val="00742E9C"/>
    <w:rsid w:val="0075051B"/>
    <w:rsid w:val="007612C6"/>
    <w:rsid w:val="007625C1"/>
    <w:rsid w:val="00765016"/>
    <w:rsid w:val="00784D89"/>
    <w:rsid w:val="00786AAC"/>
    <w:rsid w:val="00793188"/>
    <w:rsid w:val="00794D34"/>
    <w:rsid w:val="007A73FD"/>
    <w:rsid w:val="007C3481"/>
    <w:rsid w:val="00813E5E"/>
    <w:rsid w:val="00833F2D"/>
    <w:rsid w:val="0083581B"/>
    <w:rsid w:val="00855C21"/>
    <w:rsid w:val="00864AFF"/>
    <w:rsid w:val="00896A1F"/>
    <w:rsid w:val="008A1675"/>
    <w:rsid w:val="008B4A6A"/>
    <w:rsid w:val="008B7DB3"/>
    <w:rsid w:val="008C7A91"/>
    <w:rsid w:val="008C7B3C"/>
    <w:rsid w:val="008C7E27"/>
    <w:rsid w:val="00900D7F"/>
    <w:rsid w:val="009173EF"/>
    <w:rsid w:val="00932906"/>
    <w:rsid w:val="00955324"/>
    <w:rsid w:val="00961B0B"/>
    <w:rsid w:val="00977A58"/>
    <w:rsid w:val="009A1760"/>
    <w:rsid w:val="009B38C3"/>
    <w:rsid w:val="009B6D3F"/>
    <w:rsid w:val="009D53AA"/>
    <w:rsid w:val="009E17BD"/>
    <w:rsid w:val="009E485A"/>
    <w:rsid w:val="00A04CEC"/>
    <w:rsid w:val="00A11454"/>
    <w:rsid w:val="00A16A33"/>
    <w:rsid w:val="00A21B67"/>
    <w:rsid w:val="00A27F92"/>
    <w:rsid w:val="00A32257"/>
    <w:rsid w:val="00A36D20"/>
    <w:rsid w:val="00A4100F"/>
    <w:rsid w:val="00A46E6D"/>
    <w:rsid w:val="00A55622"/>
    <w:rsid w:val="00A83502"/>
    <w:rsid w:val="00AA48B0"/>
    <w:rsid w:val="00AC4C83"/>
    <w:rsid w:val="00AC7CDA"/>
    <w:rsid w:val="00AD15B3"/>
    <w:rsid w:val="00AD3F73"/>
    <w:rsid w:val="00AE1CFD"/>
    <w:rsid w:val="00AF0BF6"/>
    <w:rsid w:val="00AF6E49"/>
    <w:rsid w:val="00B04A67"/>
    <w:rsid w:val="00B0583C"/>
    <w:rsid w:val="00B40A81"/>
    <w:rsid w:val="00B44910"/>
    <w:rsid w:val="00B45E01"/>
    <w:rsid w:val="00B72267"/>
    <w:rsid w:val="00B76EB6"/>
    <w:rsid w:val="00B7737B"/>
    <w:rsid w:val="00B824C8"/>
    <w:rsid w:val="00B8600F"/>
    <w:rsid w:val="00B97A9E"/>
    <w:rsid w:val="00BA34BD"/>
    <w:rsid w:val="00BC251A"/>
    <w:rsid w:val="00BD032B"/>
    <w:rsid w:val="00BE2640"/>
    <w:rsid w:val="00BF19D6"/>
    <w:rsid w:val="00C01189"/>
    <w:rsid w:val="00C02190"/>
    <w:rsid w:val="00C06178"/>
    <w:rsid w:val="00C071D1"/>
    <w:rsid w:val="00C21717"/>
    <w:rsid w:val="00C27D1E"/>
    <w:rsid w:val="00C374DE"/>
    <w:rsid w:val="00C443DE"/>
    <w:rsid w:val="00C47AD4"/>
    <w:rsid w:val="00C51DF5"/>
    <w:rsid w:val="00C52D81"/>
    <w:rsid w:val="00C55198"/>
    <w:rsid w:val="00C61DF7"/>
    <w:rsid w:val="00C861A6"/>
    <w:rsid w:val="00CA55DF"/>
    <w:rsid w:val="00CA6393"/>
    <w:rsid w:val="00CB18FF"/>
    <w:rsid w:val="00CD0C08"/>
    <w:rsid w:val="00CD220D"/>
    <w:rsid w:val="00CE03FB"/>
    <w:rsid w:val="00CE433C"/>
    <w:rsid w:val="00CE529A"/>
    <w:rsid w:val="00CF33F3"/>
    <w:rsid w:val="00D04E39"/>
    <w:rsid w:val="00D06183"/>
    <w:rsid w:val="00D17B4B"/>
    <w:rsid w:val="00D22C42"/>
    <w:rsid w:val="00D234E7"/>
    <w:rsid w:val="00D45839"/>
    <w:rsid w:val="00D65041"/>
    <w:rsid w:val="00DA4215"/>
    <w:rsid w:val="00DB2062"/>
    <w:rsid w:val="00DB384B"/>
    <w:rsid w:val="00DB45C6"/>
    <w:rsid w:val="00DD6BE6"/>
    <w:rsid w:val="00E06992"/>
    <w:rsid w:val="00E10E80"/>
    <w:rsid w:val="00E124F0"/>
    <w:rsid w:val="00E1375A"/>
    <w:rsid w:val="00E34259"/>
    <w:rsid w:val="00E365CC"/>
    <w:rsid w:val="00E605E9"/>
    <w:rsid w:val="00E60F04"/>
    <w:rsid w:val="00E854E4"/>
    <w:rsid w:val="00E93799"/>
    <w:rsid w:val="00E9399F"/>
    <w:rsid w:val="00EA49A9"/>
    <w:rsid w:val="00EA539D"/>
    <w:rsid w:val="00EA6DD0"/>
    <w:rsid w:val="00EB0B1D"/>
    <w:rsid w:val="00EB0D6F"/>
    <w:rsid w:val="00EB2232"/>
    <w:rsid w:val="00EC5337"/>
    <w:rsid w:val="00ED77DF"/>
    <w:rsid w:val="00F13265"/>
    <w:rsid w:val="00F2150A"/>
    <w:rsid w:val="00F21A3C"/>
    <w:rsid w:val="00F231D8"/>
    <w:rsid w:val="00F2480C"/>
    <w:rsid w:val="00F417BD"/>
    <w:rsid w:val="00F46C5F"/>
    <w:rsid w:val="00F94A63"/>
    <w:rsid w:val="00FA1C28"/>
    <w:rsid w:val="00FA3661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FD6F36D-6951-4413-83E8-4FAB08C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17B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417B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417B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417B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417BD"/>
    <w:pPr>
      <w:outlineLvl w:val="4"/>
    </w:pPr>
  </w:style>
  <w:style w:type="paragraph" w:styleId="Heading6">
    <w:name w:val="heading 6"/>
    <w:basedOn w:val="Heading4"/>
    <w:next w:val="Normal"/>
    <w:qFormat/>
    <w:rsid w:val="00F417BD"/>
    <w:pPr>
      <w:outlineLvl w:val="5"/>
    </w:pPr>
  </w:style>
  <w:style w:type="paragraph" w:styleId="Heading7">
    <w:name w:val="heading 7"/>
    <w:basedOn w:val="Heading6"/>
    <w:next w:val="Normal"/>
    <w:qFormat/>
    <w:rsid w:val="00F417BD"/>
    <w:pPr>
      <w:outlineLvl w:val="6"/>
    </w:pPr>
  </w:style>
  <w:style w:type="paragraph" w:styleId="Heading8">
    <w:name w:val="heading 8"/>
    <w:basedOn w:val="Heading6"/>
    <w:next w:val="Normal"/>
    <w:qFormat/>
    <w:rsid w:val="00F417BD"/>
    <w:pPr>
      <w:outlineLvl w:val="7"/>
    </w:pPr>
  </w:style>
  <w:style w:type="paragraph" w:styleId="Heading9">
    <w:name w:val="heading 9"/>
    <w:basedOn w:val="Heading6"/>
    <w:next w:val="Normal"/>
    <w:qFormat/>
    <w:rsid w:val="00F417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417BD"/>
  </w:style>
  <w:style w:type="paragraph" w:styleId="TOC4">
    <w:name w:val="toc 4"/>
    <w:basedOn w:val="TOC3"/>
    <w:rsid w:val="00F417BD"/>
    <w:pPr>
      <w:spacing w:before="80"/>
    </w:pPr>
  </w:style>
  <w:style w:type="paragraph" w:styleId="TOC3">
    <w:name w:val="toc 3"/>
    <w:basedOn w:val="TOC2"/>
    <w:rsid w:val="00F417BD"/>
  </w:style>
  <w:style w:type="paragraph" w:styleId="TOC2">
    <w:name w:val="toc 2"/>
    <w:basedOn w:val="TOC1"/>
    <w:rsid w:val="00F417BD"/>
    <w:pPr>
      <w:spacing w:before="160"/>
    </w:pPr>
  </w:style>
  <w:style w:type="paragraph" w:styleId="TOC1">
    <w:name w:val="toc 1"/>
    <w:basedOn w:val="Normal"/>
    <w:rsid w:val="00F417B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417BD"/>
  </w:style>
  <w:style w:type="paragraph" w:styleId="TOC6">
    <w:name w:val="toc 6"/>
    <w:basedOn w:val="TOC4"/>
    <w:rsid w:val="00F417BD"/>
  </w:style>
  <w:style w:type="paragraph" w:styleId="TOC5">
    <w:name w:val="toc 5"/>
    <w:basedOn w:val="TOC4"/>
    <w:rsid w:val="00F417BD"/>
  </w:style>
  <w:style w:type="paragraph" w:styleId="Index7">
    <w:name w:val="index 7"/>
    <w:basedOn w:val="Normal"/>
    <w:next w:val="Normal"/>
    <w:rsid w:val="00F417BD"/>
    <w:pPr>
      <w:ind w:left="1698"/>
    </w:pPr>
  </w:style>
  <w:style w:type="paragraph" w:styleId="Index6">
    <w:name w:val="index 6"/>
    <w:basedOn w:val="Normal"/>
    <w:next w:val="Normal"/>
    <w:rsid w:val="00F417BD"/>
    <w:pPr>
      <w:ind w:left="1415"/>
    </w:pPr>
  </w:style>
  <w:style w:type="paragraph" w:styleId="Index5">
    <w:name w:val="index 5"/>
    <w:basedOn w:val="Normal"/>
    <w:next w:val="Normal"/>
    <w:rsid w:val="00F417BD"/>
    <w:pPr>
      <w:ind w:left="1132"/>
    </w:pPr>
  </w:style>
  <w:style w:type="paragraph" w:styleId="Index4">
    <w:name w:val="index 4"/>
    <w:basedOn w:val="Normal"/>
    <w:next w:val="Normal"/>
    <w:rsid w:val="00F417BD"/>
    <w:pPr>
      <w:ind w:left="849"/>
    </w:pPr>
  </w:style>
  <w:style w:type="paragraph" w:styleId="Index3">
    <w:name w:val="index 3"/>
    <w:basedOn w:val="Normal"/>
    <w:next w:val="Normal"/>
    <w:rsid w:val="00F417BD"/>
    <w:pPr>
      <w:ind w:left="566"/>
    </w:pPr>
  </w:style>
  <w:style w:type="paragraph" w:styleId="Index2">
    <w:name w:val="index 2"/>
    <w:basedOn w:val="Normal"/>
    <w:next w:val="Normal"/>
    <w:rsid w:val="00F417BD"/>
    <w:pPr>
      <w:ind w:left="283"/>
    </w:pPr>
  </w:style>
  <w:style w:type="paragraph" w:styleId="Index1">
    <w:name w:val="index 1"/>
    <w:basedOn w:val="Normal"/>
    <w:next w:val="Normal"/>
    <w:rsid w:val="00F417BD"/>
  </w:style>
  <w:style w:type="character" w:styleId="LineNumber">
    <w:name w:val="line number"/>
    <w:basedOn w:val="DefaultParagraphFont"/>
    <w:rsid w:val="00F417BD"/>
  </w:style>
  <w:style w:type="paragraph" w:styleId="IndexHeading">
    <w:name w:val="index heading"/>
    <w:basedOn w:val="Normal"/>
    <w:next w:val="Index1"/>
    <w:rsid w:val="00F417BD"/>
  </w:style>
  <w:style w:type="paragraph" w:styleId="Footer">
    <w:name w:val="footer"/>
    <w:basedOn w:val="Normal"/>
    <w:rsid w:val="00F417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417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417B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417B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417BD"/>
    <w:pPr>
      <w:ind w:left="794"/>
    </w:pPr>
  </w:style>
  <w:style w:type="paragraph" w:customStyle="1" w:styleId="enumlev1">
    <w:name w:val="enumlev1"/>
    <w:basedOn w:val="Normal"/>
    <w:rsid w:val="00F417B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417BD"/>
    <w:pPr>
      <w:ind w:left="1191" w:hanging="397"/>
    </w:pPr>
  </w:style>
  <w:style w:type="paragraph" w:customStyle="1" w:styleId="enumlev3">
    <w:name w:val="enumlev3"/>
    <w:basedOn w:val="enumlev2"/>
    <w:rsid w:val="00F417BD"/>
    <w:pPr>
      <w:ind w:left="1588"/>
    </w:pPr>
  </w:style>
  <w:style w:type="paragraph" w:customStyle="1" w:styleId="Normalaftertitle">
    <w:name w:val="Normal after title"/>
    <w:basedOn w:val="Normal"/>
    <w:next w:val="Normal"/>
    <w:rsid w:val="00F417BD"/>
    <w:pPr>
      <w:spacing w:before="320"/>
    </w:pPr>
  </w:style>
  <w:style w:type="paragraph" w:customStyle="1" w:styleId="Equation">
    <w:name w:val="Equation"/>
    <w:basedOn w:val="Normal"/>
    <w:rsid w:val="00F417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417B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417B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417B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417B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F417B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417B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417B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417BD"/>
  </w:style>
  <w:style w:type="paragraph" w:customStyle="1" w:styleId="Data">
    <w:name w:val="Data"/>
    <w:basedOn w:val="Subject"/>
    <w:next w:val="Subject"/>
    <w:rsid w:val="00F417BD"/>
  </w:style>
  <w:style w:type="paragraph" w:customStyle="1" w:styleId="Reasons">
    <w:name w:val="Reasons"/>
    <w:basedOn w:val="Normal"/>
    <w:qFormat/>
    <w:rsid w:val="00F417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417BD"/>
    <w:rPr>
      <w:color w:val="0000FF"/>
      <w:u w:val="single"/>
    </w:rPr>
  </w:style>
  <w:style w:type="paragraph" w:customStyle="1" w:styleId="FirstFooter">
    <w:name w:val="FirstFooter"/>
    <w:basedOn w:val="Footer"/>
    <w:rsid w:val="00F417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417B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417BD"/>
  </w:style>
  <w:style w:type="paragraph" w:customStyle="1" w:styleId="Headingb">
    <w:name w:val="Heading_b"/>
    <w:basedOn w:val="Heading3"/>
    <w:next w:val="Normal"/>
    <w:rsid w:val="00F417B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417B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417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17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17B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17BD"/>
    <w:rPr>
      <w:b/>
    </w:rPr>
  </w:style>
  <w:style w:type="paragraph" w:customStyle="1" w:styleId="dnum">
    <w:name w:val="dnum"/>
    <w:basedOn w:val="Normal"/>
    <w:rsid w:val="00F417B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417B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417B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417B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417B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417B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417BD"/>
  </w:style>
  <w:style w:type="paragraph" w:customStyle="1" w:styleId="Appendixtitle">
    <w:name w:val="Appendix_title"/>
    <w:basedOn w:val="Annextitle"/>
    <w:next w:val="Appendixref"/>
    <w:rsid w:val="00F417BD"/>
  </w:style>
  <w:style w:type="paragraph" w:customStyle="1" w:styleId="Appendixref">
    <w:name w:val="Appendix_ref"/>
    <w:basedOn w:val="Annexref"/>
    <w:next w:val="Normalaftertitle"/>
    <w:rsid w:val="00F417BD"/>
  </w:style>
  <w:style w:type="paragraph" w:customStyle="1" w:styleId="Call">
    <w:name w:val="Call"/>
    <w:basedOn w:val="Normal"/>
    <w:next w:val="Normal"/>
    <w:rsid w:val="00F417B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F417B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417B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417B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417B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417B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417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417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417B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417B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417B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417B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417BD"/>
  </w:style>
  <w:style w:type="paragraph" w:customStyle="1" w:styleId="Parttitle">
    <w:name w:val="Part_title"/>
    <w:basedOn w:val="Annextitle"/>
    <w:next w:val="Partref"/>
    <w:rsid w:val="00F417BD"/>
  </w:style>
  <w:style w:type="paragraph" w:customStyle="1" w:styleId="Partref">
    <w:name w:val="Part_ref"/>
    <w:basedOn w:val="Annexref"/>
    <w:next w:val="Normalaftertitle"/>
    <w:rsid w:val="00F417BD"/>
  </w:style>
  <w:style w:type="paragraph" w:customStyle="1" w:styleId="RecNo">
    <w:name w:val="Rec_No"/>
    <w:basedOn w:val="Normal"/>
    <w:next w:val="Rectitle"/>
    <w:rsid w:val="00F417B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417B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17B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417B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417BD"/>
  </w:style>
  <w:style w:type="paragraph" w:customStyle="1" w:styleId="QuestionNo">
    <w:name w:val="Question_No"/>
    <w:basedOn w:val="RecNo"/>
    <w:next w:val="Questiontitle"/>
    <w:rsid w:val="00F417BD"/>
  </w:style>
  <w:style w:type="paragraph" w:customStyle="1" w:styleId="Questionref">
    <w:name w:val="Question_ref"/>
    <w:basedOn w:val="Recref"/>
    <w:next w:val="Questiondate"/>
    <w:rsid w:val="00F417BD"/>
  </w:style>
  <w:style w:type="paragraph" w:customStyle="1" w:styleId="Questiontitle">
    <w:name w:val="Question_title"/>
    <w:basedOn w:val="Rectitle"/>
    <w:next w:val="Questionref"/>
    <w:rsid w:val="00F417BD"/>
  </w:style>
  <w:style w:type="paragraph" w:customStyle="1" w:styleId="Reftext">
    <w:name w:val="Ref_text"/>
    <w:basedOn w:val="Normal"/>
    <w:rsid w:val="00F417BD"/>
    <w:pPr>
      <w:ind w:left="794" w:hanging="794"/>
    </w:pPr>
  </w:style>
  <w:style w:type="paragraph" w:customStyle="1" w:styleId="Reftitle">
    <w:name w:val="Ref_title"/>
    <w:basedOn w:val="Normal"/>
    <w:next w:val="Reftext"/>
    <w:rsid w:val="00F417B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417BD"/>
  </w:style>
  <w:style w:type="paragraph" w:customStyle="1" w:styleId="RepNo">
    <w:name w:val="Rep_No"/>
    <w:basedOn w:val="RecNo"/>
    <w:next w:val="Reptitle"/>
    <w:rsid w:val="00F417BD"/>
  </w:style>
  <w:style w:type="paragraph" w:customStyle="1" w:styleId="Reptitle">
    <w:name w:val="Rep_title"/>
    <w:basedOn w:val="Rectitle"/>
    <w:next w:val="Repref"/>
    <w:rsid w:val="00F417BD"/>
  </w:style>
  <w:style w:type="paragraph" w:customStyle="1" w:styleId="Repref">
    <w:name w:val="Rep_ref"/>
    <w:basedOn w:val="Recref"/>
    <w:next w:val="Repdate"/>
    <w:rsid w:val="00F417BD"/>
  </w:style>
  <w:style w:type="paragraph" w:customStyle="1" w:styleId="Resdate">
    <w:name w:val="Res_date"/>
    <w:basedOn w:val="Recdate"/>
    <w:next w:val="Normalaftertitle"/>
    <w:rsid w:val="00F417BD"/>
  </w:style>
  <w:style w:type="paragraph" w:customStyle="1" w:styleId="ResNo">
    <w:name w:val="Res_No"/>
    <w:basedOn w:val="RecNo"/>
    <w:next w:val="Restitle"/>
    <w:rsid w:val="00F417BD"/>
  </w:style>
  <w:style w:type="paragraph" w:customStyle="1" w:styleId="Restitle">
    <w:name w:val="Res_title"/>
    <w:basedOn w:val="Rectitle"/>
    <w:next w:val="Resref"/>
    <w:rsid w:val="00F417BD"/>
  </w:style>
  <w:style w:type="paragraph" w:customStyle="1" w:styleId="Resref">
    <w:name w:val="Res_ref"/>
    <w:basedOn w:val="Recref"/>
    <w:next w:val="Resdate"/>
    <w:rsid w:val="00F417BD"/>
  </w:style>
  <w:style w:type="paragraph" w:customStyle="1" w:styleId="SectionNo">
    <w:name w:val="Section_No"/>
    <w:basedOn w:val="AnnexNo"/>
    <w:next w:val="Sectiontitle"/>
    <w:rsid w:val="00F417BD"/>
  </w:style>
  <w:style w:type="paragraph" w:customStyle="1" w:styleId="Sectiontitle">
    <w:name w:val="Section_title"/>
    <w:basedOn w:val="Normal"/>
    <w:next w:val="Normalaftertitle"/>
    <w:rsid w:val="00F417BD"/>
    <w:rPr>
      <w:sz w:val="26"/>
    </w:rPr>
  </w:style>
  <w:style w:type="paragraph" w:customStyle="1" w:styleId="SpecialFooter">
    <w:name w:val="Special Footer"/>
    <w:basedOn w:val="Footer"/>
    <w:rsid w:val="00F417B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417B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417BD"/>
    <w:pPr>
      <w:spacing w:before="120"/>
    </w:pPr>
  </w:style>
  <w:style w:type="paragraph" w:customStyle="1" w:styleId="Tableref">
    <w:name w:val="Table_ref"/>
    <w:basedOn w:val="Normal"/>
    <w:next w:val="Tabletitle"/>
    <w:rsid w:val="00F417B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417B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417B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417B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417BD"/>
    <w:rPr>
      <w:b/>
    </w:rPr>
  </w:style>
  <w:style w:type="paragraph" w:customStyle="1" w:styleId="Chaptitle">
    <w:name w:val="Chap_title"/>
    <w:basedOn w:val="Arttitle"/>
    <w:next w:val="Normalaftertitle"/>
    <w:rsid w:val="00F417BD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0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E0A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D53AA"/>
    <w:rPr>
      <w:rFonts w:ascii="Calibri" w:hAnsi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833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NoSpacing">
    <w:name w:val="No Spacing"/>
    <w:uiPriority w:val="1"/>
    <w:qFormat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39"/>
    <w:rsid w:val="00833F2D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A21B67"/>
    <w:rPr>
      <w:rFonts w:ascii="Courier New" w:hAnsi="Courier New"/>
      <w:vanish/>
      <w:color w:val="800080"/>
      <w:sz w:val="24"/>
      <w:vertAlign w:val="subscript"/>
    </w:rPr>
  </w:style>
  <w:style w:type="paragraph" w:customStyle="1" w:styleId="1">
    <w:name w:val="Без интервала1"/>
    <w:rsid w:val="00CD220D"/>
    <w:rPr>
      <w:rFonts w:ascii="Calibri" w:hAnsi="Calibri" w:cs="Arial"/>
      <w:snapToGrid w:val="0"/>
      <w:sz w:val="22"/>
      <w:szCs w:val="22"/>
      <w:lang w:val="en-IN" w:eastAsia="ru-RU"/>
    </w:rPr>
  </w:style>
  <w:style w:type="paragraph" w:customStyle="1" w:styleId="10">
    <w:name w:val="Абзац списка1"/>
    <w:basedOn w:val="Normal"/>
    <w:rsid w:val="00C21717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cs="Arial"/>
      <w:snapToGrid w:val="0"/>
      <w:szCs w:val="22"/>
      <w:lang w:val="en-US" w:eastAsia="ru-RU"/>
    </w:rPr>
  </w:style>
  <w:style w:type="paragraph" w:customStyle="1" w:styleId="docnoted">
    <w:name w:val="docnoted"/>
    <w:basedOn w:val="Normal"/>
    <w:next w:val="Head"/>
    <w:rsid w:val="00F417B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F41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-C-008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-C-0119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2-CL-C-002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-C-011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3" ma:contentTypeDescription="Create a new document." ma:contentTypeScope="" ma:versionID="2687d74077d15adbc405e960858b5b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c493886292dcd174e9d59315e71ab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1584-74A5-430F-96DB-BC5B2F518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6E3BE-257E-4148-BDA8-F293C0DEA3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8F361E-B9EE-4420-99F2-AC4336F6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0622E-0CEC-44C0-9443-5E1A6C03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10</TotalTime>
  <Pages>6</Pages>
  <Words>2044</Words>
  <Characters>14477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India</vt:lpstr>
      <vt:lpstr>Contribution from India</vt:lpstr>
    </vt:vector>
  </TitlesOfParts>
  <Manager>General Secretariat - Pool</Manager>
  <Company>International Telecommunication Union (ITU)</Company>
  <LinksUpToDate>false</LinksUpToDate>
  <CharactersWithSpaces>16489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an ITU area office for South Asia</dc:title>
  <dc:subject>Council 2018</dc:subject>
  <dc:creator>Brouard, Ricarda</dc:creator>
  <cp:keywords>C2018, C18</cp:keywords>
  <cp:lastModifiedBy>Botalla, Sabine</cp:lastModifiedBy>
  <cp:revision>8</cp:revision>
  <cp:lastPrinted>2018-04-23T14:01:00Z</cp:lastPrinted>
  <dcterms:created xsi:type="dcterms:W3CDTF">2018-09-22T08:43:00Z</dcterms:created>
  <dcterms:modified xsi:type="dcterms:W3CDTF">2018-10-09T09:23:00Z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