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675"/>
        <w:tblW w:w="0" w:type="dxa"/>
        <w:tblLayout w:type="fixed"/>
        <w:tblLook w:val="04A0" w:firstRow="1" w:lastRow="0" w:firstColumn="1" w:lastColumn="0" w:noHBand="0" w:noVBand="1"/>
      </w:tblPr>
      <w:tblGrid>
        <w:gridCol w:w="6911"/>
        <w:gridCol w:w="3120"/>
      </w:tblGrid>
      <w:tr w:rsidR="003415EB" w:rsidRPr="003415EB" w14:paraId="5A8DDC26" w14:textId="77777777" w:rsidTr="0039440E">
        <w:trPr>
          <w:cantSplit/>
        </w:trPr>
        <w:tc>
          <w:tcPr>
            <w:tcW w:w="6911" w:type="dxa"/>
            <w:hideMark/>
          </w:tcPr>
          <w:p w14:paraId="3C8C9BCA"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360" w:after="48" w:line="240" w:lineRule="atLeast"/>
              <w:ind w:firstLine="0"/>
              <w:jc w:val="left"/>
              <w:textAlignment w:val="baseline"/>
              <w:rPr>
                <w:rFonts w:ascii="Calibri" w:eastAsia="Times New Roman" w:hAnsi="Calibri" w:cs="Times New Roman"/>
                <w:position w:val="6"/>
                <w:sz w:val="24"/>
                <w:szCs w:val="20"/>
                <w:lang w:eastAsia="en-US"/>
              </w:rPr>
            </w:pPr>
            <w:bookmarkStart w:id="0" w:name="_Toc392187683"/>
            <w:r w:rsidRPr="003415EB">
              <w:rPr>
                <w:rFonts w:ascii="Calibri" w:eastAsia="Times New Roman" w:hAnsi="Calibri" w:cs="Times New Roman"/>
                <w:b/>
                <w:bCs/>
                <w:position w:val="6"/>
                <w:sz w:val="30"/>
                <w:szCs w:val="30"/>
                <w:lang w:eastAsia="en-US"/>
              </w:rPr>
              <w:t>Council 2018</w:t>
            </w:r>
            <w:r w:rsidRPr="003415EB">
              <w:rPr>
                <w:rFonts w:ascii="Calibri" w:eastAsia="Times New Roman" w:hAnsi="Calibri" w:cs="Times"/>
                <w:b/>
                <w:position w:val="6"/>
                <w:sz w:val="26"/>
                <w:szCs w:val="26"/>
                <w:lang w:eastAsia="en-US"/>
              </w:rPr>
              <w:br/>
            </w:r>
            <w:r w:rsidRPr="003415EB">
              <w:rPr>
                <w:rFonts w:ascii="Calibri" w:eastAsia="Times New Roman" w:hAnsi="Calibri" w:cs="Times New Roman"/>
                <w:b/>
                <w:bCs/>
                <w:position w:val="6"/>
                <w:sz w:val="24"/>
                <w:szCs w:val="24"/>
                <w:lang w:eastAsia="en-US"/>
              </w:rPr>
              <w:t>Final meeting, Dubai, 27 October 2018</w:t>
            </w:r>
          </w:p>
        </w:tc>
        <w:tc>
          <w:tcPr>
            <w:tcW w:w="3120" w:type="dxa"/>
            <w:hideMark/>
          </w:tcPr>
          <w:p w14:paraId="79415604"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line="240" w:lineRule="atLeast"/>
              <w:ind w:firstLine="0"/>
              <w:jc w:val="left"/>
              <w:textAlignment w:val="baseline"/>
              <w:rPr>
                <w:rFonts w:ascii="Calibri" w:eastAsia="Times New Roman" w:hAnsi="Calibri" w:cs="Times New Roman"/>
                <w:sz w:val="24"/>
                <w:szCs w:val="20"/>
                <w:lang w:eastAsia="en-US"/>
              </w:rPr>
            </w:pPr>
            <w:bookmarkStart w:id="1" w:name="ditulogo"/>
            <w:bookmarkEnd w:id="1"/>
            <w:r w:rsidRPr="003415EB">
              <w:rPr>
                <w:rFonts w:ascii="Times New Roman" w:eastAsia="Calibri" w:hAnsi="Times New Roman" w:cs="Times New Roman"/>
                <w:noProof/>
                <w:sz w:val="24"/>
                <w:szCs w:val="24"/>
                <w:lang w:val="en-US" w:eastAsia="zh-CN"/>
              </w:rPr>
              <w:drawing>
                <wp:inline distT="0" distB="0" distL="0" distR="0" wp14:anchorId="6C5CAF5A" wp14:editId="3ABFFDB1">
                  <wp:extent cx="1746250" cy="7416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741680"/>
                          </a:xfrm>
                          <a:prstGeom prst="rect">
                            <a:avLst/>
                          </a:prstGeom>
                          <a:noFill/>
                          <a:ln>
                            <a:noFill/>
                          </a:ln>
                        </pic:spPr>
                      </pic:pic>
                    </a:graphicData>
                  </a:graphic>
                </wp:inline>
              </w:drawing>
            </w:r>
          </w:p>
        </w:tc>
      </w:tr>
      <w:tr w:rsidR="003415EB" w:rsidRPr="003415EB" w14:paraId="3F0EE7F0" w14:textId="77777777" w:rsidTr="0039440E">
        <w:trPr>
          <w:cantSplit/>
        </w:trPr>
        <w:tc>
          <w:tcPr>
            <w:tcW w:w="6911" w:type="dxa"/>
            <w:tcBorders>
              <w:top w:val="nil"/>
              <w:left w:val="nil"/>
              <w:bottom w:val="single" w:sz="12" w:space="0" w:color="auto"/>
              <w:right w:val="nil"/>
            </w:tcBorders>
          </w:tcPr>
          <w:p w14:paraId="0F439206"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Times New Roman"/>
                <w:b/>
                <w:smallCaps/>
                <w:sz w:val="24"/>
                <w:szCs w:val="24"/>
                <w:lang w:eastAsia="en-US"/>
              </w:rPr>
            </w:pPr>
          </w:p>
        </w:tc>
        <w:tc>
          <w:tcPr>
            <w:tcW w:w="3120" w:type="dxa"/>
            <w:tcBorders>
              <w:top w:val="nil"/>
              <w:left w:val="nil"/>
              <w:bottom w:val="single" w:sz="12" w:space="0" w:color="auto"/>
              <w:right w:val="nil"/>
            </w:tcBorders>
          </w:tcPr>
          <w:p w14:paraId="2E459918"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Times New Roman"/>
                <w:sz w:val="24"/>
                <w:szCs w:val="24"/>
                <w:lang w:eastAsia="en-US"/>
              </w:rPr>
            </w:pPr>
          </w:p>
        </w:tc>
      </w:tr>
      <w:tr w:rsidR="003415EB" w:rsidRPr="003415EB" w14:paraId="4E70E3D3" w14:textId="77777777" w:rsidTr="0039440E">
        <w:trPr>
          <w:cantSplit/>
        </w:trPr>
        <w:tc>
          <w:tcPr>
            <w:tcW w:w="6911" w:type="dxa"/>
            <w:tcBorders>
              <w:top w:val="single" w:sz="12" w:space="0" w:color="auto"/>
              <w:left w:val="nil"/>
              <w:bottom w:val="nil"/>
              <w:right w:val="nil"/>
            </w:tcBorders>
          </w:tcPr>
          <w:p w14:paraId="39E4C133"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Times New Roman"/>
                <w:b/>
                <w:smallCaps/>
                <w:sz w:val="24"/>
                <w:szCs w:val="24"/>
                <w:lang w:eastAsia="en-US"/>
              </w:rPr>
            </w:pPr>
          </w:p>
        </w:tc>
        <w:tc>
          <w:tcPr>
            <w:tcW w:w="3120" w:type="dxa"/>
            <w:tcBorders>
              <w:top w:val="single" w:sz="12" w:space="0" w:color="auto"/>
              <w:left w:val="nil"/>
              <w:bottom w:val="nil"/>
              <w:right w:val="nil"/>
            </w:tcBorders>
          </w:tcPr>
          <w:p w14:paraId="17D4814B"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Times New Roman"/>
                <w:sz w:val="24"/>
                <w:szCs w:val="24"/>
                <w:lang w:eastAsia="en-US"/>
              </w:rPr>
            </w:pPr>
          </w:p>
        </w:tc>
      </w:tr>
      <w:tr w:rsidR="003415EB" w:rsidRPr="003415EB" w14:paraId="07853409" w14:textId="77777777" w:rsidTr="0039440E">
        <w:trPr>
          <w:cantSplit/>
          <w:trHeight w:val="23"/>
        </w:trPr>
        <w:tc>
          <w:tcPr>
            <w:tcW w:w="6911" w:type="dxa"/>
            <w:vMerge w:val="restart"/>
            <w:hideMark/>
          </w:tcPr>
          <w:p w14:paraId="5BE0FDBA" w14:textId="77777777" w:rsidR="003415EB" w:rsidRPr="003415EB" w:rsidRDefault="003415EB" w:rsidP="003415EB">
            <w:pPr>
              <w:tabs>
                <w:tab w:val="left" w:pos="567"/>
                <w:tab w:val="left" w:pos="851"/>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Calibri"/>
                <w:b/>
                <w:sz w:val="24"/>
                <w:szCs w:val="20"/>
                <w:lang w:eastAsia="en-US"/>
              </w:rPr>
            </w:pPr>
            <w:bookmarkStart w:id="2" w:name="dnum" w:colFirst="1" w:colLast="1"/>
            <w:bookmarkStart w:id="3" w:name="dmeeting" w:colFirst="0" w:colLast="0"/>
            <w:r w:rsidRPr="003415EB">
              <w:rPr>
                <w:rFonts w:ascii="Calibri" w:eastAsia="Times New Roman" w:hAnsi="Calibri" w:cs="Calibri"/>
                <w:b/>
                <w:sz w:val="24"/>
                <w:szCs w:val="20"/>
                <w:lang w:eastAsia="en-US"/>
              </w:rPr>
              <w:t>Agenda item:  ADM 10</w:t>
            </w:r>
          </w:p>
        </w:tc>
        <w:tc>
          <w:tcPr>
            <w:tcW w:w="3120" w:type="dxa"/>
            <w:hideMark/>
          </w:tcPr>
          <w:p w14:paraId="6172ADDF" w14:textId="77777777" w:rsidR="003415EB" w:rsidRPr="003415EB" w:rsidRDefault="003415EB" w:rsidP="003415EB">
            <w:pPr>
              <w:tabs>
                <w:tab w:val="left" w:pos="567"/>
                <w:tab w:val="left" w:pos="851"/>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Calibri"/>
                <w:b/>
                <w:sz w:val="24"/>
                <w:szCs w:val="20"/>
                <w:lang w:eastAsia="en-US"/>
              </w:rPr>
            </w:pPr>
            <w:r w:rsidRPr="003415EB">
              <w:rPr>
                <w:rFonts w:ascii="Calibri" w:eastAsia="Times New Roman" w:hAnsi="Calibri" w:cs="Calibri"/>
                <w:b/>
                <w:sz w:val="24"/>
                <w:szCs w:val="20"/>
                <w:lang w:eastAsia="en-US"/>
              </w:rPr>
              <w:t>Document C18/</w:t>
            </w:r>
            <w:r>
              <w:rPr>
                <w:rFonts w:ascii="Calibri" w:eastAsia="Times New Roman" w:hAnsi="Calibri" w:cs="Calibri"/>
                <w:b/>
                <w:sz w:val="24"/>
                <w:szCs w:val="20"/>
                <w:lang w:eastAsia="en-US"/>
              </w:rPr>
              <w:t>125</w:t>
            </w:r>
            <w:r w:rsidRPr="003415EB">
              <w:rPr>
                <w:rFonts w:ascii="Calibri" w:eastAsia="Times New Roman" w:hAnsi="Calibri" w:cs="Calibri"/>
                <w:b/>
                <w:sz w:val="24"/>
                <w:szCs w:val="20"/>
                <w:lang w:eastAsia="en-US"/>
              </w:rPr>
              <w:t>-E</w:t>
            </w:r>
          </w:p>
        </w:tc>
      </w:tr>
      <w:tr w:rsidR="003415EB" w:rsidRPr="003415EB" w14:paraId="1E03DCE1" w14:textId="77777777" w:rsidTr="0039440E">
        <w:trPr>
          <w:cantSplit/>
          <w:trHeight w:val="23"/>
        </w:trPr>
        <w:tc>
          <w:tcPr>
            <w:tcW w:w="10031" w:type="dxa"/>
            <w:vMerge/>
            <w:vAlign w:val="center"/>
            <w:hideMark/>
          </w:tcPr>
          <w:p w14:paraId="1C29DF97" w14:textId="77777777" w:rsidR="003415EB" w:rsidRPr="003415EB" w:rsidRDefault="003415EB" w:rsidP="003415EB">
            <w:pPr>
              <w:adjustRightInd/>
              <w:spacing w:before="0"/>
              <w:ind w:firstLine="0"/>
              <w:jc w:val="left"/>
              <w:rPr>
                <w:rFonts w:ascii="Calibri" w:eastAsia="Times New Roman" w:hAnsi="Calibri" w:cs="Calibri"/>
                <w:b/>
                <w:sz w:val="24"/>
                <w:szCs w:val="20"/>
                <w:lang w:eastAsia="en-US"/>
              </w:rPr>
            </w:pPr>
            <w:bookmarkStart w:id="4" w:name="ddate" w:colFirst="1" w:colLast="1"/>
            <w:bookmarkEnd w:id="2"/>
            <w:bookmarkEnd w:id="3"/>
          </w:p>
        </w:tc>
        <w:tc>
          <w:tcPr>
            <w:tcW w:w="3120" w:type="dxa"/>
            <w:hideMark/>
          </w:tcPr>
          <w:p w14:paraId="0D735EAD" w14:textId="77777777" w:rsidR="003415EB" w:rsidRPr="003415EB" w:rsidRDefault="003415EB" w:rsidP="003415EB">
            <w:pPr>
              <w:tabs>
                <w:tab w:val="left" w:pos="567"/>
                <w:tab w:val="left" w:pos="993"/>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Calibri"/>
                <w:b/>
                <w:sz w:val="24"/>
                <w:szCs w:val="20"/>
                <w:lang w:eastAsia="en-US"/>
              </w:rPr>
            </w:pPr>
            <w:r>
              <w:rPr>
                <w:rFonts w:ascii="Calibri" w:eastAsia="Times New Roman" w:hAnsi="Calibri" w:cs="Calibri"/>
                <w:b/>
                <w:sz w:val="24"/>
                <w:szCs w:val="20"/>
                <w:lang w:eastAsia="en-US"/>
              </w:rPr>
              <w:t xml:space="preserve">9 October </w:t>
            </w:r>
            <w:r w:rsidRPr="003415EB">
              <w:rPr>
                <w:rFonts w:ascii="Calibri" w:eastAsia="Times New Roman" w:hAnsi="Calibri" w:cs="Calibri"/>
                <w:b/>
                <w:sz w:val="24"/>
                <w:szCs w:val="20"/>
                <w:lang w:eastAsia="en-US"/>
              </w:rPr>
              <w:t>2018</w:t>
            </w:r>
          </w:p>
        </w:tc>
      </w:tr>
      <w:tr w:rsidR="003415EB" w:rsidRPr="003415EB" w14:paraId="1A544042" w14:textId="77777777" w:rsidTr="0039440E">
        <w:trPr>
          <w:cantSplit/>
          <w:trHeight w:val="23"/>
        </w:trPr>
        <w:tc>
          <w:tcPr>
            <w:tcW w:w="10031" w:type="dxa"/>
            <w:vMerge/>
            <w:vAlign w:val="center"/>
            <w:hideMark/>
          </w:tcPr>
          <w:p w14:paraId="153D68E6" w14:textId="77777777" w:rsidR="003415EB" w:rsidRPr="003415EB" w:rsidRDefault="003415EB" w:rsidP="003415EB">
            <w:pPr>
              <w:adjustRightInd/>
              <w:spacing w:before="0"/>
              <w:ind w:firstLine="0"/>
              <w:jc w:val="left"/>
              <w:rPr>
                <w:rFonts w:ascii="Calibri" w:eastAsia="Times New Roman" w:hAnsi="Calibri" w:cs="Calibri"/>
                <w:b/>
                <w:sz w:val="24"/>
                <w:szCs w:val="20"/>
                <w:lang w:eastAsia="en-US"/>
              </w:rPr>
            </w:pPr>
            <w:bookmarkStart w:id="5" w:name="dorlang" w:colFirst="1" w:colLast="1"/>
            <w:bookmarkEnd w:id="4"/>
          </w:p>
        </w:tc>
        <w:tc>
          <w:tcPr>
            <w:tcW w:w="3120" w:type="dxa"/>
            <w:hideMark/>
          </w:tcPr>
          <w:p w14:paraId="6FEE0C21" w14:textId="77777777" w:rsidR="003415EB" w:rsidRPr="003415EB" w:rsidRDefault="003415EB" w:rsidP="003415EB">
            <w:pPr>
              <w:tabs>
                <w:tab w:val="left" w:pos="567"/>
                <w:tab w:val="left" w:pos="993"/>
                <w:tab w:val="left" w:pos="1134"/>
                <w:tab w:val="left" w:pos="1701"/>
                <w:tab w:val="left" w:pos="2268"/>
                <w:tab w:val="left" w:pos="2835"/>
              </w:tabs>
              <w:overflowPunct w:val="0"/>
              <w:autoSpaceDE w:val="0"/>
              <w:autoSpaceDN w:val="0"/>
              <w:spacing w:before="0" w:line="240" w:lineRule="auto"/>
              <w:ind w:firstLine="0"/>
              <w:jc w:val="left"/>
              <w:textAlignment w:val="baseline"/>
              <w:rPr>
                <w:rFonts w:ascii="Calibri" w:eastAsia="Times New Roman" w:hAnsi="Calibri" w:cs="Calibri"/>
                <w:b/>
                <w:sz w:val="24"/>
                <w:szCs w:val="20"/>
                <w:lang w:eastAsia="en-US"/>
              </w:rPr>
            </w:pPr>
            <w:r w:rsidRPr="003415EB">
              <w:rPr>
                <w:rFonts w:ascii="Calibri" w:eastAsia="Times New Roman" w:hAnsi="Calibri" w:cs="Calibri"/>
                <w:b/>
                <w:sz w:val="24"/>
                <w:szCs w:val="20"/>
                <w:lang w:eastAsia="en-US"/>
              </w:rPr>
              <w:t>Original: English</w:t>
            </w:r>
          </w:p>
        </w:tc>
      </w:tr>
      <w:tr w:rsidR="003415EB" w:rsidRPr="003415EB" w14:paraId="6C290E8D" w14:textId="77777777" w:rsidTr="0039440E">
        <w:trPr>
          <w:cantSplit/>
        </w:trPr>
        <w:tc>
          <w:tcPr>
            <w:tcW w:w="10031" w:type="dxa"/>
            <w:gridSpan w:val="2"/>
            <w:hideMark/>
          </w:tcPr>
          <w:p w14:paraId="2D31D79B"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before="840" w:line="240" w:lineRule="auto"/>
              <w:ind w:firstLine="0"/>
              <w:jc w:val="center"/>
              <w:textAlignment w:val="baseline"/>
              <w:rPr>
                <w:rFonts w:ascii="Calibri" w:eastAsia="Times New Roman" w:hAnsi="Calibri" w:cs="Times New Roman"/>
                <w:b/>
                <w:sz w:val="28"/>
                <w:szCs w:val="20"/>
                <w:lang w:eastAsia="en-US"/>
              </w:rPr>
            </w:pPr>
            <w:bookmarkStart w:id="6" w:name="dsource"/>
            <w:bookmarkEnd w:id="5"/>
            <w:r w:rsidRPr="003415EB">
              <w:rPr>
                <w:rFonts w:ascii="Calibri" w:eastAsia="Times New Roman" w:hAnsi="Calibri" w:cs="Times New Roman"/>
                <w:b/>
                <w:sz w:val="28"/>
                <w:szCs w:val="20"/>
                <w:lang w:eastAsia="en-US"/>
              </w:rPr>
              <w:t>Report by the Secretary-General</w:t>
            </w:r>
          </w:p>
        </w:tc>
        <w:bookmarkEnd w:id="6"/>
      </w:tr>
      <w:tr w:rsidR="003415EB" w:rsidRPr="003415EB" w14:paraId="33ADB159" w14:textId="77777777" w:rsidTr="0039440E">
        <w:trPr>
          <w:cantSplit/>
        </w:trPr>
        <w:tc>
          <w:tcPr>
            <w:tcW w:w="10031" w:type="dxa"/>
            <w:gridSpan w:val="2"/>
            <w:hideMark/>
          </w:tcPr>
          <w:p w14:paraId="7E202EBB" w14:textId="77777777" w:rsidR="003415EB" w:rsidRPr="003415EB" w:rsidRDefault="007E06E7" w:rsidP="007E06E7">
            <w:pPr>
              <w:tabs>
                <w:tab w:val="left" w:pos="567"/>
                <w:tab w:val="left" w:pos="1134"/>
                <w:tab w:val="left" w:pos="1701"/>
                <w:tab w:val="left" w:pos="2268"/>
                <w:tab w:val="left" w:pos="2835"/>
              </w:tabs>
              <w:overflowPunct w:val="0"/>
              <w:autoSpaceDE w:val="0"/>
              <w:autoSpaceDN w:val="0"/>
              <w:spacing w:before="240" w:after="240" w:line="240" w:lineRule="auto"/>
              <w:ind w:firstLine="0"/>
              <w:jc w:val="center"/>
              <w:textAlignment w:val="baseline"/>
              <w:rPr>
                <w:rFonts w:ascii="Calibri" w:eastAsia="Times New Roman" w:hAnsi="Calibri" w:cs="Times New Roman"/>
                <w:caps/>
                <w:sz w:val="28"/>
                <w:szCs w:val="20"/>
                <w:lang w:eastAsia="en-US"/>
              </w:rPr>
            </w:pPr>
            <w:bookmarkStart w:id="7" w:name="dtitle1"/>
            <w:r>
              <w:rPr>
                <w:rFonts w:ascii="Calibri" w:eastAsia="Times New Roman" w:hAnsi="Calibri" w:cs="Times New Roman"/>
                <w:caps/>
                <w:sz w:val="28"/>
                <w:szCs w:val="20"/>
                <w:lang w:eastAsia="en-US"/>
              </w:rPr>
              <w:t>SPECIAL REPORT OF THE EXTERNAL AUDITOR</w:t>
            </w:r>
          </w:p>
        </w:tc>
      </w:tr>
    </w:tbl>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3415EB" w:rsidRPr="003415EB" w14:paraId="7922DB1A" w14:textId="77777777" w:rsidTr="0039440E">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29796F16" w14:textId="77777777" w:rsidR="003415EB" w:rsidRPr="003415EB" w:rsidRDefault="003415EB" w:rsidP="003415EB">
            <w:pPr>
              <w:keepNext/>
              <w:keepLines/>
              <w:tabs>
                <w:tab w:val="left" w:pos="567"/>
                <w:tab w:val="left" w:pos="1134"/>
                <w:tab w:val="left" w:pos="1701"/>
                <w:tab w:val="left" w:pos="2268"/>
                <w:tab w:val="left" w:pos="2835"/>
              </w:tabs>
              <w:overflowPunct w:val="0"/>
              <w:autoSpaceDE w:val="0"/>
              <w:autoSpaceDN w:val="0"/>
              <w:spacing w:before="160" w:line="240" w:lineRule="auto"/>
              <w:ind w:firstLine="0"/>
              <w:jc w:val="left"/>
              <w:textAlignment w:val="baseline"/>
              <w:outlineLvl w:val="0"/>
              <w:rPr>
                <w:rFonts w:ascii="Calibri" w:eastAsia="Times New Roman" w:hAnsi="Calibri" w:cs="Times New Roman"/>
                <w:b/>
                <w:sz w:val="24"/>
                <w:szCs w:val="20"/>
                <w:lang w:eastAsia="en-US"/>
              </w:rPr>
            </w:pPr>
            <w:r w:rsidRPr="003415EB">
              <w:rPr>
                <w:rFonts w:ascii="Calibri" w:eastAsia="Times New Roman" w:hAnsi="Calibri" w:cs="Times New Roman"/>
                <w:b/>
                <w:sz w:val="24"/>
                <w:szCs w:val="20"/>
                <w:lang w:eastAsia="en-US"/>
              </w:rPr>
              <w:t>Summary</w:t>
            </w:r>
          </w:p>
          <w:p w14:paraId="32A76AF8" w14:textId="77777777" w:rsidR="003415EB" w:rsidRPr="003415EB" w:rsidRDefault="003415EB" w:rsidP="007E06E7">
            <w:pPr>
              <w:tabs>
                <w:tab w:val="left" w:pos="567"/>
                <w:tab w:val="left" w:pos="1134"/>
                <w:tab w:val="left" w:pos="1701"/>
                <w:tab w:val="left" w:pos="2268"/>
                <w:tab w:val="left" w:pos="2835"/>
              </w:tabs>
              <w:overflowPunct w:val="0"/>
              <w:autoSpaceDE w:val="0"/>
              <w:autoSpaceDN w:val="0"/>
              <w:snapToGrid w:val="0"/>
              <w:spacing w:line="240" w:lineRule="auto"/>
              <w:ind w:firstLine="0"/>
              <w:textAlignment w:val="baseline"/>
              <w:rPr>
                <w:rFonts w:ascii="Calibri" w:eastAsia="Times New Roman" w:hAnsi="Calibri" w:cs="Times New Roman"/>
                <w:sz w:val="24"/>
                <w:szCs w:val="24"/>
                <w:lang w:eastAsia="en-US"/>
              </w:rPr>
            </w:pPr>
            <w:r w:rsidRPr="003415EB">
              <w:rPr>
                <w:rFonts w:ascii="Calibri" w:eastAsia="Times New Roman" w:hAnsi="Calibri" w:cs="Times New Roman"/>
                <w:sz w:val="24"/>
                <w:szCs w:val="24"/>
                <w:lang w:eastAsia="en-US"/>
              </w:rPr>
              <w:t xml:space="preserve">The </w:t>
            </w:r>
            <w:r w:rsidR="007E06E7" w:rsidRPr="007E06E7">
              <w:rPr>
                <w:rFonts w:ascii="Calibri" w:eastAsia="Times New Roman" w:hAnsi="Calibri" w:cs="Times New Roman"/>
                <w:sz w:val="24"/>
                <w:szCs w:val="24"/>
                <w:lang w:eastAsia="en-US"/>
              </w:rPr>
              <w:t xml:space="preserve">special report of the </w:t>
            </w:r>
            <w:r w:rsidRPr="003415EB">
              <w:rPr>
                <w:rFonts w:ascii="Calibri" w:eastAsia="Times New Roman" w:hAnsi="Calibri" w:cs="Times New Roman"/>
                <w:sz w:val="24"/>
                <w:szCs w:val="24"/>
                <w:lang w:eastAsia="en-US"/>
              </w:rPr>
              <w:t xml:space="preserve">External Auditor covers </w:t>
            </w:r>
            <w:r w:rsidR="007E06E7" w:rsidRPr="007E06E7">
              <w:rPr>
                <w:rFonts w:ascii="Calibri" w:hAnsi="Calibri"/>
                <w:sz w:val="24"/>
                <w:szCs w:val="24"/>
              </w:rPr>
              <w:t>two Regional Offices (Brasilia and Addis Ababa) and two Area Offices (Santiago and Dakar). The field audit on the Regional Office for the Americas (RAM) was performed</w:t>
            </w:r>
            <w:r w:rsidR="007E06E7" w:rsidRPr="007E06E7" w:rsidDel="00A8795A">
              <w:rPr>
                <w:rFonts w:ascii="Calibri" w:hAnsi="Calibri"/>
                <w:sz w:val="24"/>
                <w:szCs w:val="24"/>
              </w:rPr>
              <w:t xml:space="preserve"> </w:t>
            </w:r>
            <w:r w:rsidR="007E06E7" w:rsidRPr="007E06E7">
              <w:rPr>
                <w:rFonts w:ascii="Calibri" w:hAnsi="Calibri"/>
                <w:sz w:val="24"/>
                <w:szCs w:val="24"/>
              </w:rPr>
              <w:t>from 22</w:t>
            </w:r>
            <w:r w:rsidR="007E06E7">
              <w:rPr>
                <w:rFonts w:ascii="Calibri" w:hAnsi="Calibri"/>
                <w:sz w:val="24"/>
                <w:szCs w:val="24"/>
              </w:rPr>
              <w:t> </w:t>
            </w:r>
            <w:r w:rsidR="007E06E7" w:rsidRPr="007E06E7">
              <w:rPr>
                <w:rFonts w:ascii="Calibri" w:hAnsi="Calibri"/>
                <w:sz w:val="24"/>
                <w:szCs w:val="24"/>
              </w:rPr>
              <w:t>to</w:t>
            </w:r>
            <w:r w:rsidR="007E06E7">
              <w:rPr>
                <w:rFonts w:ascii="Calibri" w:hAnsi="Calibri"/>
                <w:sz w:val="24"/>
                <w:szCs w:val="24"/>
              </w:rPr>
              <w:t> </w:t>
            </w:r>
            <w:r w:rsidR="007E06E7" w:rsidRPr="007E06E7">
              <w:rPr>
                <w:rFonts w:ascii="Calibri" w:hAnsi="Calibri"/>
                <w:sz w:val="24"/>
                <w:szCs w:val="24"/>
              </w:rPr>
              <w:t>26</w:t>
            </w:r>
            <w:r w:rsidR="007E06E7">
              <w:rPr>
                <w:rFonts w:ascii="Calibri" w:hAnsi="Calibri"/>
                <w:sz w:val="24"/>
                <w:szCs w:val="24"/>
              </w:rPr>
              <w:t> </w:t>
            </w:r>
            <w:r w:rsidR="007E06E7" w:rsidRPr="007E06E7">
              <w:rPr>
                <w:rFonts w:ascii="Calibri" w:hAnsi="Calibri"/>
                <w:sz w:val="24"/>
                <w:szCs w:val="24"/>
              </w:rPr>
              <w:t>January 2018 (in the Regional Office of Brasilia) and from 29</w:t>
            </w:r>
            <w:r w:rsidR="007E06E7">
              <w:rPr>
                <w:rFonts w:ascii="Calibri" w:hAnsi="Calibri"/>
                <w:sz w:val="24"/>
                <w:szCs w:val="24"/>
              </w:rPr>
              <w:t> </w:t>
            </w:r>
            <w:r w:rsidR="007E06E7" w:rsidRPr="007E06E7">
              <w:rPr>
                <w:rFonts w:ascii="Calibri" w:hAnsi="Calibri"/>
                <w:sz w:val="24"/>
                <w:szCs w:val="24"/>
              </w:rPr>
              <w:t>to</w:t>
            </w:r>
            <w:r w:rsidR="007E06E7">
              <w:rPr>
                <w:rFonts w:ascii="Calibri" w:hAnsi="Calibri"/>
                <w:sz w:val="24"/>
                <w:szCs w:val="24"/>
              </w:rPr>
              <w:t> </w:t>
            </w:r>
            <w:r w:rsidR="007E06E7" w:rsidRPr="007E06E7">
              <w:rPr>
                <w:rFonts w:ascii="Calibri" w:hAnsi="Calibri"/>
                <w:sz w:val="24"/>
                <w:szCs w:val="24"/>
              </w:rPr>
              <w:t>31</w:t>
            </w:r>
            <w:r w:rsidR="007E06E7">
              <w:rPr>
                <w:rFonts w:ascii="Calibri" w:hAnsi="Calibri"/>
                <w:sz w:val="24"/>
                <w:szCs w:val="24"/>
              </w:rPr>
              <w:t> </w:t>
            </w:r>
            <w:r w:rsidR="007E06E7" w:rsidRPr="007E06E7">
              <w:rPr>
                <w:rFonts w:ascii="Calibri" w:hAnsi="Calibri"/>
                <w:sz w:val="24"/>
                <w:szCs w:val="24"/>
              </w:rPr>
              <w:t>January 2018 (in the Area Office of Santiago). The field audit on the Regional Office for Africa (RAF) was performed</w:t>
            </w:r>
            <w:r w:rsidR="007E06E7" w:rsidRPr="007E06E7" w:rsidDel="00A8795A">
              <w:rPr>
                <w:rFonts w:ascii="Calibri" w:hAnsi="Calibri"/>
                <w:sz w:val="24"/>
                <w:szCs w:val="24"/>
              </w:rPr>
              <w:t xml:space="preserve"> </w:t>
            </w:r>
            <w:r w:rsidR="007E06E7" w:rsidRPr="007E06E7">
              <w:rPr>
                <w:rFonts w:ascii="Calibri" w:hAnsi="Calibri"/>
                <w:sz w:val="24"/>
                <w:szCs w:val="24"/>
              </w:rPr>
              <w:t>from 15 to 18 January 2018 in the Regional Office of Addis Ababa and from 22 to 26 January 2018 in the Area office of Dakar.</w:t>
            </w:r>
          </w:p>
          <w:p w14:paraId="5BBF8CFA" w14:textId="77777777" w:rsidR="003415EB" w:rsidRPr="003415EB" w:rsidRDefault="003415EB" w:rsidP="003415EB">
            <w:pPr>
              <w:keepNext/>
              <w:keepLines/>
              <w:tabs>
                <w:tab w:val="left" w:pos="567"/>
                <w:tab w:val="left" w:pos="1134"/>
                <w:tab w:val="left" w:pos="1701"/>
                <w:tab w:val="left" w:pos="2268"/>
                <w:tab w:val="left" w:pos="2835"/>
              </w:tabs>
              <w:overflowPunct w:val="0"/>
              <w:autoSpaceDE w:val="0"/>
              <w:autoSpaceDN w:val="0"/>
              <w:spacing w:before="160" w:line="240" w:lineRule="auto"/>
              <w:ind w:firstLine="0"/>
              <w:jc w:val="left"/>
              <w:textAlignment w:val="baseline"/>
              <w:outlineLvl w:val="0"/>
              <w:rPr>
                <w:rFonts w:ascii="Calibri" w:eastAsia="Times New Roman" w:hAnsi="Calibri" w:cs="Times New Roman"/>
                <w:b/>
                <w:sz w:val="24"/>
                <w:szCs w:val="20"/>
                <w:lang w:eastAsia="en-US"/>
              </w:rPr>
            </w:pPr>
            <w:r w:rsidRPr="003415EB">
              <w:rPr>
                <w:rFonts w:ascii="Calibri" w:eastAsia="Times New Roman" w:hAnsi="Calibri" w:cs="Times New Roman"/>
                <w:b/>
                <w:sz w:val="24"/>
                <w:szCs w:val="20"/>
                <w:lang w:eastAsia="en-US"/>
              </w:rPr>
              <w:t>Action required</w:t>
            </w:r>
          </w:p>
          <w:p w14:paraId="5E902756" w14:textId="77777777" w:rsidR="003415EB" w:rsidRPr="003415EB" w:rsidRDefault="003415EB" w:rsidP="007E06E7">
            <w:pPr>
              <w:tabs>
                <w:tab w:val="left" w:pos="567"/>
                <w:tab w:val="left" w:pos="1134"/>
                <w:tab w:val="left" w:pos="1701"/>
                <w:tab w:val="left" w:pos="2268"/>
                <w:tab w:val="left" w:pos="2835"/>
              </w:tabs>
              <w:overflowPunct w:val="0"/>
              <w:autoSpaceDE w:val="0"/>
              <w:autoSpaceDN w:val="0"/>
              <w:spacing w:line="240" w:lineRule="auto"/>
              <w:ind w:firstLine="0"/>
              <w:jc w:val="left"/>
              <w:textAlignment w:val="baseline"/>
              <w:rPr>
                <w:rFonts w:ascii="Calibri" w:eastAsia="Times New Roman" w:hAnsi="Calibri" w:cs="Times New Roman"/>
                <w:sz w:val="24"/>
                <w:szCs w:val="20"/>
                <w:lang w:eastAsia="en-US"/>
              </w:rPr>
            </w:pPr>
            <w:r w:rsidRPr="003415EB">
              <w:rPr>
                <w:rFonts w:ascii="Calibri" w:eastAsia="Times New Roman" w:hAnsi="Calibri" w:cs="Times New Roman"/>
                <w:sz w:val="24"/>
                <w:szCs w:val="20"/>
                <w:lang w:eastAsia="en-US"/>
              </w:rPr>
              <w:t xml:space="preserve">The Council is invited to </w:t>
            </w:r>
            <w:r w:rsidR="007E06E7">
              <w:rPr>
                <w:rFonts w:ascii="Calibri" w:eastAsia="Times New Roman" w:hAnsi="Calibri" w:cs="Times New Roman"/>
                <w:sz w:val="24"/>
                <w:szCs w:val="20"/>
                <w:lang w:eastAsia="en-US"/>
              </w:rPr>
              <w:t xml:space="preserve">note </w:t>
            </w:r>
            <w:r w:rsidRPr="003415EB">
              <w:rPr>
                <w:rFonts w:ascii="Calibri" w:eastAsia="Times New Roman" w:hAnsi="Calibri" w:cs="Times New Roman"/>
                <w:sz w:val="24"/>
                <w:szCs w:val="20"/>
                <w:lang w:eastAsia="en-US"/>
              </w:rPr>
              <w:t xml:space="preserve">the </w:t>
            </w:r>
            <w:r w:rsidR="007E06E7">
              <w:rPr>
                <w:rFonts w:ascii="Calibri" w:eastAsia="Times New Roman" w:hAnsi="Calibri" w:cs="Times New Roman"/>
                <w:sz w:val="24"/>
                <w:szCs w:val="20"/>
                <w:lang w:eastAsia="en-US"/>
              </w:rPr>
              <w:t>special report by the External Auditor</w:t>
            </w:r>
            <w:r w:rsidRPr="003415EB">
              <w:rPr>
                <w:rFonts w:ascii="Calibri" w:eastAsia="Times New Roman" w:hAnsi="Calibri" w:cs="Times New Roman"/>
                <w:sz w:val="24"/>
                <w:szCs w:val="20"/>
                <w:lang w:eastAsia="en-US"/>
              </w:rPr>
              <w:t>.</w:t>
            </w:r>
          </w:p>
          <w:p w14:paraId="5B420A3F" w14:textId="77777777" w:rsidR="003415EB" w:rsidRPr="003415EB" w:rsidRDefault="003415EB" w:rsidP="003415EB">
            <w:pPr>
              <w:tabs>
                <w:tab w:val="left" w:pos="567"/>
                <w:tab w:val="left" w:pos="1134"/>
                <w:tab w:val="left" w:pos="1701"/>
                <w:tab w:val="left" w:pos="2268"/>
                <w:tab w:val="left" w:pos="2835"/>
              </w:tabs>
              <w:overflowPunct w:val="0"/>
              <w:autoSpaceDE w:val="0"/>
              <w:autoSpaceDN w:val="0"/>
              <w:spacing w:line="240" w:lineRule="auto"/>
              <w:ind w:firstLine="0"/>
              <w:jc w:val="left"/>
              <w:textAlignment w:val="baseline"/>
              <w:rPr>
                <w:rFonts w:ascii="Calibri" w:eastAsia="Times New Roman" w:hAnsi="Calibri" w:cs="Times New Roman"/>
                <w:sz w:val="24"/>
                <w:szCs w:val="20"/>
                <w:lang w:eastAsia="en-US"/>
              </w:rPr>
            </w:pPr>
          </w:p>
          <w:p w14:paraId="0F900455" w14:textId="77777777" w:rsidR="003415EB" w:rsidRPr="003415EB" w:rsidRDefault="003415EB" w:rsidP="003415EB">
            <w:pPr>
              <w:tabs>
                <w:tab w:val="left" w:pos="794"/>
                <w:tab w:val="left" w:pos="1191"/>
                <w:tab w:val="left" w:pos="1588"/>
                <w:tab w:val="left" w:pos="1985"/>
              </w:tabs>
              <w:adjustRightInd/>
              <w:spacing w:line="240" w:lineRule="auto"/>
              <w:ind w:firstLine="0"/>
              <w:jc w:val="center"/>
              <w:rPr>
                <w:rFonts w:ascii="Calibri" w:eastAsia="Times New Roman" w:hAnsi="Calibri" w:cs="Times New Roman"/>
                <w:szCs w:val="20"/>
                <w:lang w:eastAsia="en-US"/>
              </w:rPr>
            </w:pPr>
            <w:r w:rsidRPr="003415EB">
              <w:rPr>
                <w:rFonts w:ascii="Calibri" w:eastAsia="Times New Roman" w:hAnsi="Calibri" w:cs="Times New Roman"/>
                <w:szCs w:val="20"/>
                <w:lang w:eastAsia="en-US"/>
              </w:rPr>
              <w:t>____________</w:t>
            </w:r>
          </w:p>
          <w:p w14:paraId="2302E482" w14:textId="77777777" w:rsidR="003415EB" w:rsidRPr="003415EB" w:rsidRDefault="003415EB" w:rsidP="003415EB">
            <w:pPr>
              <w:keepNext/>
              <w:keepLines/>
              <w:tabs>
                <w:tab w:val="left" w:pos="567"/>
                <w:tab w:val="left" w:pos="1134"/>
                <w:tab w:val="left" w:pos="1701"/>
                <w:tab w:val="left" w:pos="2268"/>
                <w:tab w:val="left" w:pos="2835"/>
              </w:tabs>
              <w:overflowPunct w:val="0"/>
              <w:autoSpaceDE w:val="0"/>
              <w:autoSpaceDN w:val="0"/>
              <w:spacing w:before="160" w:line="240" w:lineRule="auto"/>
              <w:ind w:firstLine="0"/>
              <w:jc w:val="left"/>
              <w:textAlignment w:val="baseline"/>
              <w:outlineLvl w:val="0"/>
              <w:rPr>
                <w:rFonts w:ascii="Calibri" w:eastAsia="Times New Roman" w:hAnsi="Calibri" w:cs="Times New Roman"/>
                <w:b/>
                <w:sz w:val="24"/>
                <w:szCs w:val="20"/>
                <w:lang w:eastAsia="en-US"/>
              </w:rPr>
            </w:pPr>
            <w:r w:rsidRPr="003415EB">
              <w:rPr>
                <w:rFonts w:ascii="Calibri" w:eastAsia="Times New Roman" w:hAnsi="Calibri" w:cs="Times New Roman"/>
                <w:b/>
                <w:sz w:val="24"/>
                <w:szCs w:val="20"/>
                <w:lang w:eastAsia="en-US"/>
              </w:rPr>
              <w:t>References</w:t>
            </w:r>
          </w:p>
          <w:p w14:paraId="41050879" w14:textId="77777777" w:rsidR="003415EB" w:rsidRPr="003415EB" w:rsidRDefault="00007ED2" w:rsidP="003415EB">
            <w:pPr>
              <w:tabs>
                <w:tab w:val="left" w:pos="567"/>
                <w:tab w:val="left" w:pos="1134"/>
                <w:tab w:val="left" w:pos="1701"/>
                <w:tab w:val="left" w:pos="2268"/>
                <w:tab w:val="left" w:pos="2835"/>
              </w:tabs>
              <w:overflowPunct w:val="0"/>
              <w:autoSpaceDE w:val="0"/>
              <w:autoSpaceDN w:val="0"/>
              <w:spacing w:after="120" w:line="240" w:lineRule="auto"/>
              <w:ind w:firstLine="0"/>
              <w:jc w:val="left"/>
              <w:textAlignment w:val="baseline"/>
              <w:rPr>
                <w:rFonts w:ascii="Calibri" w:eastAsia="Times New Roman" w:hAnsi="Calibri" w:cs="Times New Roman"/>
                <w:i/>
                <w:iCs/>
                <w:sz w:val="24"/>
                <w:szCs w:val="20"/>
                <w:lang w:eastAsia="en-US"/>
              </w:rPr>
            </w:pPr>
            <w:hyperlink r:id="rId9" w:history="1">
              <w:r w:rsidR="003415EB" w:rsidRPr="003415EB">
                <w:rPr>
                  <w:rFonts w:ascii="Calibri" w:eastAsia="Times New Roman" w:hAnsi="Calibri" w:cs="Times New Roman"/>
                  <w:i/>
                  <w:iCs/>
                  <w:color w:val="0000FF"/>
                  <w:sz w:val="24"/>
                  <w:szCs w:val="20"/>
                  <w:u w:val="single"/>
                  <w:lang w:eastAsia="en-US"/>
                </w:rPr>
                <w:t>Financial Regulations (2010 edition)</w:t>
              </w:r>
            </w:hyperlink>
            <w:r w:rsidR="003415EB" w:rsidRPr="003415EB">
              <w:rPr>
                <w:rFonts w:ascii="Calibri" w:eastAsia="Times New Roman" w:hAnsi="Calibri" w:cs="Times New Roman"/>
                <w:i/>
                <w:iCs/>
                <w:sz w:val="24"/>
                <w:szCs w:val="20"/>
                <w:lang w:eastAsia="en-US"/>
              </w:rPr>
              <w:t>: Article 28 and additional terms of reference</w:t>
            </w:r>
          </w:p>
        </w:tc>
      </w:tr>
    </w:tbl>
    <w:p w14:paraId="493C69C8" w14:textId="77777777" w:rsidR="003415EB" w:rsidRDefault="003415EB" w:rsidP="003415EB">
      <w:pPr>
        <w:ind w:firstLine="284"/>
        <w:jc w:val="left"/>
        <w:rPr>
          <w:rFonts w:ascii="Calibri" w:hAnsi="Calibri"/>
          <w:sz w:val="24"/>
          <w:szCs w:val="24"/>
        </w:rPr>
      </w:pPr>
    </w:p>
    <w:p w14:paraId="2DB308E1" w14:textId="77777777" w:rsidR="003415EB" w:rsidRPr="003415EB" w:rsidRDefault="003415EB" w:rsidP="003415EB">
      <w:pPr>
        <w:adjustRightInd/>
        <w:spacing w:before="0" w:after="200"/>
        <w:ind w:firstLine="0"/>
        <w:jc w:val="left"/>
        <w:rPr>
          <w:rFonts w:ascii="Kunstler Script" w:hAnsi="Kunstler Script"/>
          <w:sz w:val="96"/>
          <w:szCs w:val="96"/>
          <w:lang w:val="en-US"/>
        </w:rPr>
        <w:sectPr w:rsidR="003415EB" w:rsidRPr="003415EB" w:rsidSect="003415EB">
          <w:pgSz w:w="11906" w:h="16838"/>
          <w:pgMar w:top="1418" w:right="1418" w:bottom="1418" w:left="1418" w:header="709" w:footer="709" w:gutter="0"/>
          <w:pgNumType w:start="0"/>
          <w:cols w:space="720"/>
          <w:vAlign w:val="both"/>
        </w:sectPr>
      </w:pPr>
    </w:p>
    <w:p w14:paraId="486876CE" w14:textId="77777777" w:rsidR="00736C83" w:rsidRPr="00C10739" w:rsidRDefault="00736C83" w:rsidP="00E15B48">
      <w:pPr>
        <w:ind w:firstLine="284"/>
        <w:jc w:val="center"/>
        <w:rPr>
          <w:rFonts w:ascii="Kunstler Script" w:hAnsi="Kunstler Script"/>
          <w:sz w:val="96"/>
          <w:szCs w:val="96"/>
        </w:rPr>
      </w:pPr>
      <w:r w:rsidRPr="00C10739">
        <w:rPr>
          <w:noProof/>
          <w:lang w:val="en-US" w:eastAsia="zh-CN"/>
        </w:rPr>
        <w:lastRenderedPageBreak/>
        <w:drawing>
          <wp:inline distT="0" distB="0" distL="0" distR="0" wp14:anchorId="72743BA6" wp14:editId="70215307">
            <wp:extent cx="632957" cy="711691"/>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640" cy="1242047"/>
                    </a:xfrm>
                    <a:prstGeom prst="rect">
                      <a:avLst/>
                    </a:prstGeom>
                  </pic:spPr>
                </pic:pic>
              </a:graphicData>
            </a:graphic>
          </wp:inline>
        </w:drawing>
      </w:r>
      <w:r w:rsidRPr="00C10739">
        <w:rPr>
          <w:sz w:val="72"/>
          <w:szCs w:val="72"/>
        </w:rPr>
        <w:br/>
      </w:r>
      <w:r w:rsidRPr="00C10739">
        <w:rPr>
          <w:rFonts w:ascii="Kunstler Script" w:hAnsi="Kunstler Script"/>
          <w:sz w:val="96"/>
          <w:szCs w:val="96"/>
        </w:rPr>
        <w:t>Corte dei conti</w:t>
      </w:r>
    </w:p>
    <w:p w14:paraId="6AA29938" w14:textId="77777777" w:rsidR="00736C83" w:rsidRPr="00C10739" w:rsidRDefault="00736C83" w:rsidP="00A075FE">
      <w:pPr>
        <w:ind w:firstLine="0"/>
        <w:jc w:val="center"/>
        <w:rPr>
          <w:b/>
          <w:sz w:val="24"/>
          <w:szCs w:val="24"/>
        </w:rPr>
      </w:pPr>
      <w:r w:rsidRPr="00C10739">
        <w:rPr>
          <w:b/>
          <w:sz w:val="24"/>
          <w:szCs w:val="24"/>
        </w:rPr>
        <w:t>SPECIAL REPORT OF THE EXTERNAL AUDITOR</w:t>
      </w:r>
    </w:p>
    <w:p w14:paraId="7ADCF81F" w14:textId="77777777" w:rsidR="00736C83" w:rsidRPr="00C10739" w:rsidRDefault="00736C83" w:rsidP="00A075FE">
      <w:pPr>
        <w:ind w:firstLine="0"/>
        <w:jc w:val="center"/>
        <w:rPr>
          <w:b/>
          <w:sz w:val="32"/>
          <w:szCs w:val="32"/>
        </w:rPr>
      </w:pPr>
      <w:r w:rsidRPr="00C10739">
        <w:rPr>
          <w:b/>
          <w:sz w:val="32"/>
          <w:szCs w:val="32"/>
        </w:rPr>
        <w:t xml:space="preserve">INTERNATIONAL </w:t>
      </w:r>
      <w:r w:rsidR="00C820C9" w:rsidRPr="00C10739">
        <w:rPr>
          <w:b/>
          <w:sz w:val="32"/>
          <w:szCs w:val="32"/>
        </w:rPr>
        <w:t>TELECOMMUNIC</w:t>
      </w:r>
      <w:r w:rsidRPr="00C10739">
        <w:rPr>
          <w:b/>
          <w:sz w:val="32"/>
          <w:szCs w:val="32"/>
        </w:rPr>
        <w:t>ATION</w:t>
      </w:r>
      <w:r w:rsidR="00C820C9" w:rsidRPr="00C10739">
        <w:rPr>
          <w:b/>
          <w:sz w:val="32"/>
          <w:szCs w:val="32"/>
        </w:rPr>
        <w:t xml:space="preserve"> UNION</w:t>
      </w:r>
    </w:p>
    <w:p w14:paraId="0A27A3FE" w14:textId="77777777" w:rsidR="006D3307" w:rsidRPr="008F1ECE" w:rsidRDefault="006E01EE" w:rsidP="00126A0E">
      <w:pPr>
        <w:pStyle w:val="Pa24"/>
        <w:spacing w:after="220"/>
        <w:jc w:val="center"/>
        <w:rPr>
          <w:rFonts w:ascii="Arial" w:hAnsi="Arial" w:cs="Arial"/>
          <w:b/>
          <w:bCs/>
          <w:i/>
          <w:iCs/>
          <w:color w:val="000000"/>
          <w:sz w:val="36"/>
          <w:szCs w:val="36"/>
        </w:rPr>
      </w:pPr>
      <w:r>
        <w:rPr>
          <w:rFonts w:ascii="Arial" w:hAnsi="Arial" w:cs="Arial"/>
          <w:b/>
          <w:bCs/>
          <w:i/>
          <w:iCs/>
          <w:color w:val="000000"/>
          <w:sz w:val="36"/>
          <w:szCs w:val="36"/>
        </w:rPr>
        <w:t xml:space="preserve">Is it possible to measure the </w:t>
      </w:r>
      <w:r w:rsidR="00122039">
        <w:rPr>
          <w:rFonts w:ascii="Arial" w:hAnsi="Arial" w:cs="Arial"/>
          <w:b/>
          <w:bCs/>
          <w:i/>
          <w:iCs/>
          <w:color w:val="000000"/>
          <w:sz w:val="36"/>
          <w:szCs w:val="36"/>
        </w:rPr>
        <w:t xml:space="preserve">Regional Offices’ </w:t>
      </w:r>
      <w:r>
        <w:rPr>
          <w:rFonts w:ascii="Arial" w:hAnsi="Arial" w:cs="Arial"/>
          <w:b/>
          <w:bCs/>
          <w:i/>
          <w:iCs/>
          <w:color w:val="000000"/>
          <w:sz w:val="36"/>
          <w:szCs w:val="36"/>
        </w:rPr>
        <w:t xml:space="preserve">contribution </w:t>
      </w:r>
      <w:r w:rsidR="0077510F" w:rsidRPr="008F1ECE">
        <w:rPr>
          <w:rFonts w:ascii="Arial" w:hAnsi="Arial" w:cs="Arial"/>
          <w:b/>
          <w:bCs/>
          <w:i/>
          <w:iCs/>
          <w:color w:val="000000"/>
          <w:sz w:val="36"/>
          <w:szCs w:val="36"/>
        </w:rPr>
        <w:t>to</w:t>
      </w:r>
      <w:r w:rsidR="00122039">
        <w:rPr>
          <w:rFonts w:ascii="Arial" w:hAnsi="Arial" w:cs="Arial"/>
          <w:b/>
          <w:bCs/>
          <w:i/>
          <w:iCs/>
          <w:color w:val="000000"/>
          <w:sz w:val="36"/>
          <w:szCs w:val="36"/>
        </w:rPr>
        <w:t>wards</w:t>
      </w:r>
      <w:r w:rsidR="0077510F" w:rsidRPr="008F1ECE">
        <w:rPr>
          <w:rFonts w:ascii="Arial" w:hAnsi="Arial" w:cs="Arial"/>
          <w:b/>
          <w:bCs/>
          <w:i/>
          <w:iCs/>
          <w:color w:val="000000"/>
          <w:sz w:val="36"/>
          <w:szCs w:val="36"/>
        </w:rPr>
        <w:t xml:space="preserve"> the objective of </w:t>
      </w:r>
      <w:r w:rsidR="006D3307" w:rsidRPr="008F1ECE">
        <w:rPr>
          <w:rFonts w:ascii="Arial" w:hAnsi="Arial" w:cs="Arial"/>
          <w:b/>
          <w:bCs/>
          <w:i/>
          <w:iCs/>
          <w:color w:val="000000"/>
          <w:sz w:val="36"/>
          <w:szCs w:val="36"/>
        </w:rPr>
        <w:t>“</w:t>
      </w:r>
      <w:r w:rsidR="0077510F" w:rsidRPr="008F1ECE">
        <w:rPr>
          <w:rFonts w:ascii="Arial" w:hAnsi="Arial" w:cs="Arial"/>
          <w:b/>
          <w:bCs/>
          <w:i/>
          <w:iCs/>
          <w:color w:val="000000"/>
          <w:sz w:val="36"/>
          <w:szCs w:val="36"/>
        </w:rPr>
        <w:t>strengthening the regional presence</w:t>
      </w:r>
      <w:r w:rsidR="006D3307" w:rsidRPr="008F1ECE">
        <w:rPr>
          <w:rFonts w:ascii="Arial" w:hAnsi="Arial" w:cs="Arial"/>
          <w:b/>
          <w:bCs/>
          <w:i/>
          <w:iCs/>
          <w:color w:val="000000"/>
          <w:sz w:val="36"/>
          <w:szCs w:val="36"/>
        </w:rPr>
        <w:t>”</w:t>
      </w:r>
      <w:r w:rsidR="0077510F" w:rsidRPr="008F1ECE">
        <w:rPr>
          <w:rFonts w:ascii="Arial" w:hAnsi="Arial" w:cs="Arial"/>
          <w:b/>
          <w:bCs/>
          <w:i/>
          <w:iCs/>
          <w:color w:val="000000"/>
          <w:sz w:val="36"/>
          <w:szCs w:val="36"/>
        </w:rPr>
        <w:t>?</w:t>
      </w:r>
    </w:p>
    <w:p w14:paraId="2DCAFBF3" w14:textId="77777777" w:rsidR="00736C83" w:rsidRPr="00C10739" w:rsidRDefault="00736C83" w:rsidP="00A075FE">
      <w:pPr>
        <w:jc w:val="center"/>
        <w:rPr>
          <w:b/>
          <w:sz w:val="24"/>
          <w:szCs w:val="24"/>
        </w:rPr>
      </w:pPr>
      <w:r w:rsidRPr="00C10739">
        <w:rPr>
          <w:b/>
          <w:sz w:val="24"/>
          <w:szCs w:val="24"/>
        </w:rPr>
        <w:t>201</w:t>
      </w:r>
      <w:r w:rsidR="00126A0E" w:rsidRPr="00C10739">
        <w:rPr>
          <w:b/>
          <w:sz w:val="24"/>
          <w:szCs w:val="24"/>
        </w:rPr>
        <w:t>8</w:t>
      </w:r>
    </w:p>
    <w:p w14:paraId="5F30675A" w14:textId="77777777" w:rsidR="00736C83" w:rsidRPr="00C10739" w:rsidRDefault="00736C83" w:rsidP="00A075FE">
      <w:pPr>
        <w:jc w:val="center"/>
        <w:rPr>
          <w:b/>
          <w:sz w:val="24"/>
          <w:szCs w:val="24"/>
        </w:rPr>
        <w:sectPr w:rsidR="00736C83" w:rsidRPr="00C10739" w:rsidSect="00547727">
          <w:footerReference w:type="default" r:id="rId11"/>
          <w:headerReference w:type="first" r:id="rId12"/>
          <w:pgSz w:w="12242" w:h="15842" w:code="1"/>
          <w:pgMar w:top="1418" w:right="1701" w:bottom="1418" w:left="1701" w:header="709" w:footer="709" w:gutter="0"/>
          <w:pgNumType w:start="2"/>
          <w:cols w:space="708"/>
          <w:vAlign w:val="both"/>
          <w:titlePg/>
          <w:docGrid w:linePitch="360"/>
        </w:sectPr>
      </w:pPr>
    </w:p>
    <w:p w14:paraId="5EF9CBDF" w14:textId="77777777" w:rsidR="00A83884" w:rsidRPr="00C10739" w:rsidRDefault="004C5575" w:rsidP="00C84A2A">
      <w:pPr>
        <w:pStyle w:val="Heading1"/>
      </w:pPr>
      <w:bookmarkStart w:id="8" w:name="_Toc526772238"/>
      <w:r w:rsidRPr="00C10739">
        <w:t>The Audit Team</w:t>
      </w:r>
      <w:bookmarkEnd w:id="8"/>
    </w:p>
    <w:p w14:paraId="300F2498" w14:textId="77777777" w:rsidR="00C820C9" w:rsidRPr="00C10739" w:rsidRDefault="009009C5" w:rsidP="00C820C9">
      <w:r>
        <w:t>S</w:t>
      </w:r>
      <w:r w:rsidR="00C820C9" w:rsidRPr="00C10739">
        <w:t>pecial reports set out the results of performance and compliance audits of specific budgetary areas or management topics.</w:t>
      </w:r>
    </w:p>
    <w:p w14:paraId="4FFBBB5A" w14:textId="77777777" w:rsidR="00A8795A" w:rsidRDefault="00C820C9" w:rsidP="00FF57FE">
      <w:r w:rsidRPr="00C10739">
        <w:t xml:space="preserve">This </w:t>
      </w:r>
      <w:r w:rsidR="00A8795A">
        <w:t xml:space="preserve">special </w:t>
      </w:r>
      <w:r w:rsidR="00507B0C">
        <w:t>report</w:t>
      </w:r>
      <w:r w:rsidRPr="00C10739">
        <w:t xml:space="preserve"> </w:t>
      </w:r>
      <w:r w:rsidR="00507B0C">
        <w:t xml:space="preserve">covers </w:t>
      </w:r>
      <w:r w:rsidR="0079051C">
        <w:t>two Regional Offices (Brasilia and Addis Ababa) and two Area Offices (Santiago and Dakar). T</w:t>
      </w:r>
      <w:r w:rsidRPr="00C10739">
        <w:t xml:space="preserve">he </w:t>
      </w:r>
      <w:r w:rsidR="00A8795A">
        <w:t xml:space="preserve">field </w:t>
      </w:r>
      <w:r w:rsidR="0079051C">
        <w:t xml:space="preserve">audit on the </w:t>
      </w:r>
      <w:r w:rsidRPr="00C10739">
        <w:t xml:space="preserve">Regional Office for </w:t>
      </w:r>
      <w:r w:rsidR="00611874">
        <w:t xml:space="preserve">the </w:t>
      </w:r>
      <w:r w:rsidRPr="00C10739">
        <w:t xml:space="preserve">Americas </w:t>
      </w:r>
      <w:r w:rsidR="001306FE">
        <w:t>(RAM</w:t>
      </w:r>
      <w:r w:rsidR="0079051C">
        <w:t>)</w:t>
      </w:r>
      <w:r w:rsidR="00FF57FE">
        <w:t xml:space="preserve"> </w:t>
      </w:r>
      <w:r w:rsidRPr="00C10739">
        <w:t>was performed</w:t>
      </w:r>
      <w:r w:rsidR="00A8795A" w:rsidRPr="00C10739" w:rsidDel="00A8795A">
        <w:t xml:space="preserve"> </w:t>
      </w:r>
      <w:r w:rsidRPr="00C10739">
        <w:t>from 22 to 26 January 201</w:t>
      </w:r>
      <w:r w:rsidR="00507B0C">
        <w:t>8</w:t>
      </w:r>
      <w:r w:rsidRPr="00C10739">
        <w:t xml:space="preserve"> (in</w:t>
      </w:r>
      <w:r w:rsidR="00FF57FE">
        <w:t xml:space="preserve"> the Regional Office of</w:t>
      </w:r>
      <w:r w:rsidRPr="00C10739">
        <w:t xml:space="preserve"> Brasilia) and from 29 to 31 January 201</w:t>
      </w:r>
      <w:r w:rsidR="00FF57FE">
        <w:t>8</w:t>
      </w:r>
      <w:r w:rsidRPr="00C10739">
        <w:t xml:space="preserve"> (in the Area Office of Santiago)</w:t>
      </w:r>
      <w:r w:rsidR="00FF57FE">
        <w:t xml:space="preserve">. The </w:t>
      </w:r>
      <w:r w:rsidR="00A8795A">
        <w:t xml:space="preserve">field </w:t>
      </w:r>
      <w:r w:rsidR="00FF57FE">
        <w:t>audit on the Regional Office for</w:t>
      </w:r>
      <w:r w:rsidR="006E01EE">
        <w:t xml:space="preserve"> </w:t>
      </w:r>
      <w:r w:rsidR="00FF57FE">
        <w:t>Africa (RAF) was performed</w:t>
      </w:r>
      <w:r w:rsidR="00A8795A" w:rsidDel="00A8795A">
        <w:t xml:space="preserve"> </w:t>
      </w:r>
      <w:r w:rsidR="00FF57FE">
        <w:t>from 15 to 18 January</w:t>
      </w:r>
      <w:r w:rsidR="00611874">
        <w:t xml:space="preserve"> </w:t>
      </w:r>
      <w:r w:rsidR="00FF57FE">
        <w:t xml:space="preserve">2018 in the Regional </w:t>
      </w:r>
      <w:r w:rsidR="00FF57FE" w:rsidRPr="00FF57FE">
        <w:t>Office of Addis Ababa</w:t>
      </w:r>
      <w:r w:rsidR="00507B0C" w:rsidRPr="00FF57FE">
        <w:t xml:space="preserve"> and </w:t>
      </w:r>
      <w:r w:rsidR="00FF57FE" w:rsidRPr="00FF57FE">
        <w:t xml:space="preserve">from 22 to 26 January 2018 in the Area office of </w:t>
      </w:r>
      <w:r w:rsidR="00507B0C" w:rsidRPr="00FF57FE">
        <w:t>Dakar.</w:t>
      </w:r>
    </w:p>
    <w:p w14:paraId="074F4743" w14:textId="77777777" w:rsidR="00C820C9" w:rsidRDefault="00C820C9" w:rsidP="00FF57FE">
      <w:r w:rsidRPr="00C10739">
        <w:t xml:space="preserve">The audit team </w:t>
      </w:r>
      <w:r w:rsidR="001306FE">
        <w:t xml:space="preserve">for RAM </w:t>
      </w:r>
      <w:r w:rsidRPr="00C10739">
        <w:t xml:space="preserve">was led by </w:t>
      </w:r>
      <w:r w:rsidR="00A8795A">
        <w:t>Counsellor</w:t>
      </w:r>
      <w:r w:rsidRPr="00C10739">
        <w:t xml:space="preserve">. Maria Annunziata Rucireta, </w:t>
      </w:r>
      <w:r w:rsidR="00A8795A">
        <w:t xml:space="preserve">Member of </w:t>
      </w:r>
      <w:r w:rsidRPr="00C10739">
        <w:t>the Corte dei conti’s Audit Chamber for European and International Affairs, and was composed of Mr. Stefano Penati and Mr. Flavio Giuseppone, as auditors.</w:t>
      </w:r>
    </w:p>
    <w:p w14:paraId="076D8778" w14:textId="77777777" w:rsidR="003933C6" w:rsidRPr="00C10739" w:rsidRDefault="003933C6" w:rsidP="00FF57FE">
      <w:r>
        <w:t xml:space="preserve">The </w:t>
      </w:r>
      <w:r w:rsidRPr="00C10739">
        <w:t xml:space="preserve">audit team </w:t>
      </w:r>
      <w:r>
        <w:t xml:space="preserve">for </w:t>
      </w:r>
      <w:r w:rsidR="00FF57FE">
        <w:t xml:space="preserve">RAF </w:t>
      </w:r>
      <w:r w:rsidRPr="00C10739">
        <w:t xml:space="preserve">was led by </w:t>
      </w:r>
      <w:r w:rsidR="00A8795A">
        <w:t>Counsellor</w:t>
      </w:r>
      <w:r w:rsidRPr="00C10739">
        <w:t xml:space="preserve"> </w:t>
      </w:r>
      <w:r>
        <w:t>Giacinto Dammicco</w:t>
      </w:r>
      <w:r w:rsidRPr="00C10739">
        <w:t>,</w:t>
      </w:r>
      <w:r w:rsidR="00A8795A">
        <w:t xml:space="preserve"> Member</w:t>
      </w:r>
      <w:r w:rsidRPr="00C10739">
        <w:t xml:space="preserve"> of the Corte dei conti’s Audit Chamber for European and International Affairs, and was composed of M</w:t>
      </w:r>
      <w:r>
        <w:t>s. Valeria Leopizzi</w:t>
      </w:r>
      <w:r w:rsidRPr="00C10739">
        <w:t>, as auditor</w:t>
      </w:r>
      <w:r w:rsidR="00FF57FE">
        <w:t>.</w:t>
      </w:r>
    </w:p>
    <w:p w14:paraId="0FF2CDEE" w14:textId="77777777" w:rsidR="00C820C9" w:rsidRPr="00C10739" w:rsidRDefault="00C820C9" w:rsidP="00C820C9">
      <w:r w:rsidRPr="00C10739">
        <w:t xml:space="preserve">During the </w:t>
      </w:r>
      <w:r w:rsidR="00653A15">
        <w:t xml:space="preserve">field </w:t>
      </w:r>
      <w:r w:rsidRPr="00C10739">
        <w:t xml:space="preserve">visits, the local staff were very helpful and actively cooperated </w:t>
      </w:r>
      <w:r w:rsidR="00A07604">
        <w:t>in</w:t>
      </w:r>
      <w:r w:rsidRPr="00C10739">
        <w:t xml:space="preserve"> the audit activities; we therefore wish to thank them for their </w:t>
      </w:r>
      <w:r w:rsidR="0079051C">
        <w:t xml:space="preserve">assistance and </w:t>
      </w:r>
      <w:r w:rsidRPr="00C10739">
        <w:t>collaboration.</w:t>
      </w:r>
    </w:p>
    <w:p w14:paraId="70D2D3F0" w14:textId="77777777" w:rsidR="00A83884" w:rsidRPr="00C10739" w:rsidRDefault="00C820C9" w:rsidP="00C820C9">
      <w:r w:rsidRPr="00C10739">
        <w:t>This report was approved by the Audit Chamber for European and International Affairs.</w:t>
      </w:r>
    </w:p>
    <w:p w14:paraId="63198C08" w14:textId="77777777" w:rsidR="005055FC" w:rsidRPr="00C10739" w:rsidRDefault="005055FC" w:rsidP="004C5575"/>
    <w:p w14:paraId="661DF3D5" w14:textId="77777777" w:rsidR="00921B9E" w:rsidRPr="00C10739" w:rsidRDefault="00921B9E" w:rsidP="004C5575">
      <w:pPr>
        <w:sectPr w:rsidR="00921B9E" w:rsidRPr="00C10739" w:rsidSect="00E51763">
          <w:headerReference w:type="default" r:id="rId13"/>
          <w:footerReference w:type="default" r:id="rId14"/>
          <w:pgSz w:w="12242" w:h="15842" w:code="1"/>
          <w:pgMar w:top="1418" w:right="1701" w:bottom="1418" w:left="1701" w:header="709" w:footer="709" w:gutter="0"/>
          <w:cols w:space="708"/>
          <w:docGrid w:linePitch="360"/>
        </w:sectPr>
      </w:pPr>
    </w:p>
    <w:bookmarkStart w:id="9" w:name="_Toc415566465" w:displacedByCustomXml="next"/>
    <w:bookmarkStart w:id="10" w:name="_Toc415170454" w:displacedByCustomXml="next"/>
    <w:sdt>
      <w:sdtPr>
        <w:rPr>
          <w:b w:val="0"/>
          <w:sz w:val="22"/>
          <w:szCs w:val="22"/>
          <w:lang w:eastAsia="it-IT"/>
        </w:rPr>
        <w:id w:val="2016030268"/>
        <w:docPartObj>
          <w:docPartGallery w:val="Table of Contents"/>
          <w:docPartUnique/>
        </w:docPartObj>
      </w:sdtPr>
      <w:sdtEndPr>
        <w:rPr>
          <w:bCs/>
          <w:noProof/>
        </w:rPr>
      </w:sdtEndPr>
      <w:sdtContent>
        <w:p w14:paraId="262025EC" w14:textId="77777777" w:rsidR="00B201D3" w:rsidRPr="00C10739" w:rsidRDefault="007A5B1C" w:rsidP="00C84A2A">
          <w:pPr>
            <w:pStyle w:val="TOCHeading"/>
          </w:pPr>
          <w:r w:rsidRPr="00C10739">
            <w:t xml:space="preserve">Table of </w:t>
          </w:r>
          <w:r w:rsidR="00B201D3" w:rsidRPr="00C10739">
            <w:t>Contents</w:t>
          </w:r>
        </w:p>
        <w:p w14:paraId="3A5B85A8" w14:textId="77777777" w:rsidR="00E95085" w:rsidRDefault="00AC55C1">
          <w:pPr>
            <w:pStyle w:val="TOC1"/>
            <w:rPr>
              <w:rFonts w:asciiTheme="minorHAnsi" w:hAnsiTheme="minorHAnsi" w:cstheme="minorBidi"/>
              <w:b w:val="0"/>
              <w:sz w:val="22"/>
              <w:lang w:val="it-IT" w:eastAsia="it-IT"/>
            </w:rPr>
          </w:pPr>
          <w:r w:rsidRPr="00C10739">
            <w:fldChar w:fldCharType="begin"/>
          </w:r>
          <w:r w:rsidR="00B201D3" w:rsidRPr="00C10739">
            <w:instrText xml:space="preserve"> TOC \o "1-3" \h \z \u </w:instrText>
          </w:r>
          <w:r w:rsidRPr="00C10739">
            <w:fldChar w:fldCharType="separate"/>
          </w:r>
          <w:hyperlink w:anchor="_Toc526772238" w:history="1">
            <w:r w:rsidR="00E95085" w:rsidRPr="009D52DB">
              <w:rPr>
                <w:rStyle w:val="Hyperlink"/>
              </w:rPr>
              <w:t>The Audit Team</w:t>
            </w:r>
            <w:r w:rsidR="00E95085">
              <w:rPr>
                <w:webHidden/>
              </w:rPr>
              <w:tab/>
            </w:r>
            <w:r w:rsidR="00E95085">
              <w:rPr>
                <w:webHidden/>
              </w:rPr>
              <w:fldChar w:fldCharType="begin"/>
            </w:r>
            <w:r w:rsidR="00E95085">
              <w:rPr>
                <w:webHidden/>
              </w:rPr>
              <w:instrText xml:space="preserve"> PAGEREF _Toc526772238 \h </w:instrText>
            </w:r>
            <w:r w:rsidR="00E95085">
              <w:rPr>
                <w:webHidden/>
              </w:rPr>
            </w:r>
            <w:r w:rsidR="00E95085">
              <w:rPr>
                <w:webHidden/>
              </w:rPr>
              <w:fldChar w:fldCharType="separate"/>
            </w:r>
            <w:r w:rsidR="00C26074">
              <w:rPr>
                <w:webHidden/>
              </w:rPr>
              <w:t>2</w:t>
            </w:r>
            <w:r w:rsidR="00E95085">
              <w:rPr>
                <w:webHidden/>
              </w:rPr>
              <w:fldChar w:fldCharType="end"/>
            </w:r>
          </w:hyperlink>
        </w:p>
        <w:p w14:paraId="64235D57" w14:textId="77777777" w:rsidR="00E95085" w:rsidRDefault="00007ED2">
          <w:pPr>
            <w:pStyle w:val="TOC1"/>
            <w:rPr>
              <w:rFonts w:asciiTheme="minorHAnsi" w:hAnsiTheme="minorHAnsi" w:cstheme="minorBidi"/>
              <w:b w:val="0"/>
              <w:sz w:val="22"/>
              <w:lang w:val="it-IT" w:eastAsia="it-IT"/>
            </w:rPr>
          </w:pPr>
          <w:hyperlink w:anchor="_Toc526772239" w:history="1">
            <w:r w:rsidR="00E95085" w:rsidRPr="009D52DB">
              <w:rPr>
                <w:rStyle w:val="Hyperlink"/>
              </w:rPr>
              <w:t>Glossary and abbreviations</w:t>
            </w:r>
            <w:r w:rsidR="00E95085">
              <w:rPr>
                <w:webHidden/>
              </w:rPr>
              <w:tab/>
            </w:r>
            <w:r w:rsidR="00E95085">
              <w:rPr>
                <w:webHidden/>
              </w:rPr>
              <w:fldChar w:fldCharType="begin"/>
            </w:r>
            <w:r w:rsidR="00E95085">
              <w:rPr>
                <w:webHidden/>
              </w:rPr>
              <w:instrText xml:space="preserve"> PAGEREF _Toc526772239 \h </w:instrText>
            </w:r>
            <w:r w:rsidR="00E95085">
              <w:rPr>
                <w:webHidden/>
              </w:rPr>
            </w:r>
            <w:r w:rsidR="00E95085">
              <w:rPr>
                <w:webHidden/>
              </w:rPr>
              <w:fldChar w:fldCharType="separate"/>
            </w:r>
            <w:r w:rsidR="00C26074">
              <w:rPr>
                <w:webHidden/>
              </w:rPr>
              <w:t>5</w:t>
            </w:r>
            <w:r w:rsidR="00E95085">
              <w:rPr>
                <w:webHidden/>
              </w:rPr>
              <w:fldChar w:fldCharType="end"/>
            </w:r>
          </w:hyperlink>
        </w:p>
        <w:p w14:paraId="3BC0AE3E" w14:textId="77777777" w:rsidR="00E95085" w:rsidRDefault="00007ED2">
          <w:pPr>
            <w:pStyle w:val="TOC1"/>
            <w:rPr>
              <w:rFonts w:asciiTheme="minorHAnsi" w:hAnsiTheme="minorHAnsi" w:cstheme="minorBidi"/>
              <w:b w:val="0"/>
              <w:sz w:val="22"/>
              <w:lang w:val="it-IT" w:eastAsia="it-IT"/>
            </w:rPr>
          </w:pPr>
          <w:hyperlink w:anchor="_Toc526772240" w:history="1">
            <w:r w:rsidR="00E95085" w:rsidRPr="009D52DB">
              <w:rPr>
                <w:rStyle w:val="Hyperlink"/>
              </w:rPr>
              <w:t>Executive Summary</w:t>
            </w:r>
            <w:r w:rsidR="00E95085">
              <w:rPr>
                <w:webHidden/>
              </w:rPr>
              <w:tab/>
            </w:r>
            <w:r w:rsidR="00E95085">
              <w:rPr>
                <w:webHidden/>
              </w:rPr>
              <w:fldChar w:fldCharType="begin"/>
            </w:r>
            <w:r w:rsidR="00E95085">
              <w:rPr>
                <w:webHidden/>
              </w:rPr>
              <w:instrText xml:space="preserve"> PAGEREF _Toc526772240 \h </w:instrText>
            </w:r>
            <w:r w:rsidR="00E95085">
              <w:rPr>
                <w:webHidden/>
              </w:rPr>
            </w:r>
            <w:r w:rsidR="00E95085">
              <w:rPr>
                <w:webHidden/>
              </w:rPr>
              <w:fldChar w:fldCharType="separate"/>
            </w:r>
            <w:r w:rsidR="00C26074">
              <w:rPr>
                <w:webHidden/>
              </w:rPr>
              <w:t>6</w:t>
            </w:r>
            <w:r w:rsidR="00E95085">
              <w:rPr>
                <w:webHidden/>
              </w:rPr>
              <w:fldChar w:fldCharType="end"/>
            </w:r>
          </w:hyperlink>
        </w:p>
        <w:p w14:paraId="69E95FFB" w14:textId="77777777" w:rsidR="00E95085" w:rsidRDefault="00007ED2">
          <w:pPr>
            <w:pStyle w:val="TOC1"/>
            <w:rPr>
              <w:rFonts w:asciiTheme="minorHAnsi" w:hAnsiTheme="minorHAnsi" w:cstheme="minorBidi"/>
              <w:b w:val="0"/>
              <w:sz w:val="22"/>
              <w:lang w:val="it-IT" w:eastAsia="it-IT"/>
            </w:rPr>
          </w:pPr>
          <w:hyperlink w:anchor="_Toc526772241" w:history="1">
            <w:r w:rsidR="00E95085" w:rsidRPr="009D52DB">
              <w:rPr>
                <w:rStyle w:val="Hyperlink"/>
              </w:rPr>
              <w:t>Introduction</w:t>
            </w:r>
            <w:r w:rsidR="00E95085">
              <w:rPr>
                <w:webHidden/>
              </w:rPr>
              <w:tab/>
            </w:r>
            <w:r w:rsidR="00E95085">
              <w:rPr>
                <w:webHidden/>
              </w:rPr>
              <w:fldChar w:fldCharType="begin"/>
            </w:r>
            <w:r w:rsidR="00E95085">
              <w:rPr>
                <w:webHidden/>
              </w:rPr>
              <w:instrText xml:space="preserve"> PAGEREF _Toc526772241 \h </w:instrText>
            </w:r>
            <w:r w:rsidR="00E95085">
              <w:rPr>
                <w:webHidden/>
              </w:rPr>
            </w:r>
            <w:r w:rsidR="00E95085">
              <w:rPr>
                <w:webHidden/>
              </w:rPr>
              <w:fldChar w:fldCharType="separate"/>
            </w:r>
            <w:r w:rsidR="00C26074">
              <w:rPr>
                <w:webHidden/>
              </w:rPr>
              <w:t>7</w:t>
            </w:r>
            <w:r w:rsidR="00E95085">
              <w:rPr>
                <w:webHidden/>
              </w:rPr>
              <w:fldChar w:fldCharType="end"/>
            </w:r>
          </w:hyperlink>
        </w:p>
        <w:p w14:paraId="391409C2" w14:textId="77777777" w:rsidR="00E95085" w:rsidRDefault="00007ED2">
          <w:pPr>
            <w:pStyle w:val="TOC2"/>
            <w:rPr>
              <w:rFonts w:asciiTheme="minorHAnsi" w:hAnsiTheme="minorHAnsi" w:cstheme="minorBidi"/>
              <w:noProof/>
              <w:sz w:val="22"/>
              <w:lang w:val="it-IT" w:eastAsia="it-IT"/>
            </w:rPr>
          </w:pPr>
          <w:hyperlink w:anchor="_Toc526772242" w:history="1">
            <w:r w:rsidR="00E95085" w:rsidRPr="009D52DB">
              <w:rPr>
                <w:rStyle w:val="Hyperlink"/>
                <w:noProof/>
              </w:rPr>
              <w:t>ITU framework and activities for Telecommunication Development</w:t>
            </w:r>
            <w:r w:rsidR="00E95085">
              <w:rPr>
                <w:noProof/>
                <w:webHidden/>
              </w:rPr>
              <w:tab/>
            </w:r>
            <w:r w:rsidR="00E95085">
              <w:rPr>
                <w:noProof/>
                <w:webHidden/>
              </w:rPr>
              <w:fldChar w:fldCharType="begin"/>
            </w:r>
            <w:r w:rsidR="00E95085">
              <w:rPr>
                <w:noProof/>
                <w:webHidden/>
              </w:rPr>
              <w:instrText xml:space="preserve"> PAGEREF _Toc526772242 \h </w:instrText>
            </w:r>
            <w:r w:rsidR="00E95085">
              <w:rPr>
                <w:noProof/>
                <w:webHidden/>
              </w:rPr>
            </w:r>
            <w:r w:rsidR="00E95085">
              <w:rPr>
                <w:noProof/>
                <w:webHidden/>
              </w:rPr>
              <w:fldChar w:fldCharType="separate"/>
            </w:r>
            <w:r w:rsidR="00C26074">
              <w:rPr>
                <w:noProof/>
                <w:webHidden/>
              </w:rPr>
              <w:t>7</w:t>
            </w:r>
            <w:r w:rsidR="00E95085">
              <w:rPr>
                <w:noProof/>
                <w:webHidden/>
              </w:rPr>
              <w:fldChar w:fldCharType="end"/>
            </w:r>
          </w:hyperlink>
        </w:p>
        <w:p w14:paraId="50C72EB1" w14:textId="77777777" w:rsidR="00E95085" w:rsidRDefault="00007ED2">
          <w:pPr>
            <w:pStyle w:val="TOC2"/>
            <w:rPr>
              <w:rFonts w:asciiTheme="minorHAnsi" w:hAnsiTheme="minorHAnsi" w:cstheme="minorBidi"/>
              <w:noProof/>
              <w:sz w:val="22"/>
              <w:lang w:val="it-IT" w:eastAsia="it-IT"/>
            </w:rPr>
          </w:pPr>
          <w:hyperlink w:anchor="_Toc526772243" w:history="1">
            <w:r w:rsidR="00E95085" w:rsidRPr="009D52DB">
              <w:rPr>
                <w:rStyle w:val="Hyperlink"/>
                <w:noProof/>
              </w:rPr>
              <w:t>ITU’s Regional Presence</w:t>
            </w:r>
            <w:r w:rsidR="00E95085">
              <w:rPr>
                <w:noProof/>
                <w:webHidden/>
              </w:rPr>
              <w:tab/>
            </w:r>
            <w:r w:rsidR="00E95085">
              <w:rPr>
                <w:noProof/>
                <w:webHidden/>
              </w:rPr>
              <w:fldChar w:fldCharType="begin"/>
            </w:r>
            <w:r w:rsidR="00E95085">
              <w:rPr>
                <w:noProof/>
                <w:webHidden/>
              </w:rPr>
              <w:instrText xml:space="preserve"> PAGEREF _Toc526772243 \h </w:instrText>
            </w:r>
            <w:r w:rsidR="00E95085">
              <w:rPr>
                <w:noProof/>
                <w:webHidden/>
              </w:rPr>
            </w:r>
            <w:r w:rsidR="00E95085">
              <w:rPr>
                <w:noProof/>
                <w:webHidden/>
              </w:rPr>
              <w:fldChar w:fldCharType="separate"/>
            </w:r>
            <w:r w:rsidR="00C26074">
              <w:rPr>
                <w:noProof/>
                <w:webHidden/>
              </w:rPr>
              <w:t>9</w:t>
            </w:r>
            <w:r w:rsidR="00E95085">
              <w:rPr>
                <w:noProof/>
                <w:webHidden/>
              </w:rPr>
              <w:fldChar w:fldCharType="end"/>
            </w:r>
          </w:hyperlink>
        </w:p>
        <w:p w14:paraId="045726A1" w14:textId="77777777" w:rsidR="00E95085" w:rsidRDefault="00007ED2">
          <w:pPr>
            <w:pStyle w:val="TOC2"/>
            <w:rPr>
              <w:rFonts w:asciiTheme="minorHAnsi" w:hAnsiTheme="minorHAnsi" w:cstheme="minorBidi"/>
              <w:noProof/>
              <w:sz w:val="22"/>
              <w:lang w:val="it-IT" w:eastAsia="it-IT"/>
            </w:rPr>
          </w:pPr>
          <w:hyperlink w:anchor="_Toc526772244" w:history="1">
            <w:r w:rsidR="00E95085" w:rsidRPr="009D52DB">
              <w:rPr>
                <w:rStyle w:val="Hyperlink"/>
                <w:noProof/>
              </w:rPr>
              <w:t>The Dubai and Buenos Aires Action Plans</w:t>
            </w:r>
            <w:r w:rsidR="00E95085">
              <w:rPr>
                <w:noProof/>
                <w:webHidden/>
              </w:rPr>
              <w:tab/>
            </w:r>
            <w:r w:rsidR="00E95085">
              <w:rPr>
                <w:noProof/>
                <w:webHidden/>
              </w:rPr>
              <w:fldChar w:fldCharType="begin"/>
            </w:r>
            <w:r w:rsidR="00E95085">
              <w:rPr>
                <w:noProof/>
                <w:webHidden/>
              </w:rPr>
              <w:instrText xml:space="preserve"> PAGEREF _Toc526772244 \h </w:instrText>
            </w:r>
            <w:r w:rsidR="00E95085">
              <w:rPr>
                <w:noProof/>
                <w:webHidden/>
              </w:rPr>
            </w:r>
            <w:r w:rsidR="00E95085">
              <w:rPr>
                <w:noProof/>
                <w:webHidden/>
              </w:rPr>
              <w:fldChar w:fldCharType="separate"/>
            </w:r>
            <w:r w:rsidR="00C26074">
              <w:rPr>
                <w:noProof/>
                <w:webHidden/>
              </w:rPr>
              <w:t>10</w:t>
            </w:r>
            <w:r w:rsidR="00E95085">
              <w:rPr>
                <w:noProof/>
                <w:webHidden/>
              </w:rPr>
              <w:fldChar w:fldCharType="end"/>
            </w:r>
          </w:hyperlink>
        </w:p>
        <w:p w14:paraId="1E71984D" w14:textId="77777777" w:rsidR="00E95085" w:rsidRDefault="00007ED2">
          <w:pPr>
            <w:pStyle w:val="TOC2"/>
            <w:rPr>
              <w:rFonts w:asciiTheme="minorHAnsi" w:hAnsiTheme="minorHAnsi" w:cstheme="minorBidi"/>
              <w:noProof/>
              <w:sz w:val="22"/>
              <w:lang w:val="it-IT" w:eastAsia="it-IT"/>
            </w:rPr>
          </w:pPr>
          <w:hyperlink w:anchor="_Toc526772245" w:history="1">
            <w:r w:rsidR="00E95085" w:rsidRPr="009D52DB">
              <w:rPr>
                <w:rStyle w:val="Hyperlink"/>
                <w:noProof/>
              </w:rPr>
              <w:t>Initiatives to implement the Dubai and Buenos Aires Action Plans in the Americas Region</w:t>
            </w:r>
            <w:r w:rsidR="00E95085">
              <w:rPr>
                <w:noProof/>
                <w:webHidden/>
              </w:rPr>
              <w:tab/>
            </w:r>
            <w:r w:rsidR="00E95085">
              <w:rPr>
                <w:noProof/>
                <w:webHidden/>
              </w:rPr>
              <w:fldChar w:fldCharType="begin"/>
            </w:r>
            <w:r w:rsidR="00E95085">
              <w:rPr>
                <w:noProof/>
                <w:webHidden/>
              </w:rPr>
              <w:instrText xml:space="preserve"> PAGEREF _Toc526772245 \h </w:instrText>
            </w:r>
            <w:r w:rsidR="00E95085">
              <w:rPr>
                <w:noProof/>
                <w:webHidden/>
              </w:rPr>
            </w:r>
            <w:r w:rsidR="00E95085">
              <w:rPr>
                <w:noProof/>
                <w:webHidden/>
              </w:rPr>
              <w:fldChar w:fldCharType="separate"/>
            </w:r>
            <w:r w:rsidR="00C26074">
              <w:rPr>
                <w:noProof/>
                <w:webHidden/>
              </w:rPr>
              <w:t>11</w:t>
            </w:r>
            <w:r w:rsidR="00E95085">
              <w:rPr>
                <w:noProof/>
                <w:webHidden/>
              </w:rPr>
              <w:fldChar w:fldCharType="end"/>
            </w:r>
          </w:hyperlink>
        </w:p>
        <w:p w14:paraId="06EC8317" w14:textId="77777777" w:rsidR="00E95085" w:rsidRDefault="00007ED2">
          <w:pPr>
            <w:pStyle w:val="TOC2"/>
            <w:rPr>
              <w:rFonts w:asciiTheme="minorHAnsi" w:hAnsiTheme="minorHAnsi" w:cstheme="minorBidi"/>
              <w:noProof/>
              <w:sz w:val="22"/>
              <w:lang w:val="it-IT" w:eastAsia="it-IT"/>
            </w:rPr>
          </w:pPr>
          <w:hyperlink w:anchor="_Toc526772246" w:history="1">
            <w:r w:rsidR="00E95085" w:rsidRPr="009D52DB">
              <w:rPr>
                <w:rStyle w:val="Hyperlink"/>
                <w:noProof/>
              </w:rPr>
              <w:t>Initiatives to implement the Dubai and Buenos Aires Action Plans in the Africa Region</w:t>
            </w:r>
            <w:r w:rsidR="00E95085">
              <w:rPr>
                <w:noProof/>
                <w:webHidden/>
              </w:rPr>
              <w:tab/>
            </w:r>
            <w:r w:rsidR="00E95085">
              <w:rPr>
                <w:noProof/>
                <w:webHidden/>
              </w:rPr>
              <w:fldChar w:fldCharType="begin"/>
            </w:r>
            <w:r w:rsidR="00E95085">
              <w:rPr>
                <w:noProof/>
                <w:webHidden/>
              </w:rPr>
              <w:instrText xml:space="preserve"> PAGEREF _Toc526772246 \h </w:instrText>
            </w:r>
            <w:r w:rsidR="00E95085">
              <w:rPr>
                <w:noProof/>
                <w:webHidden/>
              </w:rPr>
            </w:r>
            <w:r w:rsidR="00E95085">
              <w:rPr>
                <w:noProof/>
                <w:webHidden/>
              </w:rPr>
              <w:fldChar w:fldCharType="separate"/>
            </w:r>
            <w:r w:rsidR="00C26074">
              <w:rPr>
                <w:noProof/>
                <w:webHidden/>
              </w:rPr>
              <w:t>12</w:t>
            </w:r>
            <w:r w:rsidR="00E95085">
              <w:rPr>
                <w:noProof/>
                <w:webHidden/>
              </w:rPr>
              <w:fldChar w:fldCharType="end"/>
            </w:r>
          </w:hyperlink>
        </w:p>
        <w:p w14:paraId="3A6DB6EA" w14:textId="77777777" w:rsidR="00E95085" w:rsidRDefault="00007ED2">
          <w:pPr>
            <w:pStyle w:val="TOC1"/>
            <w:rPr>
              <w:rFonts w:asciiTheme="minorHAnsi" w:hAnsiTheme="minorHAnsi" w:cstheme="minorBidi"/>
              <w:b w:val="0"/>
              <w:sz w:val="22"/>
              <w:lang w:val="it-IT" w:eastAsia="it-IT"/>
            </w:rPr>
          </w:pPr>
          <w:hyperlink w:anchor="_Toc526772247" w:history="1">
            <w:r w:rsidR="00E95085" w:rsidRPr="009D52DB">
              <w:rPr>
                <w:rStyle w:val="Hyperlink"/>
              </w:rPr>
              <w:t>Audit scope and approach</w:t>
            </w:r>
            <w:r w:rsidR="00E95085">
              <w:rPr>
                <w:webHidden/>
              </w:rPr>
              <w:tab/>
            </w:r>
            <w:r w:rsidR="00E95085">
              <w:rPr>
                <w:webHidden/>
              </w:rPr>
              <w:fldChar w:fldCharType="begin"/>
            </w:r>
            <w:r w:rsidR="00E95085">
              <w:rPr>
                <w:webHidden/>
              </w:rPr>
              <w:instrText xml:space="preserve"> PAGEREF _Toc526772247 \h </w:instrText>
            </w:r>
            <w:r w:rsidR="00E95085">
              <w:rPr>
                <w:webHidden/>
              </w:rPr>
            </w:r>
            <w:r w:rsidR="00E95085">
              <w:rPr>
                <w:webHidden/>
              </w:rPr>
              <w:fldChar w:fldCharType="separate"/>
            </w:r>
            <w:r w:rsidR="00C26074">
              <w:rPr>
                <w:webHidden/>
              </w:rPr>
              <w:t>14</w:t>
            </w:r>
            <w:r w:rsidR="00E95085">
              <w:rPr>
                <w:webHidden/>
              </w:rPr>
              <w:fldChar w:fldCharType="end"/>
            </w:r>
          </w:hyperlink>
        </w:p>
        <w:p w14:paraId="1E0EF345" w14:textId="77777777" w:rsidR="00E95085" w:rsidRDefault="00007ED2">
          <w:pPr>
            <w:pStyle w:val="TOC2"/>
            <w:rPr>
              <w:rFonts w:asciiTheme="minorHAnsi" w:hAnsiTheme="minorHAnsi" w:cstheme="minorBidi"/>
              <w:noProof/>
              <w:sz w:val="22"/>
              <w:lang w:val="it-IT" w:eastAsia="it-IT"/>
            </w:rPr>
          </w:pPr>
          <w:hyperlink w:anchor="_Toc526772248" w:history="1">
            <w:r w:rsidR="00E95085" w:rsidRPr="009D52DB">
              <w:rPr>
                <w:rStyle w:val="Hyperlink"/>
                <w:noProof/>
              </w:rPr>
              <w:t>Audit objectives</w:t>
            </w:r>
            <w:r w:rsidR="00E95085">
              <w:rPr>
                <w:noProof/>
                <w:webHidden/>
              </w:rPr>
              <w:tab/>
            </w:r>
            <w:r w:rsidR="00E95085">
              <w:rPr>
                <w:noProof/>
                <w:webHidden/>
              </w:rPr>
              <w:fldChar w:fldCharType="begin"/>
            </w:r>
            <w:r w:rsidR="00E95085">
              <w:rPr>
                <w:noProof/>
                <w:webHidden/>
              </w:rPr>
              <w:instrText xml:space="preserve"> PAGEREF _Toc526772248 \h </w:instrText>
            </w:r>
            <w:r w:rsidR="00E95085">
              <w:rPr>
                <w:noProof/>
                <w:webHidden/>
              </w:rPr>
            </w:r>
            <w:r w:rsidR="00E95085">
              <w:rPr>
                <w:noProof/>
                <w:webHidden/>
              </w:rPr>
              <w:fldChar w:fldCharType="separate"/>
            </w:r>
            <w:r w:rsidR="00C26074">
              <w:rPr>
                <w:noProof/>
                <w:webHidden/>
              </w:rPr>
              <w:t>14</w:t>
            </w:r>
            <w:r w:rsidR="00E95085">
              <w:rPr>
                <w:noProof/>
                <w:webHidden/>
              </w:rPr>
              <w:fldChar w:fldCharType="end"/>
            </w:r>
          </w:hyperlink>
        </w:p>
        <w:p w14:paraId="3E9763C0" w14:textId="77777777" w:rsidR="00E95085" w:rsidRDefault="00007ED2">
          <w:pPr>
            <w:pStyle w:val="TOC1"/>
            <w:rPr>
              <w:rFonts w:asciiTheme="minorHAnsi" w:hAnsiTheme="minorHAnsi" w:cstheme="minorBidi"/>
              <w:b w:val="0"/>
              <w:sz w:val="22"/>
              <w:lang w:val="it-IT" w:eastAsia="it-IT"/>
            </w:rPr>
          </w:pPr>
          <w:hyperlink w:anchor="_Toc526772249" w:history="1">
            <w:r w:rsidR="00E95085" w:rsidRPr="009D52DB">
              <w:rPr>
                <w:rStyle w:val="Hyperlink"/>
              </w:rPr>
              <w:t>Observations</w:t>
            </w:r>
            <w:r w:rsidR="00E95085">
              <w:rPr>
                <w:webHidden/>
              </w:rPr>
              <w:tab/>
            </w:r>
            <w:r w:rsidR="00E95085">
              <w:rPr>
                <w:webHidden/>
              </w:rPr>
              <w:fldChar w:fldCharType="begin"/>
            </w:r>
            <w:r w:rsidR="00E95085">
              <w:rPr>
                <w:webHidden/>
              </w:rPr>
              <w:instrText xml:space="preserve"> PAGEREF _Toc526772249 \h </w:instrText>
            </w:r>
            <w:r w:rsidR="00E95085">
              <w:rPr>
                <w:webHidden/>
              </w:rPr>
            </w:r>
            <w:r w:rsidR="00E95085">
              <w:rPr>
                <w:webHidden/>
              </w:rPr>
              <w:fldChar w:fldCharType="separate"/>
            </w:r>
            <w:r w:rsidR="00C26074">
              <w:rPr>
                <w:webHidden/>
              </w:rPr>
              <w:t>19</w:t>
            </w:r>
            <w:r w:rsidR="00E95085">
              <w:rPr>
                <w:webHidden/>
              </w:rPr>
              <w:fldChar w:fldCharType="end"/>
            </w:r>
          </w:hyperlink>
        </w:p>
        <w:p w14:paraId="50DA93BE" w14:textId="77777777" w:rsidR="00E95085" w:rsidRDefault="00007ED2">
          <w:pPr>
            <w:pStyle w:val="TOC2"/>
            <w:rPr>
              <w:rFonts w:asciiTheme="minorHAnsi" w:hAnsiTheme="minorHAnsi" w:cstheme="minorBidi"/>
              <w:noProof/>
              <w:sz w:val="22"/>
              <w:lang w:val="it-IT" w:eastAsia="it-IT"/>
            </w:rPr>
          </w:pPr>
          <w:hyperlink w:anchor="_Toc526772250" w:history="1">
            <w:r w:rsidR="00E95085" w:rsidRPr="009D52DB">
              <w:rPr>
                <w:rStyle w:val="Hyperlink"/>
                <w:noProof/>
              </w:rPr>
              <w:t>Objectives, KPIs and risks in the operational activities for “strengthening the regional presence”</w:t>
            </w:r>
            <w:r w:rsidR="00E95085">
              <w:rPr>
                <w:noProof/>
                <w:webHidden/>
              </w:rPr>
              <w:tab/>
            </w:r>
            <w:r w:rsidR="00E95085">
              <w:rPr>
                <w:noProof/>
                <w:webHidden/>
              </w:rPr>
              <w:fldChar w:fldCharType="begin"/>
            </w:r>
            <w:r w:rsidR="00E95085">
              <w:rPr>
                <w:noProof/>
                <w:webHidden/>
              </w:rPr>
              <w:instrText xml:space="preserve"> PAGEREF _Toc526772250 \h </w:instrText>
            </w:r>
            <w:r w:rsidR="00E95085">
              <w:rPr>
                <w:noProof/>
                <w:webHidden/>
              </w:rPr>
            </w:r>
            <w:r w:rsidR="00E95085">
              <w:rPr>
                <w:noProof/>
                <w:webHidden/>
              </w:rPr>
              <w:fldChar w:fldCharType="separate"/>
            </w:r>
            <w:r w:rsidR="00C26074">
              <w:rPr>
                <w:noProof/>
                <w:webHidden/>
              </w:rPr>
              <w:t>19</w:t>
            </w:r>
            <w:r w:rsidR="00E95085">
              <w:rPr>
                <w:noProof/>
                <w:webHidden/>
              </w:rPr>
              <w:fldChar w:fldCharType="end"/>
            </w:r>
          </w:hyperlink>
        </w:p>
        <w:p w14:paraId="6C62B570" w14:textId="77777777" w:rsidR="00E95085" w:rsidRDefault="00007ED2">
          <w:pPr>
            <w:pStyle w:val="TOC3"/>
            <w:rPr>
              <w:rFonts w:asciiTheme="minorHAnsi" w:hAnsiTheme="minorHAnsi" w:cstheme="minorBidi"/>
              <w:i w:val="0"/>
              <w:lang w:val="it-IT"/>
            </w:rPr>
          </w:pPr>
          <w:hyperlink w:anchor="_Toc526772251" w:history="1">
            <w:r w:rsidR="00E95085" w:rsidRPr="009D52DB">
              <w:rPr>
                <w:rStyle w:val="Hyperlink"/>
              </w:rPr>
              <w:t>It is not possible for Management to derive specific and measurable objectives directly from PP Res. 25</w:t>
            </w:r>
            <w:r w:rsidR="00E95085">
              <w:rPr>
                <w:webHidden/>
              </w:rPr>
              <w:tab/>
            </w:r>
            <w:r w:rsidR="00E95085">
              <w:rPr>
                <w:webHidden/>
              </w:rPr>
              <w:fldChar w:fldCharType="begin"/>
            </w:r>
            <w:r w:rsidR="00E95085">
              <w:rPr>
                <w:webHidden/>
              </w:rPr>
              <w:instrText xml:space="preserve"> PAGEREF _Toc526772251 \h </w:instrText>
            </w:r>
            <w:r w:rsidR="00E95085">
              <w:rPr>
                <w:webHidden/>
              </w:rPr>
            </w:r>
            <w:r w:rsidR="00E95085">
              <w:rPr>
                <w:webHidden/>
              </w:rPr>
              <w:fldChar w:fldCharType="separate"/>
            </w:r>
            <w:r w:rsidR="00C26074">
              <w:rPr>
                <w:webHidden/>
              </w:rPr>
              <w:t>20</w:t>
            </w:r>
            <w:r w:rsidR="00E95085">
              <w:rPr>
                <w:webHidden/>
              </w:rPr>
              <w:fldChar w:fldCharType="end"/>
            </w:r>
          </w:hyperlink>
        </w:p>
        <w:p w14:paraId="21D78C97" w14:textId="77777777" w:rsidR="00E95085" w:rsidRDefault="00007ED2">
          <w:pPr>
            <w:pStyle w:val="TOC3"/>
            <w:rPr>
              <w:rFonts w:asciiTheme="minorHAnsi" w:hAnsiTheme="minorHAnsi" w:cstheme="minorBidi"/>
              <w:i w:val="0"/>
              <w:lang w:val="it-IT"/>
            </w:rPr>
          </w:pPr>
          <w:hyperlink w:anchor="_Toc526772252" w:history="1">
            <w:r w:rsidR="00E95085" w:rsidRPr="009D52DB">
              <w:rPr>
                <w:rStyle w:val="Hyperlink"/>
              </w:rPr>
              <w:t>Management to link PP Resolution 25 with specific objectives and KPIs for ROs</w:t>
            </w:r>
            <w:r w:rsidR="00E95085">
              <w:rPr>
                <w:webHidden/>
              </w:rPr>
              <w:tab/>
            </w:r>
            <w:r w:rsidR="00E95085">
              <w:rPr>
                <w:webHidden/>
              </w:rPr>
              <w:fldChar w:fldCharType="begin"/>
            </w:r>
            <w:r w:rsidR="00E95085">
              <w:rPr>
                <w:webHidden/>
              </w:rPr>
              <w:instrText xml:space="preserve"> PAGEREF _Toc526772252 \h </w:instrText>
            </w:r>
            <w:r w:rsidR="00E95085">
              <w:rPr>
                <w:webHidden/>
              </w:rPr>
            </w:r>
            <w:r w:rsidR="00E95085">
              <w:rPr>
                <w:webHidden/>
              </w:rPr>
              <w:fldChar w:fldCharType="separate"/>
            </w:r>
            <w:r w:rsidR="00C26074">
              <w:rPr>
                <w:webHidden/>
              </w:rPr>
              <w:t>21</w:t>
            </w:r>
            <w:r w:rsidR="00E95085">
              <w:rPr>
                <w:webHidden/>
              </w:rPr>
              <w:fldChar w:fldCharType="end"/>
            </w:r>
          </w:hyperlink>
        </w:p>
        <w:p w14:paraId="65393CEB" w14:textId="77777777" w:rsidR="00E95085" w:rsidRDefault="00007ED2">
          <w:pPr>
            <w:pStyle w:val="TOC3"/>
            <w:rPr>
              <w:rFonts w:asciiTheme="minorHAnsi" w:hAnsiTheme="minorHAnsi" w:cstheme="minorBidi"/>
              <w:i w:val="0"/>
              <w:lang w:val="it-IT"/>
            </w:rPr>
          </w:pPr>
          <w:hyperlink w:anchor="_Toc526772253" w:history="1">
            <w:r w:rsidR="00E95085" w:rsidRPr="009D52DB">
              <w:rPr>
                <w:rStyle w:val="Hyperlink"/>
              </w:rPr>
              <w:t>Greater coordination is needed to ensure that field offices represent ITU as a whole</w:t>
            </w:r>
            <w:r w:rsidR="00E95085">
              <w:rPr>
                <w:webHidden/>
              </w:rPr>
              <w:tab/>
            </w:r>
            <w:r w:rsidR="00E95085">
              <w:rPr>
                <w:webHidden/>
              </w:rPr>
              <w:fldChar w:fldCharType="begin"/>
            </w:r>
            <w:r w:rsidR="00E95085">
              <w:rPr>
                <w:webHidden/>
              </w:rPr>
              <w:instrText xml:space="preserve"> PAGEREF _Toc526772253 \h </w:instrText>
            </w:r>
            <w:r w:rsidR="00E95085">
              <w:rPr>
                <w:webHidden/>
              </w:rPr>
            </w:r>
            <w:r w:rsidR="00E95085">
              <w:rPr>
                <w:webHidden/>
              </w:rPr>
              <w:fldChar w:fldCharType="separate"/>
            </w:r>
            <w:r w:rsidR="00C26074">
              <w:rPr>
                <w:webHidden/>
              </w:rPr>
              <w:t>23</w:t>
            </w:r>
            <w:r w:rsidR="00E95085">
              <w:rPr>
                <w:webHidden/>
              </w:rPr>
              <w:fldChar w:fldCharType="end"/>
            </w:r>
          </w:hyperlink>
        </w:p>
        <w:p w14:paraId="5FE2E8D3" w14:textId="77777777" w:rsidR="00E95085" w:rsidRDefault="00007ED2">
          <w:pPr>
            <w:pStyle w:val="TOC3"/>
            <w:rPr>
              <w:rFonts w:asciiTheme="minorHAnsi" w:hAnsiTheme="minorHAnsi" w:cstheme="minorBidi"/>
              <w:i w:val="0"/>
              <w:lang w:val="it-IT"/>
            </w:rPr>
          </w:pPr>
          <w:hyperlink w:anchor="_Toc526772254" w:history="1">
            <w:r w:rsidR="00E95085" w:rsidRPr="009D52DB">
              <w:rPr>
                <w:rStyle w:val="Hyperlink"/>
              </w:rPr>
              <w:t>Definition of specific objectives and KPIs should be shared between HQs and ROs</w:t>
            </w:r>
            <w:r w:rsidR="00E95085">
              <w:rPr>
                <w:webHidden/>
              </w:rPr>
              <w:tab/>
            </w:r>
            <w:r w:rsidR="00E95085">
              <w:rPr>
                <w:webHidden/>
              </w:rPr>
              <w:fldChar w:fldCharType="begin"/>
            </w:r>
            <w:r w:rsidR="00E95085">
              <w:rPr>
                <w:webHidden/>
              </w:rPr>
              <w:instrText xml:space="preserve"> PAGEREF _Toc526772254 \h </w:instrText>
            </w:r>
            <w:r w:rsidR="00E95085">
              <w:rPr>
                <w:webHidden/>
              </w:rPr>
            </w:r>
            <w:r w:rsidR="00E95085">
              <w:rPr>
                <w:webHidden/>
              </w:rPr>
              <w:fldChar w:fldCharType="separate"/>
            </w:r>
            <w:r w:rsidR="00C26074">
              <w:rPr>
                <w:webHidden/>
              </w:rPr>
              <w:t>24</w:t>
            </w:r>
            <w:r w:rsidR="00E95085">
              <w:rPr>
                <w:webHidden/>
              </w:rPr>
              <w:fldChar w:fldCharType="end"/>
            </w:r>
          </w:hyperlink>
        </w:p>
        <w:p w14:paraId="1F0ABE3F" w14:textId="77777777" w:rsidR="00E95085" w:rsidRDefault="00007ED2">
          <w:pPr>
            <w:pStyle w:val="TOC2"/>
            <w:rPr>
              <w:rFonts w:asciiTheme="minorHAnsi" w:hAnsiTheme="minorHAnsi" w:cstheme="minorBidi"/>
              <w:noProof/>
              <w:sz w:val="22"/>
              <w:lang w:val="it-IT" w:eastAsia="it-IT"/>
            </w:rPr>
          </w:pPr>
          <w:hyperlink w:anchor="_Toc526772255" w:history="1">
            <w:r w:rsidR="00E95085" w:rsidRPr="009D52DB">
              <w:rPr>
                <w:rStyle w:val="Hyperlink"/>
                <w:noProof/>
                <w:lang w:val="en-US"/>
              </w:rPr>
              <w:t>Regional initiatives and Actions</w:t>
            </w:r>
            <w:r w:rsidR="00E95085">
              <w:rPr>
                <w:noProof/>
                <w:webHidden/>
              </w:rPr>
              <w:tab/>
            </w:r>
            <w:r w:rsidR="00E95085">
              <w:rPr>
                <w:noProof/>
                <w:webHidden/>
              </w:rPr>
              <w:fldChar w:fldCharType="begin"/>
            </w:r>
            <w:r w:rsidR="00E95085">
              <w:rPr>
                <w:noProof/>
                <w:webHidden/>
              </w:rPr>
              <w:instrText xml:space="preserve"> PAGEREF _Toc526772255 \h </w:instrText>
            </w:r>
            <w:r w:rsidR="00E95085">
              <w:rPr>
                <w:noProof/>
                <w:webHidden/>
              </w:rPr>
            </w:r>
            <w:r w:rsidR="00E95085">
              <w:rPr>
                <w:noProof/>
                <w:webHidden/>
              </w:rPr>
              <w:fldChar w:fldCharType="separate"/>
            </w:r>
            <w:r w:rsidR="00C26074">
              <w:rPr>
                <w:noProof/>
                <w:webHidden/>
              </w:rPr>
              <w:t>25</w:t>
            </w:r>
            <w:r w:rsidR="00E95085">
              <w:rPr>
                <w:noProof/>
                <w:webHidden/>
              </w:rPr>
              <w:fldChar w:fldCharType="end"/>
            </w:r>
          </w:hyperlink>
        </w:p>
        <w:p w14:paraId="7A313752" w14:textId="77777777" w:rsidR="00E95085" w:rsidRDefault="00007ED2">
          <w:pPr>
            <w:pStyle w:val="TOC3"/>
            <w:rPr>
              <w:rFonts w:asciiTheme="minorHAnsi" w:hAnsiTheme="minorHAnsi" w:cstheme="minorBidi"/>
              <w:i w:val="0"/>
              <w:lang w:val="it-IT"/>
            </w:rPr>
          </w:pPr>
          <w:hyperlink w:anchor="_Toc526772256" w:history="1">
            <w:r w:rsidR="00E95085" w:rsidRPr="009D52DB">
              <w:rPr>
                <w:rStyle w:val="Hyperlink"/>
              </w:rPr>
              <w:t>Evaluation of Regional Initiatives should be enhanced</w:t>
            </w:r>
            <w:r w:rsidR="00E95085">
              <w:rPr>
                <w:webHidden/>
              </w:rPr>
              <w:tab/>
            </w:r>
            <w:r w:rsidR="00E95085">
              <w:rPr>
                <w:webHidden/>
              </w:rPr>
              <w:fldChar w:fldCharType="begin"/>
            </w:r>
            <w:r w:rsidR="00E95085">
              <w:rPr>
                <w:webHidden/>
              </w:rPr>
              <w:instrText xml:space="preserve"> PAGEREF _Toc526772256 \h </w:instrText>
            </w:r>
            <w:r w:rsidR="00E95085">
              <w:rPr>
                <w:webHidden/>
              </w:rPr>
            </w:r>
            <w:r w:rsidR="00E95085">
              <w:rPr>
                <w:webHidden/>
              </w:rPr>
              <w:fldChar w:fldCharType="separate"/>
            </w:r>
            <w:r w:rsidR="00C26074">
              <w:rPr>
                <w:webHidden/>
              </w:rPr>
              <w:t>25</w:t>
            </w:r>
            <w:r w:rsidR="00E95085">
              <w:rPr>
                <w:webHidden/>
              </w:rPr>
              <w:fldChar w:fldCharType="end"/>
            </w:r>
          </w:hyperlink>
        </w:p>
        <w:p w14:paraId="4D244D15" w14:textId="77777777" w:rsidR="00E95085" w:rsidRDefault="00007ED2">
          <w:pPr>
            <w:pStyle w:val="TOC3"/>
            <w:rPr>
              <w:rFonts w:asciiTheme="minorHAnsi" w:hAnsiTheme="minorHAnsi" w:cstheme="minorBidi"/>
              <w:i w:val="0"/>
              <w:lang w:val="it-IT"/>
            </w:rPr>
          </w:pPr>
          <w:hyperlink w:anchor="_Toc526772257" w:history="1">
            <w:r w:rsidR="00E95085" w:rsidRPr="009D52DB">
              <w:rPr>
                <w:rStyle w:val="Hyperlink"/>
              </w:rPr>
              <w:t>Guidance on how to set priorities is needed</w:t>
            </w:r>
            <w:r w:rsidR="00E95085">
              <w:rPr>
                <w:webHidden/>
              </w:rPr>
              <w:tab/>
            </w:r>
            <w:r w:rsidR="00E95085">
              <w:rPr>
                <w:webHidden/>
              </w:rPr>
              <w:fldChar w:fldCharType="begin"/>
            </w:r>
            <w:r w:rsidR="00E95085">
              <w:rPr>
                <w:webHidden/>
              </w:rPr>
              <w:instrText xml:space="preserve"> PAGEREF _Toc526772257 \h </w:instrText>
            </w:r>
            <w:r w:rsidR="00E95085">
              <w:rPr>
                <w:webHidden/>
              </w:rPr>
            </w:r>
            <w:r w:rsidR="00E95085">
              <w:rPr>
                <w:webHidden/>
              </w:rPr>
              <w:fldChar w:fldCharType="separate"/>
            </w:r>
            <w:r w:rsidR="00C26074">
              <w:rPr>
                <w:webHidden/>
              </w:rPr>
              <w:t>26</w:t>
            </w:r>
            <w:r w:rsidR="00E95085">
              <w:rPr>
                <w:webHidden/>
              </w:rPr>
              <w:fldChar w:fldCharType="end"/>
            </w:r>
          </w:hyperlink>
        </w:p>
        <w:p w14:paraId="04AE080F" w14:textId="77777777" w:rsidR="00E95085" w:rsidRDefault="00007ED2">
          <w:pPr>
            <w:pStyle w:val="TOC3"/>
            <w:rPr>
              <w:rFonts w:asciiTheme="minorHAnsi" w:hAnsiTheme="minorHAnsi" w:cstheme="minorBidi"/>
              <w:i w:val="0"/>
              <w:lang w:val="it-IT"/>
            </w:rPr>
          </w:pPr>
          <w:hyperlink w:anchor="_Toc526772258" w:history="1">
            <w:r w:rsidR="00E95085" w:rsidRPr="009D52DB">
              <w:rPr>
                <w:rStyle w:val="Hyperlink"/>
              </w:rPr>
              <w:t>Monitoring actions with a common IT tool</w:t>
            </w:r>
            <w:r w:rsidR="00E95085">
              <w:rPr>
                <w:webHidden/>
              </w:rPr>
              <w:tab/>
            </w:r>
            <w:r w:rsidR="00E95085">
              <w:rPr>
                <w:webHidden/>
              </w:rPr>
              <w:fldChar w:fldCharType="begin"/>
            </w:r>
            <w:r w:rsidR="00E95085">
              <w:rPr>
                <w:webHidden/>
              </w:rPr>
              <w:instrText xml:space="preserve"> PAGEREF _Toc526772258 \h </w:instrText>
            </w:r>
            <w:r w:rsidR="00E95085">
              <w:rPr>
                <w:webHidden/>
              </w:rPr>
            </w:r>
            <w:r w:rsidR="00E95085">
              <w:rPr>
                <w:webHidden/>
              </w:rPr>
              <w:fldChar w:fldCharType="separate"/>
            </w:r>
            <w:r w:rsidR="00C26074">
              <w:rPr>
                <w:webHidden/>
              </w:rPr>
              <w:t>27</w:t>
            </w:r>
            <w:r w:rsidR="00E95085">
              <w:rPr>
                <w:webHidden/>
              </w:rPr>
              <w:fldChar w:fldCharType="end"/>
            </w:r>
          </w:hyperlink>
        </w:p>
        <w:p w14:paraId="2377CA5E" w14:textId="77777777" w:rsidR="00E95085" w:rsidRDefault="00007ED2">
          <w:pPr>
            <w:pStyle w:val="TOC2"/>
            <w:rPr>
              <w:rFonts w:asciiTheme="minorHAnsi" w:hAnsiTheme="minorHAnsi" w:cstheme="minorBidi"/>
              <w:noProof/>
              <w:sz w:val="22"/>
              <w:lang w:val="it-IT" w:eastAsia="it-IT"/>
            </w:rPr>
          </w:pPr>
          <w:hyperlink w:anchor="_Toc526772259" w:history="1">
            <w:r w:rsidR="00E95085" w:rsidRPr="009D52DB">
              <w:rPr>
                <w:rStyle w:val="Hyperlink"/>
                <w:noProof/>
              </w:rPr>
              <w:t>ITU Projects</w:t>
            </w:r>
            <w:r w:rsidR="00E95085">
              <w:rPr>
                <w:noProof/>
                <w:webHidden/>
              </w:rPr>
              <w:tab/>
            </w:r>
            <w:r w:rsidR="00E95085">
              <w:rPr>
                <w:noProof/>
                <w:webHidden/>
              </w:rPr>
              <w:fldChar w:fldCharType="begin"/>
            </w:r>
            <w:r w:rsidR="00E95085">
              <w:rPr>
                <w:noProof/>
                <w:webHidden/>
              </w:rPr>
              <w:instrText xml:space="preserve"> PAGEREF _Toc526772259 \h </w:instrText>
            </w:r>
            <w:r w:rsidR="00E95085">
              <w:rPr>
                <w:noProof/>
                <w:webHidden/>
              </w:rPr>
            </w:r>
            <w:r w:rsidR="00E95085">
              <w:rPr>
                <w:noProof/>
                <w:webHidden/>
              </w:rPr>
              <w:fldChar w:fldCharType="separate"/>
            </w:r>
            <w:r w:rsidR="00C26074">
              <w:rPr>
                <w:noProof/>
                <w:webHidden/>
              </w:rPr>
              <w:t>28</w:t>
            </w:r>
            <w:r w:rsidR="00E95085">
              <w:rPr>
                <w:noProof/>
                <w:webHidden/>
              </w:rPr>
              <w:fldChar w:fldCharType="end"/>
            </w:r>
          </w:hyperlink>
        </w:p>
        <w:p w14:paraId="459B445A" w14:textId="77777777" w:rsidR="00E95085" w:rsidRDefault="00007ED2">
          <w:pPr>
            <w:pStyle w:val="TOC3"/>
            <w:rPr>
              <w:rFonts w:asciiTheme="minorHAnsi" w:hAnsiTheme="minorHAnsi" w:cstheme="minorBidi"/>
              <w:i w:val="0"/>
              <w:lang w:val="it-IT"/>
            </w:rPr>
          </w:pPr>
          <w:hyperlink w:anchor="_Toc526772260" w:history="1">
            <w:r w:rsidR="00E95085" w:rsidRPr="009D52DB">
              <w:rPr>
                <w:rStyle w:val="Hyperlink"/>
              </w:rPr>
              <w:t>Strengthening ITU's role in the project evaluation</w:t>
            </w:r>
            <w:r w:rsidR="00E95085">
              <w:rPr>
                <w:webHidden/>
              </w:rPr>
              <w:tab/>
            </w:r>
            <w:r w:rsidR="00E95085">
              <w:rPr>
                <w:webHidden/>
              </w:rPr>
              <w:fldChar w:fldCharType="begin"/>
            </w:r>
            <w:r w:rsidR="00E95085">
              <w:rPr>
                <w:webHidden/>
              </w:rPr>
              <w:instrText xml:space="preserve"> PAGEREF _Toc526772260 \h </w:instrText>
            </w:r>
            <w:r w:rsidR="00E95085">
              <w:rPr>
                <w:webHidden/>
              </w:rPr>
            </w:r>
            <w:r w:rsidR="00E95085">
              <w:rPr>
                <w:webHidden/>
              </w:rPr>
              <w:fldChar w:fldCharType="separate"/>
            </w:r>
            <w:r w:rsidR="00C26074">
              <w:rPr>
                <w:webHidden/>
              </w:rPr>
              <w:t>28</w:t>
            </w:r>
            <w:r w:rsidR="00E95085">
              <w:rPr>
                <w:webHidden/>
              </w:rPr>
              <w:fldChar w:fldCharType="end"/>
            </w:r>
          </w:hyperlink>
        </w:p>
        <w:p w14:paraId="709A001E" w14:textId="77777777" w:rsidR="00E95085" w:rsidRDefault="00007ED2">
          <w:pPr>
            <w:pStyle w:val="TOC3"/>
            <w:rPr>
              <w:rFonts w:asciiTheme="minorHAnsi" w:hAnsiTheme="minorHAnsi" w:cstheme="minorBidi"/>
              <w:i w:val="0"/>
              <w:lang w:val="it-IT"/>
            </w:rPr>
          </w:pPr>
          <w:hyperlink w:anchor="_Toc526772261" w:history="1">
            <w:r w:rsidR="00E95085" w:rsidRPr="009D52DB">
              <w:rPr>
                <w:rStyle w:val="Hyperlink"/>
                <w:lang w:val="en-US"/>
              </w:rPr>
              <w:t xml:space="preserve">Having </w:t>
            </w:r>
            <w:r w:rsidR="00E95085" w:rsidRPr="009D52DB">
              <w:rPr>
                <w:rStyle w:val="Hyperlink"/>
              </w:rPr>
              <w:t>a comprehensive risk analysis at the ROs' level, that is easily accessible to HQ</w:t>
            </w:r>
            <w:r w:rsidR="00E95085">
              <w:rPr>
                <w:webHidden/>
              </w:rPr>
              <w:tab/>
            </w:r>
            <w:r w:rsidR="00E95085">
              <w:rPr>
                <w:webHidden/>
              </w:rPr>
              <w:fldChar w:fldCharType="begin"/>
            </w:r>
            <w:r w:rsidR="00E95085">
              <w:rPr>
                <w:webHidden/>
              </w:rPr>
              <w:instrText xml:space="preserve"> PAGEREF _Toc526772261 \h </w:instrText>
            </w:r>
            <w:r w:rsidR="00E95085">
              <w:rPr>
                <w:webHidden/>
              </w:rPr>
            </w:r>
            <w:r w:rsidR="00E95085">
              <w:rPr>
                <w:webHidden/>
              </w:rPr>
              <w:fldChar w:fldCharType="separate"/>
            </w:r>
            <w:r w:rsidR="00C26074">
              <w:rPr>
                <w:webHidden/>
              </w:rPr>
              <w:t>30</w:t>
            </w:r>
            <w:r w:rsidR="00E95085">
              <w:rPr>
                <w:webHidden/>
              </w:rPr>
              <w:fldChar w:fldCharType="end"/>
            </w:r>
          </w:hyperlink>
        </w:p>
        <w:p w14:paraId="5F036D6B" w14:textId="77777777" w:rsidR="00E95085" w:rsidRDefault="00007ED2">
          <w:pPr>
            <w:pStyle w:val="TOC2"/>
            <w:rPr>
              <w:rFonts w:asciiTheme="minorHAnsi" w:hAnsiTheme="minorHAnsi" w:cstheme="minorBidi"/>
              <w:noProof/>
              <w:sz w:val="22"/>
              <w:lang w:val="it-IT" w:eastAsia="it-IT"/>
            </w:rPr>
          </w:pPr>
          <w:hyperlink w:anchor="_Toc526772262" w:history="1">
            <w:r w:rsidR="00E95085" w:rsidRPr="009D52DB">
              <w:rPr>
                <w:rStyle w:val="Hyperlink"/>
                <w:noProof/>
              </w:rPr>
              <w:t>EA Review of the Follow-up exercise held by IAU on its previous recommendations</w:t>
            </w:r>
            <w:r w:rsidR="00E95085">
              <w:rPr>
                <w:noProof/>
                <w:webHidden/>
              </w:rPr>
              <w:tab/>
            </w:r>
            <w:r w:rsidR="00E95085">
              <w:rPr>
                <w:noProof/>
                <w:webHidden/>
              </w:rPr>
              <w:fldChar w:fldCharType="begin"/>
            </w:r>
            <w:r w:rsidR="00E95085">
              <w:rPr>
                <w:noProof/>
                <w:webHidden/>
              </w:rPr>
              <w:instrText xml:space="preserve"> PAGEREF _Toc526772262 \h </w:instrText>
            </w:r>
            <w:r w:rsidR="00E95085">
              <w:rPr>
                <w:noProof/>
                <w:webHidden/>
              </w:rPr>
            </w:r>
            <w:r w:rsidR="00E95085">
              <w:rPr>
                <w:noProof/>
                <w:webHidden/>
              </w:rPr>
              <w:fldChar w:fldCharType="separate"/>
            </w:r>
            <w:r w:rsidR="00C26074">
              <w:rPr>
                <w:noProof/>
                <w:webHidden/>
              </w:rPr>
              <w:t>30</w:t>
            </w:r>
            <w:r w:rsidR="00E95085">
              <w:rPr>
                <w:noProof/>
                <w:webHidden/>
              </w:rPr>
              <w:fldChar w:fldCharType="end"/>
            </w:r>
          </w:hyperlink>
        </w:p>
        <w:p w14:paraId="218978B7" w14:textId="77777777" w:rsidR="00E95085" w:rsidRDefault="00007ED2">
          <w:pPr>
            <w:pStyle w:val="TOC3"/>
            <w:rPr>
              <w:rFonts w:asciiTheme="minorHAnsi" w:hAnsiTheme="minorHAnsi" w:cstheme="minorBidi"/>
              <w:i w:val="0"/>
              <w:lang w:val="it-IT"/>
            </w:rPr>
          </w:pPr>
          <w:hyperlink w:anchor="_Toc526772263" w:history="1">
            <w:r w:rsidR="00E95085" w:rsidRPr="009D52DB">
              <w:rPr>
                <w:rStyle w:val="Hyperlink"/>
              </w:rPr>
              <w:t>Host Country agreement is needed</w:t>
            </w:r>
            <w:r w:rsidR="00E95085">
              <w:rPr>
                <w:webHidden/>
              </w:rPr>
              <w:tab/>
            </w:r>
            <w:r w:rsidR="00E95085">
              <w:rPr>
                <w:webHidden/>
              </w:rPr>
              <w:fldChar w:fldCharType="begin"/>
            </w:r>
            <w:r w:rsidR="00E95085">
              <w:rPr>
                <w:webHidden/>
              </w:rPr>
              <w:instrText xml:space="preserve"> PAGEREF _Toc526772263 \h </w:instrText>
            </w:r>
            <w:r w:rsidR="00E95085">
              <w:rPr>
                <w:webHidden/>
              </w:rPr>
            </w:r>
            <w:r w:rsidR="00E95085">
              <w:rPr>
                <w:webHidden/>
              </w:rPr>
              <w:fldChar w:fldCharType="separate"/>
            </w:r>
            <w:r w:rsidR="00C26074">
              <w:rPr>
                <w:webHidden/>
              </w:rPr>
              <w:t>31</w:t>
            </w:r>
            <w:r w:rsidR="00E95085">
              <w:rPr>
                <w:webHidden/>
              </w:rPr>
              <w:fldChar w:fldCharType="end"/>
            </w:r>
          </w:hyperlink>
        </w:p>
        <w:p w14:paraId="31E8CBF7" w14:textId="77777777" w:rsidR="00E95085" w:rsidRDefault="00007ED2">
          <w:pPr>
            <w:pStyle w:val="TOC2"/>
            <w:rPr>
              <w:rFonts w:asciiTheme="minorHAnsi" w:hAnsiTheme="minorHAnsi" w:cstheme="minorBidi"/>
              <w:noProof/>
              <w:sz w:val="22"/>
              <w:lang w:val="it-IT" w:eastAsia="it-IT"/>
            </w:rPr>
          </w:pPr>
          <w:hyperlink w:anchor="_Toc526772264" w:history="1">
            <w:r w:rsidR="00E95085" w:rsidRPr="009D52DB">
              <w:rPr>
                <w:rStyle w:val="Hyperlink"/>
                <w:noProof/>
              </w:rPr>
              <w:t>Organizational issues</w:t>
            </w:r>
            <w:r w:rsidR="00E95085">
              <w:rPr>
                <w:noProof/>
                <w:webHidden/>
              </w:rPr>
              <w:tab/>
            </w:r>
            <w:r w:rsidR="00E95085">
              <w:rPr>
                <w:noProof/>
                <w:webHidden/>
              </w:rPr>
              <w:fldChar w:fldCharType="begin"/>
            </w:r>
            <w:r w:rsidR="00E95085">
              <w:rPr>
                <w:noProof/>
                <w:webHidden/>
              </w:rPr>
              <w:instrText xml:space="preserve"> PAGEREF _Toc526772264 \h </w:instrText>
            </w:r>
            <w:r w:rsidR="00E95085">
              <w:rPr>
                <w:noProof/>
                <w:webHidden/>
              </w:rPr>
            </w:r>
            <w:r w:rsidR="00E95085">
              <w:rPr>
                <w:noProof/>
                <w:webHidden/>
              </w:rPr>
              <w:fldChar w:fldCharType="separate"/>
            </w:r>
            <w:r w:rsidR="00C26074">
              <w:rPr>
                <w:noProof/>
                <w:webHidden/>
              </w:rPr>
              <w:t>31</w:t>
            </w:r>
            <w:r w:rsidR="00E95085">
              <w:rPr>
                <w:noProof/>
                <w:webHidden/>
              </w:rPr>
              <w:fldChar w:fldCharType="end"/>
            </w:r>
          </w:hyperlink>
        </w:p>
        <w:p w14:paraId="4AE58125" w14:textId="77777777" w:rsidR="00E95085" w:rsidRDefault="00007ED2">
          <w:pPr>
            <w:pStyle w:val="TOC2"/>
            <w:rPr>
              <w:rFonts w:asciiTheme="minorHAnsi" w:hAnsiTheme="minorHAnsi" w:cstheme="minorBidi"/>
              <w:noProof/>
              <w:sz w:val="22"/>
              <w:lang w:val="it-IT" w:eastAsia="it-IT"/>
            </w:rPr>
          </w:pPr>
          <w:hyperlink w:anchor="_Toc526772265" w:history="1">
            <w:r w:rsidR="00E95085" w:rsidRPr="009D52DB">
              <w:rPr>
                <w:rStyle w:val="Hyperlink"/>
                <w:noProof/>
              </w:rPr>
              <w:t>Financial management</w:t>
            </w:r>
            <w:r w:rsidR="00E95085">
              <w:rPr>
                <w:noProof/>
                <w:webHidden/>
              </w:rPr>
              <w:tab/>
            </w:r>
            <w:r w:rsidR="00E95085">
              <w:rPr>
                <w:noProof/>
                <w:webHidden/>
              </w:rPr>
              <w:fldChar w:fldCharType="begin"/>
            </w:r>
            <w:r w:rsidR="00E95085">
              <w:rPr>
                <w:noProof/>
                <w:webHidden/>
              </w:rPr>
              <w:instrText xml:space="preserve"> PAGEREF _Toc526772265 \h </w:instrText>
            </w:r>
            <w:r w:rsidR="00E95085">
              <w:rPr>
                <w:noProof/>
                <w:webHidden/>
              </w:rPr>
            </w:r>
            <w:r w:rsidR="00E95085">
              <w:rPr>
                <w:noProof/>
                <w:webHidden/>
              </w:rPr>
              <w:fldChar w:fldCharType="separate"/>
            </w:r>
            <w:r w:rsidR="00C26074">
              <w:rPr>
                <w:noProof/>
                <w:webHidden/>
              </w:rPr>
              <w:t>32</w:t>
            </w:r>
            <w:r w:rsidR="00E95085">
              <w:rPr>
                <w:noProof/>
                <w:webHidden/>
              </w:rPr>
              <w:fldChar w:fldCharType="end"/>
            </w:r>
          </w:hyperlink>
        </w:p>
        <w:p w14:paraId="61984E0B" w14:textId="77777777" w:rsidR="00E95085" w:rsidRDefault="00007ED2">
          <w:pPr>
            <w:pStyle w:val="TOC3"/>
            <w:rPr>
              <w:rFonts w:asciiTheme="minorHAnsi" w:hAnsiTheme="minorHAnsi" w:cstheme="minorBidi"/>
              <w:i w:val="0"/>
              <w:lang w:val="it-IT"/>
            </w:rPr>
          </w:pPr>
          <w:hyperlink w:anchor="_Toc526772266" w:history="1">
            <w:r w:rsidR="00E95085" w:rsidRPr="009D52DB">
              <w:rPr>
                <w:rStyle w:val="Hyperlink"/>
              </w:rPr>
              <w:t>Process for delegations of authority should be improved</w:t>
            </w:r>
            <w:r w:rsidR="00E95085">
              <w:rPr>
                <w:webHidden/>
              </w:rPr>
              <w:tab/>
            </w:r>
            <w:r w:rsidR="00E95085">
              <w:rPr>
                <w:webHidden/>
              </w:rPr>
              <w:fldChar w:fldCharType="begin"/>
            </w:r>
            <w:r w:rsidR="00E95085">
              <w:rPr>
                <w:webHidden/>
              </w:rPr>
              <w:instrText xml:space="preserve"> PAGEREF _Toc526772266 \h </w:instrText>
            </w:r>
            <w:r w:rsidR="00E95085">
              <w:rPr>
                <w:webHidden/>
              </w:rPr>
            </w:r>
            <w:r w:rsidR="00E95085">
              <w:rPr>
                <w:webHidden/>
              </w:rPr>
              <w:fldChar w:fldCharType="separate"/>
            </w:r>
            <w:r w:rsidR="00C26074">
              <w:rPr>
                <w:webHidden/>
              </w:rPr>
              <w:t>32</w:t>
            </w:r>
            <w:r w:rsidR="00E95085">
              <w:rPr>
                <w:webHidden/>
              </w:rPr>
              <w:fldChar w:fldCharType="end"/>
            </w:r>
          </w:hyperlink>
        </w:p>
        <w:p w14:paraId="2AF6E187" w14:textId="77777777" w:rsidR="00E95085" w:rsidRDefault="00007ED2">
          <w:pPr>
            <w:pStyle w:val="TOC3"/>
            <w:rPr>
              <w:rFonts w:asciiTheme="minorHAnsi" w:hAnsiTheme="minorHAnsi" w:cstheme="minorBidi"/>
              <w:i w:val="0"/>
              <w:lang w:val="it-IT"/>
            </w:rPr>
          </w:pPr>
          <w:hyperlink w:anchor="_Toc526772267" w:history="1">
            <w:r w:rsidR="00E95085" w:rsidRPr="009D52DB">
              <w:rPr>
                <w:rStyle w:val="Hyperlink"/>
              </w:rPr>
              <w:t>Petty cash</w:t>
            </w:r>
            <w:r w:rsidR="00E95085">
              <w:rPr>
                <w:webHidden/>
              </w:rPr>
              <w:tab/>
            </w:r>
            <w:r w:rsidR="00E95085">
              <w:rPr>
                <w:webHidden/>
              </w:rPr>
              <w:fldChar w:fldCharType="begin"/>
            </w:r>
            <w:r w:rsidR="00E95085">
              <w:rPr>
                <w:webHidden/>
              </w:rPr>
              <w:instrText xml:space="preserve"> PAGEREF _Toc526772267 \h </w:instrText>
            </w:r>
            <w:r w:rsidR="00E95085">
              <w:rPr>
                <w:webHidden/>
              </w:rPr>
            </w:r>
            <w:r w:rsidR="00E95085">
              <w:rPr>
                <w:webHidden/>
              </w:rPr>
              <w:fldChar w:fldCharType="separate"/>
            </w:r>
            <w:r w:rsidR="00C26074">
              <w:rPr>
                <w:webHidden/>
              </w:rPr>
              <w:t>32</w:t>
            </w:r>
            <w:r w:rsidR="00E95085">
              <w:rPr>
                <w:webHidden/>
              </w:rPr>
              <w:fldChar w:fldCharType="end"/>
            </w:r>
          </w:hyperlink>
        </w:p>
        <w:p w14:paraId="5C36B03D" w14:textId="77777777" w:rsidR="00E95085" w:rsidRDefault="00007ED2">
          <w:pPr>
            <w:pStyle w:val="TOC3"/>
            <w:rPr>
              <w:rFonts w:asciiTheme="minorHAnsi" w:hAnsiTheme="minorHAnsi" w:cstheme="minorBidi"/>
              <w:i w:val="0"/>
              <w:lang w:val="it-IT"/>
            </w:rPr>
          </w:pPr>
          <w:hyperlink w:anchor="_Toc526772268" w:history="1">
            <w:r w:rsidR="00E95085" w:rsidRPr="009D52DB">
              <w:rPr>
                <w:rStyle w:val="Hyperlink"/>
              </w:rPr>
              <w:t>Enhancing financial accountability through a better use of UNDP systems in Regional and Area Offices</w:t>
            </w:r>
            <w:r w:rsidR="00E95085">
              <w:rPr>
                <w:webHidden/>
              </w:rPr>
              <w:tab/>
            </w:r>
            <w:r w:rsidR="00E95085">
              <w:rPr>
                <w:webHidden/>
              </w:rPr>
              <w:fldChar w:fldCharType="begin"/>
            </w:r>
            <w:r w:rsidR="00E95085">
              <w:rPr>
                <w:webHidden/>
              </w:rPr>
              <w:instrText xml:space="preserve"> PAGEREF _Toc526772268 \h </w:instrText>
            </w:r>
            <w:r w:rsidR="00E95085">
              <w:rPr>
                <w:webHidden/>
              </w:rPr>
            </w:r>
            <w:r w:rsidR="00E95085">
              <w:rPr>
                <w:webHidden/>
              </w:rPr>
              <w:fldChar w:fldCharType="separate"/>
            </w:r>
            <w:r w:rsidR="00C26074">
              <w:rPr>
                <w:webHidden/>
              </w:rPr>
              <w:t>34</w:t>
            </w:r>
            <w:r w:rsidR="00E95085">
              <w:rPr>
                <w:webHidden/>
              </w:rPr>
              <w:fldChar w:fldCharType="end"/>
            </w:r>
          </w:hyperlink>
        </w:p>
        <w:p w14:paraId="3913F6D7" w14:textId="77777777" w:rsidR="00E95085" w:rsidRDefault="00007ED2">
          <w:pPr>
            <w:pStyle w:val="TOC3"/>
            <w:rPr>
              <w:rFonts w:asciiTheme="minorHAnsi" w:hAnsiTheme="minorHAnsi" w:cstheme="minorBidi"/>
              <w:i w:val="0"/>
              <w:lang w:val="it-IT"/>
            </w:rPr>
          </w:pPr>
          <w:hyperlink w:anchor="_Toc526772269" w:history="1">
            <w:r w:rsidR="00E95085" w:rsidRPr="009D52DB">
              <w:rPr>
                <w:rStyle w:val="Hyperlink"/>
              </w:rPr>
              <w:t>Assessing the cost-effectiveness of keeping inventories at regional level</w:t>
            </w:r>
            <w:r w:rsidR="00E95085">
              <w:rPr>
                <w:webHidden/>
              </w:rPr>
              <w:tab/>
            </w:r>
            <w:r w:rsidR="00E95085">
              <w:rPr>
                <w:webHidden/>
              </w:rPr>
              <w:fldChar w:fldCharType="begin"/>
            </w:r>
            <w:r w:rsidR="00E95085">
              <w:rPr>
                <w:webHidden/>
              </w:rPr>
              <w:instrText xml:space="preserve"> PAGEREF _Toc526772269 \h </w:instrText>
            </w:r>
            <w:r w:rsidR="00E95085">
              <w:rPr>
                <w:webHidden/>
              </w:rPr>
            </w:r>
            <w:r w:rsidR="00E95085">
              <w:rPr>
                <w:webHidden/>
              </w:rPr>
              <w:fldChar w:fldCharType="separate"/>
            </w:r>
            <w:r w:rsidR="00C26074">
              <w:rPr>
                <w:webHidden/>
              </w:rPr>
              <w:t>35</w:t>
            </w:r>
            <w:r w:rsidR="00E95085">
              <w:rPr>
                <w:webHidden/>
              </w:rPr>
              <w:fldChar w:fldCharType="end"/>
            </w:r>
          </w:hyperlink>
        </w:p>
        <w:p w14:paraId="4DF17869" w14:textId="77777777" w:rsidR="00E95085" w:rsidRDefault="00007ED2">
          <w:pPr>
            <w:pStyle w:val="TOC2"/>
            <w:rPr>
              <w:rFonts w:asciiTheme="minorHAnsi" w:hAnsiTheme="minorHAnsi" w:cstheme="minorBidi"/>
              <w:noProof/>
              <w:sz w:val="22"/>
              <w:lang w:val="it-IT" w:eastAsia="it-IT"/>
            </w:rPr>
          </w:pPr>
          <w:hyperlink w:anchor="_Toc526772270" w:history="1">
            <w:r w:rsidR="00E95085" w:rsidRPr="009D52DB">
              <w:rPr>
                <w:rStyle w:val="Hyperlink"/>
                <w:noProof/>
              </w:rPr>
              <w:t>Procurement</w:t>
            </w:r>
            <w:r w:rsidR="00E95085">
              <w:rPr>
                <w:noProof/>
                <w:webHidden/>
              </w:rPr>
              <w:tab/>
            </w:r>
            <w:r w:rsidR="00E95085">
              <w:rPr>
                <w:noProof/>
                <w:webHidden/>
              </w:rPr>
              <w:fldChar w:fldCharType="begin"/>
            </w:r>
            <w:r w:rsidR="00E95085">
              <w:rPr>
                <w:noProof/>
                <w:webHidden/>
              </w:rPr>
              <w:instrText xml:space="preserve"> PAGEREF _Toc526772270 \h </w:instrText>
            </w:r>
            <w:r w:rsidR="00E95085">
              <w:rPr>
                <w:noProof/>
                <w:webHidden/>
              </w:rPr>
            </w:r>
            <w:r w:rsidR="00E95085">
              <w:rPr>
                <w:noProof/>
                <w:webHidden/>
              </w:rPr>
              <w:fldChar w:fldCharType="separate"/>
            </w:r>
            <w:r w:rsidR="00C26074">
              <w:rPr>
                <w:noProof/>
                <w:webHidden/>
              </w:rPr>
              <w:t>36</w:t>
            </w:r>
            <w:r w:rsidR="00E95085">
              <w:rPr>
                <w:noProof/>
                <w:webHidden/>
              </w:rPr>
              <w:fldChar w:fldCharType="end"/>
            </w:r>
          </w:hyperlink>
        </w:p>
        <w:p w14:paraId="43A539F9" w14:textId="77777777" w:rsidR="00E95085" w:rsidRDefault="00007ED2">
          <w:pPr>
            <w:pStyle w:val="TOC3"/>
            <w:rPr>
              <w:rFonts w:asciiTheme="minorHAnsi" w:hAnsiTheme="minorHAnsi" w:cstheme="minorBidi"/>
              <w:i w:val="0"/>
              <w:lang w:val="it-IT"/>
            </w:rPr>
          </w:pPr>
          <w:hyperlink w:anchor="_Toc526772271" w:history="1">
            <w:r w:rsidR="00E95085" w:rsidRPr="009D52DB">
              <w:rPr>
                <w:rStyle w:val="Hyperlink"/>
              </w:rPr>
              <w:t>Projects related to “Funds-in-Trust” should comply with the Procurement Manual</w:t>
            </w:r>
            <w:r w:rsidR="00E95085">
              <w:rPr>
                <w:webHidden/>
              </w:rPr>
              <w:tab/>
            </w:r>
            <w:r w:rsidR="00E95085">
              <w:rPr>
                <w:webHidden/>
              </w:rPr>
              <w:fldChar w:fldCharType="begin"/>
            </w:r>
            <w:r w:rsidR="00E95085">
              <w:rPr>
                <w:webHidden/>
              </w:rPr>
              <w:instrText xml:space="preserve"> PAGEREF _Toc526772271 \h </w:instrText>
            </w:r>
            <w:r w:rsidR="00E95085">
              <w:rPr>
                <w:webHidden/>
              </w:rPr>
            </w:r>
            <w:r w:rsidR="00E95085">
              <w:rPr>
                <w:webHidden/>
              </w:rPr>
              <w:fldChar w:fldCharType="separate"/>
            </w:r>
            <w:r w:rsidR="00C26074">
              <w:rPr>
                <w:webHidden/>
              </w:rPr>
              <w:t>37</w:t>
            </w:r>
            <w:r w:rsidR="00E95085">
              <w:rPr>
                <w:webHidden/>
              </w:rPr>
              <w:fldChar w:fldCharType="end"/>
            </w:r>
          </w:hyperlink>
        </w:p>
        <w:p w14:paraId="34ADD987" w14:textId="77777777" w:rsidR="00E95085" w:rsidRDefault="00007ED2">
          <w:pPr>
            <w:pStyle w:val="TOC3"/>
            <w:rPr>
              <w:rFonts w:asciiTheme="minorHAnsi" w:hAnsiTheme="minorHAnsi" w:cstheme="minorBidi"/>
              <w:i w:val="0"/>
              <w:lang w:val="it-IT"/>
            </w:rPr>
          </w:pPr>
          <w:hyperlink w:anchor="_Toc526772272" w:history="1">
            <w:r w:rsidR="00E95085" w:rsidRPr="009D52DB">
              <w:rPr>
                <w:rStyle w:val="Hyperlink"/>
              </w:rPr>
              <w:t>Enhancing the role of ITU in cooperating with Member States</w:t>
            </w:r>
            <w:r w:rsidR="00E95085">
              <w:rPr>
                <w:webHidden/>
              </w:rPr>
              <w:tab/>
            </w:r>
            <w:r w:rsidR="00E95085">
              <w:rPr>
                <w:webHidden/>
              </w:rPr>
              <w:fldChar w:fldCharType="begin"/>
            </w:r>
            <w:r w:rsidR="00E95085">
              <w:rPr>
                <w:webHidden/>
              </w:rPr>
              <w:instrText xml:space="preserve"> PAGEREF _Toc526772272 \h </w:instrText>
            </w:r>
            <w:r w:rsidR="00E95085">
              <w:rPr>
                <w:webHidden/>
              </w:rPr>
            </w:r>
            <w:r w:rsidR="00E95085">
              <w:rPr>
                <w:webHidden/>
              </w:rPr>
              <w:fldChar w:fldCharType="separate"/>
            </w:r>
            <w:r w:rsidR="00C26074">
              <w:rPr>
                <w:webHidden/>
              </w:rPr>
              <w:t>37</w:t>
            </w:r>
            <w:r w:rsidR="00E95085">
              <w:rPr>
                <w:webHidden/>
              </w:rPr>
              <w:fldChar w:fldCharType="end"/>
            </w:r>
          </w:hyperlink>
        </w:p>
        <w:p w14:paraId="0C7EE23E" w14:textId="77777777" w:rsidR="00E95085" w:rsidRDefault="00007ED2">
          <w:pPr>
            <w:pStyle w:val="TOC3"/>
            <w:rPr>
              <w:rFonts w:asciiTheme="minorHAnsi" w:hAnsiTheme="minorHAnsi" w:cstheme="minorBidi"/>
              <w:i w:val="0"/>
              <w:lang w:val="it-IT"/>
            </w:rPr>
          </w:pPr>
          <w:hyperlink w:anchor="_Toc526772273" w:history="1">
            <w:r w:rsidR="00E95085" w:rsidRPr="009D52DB">
              <w:rPr>
                <w:rStyle w:val="Hyperlink"/>
              </w:rPr>
              <w:t>Procurement process to be entirely placed under the Procurement Division</w:t>
            </w:r>
            <w:r w:rsidR="00E95085">
              <w:rPr>
                <w:webHidden/>
              </w:rPr>
              <w:tab/>
            </w:r>
            <w:r w:rsidR="00E95085">
              <w:rPr>
                <w:webHidden/>
              </w:rPr>
              <w:fldChar w:fldCharType="begin"/>
            </w:r>
            <w:r w:rsidR="00E95085">
              <w:rPr>
                <w:webHidden/>
              </w:rPr>
              <w:instrText xml:space="preserve"> PAGEREF _Toc526772273 \h </w:instrText>
            </w:r>
            <w:r w:rsidR="00E95085">
              <w:rPr>
                <w:webHidden/>
              </w:rPr>
            </w:r>
            <w:r w:rsidR="00E95085">
              <w:rPr>
                <w:webHidden/>
              </w:rPr>
              <w:fldChar w:fldCharType="separate"/>
            </w:r>
            <w:r w:rsidR="00C26074">
              <w:rPr>
                <w:webHidden/>
              </w:rPr>
              <w:t>39</w:t>
            </w:r>
            <w:r w:rsidR="00E95085">
              <w:rPr>
                <w:webHidden/>
              </w:rPr>
              <w:fldChar w:fldCharType="end"/>
            </w:r>
          </w:hyperlink>
        </w:p>
        <w:p w14:paraId="7ABA21F6" w14:textId="77777777" w:rsidR="00E95085" w:rsidRDefault="00007ED2">
          <w:pPr>
            <w:pStyle w:val="TOC3"/>
            <w:rPr>
              <w:rFonts w:asciiTheme="minorHAnsi" w:hAnsiTheme="minorHAnsi" w:cstheme="minorBidi"/>
              <w:i w:val="0"/>
              <w:lang w:val="it-IT"/>
            </w:rPr>
          </w:pPr>
          <w:hyperlink w:anchor="_Toc526772274" w:history="1">
            <w:r w:rsidR="00E95085" w:rsidRPr="009D52DB">
              <w:rPr>
                <w:rStyle w:val="Hyperlink"/>
              </w:rPr>
              <w:t>Project Managers should not be appointed as members of the Evaluation Group</w:t>
            </w:r>
            <w:r w:rsidR="00E95085">
              <w:rPr>
                <w:webHidden/>
              </w:rPr>
              <w:tab/>
            </w:r>
            <w:r w:rsidR="00E95085">
              <w:rPr>
                <w:webHidden/>
              </w:rPr>
              <w:fldChar w:fldCharType="begin"/>
            </w:r>
            <w:r w:rsidR="00E95085">
              <w:rPr>
                <w:webHidden/>
              </w:rPr>
              <w:instrText xml:space="preserve"> PAGEREF _Toc526772274 \h </w:instrText>
            </w:r>
            <w:r w:rsidR="00E95085">
              <w:rPr>
                <w:webHidden/>
              </w:rPr>
            </w:r>
            <w:r w:rsidR="00E95085">
              <w:rPr>
                <w:webHidden/>
              </w:rPr>
              <w:fldChar w:fldCharType="separate"/>
            </w:r>
            <w:r w:rsidR="00C26074">
              <w:rPr>
                <w:webHidden/>
              </w:rPr>
              <w:t>40</w:t>
            </w:r>
            <w:r w:rsidR="00E95085">
              <w:rPr>
                <w:webHidden/>
              </w:rPr>
              <w:fldChar w:fldCharType="end"/>
            </w:r>
          </w:hyperlink>
        </w:p>
        <w:p w14:paraId="51B5D879" w14:textId="77777777" w:rsidR="00E95085" w:rsidRDefault="00007ED2">
          <w:pPr>
            <w:pStyle w:val="TOC3"/>
            <w:rPr>
              <w:rFonts w:asciiTheme="minorHAnsi" w:hAnsiTheme="minorHAnsi" w:cstheme="minorBidi"/>
              <w:i w:val="0"/>
              <w:lang w:val="it-IT"/>
            </w:rPr>
          </w:pPr>
          <w:hyperlink w:anchor="_Toc526772275" w:history="1">
            <w:r w:rsidR="00E95085" w:rsidRPr="009D52DB">
              <w:rPr>
                <w:rStyle w:val="Hyperlink"/>
              </w:rPr>
              <w:t>A Declaration of Absence of Conflict of Interest should always be provided</w:t>
            </w:r>
            <w:r w:rsidR="00E95085">
              <w:rPr>
                <w:webHidden/>
              </w:rPr>
              <w:tab/>
            </w:r>
            <w:r w:rsidR="00E95085">
              <w:rPr>
                <w:webHidden/>
              </w:rPr>
              <w:fldChar w:fldCharType="begin"/>
            </w:r>
            <w:r w:rsidR="00E95085">
              <w:rPr>
                <w:webHidden/>
              </w:rPr>
              <w:instrText xml:space="preserve"> PAGEREF _Toc526772275 \h </w:instrText>
            </w:r>
            <w:r w:rsidR="00E95085">
              <w:rPr>
                <w:webHidden/>
              </w:rPr>
            </w:r>
            <w:r w:rsidR="00E95085">
              <w:rPr>
                <w:webHidden/>
              </w:rPr>
              <w:fldChar w:fldCharType="separate"/>
            </w:r>
            <w:r w:rsidR="00C26074">
              <w:rPr>
                <w:webHidden/>
              </w:rPr>
              <w:t>41</w:t>
            </w:r>
            <w:r w:rsidR="00E95085">
              <w:rPr>
                <w:webHidden/>
              </w:rPr>
              <w:fldChar w:fldCharType="end"/>
            </w:r>
          </w:hyperlink>
        </w:p>
        <w:p w14:paraId="483E6868" w14:textId="77777777" w:rsidR="00E95085" w:rsidRDefault="00007ED2">
          <w:pPr>
            <w:pStyle w:val="TOC3"/>
            <w:rPr>
              <w:rFonts w:asciiTheme="minorHAnsi" w:hAnsiTheme="minorHAnsi" w:cstheme="minorBidi"/>
              <w:i w:val="0"/>
              <w:lang w:val="it-IT"/>
            </w:rPr>
          </w:pPr>
          <w:hyperlink w:anchor="_Toc526772276" w:history="1">
            <w:r w:rsidR="00E95085" w:rsidRPr="009D52DB">
              <w:rPr>
                <w:rStyle w:val="Hyperlink"/>
              </w:rPr>
              <w:t>Respective roles of the Procurement Division and the Project Manager</w:t>
            </w:r>
            <w:r w:rsidR="00E95085">
              <w:rPr>
                <w:webHidden/>
              </w:rPr>
              <w:tab/>
            </w:r>
            <w:r w:rsidR="00E95085">
              <w:rPr>
                <w:webHidden/>
              </w:rPr>
              <w:fldChar w:fldCharType="begin"/>
            </w:r>
            <w:r w:rsidR="00E95085">
              <w:rPr>
                <w:webHidden/>
              </w:rPr>
              <w:instrText xml:space="preserve"> PAGEREF _Toc526772276 \h </w:instrText>
            </w:r>
            <w:r w:rsidR="00E95085">
              <w:rPr>
                <w:webHidden/>
              </w:rPr>
            </w:r>
            <w:r w:rsidR="00E95085">
              <w:rPr>
                <w:webHidden/>
              </w:rPr>
              <w:fldChar w:fldCharType="separate"/>
            </w:r>
            <w:r w:rsidR="00C26074">
              <w:rPr>
                <w:webHidden/>
              </w:rPr>
              <w:t>41</w:t>
            </w:r>
            <w:r w:rsidR="00E95085">
              <w:rPr>
                <w:webHidden/>
              </w:rPr>
              <w:fldChar w:fldCharType="end"/>
            </w:r>
          </w:hyperlink>
        </w:p>
        <w:p w14:paraId="1D383E71" w14:textId="77777777" w:rsidR="00E95085" w:rsidRDefault="00007ED2">
          <w:pPr>
            <w:pStyle w:val="TOC3"/>
            <w:rPr>
              <w:rFonts w:asciiTheme="minorHAnsi" w:hAnsiTheme="minorHAnsi" w:cstheme="minorBidi"/>
              <w:i w:val="0"/>
              <w:lang w:val="it-IT"/>
            </w:rPr>
          </w:pPr>
          <w:hyperlink w:anchor="_Toc526772277" w:history="1">
            <w:r w:rsidR="00E95085" w:rsidRPr="009D52DB">
              <w:rPr>
                <w:rStyle w:val="Hyperlink"/>
              </w:rPr>
              <w:t>Training for staff in relation to procurement should be enhanced</w:t>
            </w:r>
            <w:r w:rsidR="00E95085">
              <w:rPr>
                <w:webHidden/>
              </w:rPr>
              <w:tab/>
            </w:r>
            <w:r w:rsidR="00E95085">
              <w:rPr>
                <w:webHidden/>
              </w:rPr>
              <w:fldChar w:fldCharType="begin"/>
            </w:r>
            <w:r w:rsidR="00E95085">
              <w:rPr>
                <w:webHidden/>
              </w:rPr>
              <w:instrText xml:space="preserve"> PAGEREF _Toc526772277 \h </w:instrText>
            </w:r>
            <w:r w:rsidR="00E95085">
              <w:rPr>
                <w:webHidden/>
              </w:rPr>
            </w:r>
            <w:r w:rsidR="00E95085">
              <w:rPr>
                <w:webHidden/>
              </w:rPr>
              <w:fldChar w:fldCharType="separate"/>
            </w:r>
            <w:r w:rsidR="00C26074">
              <w:rPr>
                <w:webHidden/>
              </w:rPr>
              <w:t>42</w:t>
            </w:r>
            <w:r w:rsidR="00E95085">
              <w:rPr>
                <w:webHidden/>
              </w:rPr>
              <w:fldChar w:fldCharType="end"/>
            </w:r>
          </w:hyperlink>
        </w:p>
        <w:p w14:paraId="11C034AB" w14:textId="77777777" w:rsidR="00E95085" w:rsidRDefault="00007ED2">
          <w:pPr>
            <w:pStyle w:val="TOC2"/>
            <w:rPr>
              <w:rFonts w:asciiTheme="minorHAnsi" w:hAnsiTheme="minorHAnsi" w:cstheme="minorBidi"/>
              <w:noProof/>
              <w:sz w:val="22"/>
              <w:lang w:val="it-IT" w:eastAsia="it-IT"/>
            </w:rPr>
          </w:pPr>
          <w:hyperlink w:anchor="_Toc526772278" w:history="1">
            <w:r w:rsidR="00E95085" w:rsidRPr="009D52DB">
              <w:rPr>
                <w:rStyle w:val="Hyperlink"/>
                <w:noProof/>
              </w:rPr>
              <w:t>Office management</w:t>
            </w:r>
            <w:r w:rsidR="00E95085">
              <w:rPr>
                <w:noProof/>
                <w:webHidden/>
              </w:rPr>
              <w:tab/>
            </w:r>
            <w:r w:rsidR="00E95085">
              <w:rPr>
                <w:noProof/>
                <w:webHidden/>
              </w:rPr>
              <w:fldChar w:fldCharType="begin"/>
            </w:r>
            <w:r w:rsidR="00E95085">
              <w:rPr>
                <w:noProof/>
                <w:webHidden/>
              </w:rPr>
              <w:instrText xml:space="preserve"> PAGEREF _Toc526772278 \h </w:instrText>
            </w:r>
            <w:r w:rsidR="00E95085">
              <w:rPr>
                <w:noProof/>
                <w:webHidden/>
              </w:rPr>
            </w:r>
            <w:r w:rsidR="00E95085">
              <w:rPr>
                <w:noProof/>
                <w:webHidden/>
              </w:rPr>
              <w:fldChar w:fldCharType="separate"/>
            </w:r>
            <w:r w:rsidR="00C26074">
              <w:rPr>
                <w:noProof/>
                <w:webHidden/>
              </w:rPr>
              <w:t>42</w:t>
            </w:r>
            <w:r w:rsidR="00E95085">
              <w:rPr>
                <w:noProof/>
                <w:webHidden/>
              </w:rPr>
              <w:fldChar w:fldCharType="end"/>
            </w:r>
          </w:hyperlink>
        </w:p>
        <w:p w14:paraId="15B13FC4" w14:textId="77777777" w:rsidR="00B201D3" w:rsidRPr="00C10739" w:rsidRDefault="00AC55C1" w:rsidP="00B82951">
          <w:pPr>
            <w:tabs>
              <w:tab w:val="right" w:leader="dot" w:pos="9072"/>
            </w:tabs>
          </w:pPr>
          <w:r w:rsidRPr="00C10739">
            <w:rPr>
              <w:b/>
              <w:bCs/>
              <w:noProof/>
            </w:rPr>
            <w:fldChar w:fldCharType="end"/>
          </w:r>
        </w:p>
      </w:sdtContent>
    </w:sdt>
    <w:p w14:paraId="4BE80C28" w14:textId="77777777" w:rsidR="004C5575" w:rsidRPr="00C10739" w:rsidRDefault="004C5575" w:rsidP="004C5575"/>
    <w:p w14:paraId="20273F16" w14:textId="77777777" w:rsidR="004C5575" w:rsidRPr="00C10739" w:rsidRDefault="004C5575" w:rsidP="004C5575">
      <w:pPr>
        <w:sectPr w:rsidR="004C5575" w:rsidRPr="00C10739" w:rsidSect="00E51763">
          <w:footerReference w:type="default" r:id="rId15"/>
          <w:pgSz w:w="12242" w:h="15842" w:code="1"/>
          <w:pgMar w:top="1418" w:right="1701" w:bottom="1418" w:left="1701" w:header="709" w:footer="709" w:gutter="0"/>
          <w:cols w:space="708"/>
          <w:docGrid w:linePitch="360"/>
        </w:sectPr>
      </w:pPr>
    </w:p>
    <w:p w14:paraId="1CABFFB1" w14:textId="77777777" w:rsidR="00E51763" w:rsidRPr="00C10739" w:rsidRDefault="00E51763" w:rsidP="00C84A2A">
      <w:pPr>
        <w:pStyle w:val="Heading1"/>
      </w:pPr>
      <w:bookmarkStart w:id="11" w:name="_Toc526772239"/>
      <w:r w:rsidRPr="00C10739">
        <w:t>Glossary and abbreviations</w:t>
      </w:r>
      <w:bookmarkEnd w:id="11"/>
      <w:r w:rsidR="009009C5">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82"/>
        <w:gridCol w:w="7652"/>
      </w:tblGrid>
      <w:tr w:rsidR="00736B3E" w:rsidRPr="00C10739" w14:paraId="7DA09705" w14:textId="77777777" w:rsidTr="007A7159">
        <w:tc>
          <w:tcPr>
            <w:tcW w:w="1182" w:type="dxa"/>
          </w:tcPr>
          <w:p w14:paraId="0D7CF4D5" w14:textId="77777777" w:rsidR="00736B3E" w:rsidRDefault="00736B3E" w:rsidP="00E51763">
            <w:pPr>
              <w:ind w:firstLine="0"/>
              <w:rPr>
                <w:b/>
                <w:bCs/>
              </w:rPr>
            </w:pPr>
            <w:r>
              <w:rPr>
                <w:b/>
                <w:bCs/>
              </w:rPr>
              <w:t>AO</w:t>
            </w:r>
          </w:p>
        </w:tc>
        <w:tc>
          <w:tcPr>
            <w:tcW w:w="7652" w:type="dxa"/>
          </w:tcPr>
          <w:p w14:paraId="0DC94674" w14:textId="77777777" w:rsidR="00736B3E" w:rsidRDefault="00736B3E" w:rsidP="00207728">
            <w:pPr>
              <w:ind w:firstLine="0"/>
              <w:rPr>
                <w:color w:val="000000" w:themeColor="text1"/>
              </w:rPr>
            </w:pPr>
            <w:r>
              <w:rPr>
                <w:color w:val="000000" w:themeColor="text1"/>
              </w:rPr>
              <w:t>Area Office</w:t>
            </w:r>
          </w:p>
        </w:tc>
      </w:tr>
      <w:tr w:rsidR="00893C13" w:rsidRPr="00C10739" w14:paraId="6A954212" w14:textId="77777777" w:rsidTr="007A7159">
        <w:tc>
          <w:tcPr>
            <w:tcW w:w="1182" w:type="dxa"/>
          </w:tcPr>
          <w:p w14:paraId="14CE9494" w14:textId="77777777" w:rsidR="002B008A" w:rsidRPr="00C10739" w:rsidRDefault="00274470" w:rsidP="00E51763">
            <w:pPr>
              <w:ind w:firstLine="0"/>
              <w:rPr>
                <w:b/>
                <w:bCs/>
              </w:rPr>
            </w:pPr>
            <w:r>
              <w:rPr>
                <w:b/>
                <w:bCs/>
              </w:rPr>
              <w:t>BAAP</w:t>
            </w:r>
          </w:p>
        </w:tc>
        <w:tc>
          <w:tcPr>
            <w:tcW w:w="7652" w:type="dxa"/>
          </w:tcPr>
          <w:p w14:paraId="5426ABAF" w14:textId="77777777" w:rsidR="002B008A" w:rsidRPr="00274470" w:rsidRDefault="00274470" w:rsidP="00207728">
            <w:pPr>
              <w:ind w:firstLine="0"/>
              <w:rPr>
                <w:color w:val="000000" w:themeColor="text1"/>
              </w:rPr>
            </w:pPr>
            <w:r>
              <w:rPr>
                <w:color w:val="000000" w:themeColor="text1"/>
              </w:rPr>
              <w:t>Buenos Aires Action Plan</w:t>
            </w:r>
          </w:p>
        </w:tc>
      </w:tr>
      <w:tr w:rsidR="004759F4" w:rsidRPr="00C10739" w14:paraId="31258233" w14:textId="77777777" w:rsidTr="007A7159">
        <w:tc>
          <w:tcPr>
            <w:tcW w:w="1182" w:type="dxa"/>
          </w:tcPr>
          <w:p w14:paraId="7B14A326" w14:textId="77777777" w:rsidR="004759F4" w:rsidRDefault="004759F4" w:rsidP="004759F4">
            <w:pPr>
              <w:ind w:firstLine="0"/>
              <w:rPr>
                <w:b/>
                <w:bCs/>
              </w:rPr>
            </w:pPr>
            <w:r>
              <w:rPr>
                <w:b/>
                <w:bCs/>
              </w:rPr>
              <w:t>BDT</w:t>
            </w:r>
          </w:p>
        </w:tc>
        <w:tc>
          <w:tcPr>
            <w:tcW w:w="7652" w:type="dxa"/>
          </w:tcPr>
          <w:p w14:paraId="61C3D73F" w14:textId="77777777" w:rsidR="004759F4" w:rsidRDefault="004759F4" w:rsidP="004759F4">
            <w:pPr>
              <w:ind w:firstLine="0"/>
              <w:rPr>
                <w:color w:val="000000" w:themeColor="text1"/>
              </w:rPr>
            </w:pPr>
            <w:r w:rsidRPr="00274470">
              <w:t>Telecommunication Development Bureau</w:t>
            </w:r>
          </w:p>
        </w:tc>
      </w:tr>
      <w:tr w:rsidR="00274470" w:rsidRPr="00C10739" w14:paraId="78F69548" w14:textId="77777777" w:rsidTr="007A7159">
        <w:tc>
          <w:tcPr>
            <w:tcW w:w="1182" w:type="dxa"/>
          </w:tcPr>
          <w:p w14:paraId="0700B11A" w14:textId="77777777" w:rsidR="00274470" w:rsidRDefault="00274470" w:rsidP="00E51763">
            <w:pPr>
              <w:ind w:firstLine="0"/>
              <w:rPr>
                <w:b/>
                <w:bCs/>
              </w:rPr>
            </w:pPr>
            <w:r>
              <w:rPr>
                <w:b/>
                <w:bCs/>
              </w:rPr>
              <w:t>DACI</w:t>
            </w:r>
          </w:p>
        </w:tc>
        <w:tc>
          <w:tcPr>
            <w:tcW w:w="7652" w:type="dxa"/>
          </w:tcPr>
          <w:p w14:paraId="4096EC5D" w14:textId="77777777" w:rsidR="00274470" w:rsidRPr="00274470" w:rsidRDefault="00274470" w:rsidP="00E51763">
            <w:pPr>
              <w:ind w:firstLine="0"/>
            </w:pPr>
            <w:r w:rsidRPr="00274470">
              <w:t>Declaration of absence of conflict of interest</w:t>
            </w:r>
          </w:p>
        </w:tc>
      </w:tr>
      <w:tr w:rsidR="004759F4" w:rsidRPr="00C10739" w14:paraId="1F9331FA" w14:textId="77777777" w:rsidTr="007A7159">
        <w:tc>
          <w:tcPr>
            <w:tcW w:w="1182" w:type="dxa"/>
          </w:tcPr>
          <w:p w14:paraId="26C9E1C5" w14:textId="77777777" w:rsidR="004759F4" w:rsidRDefault="004759F4" w:rsidP="00E51763">
            <w:pPr>
              <w:ind w:firstLine="0"/>
              <w:rPr>
                <w:b/>
                <w:bCs/>
              </w:rPr>
            </w:pPr>
            <w:r>
              <w:rPr>
                <w:b/>
                <w:bCs/>
              </w:rPr>
              <w:t>DuAP</w:t>
            </w:r>
          </w:p>
        </w:tc>
        <w:tc>
          <w:tcPr>
            <w:tcW w:w="7652" w:type="dxa"/>
          </w:tcPr>
          <w:p w14:paraId="29E70AB9" w14:textId="77777777" w:rsidR="004759F4" w:rsidRPr="00274470" w:rsidRDefault="004759F4" w:rsidP="00E51763">
            <w:pPr>
              <w:ind w:firstLine="0"/>
            </w:pPr>
            <w:r>
              <w:t>Dubai Action Plan</w:t>
            </w:r>
          </w:p>
        </w:tc>
      </w:tr>
      <w:tr w:rsidR="00815916" w:rsidRPr="00C10739" w14:paraId="3729CC86" w14:textId="77777777" w:rsidTr="007A7159">
        <w:tc>
          <w:tcPr>
            <w:tcW w:w="1182" w:type="dxa"/>
          </w:tcPr>
          <w:p w14:paraId="6CF10455" w14:textId="77777777" w:rsidR="00815916" w:rsidRPr="00C10739" w:rsidRDefault="008D3174" w:rsidP="00E51763">
            <w:pPr>
              <w:ind w:firstLine="0"/>
              <w:rPr>
                <w:b/>
                <w:bCs/>
              </w:rPr>
            </w:pPr>
            <w:r>
              <w:rPr>
                <w:b/>
                <w:bCs/>
              </w:rPr>
              <w:t>ERM</w:t>
            </w:r>
          </w:p>
        </w:tc>
        <w:tc>
          <w:tcPr>
            <w:tcW w:w="7652" w:type="dxa"/>
          </w:tcPr>
          <w:p w14:paraId="754019C7" w14:textId="77777777" w:rsidR="00815916" w:rsidRPr="00C10739" w:rsidRDefault="008D3174" w:rsidP="00E51763">
            <w:pPr>
              <w:ind w:firstLine="0"/>
            </w:pPr>
            <w:r>
              <w:t>Enterprise Risk Management</w:t>
            </w:r>
          </w:p>
        </w:tc>
      </w:tr>
      <w:tr w:rsidR="0040297A" w:rsidRPr="00C10739" w14:paraId="337C99FA" w14:textId="77777777" w:rsidTr="007A7159">
        <w:tc>
          <w:tcPr>
            <w:tcW w:w="1182" w:type="dxa"/>
          </w:tcPr>
          <w:p w14:paraId="5997F371" w14:textId="77777777" w:rsidR="0040297A" w:rsidRPr="00C10739" w:rsidRDefault="00274470" w:rsidP="00E51763">
            <w:pPr>
              <w:ind w:firstLine="0"/>
              <w:rPr>
                <w:b/>
                <w:bCs/>
              </w:rPr>
            </w:pPr>
            <w:r>
              <w:rPr>
                <w:b/>
                <w:bCs/>
              </w:rPr>
              <w:t>IEE</w:t>
            </w:r>
          </w:p>
        </w:tc>
        <w:tc>
          <w:tcPr>
            <w:tcW w:w="7652" w:type="dxa"/>
          </w:tcPr>
          <w:p w14:paraId="356309D2" w14:textId="77777777" w:rsidR="0040297A" w:rsidRPr="00C10739" w:rsidRDefault="00274470" w:rsidP="00494361">
            <w:pPr>
              <w:ind w:firstLine="0"/>
            </w:pPr>
            <w:r w:rsidRPr="00274470">
              <w:t>Infrastructure, Enabling Environment and E-Applications Department</w:t>
            </w:r>
          </w:p>
        </w:tc>
      </w:tr>
      <w:tr w:rsidR="0040297A" w:rsidRPr="00C10739" w14:paraId="4734DEF3" w14:textId="77777777" w:rsidTr="007A7159">
        <w:tc>
          <w:tcPr>
            <w:tcW w:w="1182" w:type="dxa"/>
          </w:tcPr>
          <w:p w14:paraId="4E2BD9BF" w14:textId="77777777" w:rsidR="0040297A" w:rsidRPr="00C10739" w:rsidRDefault="00274470" w:rsidP="00E51763">
            <w:pPr>
              <w:ind w:firstLine="0"/>
              <w:rPr>
                <w:b/>
                <w:bCs/>
              </w:rPr>
            </w:pPr>
            <w:r>
              <w:rPr>
                <w:b/>
                <w:bCs/>
              </w:rPr>
              <w:t>IP</w:t>
            </w:r>
          </w:p>
        </w:tc>
        <w:tc>
          <w:tcPr>
            <w:tcW w:w="7652" w:type="dxa"/>
          </w:tcPr>
          <w:p w14:paraId="034D4AA2" w14:textId="77777777" w:rsidR="0040297A" w:rsidRPr="00C10739" w:rsidRDefault="00274470" w:rsidP="00E51763">
            <w:pPr>
              <w:ind w:firstLine="0"/>
            </w:pPr>
            <w:r w:rsidRPr="00274470">
              <w:t>Innovation and Partnership Department</w:t>
            </w:r>
          </w:p>
        </w:tc>
      </w:tr>
      <w:tr w:rsidR="00E01B80" w:rsidRPr="00C10739" w14:paraId="067498A3" w14:textId="77777777" w:rsidTr="007A7159">
        <w:tc>
          <w:tcPr>
            <w:tcW w:w="1182" w:type="dxa"/>
          </w:tcPr>
          <w:p w14:paraId="5259EFAA" w14:textId="77777777" w:rsidR="00E01B80" w:rsidRPr="00C10739" w:rsidRDefault="00274470" w:rsidP="00E51763">
            <w:pPr>
              <w:ind w:firstLine="0"/>
              <w:rPr>
                <w:b/>
                <w:bCs/>
              </w:rPr>
            </w:pPr>
            <w:r>
              <w:rPr>
                <w:b/>
                <w:bCs/>
              </w:rPr>
              <w:t>KPI</w:t>
            </w:r>
          </w:p>
        </w:tc>
        <w:tc>
          <w:tcPr>
            <w:tcW w:w="7652" w:type="dxa"/>
          </w:tcPr>
          <w:p w14:paraId="5F4C2000" w14:textId="77777777" w:rsidR="00E01B80" w:rsidRPr="00C10739" w:rsidRDefault="00274470" w:rsidP="00E51763">
            <w:pPr>
              <w:ind w:firstLine="0"/>
            </w:pPr>
            <w:r>
              <w:t>K</w:t>
            </w:r>
            <w:r w:rsidRPr="00274470">
              <w:t xml:space="preserve">ey </w:t>
            </w:r>
            <w:r>
              <w:t>Performance I</w:t>
            </w:r>
            <w:r w:rsidRPr="00274470">
              <w:t>ndicator</w:t>
            </w:r>
          </w:p>
        </w:tc>
      </w:tr>
      <w:tr w:rsidR="00C011D8" w:rsidRPr="00C10739" w14:paraId="415D5823" w14:textId="77777777" w:rsidTr="007A7159">
        <w:tc>
          <w:tcPr>
            <w:tcW w:w="1182" w:type="dxa"/>
          </w:tcPr>
          <w:p w14:paraId="421069A0" w14:textId="77777777" w:rsidR="00C011D8" w:rsidRPr="00C10739" w:rsidRDefault="00274470" w:rsidP="00E51763">
            <w:pPr>
              <w:ind w:firstLine="0"/>
              <w:rPr>
                <w:b/>
                <w:bCs/>
              </w:rPr>
            </w:pPr>
            <w:r>
              <w:rPr>
                <w:b/>
                <w:bCs/>
              </w:rPr>
              <w:t>PKM</w:t>
            </w:r>
          </w:p>
        </w:tc>
        <w:tc>
          <w:tcPr>
            <w:tcW w:w="7652" w:type="dxa"/>
          </w:tcPr>
          <w:p w14:paraId="0AB0F2C0" w14:textId="77777777" w:rsidR="00C011D8" w:rsidRPr="00C10739" w:rsidRDefault="00274470" w:rsidP="00E51763">
            <w:pPr>
              <w:ind w:firstLine="0"/>
            </w:pPr>
            <w:r w:rsidRPr="00274470">
              <w:t>Projects Knowledge Management Department</w:t>
            </w:r>
          </w:p>
        </w:tc>
      </w:tr>
      <w:tr w:rsidR="00A07604" w:rsidRPr="00C10739" w14:paraId="2B351DBA" w14:textId="77777777" w:rsidTr="007A7159">
        <w:tc>
          <w:tcPr>
            <w:tcW w:w="1182" w:type="dxa"/>
          </w:tcPr>
          <w:p w14:paraId="350B0CE2" w14:textId="77777777" w:rsidR="00A07604" w:rsidRDefault="00A07604" w:rsidP="00A07604">
            <w:pPr>
              <w:ind w:firstLine="0"/>
              <w:rPr>
                <w:b/>
                <w:bCs/>
              </w:rPr>
            </w:pPr>
            <w:r>
              <w:rPr>
                <w:b/>
                <w:bCs/>
              </w:rPr>
              <w:t>PP</w:t>
            </w:r>
          </w:p>
        </w:tc>
        <w:tc>
          <w:tcPr>
            <w:tcW w:w="7652" w:type="dxa"/>
          </w:tcPr>
          <w:p w14:paraId="03FA0F99" w14:textId="77777777" w:rsidR="00A07604" w:rsidRPr="00274470" w:rsidRDefault="00A07604" w:rsidP="00A07604">
            <w:pPr>
              <w:ind w:firstLine="0"/>
            </w:pPr>
            <w:r>
              <w:t>Plenipotentiary Conference</w:t>
            </w:r>
          </w:p>
        </w:tc>
      </w:tr>
      <w:tr w:rsidR="008C5631" w:rsidRPr="00C10739" w14:paraId="0BB3C20E" w14:textId="77777777" w:rsidTr="007A7159">
        <w:tc>
          <w:tcPr>
            <w:tcW w:w="1182" w:type="dxa"/>
          </w:tcPr>
          <w:p w14:paraId="2FC22470" w14:textId="77777777" w:rsidR="008C5631" w:rsidRDefault="008C5631" w:rsidP="00E51763">
            <w:pPr>
              <w:ind w:firstLine="0"/>
              <w:rPr>
                <w:b/>
                <w:bCs/>
              </w:rPr>
            </w:pPr>
            <w:r>
              <w:rPr>
                <w:b/>
                <w:bCs/>
              </w:rPr>
              <w:t>RAF</w:t>
            </w:r>
          </w:p>
        </w:tc>
        <w:tc>
          <w:tcPr>
            <w:tcW w:w="7652" w:type="dxa"/>
          </w:tcPr>
          <w:p w14:paraId="45FCBB8C" w14:textId="77777777" w:rsidR="008C5631" w:rsidRPr="00274470" w:rsidRDefault="008C5631" w:rsidP="00E51763">
            <w:pPr>
              <w:ind w:firstLine="0"/>
            </w:pPr>
            <w:r>
              <w:t>Regional Office for Africa</w:t>
            </w:r>
          </w:p>
        </w:tc>
      </w:tr>
      <w:tr w:rsidR="008C5631" w:rsidRPr="00C10739" w14:paraId="698E01A2" w14:textId="77777777" w:rsidTr="007A7159">
        <w:tc>
          <w:tcPr>
            <w:tcW w:w="1182" w:type="dxa"/>
          </w:tcPr>
          <w:p w14:paraId="0A283E8C" w14:textId="77777777" w:rsidR="008C5631" w:rsidRDefault="008C5631" w:rsidP="00E51763">
            <w:pPr>
              <w:ind w:firstLine="0"/>
              <w:rPr>
                <w:b/>
                <w:bCs/>
              </w:rPr>
            </w:pPr>
            <w:r>
              <w:rPr>
                <w:b/>
                <w:bCs/>
              </w:rPr>
              <w:t>RAM</w:t>
            </w:r>
          </w:p>
        </w:tc>
        <w:tc>
          <w:tcPr>
            <w:tcW w:w="7652" w:type="dxa"/>
          </w:tcPr>
          <w:p w14:paraId="44F441D2" w14:textId="77777777" w:rsidR="008C5631" w:rsidRPr="00274470" w:rsidRDefault="008C5631" w:rsidP="00E51763">
            <w:pPr>
              <w:ind w:firstLine="0"/>
            </w:pPr>
            <w:r w:rsidRPr="008C5631">
              <w:t xml:space="preserve">Regional </w:t>
            </w:r>
            <w:r>
              <w:t>O</w:t>
            </w:r>
            <w:r w:rsidRPr="008C5631">
              <w:t>ffice for Americas</w:t>
            </w:r>
          </w:p>
        </w:tc>
      </w:tr>
      <w:tr w:rsidR="004759F4" w:rsidRPr="00C10739" w14:paraId="1B991155" w14:textId="77777777" w:rsidTr="007A7159">
        <w:tc>
          <w:tcPr>
            <w:tcW w:w="1182" w:type="dxa"/>
          </w:tcPr>
          <w:p w14:paraId="07E196B8" w14:textId="77777777" w:rsidR="004759F4" w:rsidRDefault="004759F4" w:rsidP="00E51763">
            <w:pPr>
              <w:ind w:firstLine="0"/>
              <w:rPr>
                <w:b/>
                <w:bCs/>
              </w:rPr>
            </w:pPr>
            <w:r>
              <w:rPr>
                <w:b/>
                <w:bCs/>
              </w:rPr>
              <w:t>RD</w:t>
            </w:r>
          </w:p>
        </w:tc>
        <w:tc>
          <w:tcPr>
            <w:tcW w:w="7652" w:type="dxa"/>
          </w:tcPr>
          <w:p w14:paraId="745FD5C6" w14:textId="77777777" w:rsidR="004759F4" w:rsidRPr="008C5631" w:rsidRDefault="004759F4" w:rsidP="00E51763">
            <w:pPr>
              <w:ind w:firstLine="0"/>
            </w:pPr>
            <w:r>
              <w:t>Regional Director</w:t>
            </w:r>
          </w:p>
        </w:tc>
      </w:tr>
      <w:tr w:rsidR="008C5631" w:rsidRPr="00C10739" w14:paraId="046B0284" w14:textId="77777777" w:rsidTr="007A7159">
        <w:tc>
          <w:tcPr>
            <w:tcW w:w="1182" w:type="dxa"/>
          </w:tcPr>
          <w:p w14:paraId="5A3A9BDB" w14:textId="77777777" w:rsidR="008C5631" w:rsidRDefault="008C5631" w:rsidP="00E51763">
            <w:pPr>
              <w:ind w:firstLine="0"/>
              <w:rPr>
                <w:b/>
                <w:bCs/>
              </w:rPr>
            </w:pPr>
            <w:r>
              <w:rPr>
                <w:b/>
                <w:bCs/>
              </w:rPr>
              <w:t>RO</w:t>
            </w:r>
          </w:p>
        </w:tc>
        <w:tc>
          <w:tcPr>
            <w:tcW w:w="7652" w:type="dxa"/>
          </w:tcPr>
          <w:p w14:paraId="157A0052" w14:textId="77777777" w:rsidR="008C5631" w:rsidRPr="00274470" w:rsidRDefault="008C5631" w:rsidP="00E51763">
            <w:pPr>
              <w:ind w:firstLine="0"/>
            </w:pPr>
            <w:r>
              <w:t>Regional Office</w:t>
            </w:r>
          </w:p>
        </w:tc>
      </w:tr>
      <w:tr w:rsidR="005269A1" w:rsidRPr="00C10739" w14:paraId="580B3C1F" w14:textId="77777777" w:rsidTr="007A7159">
        <w:tc>
          <w:tcPr>
            <w:tcW w:w="1182" w:type="dxa"/>
          </w:tcPr>
          <w:p w14:paraId="184C2253" w14:textId="77777777" w:rsidR="005269A1" w:rsidRDefault="005269A1" w:rsidP="00E51763">
            <w:pPr>
              <w:ind w:firstLine="0"/>
              <w:rPr>
                <w:b/>
                <w:bCs/>
              </w:rPr>
            </w:pPr>
            <w:r>
              <w:rPr>
                <w:b/>
                <w:bCs/>
              </w:rPr>
              <w:t>RR</w:t>
            </w:r>
          </w:p>
        </w:tc>
        <w:tc>
          <w:tcPr>
            <w:tcW w:w="7652" w:type="dxa"/>
          </w:tcPr>
          <w:p w14:paraId="3BCD8F9D" w14:textId="77777777" w:rsidR="005269A1" w:rsidRDefault="005269A1" w:rsidP="00E51763">
            <w:pPr>
              <w:ind w:firstLine="0"/>
            </w:pPr>
            <w:r>
              <w:t>Risk Register</w:t>
            </w:r>
          </w:p>
        </w:tc>
      </w:tr>
      <w:tr w:rsidR="0040297A" w:rsidRPr="00C10739" w14:paraId="740D8EB2" w14:textId="77777777" w:rsidTr="007A7159">
        <w:tc>
          <w:tcPr>
            <w:tcW w:w="1182" w:type="dxa"/>
          </w:tcPr>
          <w:p w14:paraId="420E530B" w14:textId="77777777" w:rsidR="0040297A" w:rsidRPr="00C10739" w:rsidRDefault="00274470" w:rsidP="00E51763">
            <w:pPr>
              <w:ind w:firstLine="0"/>
              <w:rPr>
                <w:b/>
                <w:bCs/>
              </w:rPr>
            </w:pPr>
            <w:r>
              <w:rPr>
                <w:b/>
                <w:bCs/>
              </w:rPr>
              <w:t>SDG</w:t>
            </w:r>
          </w:p>
        </w:tc>
        <w:tc>
          <w:tcPr>
            <w:tcW w:w="7652" w:type="dxa"/>
          </w:tcPr>
          <w:p w14:paraId="3A94A869" w14:textId="77777777" w:rsidR="0040297A" w:rsidRPr="00C10739" w:rsidRDefault="00274470" w:rsidP="00E51763">
            <w:pPr>
              <w:ind w:firstLine="0"/>
            </w:pPr>
            <w:r w:rsidRPr="00274470">
              <w:t>Sustainable Development Goal</w:t>
            </w:r>
          </w:p>
        </w:tc>
      </w:tr>
      <w:tr w:rsidR="0040297A" w:rsidRPr="00C10739" w14:paraId="23C807E7" w14:textId="77777777" w:rsidTr="007A7159">
        <w:tc>
          <w:tcPr>
            <w:tcW w:w="1182" w:type="dxa"/>
          </w:tcPr>
          <w:p w14:paraId="4728389A" w14:textId="77777777" w:rsidR="0040297A" w:rsidRPr="00C10739" w:rsidRDefault="00274470" w:rsidP="00E51763">
            <w:pPr>
              <w:ind w:firstLine="0"/>
              <w:rPr>
                <w:b/>
                <w:bCs/>
              </w:rPr>
            </w:pPr>
            <w:r>
              <w:rPr>
                <w:b/>
                <w:bCs/>
              </w:rPr>
              <w:t>TDAG</w:t>
            </w:r>
          </w:p>
        </w:tc>
        <w:tc>
          <w:tcPr>
            <w:tcW w:w="7652" w:type="dxa"/>
          </w:tcPr>
          <w:p w14:paraId="6D10422F" w14:textId="77777777" w:rsidR="0040297A" w:rsidRPr="00C10739" w:rsidRDefault="00274470" w:rsidP="00E51763">
            <w:pPr>
              <w:ind w:firstLine="0"/>
            </w:pPr>
            <w:r w:rsidRPr="00274470">
              <w:t>Telecommunication Development Advisory Group</w:t>
            </w:r>
          </w:p>
        </w:tc>
      </w:tr>
      <w:tr w:rsidR="00A07604" w:rsidRPr="00C10739" w14:paraId="4AB598DD" w14:textId="77777777" w:rsidTr="007A7159">
        <w:tc>
          <w:tcPr>
            <w:tcW w:w="1182" w:type="dxa"/>
          </w:tcPr>
          <w:p w14:paraId="4BE3E216" w14:textId="77777777" w:rsidR="00A07604" w:rsidRPr="00C10739" w:rsidRDefault="00A07604" w:rsidP="00A07604">
            <w:pPr>
              <w:ind w:firstLine="0"/>
              <w:rPr>
                <w:b/>
                <w:bCs/>
              </w:rPr>
            </w:pPr>
            <w:r>
              <w:rPr>
                <w:b/>
                <w:bCs/>
              </w:rPr>
              <w:t>WSIS</w:t>
            </w:r>
          </w:p>
        </w:tc>
        <w:tc>
          <w:tcPr>
            <w:tcW w:w="7652" w:type="dxa"/>
          </w:tcPr>
          <w:p w14:paraId="0065568A" w14:textId="77777777" w:rsidR="00A07604" w:rsidRPr="00C10739" w:rsidRDefault="00A07604" w:rsidP="00A07604">
            <w:pPr>
              <w:ind w:firstLine="0"/>
            </w:pPr>
            <w:r w:rsidRPr="00274470">
              <w:t>World Summit for the Information Society</w:t>
            </w:r>
          </w:p>
        </w:tc>
      </w:tr>
      <w:tr w:rsidR="00A07604" w:rsidRPr="00C10739" w14:paraId="6752EE91" w14:textId="77777777" w:rsidTr="007A7159">
        <w:tc>
          <w:tcPr>
            <w:tcW w:w="1182" w:type="dxa"/>
          </w:tcPr>
          <w:p w14:paraId="33B640FC" w14:textId="77777777" w:rsidR="00A07604" w:rsidRPr="00C10739" w:rsidRDefault="00A07604" w:rsidP="00A07604">
            <w:pPr>
              <w:ind w:firstLine="0"/>
              <w:rPr>
                <w:b/>
                <w:bCs/>
              </w:rPr>
            </w:pPr>
            <w:r w:rsidRPr="008C5631">
              <w:rPr>
                <w:b/>
                <w:bCs/>
              </w:rPr>
              <w:t>WTDC</w:t>
            </w:r>
          </w:p>
        </w:tc>
        <w:tc>
          <w:tcPr>
            <w:tcW w:w="7652" w:type="dxa"/>
          </w:tcPr>
          <w:p w14:paraId="71E7DE95" w14:textId="77777777" w:rsidR="00A07604" w:rsidRPr="00C10739" w:rsidRDefault="00A07604" w:rsidP="00A07604">
            <w:pPr>
              <w:ind w:firstLine="0"/>
            </w:pPr>
            <w:r w:rsidRPr="008C5631">
              <w:t xml:space="preserve">World Telecommunication Development Conference </w:t>
            </w:r>
          </w:p>
        </w:tc>
      </w:tr>
    </w:tbl>
    <w:p w14:paraId="73971500" w14:textId="77777777" w:rsidR="00E51763" w:rsidRPr="00C10739" w:rsidRDefault="00E51763" w:rsidP="00E51763"/>
    <w:p w14:paraId="060DA986" w14:textId="77777777" w:rsidR="00E51763" w:rsidRPr="00C10739" w:rsidRDefault="00E51763" w:rsidP="00E51763">
      <w:pPr>
        <w:sectPr w:rsidR="00E51763" w:rsidRPr="00C10739" w:rsidSect="00E51763">
          <w:footerReference w:type="default" r:id="rId16"/>
          <w:pgSz w:w="12242" w:h="15842" w:code="1"/>
          <w:pgMar w:top="1418" w:right="1701" w:bottom="1418" w:left="1701" w:header="709" w:footer="709" w:gutter="0"/>
          <w:cols w:space="708"/>
          <w:docGrid w:linePitch="360"/>
        </w:sectPr>
      </w:pPr>
    </w:p>
    <w:p w14:paraId="552D2B5B" w14:textId="77777777" w:rsidR="00E51763" w:rsidRPr="00C10739" w:rsidRDefault="00E51763" w:rsidP="00C84A2A">
      <w:pPr>
        <w:pStyle w:val="Heading1"/>
      </w:pPr>
      <w:bookmarkStart w:id="12" w:name="_Toc526772240"/>
      <w:r w:rsidRPr="00C10739">
        <w:t>Executive Summary</w:t>
      </w:r>
      <w:bookmarkEnd w:id="12"/>
    </w:p>
    <w:p w14:paraId="40E52C4F" w14:textId="77777777" w:rsidR="00AF1BDD" w:rsidRPr="0063479E" w:rsidRDefault="00AF1BDD" w:rsidP="00B4431B">
      <w:pPr>
        <w:pStyle w:val="testoexecutive"/>
      </w:pPr>
      <w:r w:rsidRPr="0063479E">
        <w:t>Performance measurement gives assurance of value</w:t>
      </w:r>
      <w:r w:rsidR="003A5A69">
        <w:t xml:space="preserve"> </w:t>
      </w:r>
      <w:r w:rsidRPr="0063479E">
        <w:t>for</w:t>
      </w:r>
      <w:r w:rsidR="003A5A69">
        <w:t xml:space="preserve"> </w:t>
      </w:r>
      <w:r w:rsidRPr="0063479E">
        <w:t>money, increases accountability and enhances the legitimacy of decisions. It is now internationally recognized that a good set of performance indicators also gives a better understanding of why targets are, or are not, being achieved, thus supporting the decision-making process.</w:t>
      </w:r>
    </w:p>
    <w:p w14:paraId="32E19BE8" w14:textId="77777777" w:rsidR="00D00A13" w:rsidRPr="002505A2" w:rsidRDefault="00AF1BDD" w:rsidP="00B4431B">
      <w:pPr>
        <w:pStyle w:val="testoexecutive"/>
      </w:pPr>
      <w:r w:rsidRPr="002505A2">
        <w:t xml:space="preserve">Our audit focused on the activities carried out by Management for </w:t>
      </w:r>
      <w:r w:rsidR="00D8564E" w:rsidRPr="002505A2">
        <w:t xml:space="preserve">maintaining </w:t>
      </w:r>
      <w:r w:rsidR="00AB5652" w:rsidRPr="002505A2">
        <w:t>ITU</w:t>
      </w:r>
      <w:r w:rsidR="00BD08FC">
        <w:t>’s</w:t>
      </w:r>
      <w:r w:rsidR="00AB5652" w:rsidRPr="002505A2">
        <w:t xml:space="preserve"> field presence in accordance with the objectives set by </w:t>
      </w:r>
      <w:r w:rsidR="00CD601E" w:rsidRPr="002505A2">
        <w:t xml:space="preserve">PP </w:t>
      </w:r>
      <w:r w:rsidR="00AB5652" w:rsidRPr="002505A2">
        <w:t xml:space="preserve">Res. 25 (Rev. Busan, 2014) and for ensuring the effectiveness and efficiency of its mission in the field. </w:t>
      </w:r>
    </w:p>
    <w:p w14:paraId="1426D885" w14:textId="77777777" w:rsidR="00E51763" w:rsidRPr="0063479E" w:rsidRDefault="008A42C4" w:rsidP="00547727">
      <w:pPr>
        <w:pStyle w:val="testoexecutive"/>
        <w:spacing w:after="120"/>
      </w:pPr>
      <w:r w:rsidRPr="0063479E">
        <w:t>We found that</w:t>
      </w:r>
      <w:r w:rsidR="00A14170">
        <w:t xml:space="preserve"> </w:t>
      </w:r>
      <w:r w:rsidR="00C441BB">
        <w:t>several acti</w:t>
      </w:r>
      <w:r w:rsidR="006334DF">
        <w:t>ons</w:t>
      </w:r>
      <w:r w:rsidR="00C441BB">
        <w:t xml:space="preserve"> </w:t>
      </w:r>
      <w:r w:rsidR="00A14170">
        <w:t xml:space="preserve">were </w:t>
      </w:r>
      <w:r w:rsidR="00C441BB">
        <w:t>carried out at local</w:t>
      </w:r>
      <w:r w:rsidR="00C92294">
        <w:t xml:space="preserve"> level</w:t>
      </w:r>
      <w:r w:rsidR="006334DF">
        <w:t>,</w:t>
      </w:r>
      <w:r w:rsidR="00B801F6">
        <w:t xml:space="preserve"> </w:t>
      </w:r>
      <w:r w:rsidR="009009C5">
        <w:t>and regularly reported under a number of instruments</w:t>
      </w:r>
      <w:r w:rsidR="00A14170">
        <w:t>.</w:t>
      </w:r>
      <w:r w:rsidRPr="0063479E">
        <w:t xml:space="preserve"> </w:t>
      </w:r>
      <w:r w:rsidR="00A14170">
        <w:t>However,</w:t>
      </w:r>
      <w:r w:rsidRPr="0063479E">
        <w:t xml:space="preserve"> </w:t>
      </w:r>
      <w:r w:rsidR="00BD08FC">
        <w:t xml:space="preserve">there </w:t>
      </w:r>
      <w:r w:rsidR="0063479E" w:rsidRPr="0063479E">
        <w:t>we</w:t>
      </w:r>
      <w:r w:rsidRPr="0063479E">
        <w:t>re no specific objectives assigned to each R</w:t>
      </w:r>
      <w:r w:rsidR="00BD08FC">
        <w:t xml:space="preserve">egional </w:t>
      </w:r>
      <w:r w:rsidRPr="0063479E">
        <w:t>O</w:t>
      </w:r>
      <w:r w:rsidR="00BD08FC">
        <w:t>ffice</w:t>
      </w:r>
      <w:r w:rsidRPr="0063479E">
        <w:t xml:space="preserve"> under PP Res</w:t>
      </w:r>
      <w:r w:rsidR="00BD08FC">
        <w:t>olution</w:t>
      </w:r>
      <w:r w:rsidRPr="0063479E">
        <w:t xml:space="preserve"> 25 and/or other strategic </w:t>
      </w:r>
      <w:r w:rsidR="00B46DCA">
        <w:t xml:space="preserve">tools </w:t>
      </w:r>
      <w:r w:rsidR="00D54062">
        <w:t>associated with it</w:t>
      </w:r>
      <w:r w:rsidRPr="0063479E">
        <w:t xml:space="preserve">. </w:t>
      </w:r>
      <w:r w:rsidR="00B46DCA">
        <w:t>As a consequence</w:t>
      </w:r>
      <w:r w:rsidRPr="0063479E">
        <w:t>, t</w:t>
      </w:r>
      <w:r w:rsidR="003107CE" w:rsidRPr="0063479E">
        <w:t xml:space="preserve">here is no systematic ex post account of ROs' </w:t>
      </w:r>
      <w:r w:rsidRPr="0063479E">
        <w:t xml:space="preserve">qualitative and quantitative </w:t>
      </w:r>
      <w:r w:rsidR="003107CE" w:rsidRPr="0063479E">
        <w:t>performance against headline targets</w:t>
      </w:r>
      <w:r w:rsidR="00A14170">
        <w:t xml:space="preserve">, </w:t>
      </w:r>
      <w:r w:rsidR="00BD08FC">
        <w:t xml:space="preserve">except for </w:t>
      </w:r>
      <w:r w:rsidR="00A14170">
        <w:t xml:space="preserve">the survey of satisfaction conducted </w:t>
      </w:r>
      <w:r w:rsidR="00CD275E">
        <w:t xml:space="preserve">once </w:t>
      </w:r>
      <w:r w:rsidR="00A14170">
        <w:t xml:space="preserve">every four years. </w:t>
      </w:r>
      <w:r w:rsidR="005F145E">
        <w:t xml:space="preserve">Nor </w:t>
      </w:r>
      <w:r w:rsidR="00BD08FC">
        <w:t>wa</w:t>
      </w:r>
      <w:r w:rsidR="005F145E">
        <w:t>s there a comprehensive risk management proce</w:t>
      </w:r>
      <w:r w:rsidR="001316D9">
        <w:t>ss</w:t>
      </w:r>
      <w:r w:rsidR="005F145E">
        <w:t>,</w:t>
      </w:r>
      <w:r w:rsidR="009009C5">
        <w:t xml:space="preserve"> </w:t>
      </w:r>
      <w:r w:rsidR="005F145E">
        <w:t xml:space="preserve">since the </w:t>
      </w:r>
      <w:r w:rsidR="009009C5">
        <w:t xml:space="preserve">assessment </w:t>
      </w:r>
      <w:r w:rsidR="005F145E">
        <w:t>of risks d</w:t>
      </w:r>
      <w:r w:rsidR="00BD08FC">
        <w:t>id</w:t>
      </w:r>
      <w:r w:rsidR="005F145E">
        <w:t xml:space="preserve"> not include</w:t>
      </w:r>
      <w:r w:rsidR="009009C5">
        <w:t xml:space="preserve"> th</w:t>
      </w:r>
      <w:r w:rsidR="005F145E">
        <w:t>ose</w:t>
      </w:r>
      <w:r w:rsidR="009009C5">
        <w:t xml:space="preserve"> </w:t>
      </w:r>
      <w:r w:rsidR="005F145E">
        <w:t xml:space="preserve">risks </w:t>
      </w:r>
      <w:r w:rsidR="009009C5">
        <w:t>specifically related to field activities carried out by local offices.</w:t>
      </w:r>
      <w:r w:rsidR="009078AA">
        <w:t xml:space="preserve"> </w:t>
      </w:r>
      <w:r w:rsidR="009078AA" w:rsidRPr="0063479E">
        <w:t xml:space="preserve"> </w:t>
      </w:r>
    </w:p>
    <w:p w14:paraId="314D1380" w14:textId="77777777" w:rsidR="003107CE" w:rsidRPr="000B661D" w:rsidRDefault="000017D5" w:rsidP="00547727">
      <w:pPr>
        <w:pStyle w:val="testoexecutive"/>
        <w:spacing w:after="120"/>
        <w:rPr>
          <w:lang w:val="en-US"/>
        </w:rPr>
      </w:pPr>
      <w:r w:rsidRPr="0063479E">
        <w:t xml:space="preserve">This </w:t>
      </w:r>
      <w:r w:rsidR="00B46DCA">
        <w:t>does not allow</w:t>
      </w:r>
      <w:r w:rsidR="00A14170">
        <w:t xml:space="preserve"> us</w:t>
      </w:r>
      <w:r w:rsidR="00B46DCA">
        <w:t xml:space="preserve"> </w:t>
      </w:r>
      <w:r w:rsidRPr="0063479E">
        <w:t xml:space="preserve">to </w:t>
      </w:r>
      <w:r w:rsidR="00EB1E07">
        <w:t xml:space="preserve">conclude on </w:t>
      </w:r>
      <w:r w:rsidR="008A42C4" w:rsidRPr="0063479E">
        <w:t>how effectively and efficiently ROs are contributing</w:t>
      </w:r>
      <w:r w:rsidR="009078AA">
        <w:t>, with</w:t>
      </w:r>
      <w:r w:rsidR="005F145E">
        <w:t>in</w:t>
      </w:r>
      <w:r w:rsidR="009078AA">
        <w:t xml:space="preserve"> the current </w:t>
      </w:r>
      <w:r w:rsidR="00EB1E07">
        <w:t xml:space="preserve">set of </w:t>
      </w:r>
      <w:r w:rsidR="005F145E">
        <w:t>resources</w:t>
      </w:r>
      <w:r w:rsidR="009078AA">
        <w:t>,</w:t>
      </w:r>
      <w:r w:rsidR="008A42C4" w:rsidRPr="0063479E">
        <w:t xml:space="preserve"> to the achievement of ITU</w:t>
      </w:r>
      <w:r w:rsidR="00BD08FC">
        <w:t>’s</w:t>
      </w:r>
      <w:r w:rsidR="008A42C4" w:rsidRPr="0063479E">
        <w:t xml:space="preserve"> strategic objectives and what </w:t>
      </w:r>
      <w:r w:rsidRPr="0063479E">
        <w:t xml:space="preserve">measures are required to mitigate </w:t>
      </w:r>
      <w:r w:rsidR="008A42C4" w:rsidRPr="0063479E">
        <w:t xml:space="preserve">the administrative and reputational risks linked to </w:t>
      </w:r>
      <w:r w:rsidR="005F145E">
        <w:t>ITU</w:t>
      </w:r>
      <w:r w:rsidR="00BD08FC">
        <w:t>’s</w:t>
      </w:r>
      <w:r w:rsidR="008A42C4" w:rsidRPr="0063479E">
        <w:t xml:space="preserve"> presence</w:t>
      </w:r>
      <w:r w:rsidR="005F145E">
        <w:t xml:space="preserve"> in the field</w:t>
      </w:r>
      <w:r w:rsidR="008A42C4" w:rsidRPr="0063479E">
        <w:t xml:space="preserve">. In line with the UN principle of result-based management, performance information </w:t>
      </w:r>
      <w:r w:rsidR="00BD08FC">
        <w:t>for</w:t>
      </w:r>
      <w:r w:rsidR="008A42C4" w:rsidRPr="0063479E">
        <w:t xml:space="preserve"> the individual offices </w:t>
      </w:r>
      <w:r w:rsidR="00B0559B">
        <w:t xml:space="preserve">should </w:t>
      </w:r>
      <w:r w:rsidR="008A42C4" w:rsidRPr="0063479E">
        <w:t xml:space="preserve">be given more focus and importance in the future. </w:t>
      </w:r>
      <w:r w:rsidR="003107CE" w:rsidRPr="0063479E">
        <w:t xml:space="preserve">To make the best use of </w:t>
      </w:r>
      <w:r w:rsidR="00D719B9">
        <w:t xml:space="preserve">this </w:t>
      </w:r>
      <w:r w:rsidR="003107CE" w:rsidRPr="0063479E">
        <w:t>performance information across ITU</w:t>
      </w:r>
      <w:r w:rsidR="001316D9">
        <w:t>,</w:t>
      </w:r>
      <w:r w:rsidR="003107CE" w:rsidRPr="0063479E">
        <w:t xml:space="preserve"> there is a need for extra</w:t>
      </w:r>
      <w:r w:rsidR="00BD08FC">
        <w:t xml:space="preserve"> </w:t>
      </w:r>
      <w:r w:rsidR="003107CE" w:rsidRPr="0063479E">
        <w:t xml:space="preserve">focus on ITU-D co-ordinating capacity and </w:t>
      </w:r>
      <w:r w:rsidR="008A42C4" w:rsidRPr="0063479E">
        <w:t xml:space="preserve">assessment of </w:t>
      </w:r>
      <w:r w:rsidR="005F145E">
        <w:t xml:space="preserve">potential </w:t>
      </w:r>
      <w:r w:rsidR="008A42C4" w:rsidRPr="0063479E">
        <w:t>risks</w:t>
      </w:r>
      <w:r w:rsidR="005F145E">
        <w:t xml:space="preserve"> (</w:t>
      </w:r>
      <w:r w:rsidR="007407AD">
        <w:t xml:space="preserve">including </w:t>
      </w:r>
      <w:r w:rsidR="005F145E">
        <w:t>in respect of the procurement process).</w:t>
      </w:r>
    </w:p>
    <w:p w14:paraId="74F1DD47" w14:textId="77777777" w:rsidR="00E51763" w:rsidRPr="005D751D" w:rsidRDefault="000B661D" w:rsidP="00547727">
      <w:pPr>
        <w:pStyle w:val="testoexecutive"/>
        <w:spacing w:after="120"/>
        <w:rPr>
          <w:lang w:val="en-US"/>
        </w:rPr>
      </w:pPr>
      <w:r w:rsidRPr="005D751D">
        <w:t xml:space="preserve">At its meeting of 5 October 2018, the Audit Chamber for </w:t>
      </w:r>
      <w:r w:rsidR="005D751D" w:rsidRPr="005D751D">
        <w:t xml:space="preserve">European </w:t>
      </w:r>
      <w:r w:rsidRPr="005D751D">
        <w:t xml:space="preserve">and </w:t>
      </w:r>
      <w:r w:rsidR="005D751D" w:rsidRPr="005D751D">
        <w:t xml:space="preserve">International </w:t>
      </w:r>
      <w:r w:rsidRPr="005D751D">
        <w:t xml:space="preserve">Affairs </w:t>
      </w:r>
      <w:r w:rsidR="005D751D" w:rsidRPr="005D751D">
        <w:t xml:space="preserve">of the Corte dei conti </w:t>
      </w:r>
      <w:r w:rsidRPr="005D751D">
        <w:t xml:space="preserve">adopted the report with the following conclusions: </w:t>
      </w:r>
      <w:r w:rsidRPr="005D751D">
        <w:rPr>
          <w:lang w:val="en-US"/>
        </w:rPr>
        <w:t xml:space="preserve">"As a result of the contradictory procedure, some editorial changes were made to the report, as suggested by the auditee. </w:t>
      </w:r>
      <w:r w:rsidRPr="005D751D">
        <w:t>As for the substance, we note that Management concurred with most of our recommendations. Where this is not the case, in particular with regard to the possibility of measuring the performance of ROs by means of specific objectives and indicators,</w:t>
      </w:r>
      <w:r w:rsidR="005D751D" w:rsidRPr="005D751D">
        <w:t xml:space="preserve"> </w:t>
      </w:r>
      <w:r w:rsidR="005D751D" w:rsidRPr="005D751D">
        <w:rPr>
          <w:rStyle w:val="xalt-edited"/>
          <w:color w:val="000000"/>
        </w:rPr>
        <w:t xml:space="preserve">we do not consider that the </w:t>
      </w:r>
      <w:r w:rsidRPr="005D751D">
        <w:rPr>
          <w:rStyle w:val="xalt-edited"/>
          <w:color w:val="000000"/>
        </w:rPr>
        <w:t>objections made should cause us to change the position expressed in the text of the report".</w:t>
      </w:r>
    </w:p>
    <w:p w14:paraId="7DC2ED71" w14:textId="77777777" w:rsidR="004F4294" w:rsidRPr="00B0559B" w:rsidRDefault="004F4294" w:rsidP="00E51763">
      <w:pPr>
        <w:rPr>
          <w:lang w:val="en-US"/>
        </w:rPr>
        <w:sectPr w:rsidR="004F4294" w:rsidRPr="00B0559B" w:rsidSect="00E51763">
          <w:footerReference w:type="default" r:id="rId17"/>
          <w:pgSz w:w="12242" w:h="15842" w:code="1"/>
          <w:pgMar w:top="1418" w:right="1701" w:bottom="1418" w:left="1701" w:header="709" w:footer="709" w:gutter="0"/>
          <w:cols w:space="708"/>
          <w:docGrid w:linePitch="360"/>
        </w:sectPr>
      </w:pPr>
    </w:p>
    <w:p w14:paraId="3A1C039C" w14:textId="77777777" w:rsidR="007F38BC" w:rsidRPr="00C10739" w:rsidRDefault="00E51763" w:rsidP="00C84A2A">
      <w:pPr>
        <w:pStyle w:val="Heading1"/>
      </w:pPr>
      <w:bookmarkStart w:id="13" w:name="_Toc526772241"/>
      <w:r w:rsidRPr="00C10739">
        <w:t>Introduction</w:t>
      </w:r>
      <w:bookmarkEnd w:id="13"/>
      <w:bookmarkEnd w:id="10"/>
      <w:bookmarkEnd w:id="9"/>
    </w:p>
    <w:p w14:paraId="5FC33F60" w14:textId="77777777" w:rsidR="00F1122E" w:rsidRPr="00C10739" w:rsidRDefault="00F1122E" w:rsidP="00F1122E">
      <w:pPr>
        <w:pStyle w:val="Heading2"/>
      </w:pPr>
      <w:bookmarkStart w:id="14" w:name="_Toc526772242"/>
      <w:r w:rsidRPr="00C10739">
        <w:t xml:space="preserve">ITU </w:t>
      </w:r>
      <w:r>
        <w:t xml:space="preserve">framework and </w:t>
      </w:r>
      <w:r w:rsidRPr="00C10739">
        <w:t>activities</w:t>
      </w:r>
      <w:r>
        <w:t xml:space="preserve"> for Telecommunication Development</w:t>
      </w:r>
      <w:bookmarkEnd w:id="14"/>
    </w:p>
    <w:p w14:paraId="60633F8F" w14:textId="77777777" w:rsidR="00586A42" w:rsidRPr="00B4431B" w:rsidRDefault="00586A42" w:rsidP="00B4431B">
      <w:pPr>
        <w:pStyle w:val="testobase"/>
      </w:pPr>
      <w:r w:rsidRPr="00B4431B">
        <w:t xml:space="preserve">The Telecommunication Union (ITU), </w:t>
      </w:r>
      <w:r w:rsidR="00B3362C" w:rsidRPr="00B4431B">
        <w:t>which was established</w:t>
      </w:r>
      <w:r w:rsidRPr="00B4431B">
        <w:t xml:space="preserve"> in Paris in 1865 as </w:t>
      </w:r>
      <w:r w:rsidR="00B3362C" w:rsidRPr="00B4431B">
        <w:t xml:space="preserve">the </w:t>
      </w:r>
      <w:r w:rsidRPr="00B4431B">
        <w:t>International Telegraph Union, is the oldest UN specialized agency</w:t>
      </w:r>
      <w:r w:rsidR="00B3362C" w:rsidRPr="00B4431B">
        <w:t xml:space="preserve">. It </w:t>
      </w:r>
      <w:r w:rsidRPr="00B4431B">
        <w:t>promotes global co</w:t>
      </w:r>
      <w:r w:rsidR="00B3362C" w:rsidRPr="00B4431B">
        <w:t>operation</w:t>
      </w:r>
      <w:r w:rsidRPr="00B4431B">
        <w:t xml:space="preserve"> for a connected world.</w:t>
      </w:r>
    </w:p>
    <w:p w14:paraId="5A8A2A30" w14:textId="77777777" w:rsidR="00F1122E" w:rsidRPr="00D719B9" w:rsidRDefault="007407AD" w:rsidP="00B4431B">
      <w:pPr>
        <w:pStyle w:val="testobase"/>
      </w:pPr>
      <w:r>
        <w:t xml:space="preserve">Within the Union, the </w:t>
      </w:r>
      <w:r w:rsidR="00F1122E" w:rsidRPr="00D719B9">
        <w:t>Telecommunication Development Sector</w:t>
      </w:r>
      <w:r w:rsidR="00B442E4" w:rsidRPr="00D719B9">
        <w:t xml:space="preserve"> </w:t>
      </w:r>
      <w:r w:rsidR="00F1122E" w:rsidRPr="00D719B9">
        <w:t xml:space="preserve">(ITU-D) </w:t>
      </w:r>
      <w:r w:rsidR="004468A8" w:rsidRPr="00D719B9">
        <w:t xml:space="preserve">has the mission </w:t>
      </w:r>
      <w:r w:rsidR="0063463A" w:rsidRPr="00D719B9">
        <w:t xml:space="preserve">to </w:t>
      </w:r>
      <w:r w:rsidR="00F1122E" w:rsidRPr="00D719B9">
        <w:t>foster international cooperation and solidarity in the delivery of technical assistance and in the creation, development and improvement of telecommunication and ICT equipment and networks in developing countries.</w:t>
      </w:r>
      <w:r w:rsidR="0063463A" w:rsidRPr="00D719B9">
        <w:t xml:space="preserve"> </w:t>
      </w:r>
      <w:r w:rsidR="004468A8" w:rsidRPr="00D719B9">
        <w:t>The strategic goal of ITU-D is threefold and includes: promot</w:t>
      </w:r>
      <w:r w:rsidR="00BD08FC">
        <w:t>ing</w:t>
      </w:r>
      <w:r w:rsidR="004468A8" w:rsidRPr="00D719B9">
        <w:t xml:space="preserve"> the availability of infrastructure and foster</w:t>
      </w:r>
      <w:r w:rsidR="00BD08FC">
        <w:t>ing</w:t>
      </w:r>
      <w:r w:rsidR="004468A8" w:rsidRPr="00D719B9">
        <w:t xml:space="preserve"> an environment </w:t>
      </w:r>
      <w:r w:rsidR="00BD08FC">
        <w:t xml:space="preserve">to </w:t>
      </w:r>
      <w:r w:rsidR="00B442E4" w:rsidRPr="00D719B9">
        <w:t>enabl</w:t>
      </w:r>
      <w:r w:rsidR="00BD08FC">
        <w:t xml:space="preserve">e it to be used </w:t>
      </w:r>
      <w:r w:rsidR="004468A8" w:rsidRPr="00D719B9">
        <w:t>in a safe and secure manner; provid</w:t>
      </w:r>
      <w:r w:rsidR="00BD08FC">
        <w:t>ing</w:t>
      </w:r>
      <w:r w:rsidR="004468A8" w:rsidRPr="00D719B9">
        <w:t xml:space="preserve"> assistance to developing countries in bridging the digital divide; expand</w:t>
      </w:r>
      <w:r w:rsidR="00BD08FC">
        <w:t>ing</w:t>
      </w:r>
      <w:r w:rsidR="004468A8" w:rsidRPr="00D719B9">
        <w:t xml:space="preserve"> the benefits of the information society to </w:t>
      </w:r>
      <w:r w:rsidR="00BD08FC">
        <w:t>its</w:t>
      </w:r>
      <w:r w:rsidR="004468A8" w:rsidRPr="00D719B9">
        <w:t xml:space="preserve"> membership </w:t>
      </w:r>
      <w:r w:rsidR="00586A42" w:rsidRPr="00D719B9">
        <w:t xml:space="preserve">in cooperation with public and private stakeholders </w:t>
      </w:r>
      <w:r w:rsidR="004468A8" w:rsidRPr="00D719B9">
        <w:t>and promot</w:t>
      </w:r>
      <w:r w:rsidR="00BD08FC">
        <w:t>ing</w:t>
      </w:r>
      <w:r w:rsidR="004468A8" w:rsidRPr="00D719B9">
        <w:t xml:space="preserve"> the integration of telecommunications/ICTs into </w:t>
      </w:r>
      <w:r w:rsidR="00586A42" w:rsidRPr="00D719B9">
        <w:t xml:space="preserve">the broader </w:t>
      </w:r>
      <w:r w:rsidR="004468A8" w:rsidRPr="00D719B9">
        <w:t>economy and society</w:t>
      </w:r>
      <w:r w:rsidR="00586A42" w:rsidRPr="00D719B9">
        <w:t>,</w:t>
      </w:r>
      <w:r w:rsidR="004468A8" w:rsidRPr="00D719B9">
        <w:t xml:space="preserve"> as drivers of development and growth.</w:t>
      </w:r>
      <w:r w:rsidR="00586A42" w:rsidRPr="00D719B9">
        <w:t xml:space="preserve"> </w:t>
      </w:r>
      <w:r w:rsidR="0063463A" w:rsidRPr="00D719B9">
        <w:t>To fulfil this mission, ITU-D is required to create tools and guidelines and to implement projects with a view to offering, organizing and coordinating technical cooperation and assistance</w:t>
      </w:r>
      <w:r w:rsidR="00B442E4" w:rsidRPr="007407AD">
        <w:rPr>
          <w:rStyle w:val="rimandonotapidipaginaCarattere"/>
        </w:rPr>
        <w:footnoteReference w:id="1"/>
      </w:r>
      <w:r w:rsidR="00586A42" w:rsidRPr="00552D2B">
        <w:rPr>
          <w:sz w:val="16"/>
          <w:szCs w:val="16"/>
        </w:rPr>
        <w:t>.</w:t>
      </w:r>
    </w:p>
    <w:p w14:paraId="01815A18" w14:textId="77777777" w:rsidR="00F1122E" w:rsidRPr="00C10739" w:rsidRDefault="00F1122E" w:rsidP="00B4431B">
      <w:pPr>
        <w:pStyle w:val="testobase"/>
      </w:pPr>
      <w:r w:rsidRPr="00C10739">
        <w:t xml:space="preserve">The work of the Telecommunication Development Sector is supported by its Secretariat, the Telecommunication Development Bureau (BDT). </w:t>
      </w:r>
    </w:p>
    <w:p w14:paraId="5A69F859" w14:textId="77777777" w:rsidR="007E4211" w:rsidRDefault="00F1122E" w:rsidP="00B4431B">
      <w:pPr>
        <w:pStyle w:val="testobase"/>
      </w:pPr>
      <w:r w:rsidRPr="00C10739">
        <w:t xml:space="preserve">The Telecommunication Development Bureau is structured in four Departments at the Headquarters in Geneva and </w:t>
      </w:r>
      <w:r w:rsidR="007E4211">
        <w:t xml:space="preserve">13 </w:t>
      </w:r>
      <w:r w:rsidRPr="00C10739">
        <w:t>Regional and Area Offices in the field.</w:t>
      </w:r>
      <w:r w:rsidR="007E4211">
        <w:t xml:space="preserve"> The latter a</w:t>
      </w:r>
      <w:r w:rsidR="00B442E4">
        <w:t xml:space="preserve">re meant to bring </w:t>
      </w:r>
      <w:r w:rsidR="007E4211">
        <w:t xml:space="preserve">the Union as close as possible to its membership </w:t>
      </w:r>
      <w:r w:rsidR="00B442E4">
        <w:t xml:space="preserve">by </w:t>
      </w:r>
      <w:r w:rsidR="007E4211">
        <w:t>deliver</w:t>
      </w:r>
      <w:r w:rsidR="00B442E4">
        <w:t>ing</w:t>
      </w:r>
      <w:r w:rsidR="007E4211">
        <w:t xml:space="preserve"> </w:t>
      </w:r>
      <w:r w:rsidR="00B442E4">
        <w:t xml:space="preserve">timely and </w:t>
      </w:r>
      <w:r w:rsidR="007E4211">
        <w:t>high</w:t>
      </w:r>
      <w:r w:rsidR="004356C6">
        <w:t>-</w:t>
      </w:r>
      <w:r w:rsidR="007E4211">
        <w:t xml:space="preserve">quality results at country and regional levels. </w:t>
      </w:r>
    </w:p>
    <w:p w14:paraId="2E695FED" w14:textId="77777777" w:rsidR="006F3AC5" w:rsidRDefault="006F3AC5" w:rsidP="00FC5B77">
      <w:pPr>
        <w:pStyle w:val="testobase"/>
      </w:pPr>
      <w:r>
        <w:t>The DDR</w:t>
      </w:r>
      <w:r w:rsidRPr="00C10739">
        <w:t xml:space="preserve"> department is structured in three Divisions</w:t>
      </w:r>
      <w:r>
        <w:t xml:space="preserve">: </w:t>
      </w:r>
      <w:r w:rsidRPr="00C10739">
        <w:t xml:space="preserve">1. </w:t>
      </w:r>
      <w:r>
        <w:t>Financial and Budget Administration</w:t>
      </w:r>
      <w:r w:rsidRPr="00C10739">
        <w:t xml:space="preserve">, 2. </w:t>
      </w:r>
      <w:r>
        <w:t>Support Service</w:t>
      </w:r>
      <w:r w:rsidR="00FC5B77">
        <w:t xml:space="preserve"> and</w:t>
      </w:r>
      <w:r w:rsidRPr="00C10739">
        <w:t xml:space="preserve"> 3. </w:t>
      </w:r>
      <w:r>
        <w:t>IT Support</w:t>
      </w:r>
      <w:r w:rsidRPr="00C10739">
        <w:t>.</w:t>
      </w:r>
    </w:p>
    <w:p w14:paraId="61A434CE" w14:textId="738AB8EC" w:rsidR="00EA79CD" w:rsidRPr="00C10739" w:rsidRDefault="00EA79CD" w:rsidP="00EA79CD">
      <w:pPr>
        <w:pStyle w:val="testobase"/>
        <w:numPr>
          <w:ilvl w:val="0"/>
          <w:numId w:val="0"/>
        </w:numPr>
        <w:ind w:left="426"/>
      </w:pPr>
      <w:r>
        <w:rPr>
          <w:noProof/>
          <w:lang w:val="en-US" w:eastAsia="zh-CN"/>
        </w:rPr>
        <w:drawing>
          <wp:inline distT="0" distB="0" distL="0" distR="0" wp14:anchorId="2BE530C5" wp14:editId="128CB2F0">
            <wp:extent cx="5381625" cy="3086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3086100"/>
                    </a:xfrm>
                    <a:prstGeom prst="rect">
                      <a:avLst/>
                    </a:prstGeom>
                    <a:noFill/>
                    <a:ln>
                      <a:noFill/>
                    </a:ln>
                  </pic:spPr>
                </pic:pic>
              </a:graphicData>
            </a:graphic>
          </wp:inline>
        </w:drawing>
      </w:r>
    </w:p>
    <w:p w14:paraId="44839EF9" w14:textId="0B52ECB1" w:rsidR="00F1122E" w:rsidRPr="00C10739" w:rsidRDefault="00C429DD" w:rsidP="002D3436">
      <w:pPr>
        <w:pStyle w:val="testobase"/>
      </w:pPr>
      <w:r>
        <w:t xml:space="preserve">The </w:t>
      </w:r>
      <w:r w:rsidR="00F1122E" w:rsidRPr="00C10739">
        <w:t xml:space="preserve">IEE department is structured in </w:t>
      </w:r>
      <w:r w:rsidR="000A7589">
        <w:t>four</w:t>
      </w:r>
      <w:r w:rsidR="000A7589" w:rsidRPr="00C10739">
        <w:t xml:space="preserve"> </w:t>
      </w:r>
      <w:r w:rsidR="00F1122E" w:rsidRPr="00C10739">
        <w:t>Divisions</w:t>
      </w:r>
      <w:r w:rsidR="00D8564E">
        <w:t>:</w:t>
      </w:r>
      <w:r w:rsidR="0039440E">
        <w:t xml:space="preserve"> </w:t>
      </w:r>
      <w:r w:rsidR="00F1122E" w:rsidRPr="00C10739">
        <w:t xml:space="preserve">1. ICT Application and Cybersecurity, 2. Regulatory and Market Environment, 3. </w:t>
      </w:r>
      <w:r w:rsidR="00C6718A">
        <w:t>Digital Inclusion</w:t>
      </w:r>
      <w:r w:rsidR="00F1122E" w:rsidRPr="00C10739">
        <w:t>, 4. Telecommunication</w:t>
      </w:r>
      <w:r w:rsidR="000A7589">
        <w:t xml:space="preserve"> </w:t>
      </w:r>
      <w:r w:rsidR="000A7589" w:rsidRPr="00C10739">
        <w:t>Network</w:t>
      </w:r>
      <w:r w:rsidR="000A7589">
        <w:t xml:space="preserve"> and Spectrum Management</w:t>
      </w:r>
      <w:r w:rsidR="00F1122E" w:rsidRPr="00C10739">
        <w:t>.</w:t>
      </w:r>
    </w:p>
    <w:p w14:paraId="08769E03" w14:textId="074EE7B2" w:rsidR="00F1122E" w:rsidRPr="00C10739" w:rsidRDefault="00C429DD" w:rsidP="002D3436">
      <w:pPr>
        <w:pStyle w:val="testobase"/>
      </w:pPr>
      <w:r>
        <w:t xml:space="preserve">The </w:t>
      </w:r>
      <w:r w:rsidR="00F1122E" w:rsidRPr="00C10739">
        <w:t>PKM department is structured in four Divisions</w:t>
      </w:r>
      <w:r w:rsidR="00D8564E">
        <w:t xml:space="preserve">: </w:t>
      </w:r>
      <w:r w:rsidR="00F1122E" w:rsidRPr="00C10739">
        <w:t>1. Human Capacity Building, 2. ICT Data and Statistics, 3. Least Developed Countries, Small Islands Develop</w:t>
      </w:r>
      <w:r w:rsidR="00106CB2">
        <w:t>ing</w:t>
      </w:r>
      <w:r w:rsidR="00F1122E" w:rsidRPr="00C10739">
        <w:t xml:space="preserve"> States and Emergency Telecommunication, 4. Project Support.</w:t>
      </w:r>
      <w:bookmarkStart w:id="15" w:name="_GoBack"/>
      <w:bookmarkEnd w:id="15"/>
    </w:p>
    <w:p w14:paraId="49988D9D" w14:textId="670DBDDE" w:rsidR="00F1122E" w:rsidRDefault="00C429DD" w:rsidP="002D3436">
      <w:pPr>
        <w:pStyle w:val="testobase"/>
      </w:pPr>
      <w:r>
        <w:t xml:space="preserve">The </w:t>
      </w:r>
      <w:r w:rsidR="00F1122E" w:rsidRPr="00C10739">
        <w:t xml:space="preserve">IP department is structured in </w:t>
      </w:r>
      <w:r w:rsidR="00EC3545">
        <w:t>four</w:t>
      </w:r>
      <w:r w:rsidR="00EC3545" w:rsidRPr="00C10739">
        <w:t xml:space="preserve"> </w:t>
      </w:r>
      <w:r w:rsidR="00F1122E" w:rsidRPr="00C10739">
        <w:t>Divisions</w:t>
      </w:r>
      <w:r w:rsidR="00D8564E">
        <w:t xml:space="preserve">: </w:t>
      </w:r>
      <w:r w:rsidR="00F1122E" w:rsidRPr="00C10739">
        <w:t>1. Innovation, 2. Partnership</w:t>
      </w:r>
      <w:r w:rsidR="00D65F91">
        <w:t xml:space="preserve"> and Resource Mobilization</w:t>
      </w:r>
      <w:r w:rsidR="00F1122E" w:rsidRPr="00C10739">
        <w:t xml:space="preserve">, 3. </w:t>
      </w:r>
      <w:r w:rsidR="00D65F91">
        <w:t xml:space="preserve">Membership and Private Sector, </w:t>
      </w:r>
      <w:r w:rsidR="00EC3545">
        <w:t xml:space="preserve">4. </w:t>
      </w:r>
      <w:r w:rsidR="00F1122E" w:rsidRPr="00C10739">
        <w:t>Study Group</w:t>
      </w:r>
      <w:r w:rsidR="00D65F91">
        <w:t>s</w:t>
      </w:r>
      <w:r w:rsidR="00F1122E" w:rsidRPr="00C10739">
        <w:t>.</w:t>
      </w:r>
    </w:p>
    <w:p w14:paraId="7C7DA689" w14:textId="388C6C99" w:rsidR="00270566" w:rsidRDefault="00C429DD" w:rsidP="003150F2">
      <w:pPr>
        <w:pStyle w:val="testobase"/>
      </w:pPr>
      <w:r>
        <w:t xml:space="preserve">The </w:t>
      </w:r>
      <w:r w:rsidR="00B252A3">
        <w:t xml:space="preserve">Regional Offices include </w:t>
      </w:r>
      <w:r w:rsidR="00436FD0">
        <w:t xml:space="preserve">5 </w:t>
      </w:r>
      <w:r w:rsidR="0095602A">
        <w:t xml:space="preserve">Regional </w:t>
      </w:r>
      <w:r>
        <w:t>O</w:t>
      </w:r>
      <w:r w:rsidR="00B252A3">
        <w:t xml:space="preserve">ffices </w:t>
      </w:r>
      <w:r w:rsidR="00436FD0">
        <w:t xml:space="preserve">located </w:t>
      </w:r>
      <w:r w:rsidR="00B252A3">
        <w:t>in Addis Ababa (for Africa), Brasilia (for the Americas), Cairo (for the Arab States), Bangkok (for Asia and the Pacific),</w:t>
      </w:r>
      <w:r w:rsidR="00C77E3B">
        <w:t xml:space="preserve"> and Moscow (for CIS countries).  In addition, there are</w:t>
      </w:r>
      <w:r w:rsidR="00B252A3">
        <w:t xml:space="preserve"> </w:t>
      </w:r>
      <w:r w:rsidR="00E047F9">
        <w:t>the ITU Office for Europe</w:t>
      </w:r>
      <w:r w:rsidR="00B252A3">
        <w:t xml:space="preserve"> at ITU HQs </w:t>
      </w:r>
      <w:r w:rsidR="00797929">
        <w:t xml:space="preserve">in Geneva </w:t>
      </w:r>
      <w:r w:rsidR="0095602A">
        <w:t xml:space="preserve">and </w:t>
      </w:r>
      <w:r w:rsidR="00C77E3B">
        <w:t>a</w:t>
      </w:r>
      <w:r w:rsidR="0095602A">
        <w:t xml:space="preserve">rea </w:t>
      </w:r>
      <w:r w:rsidR="00C77E3B">
        <w:t>o</w:t>
      </w:r>
      <w:r w:rsidR="0095602A">
        <w:t>ffices</w:t>
      </w:r>
      <w:r w:rsidR="00B442E4">
        <w:t xml:space="preserve"> </w:t>
      </w:r>
      <w:r w:rsidR="00B252A3">
        <w:t>located in Dakar, Harare</w:t>
      </w:r>
      <w:r w:rsidR="00C96DB4">
        <w:t>,</w:t>
      </w:r>
      <w:r w:rsidR="00B252A3">
        <w:t xml:space="preserve"> Yaoundé</w:t>
      </w:r>
      <w:r w:rsidR="00C96DB4">
        <w:t>,</w:t>
      </w:r>
      <w:r w:rsidR="00B252A3">
        <w:t xml:space="preserve"> Bridgetown, Santiago, Tegucigalpa and Jakarta.</w:t>
      </w:r>
      <w:r w:rsidR="0095602A">
        <w:t xml:space="preserve"> </w:t>
      </w:r>
    </w:p>
    <w:p w14:paraId="7B6AC230" w14:textId="77777777" w:rsidR="00F1122E" w:rsidRPr="00C10739" w:rsidRDefault="00F1122E" w:rsidP="00B4431B">
      <w:pPr>
        <w:pStyle w:val="testobase"/>
      </w:pPr>
      <w:r w:rsidRPr="00C10739">
        <w:t>The Governing Bodies of ITU-</w:t>
      </w:r>
      <w:r w:rsidR="00C6718A">
        <w:t>D</w:t>
      </w:r>
      <w:r w:rsidR="00C6718A" w:rsidRPr="00C10739">
        <w:t xml:space="preserve"> </w:t>
      </w:r>
      <w:r w:rsidRPr="00C10739">
        <w:t>are the Telecommunication Development Advisory Group (TDAG) and the World Telecommunication Development Conference (WTDC).</w:t>
      </w:r>
    </w:p>
    <w:p w14:paraId="49A8A558" w14:textId="77777777" w:rsidR="00F1122E" w:rsidRPr="00C10739" w:rsidRDefault="00F1122E" w:rsidP="00B4431B">
      <w:pPr>
        <w:pStyle w:val="testobase"/>
      </w:pPr>
      <w:r w:rsidRPr="00C10739">
        <w:t xml:space="preserve">The Telecommunication Development Advisory Group (TDAG) reviews </w:t>
      </w:r>
      <w:r w:rsidR="00C429DD">
        <w:t xml:space="preserve">the </w:t>
      </w:r>
      <w:r w:rsidRPr="00C10739">
        <w:t xml:space="preserve">priorities, strategies, operations and financial matters of ITU-D, </w:t>
      </w:r>
      <w:r w:rsidR="004021C0">
        <w:t xml:space="preserve">and advises </w:t>
      </w:r>
      <w:r w:rsidR="00462703">
        <w:t xml:space="preserve">the </w:t>
      </w:r>
      <w:r w:rsidR="004021C0">
        <w:t>BDT</w:t>
      </w:r>
      <w:r w:rsidRPr="00C10739">
        <w:t xml:space="preserve"> Director</w:t>
      </w:r>
      <w:r w:rsidR="004021C0">
        <w:t xml:space="preserve"> </w:t>
      </w:r>
      <w:r w:rsidRPr="00C10739">
        <w:t xml:space="preserve">on </w:t>
      </w:r>
      <w:r w:rsidR="00462703">
        <w:t xml:space="preserve">the implementation of </w:t>
      </w:r>
      <w:r w:rsidRPr="00C10739">
        <w:t>WTDC Action Plan</w:t>
      </w:r>
      <w:r w:rsidR="00462703">
        <w:t>s</w:t>
      </w:r>
      <w:r w:rsidRPr="00C10739">
        <w:t xml:space="preserve">, including issues relating to </w:t>
      </w:r>
      <w:r w:rsidR="00C429DD">
        <w:t xml:space="preserve">the </w:t>
      </w:r>
      <w:r w:rsidRPr="00C10739">
        <w:t>budget and operational plan</w:t>
      </w:r>
      <w:r w:rsidR="00462703">
        <w:t>s</w:t>
      </w:r>
      <w:r w:rsidRPr="00C10739">
        <w:t xml:space="preserve"> of the Sector. TDAG is open to </w:t>
      </w:r>
      <w:r w:rsidR="00C429DD">
        <w:t xml:space="preserve">the </w:t>
      </w:r>
      <w:r w:rsidRPr="00C10739">
        <w:t>representatives of Member States</w:t>
      </w:r>
      <w:r w:rsidR="00C96DB4">
        <w:t xml:space="preserve"> and</w:t>
      </w:r>
      <w:r w:rsidRPr="00C10739">
        <w:t xml:space="preserve"> Sector Members</w:t>
      </w:r>
      <w:r w:rsidR="00C96DB4">
        <w:t>, as well as</w:t>
      </w:r>
      <w:r w:rsidRPr="00C10739">
        <w:t xml:space="preserve"> to </w:t>
      </w:r>
      <w:r w:rsidR="00C429DD">
        <w:t xml:space="preserve">the </w:t>
      </w:r>
      <w:r w:rsidRPr="00C10739">
        <w:t xml:space="preserve">chairmen and vice-chairmen of Study Groups. In addition, the </w:t>
      </w:r>
      <w:r w:rsidR="00284158">
        <w:t xml:space="preserve">BDT </w:t>
      </w:r>
      <w:r w:rsidRPr="00C10739">
        <w:t xml:space="preserve">Director may invite representatives </w:t>
      </w:r>
      <w:r w:rsidR="00D8564E">
        <w:t>from</w:t>
      </w:r>
      <w:r w:rsidRPr="00C10739">
        <w:t xml:space="preserve"> bilateral cooperation</w:t>
      </w:r>
      <w:r w:rsidR="00272DC9">
        <w:t>,</w:t>
      </w:r>
      <w:r w:rsidRPr="00C10739">
        <w:t xml:space="preserve"> development aid agencies and multilateral development institutions to participate in TDAG’s meetings.</w:t>
      </w:r>
    </w:p>
    <w:p w14:paraId="65DC0F30" w14:textId="77777777" w:rsidR="00F1122E" w:rsidRDefault="00F1122E" w:rsidP="00B4431B">
      <w:pPr>
        <w:pStyle w:val="testobase"/>
      </w:pPr>
      <w:r w:rsidRPr="00C10739">
        <w:t xml:space="preserve">The World Telecommunication Development Conference (WTDC) is organized by </w:t>
      </w:r>
      <w:r w:rsidR="007E4211">
        <w:t>ITU-</w:t>
      </w:r>
      <w:r w:rsidRPr="00C10739">
        <w:t xml:space="preserve">BDT in the period between two Plenipotentiary Conferences </w:t>
      </w:r>
      <w:r w:rsidR="00272DC9">
        <w:t xml:space="preserve">with the aim </w:t>
      </w:r>
      <w:r w:rsidR="00C429DD">
        <w:t>of</w:t>
      </w:r>
      <w:r w:rsidR="00272DC9">
        <w:t xml:space="preserve"> consider</w:t>
      </w:r>
      <w:r w:rsidR="00C429DD">
        <w:t>ing</w:t>
      </w:r>
      <w:r w:rsidR="00272DC9">
        <w:t xml:space="preserve"> </w:t>
      </w:r>
      <w:r w:rsidRPr="00C10739">
        <w:t>topics, projects and programmes rel</w:t>
      </w:r>
      <w:r w:rsidR="00C429DD">
        <w:t>ating</w:t>
      </w:r>
      <w:r w:rsidRPr="00C10739">
        <w:t xml:space="preserve"> to telecommunication development. WTDCs</w:t>
      </w:r>
      <w:r w:rsidR="00272DC9">
        <w:t>,</w:t>
      </w:r>
      <w:r w:rsidRPr="00C10739">
        <w:t xml:space="preserve"> set the strategies and objectives for the development of telecommunication/ICT</w:t>
      </w:r>
      <w:r w:rsidR="00586A42">
        <w:t xml:space="preserve"> and provide </w:t>
      </w:r>
      <w:r w:rsidRPr="00C10739">
        <w:t xml:space="preserve">future direction and guidance to </w:t>
      </w:r>
      <w:r w:rsidR="00272DC9">
        <w:t>ITU-D</w:t>
      </w:r>
      <w:r w:rsidRPr="00C10739">
        <w:t>.</w:t>
      </w:r>
    </w:p>
    <w:p w14:paraId="463F85B2" w14:textId="77777777" w:rsidR="00270566" w:rsidRPr="00C10739" w:rsidRDefault="00270566" w:rsidP="00270566">
      <w:pPr>
        <w:pStyle w:val="Heading2"/>
      </w:pPr>
      <w:bookmarkStart w:id="16" w:name="_Toc526772243"/>
      <w:r w:rsidRPr="00C10739">
        <w:t>ITU’s Regional Presence</w:t>
      </w:r>
      <w:bookmarkEnd w:id="16"/>
    </w:p>
    <w:p w14:paraId="0DF8CEAA" w14:textId="77777777" w:rsidR="00270566" w:rsidRPr="00C10739" w:rsidRDefault="00284158" w:rsidP="00B4431B">
      <w:pPr>
        <w:pStyle w:val="testobase"/>
      </w:pPr>
      <w:r>
        <w:t>T</w:t>
      </w:r>
      <w:r w:rsidR="00270566" w:rsidRPr="00C10739">
        <w:t>hirteen field offices</w:t>
      </w:r>
      <w:r>
        <w:t xml:space="preserve"> have been established to strengthen the ITU's regional presence</w:t>
      </w:r>
      <w:r w:rsidR="007407AD">
        <w:t>,</w:t>
      </w:r>
      <w:r w:rsidR="00CF6D72">
        <w:t xml:space="preserve"> </w:t>
      </w:r>
      <w:r>
        <w:t xml:space="preserve">with the </w:t>
      </w:r>
      <w:r w:rsidR="007407AD">
        <w:t xml:space="preserve">main </w:t>
      </w:r>
      <w:r>
        <w:t>task</w:t>
      </w:r>
      <w:r w:rsidR="00270566" w:rsidRPr="00C10739">
        <w:t xml:space="preserve"> </w:t>
      </w:r>
      <w:r w:rsidR="00CD275E">
        <w:t>of</w:t>
      </w:r>
      <w:r w:rsidR="00270566" w:rsidRPr="00C10739">
        <w:t xml:space="preserve"> maintain</w:t>
      </w:r>
      <w:r w:rsidR="00CD275E">
        <w:t>ing</w:t>
      </w:r>
      <w:r w:rsidR="00270566" w:rsidRPr="00C10739">
        <w:t xml:space="preserve"> direct contact with national authorities, regional telecommunication organizations and other key stakeholders.</w:t>
      </w:r>
    </w:p>
    <w:p w14:paraId="1D1D10CC" w14:textId="77777777" w:rsidR="00270566" w:rsidRDefault="00270566" w:rsidP="00B4431B">
      <w:pPr>
        <w:pStyle w:val="testobase"/>
      </w:pPr>
      <w:r w:rsidRPr="00C10739">
        <w:t xml:space="preserve">The </w:t>
      </w:r>
      <w:r w:rsidR="00CD275E">
        <w:t xml:space="preserve">ITU’s </w:t>
      </w:r>
      <w:r w:rsidRPr="00C10739">
        <w:t>presence in th</w:t>
      </w:r>
      <w:r>
        <w:t xml:space="preserve">e Americas Region is </w:t>
      </w:r>
      <w:r w:rsidR="00CD275E">
        <w:t>provided</w:t>
      </w:r>
      <w:r w:rsidR="00B252A3">
        <w:t xml:space="preserve"> through</w:t>
      </w:r>
      <w:r>
        <w:t xml:space="preserve"> the </w:t>
      </w:r>
      <w:r w:rsidRPr="00C10739">
        <w:t>Regional Office of Americas</w:t>
      </w:r>
      <w:r>
        <w:t>,</w:t>
      </w:r>
      <w:r w:rsidRPr="00C10739">
        <w:t xml:space="preserve"> based in Brazil</w:t>
      </w:r>
      <w:r w:rsidRPr="00C10739">
        <w:rPr>
          <w:vertAlign w:val="superscript"/>
        </w:rPr>
        <w:footnoteReference w:id="2"/>
      </w:r>
      <w:r w:rsidRPr="00C10739">
        <w:t xml:space="preserve"> (Brasilia) and three Area Office</w:t>
      </w:r>
      <w:r>
        <w:t>s,</w:t>
      </w:r>
      <w:r w:rsidRPr="00C10739">
        <w:t xml:space="preserve"> based in Honduras</w:t>
      </w:r>
      <w:r w:rsidRPr="00C10739">
        <w:rPr>
          <w:vertAlign w:val="superscript"/>
        </w:rPr>
        <w:footnoteReference w:id="3"/>
      </w:r>
      <w:r w:rsidRPr="00C10739">
        <w:t xml:space="preserve"> (Tegucigalpa), Chile</w:t>
      </w:r>
      <w:r w:rsidRPr="00C10739">
        <w:rPr>
          <w:vertAlign w:val="superscript"/>
        </w:rPr>
        <w:footnoteReference w:id="4"/>
      </w:r>
      <w:r w:rsidRPr="00C10739">
        <w:t xml:space="preserve"> (Santiago), Barbados</w:t>
      </w:r>
      <w:r w:rsidRPr="00C10739">
        <w:rPr>
          <w:vertAlign w:val="superscript"/>
        </w:rPr>
        <w:footnoteReference w:id="5"/>
      </w:r>
      <w:r w:rsidRPr="00C10739">
        <w:t xml:space="preserve"> (Bridgetown).</w:t>
      </w:r>
    </w:p>
    <w:p w14:paraId="7F1A2F0F" w14:textId="77777777" w:rsidR="00270566" w:rsidRDefault="00CD275E" w:rsidP="00B4431B">
      <w:pPr>
        <w:pStyle w:val="testobase"/>
      </w:pPr>
      <w:r>
        <w:t xml:space="preserve">Its </w:t>
      </w:r>
      <w:r w:rsidR="00270566" w:rsidRPr="00EF7ABF">
        <w:t xml:space="preserve">presence in the Africa Region is </w:t>
      </w:r>
      <w:r>
        <w:t>provided</w:t>
      </w:r>
      <w:r w:rsidR="00B252A3">
        <w:t xml:space="preserve"> through</w:t>
      </w:r>
      <w:r w:rsidR="00F72DD0">
        <w:t xml:space="preserve"> </w:t>
      </w:r>
      <w:r w:rsidR="00270566">
        <w:t xml:space="preserve">the </w:t>
      </w:r>
      <w:r w:rsidR="00270566" w:rsidRPr="00EF7ABF">
        <w:t xml:space="preserve">Regional Office </w:t>
      </w:r>
      <w:r>
        <w:t>for</w:t>
      </w:r>
      <w:r w:rsidR="00270566" w:rsidRPr="00EF7ABF">
        <w:t xml:space="preserve"> Africa</w:t>
      </w:r>
      <w:r w:rsidR="00272DC9">
        <w:t>, based in Ethiopia</w:t>
      </w:r>
      <w:r w:rsidR="00270566" w:rsidRPr="00EF7ABF">
        <w:rPr>
          <w:vertAlign w:val="superscript"/>
        </w:rPr>
        <w:footnoteReference w:id="6"/>
      </w:r>
      <w:r w:rsidR="00270566" w:rsidRPr="00EF7ABF">
        <w:t xml:space="preserve"> (Addis Ababa) and three Area Office</w:t>
      </w:r>
      <w:r w:rsidR="00F72DD0">
        <w:t>s,</w:t>
      </w:r>
      <w:r w:rsidR="00270566" w:rsidRPr="00EF7ABF">
        <w:t xml:space="preserve"> based in Senegal</w:t>
      </w:r>
      <w:r w:rsidR="00270566" w:rsidRPr="00EF7ABF">
        <w:rPr>
          <w:vertAlign w:val="superscript"/>
        </w:rPr>
        <w:footnoteReference w:id="7"/>
      </w:r>
      <w:r w:rsidR="00270566" w:rsidRPr="00EF7ABF">
        <w:t xml:space="preserve"> (Dakar), Zimbabwe</w:t>
      </w:r>
      <w:r w:rsidR="00270566" w:rsidRPr="00EF7ABF">
        <w:rPr>
          <w:vertAlign w:val="superscript"/>
        </w:rPr>
        <w:footnoteReference w:id="8"/>
      </w:r>
      <w:r w:rsidR="00270566" w:rsidRPr="00EF7ABF">
        <w:t xml:space="preserve"> (Harare), Cameroon</w:t>
      </w:r>
      <w:r w:rsidR="00270566" w:rsidRPr="00EF7ABF">
        <w:rPr>
          <w:vertAlign w:val="superscript"/>
        </w:rPr>
        <w:footnoteReference w:id="9"/>
      </w:r>
      <w:r w:rsidR="00270566" w:rsidRPr="00EF7ABF">
        <w:t xml:space="preserve"> (Yaoundé).</w:t>
      </w:r>
    </w:p>
    <w:p w14:paraId="2A8C4132" w14:textId="77777777" w:rsidR="00B252A3" w:rsidRPr="00EF7ABF" w:rsidRDefault="00B252A3" w:rsidP="00B4431B">
      <w:pPr>
        <w:pStyle w:val="testobase"/>
      </w:pPr>
      <w:r>
        <w:t>Regional Offices are headed by a Regional Director</w:t>
      </w:r>
      <w:r w:rsidR="00CD275E">
        <w:t xml:space="preserve"> (RD)</w:t>
      </w:r>
      <w:r>
        <w:t xml:space="preserve">, who reports to the Director of </w:t>
      </w:r>
      <w:r w:rsidR="004759F4">
        <w:t>BDT</w:t>
      </w:r>
      <w:r w:rsidR="00272DC9">
        <w:t>,</w:t>
      </w:r>
      <w:r>
        <w:t xml:space="preserve"> </w:t>
      </w:r>
      <w:r w:rsidR="00272DC9">
        <w:t>whilst</w:t>
      </w:r>
      <w:r>
        <w:t xml:space="preserve"> Area Offices are headed by a P-5, who reports to the Regional Director.</w:t>
      </w:r>
    </w:p>
    <w:p w14:paraId="61ADE09F" w14:textId="77777777" w:rsidR="003B3ED9" w:rsidRPr="00C10739" w:rsidRDefault="003B3ED9" w:rsidP="003B3ED9">
      <w:pPr>
        <w:pStyle w:val="Heading2"/>
      </w:pPr>
      <w:bookmarkStart w:id="17" w:name="_Toc526772244"/>
      <w:r>
        <w:t xml:space="preserve">The Dubai </w:t>
      </w:r>
      <w:r w:rsidR="00DC054E">
        <w:t xml:space="preserve">and Buenos Aires </w:t>
      </w:r>
      <w:r>
        <w:t>Action Plan</w:t>
      </w:r>
      <w:r w:rsidR="00DC054E">
        <w:t>s</w:t>
      </w:r>
      <w:bookmarkEnd w:id="17"/>
      <w:r>
        <w:t xml:space="preserve"> </w:t>
      </w:r>
    </w:p>
    <w:p w14:paraId="668F1C36" w14:textId="77777777" w:rsidR="00F1122E" w:rsidRPr="00C10739" w:rsidRDefault="00F1122E" w:rsidP="00B4431B">
      <w:pPr>
        <w:pStyle w:val="testobase"/>
      </w:pPr>
      <w:r w:rsidRPr="00C10739">
        <w:t xml:space="preserve">During the World Telecommunication Development Conference (WTDC-14) held in Dubai </w:t>
      </w:r>
      <w:r w:rsidR="00936652" w:rsidRPr="00C10739">
        <w:t>in 2014</w:t>
      </w:r>
      <w:r w:rsidR="00936652">
        <w:t>,</w:t>
      </w:r>
      <w:r w:rsidR="00936652" w:rsidRPr="00C10739">
        <w:t xml:space="preserve"> </w:t>
      </w:r>
      <w:r w:rsidRPr="00C10739">
        <w:t xml:space="preserve">the Dubai Action Plan (DuAP) </w:t>
      </w:r>
      <w:r w:rsidR="00936652">
        <w:t xml:space="preserve">was adopted </w:t>
      </w:r>
      <w:r w:rsidRPr="00C10739">
        <w:t xml:space="preserve">in order to </w:t>
      </w:r>
      <w:r w:rsidR="00936652">
        <w:t>define</w:t>
      </w:r>
      <w:r w:rsidRPr="00C10739">
        <w:t xml:space="preserve"> a package of activities in the area of telecommunications and information and communication technologies, including networks, applications and services</w:t>
      </w:r>
      <w:r w:rsidR="00936652">
        <w:t xml:space="preserve">, for </w:t>
      </w:r>
      <w:r w:rsidR="00936652" w:rsidRPr="00C10739">
        <w:t>the 2015-2018</w:t>
      </w:r>
      <w:r w:rsidR="00CD275E">
        <w:t xml:space="preserve"> period</w:t>
      </w:r>
      <w:r w:rsidR="00936652">
        <w:t>.</w:t>
      </w:r>
      <w:r w:rsidRPr="00C10739">
        <w:t xml:space="preserve"> It </w:t>
      </w:r>
      <w:r w:rsidR="004857C7">
        <w:t>wa</w:t>
      </w:r>
      <w:r w:rsidRPr="00C10739">
        <w:t>s built around five objectives:</w:t>
      </w:r>
    </w:p>
    <w:tbl>
      <w:tblPr>
        <w:tblW w:w="5000" w:type="pct"/>
        <w:tblCellMar>
          <w:left w:w="70" w:type="dxa"/>
          <w:right w:w="70" w:type="dxa"/>
        </w:tblCellMar>
        <w:tblLook w:val="04A0" w:firstRow="1" w:lastRow="0" w:firstColumn="1" w:lastColumn="0" w:noHBand="0" w:noVBand="1"/>
      </w:tblPr>
      <w:tblGrid>
        <w:gridCol w:w="1731"/>
        <w:gridCol w:w="1731"/>
        <w:gridCol w:w="1839"/>
        <w:gridCol w:w="1731"/>
        <w:gridCol w:w="1798"/>
      </w:tblGrid>
      <w:tr w:rsidR="00F1122E" w:rsidRPr="00C10739" w14:paraId="20B99578" w14:textId="77777777" w:rsidTr="00340A59">
        <w:tc>
          <w:tcPr>
            <w:tcW w:w="5000" w:type="pct"/>
            <w:gridSpan w:val="5"/>
            <w:tcBorders>
              <w:top w:val="single" w:sz="4" w:space="0" w:color="auto"/>
              <w:left w:val="single" w:sz="4" w:space="0" w:color="auto"/>
              <w:bottom w:val="single" w:sz="4" w:space="0" w:color="auto"/>
              <w:right w:val="single" w:sz="4" w:space="0" w:color="000000"/>
            </w:tcBorders>
            <w:shd w:val="clear" w:color="000000" w:fill="5B9BD5"/>
            <w:hideMark/>
          </w:tcPr>
          <w:p w14:paraId="1B3A2567"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4"/>
              </w:rPr>
            </w:pPr>
            <w:r w:rsidRPr="00C10739">
              <w:rPr>
                <w:rFonts w:ascii="Arial Narrow" w:eastAsia="Times New Roman" w:hAnsi="Arial Narrow" w:cs="Calibri"/>
                <w:b/>
                <w:bCs/>
                <w:sz w:val="20"/>
                <w:szCs w:val="24"/>
              </w:rPr>
              <w:t>DUBAI ACTION PLAN (WTDC-14)</w:t>
            </w:r>
          </w:p>
        </w:tc>
      </w:tr>
      <w:tr w:rsidR="00F1122E" w:rsidRPr="00C10739" w14:paraId="10C94CEE" w14:textId="77777777" w:rsidTr="00936652">
        <w:tc>
          <w:tcPr>
            <w:tcW w:w="992" w:type="pct"/>
            <w:tcBorders>
              <w:top w:val="nil"/>
              <w:left w:val="single" w:sz="4" w:space="0" w:color="auto"/>
              <w:bottom w:val="single" w:sz="4" w:space="0" w:color="auto"/>
              <w:right w:val="single" w:sz="4" w:space="0" w:color="auto"/>
            </w:tcBorders>
            <w:shd w:val="clear" w:color="000000" w:fill="5B9BD5"/>
            <w:vAlign w:val="center"/>
            <w:hideMark/>
          </w:tcPr>
          <w:p w14:paraId="0AA7E727"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0"/>
              </w:rPr>
            </w:pPr>
            <w:r w:rsidRPr="00C10739">
              <w:rPr>
                <w:rFonts w:ascii="Arial Narrow" w:eastAsia="Times New Roman" w:hAnsi="Arial Narrow" w:cs="Calibri"/>
                <w:b/>
                <w:bCs/>
                <w:sz w:val="20"/>
                <w:szCs w:val="20"/>
              </w:rPr>
              <w:t>Objective 1</w:t>
            </w:r>
          </w:p>
        </w:tc>
        <w:tc>
          <w:tcPr>
            <w:tcW w:w="992" w:type="pct"/>
            <w:tcBorders>
              <w:top w:val="nil"/>
              <w:left w:val="nil"/>
              <w:bottom w:val="single" w:sz="4" w:space="0" w:color="auto"/>
              <w:right w:val="single" w:sz="4" w:space="0" w:color="auto"/>
            </w:tcBorders>
            <w:shd w:val="clear" w:color="000000" w:fill="5B9BD5"/>
            <w:vAlign w:val="center"/>
            <w:hideMark/>
          </w:tcPr>
          <w:p w14:paraId="665B6C60"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0"/>
              </w:rPr>
            </w:pPr>
            <w:r w:rsidRPr="00C10739">
              <w:rPr>
                <w:rFonts w:ascii="Arial Narrow" w:eastAsia="Times New Roman" w:hAnsi="Arial Narrow" w:cs="Calibri"/>
                <w:b/>
                <w:bCs/>
                <w:sz w:val="20"/>
                <w:szCs w:val="20"/>
              </w:rPr>
              <w:t>Objective 2</w:t>
            </w:r>
          </w:p>
        </w:tc>
        <w:tc>
          <w:tcPr>
            <w:tcW w:w="1024" w:type="pct"/>
            <w:tcBorders>
              <w:top w:val="nil"/>
              <w:left w:val="nil"/>
              <w:bottom w:val="single" w:sz="4" w:space="0" w:color="auto"/>
              <w:right w:val="single" w:sz="4" w:space="0" w:color="auto"/>
            </w:tcBorders>
            <w:shd w:val="clear" w:color="000000" w:fill="5B9BD5"/>
            <w:vAlign w:val="center"/>
            <w:hideMark/>
          </w:tcPr>
          <w:p w14:paraId="5C599B54"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0"/>
              </w:rPr>
            </w:pPr>
            <w:r w:rsidRPr="00C10739">
              <w:rPr>
                <w:rFonts w:ascii="Arial Narrow" w:eastAsia="Times New Roman" w:hAnsi="Arial Narrow" w:cs="Calibri"/>
                <w:b/>
                <w:bCs/>
                <w:sz w:val="20"/>
                <w:szCs w:val="20"/>
              </w:rPr>
              <w:t>Objective 3</w:t>
            </w:r>
          </w:p>
        </w:tc>
        <w:tc>
          <w:tcPr>
            <w:tcW w:w="992" w:type="pct"/>
            <w:tcBorders>
              <w:top w:val="nil"/>
              <w:left w:val="nil"/>
              <w:bottom w:val="single" w:sz="4" w:space="0" w:color="auto"/>
              <w:right w:val="single" w:sz="4" w:space="0" w:color="auto"/>
            </w:tcBorders>
            <w:shd w:val="clear" w:color="000000" w:fill="5B9BD5"/>
            <w:vAlign w:val="center"/>
            <w:hideMark/>
          </w:tcPr>
          <w:p w14:paraId="74A8DA67"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0"/>
              </w:rPr>
            </w:pPr>
            <w:r w:rsidRPr="00C10739">
              <w:rPr>
                <w:rFonts w:ascii="Arial Narrow" w:eastAsia="Times New Roman" w:hAnsi="Arial Narrow" w:cs="Calibri"/>
                <w:b/>
                <w:bCs/>
                <w:sz w:val="20"/>
                <w:szCs w:val="20"/>
              </w:rPr>
              <w:t>Objective 4</w:t>
            </w:r>
          </w:p>
        </w:tc>
        <w:tc>
          <w:tcPr>
            <w:tcW w:w="1001" w:type="pct"/>
            <w:tcBorders>
              <w:top w:val="nil"/>
              <w:left w:val="nil"/>
              <w:bottom w:val="single" w:sz="4" w:space="0" w:color="auto"/>
              <w:right w:val="single" w:sz="4" w:space="0" w:color="auto"/>
            </w:tcBorders>
            <w:shd w:val="clear" w:color="000000" w:fill="5B9BD5"/>
            <w:vAlign w:val="center"/>
            <w:hideMark/>
          </w:tcPr>
          <w:p w14:paraId="0CCF890C" w14:textId="77777777" w:rsidR="00F1122E" w:rsidRPr="00C10739" w:rsidRDefault="00F1122E" w:rsidP="00340A59">
            <w:pPr>
              <w:spacing w:before="0" w:line="240" w:lineRule="auto"/>
              <w:ind w:firstLine="0"/>
              <w:jc w:val="center"/>
              <w:rPr>
                <w:rFonts w:ascii="Arial Narrow" w:eastAsia="Times New Roman" w:hAnsi="Arial Narrow" w:cs="Calibri"/>
                <w:b/>
                <w:bCs/>
                <w:sz w:val="20"/>
                <w:szCs w:val="20"/>
              </w:rPr>
            </w:pPr>
            <w:r w:rsidRPr="00C10739">
              <w:rPr>
                <w:rFonts w:ascii="Arial Narrow" w:eastAsia="Times New Roman" w:hAnsi="Arial Narrow" w:cs="Calibri"/>
                <w:b/>
                <w:bCs/>
                <w:sz w:val="20"/>
                <w:szCs w:val="20"/>
              </w:rPr>
              <w:t>Objective 5</w:t>
            </w:r>
          </w:p>
        </w:tc>
      </w:tr>
      <w:tr w:rsidR="00F1122E" w:rsidRPr="00C10739" w14:paraId="0F57B1D4" w14:textId="77777777" w:rsidTr="00936652">
        <w:tc>
          <w:tcPr>
            <w:tcW w:w="992" w:type="pct"/>
            <w:tcBorders>
              <w:top w:val="nil"/>
              <w:left w:val="single" w:sz="4" w:space="0" w:color="auto"/>
              <w:bottom w:val="single" w:sz="4" w:space="0" w:color="auto"/>
              <w:right w:val="single" w:sz="4" w:space="0" w:color="auto"/>
            </w:tcBorders>
            <w:shd w:val="clear" w:color="000000" w:fill="FFFFFF"/>
            <w:hideMark/>
          </w:tcPr>
          <w:p w14:paraId="15990973" w14:textId="77777777" w:rsidR="00F1122E" w:rsidRPr="00C10739" w:rsidRDefault="00F1122E" w:rsidP="00340A59">
            <w:pPr>
              <w:spacing w:before="0" w:line="240" w:lineRule="auto"/>
              <w:ind w:firstLine="0"/>
              <w:rPr>
                <w:rFonts w:ascii="Arial Narrow" w:eastAsia="Times New Roman" w:hAnsi="Arial Narrow" w:cs="Calibri"/>
                <w:bCs/>
                <w:sz w:val="18"/>
                <w:szCs w:val="20"/>
              </w:rPr>
            </w:pPr>
            <w:r w:rsidRPr="00C10739">
              <w:rPr>
                <w:rFonts w:ascii="Arial Narrow" w:eastAsia="Times New Roman" w:hAnsi="Arial Narrow" w:cs="Calibri"/>
                <w:bCs/>
                <w:sz w:val="18"/>
                <w:szCs w:val="20"/>
              </w:rPr>
              <w:t>Foster international cooperation on telecommunication/ICT development</w:t>
            </w:r>
          </w:p>
        </w:tc>
        <w:tc>
          <w:tcPr>
            <w:tcW w:w="992" w:type="pct"/>
            <w:tcBorders>
              <w:top w:val="nil"/>
              <w:left w:val="nil"/>
              <w:bottom w:val="single" w:sz="4" w:space="0" w:color="auto"/>
              <w:right w:val="single" w:sz="4" w:space="0" w:color="auto"/>
            </w:tcBorders>
            <w:shd w:val="clear" w:color="000000" w:fill="FFFFFF"/>
            <w:hideMark/>
          </w:tcPr>
          <w:p w14:paraId="2B0C4317" w14:textId="77777777" w:rsidR="00F1122E" w:rsidRPr="00C10739" w:rsidRDefault="00F1122E" w:rsidP="00340A59">
            <w:pPr>
              <w:spacing w:before="0" w:line="240" w:lineRule="auto"/>
              <w:ind w:firstLine="0"/>
              <w:rPr>
                <w:rFonts w:ascii="Arial Narrow" w:eastAsia="Times New Roman" w:hAnsi="Arial Narrow" w:cs="Calibri"/>
                <w:bCs/>
                <w:sz w:val="18"/>
                <w:szCs w:val="20"/>
              </w:rPr>
            </w:pPr>
            <w:r w:rsidRPr="00C10739">
              <w:rPr>
                <w:rFonts w:ascii="Arial Narrow" w:eastAsia="Times New Roman" w:hAnsi="Arial Narrow" w:cs="Calibri"/>
                <w:bCs/>
                <w:sz w:val="18"/>
                <w:szCs w:val="20"/>
              </w:rPr>
              <w:t>Foster an enabling environment for ICT development and foster the development of telecommunication/ICT networks as well as relevant applications and services, including bridging the standardization gap</w:t>
            </w:r>
          </w:p>
        </w:tc>
        <w:tc>
          <w:tcPr>
            <w:tcW w:w="1024" w:type="pct"/>
            <w:tcBorders>
              <w:top w:val="nil"/>
              <w:left w:val="nil"/>
              <w:bottom w:val="single" w:sz="4" w:space="0" w:color="auto"/>
              <w:right w:val="single" w:sz="4" w:space="0" w:color="auto"/>
            </w:tcBorders>
            <w:shd w:val="clear" w:color="000000" w:fill="FFFFFF"/>
            <w:hideMark/>
          </w:tcPr>
          <w:p w14:paraId="107699AF" w14:textId="77777777" w:rsidR="00F1122E" w:rsidRPr="00C10739" w:rsidRDefault="00F1122E" w:rsidP="00340A59">
            <w:pPr>
              <w:spacing w:before="0" w:line="240" w:lineRule="auto"/>
              <w:ind w:firstLine="0"/>
              <w:rPr>
                <w:rFonts w:ascii="Arial Narrow" w:eastAsia="Times New Roman" w:hAnsi="Arial Narrow" w:cs="Calibri"/>
                <w:bCs/>
                <w:sz w:val="18"/>
                <w:szCs w:val="20"/>
              </w:rPr>
            </w:pPr>
            <w:r w:rsidRPr="00C10739">
              <w:rPr>
                <w:rFonts w:ascii="Arial Narrow" w:eastAsia="Times New Roman" w:hAnsi="Arial Narrow" w:cs="Calibri"/>
                <w:bCs/>
                <w:sz w:val="18"/>
                <w:szCs w:val="20"/>
              </w:rPr>
              <w:t xml:space="preserve">Enhance confidence and security in the use of telecommunications/ICTs, and </w:t>
            </w:r>
            <w:r w:rsidR="0022118C">
              <w:rPr>
                <w:rFonts w:ascii="Arial Narrow" w:eastAsia="Times New Roman" w:hAnsi="Arial Narrow" w:cs="Calibri"/>
                <w:bCs/>
                <w:sz w:val="18"/>
                <w:szCs w:val="20"/>
              </w:rPr>
              <w:t xml:space="preserve">the </w:t>
            </w:r>
            <w:r w:rsidRPr="00C10739">
              <w:rPr>
                <w:rFonts w:ascii="Arial Narrow" w:eastAsia="Times New Roman" w:hAnsi="Arial Narrow" w:cs="Calibri"/>
                <w:bCs/>
                <w:sz w:val="18"/>
                <w:szCs w:val="20"/>
              </w:rPr>
              <w:t>roll-out of relevant applications and services</w:t>
            </w:r>
          </w:p>
        </w:tc>
        <w:tc>
          <w:tcPr>
            <w:tcW w:w="992" w:type="pct"/>
            <w:tcBorders>
              <w:top w:val="nil"/>
              <w:left w:val="nil"/>
              <w:bottom w:val="single" w:sz="4" w:space="0" w:color="auto"/>
              <w:right w:val="single" w:sz="4" w:space="0" w:color="auto"/>
            </w:tcBorders>
            <w:shd w:val="clear" w:color="000000" w:fill="FFFFFF"/>
            <w:hideMark/>
          </w:tcPr>
          <w:p w14:paraId="30F27743" w14:textId="77777777" w:rsidR="00F1122E" w:rsidRPr="00C10739" w:rsidRDefault="00F1122E" w:rsidP="00340A59">
            <w:pPr>
              <w:spacing w:before="0" w:line="240" w:lineRule="auto"/>
              <w:ind w:firstLine="0"/>
              <w:rPr>
                <w:rFonts w:ascii="Arial Narrow" w:eastAsia="Times New Roman" w:hAnsi="Arial Narrow" w:cs="Calibri"/>
                <w:bCs/>
                <w:sz w:val="18"/>
                <w:szCs w:val="20"/>
              </w:rPr>
            </w:pPr>
            <w:r w:rsidRPr="00C10739">
              <w:rPr>
                <w:rFonts w:ascii="Arial Narrow" w:eastAsia="Times New Roman" w:hAnsi="Arial Narrow" w:cs="Calibri"/>
                <w:bCs/>
                <w:sz w:val="18"/>
                <w:szCs w:val="20"/>
              </w:rPr>
              <w:t>Build human and institutional capacity, provide data and statistics, promote digital inclusion and provide concentrated assistance to countries in special need</w:t>
            </w:r>
          </w:p>
        </w:tc>
        <w:tc>
          <w:tcPr>
            <w:tcW w:w="1001" w:type="pct"/>
            <w:tcBorders>
              <w:top w:val="nil"/>
              <w:left w:val="nil"/>
              <w:bottom w:val="single" w:sz="4" w:space="0" w:color="auto"/>
              <w:right w:val="single" w:sz="4" w:space="0" w:color="auto"/>
            </w:tcBorders>
            <w:shd w:val="clear" w:color="000000" w:fill="FFFFFF"/>
            <w:hideMark/>
          </w:tcPr>
          <w:p w14:paraId="60D61104" w14:textId="77777777" w:rsidR="00F1122E" w:rsidRPr="00C10739" w:rsidRDefault="00F1122E" w:rsidP="00340A59">
            <w:pPr>
              <w:spacing w:before="0" w:line="240" w:lineRule="auto"/>
              <w:ind w:firstLine="0"/>
              <w:rPr>
                <w:rFonts w:ascii="Arial Narrow" w:eastAsia="Times New Roman" w:hAnsi="Arial Narrow" w:cs="Calibri"/>
                <w:bCs/>
                <w:sz w:val="18"/>
                <w:szCs w:val="20"/>
              </w:rPr>
            </w:pPr>
            <w:r w:rsidRPr="00C10739">
              <w:rPr>
                <w:rFonts w:ascii="Arial Narrow" w:eastAsia="Times New Roman" w:hAnsi="Arial Narrow" w:cs="Calibri"/>
                <w:bCs/>
                <w:sz w:val="18"/>
                <w:szCs w:val="20"/>
              </w:rPr>
              <w:t>Enhance environmental protection, climate-change adaptation and mitigation, and disaster-management efforts through telecommunications/ICTs</w:t>
            </w:r>
          </w:p>
        </w:tc>
      </w:tr>
    </w:tbl>
    <w:p w14:paraId="324DD0A8" w14:textId="77777777" w:rsidR="00936652" w:rsidRDefault="00936652" w:rsidP="00284158">
      <w:pPr>
        <w:pStyle w:val="testobase"/>
        <w:numPr>
          <w:ilvl w:val="0"/>
          <w:numId w:val="0"/>
        </w:numPr>
        <w:ind w:left="426"/>
      </w:pPr>
    </w:p>
    <w:p w14:paraId="6E4A912C" w14:textId="77777777" w:rsidR="007E1A4F" w:rsidRDefault="00936652" w:rsidP="00B4431B">
      <w:pPr>
        <w:pStyle w:val="testobase"/>
      </w:pPr>
      <w:r w:rsidRPr="00C10739">
        <w:t xml:space="preserve">As </w:t>
      </w:r>
      <w:r w:rsidR="003D5C59">
        <w:t>stated</w:t>
      </w:r>
      <w:r w:rsidRPr="00C10739">
        <w:t xml:space="preserve"> in the “FINAL REPORT WORLD TELECOMMUNICATION DEVELOPMENT CONFERENCE Dubai, United Arab Emirates 30 March – 10 April 2014”, “</w:t>
      </w:r>
      <w:r w:rsidRPr="00C10739">
        <w:rPr>
          <w:i/>
        </w:rPr>
        <w:t>The Dubai Action Plan follows a results-based structure, in which outcomes are identified for the objectives, and key performance indicators (KPIs) are identified for each output. Outputs are all the products and services ITU</w:t>
      </w:r>
      <w:r w:rsidR="003D5C59">
        <w:rPr>
          <w:i/>
        </w:rPr>
        <w:t>-</w:t>
      </w:r>
      <w:r w:rsidRPr="00C10739">
        <w:rPr>
          <w:i/>
        </w:rPr>
        <w:t xml:space="preserve">D will develop and deliver to members </w:t>
      </w:r>
      <w:r>
        <w:rPr>
          <w:i/>
        </w:rPr>
        <w:t>[...]</w:t>
      </w:r>
      <w:r w:rsidR="00CF6D72">
        <w:rPr>
          <w:i/>
        </w:rPr>
        <w:t xml:space="preserve"> </w:t>
      </w:r>
      <w:r w:rsidRPr="00C10739">
        <w:rPr>
          <w:i/>
        </w:rPr>
        <w:t>in order to achieve the related ITU-D strategic objectives</w:t>
      </w:r>
      <w:r w:rsidR="00462703">
        <w:rPr>
          <w:i/>
        </w:rPr>
        <w:t>"</w:t>
      </w:r>
      <w:r w:rsidRPr="00C10739">
        <w:rPr>
          <w:i/>
        </w:rPr>
        <w:t>.</w:t>
      </w:r>
      <w:r>
        <w:rPr>
          <w:i/>
        </w:rPr>
        <w:t xml:space="preserve"> </w:t>
      </w:r>
      <w:r w:rsidR="00F1122E" w:rsidRPr="00C10739">
        <w:t xml:space="preserve">For each of the objectives, the following information is provided: 1. title of the objective; 2. outcomes; 3. description of the related outputs; 4. key performance indicators for each output; 5. implementation framework, including Programmes, Regional initiatives, Study group questions, </w:t>
      </w:r>
      <w:r w:rsidR="007E1A4F" w:rsidRPr="00C10739">
        <w:t xml:space="preserve">resolutions and recommendations, and facilitation of World Summit for the Information Society (WSIS) action lines. The Dubai Action Plan </w:t>
      </w:r>
      <w:r w:rsidR="007E1A4F">
        <w:t>outlines</w:t>
      </w:r>
      <w:r w:rsidR="007E1A4F" w:rsidRPr="00C10739">
        <w:t xml:space="preserve"> the ITU-D mandat</w:t>
      </w:r>
      <w:r w:rsidR="00CF6D72">
        <w:t>e for the 2015-2018</w:t>
      </w:r>
      <w:r w:rsidR="0022118C">
        <w:t xml:space="preserve"> period</w:t>
      </w:r>
      <w:r w:rsidR="00272DC9">
        <w:t xml:space="preserve">. It could </w:t>
      </w:r>
      <w:r w:rsidR="00272DC9" w:rsidRPr="00C10739">
        <w:t>be updated or modified by the Telecommunication Development Advisory Group (TDAG) to reflect changes in the ICT environment and/or as a result of performance evaluation</w:t>
      </w:r>
      <w:r w:rsidR="00272DC9">
        <w:t>s to be conducted each year</w:t>
      </w:r>
      <w:r w:rsidR="00CF6D72">
        <w:t xml:space="preserve">. </w:t>
      </w:r>
      <w:r w:rsidR="007E1A4F" w:rsidRPr="00C10739">
        <w:t xml:space="preserve">The Dubai Action Plan structure follows the </w:t>
      </w:r>
      <w:r w:rsidR="007E1A4F">
        <w:t xml:space="preserve">same </w:t>
      </w:r>
      <w:r w:rsidR="007E1A4F" w:rsidRPr="00C10739">
        <w:t xml:space="preserve">structure </w:t>
      </w:r>
      <w:r w:rsidR="007E1A4F">
        <w:t>as</w:t>
      </w:r>
      <w:r w:rsidR="007E1A4F" w:rsidRPr="00C10739">
        <w:t xml:space="preserve"> the strategic plan, so as to ensure a consistent planning hierarchy and linkage across the different planning tools and instruments within ITU (strategic, financial and</w:t>
      </w:r>
      <w:r w:rsidR="007E1A4F">
        <w:t xml:space="preserve"> operational planning).</w:t>
      </w:r>
    </w:p>
    <w:p w14:paraId="3DB04483" w14:textId="77777777" w:rsidR="00DC054E" w:rsidRPr="00C10739" w:rsidRDefault="00DC054E" w:rsidP="00B4431B">
      <w:pPr>
        <w:pStyle w:val="testobase"/>
      </w:pPr>
      <w:r w:rsidRPr="00C10739">
        <w:t>During the World Telecommunication Development Conference (WTDC-17)</w:t>
      </w:r>
      <w:r w:rsidR="0022118C">
        <w:t>,</w:t>
      </w:r>
      <w:r w:rsidRPr="00C10739">
        <w:t xml:space="preserve"> held in 2017 in Argentina</w:t>
      </w:r>
      <w:r w:rsidR="00936652">
        <w:t>,</w:t>
      </w:r>
      <w:r w:rsidRPr="00C10739">
        <w:t xml:space="preserve"> the Buenos Aires Action Plan (B</w:t>
      </w:r>
      <w:r w:rsidR="004E1434">
        <w:t>a</w:t>
      </w:r>
      <w:r w:rsidRPr="00C10739">
        <w:t xml:space="preserve">AP) </w:t>
      </w:r>
      <w:r w:rsidR="00936652">
        <w:t>was adopted</w:t>
      </w:r>
      <w:r w:rsidR="0022118C">
        <w:t>,</w:t>
      </w:r>
      <w:r w:rsidR="00936652">
        <w:t xml:space="preserve"> </w:t>
      </w:r>
      <w:r w:rsidRPr="00C10739">
        <w:t xml:space="preserve">in order </w:t>
      </w:r>
      <w:r w:rsidR="002D71E6">
        <w:t xml:space="preserve">to </w:t>
      </w:r>
      <w:r w:rsidR="00936652">
        <w:t>establish</w:t>
      </w:r>
      <w:r w:rsidRPr="00C10739">
        <w:t xml:space="preserve"> a package of activities in the area of telecommunications and information and communication technologies, including networks, applications and services</w:t>
      </w:r>
      <w:r w:rsidR="00936652">
        <w:t xml:space="preserve"> for the </w:t>
      </w:r>
      <w:r w:rsidR="00936652" w:rsidRPr="00C10739">
        <w:t>2018-2021</w:t>
      </w:r>
      <w:r w:rsidR="0022118C">
        <w:t xml:space="preserve"> period</w:t>
      </w:r>
      <w:r w:rsidRPr="00C10739">
        <w:t xml:space="preserve">. </w:t>
      </w:r>
      <w:r w:rsidR="00BD797F">
        <w:t>T</w:t>
      </w:r>
      <w:r w:rsidR="002D71E6">
        <w:t>he B</w:t>
      </w:r>
      <w:r w:rsidR="004E1434">
        <w:t>a</w:t>
      </w:r>
      <w:r w:rsidR="002D71E6">
        <w:t xml:space="preserve">AP </w:t>
      </w:r>
      <w:r w:rsidR="004857C7">
        <w:t>wa</w:t>
      </w:r>
      <w:r w:rsidRPr="00C10739">
        <w:t>s built around four objectives</w:t>
      </w:r>
      <w:r w:rsidR="00BD797F">
        <w:t xml:space="preserve">, </w:t>
      </w:r>
      <w:r w:rsidR="00E829AC">
        <w:t xml:space="preserve">aligned with </w:t>
      </w:r>
      <w:r w:rsidR="00BD797F">
        <w:t>the strategic objectives of ITU.</w:t>
      </w:r>
    </w:p>
    <w:tbl>
      <w:tblPr>
        <w:tblW w:w="5000" w:type="pct"/>
        <w:tblCellMar>
          <w:left w:w="70" w:type="dxa"/>
          <w:right w:w="70" w:type="dxa"/>
        </w:tblCellMar>
        <w:tblLook w:val="04A0" w:firstRow="1" w:lastRow="0" w:firstColumn="1" w:lastColumn="0" w:noHBand="0" w:noVBand="1"/>
      </w:tblPr>
      <w:tblGrid>
        <w:gridCol w:w="1964"/>
        <w:gridCol w:w="2467"/>
        <w:gridCol w:w="2082"/>
        <w:gridCol w:w="2317"/>
      </w:tblGrid>
      <w:tr w:rsidR="00DC054E" w:rsidRPr="00D0245F" w14:paraId="16AB564A" w14:textId="77777777" w:rsidTr="00340A59">
        <w:tc>
          <w:tcPr>
            <w:tcW w:w="5000" w:type="pct"/>
            <w:gridSpan w:val="4"/>
            <w:tcBorders>
              <w:top w:val="single" w:sz="4" w:space="0" w:color="auto"/>
              <w:left w:val="single" w:sz="4" w:space="0" w:color="auto"/>
              <w:bottom w:val="single" w:sz="4" w:space="0" w:color="auto"/>
              <w:right w:val="single" w:sz="4" w:space="0" w:color="000000"/>
            </w:tcBorders>
            <w:shd w:val="clear" w:color="000000" w:fill="5B9BD5"/>
            <w:hideMark/>
          </w:tcPr>
          <w:p w14:paraId="2E41356D" w14:textId="77777777" w:rsidR="00DC054E" w:rsidRPr="00653A15" w:rsidRDefault="00DC054E" w:rsidP="00340A59">
            <w:pPr>
              <w:keepNext/>
              <w:spacing w:before="0" w:line="240" w:lineRule="auto"/>
              <w:ind w:firstLine="0"/>
              <w:jc w:val="center"/>
              <w:rPr>
                <w:rFonts w:ascii="Arial Narrow" w:hAnsi="Arial Narrow"/>
                <w:b/>
                <w:bCs/>
                <w:lang w:val="fr-FR"/>
              </w:rPr>
            </w:pPr>
            <w:r w:rsidRPr="00653A15">
              <w:rPr>
                <w:rFonts w:ascii="Arial Narrow" w:hAnsi="Arial Narrow"/>
                <w:b/>
                <w:bCs/>
                <w:lang w:val="fr-FR"/>
              </w:rPr>
              <w:t>BUENOS AIRES ACTION PLAN (WTDC-17)</w:t>
            </w:r>
          </w:p>
        </w:tc>
      </w:tr>
      <w:tr w:rsidR="00DC054E" w:rsidRPr="00C10739" w14:paraId="695EF636" w14:textId="77777777" w:rsidTr="00340A59">
        <w:tc>
          <w:tcPr>
            <w:tcW w:w="1112" w:type="pct"/>
            <w:tcBorders>
              <w:top w:val="nil"/>
              <w:left w:val="single" w:sz="4" w:space="0" w:color="auto"/>
              <w:bottom w:val="single" w:sz="4" w:space="0" w:color="auto"/>
              <w:right w:val="single" w:sz="4" w:space="0" w:color="auto"/>
            </w:tcBorders>
            <w:shd w:val="clear" w:color="000000" w:fill="5B9BD5"/>
            <w:vAlign w:val="center"/>
            <w:hideMark/>
          </w:tcPr>
          <w:p w14:paraId="461A177E" w14:textId="77777777" w:rsidR="00DC054E" w:rsidRPr="00C10739" w:rsidRDefault="00DC054E" w:rsidP="00340A59">
            <w:pPr>
              <w:keepNext/>
              <w:spacing w:before="0" w:line="240" w:lineRule="auto"/>
              <w:ind w:firstLine="0"/>
              <w:jc w:val="center"/>
              <w:rPr>
                <w:rFonts w:ascii="Arial Narrow" w:hAnsi="Arial Narrow"/>
                <w:b/>
                <w:bCs/>
              </w:rPr>
            </w:pPr>
            <w:r w:rsidRPr="00C10739">
              <w:rPr>
                <w:rFonts w:ascii="Arial Narrow" w:hAnsi="Arial Narrow"/>
                <w:b/>
                <w:bCs/>
              </w:rPr>
              <w:t>Objective 1</w:t>
            </w:r>
          </w:p>
        </w:tc>
        <w:tc>
          <w:tcPr>
            <w:tcW w:w="1397" w:type="pct"/>
            <w:tcBorders>
              <w:top w:val="nil"/>
              <w:left w:val="nil"/>
              <w:bottom w:val="single" w:sz="4" w:space="0" w:color="auto"/>
              <w:right w:val="single" w:sz="4" w:space="0" w:color="auto"/>
            </w:tcBorders>
            <w:shd w:val="clear" w:color="000000" w:fill="5B9BD5"/>
            <w:vAlign w:val="center"/>
            <w:hideMark/>
          </w:tcPr>
          <w:p w14:paraId="720428F8" w14:textId="77777777" w:rsidR="00DC054E" w:rsidRPr="00C10739" w:rsidRDefault="00DC054E" w:rsidP="00340A59">
            <w:pPr>
              <w:keepNext/>
              <w:spacing w:before="0" w:line="240" w:lineRule="auto"/>
              <w:ind w:firstLine="0"/>
              <w:jc w:val="center"/>
              <w:rPr>
                <w:rFonts w:ascii="Arial Narrow" w:hAnsi="Arial Narrow"/>
                <w:b/>
                <w:bCs/>
              </w:rPr>
            </w:pPr>
            <w:r w:rsidRPr="00C10739">
              <w:rPr>
                <w:rFonts w:ascii="Arial Narrow" w:hAnsi="Arial Narrow"/>
                <w:b/>
                <w:bCs/>
              </w:rPr>
              <w:t>Objective 2</w:t>
            </w:r>
          </w:p>
        </w:tc>
        <w:tc>
          <w:tcPr>
            <w:tcW w:w="1179" w:type="pct"/>
            <w:tcBorders>
              <w:top w:val="nil"/>
              <w:left w:val="nil"/>
              <w:bottom w:val="single" w:sz="4" w:space="0" w:color="auto"/>
              <w:right w:val="single" w:sz="4" w:space="0" w:color="auto"/>
            </w:tcBorders>
            <w:shd w:val="clear" w:color="000000" w:fill="5B9BD5"/>
            <w:vAlign w:val="center"/>
            <w:hideMark/>
          </w:tcPr>
          <w:p w14:paraId="24A49706" w14:textId="77777777" w:rsidR="00DC054E" w:rsidRPr="00C10739" w:rsidRDefault="00DC054E" w:rsidP="00340A59">
            <w:pPr>
              <w:keepNext/>
              <w:spacing w:before="0" w:line="240" w:lineRule="auto"/>
              <w:ind w:firstLine="0"/>
              <w:jc w:val="center"/>
              <w:rPr>
                <w:rFonts w:ascii="Arial Narrow" w:hAnsi="Arial Narrow"/>
                <w:b/>
                <w:bCs/>
              </w:rPr>
            </w:pPr>
            <w:r w:rsidRPr="00C10739">
              <w:rPr>
                <w:rFonts w:ascii="Arial Narrow" w:hAnsi="Arial Narrow"/>
                <w:b/>
                <w:bCs/>
              </w:rPr>
              <w:t>Objective 3</w:t>
            </w:r>
          </w:p>
        </w:tc>
        <w:tc>
          <w:tcPr>
            <w:tcW w:w="1312" w:type="pct"/>
            <w:tcBorders>
              <w:top w:val="nil"/>
              <w:left w:val="nil"/>
              <w:bottom w:val="single" w:sz="4" w:space="0" w:color="auto"/>
              <w:right w:val="single" w:sz="4" w:space="0" w:color="auto"/>
            </w:tcBorders>
            <w:shd w:val="clear" w:color="000000" w:fill="5B9BD5"/>
            <w:vAlign w:val="center"/>
            <w:hideMark/>
          </w:tcPr>
          <w:p w14:paraId="59428E6E" w14:textId="77777777" w:rsidR="00DC054E" w:rsidRPr="00C10739" w:rsidRDefault="00DC054E" w:rsidP="00340A59">
            <w:pPr>
              <w:keepNext/>
              <w:spacing w:before="0" w:line="240" w:lineRule="auto"/>
              <w:ind w:firstLine="0"/>
              <w:jc w:val="center"/>
              <w:rPr>
                <w:rFonts w:ascii="Arial Narrow" w:hAnsi="Arial Narrow"/>
                <w:b/>
                <w:bCs/>
              </w:rPr>
            </w:pPr>
            <w:r w:rsidRPr="00C10739">
              <w:rPr>
                <w:rFonts w:ascii="Arial Narrow" w:hAnsi="Arial Narrow"/>
                <w:b/>
                <w:bCs/>
              </w:rPr>
              <w:t>Objective 4</w:t>
            </w:r>
          </w:p>
        </w:tc>
      </w:tr>
      <w:tr w:rsidR="00DC054E" w:rsidRPr="00C10739" w14:paraId="414601A8" w14:textId="77777777" w:rsidTr="00340A59">
        <w:tc>
          <w:tcPr>
            <w:tcW w:w="1112" w:type="pct"/>
            <w:tcBorders>
              <w:top w:val="nil"/>
              <w:left w:val="single" w:sz="4" w:space="0" w:color="auto"/>
              <w:bottom w:val="single" w:sz="4" w:space="0" w:color="auto"/>
              <w:right w:val="single" w:sz="4" w:space="0" w:color="auto"/>
            </w:tcBorders>
            <w:shd w:val="clear" w:color="000000" w:fill="FFFFFF"/>
            <w:hideMark/>
          </w:tcPr>
          <w:p w14:paraId="7B18772A" w14:textId="77777777" w:rsidR="00DC054E" w:rsidRPr="00C10739" w:rsidRDefault="00DC054E" w:rsidP="00D0245F">
            <w:pPr>
              <w:spacing w:before="0" w:line="240" w:lineRule="auto"/>
              <w:ind w:firstLine="0"/>
              <w:jc w:val="left"/>
              <w:rPr>
                <w:rFonts w:ascii="Arial Narrow" w:hAnsi="Arial Narrow"/>
                <w:bCs/>
                <w:sz w:val="18"/>
              </w:rPr>
            </w:pPr>
            <w:r w:rsidRPr="00C10739">
              <w:rPr>
                <w:rFonts w:ascii="Arial Narrow" w:hAnsi="Arial Narrow"/>
                <w:bCs/>
                <w:sz w:val="18"/>
              </w:rPr>
              <w:t>Coordination: Foster international cooperation and agreement on telecommunication/ICT development issues</w:t>
            </w:r>
          </w:p>
        </w:tc>
        <w:tc>
          <w:tcPr>
            <w:tcW w:w="1397" w:type="pct"/>
            <w:tcBorders>
              <w:top w:val="nil"/>
              <w:left w:val="nil"/>
              <w:bottom w:val="single" w:sz="4" w:space="0" w:color="auto"/>
              <w:right w:val="single" w:sz="4" w:space="0" w:color="auto"/>
            </w:tcBorders>
            <w:shd w:val="clear" w:color="000000" w:fill="FFFFFF"/>
            <w:hideMark/>
          </w:tcPr>
          <w:p w14:paraId="74A088A1" w14:textId="77777777" w:rsidR="00DC054E" w:rsidRPr="00C10739" w:rsidRDefault="00DC054E" w:rsidP="00D0245F">
            <w:pPr>
              <w:spacing w:before="0" w:line="240" w:lineRule="auto"/>
              <w:ind w:firstLine="0"/>
              <w:jc w:val="left"/>
              <w:rPr>
                <w:rFonts w:ascii="Arial Narrow" w:hAnsi="Arial Narrow"/>
                <w:bCs/>
                <w:sz w:val="18"/>
              </w:rPr>
            </w:pPr>
            <w:r w:rsidRPr="00C10739">
              <w:rPr>
                <w:rFonts w:ascii="Arial Narrow" w:hAnsi="Arial Narrow"/>
                <w:bCs/>
                <w:sz w:val="18"/>
              </w:rPr>
              <w:t>Modern and secure telecommunication/ICT infrastructure: Foster the development of infrastructure and services, including building confidence and security in the use of telecommunications/ICTs.</w:t>
            </w:r>
          </w:p>
        </w:tc>
        <w:tc>
          <w:tcPr>
            <w:tcW w:w="1179" w:type="pct"/>
            <w:tcBorders>
              <w:top w:val="nil"/>
              <w:left w:val="nil"/>
              <w:bottom w:val="single" w:sz="4" w:space="0" w:color="auto"/>
              <w:right w:val="single" w:sz="4" w:space="0" w:color="auto"/>
            </w:tcBorders>
            <w:shd w:val="clear" w:color="000000" w:fill="FFFFFF"/>
            <w:hideMark/>
          </w:tcPr>
          <w:p w14:paraId="4DA68ACA" w14:textId="77777777" w:rsidR="00DC054E" w:rsidRPr="00C10739" w:rsidRDefault="00DC054E" w:rsidP="00D0245F">
            <w:pPr>
              <w:spacing w:before="0" w:line="240" w:lineRule="auto"/>
              <w:ind w:firstLine="0"/>
              <w:jc w:val="left"/>
              <w:rPr>
                <w:rFonts w:ascii="Arial Narrow" w:hAnsi="Arial Narrow"/>
                <w:bCs/>
                <w:sz w:val="18"/>
              </w:rPr>
            </w:pPr>
            <w:r w:rsidRPr="00C10739">
              <w:rPr>
                <w:rFonts w:ascii="Arial Narrow" w:hAnsi="Arial Narrow"/>
                <w:bCs/>
                <w:sz w:val="18"/>
              </w:rPr>
              <w:t>Enabling environment: Foster an enabling policy and regulatory environment conducive to sustainable telecommunication/ICT development.</w:t>
            </w:r>
          </w:p>
        </w:tc>
        <w:tc>
          <w:tcPr>
            <w:tcW w:w="1312" w:type="pct"/>
            <w:tcBorders>
              <w:top w:val="nil"/>
              <w:left w:val="nil"/>
              <w:bottom w:val="single" w:sz="4" w:space="0" w:color="auto"/>
              <w:right w:val="single" w:sz="4" w:space="0" w:color="auto"/>
            </w:tcBorders>
            <w:shd w:val="clear" w:color="000000" w:fill="FFFFFF"/>
            <w:hideMark/>
          </w:tcPr>
          <w:p w14:paraId="09273C6E" w14:textId="77777777" w:rsidR="00DC054E" w:rsidRPr="00C10739" w:rsidRDefault="00DC054E" w:rsidP="00D0245F">
            <w:pPr>
              <w:spacing w:before="0" w:line="240" w:lineRule="auto"/>
              <w:ind w:firstLine="0"/>
              <w:jc w:val="left"/>
              <w:rPr>
                <w:rFonts w:ascii="Arial Narrow" w:hAnsi="Arial Narrow"/>
                <w:bCs/>
                <w:sz w:val="18"/>
              </w:rPr>
            </w:pPr>
            <w:r w:rsidRPr="00C10739">
              <w:rPr>
                <w:rFonts w:ascii="Arial Narrow" w:hAnsi="Arial Narrow"/>
                <w:bCs/>
                <w:sz w:val="18"/>
              </w:rPr>
              <w:t>Inclusive digital society: Foster the development and use of telecommunications/ICTs and applications to empower people and societies for sustainable development</w:t>
            </w:r>
          </w:p>
        </w:tc>
      </w:tr>
    </w:tbl>
    <w:p w14:paraId="35BA5EA0" w14:textId="77777777" w:rsidR="00DA6180" w:rsidRDefault="002D71E6" w:rsidP="00B4431B">
      <w:pPr>
        <w:pStyle w:val="testobase"/>
      </w:pPr>
      <w:r>
        <w:t xml:space="preserve">Like </w:t>
      </w:r>
      <w:r w:rsidR="003D5C59">
        <w:t>the preceding Plan</w:t>
      </w:r>
      <w:r>
        <w:t>, a</w:t>
      </w:r>
      <w:r w:rsidR="00936652">
        <w:t>lso the B</w:t>
      </w:r>
      <w:r w:rsidR="004E1434">
        <w:t>a</w:t>
      </w:r>
      <w:r w:rsidR="00936652">
        <w:t>AP</w:t>
      </w:r>
      <w:r w:rsidR="00DC054E" w:rsidRPr="00C10739">
        <w:t xml:space="preserve"> follows a results-based structure, in which outcomes</w:t>
      </w:r>
      <w:r>
        <w:t xml:space="preserve"> </w:t>
      </w:r>
      <w:r w:rsidR="00DC054E" w:rsidRPr="00C10739">
        <w:t>are identified for the objectives. For each of the objectives, the following information is provided: 1. title of the objective; 2. outcome and related performance indicators; 3. outputs and related</w:t>
      </w:r>
      <w:r w:rsidR="00886AA0">
        <w:t xml:space="preserve"> activities</w:t>
      </w:r>
      <w:r>
        <w:t>,</w:t>
      </w:r>
      <w:r w:rsidR="00DC054E" w:rsidRPr="00C10739">
        <w:t xml:space="preserve"> including Programmes, Regional initiatives; Study Group Questions; References to relevant PP resolutions, WTDC resolutions and recommendations, World Summit on the Information Society (WSIS) action lines and Sustainable Development Goals (SDG) and targets</w:t>
      </w:r>
      <w:r>
        <w:t>.</w:t>
      </w:r>
      <w:r w:rsidR="00886AA0">
        <w:t xml:space="preserve"> </w:t>
      </w:r>
    </w:p>
    <w:p w14:paraId="49CCFCBC" w14:textId="77777777" w:rsidR="00DA6180" w:rsidRDefault="0005361B" w:rsidP="00B4431B">
      <w:pPr>
        <w:pStyle w:val="testobase"/>
      </w:pPr>
      <w:r w:rsidRPr="006B328C">
        <w:t xml:space="preserve">These </w:t>
      </w:r>
      <w:r w:rsidR="00DA6180" w:rsidRPr="006B328C">
        <w:t xml:space="preserve">objectives </w:t>
      </w:r>
      <w:r w:rsidRPr="006B328C">
        <w:t xml:space="preserve">are mirrored </w:t>
      </w:r>
      <w:r w:rsidR="00DA6180" w:rsidRPr="006B328C">
        <w:t>in the ITU-D Strategic and Operational Plans.</w:t>
      </w:r>
      <w:r w:rsidR="00DA6180">
        <w:t xml:space="preserve"> A summary of the </w:t>
      </w:r>
      <w:r>
        <w:t xml:space="preserve">general </w:t>
      </w:r>
      <w:r w:rsidR="00DA6180">
        <w:t xml:space="preserve">results achieved on the overall implementation of the objectives </w:t>
      </w:r>
      <w:r>
        <w:t xml:space="preserve">of </w:t>
      </w:r>
      <w:r w:rsidR="00DA6180">
        <w:t xml:space="preserve">the ITU-D Plans is regularly set </w:t>
      </w:r>
      <w:r w:rsidR="0022118C">
        <w:t>out</w:t>
      </w:r>
      <w:r w:rsidR="00DA6180">
        <w:t xml:space="preserve"> in the </w:t>
      </w:r>
      <w:r>
        <w:t xml:space="preserve">quarterly </w:t>
      </w:r>
      <w:r w:rsidR="00DA6180">
        <w:t>Implementation Reports, which also provide an overview of the budgetary performance for the period considered.</w:t>
      </w:r>
    </w:p>
    <w:p w14:paraId="5808A59E" w14:textId="77777777" w:rsidR="003B3ED9" w:rsidRPr="00C10739" w:rsidRDefault="00886AA0" w:rsidP="003B3ED9">
      <w:pPr>
        <w:pStyle w:val="Heading2"/>
      </w:pPr>
      <w:r>
        <w:t xml:space="preserve"> </w:t>
      </w:r>
      <w:bookmarkStart w:id="18" w:name="_Toc526772245"/>
      <w:r w:rsidR="00284158">
        <w:t xml:space="preserve">Initiatives to </w:t>
      </w:r>
      <w:r w:rsidR="003B3ED9">
        <w:t xml:space="preserve">implement the Dubai </w:t>
      </w:r>
      <w:r w:rsidR="00DC054E">
        <w:t xml:space="preserve">and Buenos Aires </w:t>
      </w:r>
      <w:r w:rsidR="003B3ED9">
        <w:t>Action Plan</w:t>
      </w:r>
      <w:r w:rsidR="00E829AC">
        <w:t>s</w:t>
      </w:r>
      <w:r w:rsidR="003B3ED9">
        <w:t xml:space="preserve"> in the Americas Region</w:t>
      </w:r>
      <w:bookmarkEnd w:id="18"/>
    </w:p>
    <w:p w14:paraId="5EC678C3" w14:textId="77777777" w:rsidR="00632BAF" w:rsidRDefault="00632BAF" w:rsidP="00B4431B">
      <w:pPr>
        <w:pStyle w:val="testobase"/>
      </w:pPr>
      <w:r>
        <w:t>I</w:t>
      </w:r>
      <w:r w:rsidR="0020743B">
        <w:t xml:space="preserve">nitiatives are </w:t>
      </w:r>
      <w:r w:rsidR="0005361B">
        <w:t>identified</w:t>
      </w:r>
      <w:r w:rsidR="0020743B">
        <w:t xml:space="preserve"> </w:t>
      </w:r>
      <w:r w:rsidR="0022118C">
        <w:t>in</w:t>
      </w:r>
      <w:r w:rsidR="0020743B">
        <w:t xml:space="preserve"> each Action Plan per development region. They </w:t>
      </w:r>
      <w:r w:rsidR="00D67D2B">
        <w:t xml:space="preserve">may </w:t>
      </w:r>
      <w:r w:rsidR="0020743B">
        <w:t xml:space="preserve">vary over time, based on </w:t>
      </w:r>
      <w:r w:rsidR="00BD797F">
        <w:t>emerging needs</w:t>
      </w:r>
      <w:r w:rsidR="0005361B">
        <w:t>. The regional preparatory meetings (RPM</w:t>
      </w:r>
      <w:r w:rsidR="0022118C">
        <w:t>s</w:t>
      </w:r>
      <w:r w:rsidR="0005361B">
        <w:t xml:space="preserve">), </w:t>
      </w:r>
      <w:r w:rsidR="003107CE">
        <w:t xml:space="preserve">organized by </w:t>
      </w:r>
      <w:r w:rsidR="004E1434">
        <w:t xml:space="preserve">BDT </w:t>
      </w:r>
      <w:r w:rsidR="0005361B">
        <w:t xml:space="preserve">before </w:t>
      </w:r>
      <w:r>
        <w:t xml:space="preserve">each </w:t>
      </w:r>
      <w:r w:rsidR="0005361B">
        <w:t>conference, contribute towards identifying priority issues at the regional level</w:t>
      </w:r>
      <w:r w:rsidR="003107CE">
        <w:t xml:space="preserve"> and serve as a basis for </w:t>
      </w:r>
      <w:r w:rsidR="00E829AC">
        <w:t>W</w:t>
      </w:r>
      <w:r w:rsidR="004E1434">
        <w:t>TDC</w:t>
      </w:r>
      <w:r w:rsidR="003107CE">
        <w:t xml:space="preserve"> decisions</w:t>
      </w:r>
      <w:r w:rsidR="0005361B">
        <w:t xml:space="preserve">. </w:t>
      </w:r>
    </w:p>
    <w:p w14:paraId="7F13ACEC" w14:textId="77777777" w:rsidR="00F1122E" w:rsidRPr="00C10739" w:rsidRDefault="00F1122E" w:rsidP="00B4431B">
      <w:pPr>
        <w:pStyle w:val="testobase"/>
      </w:pPr>
      <w:r w:rsidRPr="00C10739">
        <w:t>The Dubai Action Plan has identified the following five initiatives</w:t>
      </w:r>
      <w:r w:rsidR="003107CE">
        <w:t xml:space="preserve"> </w:t>
      </w:r>
      <w:r w:rsidR="003107CE" w:rsidRPr="00C10739">
        <w:t>for the Americas Region</w:t>
      </w:r>
      <w:r w:rsidRPr="00C10739">
        <w:t>:</w:t>
      </w:r>
    </w:p>
    <w:p w14:paraId="30DDE301" w14:textId="77777777" w:rsidR="00F1122E" w:rsidRPr="00C10739" w:rsidRDefault="00F1122E" w:rsidP="00B4431B">
      <w:pPr>
        <w:pStyle w:val="elencopuntato"/>
      </w:pPr>
      <w:r w:rsidRPr="00C10739">
        <w:t>AMS1 Emergency telecommunications</w:t>
      </w:r>
    </w:p>
    <w:p w14:paraId="4B5A6E36" w14:textId="77777777" w:rsidR="00F1122E" w:rsidRPr="00C10739" w:rsidRDefault="00F1122E" w:rsidP="00B4431B">
      <w:pPr>
        <w:pStyle w:val="elencopuntato"/>
      </w:pPr>
      <w:r w:rsidRPr="00C10739">
        <w:t>AMS2 Spectrum management and transition to digital broadcasting</w:t>
      </w:r>
    </w:p>
    <w:p w14:paraId="6742E714" w14:textId="77777777" w:rsidR="00F1122E" w:rsidRPr="00C10739" w:rsidRDefault="00F1122E" w:rsidP="00B4431B">
      <w:pPr>
        <w:pStyle w:val="elencopuntato"/>
      </w:pPr>
      <w:r w:rsidRPr="00C10739">
        <w:t>AMS3 Development of broadband access and adoption of broadband</w:t>
      </w:r>
    </w:p>
    <w:p w14:paraId="0CA7E5D3" w14:textId="77777777" w:rsidR="00F1122E" w:rsidRPr="00C10739" w:rsidRDefault="00F1122E" w:rsidP="00B4431B">
      <w:pPr>
        <w:pStyle w:val="elencopuntato"/>
      </w:pPr>
      <w:r w:rsidRPr="00C10739">
        <w:t>AMS4 Reduction of telecommunication service prices and internet acces</w:t>
      </w:r>
      <w:r w:rsidR="00342E34">
        <w:t>s</w:t>
      </w:r>
      <w:r w:rsidRPr="00C10739">
        <w:t xml:space="preserve"> costs</w:t>
      </w:r>
    </w:p>
    <w:p w14:paraId="20289749" w14:textId="77777777" w:rsidR="00F1122E" w:rsidRDefault="00F1122E" w:rsidP="00B4431B">
      <w:pPr>
        <w:pStyle w:val="elencopuntato"/>
      </w:pPr>
      <w:r w:rsidRPr="00C10739">
        <w:t>AMS5 Capacity building to engage in global ICT policy, with special focus on improving cybersecurity and developing countries’ participation in the existing internet governance institutions.</w:t>
      </w:r>
    </w:p>
    <w:p w14:paraId="504097DF" w14:textId="77777777" w:rsidR="008D7CA0" w:rsidRPr="00C10739" w:rsidRDefault="008D7CA0" w:rsidP="00B4431B">
      <w:pPr>
        <w:pStyle w:val="testobase"/>
      </w:pPr>
      <w:r w:rsidRPr="00C10739">
        <w:t>The Buenos Aires Action Plan has identified the following five initiatives</w:t>
      </w:r>
      <w:r w:rsidR="003107CE">
        <w:t xml:space="preserve"> </w:t>
      </w:r>
      <w:r w:rsidR="003107CE" w:rsidRPr="00C10739">
        <w:t>for the Americas Region</w:t>
      </w:r>
      <w:r w:rsidRPr="00C10739">
        <w:t>:</w:t>
      </w:r>
    </w:p>
    <w:p w14:paraId="590F235F" w14:textId="77777777" w:rsidR="008D7CA0" w:rsidRPr="00C10739" w:rsidRDefault="008D7CA0" w:rsidP="00B4431B">
      <w:pPr>
        <w:pStyle w:val="elencopuntato"/>
      </w:pPr>
      <w:r w:rsidRPr="00C10739">
        <w:t>AMS1 Disaster risk reduction and management communications</w:t>
      </w:r>
    </w:p>
    <w:p w14:paraId="34CCD9CA" w14:textId="77777777" w:rsidR="008D7CA0" w:rsidRPr="00C10739" w:rsidRDefault="008D7CA0" w:rsidP="00B4431B">
      <w:pPr>
        <w:pStyle w:val="elencopuntato"/>
      </w:pPr>
      <w:r w:rsidRPr="00C10739">
        <w:t>AMS2 Spectrum management and transition to digital broadcasting</w:t>
      </w:r>
    </w:p>
    <w:p w14:paraId="31CBF1E6" w14:textId="77777777" w:rsidR="008D7CA0" w:rsidRPr="00C10739" w:rsidRDefault="008D7CA0" w:rsidP="00B4431B">
      <w:pPr>
        <w:pStyle w:val="elencopuntato"/>
      </w:pPr>
      <w:r w:rsidRPr="00C10739">
        <w:t>AMS3 Deployment of broadband infrastructure, especially in rural and neglected areas, and strengthening of broadband access to services and applications</w:t>
      </w:r>
    </w:p>
    <w:p w14:paraId="780BE463" w14:textId="77777777" w:rsidR="008D7CA0" w:rsidRPr="00C10739" w:rsidRDefault="008D7CA0" w:rsidP="00B4431B">
      <w:pPr>
        <w:pStyle w:val="elencopuntato"/>
      </w:pPr>
      <w:r w:rsidRPr="00C10739">
        <w:t>AMS4 Accessibility and affordability for an inclusive and sustainable Americas region</w:t>
      </w:r>
    </w:p>
    <w:p w14:paraId="7B459004" w14:textId="77777777" w:rsidR="008D7CA0" w:rsidRDefault="008D7CA0" w:rsidP="00B4431B">
      <w:pPr>
        <w:pStyle w:val="elencopuntato"/>
      </w:pPr>
      <w:r w:rsidRPr="00C10739">
        <w:t>AMS5 Development of the digital economy, smart cities and communities and the Internet of things, promoting innovation.</w:t>
      </w:r>
    </w:p>
    <w:p w14:paraId="36B2D294" w14:textId="77777777" w:rsidR="00E170E6" w:rsidRDefault="00E170E6" w:rsidP="00E170E6">
      <w:pPr>
        <w:pStyle w:val="testobase"/>
      </w:pPr>
      <w:r>
        <w:t xml:space="preserve">An objective and a list of results are associated </w:t>
      </w:r>
      <w:r w:rsidR="0022118C">
        <w:t>with</w:t>
      </w:r>
      <w:r>
        <w:t xml:space="preserve"> each initiative.</w:t>
      </w:r>
    </w:p>
    <w:p w14:paraId="05454B9D" w14:textId="77777777" w:rsidR="00E170E6" w:rsidRDefault="00E170E6" w:rsidP="00E170E6">
      <w:pPr>
        <w:pStyle w:val="elencopuntato"/>
        <w:numPr>
          <w:ilvl w:val="0"/>
          <w:numId w:val="0"/>
        </w:numPr>
        <w:ind w:left="851"/>
      </w:pPr>
    </w:p>
    <w:p w14:paraId="4E728353" w14:textId="77777777" w:rsidR="003B3ED9" w:rsidRPr="00C10739" w:rsidRDefault="00284158" w:rsidP="003B3ED9">
      <w:pPr>
        <w:pStyle w:val="Heading2"/>
      </w:pPr>
      <w:bookmarkStart w:id="19" w:name="_Toc526772246"/>
      <w:r>
        <w:t xml:space="preserve">Initiatives to </w:t>
      </w:r>
      <w:r w:rsidR="003B3ED9">
        <w:t>implement</w:t>
      </w:r>
      <w:r w:rsidR="00D67D2B">
        <w:t xml:space="preserve"> </w:t>
      </w:r>
      <w:r w:rsidR="003B3ED9">
        <w:t xml:space="preserve">the Dubai </w:t>
      </w:r>
      <w:r w:rsidR="00DC054E">
        <w:t xml:space="preserve">and Buenos Aires </w:t>
      </w:r>
      <w:r w:rsidR="003B3ED9">
        <w:t>Action Plan</w:t>
      </w:r>
      <w:r w:rsidR="00E829AC">
        <w:t>s</w:t>
      </w:r>
      <w:r w:rsidR="003B3ED9">
        <w:t xml:space="preserve"> in the Africa Region</w:t>
      </w:r>
      <w:bookmarkEnd w:id="19"/>
    </w:p>
    <w:p w14:paraId="1A24F753" w14:textId="77777777" w:rsidR="003B3ED9" w:rsidRPr="00C10739" w:rsidRDefault="003B3ED9" w:rsidP="00B4431B">
      <w:pPr>
        <w:pStyle w:val="testobase"/>
      </w:pPr>
      <w:r w:rsidRPr="00C10739">
        <w:t xml:space="preserve">The Dubai Action Plan </w:t>
      </w:r>
      <w:r w:rsidRPr="00CB0B10">
        <w:t>identifie</w:t>
      </w:r>
      <w:r w:rsidR="0022118C">
        <w:t>s</w:t>
      </w:r>
      <w:r w:rsidRPr="00CB0B10">
        <w:t xml:space="preserve"> the</w:t>
      </w:r>
      <w:r w:rsidRPr="00C10739">
        <w:t xml:space="preserve"> following five initiatives</w:t>
      </w:r>
      <w:r w:rsidR="003107CE">
        <w:t xml:space="preserve"> </w:t>
      </w:r>
      <w:r w:rsidR="003107CE" w:rsidRPr="00CB0B10">
        <w:t>for the Africa Region</w:t>
      </w:r>
      <w:r w:rsidRPr="00C10739">
        <w:t>:</w:t>
      </w:r>
    </w:p>
    <w:p w14:paraId="1730DB69" w14:textId="77777777" w:rsidR="003B3ED9" w:rsidRPr="00CB0B10" w:rsidRDefault="003B3ED9" w:rsidP="00B4431B">
      <w:pPr>
        <w:pStyle w:val="elencopuntato"/>
      </w:pPr>
      <w:r w:rsidRPr="00CB0B10">
        <w:t>A</w:t>
      </w:r>
      <w:r w:rsidR="00342E34" w:rsidRPr="00CB0B10">
        <w:t>FR</w:t>
      </w:r>
      <w:r w:rsidRPr="00CB0B10">
        <w:t xml:space="preserve">1 </w:t>
      </w:r>
      <w:r w:rsidR="00342E34" w:rsidRPr="00CB0B10">
        <w:t>Strengthening human and institutional capacity building</w:t>
      </w:r>
    </w:p>
    <w:p w14:paraId="485DFDB9" w14:textId="77777777" w:rsidR="003B3ED9" w:rsidRPr="00CB0B10" w:rsidRDefault="003B3ED9" w:rsidP="00B4431B">
      <w:pPr>
        <w:pStyle w:val="elencopuntato"/>
      </w:pPr>
      <w:r w:rsidRPr="00CB0B10">
        <w:t>A</w:t>
      </w:r>
      <w:r w:rsidR="00342E34" w:rsidRPr="00CB0B10">
        <w:t>FR</w:t>
      </w:r>
      <w:r w:rsidRPr="00CB0B10">
        <w:t xml:space="preserve">2 </w:t>
      </w:r>
      <w:r w:rsidR="00342E34" w:rsidRPr="00CB0B10">
        <w:t>Strengthening and harmonizing policy and regulatory frameworks for the integration of African telecommunication/ICT markets</w:t>
      </w:r>
    </w:p>
    <w:p w14:paraId="58DB6CFC" w14:textId="77777777" w:rsidR="003B3ED9" w:rsidRPr="00CB0B10" w:rsidRDefault="00342E34" w:rsidP="00B4431B">
      <w:pPr>
        <w:pStyle w:val="elencopuntato"/>
      </w:pPr>
      <w:r w:rsidRPr="00CB0B10">
        <w:t>AFR3</w:t>
      </w:r>
      <w:r w:rsidR="003B3ED9" w:rsidRPr="00CB0B10">
        <w:t xml:space="preserve"> Development of broadband access and adoption of broadband</w:t>
      </w:r>
    </w:p>
    <w:p w14:paraId="74F0E406" w14:textId="77777777" w:rsidR="003B3ED9" w:rsidRPr="00CB0B10" w:rsidRDefault="003B3ED9" w:rsidP="00B4431B">
      <w:pPr>
        <w:pStyle w:val="elencopuntato"/>
      </w:pPr>
      <w:r w:rsidRPr="00CB0B10">
        <w:t>A</w:t>
      </w:r>
      <w:r w:rsidR="00342E34" w:rsidRPr="00CB0B10">
        <w:t>FR</w:t>
      </w:r>
      <w:r w:rsidRPr="00CB0B10">
        <w:t xml:space="preserve">4 </w:t>
      </w:r>
      <w:r w:rsidR="00342E34" w:rsidRPr="00CB0B10">
        <w:t>Spectrum management and transition to digital broadcasting</w:t>
      </w:r>
    </w:p>
    <w:p w14:paraId="5868AA45" w14:textId="77777777" w:rsidR="003B3ED9" w:rsidRDefault="003B3ED9" w:rsidP="00B4431B">
      <w:pPr>
        <w:pStyle w:val="elencopuntato"/>
      </w:pPr>
      <w:r w:rsidRPr="00CB0B10">
        <w:t>A</w:t>
      </w:r>
      <w:r w:rsidR="00342E34" w:rsidRPr="00CB0B10">
        <w:t>FR5</w:t>
      </w:r>
      <w:r w:rsidRPr="00CB0B10">
        <w:t xml:space="preserve"> </w:t>
      </w:r>
      <w:r w:rsidR="00342E34" w:rsidRPr="00CB0B10">
        <w:t>B</w:t>
      </w:r>
      <w:r w:rsidRPr="00CB0B10">
        <w:t xml:space="preserve">uilding </w:t>
      </w:r>
      <w:r w:rsidR="00342E34" w:rsidRPr="00CB0B10">
        <w:t>confidence and security in the use of telecommunications/ICTs</w:t>
      </w:r>
    </w:p>
    <w:p w14:paraId="42590F14" w14:textId="77777777" w:rsidR="00CB0B10" w:rsidRDefault="00CB0B10" w:rsidP="00B4431B">
      <w:pPr>
        <w:pStyle w:val="testobase"/>
      </w:pPr>
      <w:r>
        <w:t>The Buenos Aires action plan identifie</w:t>
      </w:r>
      <w:r w:rsidR="0022118C">
        <w:t>s</w:t>
      </w:r>
      <w:r>
        <w:t xml:space="preserve"> the following five initiatives</w:t>
      </w:r>
      <w:r w:rsidR="003107CE">
        <w:t xml:space="preserve"> for the Africa Region</w:t>
      </w:r>
      <w:r>
        <w:t>:</w:t>
      </w:r>
    </w:p>
    <w:p w14:paraId="6DA44F53" w14:textId="77777777" w:rsidR="00CB0B10" w:rsidRDefault="008820C3" w:rsidP="00DC67BF">
      <w:pPr>
        <w:pStyle w:val="elencopuntato"/>
      </w:pPr>
      <w:r>
        <w:t>AFR1 Building digital economies and fostering innovation in Africa</w:t>
      </w:r>
    </w:p>
    <w:p w14:paraId="538413EB" w14:textId="77777777" w:rsidR="008820C3" w:rsidRDefault="008820C3" w:rsidP="00DC67BF">
      <w:pPr>
        <w:pStyle w:val="elencopuntato"/>
      </w:pPr>
      <w:r>
        <w:t>AFR2 Promotion of emerging broadband technologies</w:t>
      </w:r>
    </w:p>
    <w:p w14:paraId="0CFD0673" w14:textId="77777777" w:rsidR="008820C3" w:rsidRDefault="008820C3" w:rsidP="00DC67BF">
      <w:pPr>
        <w:pStyle w:val="elencopuntato"/>
      </w:pPr>
      <w:r>
        <w:t>AFR3 Building trust and security in the use of telecommunications/information and communication technology</w:t>
      </w:r>
    </w:p>
    <w:p w14:paraId="61ED28B7" w14:textId="77777777" w:rsidR="008820C3" w:rsidRDefault="008820C3" w:rsidP="00DC67BF">
      <w:pPr>
        <w:pStyle w:val="elencopuntato"/>
      </w:pPr>
      <w:r>
        <w:t>AFR4 Strengthening human and institutional capacity building</w:t>
      </w:r>
    </w:p>
    <w:p w14:paraId="623FE47F" w14:textId="77777777" w:rsidR="008820C3" w:rsidRDefault="008820C3" w:rsidP="00DC67BF">
      <w:pPr>
        <w:pStyle w:val="elencopuntato"/>
      </w:pPr>
      <w:r>
        <w:t xml:space="preserve">AFR5 Management and monitoring of the radio-frequency spectrum and transition to digital broadcasting. </w:t>
      </w:r>
    </w:p>
    <w:p w14:paraId="482DCB2E" w14:textId="77777777" w:rsidR="00E170E6" w:rsidRDefault="00E170E6" w:rsidP="00E170E6">
      <w:pPr>
        <w:pStyle w:val="testobase"/>
      </w:pPr>
      <w:r>
        <w:t xml:space="preserve">An objective and a list of results are associated </w:t>
      </w:r>
      <w:r w:rsidR="0022118C">
        <w:t>with</w:t>
      </w:r>
      <w:r>
        <w:t xml:space="preserve"> each initiative.</w:t>
      </w:r>
    </w:p>
    <w:p w14:paraId="1FD884E5" w14:textId="77777777" w:rsidR="00E170E6" w:rsidRPr="00CB0B10" w:rsidRDefault="00E170E6" w:rsidP="00E170E6">
      <w:pPr>
        <w:pStyle w:val="elencopuntato"/>
        <w:numPr>
          <w:ilvl w:val="0"/>
          <w:numId w:val="0"/>
        </w:numPr>
        <w:ind w:left="851"/>
      </w:pPr>
    </w:p>
    <w:p w14:paraId="506F0F38" w14:textId="77777777" w:rsidR="001149F6" w:rsidRPr="00C10739" w:rsidRDefault="001149F6" w:rsidP="004C5575">
      <w:pPr>
        <w:rPr>
          <w:highlight w:val="yellow"/>
        </w:rPr>
        <w:sectPr w:rsidR="001149F6" w:rsidRPr="00C10739" w:rsidSect="00E51763">
          <w:footerReference w:type="default" r:id="rId19"/>
          <w:pgSz w:w="12242" w:h="15842" w:code="1"/>
          <w:pgMar w:top="1418" w:right="1701" w:bottom="1418" w:left="1701" w:header="708" w:footer="708" w:gutter="0"/>
          <w:cols w:space="708"/>
          <w:docGrid w:linePitch="360"/>
        </w:sectPr>
      </w:pPr>
    </w:p>
    <w:p w14:paraId="4FA7C2DD" w14:textId="77777777" w:rsidR="00B94585" w:rsidRPr="00C10739" w:rsidRDefault="003E7CE1" w:rsidP="00C84A2A">
      <w:pPr>
        <w:pStyle w:val="Heading1"/>
      </w:pPr>
      <w:bookmarkStart w:id="20" w:name="_Toc526772247"/>
      <w:r w:rsidRPr="00C10739">
        <w:t xml:space="preserve">Audit </w:t>
      </w:r>
      <w:r w:rsidR="00B12B52" w:rsidRPr="00C10739">
        <w:t>scope and approach</w:t>
      </w:r>
      <w:bookmarkEnd w:id="20"/>
    </w:p>
    <w:p w14:paraId="71EB8B39" w14:textId="77777777" w:rsidR="00B12B52" w:rsidRPr="00C10739" w:rsidRDefault="00B12B52" w:rsidP="00B12B52">
      <w:pPr>
        <w:pStyle w:val="Heading2"/>
      </w:pPr>
      <w:bookmarkStart w:id="21" w:name="_Toc526772248"/>
      <w:r w:rsidRPr="00C10739">
        <w:t>Audit objectives</w:t>
      </w:r>
      <w:bookmarkEnd w:id="21"/>
    </w:p>
    <w:p w14:paraId="7448FBF8" w14:textId="77777777" w:rsidR="0079051C" w:rsidRDefault="00C3151B" w:rsidP="00B4431B">
      <w:pPr>
        <w:pStyle w:val="testobase"/>
      </w:pPr>
      <w:r>
        <w:t xml:space="preserve">According to PP Resolution 25 (Rev. Busan, 2014), </w:t>
      </w:r>
      <w:r w:rsidR="00FC2B0F">
        <w:t>f</w:t>
      </w:r>
      <w:r w:rsidR="00397B6B">
        <w:t xml:space="preserve">ield offices </w:t>
      </w:r>
      <w:r w:rsidR="003D5C59">
        <w:t>play</w:t>
      </w:r>
      <w:r w:rsidR="00397B6B">
        <w:t xml:space="preserve"> an essential </w:t>
      </w:r>
      <w:r w:rsidR="003D5C59">
        <w:t>role</w:t>
      </w:r>
      <w:r w:rsidR="00397B6B">
        <w:t xml:space="preserve"> </w:t>
      </w:r>
      <w:r w:rsidR="003D5C59">
        <w:t>in</w:t>
      </w:r>
      <w:r w:rsidR="00397B6B">
        <w:t xml:space="preserve"> </w:t>
      </w:r>
      <w:r w:rsidR="003D5C59">
        <w:t>implement</w:t>
      </w:r>
      <w:r w:rsidR="00F9620E">
        <w:t>ing</w:t>
      </w:r>
      <w:r w:rsidR="003D5C59">
        <w:t xml:space="preserve"> the </w:t>
      </w:r>
      <w:r w:rsidR="00397B6B">
        <w:t>objective of strengthening the ITU</w:t>
      </w:r>
      <w:r w:rsidR="00F9620E">
        <w:t>’s</w:t>
      </w:r>
      <w:r w:rsidR="00397B6B">
        <w:t xml:space="preserve"> regional presence.</w:t>
      </w:r>
      <w:r w:rsidR="00DB586D">
        <w:t xml:space="preserve"> </w:t>
      </w:r>
      <w:r>
        <w:t>T</w:t>
      </w:r>
      <w:r w:rsidR="00DB586D">
        <w:t xml:space="preserve">he main </w:t>
      </w:r>
      <w:r w:rsidR="00A97FD7">
        <w:t xml:space="preserve">responsibilities </w:t>
      </w:r>
      <w:r w:rsidR="00DB586D">
        <w:t xml:space="preserve">of </w:t>
      </w:r>
      <w:r w:rsidR="00397B6B">
        <w:t>th</w:t>
      </w:r>
      <w:r w:rsidR="00F520FA">
        <w:t>e decentralized o</w:t>
      </w:r>
      <w:r w:rsidR="0079051C">
        <w:t xml:space="preserve">ffices </w:t>
      </w:r>
      <w:r w:rsidR="00A97FD7">
        <w:t xml:space="preserve">include </w:t>
      </w:r>
      <w:r w:rsidR="00611874">
        <w:t>work</w:t>
      </w:r>
      <w:r w:rsidR="00A97FD7">
        <w:t>ing</w:t>
      </w:r>
      <w:r w:rsidR="00611874">
        <w:t xml:space="preserve"> as closely as possible with Member States, </w:t>
      </w:r>
      <w:r w:rsidR="00FC2B0F">
        <w:t xml:space="preserve">serving as a channel for </w:t>
      </w:r>
      <w:r w:rsidR="00611874">
        <w:t>disseminat</w:t>
      </w:r>
      <w:r w:rsidR="000B4418">
        <w:t>ing</w:t>
      </w:r>
      <w:r w:rsidR="00611874">
        <w:t xml:space="preserve"> information on ITU activities, develop</w:t>
      </w:r>
      <w:r w:rsidR="000B4418">
        <w:t>ing</w:t>
      </w:r>
      <w:r w:rsidR="00611874">
        <w:t xml:space="preserve"> closer ties with regional and sub</w:t>
      </w:r>
      <w:r w:rsidR="00D278BA">
        <w:t>-</w:t>
      </w:r>
      <w:r w:rsidR="00611874">
        <w:t>regional org</w:t>
      </w:r>
      <w:r w:rsidR="00D278BA">
        <w:t>a</w:t>
      </w:r>
      <w:r w:rsidR="000B4418">
        <w:t>nizations and</w:t>
      </w:r>
      <w:r w:rsidR="00D278BA">
        <w:t xml:space="preserve"> </w:t>
      </w:r>
      <w:r w:rsidR="00611874">
        <w:t>provid</w:t>
      </w:r>
      <w:r w:rsidR="000B4418">
        <w:t>ing</w:t>
      </w:r>
      <w:r w:rsidR="00611874">
        <w:t xml:space="preserve"> technical assistance to countries in special need. </w:t>
      </w:r>
    </w:p>
    <w:p w14:paraId="2EF75973" w14:textId="77777777" w:rsidR="0079051C" w:rsidRDefault="00FC2B0F" w:rsidP="00B4431B">
      <w:pPr>
        <w:pStyle w:val="testobase"/>
      </w:pPr>
      <w:r>
        <w:t>I</w:t>
      </w:r>
      <w:r w:rsidR="000B4418">
        <w:t>n the light of the principle of results-based management</w:t>
      </w:r>
      <w:r w:rsidR="00C3151B">
        <w:t>,</w:t>
      </w:r>
      <w:r w:rsidR="000B4418">
        <w:t xml:space="preserve"> </w:t>
      </w:r>
      <w:r w:rsidR="00C3151B">
        <w:t>which is</w:t>
      </w:r>
      <w:r w:rsidR="000B4418">
        <w:t xml:space="preserve"> to be applied to a</w:t>
      </w:r>
      <w:r w:rsidR="00F9620E">
        <w:t>ll</w:t>
      </w:r>
      <w:r w:rsidR="000B4418">
        <w:t xml:space="preserve"> UN operation</w:t>
      </w:r>
      <w:r w:rsidR="00F9620E">
        <w:t>s</w:t>
      </w:r>
      <w:r w:rsidR="000B4418">
        <w:t>, i</w:t>
      </w:r>
      <w:r w:rsidR="00397B6B">
        <w:t xml:space="preserve">t is crucial to assess whether the </w:t>
      </w:r>
      <w:r w:rsidR="00BA632C">
        <w:t xml:space="preserve">organization and functioning of </w:t>
      </w:r>
      <w:r w:rsidR="00F520FA">
        <w:t>field</w:t>
      </w:r>
      <w:r w:rsidR="00BA632C">
        <w:t xml:space="preserve"> offices is </w:t>
      </w:r>
      <w:r w:rsidR="00DB586D">
        <w:t xml:space="preserve">contributing </w:t>
      </w:r>
      <w:r w:rsidR="00397B6B">
        <w:t xml:space="preserve">substantively </w:t>
      </w:r>
      <w:r w:rsidR="00BA632C">
        <w:t>to</w:t>
      </w:r>
      <w:r w:rsidR="00F9620E">
        <w:t>wards</w:t>
      </w:r>
      <w:r w:rsidR="00BA632C">
        <w:t xml:space="preserve"> bringing ITU </w:t>
      </w:r>
      <w:r w:rsidR="00C3151B">
        <w:t xml:space="preserve">institutional </w:t>
      </w:r>
      <w:r w:rsidR="00BA632C">
        <w:t xml:space="preserve">activities closer to </w:t>
      </w:r>
      <w:r>
        <w:t>its membership.</w:t>
      </w:r>
    </w:p>
    <w:p w14:paraId="622F4A19" w14:textId="77777777" w:rsidR="0067007F" w:rsidRDefault="00AF1BDD" w:rsidP="00B4431B">
      <w:pPr>
        <w:pStyle w:val="testobase"/>
      </w:pPr>
      <w:r w:rsidRPr="0067007F">
        <w:t xml:space="preserve">During the audit in </w:t>
      </w:r>
      <w:r w:rsidR="008D3174" w:rsidRPr="0067007F">
        <w:t xml:space="preserve">Geneva </w:t>
      </w:r>
      <w:r w:rsidRPr="0067007F">
        <w:t xml:space="preserve">and the </w:t>
      </w:r>
      <w:r w:rsidR="008D3174" w:rsidRPr="0067007F">
        <w:t>ITU</w:t>
      </w:r>
      <w:r w:rsidRPr="0067007F">
        <w:t xml:space="preserve"> Regional Office</w:t>
      </w:r>
      <w:r w:rsidR="00397B6B">
        <w:t>s</w:t>
      </w:r>
      <w:r w:rsidRPr="0067007F">
        <w:t xml:space="preserve">, the Corte dei conti </w:t>
      </w:r>
      <w:r w:rsidR="00A33BB0">
        <w:t xml:space="preserve">ascertained whether action had been taken </w:t>
      </w:r>
      <w:r w:rsidR="00F9620E">
        <w:t>by</w:t>
      </w:r>
      <w:r w:rsidR="00CC63FC">
        <w:t xml:space="preserve"> Management: </w:t>
      </w:r>
      <w:r w:rsidR="00A33BB0">
        <w:t>(i) to determine specific objectives for ROs in connection with PP Resolution 25</w:t>
      </w:r>
      <w:r w:rsidR="00CC63FC">
        <w:t>,</w:t>
      </w:r>
      <w:r w:rsidR="00A33BB0">
        <w:t xml:space="preserve"> </w:t>
      </w:r>
      <w:r w:rsidR="00C3151B">
        <w:t xml:space="preserve">with a view to </w:t>
      </w:r>
      <w:r w:rsidR="00CC63FC">
        <w:t>measur</w:t>
      </w:r>
      <w:r w:rsidR="00C3151B">
        <w:t>ing</w:t>
      </w:r>
      <w:r w:rsidR="00CC63FC">
        <w:t xml:space="preserve"> how </w:t>
      </w:r>
      <w:r w:rsidR="00FC2B0F">
        <w:t xml:space="preserve">effectively and efficiently </w:t>
      </w:r>
      <w:r w:rsidR="00CC63FC">
        <w:t xml:space="preserve">they </w:t>
      </w:r>
      <w:r w:rsidR="00F9620E">
        <w:t xml:space="preserve">had </w:t>
      </w:r>
      <w:r w:rsidR="00CC63FC">
        <w:t>fulfil</w:t>
      </w:r>
      <w:r w:rsidR="00F9620E">
        <w:t>led</w:t>
      </w:r>
      <w:r w:rsidR="00CC63FC">
        <w:t xml:space="preserve"> their responsibilities </w:t>
      </w:r>
      <w:r w:rsidR="003D5C59">
        <w:t>and the progress made overtime</w:t>
      </w:r>
      <w:r w:rsidR="00A33BB0">
        <w:t xml:space="preserve">, and </w:t>
      </w:r>
      <w:r w:rsidR="0067007F">
        <w:t xml:space="preserve">(ii) </w:t>
      </w:r>
      <w:r w:rsidR="00CC63FC">
        <w:t xml:space="preserve">to introduce and implement </w:t>
      </w:r>
      <w:r w:rsidRPr="008F504B">
        <w:t>a</w:t>
      </w:r>
      <w:r w:rsidR="00936975" w:rsidRPr="008F504B">
        <w:t xml:space="preserve"> specific </w:t>
      </w:r>
      <w:r w:rsidRPr="008F504B">
        <w:t xml:space="preserve">ERM </w:t>
      </w:r>
      <w:r w:rsidR="00936975" w:rsidRPr="008F504B">
        <w:t xml:space="preserve">for </w:t>
      </w:r>
      <w:r w:rsidR="00BA632C" w:rsidRPr="008F504B">
        <w:t>the r</w:t>
      </w:r>
      <w:r w:rsidR="00936975" w:rsidRPr="008F504B">
        <w:t>egional presence</w:t>
      </w:r>
      <w:r w:rsidRPr="0067007F">
        <w:t>.</w:t>
      </w:r>
      <w:r w:rsidR="00F9620E">
        <w:t xml:space="preserve"> W</w:t>
      </w:r>
      <w:r w:rsidR="0067007F">
        <w:t xml:space="preserve">e </w:t>
      </w:r>
      <w:r w:rsidR="00F9620E">
        <w:t xml:space="preserve">also </w:t>
      </w:r>
      <w:r w:rsidR="0067007F">
        <w:t>examined the financial management</w:t>
      </w:r>
      <w:r w:rsidR="00CC63FC">
        <w:t xml:space="preserve"> </w:t>
      </w:r>
      <w:r w:rsidR="0067007F">
        <w:t xml:space="preserve">and </w:t>
      </w:r>
      <w:r w:rsidR="00CC63FC">
        <w:t xml:space="preserve">the </w:t>
      </w:r>
      <w:r w:rsidR="0067007F">
        <w:t xml:space="preserve">procurement </w:t>
      </w:r>
      <w:r w:rsidR="00CC63FC">
        <w:t xml:space="preserve">activities </w:t>
      </w:r>
      <w:r w:rsidR="0067007F">
        <w:t xml:space="preserve">carried out </w:t>
      </w:r>
      <w:r w:rsidR="00CC63FC">
        <w:t>in</w:t>
      </w:r>
      <w:r w:rsidR="0067007F">
        <w:t xml:space="preserve"> the Regional and Area Offices visited. </w:t>
      </w:r>
    </w:p>
    <w:p w14:paraId="4B3A7933" w14:textId="77777777" w:rsidR="00AF1BDD" w:rsidRDefault="0067007F" w:rsidP="00B4431B">
      <w:pPr>
        <w:pStyle w:val="testobase"/>
      </w:pPr>
      <w:r w:rsidRPr="0067007F">
        <w:t xml:space="preserve"> </w:t>
      </w:r>
      <w:bookmarkStart w:id="22" w:name="_Ref513877143"/>
      <w:r w:rsidR="00AF1BDD" w:rsidRPr="0067007F">
        <w:t>The audit focused on the following audit questions:</w:t>
      </w:r>
      <w:bookmarkEnd w:id="22"/>
    </w:p>
    <w:p w14:paraId="1D486462" w14:textId="77777777" w:rsidR="00F34E00" w:rsidRPr="00672CE4" w:rsidRDefault="00F34E00" w:rsidP="00B4431B">
      <w:pPr>
        <w:pStyle w:val="elencoconlettereenfatizzato"/>
        <w:rPr>
          <w:lang w:val="en-US"/>
        </w:rPr>
      </w:pPr>
      <w:r w:rsidRPr="00F34E00">
        <w:t>Is it possible to measure the performance of a Regional Office (RO)</w:t>
      </w:r>
      <w:r w:rsidR="00C3151B">
        <w:t xml:space="preserve"> under the current set of rules</w:t>
      </w:r>
      <w:r w:rsidRPr="00F34E00">
        <w:t>?</w:t>
      </w:r>
      <w:r>
        <w:t xml:space="preserve"> </w:t>
      </w:r>
    </w:p>
    <w:p w14:paraId="7D3FC8AF" w14:textId="77777777" w:rsidR="00F34E00" w:rsidRPr="00297E8F" w:rsidRDefault="00AF1BDD" w:rsidP="00FE4457">
      <w:pPr>
        <w:pStyle w:val="elencoconnumeriromani"/>
        <w:rPr>
          <w:lang w:val="en-US"/>
        </w:rPr>
      </w:pPr>
      <w:r w:rsidRPr="00F34E00">
        <w:t xml:space="preserve">Are the </w:t>
      </w:r>
      <w:r w:rsidR="00575BB2">
        <w:t>o</w:t>
      </w:r>
      <w:r w:rsidRPr="00F34E00">
        <w:t xml:space="preserve">bjectives </w:t>
      </w:r>
      <w:r w:rsidR="00CC63FC">
        <w:t>assigned to</w:t>
      </w:r>
      <w:r w:rsidRPr="00F34E00">
        <w:t xml:space="preserve"> RO</w:t>
      </w:r>
      <w:r w:rsidR="00CC63FC">
        <w:t>s</w:t>
      </w:r>
      <w:r w:rsidRPr="00F34E00">
        <w:t xml:space="preserve"> </w:t>
      </w:r>
      <w:r w:rsidR="00FC2B0F">
        <w:t xml:space="preserve">in relation to the ITU strategic objectives </w:t>
      </w:r>
      <w:r w:rsidRPr="00F34E00">
        <w:t>specific and measurable?</w:t>
      </w:r>
    </w:p>
    <w:p w14:paraId="1302CD8D" w14:textId="77777777" w:rsidR="00297E8F" w:rsidRPr="003C52EC" w:rsidRDefault="00C3151B" w:rsidP="00FE4457">
      <w:pPr>
        <w:pStyle w:val="elencoconnumeriromani"/>
        <w:rPr>
          <w:lang w:val="en-US"/>
        </w:rPr>
      </w:pPr>
      <w:r>
        <w:t xml:space="preserve">Are </w:t>
      </w:r>
      <w:r w:rsidR="0073339D">
        <w:t>th</w:t>
      </w:r>
      <w:r w:rsidR="00F9620E">
        <w:t>e</w:t>
      </w:r>
      <w:r w:rsidR="0073339D">
        <w:t xml:space="preserve">se </w:t>
      </w:r>
      <w:r w:rsidR="00575BB2">
        <w:t>o</w:t>
      </w:r>
      <w:r w:rsidR="00297E8F">
        <w:t xml:space="preserve">bjectives directly derived from </w:t>
      </w:r>
      <w:r w:rsidR="00297E8F" w:rsidRPr="00297E8F">
        <w:t>PP Resolution 25 “Strengthening the Regional Presence”</w:t>
      </w:r>
      <w:r w:rsidR="00297E8F">
        <w:t xml:space="preserve">? </w:t>
      </w:r>
    </w:p>
    <w:p w14:paraId="6D9443F5" w14:textId="77777777" w:rsidR="00F34E00" w:rsidRPr="00F520FA" w:rsidRDefault="00AF1BDD" w:rsidP="00FE4457">
      <w:pPr>
        <w:pStyle w:val="elencoconnumeriromani"/>
        <w:rPr>
          <w:lang w:val="en-US"/>
        </w:rPr>
      </w:pPr>
      <w:r w:rsidRPr="00297E8F">
        <w:t xml:space="preserve">Has Management agreed on </w:t>
      </w:r>
      <w:r w:rsidR="00575BB2">
        <w:t xml:space="preserve">a set of </w:t>
      </w:r>
      <w:r w:rsidRPr="00297E8F">
        <w:t>credible and robust KPIs</w:t>
      </w:r>
      <w:r w:rsidR="00297E8F">
        <w:t xml:space="preserve">, linked to </w:t>
      </w:r>
      <w:r w:rsidR="00F9620E">
        <w:t xml:space="preserve">ROs’ </w:t>
      </w:r>
      <w:r w:rsidR="00F520FA">
        <w:t xml:space="preserve">specific </w:t>
      </w:r>
      <w:r w:rsidR="00575BB2">
        <w:t>o</w:t>
      </w:r>
      <w:r w:rsidR="00297E8F">
        <w:t>bjectives</w:t>
      </w:r>
      <w:r w:rsidR="00F520FA">
        <w:t>?</w:t>
      </w:r>
    </w:p>
    <w:p w14:paraId="6BFFEE82" w14:textId="77777777" w:rsidR="00F520FA" w:rsidRPr="00BA70D1" w:rsidRDefault="00F520FA" w:rsidP="00FE4457">
      <w:pPr>
        <w:pStyle w:val="elencoconnumeriromani"/>
        <w:rPr>
          <w:lang w:val="en-US"/>
        </w:rPr>
      </w:pPr>
      <w:r>
        <w:t>Could the effectiv</w:t>
      </w:r>
      <w:r w:rsidR="00575BB2">
        <w:t xml:space="preserve">e implementation of PP Res. 25 </w:t>
      </w:r>
      <w:r>
        <w:t xml:space="preserve">be monitored through performance indicators established </w:t>
      </w:r>
      <w:r w:rsidR="00C3151B">
        <w:t>by</w:t>
      </w:r>
      <w:r>
        <w:t xml:space="preserve"> agreement between ROs and HQ?</w:t>
      </w:r>
    </w:p>
    <w:p w14:paraId="546DEFA1" w14:textId="77777777" w:rsidR="00F520FA" w:rsidRDefault="00F520FA" w:rsidP="00FE4457">
      <w:pPr>
        <w:pStyle w:val="elencoconnumeriromani"/>
      </w:pPr>
      <w:r>
        <w:t xml:space="preserve">Could the efficient implementation of PP Res. 25 be monitored through performance indicators established </w:t>
      </w:r>
      <w:r w:rsidR="00C3151B">
        <w:t>by</w:t>
      </w:r>
      <w:r>
        <w:t xml:space="preserve"> agreement between ROs and HQ?</w:t>
      </w:r>
    </w:p>
    <w:p w14:paraId="188EDDD0" w14:textId="77777777" w:rsidR="00F2712E" w:rsidRPr="00F2712E" w:rsidRDefault="00AF1BDD" w:rsidP="00B4431B">
      <w:pPr>
        <w:pStyle w:val="elencoconlettereenfatizzato"/>
        <w:rPr>
          <w:lang w:val="en-US"/>
        </w:rPr>
      </w:pPr>
      <w:r w:rsidRPr="00F2712E">
        <w:t xml:space="preserve">Has the Management developed an effective Risk Management (ERM) process, including </w:t>
      </w:r>
      <w:r w:rsidR="005269A1">
        <w:t xml:space="preserve">the </w:t>
      </w:r>
      <w:r w:rsidRPr="00F2712E">
        <w:t xml:space="preserve">risk assessment (RA) </w:t>
      </w:r>
      <w:r w:rsidR="00CC63FC">
        <w:t xml:space="preserve">of </w:t>
      </w:r>
      <w:r w:rsidR="0073339D">
        <w:t xml:space="preserve">the </w:t>
      </w:r>
      <w:r w:rsidR="00CC63FC">
        <w:t xml:space="preserve">activities </w:t>
      </w:r>
      <w:r w:rsidRPr="00F2712E">
        <w:t xml:space="preserve">carried out at </w:t>
      </w:r>
      <w:r w:rsidR="00C3151B">
        <w:t xml:space="preserve">the </w:t>
      </w:r>
      <w:r w:rsidRPr="00F2712E">
        <w:t>RO level?</w:t>
      </w:r>
      <w:r w:rsidR="00F2712E" w:rsidRPr="00F2712E">
        <w:rPr>
          <w:lang w:val="en-US"/>
        </w:rPr>
        <w:t xml:space="preserve"> </w:t>
      </w:r>
    </w:p>
    <w:p w14:paraId="3BE044BD" w14:textId="77777777" w:rsidR="00F2712E" w:rsidRPr="00297E8F" w:rsidRDefault="00AF1BDD" w:rsidP="00FE4457">
      <w:pPr>
        <w:pStyle w:val="elencoconnumeriromani"/>
        <w:rPr>
          <w:lang w:val="en-US"/>
        </w:rPr>
      </w:pPr>
      <w:r w:rsidRPr="0051192D">
        <w:t xml:space="preserve">Are the risks </w:t>
      </w:r>
      <w:r w:rsidR="00C3151B">
        <w:t xml:space="preserve">identified </w:t>
      </w:r>
      <w:r w:rsidR="00F679DC">
        <w:t xml:space="preserve">related to </w:t>
      </w:r>
      <w:r w:rsidRPr="0051192D">
        <w:t xml:space="preserve">the </w:t>
      </w:r>
      <w:r w:rsidR="00F679DC">
        <w:t xml:space="preserve">conduct of field activities </w:t>
      </w:r>
      <w:r w:rsidRPr="0051192D">
        <w:t xml:space="preserve">and </w:t>
      </w:r>
      <w:r w:rsidR="00F520FA">
        <w:t xml:space="preserve">the </w:t>
      </w:r>
      <w:r w:rsidRPr="0051192D">
        <w:t>resources</w:t>
      </w:r>
      <w:r w:rsidR="000B4418">
        <w:t xml:space="preserve"> available to </w:t>
      </w:r>
      <w:r w:rsidR="00F679DC">
        <w:t>carry them out</w:t>
      </w:r>
      <w:r w:rsidRPr="0051192D">
        <w:t>?</w:t>
      </w:r>
    </w:p>
    <w:p w14:paraId="25B9C7C6" w14:textId="77777777" w:rsidR="003916B2" w:rsidRPr="00672CE4" w:rsidRDefault="003916B2" w:rsidP="00B4431B">
      <w:pPr>
        <w:pStyle w:val="elencoconlettereenfatizzato"/>
        <w:rPr>
          <w:lang w:val="en-US"/>
        </w:rPr>
      </w:pPr>
      <w:r>
        <w:t xml:space="preserve">Is the coordination between </w:t>
      </w:r>
      <w:r w:rsidR="00F34E00">
        <w:t>Headquarter</w:t>
      </w:r>
      <w:r w:rsidR="0073339D">
        <w:t>s</w:t>
      </w:r>
      <w:r>
        <w:t xml:space="preserve"> and ROs effective?</w:t>
      </w:r>
    </w:p>
    <w:p w14:paraId="6331CAD9" w14:textId="77777777" w:rsidR="003916B2" w:rsidRPr="003C52EC" w:rsidRDefault="003916B2" w:rsidP="00FE4457">
      <w:pPr>
        <w:pStyle w:val="elencoconnumeriromani"/>
        <w:rPr>
          <w:lang w:val="en-US"/>
        </w:rPr>
      </w:pPr>
      <w:r w:rsidRPr="00BA70D1">
        <w:t>Has</w:t>
      </w:r>
      <w:r w:rsidR="0073339D">
        <w:t xml:space="preserve"> ITU </w:t>
      </w:r>
      <w:r w:rsidRPr="00BA70D1">
        <w:t xml:space="preserve">established procedures </w:t>
      </w:r>
      <w:r w:rsidR="005269A1">
        <w:t xml:space="preserve">to </w:t>
      </w:r>
      <w:r w:rsidR="00A97FD7">
        <w:t>ensur</w:t>
      </w:r>
      <w:r w:rsidR="005269A1">
        <w:t>e</w:t>
      </w:r>
      <w:r w:rsidR="00A97FD7">
        <w:t xml:space="preserve"> </w:t>
      </w:r>
      <w:r>
        <w:t xml:space="preserve">that coordination </w:t>
      </w:r>
      <w:r w:rsidR="00A97FD7">
        <w:t xml:space="preserve">between HQ and </w:t>
      </w:r>
      <w:r>
        <w:t xml:space="preserve">ROs is </w:t>
      </w:r>
      <w:r w:rsidR="001F430D">
        <w:t xml:space="preserve">implemented and </w:t>
      </w:r>
      <w:r>
        <w:t xml:space="preserve">measured </w:t>
      </w:r>
      <w:r w:rsidR="005269A1">
        <w:t xml:space="preserve">effectively </w:t>
      </w:r>
      <w:r>
        <w:t xml:space="preserve">through </w:t>
      </w:r>
      <w:r w:rsidR="00F520FA">
        <w:t xml:space="preserve">objective </w:t>
      </w:r>
      <w:r w:rsidR="0073339D">
        <w:t xml:space="preserve">and </w:t>
      </w:r>
      <w:r>
        <w:t>agreed KPIs?</w:t>
      </w:r>
    </w:p>
    <w:p w14:paraId="083FD175" w14:textId="77777777" w:rsidR="00A22A2E" w:rsidRDefault="005269A1" w:rsidP="00F679DC">
      <w:pPr>
        <w:pStyle w:val="elencoconlettereenfatizzato"/>
      </w:pPr>
      <w:r>
        <w:t>Do</w:t>
      </w:r>
      <w:r w:rsidR="00A22A2E">
        <w:t xml:space="preserve"> </w:t>
      </w:r>
      <w:r>
        <w:t>ROs</w:t>
      </w:r>
      <w:r w:rsidR="00A22A2E">
        <w:t xml:space="preserve"> compl</w:t>
      </w:r>
      <w:r>
        <w:t>y</w:t>
      </w:r>
      <w:r w:rsidR="00A22A2E">
        <w:t xml:space="preserve"> with the rules and procedures issued by Headquarters relat</w:t>
      </w:r>
      <w:r>
        <w:t xml:space="preserve">ing </w:t>
      </w:r>
      <w:r w:rsidR="00A22A2E">
        <w:t xml:space="preserve">to financial management, projects and procurement? </w:t>
      </w:r>
    </w:p>
    <w:p w14:paraId="13533B31" w14:textId="77777777" w:rsidR="00183969" w:rsidRDefault="00183969" w:rsidP="00FE4457">
      <w:pPr>
        <w:pStyle w:val="elencoconnumeriromani"/>
      </w:pPr>
      <w:r>
        <w:t>Are the rules and procedures currently in place at the regional level able to prevent administrative and reputational risks (including the risk of fraud)?</w:t>
      </w:r>
    </w:p>
    <w:p w14:paraId="7B12776D" w14:textId="77777777" w:rsidR="001F430D" w:rsidRPr="008727E7" w:rsidRDefault="001F430D" w:rsidP="004C1DB7">
      <w:pPr>
        <w:pStyle w:val="testobase"/>
        <w:numPr>
          <w:ilvl w:val="0"/>
          <w:numId w:val="0"/>
        </w:numPr>
        <w:ind w:left="426"/>
      </w:pPr>
    </w:p>
    <w:p w14:paraId="0E7C8C62" w14:textId="77777777" w:rsidR="00AF1BDD" w:rsidRPr="00B07F66" w:rsidRDefault="00AF1BDD" w:rsidP="00B4431B">
      <w:pPr>
        <w:pStyle w:val="testobase"/>
      </w:pPr>
      <w:r w:rsidRPr="00B07F66">
        <w:t xml:space="preserve">The audit fieldwork was carried out from </w:t>
      </w:r>
      <w:r w:rsidR="008727E7" w:rsidRPr="00B07F66">
        <w:t xml:space="preserve">January </w:t>
      </w:r>
      <w:r w:rsidRPr="00B07F66">
        <w:t>201</w:t>
      </w:r>
      <w:r w:rsidR="008727E7" w:rsidRPr="00B07F66">
        <w:t>8</w:t>
      </w:r>
      <w:r w:rsidRPr="00B07F66">
        <w:t xml:space="preserve"> until mid-Ma</w:t>
      </w:r>
      <w:r w:rsidR="008727E7" w:rsidRPr="00B07F66">
        <w:t>y</w:t>
      </w:r>
      <w:r w:rsidRPr="00B07F66">
        <w:t xml:space="preserve"> </w:t>
      </w:r>
      <w:r w:rsidR="008727E7" w:rsidRPr="00B07F66">
        <w:t>2018</w:t>
      </w:r>
      <w:r w:rsidRPr="00B07F66">
        <w:t>.</w:t>
      </w:r>
    </w:p>
    <w:p w14:paraId="5B2241C6" w14:textId="77777777" w:rsidR="00654EB7" w:rsidRPr="00B07F66" w:rsidRDefault="00AF1BDD" w:rsidP="00B4431B">
      <w:pPr>
        <w:pStyle w:val="testobase"/>
      </w:pPr>
      <w:r w:rsidRPr="00B07F66">
        <w:t xml:space="preserve">The audit </w:t>
      </w:r>
      <w:r w:rsidR="00183969">
        <w:t>reviewed in particular</w:t>
      </w:r>
      <w:r w:rsidR="00C52677" w:rsidRPr="00B07F66">
        <w:t>:</w:t>
      </w:r>
    </w:p>
    <w:p w14:paraId="4C422F48" w14:textId="77777777" w:rsidR="00654EB7" w:rsidRPr="00DC67BF" w:rsidRDefault="00AF1BDD" w:rsidP="00EE3BC4">
      <w:pPr>
        <w:pStyle w:val="elencoiiiiii"/>
      </w:pPr>
      <w:r w:rsidRPr="00DC67BF">
        <w:t>the activities carried out by Management at the HQ and regional level</w:t>
      </w:r>
      <w:r w:rsidR="005269A1">
        <w:t>s</w:t>
      </w:r>
      <w:r w:rsidRPr="00DC67BF">
        <w:t xml:space="preserve"> for developing specific Objectives and KPIs and linking them to </w:t>
      </w:r>
      <w:r w:rsidR="00923699" w:rsidRPr="00DC67BF">
        <w:t>PP Res</w:t>
      </w:r>
      <w:r w:rsidR="00183969" w:rsidRPr="00DC67BF">
        <w:t>.</w:t>
      </w:r>
      <w:r w:rsidR="00923699" w:rsidRPr="00DC67BF">
        <w:t xml:space="preserve"> 25 and to the ITU </w:t>
      </w:r>
      <w:r w:rsidRPr="008F504B">
        <w:t>Strategic</w:t>
      </w:r>
      <w:r w:rsidRPr="00DC67BF">
        <w:t xml:space="preserve"> Objectives, </w:t>
      </w:r>
      <w:r w:rsidR="003D16B0">
        <w:t>especially,</w:t>
      </w:r>
    </w:p>
    <w:p w14:paraId="221CBBA5" w14:textId="77777777" w:rsidR="00654EB7" w:rsidRPr="00B07F66" w:rsidRDefault="00C52677" w:rsidP="00DC67BF">
      <w:pPr>
        <w:pStyle w:val="elencoabc"/>
      </w:pPr>
      <w:r w:rsidRPr="00B07F66">
        <w:t xml:space="preserve">the specific objectives </w:t>
      </w:r>
      <w:r w:rsidR="00D55ABB">
        <w:t>assigned to the individual</w:t>
      </w:r>
      <w:r w:rsidRPr="00B07F66">
        <w:t xml:space="preserve"> Regional Offices </w:t>
      </w:r>
      <w:r w:rsidR="002E016F">
        <w:t xml:space="preserve">in relation to </w:t>
      </w:r>
      <w:r>
        <w:t>PP Res</w:t>
      </w:r>
      <w:r w:rsidR="00183969">
        <w:t>. 25</w:t>
      </w:r>
      <w:r>
        <w:t xml:space="preserve"> and </w:t>
      </w:r>
      <w:r w:rsidR="00183969">
        <w:t xml:space="preserve">the </w:t>
      </w:r>
      <w:r>
        <w:t xml:space="preserve">ITU </w:t>
      </w:r>
      <w:r w:rsidR="00AF1BDD" w:rsidRPr="00EE3BC4">
        <w:t>Strategic</w:t>
      </w:r>
      <w:r w:rsidR="00AF1BDD" w:rsidRPr="006A42F6">
        <w:t xml:space="preserve"> Objectives and </w:t>
      </w:r>
      <w:r w:rsidR="002E016F">
        <w:t xml:space="preserve">their </w:t>
      </w:r>
      <w:r w:rsidR="004923FE">
        <w:t xml:space="preserve">appropriate </w:t>
      </w:r>
      <w:r w:rsidR="00654EB7">
        <w:t>monitoring;</w:t>
      </w:r>
    </w:p>
    <w:p w14:paraId="43575E4A" w14:textId="77777777" w:rsidR="00654EB7" w:rsidRPr="00B07F66" w:rsidRDefault="00923699" w:rsidP="003D16B0">
      <w:pPr>
        <w:pStyle w:val="elencoiiiiii"/>
      </w:pPr>
      <w:r w:rsidRPr="00B07F66">
        <w:t xml:space="preserve">the current status of the coordination between </w:t>
      </w:r>
      <w:r w:rsidR="00183969">
        <w:t>HQs</w:t>
      </w:r>
      <w:r w:rsidRPr="00B07F66">
        <w:t xml:space="preserve"> and ROs for the implementation of </w:t>
      </w:r>
      <w:r w:rsidR="006A42F6" w:rsidRPr="00B07F66">
        <w:t>PP Res</w:t>
      </w:r>
      <w:r w:rsidR="00183969">
        <w:t>.</w:t>
      </w:r>
      <w:r w:rsidR="006A42F6" w:rsidRPr="00B07F66">
        <w:t xml:space="preserve"> 25 and the ITU </w:t>
      </w:r>
      <w:r w:rsidR="006A42F6" w:rsidRPr="00EE3BC4">
        <w:t>Strategic</w:t>
      </w:r>
      <w:r w:rsidR="006A42F6" w:rsidRPr="00B07F66">
        <w:t xml:space="preserve"> Objectives,</w:t>
      </w:r>
      <w:r w:rsidRPr="00B07F66">
        <w:t xml:space="preserve"> </w:t>
      </w:r>
    </w:p>
    <w:p w14:paraId="09C92350" w14:textId="77777777" w:rsidR="000B3C1B" w:rsidRPr="000B3C1B" w:rsidRDefault="00923699" w:rsidP="00DC67BF">
      <w:pPr>
        <w:pStyle w:val="elencoiiiiii"/>
      </w:pPr>
      <w:r w:rsidRPr="000B3C1B">
        <w:t xml:space="preserve">the </w:t>
      </w:r>
      <w:r w:rsidR="00C52677" w:rsidRPr="000B3C1B">
        <w:t>organization of th</w:t>
      </w:r>
      <w:r w:rsidR="004923FE">
        <w:t>e</w:t>
      </w:r>
      <w:r w:rsidR="00C52677" w:rsidRPr="000B3C1B">
        <w:t xml:space="preserve"> Regional and Area Offices </w:t>
      </w:r>
      <w:r w:rsidR="004923FE">
        <w:t>audited on the spot</w:t>
      </w:r>
      <w:r w:rsidR="00C52677" w:rsidRPr="000B3C1B">
        <w:t>, in particular</w:t>
      </w:r>
      <w:r w:rsidR="004923FE">
        <w:t xml:space="preserve"> in terms of </w:t>
      </w:r>
      <w:r w:rsidRPr="000B3C1B">
        <w:t xml:space="preserve">financial management and procurement </w:t>
      </w:r>
      <w:r w:rsidR="004923FE">
        <w:t>activities. We checked in particular:</w:t>
      </w:r>
    </w:p>
    <w:p w14:paraId="045C7328" w14:textId="77777777" w:rsidR="00654EB7" w:rsidRPr="000B3C1B" w:rsidRDefault="000B3C1B" w:rsidP="005269A1">
      <w:pPr>
        <w:pStyle w:val="elencoabc"/>
        <w:numPr>
          <w:ilvl w:val="0"/>
          <w:numId w:val="36"/>
        </w:numPr>
      </w:pPr>
      <w:r w:rsidRPr="000B3C1B">
        <w:t xml:space="preserve">the documents </w:t>
      </w:r>
      <w:r w:rsidR="003D16B0" w:rsidRPr="000B3C1B">
        <w:t>supporting</w:t>
      </w:r>
      <w:r w:rsidRPr="000B3C1B">
        <w:t xml:space="preserve"> the </w:t>
      </w:r>
      <w:r w:rsidR="003D16B0">
        <w:t xml:space="preserve">figures </w:t>
      </w:r>
      <w:r w:rsidR="003D16B0" w:rsidRPr="000B3C1B">
        <w:t>enter</w:t>
      </w:r>
      <w:r w:rsidR="003D16B0">
        <w:t>ed</w:t>
      </w:r>
      <w:r w:rsidRPr="000B3C1B">
        <w:t xml:space="preserve"> </w:t>
      </w:r>
      <w:r w:rsidR="004923FE">
        <w:t xml:space="preserve">in the accounts </w:t>
      </w:r>
      <w:r w:rsidR="003D16B0">
        <w:t xml:space="preserve">at Headquarters </w:t>
      </w:r>
      <w:r w:rsidR="005269A1">
        <w:t xml:space="preserve">in </w:t>
      </w:r>
      <w:r w:rsidR="003D16B0">
        <w:t>relati</w:t>
      </w:r>
      <w:r w:rsidR="005269A1">
        <w:t>o</w:t>
      </w:r>
      <w:r w:rsidR="003D16B0">
        <w:t>n</w:t>
      </w:r>
      <w:r w:rsidRPr="000B3C1B">
        <w:t xml:space="preserve"> to revenue and expenditure, and any relationship with banks,</w:t>
      </w:r>
    </w:p>
    <w:p w14:paraId="69BA76C2" w14:textId="77777777" w:rsidR="000B3C1B" w:rsidRPr="000B3C1B" w:rsidRDefault="000B3C1B" w:rsidP="005269A1">
      <w:pPr>
        <w:pStyle w:val="elencoabc"/>
        <w:numPr>
          <w:ilvl w:val="0"/>
          <w:numId w:val="36"/>
        </w:numPr>
      </w:pPr>
      <w:r w:rsidRPr="000B3C1B">
        <w:t>the assets, their management and their recording in ad-hoc registers and the accounts</w:t>
      </w:r>
      <w:r w:rsidR="004923FE">
        <w:t>,</w:t>
      </w:r>
    </w:p>
    <w:p w14:paraId="316AD748" w14:textId="77777777" w:rsidR="000B3C1B" w:rsidRPr="000B3C1B" w:rsidRDefault="000B3C1B" w:rsidP="005269A1">
      <w:pPr>
        <w:pStyle w:val="elencoabc"/>
        <w:numPr>
          <w:ilvl w:val="0"/>
          <w:numId w:val="36"/>
        </w:numPr>
      </w:pPr>
      <w:r w:rsidRPr="000B3C1B">
        <w:t>the procurement activities carried out at regional level</w:t>
      </w:r>
      <w:r w:rsidR="005269A1">
        <w:t>,</w:t>
      </w:r>
    </w:p>
    <w:p w14:paraId="6AD1A0B9" w14:textId="77777777" w:rsidR="000B3C1B" w:rsidRPr="000B3C1B" w:rsidRDefault="000B3C1B" w:rsidP="005269A1">
      <w:pPr>
        <w:pStyle w:val="elencoabc"/>
        <w:numPr>
          <w:ilvl w:val="0"/>
          <w:numId w:val="36"/>
        </w:numPr>
      </w:pPr>
      <w:r w:rsidRPr="000B3C1B">
        <w:t>the follow</w:t>
      </w:r>
      <w:r w:rsidR="005269A1">
        <w:t>-</w:t>
      </w:r>
      <w:r w:rsidRPr="000B3C1B">
        <w:t xml:space="preserve">up </w:t>
      </w:r>
      <w:r w:rsidR="005269A1">
        <w:t xml:space="preserve">given </w:t>
      </w:r>
      <w:r w:rsidR="004923FE">
        <w:t xml:space="preserve">to </w:t>
      </w:r>
      <w:r w:rsidRPr="000B3C1B">
        <w:t>the previous recommendations issued by the Internal Audit (IA) and the status of their implementation</w:t>
      </w:r>
      <w:r w:rsidR="005269A1">
        <w:t>;</w:t>
      </w:r>
    </w:p>
    <w:p w14:paraId="070FC28F" w14:textId="77777777" w:rsidR="00B41510" w:rsidRPr="000B3C1B" w:rsidRDefault="00AF1BDD" w:rsidP="00DC67BF">
      <w:pPr>
        <w:pStyle w:val="elencoiiiiii"/>
      </w:pPr>
      <w:r w:rsidRPr="000B3C1B">
        <w:t xml:space="preserve">the action carried out at the HQ and regional level to create a </w:t>
      </w:r>
      <w:r w:rsidR="003D5C59">
        <w:t xml:space="preserve">specific </w:t>
      </w:r>
      <w:r w:rsidRPr="000B3C1B">
        <w:t>Risk Register (RR)</w:t>
      </w:r>
      <w:r w:rsidR="005D0D77">
        <w:t xml:space="preserve"> </w:t>
      </w:r>
      <w:r w:rsidR="003D5C59">
        <w:t xml:space="preserve">for ROs </w:t>
      </w:r>
      <w:r w:rsidRPr="000B3C1B">
        <w:t>through a robust risk assessment exercise.</w:t>
      </w:r>
    </w:p>
    <w:p w14:paraId="02A7AA6A" w14:textId="77777777" w:rsidR="008739B4" w:rsidRPr="00575BB2" w:rsidRDefault="00F545A4" w:rsidP="00B4431B">
      <w:pPr>
        <w:pStyle w:val="testobase"/>
      </w:pPr>
      <w:r w:rsidRPr="00575BB2">
        <w:t xml:space="preserve">This </w:t>
      </w:r>
      <w:r w:rsidR="00575BB2">
        <w:t>wa</w:t>
      </w:r>
      <w:r w:rsidRPr="00575BB2">
        <w:t xml:space="preserve">s the first time that ITU Regional Offices </w:t>
      </w:r>
      <w:r w:rsidR="005269A1">
        <w:t xml:space="preserve">had been </w:t>
      </w:r>
      <w:r w:rsidRPr="00575BB2">
        <w:t xml:space="preserve">audited by an External </w:t>
      </w:r>
      <w:r w:rsidR="005269A1">
        <w:t>A</w:t>
      </w:r>
      <w:r w:rsidRPr="00575BB2">
        <w:t xml:space="preserve">uditor. </w:t>
      </w:r>
      <w:r w:rsidR="009A7F6A" w:rsidRPr="00575BB2">
        <w:t xml:space="preserve">Auditing </w:t>
      </w:r>
      <w:r w:rsidRPr="00575BB2">
        <w:t>ROs</w:t>
      </w:r>
      <w:r w:rsidR="009A7F6A" w:rsidRPr="00575BB2">
        <w:t xml:space="preserve"> was not explicitly included in </w:t>
      </w:r>
      <w:r w:rsidR="00E45350" w:rsidRPr="00575BB2">
        <w:t>our T</w:t>
      </w:r>
      <w:r w:rsidR="009A7F6A" w:rsidRPr="00575BB2">
        <w:t>erms of reference</w:t>
      </w:r>
      <w:r w:rsidR="00E45350" w:rsidRPr="00575BB2">
        <w:t>.</w:t>
      </w:r>
      <w:r w:rsidR="009A7F6A" w:rsidRPr="00575BB2">
        <w:t xml:space="preserve"> However, t</w:t>
      </w:r>
      <w:r w:rsidR="00AF1BDD" w:rsidRPr="00575BB2">
        <w:t xml:space="preserve">he action </w:t>
      </w:r>
      <w:r w:rsidR="005269A1">
        <w:t xml:space="preserve">taken </w:t>
      </w:r>
      <w:r w:rsidR="00AF1BDD" w:rsidRPr="00575BB2">
        <w:t xml:space="preserve">by Management for linking </w:t>
      </w:r>
      <w:r w:rsidR="006B39AC" w:rsidRPr="00575BB2">
        <w:t>PP Res</w:t>
      </w:r>
      <w:r w:rsidR="009A7F6A" w:rsidRPr="00575BB2">
        <w:t xml:space="preserve">. </w:t>
      </w:r>
      <w:r w:rsidR="006B39AC" w:rsidRPr="00575BB2">
        <w:t xml:space="preserve">25 and ITU </w:t>
      </w:r>
      <w:r w:rsidR="00AF1BDD" w:rsidRPr="00575BB2">
        <w:t>Strategic Objectives to specific o</w:t>
      </w:r>
      <w:r w:rsidRPr="00575BB2">
        <w:t>bjectives for R</w:t>
      </w:r>
      <w:r w:rsidR="00C04A4A" w:rsidRPr="00575BB2">
        <w:t xml:space="preserve">egional Offices </w:t>
      </w:r>
      <w:r w:rsidR="00AF1BDD" w:rsidRPr="00575BB2">
        <w:t xml:space="preserve">(monitored through robust KPIs) and </w:t>
      </w:r>
      <w:r w:rsidR="009A7F6A" w:rsidRPr="00575BB2">
        <w:t xml:space="preserve">for </w:t>
      </w:r>
      <w:r w:rsidR="00AF1BDD" w:rsidRPr="00575BB2">
        <w:t xml:space="preserve">creating a comprehensive Risk </w:t>
      </w:r>
      <w:r w:rsidR="005D0D77" w:rsidRPr="00575BB2">
        <w:t>Register</w:t>
      </w:r>
      <w:r w:rsidR="00AF1BDD" w:rsidRPr="00575BB2">
        <w:t xml:space="preserve"> were selected for this performance audit because of their relevance </w:t>
      </w:r>
      <w:r w:rsidR="00F9296F" w:rsidRPr="00575BB2">
        <w:t>to</w:t>
      </w:r>
      <w:r w:rsidR="00AF1BDD" w:rsidRPr="00575BB2">
        <w:t xml:space="preserve"> the I</w:t>
      </w:r>
      <w:r w:rsidR="006B39AC" w:rsidRPr="00575BB2">
        <w:t>TU</w:t>
      </w:r>
      <w:r w:rsidR="00604858">
        <w:t>’s</w:t>
      </w:r>
      <w:r w:rsidR="00AF1BDD" w:rsidRPr="00575BB2">
        <w:t xml:space="preserve"> mission, and in view of the </w:t>
      </w:r>
      <w:r w:rsidR="006B39AC" w:rsidRPr="00575BB2">
        <w:t xml:space="preserve">risk that </w:t>
      </w:r>
      <w:r w:rsidR="00C04A4A" w:rsidRPr="00575BB2">
        <w:t xml:space="preserve">the </w:t>
      </w:r>
      <w:r w:rsidR="006B39AC" w:rsidRPr="00575BB2">
        <w:t>ITU</w:t>
      </w:r>
      <w:r w:rsidR="00AF1BDD" w:rsidRPr="00575BB2">
        <w:t xml:space="preserve">’s </w:t>
      </w:r>
      <w:r w:rsidR="00C04A4A" w:rsidRPr="00575BB2">
        <w:t xml:space="preserve">goal </w:t>
      </w:r>
      <w:r w:rsidR="00A81DFA" w:rsidRPr="00575BB2">
        <w:t xml:space="preserve">of </w:t>
      </w:r>
      <w:r w:rsidR="00575BB2">
        <w:t xml:space="preserve">ensuring greater closeness to its membership </w:t>
      </w:r>
      <w:r w:rsidR="00AF1BDD" w:rsidRPr="00575BB2">
        <w:t xml:space="preserve">might not </w:t>
      </w:r>
      <w:r w:rsidR="00604858">
        <w:t xml:space="preserve">have </w:t>
      </w:r>
      <w:r w:rsidR="00AF1BDD" w:rsidRPr="00575BB2">
        <w:t>be</w:t>
      </w:r>
      <w:r w:rsidR="00604858">
        <w:t>en</w:t>
      </w:r>
      <w:r w:rsidR="00AF1BDD" w:rsidRPr="00575BB2">
        <w:t xml:space="preserve"> </w:t>
      </w:r>
      <w:r w:rsidR="00C04A4A" w:rsidRPr="00575BB2">
        <w:t xml:space="preserve">effectively and efficiently </w:t>
      </w:r>
      <w:r w:rsidR="00A81DFA" w:rsidRPr="00575BB2">
        <w:t>implemented</w:t>
      </w:r>
      <w:r w:rsidR="00AF1BDD" w:rsidRPr="00575BB2">
        <w:t>.</w:t>
      </w:r>
      <w:r w:rsidR="00836F4C" w:rsidRPr="00575BB2">
        <w:t xml:space="preserve"> </w:t>
      </w:r>
      <w:r w:rsidR="00311654" w:rsidRPr="00575BB2">
        <w:t xml:space="preserve">Furthermore, </w:t>
      </w:r>
      <w:r w:rsidR="005D0D77" w:rsidRPr="00575BB2">
        <w:t xml:space="preserve">the reputational and administrative risks inherent </w:t>
      </w:r>
      <w:r w:rsidR="00604858">
        <w:t>to</w:t>
      </w:r>
      <w:r w:rsidR="005D0D77" w:rsidRPr="00575BB2">
        <w:t xml:space="preserve"> some delicate processes, such as procurement, might not </w:t>
      </w:r>
      <w:r w:rsidR="00604858">
        <w:t xml:space="preserve">have </w:t>
      </w:r>
      <w:r w:rsidR="005D0D77" w:rsidRPr="00575BB2">
        <w:t>be</w:t>
      </w:r>
      <w:r w:rsidR="00604858">
        <w:t>en</w:t>
      </w:r>
      <w:r w:rsidR="005D0D77" w:rsidRPr="00575BB2">
        <w:t xml:space="preserve"> adequately taken into account. I</w:t>
      </w:r>
      <w:r w:rsidR="008739B4" w:rsidRPr="00575BB2">
        <w:t xml:space="preserve">t is </w:t>
      </w:r>
      <w:r w:rsidR="005D0D77" w:rsidRPr="00575BB2">
        <w:t xml:space="preserve">also </w:t>
      </w:r>
      <w:r w:rsidR="008739B4" w:rsidRPr="00575BB2">
        <w:t xml:space="preserve">worth mentioning that </w:t>
      </w:r>
      <w:r w:rsidR="00F66B94" w:rsidRPr="00575BB2">
        <w:t>R</w:t>
      </w:r>
      <w:r w:rsidR="00311654" w:rsidRPr="00575BB2">
        <w:t xml:space="preserve">egional </w:t>
      </w:r>
      <w:r w:rsidR="00F66B94" w:rsidRPr="00575BB2">
        <w:t>O</w:t>
      </w:r>
      <w:r w:rsidR="008739B4" w:rsidRPr="00575BB2">
        <w:t xml:space="preserve">ffices </w:t>
      </w:r>
      <w:r w:rsidR="00F66B94" w:rsidRPr="00575BB2">
        <w:t xml:space="preserve">had only been audited </w:t>
      </w:r>
      <w:r w:rsidR="00575BB2">
        <w:t xml:space="preserve">once </w:t>
      </w:r>
      <w:r w:rsidR="008739B4" w:rsidRPr="00575BB2">
        <w:t>by the Internal Audit Unit in 2013 (SG-SGO/IA/13-15) for the Americas and in 2014 and 2015 (SG-SGO/IA/14-18 and SG-SGO/IA/15-23) for Africa</w:t>
      </w:r>
      <w:r w:rsidR="00575BB2">
        <w:t>,</w:t>
      </w:r>
      <w:r w:rsidR="00696143" w:rsidRPr="00575BB2">
        <w:t xml:space="preserve"> and that IMAC had indicated a need for more rigorous financial management </w:t>
      </w:r>
      <w:r w:rsidR="0063705D" w:rsidRPr="00575BB2">
        <w:t xml:space="preserve">and </w:t>
      </w:r>
      <w:r w:rsidR="00696143" w:rsidRPr="00575BB2">
        <w:t>oversight</w:t>
      </w:r>
      <w:r w:rsidR="0063705D" w:rsidRPr="00575BB2">
        <w:t xml:space="preserve"> in this area</w:t>
      </w:r>
      <w:r w:rsidRPr="00575BB2">
        <w:t>.</w:t>
      </w:r>
      <w:r w:rsidR="008739B4" w:rsidRPr="00575BB2">
        <w:t xml:space="preserve"> </w:t>
      </w:r>
    </w:p>
    <w:p w14:paraId="75415C67" w14:textId="77777777" w:rsidR="006B39AC" w:rsidRPr="006B39AC" w:rsidRDefault="006B39AC" w:rsidP="00B4431B">
      <w:pPr>
        <w:pStyle w:val="testobase"/>
      </w:pPr>
      <w:r w:rsidRPr="00F66B94">
        <w:t xml:space="preserve">Furthermore, our analysis aimed to </w:t>
      </w:r>
      <w:r w:rsidR="00F66B94">
        <w:t>ascertain</w:t>
      </w:r>
      <w:r w:rsidRPr="00F66B94">
        <w:t xml:space="preserve"> </w:t>
      </w:r>
      <w:r w:rsidR="00604858">
        <w:t>whether</w:t>
      </w:r>
      <w:r w:rsidRPr="00F66B94">
        <w:t xml:space="preserve"> </w:t>
      </w:r>
      <w:r w:rsidR="00E1653A" w:rsidRPr="00F66B94">
        <w:t xml:space="preserve">ROs </w:t>
      </w:r>
      <w:r w:rsidR="00604858">
        <w:t>had been</w:t>
      </w:r>
      <w:r w:rsidR="00F66B94" w:rsidRPr="00F66B94">
        <w:t xml:space="preserve"> provided </w:t>
      </w:r>
      <w:r w:rsidR="00E1653A" w:rsidRPr="00F66B94">
        <w:t>with</w:t>
      </w:r>
      <w:r w:rsidRPr="00F66B94">
        <w:t xml:space="preserve"> </w:t>
      </w:r>
      <w:r w:rsidR="00E1653A" w:rsidRPr="00F66B94">
        <w:t xml:space="preserve">adequate </w:t>
      </w:r>
      <w:r w:rsidRPr="00F66B94">
        <w:t xml:space="preserve">resources to achieve </w:t>
      </w:r>
      <w:r w:rsidR="00836F4C" w:rsidRPr="00F66B94">
        <w:t xml:space="preserve">the </w:t>
      </w:r>
      <w:r w:rsidRPr="00F66B94">
        <w:t>o</w:t>
      </w:r>
      <w:r w:rsidR="00B72ED4" w:rsidRPr="00F66B94">
        <w:t>b</w:t>
      </w:r>
      <w:r w:rsidRPr="00F66B94">
        <w:t xml:space="preserve">jectives set </w:t>
      </w:r>
      <w:r w:rsidR="00604858">
        <w:t xml:space="preserve">out </w:t>
      </w:r>
      <w:r w:rsidRPr="00F66B94">
        <w:t>in PP Resolution 25</w:t>
      </w:r>
      <w:r w:rsidR="00B72ED4" w:rsidRPr="00F66B94">
        <w:t xml:space="preserve">, </w:t>
      </w:r>
      <w:r w:rsidR="00193391">
        <w:t xml:space="preserve">taking account of </w:t>
      </w:r>
      <w:r w:rsidR="00BA5A89" w:rsidRPr="00F66B94">
        <w:t>budgetary constraints</w:t>
      </w:r>
      <w:r w:rsidR="00B72ED4">
        <w:t>.</w:t>
      </w:r>
    </w:p>
    <w:p w14:paraId="6782C897" w14:textId="77777777" w:rsidR="00B07F66" w:rsidRPr="00C10739" w:rsidRDefault="00B07F66" w:rsidP="00B4431B">
      <w:pPr>
        <w:pStyle w:val="testobase"/>
      </w:pPr>
      <w:r w:rsidRPr="00C10739">
        <w:t xml:space="preserve">During our audit, we examined the following documents, provided by Headquarters </w:t>
      </w:r>
      <w:r w:rsidR="004857C7">
        <w:t xml:space="preserve">and </w:t>
      </w:r>
      <w:r w:rsidRPr="00C10739">
        <w:t>Regional and Area Office</w:t>
      </w:r>
      <w:r w:rsidR="004857C7">
        <w:t>s</w:t>
      </w:r>
      <w:r w:rsidRPr="00C10739">
        <w:t>:</w:t>
      </w:r>
    </w:p>
    <w:p w14:paraId="1F562C4A" w14:textId="77777777" w:rsidR="00B07F66" w:rsidRPr="00E45350" w:rsidRDefault="00B07F66" w:rsidP="00E45350">
      <w:pPr>
        <w:pStyle w:val="elencopuntato"/>
      </w:pPr>
      <w:r w:rsidRPr="00E45350">
        <w:t>PP Resolution 25 “</w:t>
      </w:r>
      <w:r w:rsidR="00C65BCF" w:rsidRPr="00E45350">
        <w:t>Strengthening</w:t>
      </w:r>
      <w:r w:rsidR="0063705D">
        <w:t xml:space="preserve"> the regional presence”;</w:t>
      </w:r>
    </w:p>
    <w:p w14:paraId="47EDC7C8" w14:textId="77777777" w:rsidR="00B07F66" w:rsidRDefault="00B07F66" w:rsidP="00E45350">
      <w:pPr>
        <w:pStyle w:val="elencopuntato"/>
      </w:pPr>
      <w:r w:rsidRPr="00C10739">
        <w:t xml:space="preserve">Final acts of the Plenipotentiary </w:t>
      </w:r>
      <w:r>
        <w:t xml:space="preserve">(PP) </w:t>
      </w:r>
      <w:r w:rsidRPr="00C10739">
        <w:t>Conference (Busan,</w:t>
      </w:r>
      <w:r w:rsidR="004857C7">
        <w:t xml:space="preserve"> </w:t>
      </w:r>
      <w:r w:rsidRPr="00C10739">
        <w:t>2014);</w:t>
      </w:r>
    </w:p>
    <w:p w14:paraId="081626A4" w14:textId="77777777" w:rsidR="00B07F66" w:rsidRPr="00C04A4A" w:rsidRDefault="00604858" w:rsidP="00E45350">
      <w:pPr>
        <w:pStyle w:val="elencopuntato"/>
      </w:pPr>
      <w:r>
        <w:t xml:space="preserve">The </w:t>
      </w:r>
      <w:r w:rsidR="00B07F66" w:rsidRPr="00C04A4A">
        <w:t>ITU</w:t>
      </w:r>
      <w:r>
        <w:t>’s</w:t>
      </w:r>
      <w:r w:rsidR="00B07F66" w:rsidRPr="00C04A4A">
        <w:t xml:space="preserve"> Financial Regulations (2010);</w:t>
      </w:r>
    </w:p>
    <w:p w14:paraId="54D51308" w14:textId="77777777" w:rsidR="00B07F66" w:rsidRPr="00C10739" w:rsidRDefault="00B07F66" w:rsidP="00E45350">
      <w:pPr>
        <w:pStyle w:val="elencopuntato"/>
      </w:pPr>
      <w:r w:rsidRPr="00C10739">
        <w:t>Project Management Guidelines (July 2013);</w:t>
      </w:r>
    </w:p>
    <w:p w14:paraId="0D47EF41" w14:textId="77777777" w:rsidR="00B07F66" w:rsidRPr="00C10739" w:rsidRDefault="00B07F66" w:rsidP="00E45350">
      <w:pPr>
        <w:pStyle w:val="elencopuntato"/>
      </w:pPr>
      <w:r w:rsidRPr="00C10739">
        <w:t xml:space="preserve">Service Order 14/06 </w:t>
      </w:r>
      <w:r>
        <w:t>“</w:t>
      </w:r>
      <w:r w:rsidRPr="00C10739">
        <w:t>Rules and Procedures Governing the Placement of Contracts</w:t>
      </w:r>
      <w:r>
        <w:t>”</w:t>
      </w:r>
      <w:r w:rsidRPr="00C10739">
        <w:t xml:space="preserve"> (February 2014);</w:t>
      </w:r>
    </w:p>
    <w:p w14:paraId="1BB23FD2" w14:textId="77777777" w:rsidR="00B07F66" w:rsidRDefault="00B07F66" w:rsidP="00282AAE">
      <w:pPr>
        <w:pStyle w:val="elencopuntato"/>
      </w:pPr>
      <w:r>
        <w:t xml:space="preserve">Basic Rules for </w:t>
      </w:r>
      <w:r w:rsidR="00604858">
        <w:t xml:space="preserve">the </w:t>
      </w:r>
      <w:r>
        <w:t>Procurement of Equipment for IT Technical Cooperation and Assistance Projects, as approved by the Administrative Council in 1968 and Manual</w:t>
      </w:r>
      <w:r w:rsidR="00604858">
        <w:t xml:space="preserve"> </w:t>
      </w:r>
      <w:r>
        <w:t>on Administrative Procedures for the application of th</w:t>
      </w:r>
      <w:r w:rsidR="00C04A4A">
        <w:t>ese</w:t>
      </w:r>
      <w:r>
        <w:t xml:space="preserve"> Basic Rules</w:t>
      </w:r>
      <w:r w:rsidR="00604858">
        <w:t>,</w:t>
      </w:r>
      <w:r>
        <w:t xml:space="preserve"> as established by the Secretary</w:t>
      </w:r>
      <w:r w:rsidR="00C04A4A">
        <w:t>-</w:t>
      </w:r>
      <w:r>
        <w:t xml:space="preserve">General in 1968 and updated in 1987 and 1991 for entry into force </w:t>
      </w:r>
      <w:r w:rsidR="004857C7">
        <w:t>i</w:t>
      </w:r>
      <w:r w:rsidR="0063705D">
        <w:t>n January 1992;</w:t>
      </w:r>
    </w:p>
    <w:p w14:paraId="20471F67" w14:textId="77777777" w:rsidR="00B07F66" w:rsidRPr="00EA1597" w:rsidRDefault="00B07F66" w:rsidP="00E45350">
      <w:pPr>
        <w:pStyle w:val="elencopuntato"/>
      </w:pPr>
      <w:r w:rsidRPr="00EA1597">
        <w:t>Budget</w:t>
      </w:r>
      <w:r w:rsidR="003D5C59" w:rsidRPr="00EA1597">
        <w:t>ary</w:t>
      </w:r>
      <w:r w:rsidRPr="00EA1597">
        <w:t xml:space="preserve"> and actual </w:t>
      </w:r>
      <w:r w:rsidR="003D5C59" w:rsidRPr="00EA1597">
        <w:t xml:space="preserve">financial data, </w:t>
      </w:r>
      <w:r w:rsidRPr="00EA1597">
        <w:t>a</w:t>
      </w:r>
      <w:r w:rsidR="004857C7" w:rsidRPr="00EA1597">
        <w:t>s</w:t>
      </w:r>
      <w:r w:rsidRPr="00EA1597">
        <w:t xml:space="preserve"> provided </w:t>
      </w:r>
      <w:r w:rsidR="00674379" w:rsidRPr="00604858">
        <w:t xml:space="preserve">by </w:t>
      </w:r>
      <w:r w:rsidR="00604858" w:rsidRPr="00604858">
        <w:t xml:space="preserve">field </w:t>
      </w:r>
      <w:r w:rsidR="00674379" w:rsidRPr="00604858">
        <w:t>staff</w:t>
      </w:r>
      <w:r w:rsidR="00D0671F">
        <w:t xml:space="preserve"> on the spot</w:t>
      </w:r>
      <w:r w:rsidR="0063705D" w:rsidRPr="00604858">
        <w:t>;</w:t>
      </w:r>
    </w:p>
    <w:p w14:paraId="638C6A2A" w14:textId="77777777" w:rsidR="00D12659" w:rsidRPr="00EA1597" w:rsidRDefault="00D0671F" w:rsidP="00E45350">
      <w:pPr>
        <w:pStyle w:val="elencopuntato"/>
      </w:pPr>
      <w:r>
        <w:t>T</w:t>
      </w:r>
      <w:r w:rsidR="00D12659" w:rsidRPr="00EA1597">
        <w:t xml:space="preserve">he supporting materials presented to us at the Regional and Area </w:t>
      </w:r>
      <w:r>
        <w:t>O</w:t>
      </w:r>
      <w:r w:rsidR="00D12659" w:rsidRPr="00EA1597">
        <w:t>ffice</w:t>
      </w:r>
      <w:r w:rsidR="004857C7" w:rsidRPr="00EA1597">
        <w:t>s</w:t>
      </w:r>
      <w:r w:rsidR="0063705D">
        <w:t>;</w:t>
      </w:r>
    </w:p>
    <w:p w14:paraId="1CD1AC7F" w14:textId="77777777" w:rsidR="008B6845" w:rsidRPr="00EA1597" w:rsidRDefault="008B6845" w:rsidP="00E45350">
      <w:pPr>
        <w:pStyle w:val="elencopuntato"/>
      </w:pPr>
      <w:r w:rsidRPr="00EA1597">
        <w:t xml:space="preserve">Report </w:t>
      </w:r>
      <w:r w:rsidR="00E45350" w:rsidRPr="00EA1597">
        <w:t>by the Secretary</w:t>
      </w:r>
      <w:r w:rsidRPr="00EA1597">
        <w:t>-</w:t>
      </w:r>
      <w:r w:rsidR="00E45350" w:rsidRPr="00EA1597">
        <w:t xml:space="preserve">General </w:t>
      </w:r>
      <w:r w:rsidRPr="00EA1597">
        <w:t>"Results of the survey of satisfaction with ITU's regional presence" (Document C17/INF/12-E)</w:t>
      </w:r>
      <w:r w:rsidR="0063705D">
        <w:t>;</w:t>
      </w:r>
    </w:p>
    <w:p w14:paraId="32D33272" w14:textId="77777777" w:rsidR="002D7041" w:rsidRPr="00EA1597" w:rsidRDefault="008B6845" w:rsidP="00E45350">
      <w:pPr>
        <w:pStyle w:val="elencopuntato"/>
      </w:pPr>
      <w:r w:rsidRPr="00EA1597">
        <w:t>Report</w:t>
      </w:r>
      <w:r w:rsidR="00C04A4A">
        <w:t>s</w:t>
      </w:r>
      <w:r w:rsidRPr="00EA1597">
        <w:t xml:space="preserve"> by the Secretary-General "Strengthening the regional presence" (Document</w:t>
      </w:r>
      <w:r w:rsidR="003E05FC">
        <w:t>s</w:t>
      </w:r>
      <w:r w:rsidRPr="00EA1597">
        <w:t xml:space="preserve"> </w:t>
      </w:r>
      <w:r w:rsidR="003E05FC">
        <w:t xml:space="preserve">C17/25-E and </w:t>
      </w:r>
      <w:r w:rsidRPr="00EA1597">
        <w:t>C18/25-E</w:t>
      </w:r>
      <w:r w:rsidR="002D7041" w:rsidRPr="00EA1597">
        <w:t xml:space="preserve"> and </w:t>
      </w:r>
      <w:r w:rsidR="003E05FC">
        <w:t xml:space="preserve">their </w:t>
      </w:r>
      <w:r w:rsidR="002D7041" w:rsidRPr="00EA1597">
        <w:t>annexes</w:t>
      </w:r>
      <w:r w:rsidRPr="00EA1597">
        <w:t>)</w:t>
      </w:r>
      <w:r w:rsidR="0063705D">
        <w:t>;</w:t>
      </w:r>
    </w:p>
    <w:p w14:paraId="6B42FCA1" w14:textId="77777777" w:rsidR="002D7041" w:rsidRPr="00EA1597" w:rsidRDefault="002D7041" w:rsidP="00E45350">
      <w:pPr>
        <w:pStyle w:val="elencopuntato"/>
      </w:pPr>
      <w:r w:rsidRPr="00EA1597">
        <w:t>ITU-D Performance report for 2017</w:t>
      </w:r>
      <w:r w:rsidR="0063705D">
        <w:t>;</w:t>
      </w:r>
    </w:p>
    <w:p w14:paraId="03E295B1" w14:textId="77777777" w:rsidR="00D12659" w:rsidRPr="00EA1597" w:rsidRDefault="002D7041" w:rsidP="00E45350">
      <w:pPr>
        <w:pStyle w:val="elencopuntato"/>
      </w:pPr>
      <w:r w:rsidRPr="00EA1597">
        <w:t xml:space="preserve">Quarterly reports </w:t>
      </w:r>
      <w:r w:rsidR="005572DD" w:rsidRPr="00EA1597">
        <w:t xml:space="preserve">on the </w:t>
      </w:r>
      <w:r w:rsidR="00EA1597" w:rsidRPr="00EA1597">
        <w:t xml:space="preserve">overall </w:t>
      </w:r>
      <w:r w:rsidR="00D12659" w:rsidRPr="00EA1597">
        <w:t>implement</w:t>
      </w:r>
      <w:r w:rsidR="005572DD" w:rsidRPr="00EA1597">
        <w:t xml:space="preserve">ation </w:t>
      </w:r>
      <w:r w:rsidR="00EA1597" w:rsidRPr="00EA1597">
        <w:t>of the objectives of the ITU-D Strategic and Operational plan</w:t>
      </w:r>
      <w:r w:rsidR="00D12659" w:rsidRPr="00EA1597">
        <w:t>.</w:t>
      </w:r>
    </w:p>
    <w:p w14:paraId="26955BAD" w14:textId="77777777" w:rsidR="00311654" w:rsidRPr="00C10739" w:rsidRDefault="00311654" w:rsidP="00B4431B">
      <w:pPr>
        <w:pStyle w:val="testobase"/>
      </w:pPr>
      <w:r>
        <w:t>We also took into account the findings and conclusions of two major reports issued by the UN Joint Inspection Unit: JIU/REP/2009/3 "Effectiveness of the International Telecommunication Union regional presence”, and JIU/REP/2016/1 "Review of Management and administration in the International Telecommunication Union".</w:t>
      </w:r>
    </w:p>
    <w:p w14:paraId="4AEAD46A" w14:textId="77777777" w:rsidR="008739B4" w:rsidRPr="00EF7ABF" w:rsidRDefault="00AF1BDD" w:rsidP="00B4431B">
      <w:pPr>
        <w:pStyle w:val="testobase"/>
      </w:pPr>
      <w:r w:rsidRPr="00C5111A">
        <w:t xml:space="preserve">Audit evidence was obtained from (i) interviews with Management, </w:t>
      </w:r>
      <w:r w:rsidR="00C5111A" w:rsidRPr="00C5111A">
        <w:t>and (ii</w:t>
      </w:r>
      <w:r w:rsidRPr="00C5111A">
        <w:t xml:space="preserve">) </w:t>
      </w:r>
      <w:r w:rsidR="00D0671F">
        <w:t xml:space="preserve">the </w:t>
      </w:r>
      <w:r w:rsidRPr="00C5111A">
        <w:t xml:space="preserve">direct assessment and analysis of internal documents and data presented </w:t>
      </w:r>
      <w:r w:rsidR="00C5111A" w:rsidRPr="00C5111A">
        <w:t xml:space="preserve">to us </w:t>
      </w:r>
      <w:r w:rsidRPr="00C5111A">
        <w:t>by H</w:t>
      </w:r>
      <w:r w:rsidR="00C5111A" w:rsidRPr="00C5111A">
        <w:t>eadquarters and RO</w:t>
      </w:r>
      <w:r w:rsidRPr="00C5111A">
        <w:t xml:space="preserve"> Management. The audit did not perform a direct qualitative and quantitative assessment of the figures reported</w:t>
      </w:r>
      <w:r w:rsidR="00C5111A">
        <w:t xml:space="preserve"> to us</w:t>
      </w:r>
      <w:r w:rsidR="000B37F5">
        <w:t xml:space="preserve"> </w:t>
      </w:r>
      <w:r w:rsidR="000B37F5" w:rsidRPr="003E05FC">
        <w:t>and the Council</w:t>
      </w:r>
      <w:r w:rsidRPr="00C5111A">
        <w:t xml:space="preserve">, which remain </w:t>
      </w:r>
      <w:r w:rsidR="00D0671F">
        <w:t>under</w:t>
      </w:r>
      <w:r w:rsidRPr="00C5111A">
        <w:t xml:space="preserve"> the Management’s responsibility</w:t>
      </w:r>
      <w:r w:rsidR="00311654">
        <w:t>.</w:t>
      </w:r>
    </w:p>
    <w:p w14:paraId="2DE3B4CF" w14:textId="77777777" w:rsidR="00D0245F" w:rsidRDefault="008739B4" w:rsidP="00FE46D9">
      <w:pPr>
        <w:pStyle w:val="testobase"/>
      </w:pPr>
      <w:r w:rsidRPr="00D0245F">
        <w:t>The cumulated budget assigned to Regional Offices and Area Offices</w:t>
      </w:r>
      <w:r w:rsidR="00FE46D9" w:rsidRPr="00D0245F">
        <w:t xml:space="preserve"> for the activities under the Operational Plan</w:t>
      </w:r>
      <w:r w:rsidRPr="00D0245F">
        <w:t xml:space="preserve"> </w:t>
      </w:r>
      <w:r w:rsidR="003E05FC" w:rsidRPr="00D0245F">
        <w:t>for the period 2015-</w:t>
      </w:r>
      <w:r w:rsidR="00674379" w:rsidRPr="00D0245F">
        <w:t xml:space="preserve">2017 </w:t>
      </w:r>
      <w:r w:rsidRPr="00D0245F">
        <w:t xml:space="preserve">was </w:t>
      </w:r>
      <w:r w:rsidR="00326123" w:rsidRPr="00D0245F">
        <w:t xml:space="preserve">around </w:t>
      </w:r>
      <w:r w:rsidR="00FE46D9" w:rsidRPr="00D0245F">
        <w:t xml:space="preserve">9.0 million </w:t>
      </w:r>
      <w:r w:rsidR="00D0245F" w:rsidRPr="00D0245F">
        <w:t>CHF</w:t>
      </w:r>
      <w:r w:rsidR="005B32FE" w:rsidRPr="00D0245F">
        <w:rPr>
          <w:rStyle w:val="FootnoteReference"/>
        </w:rPr>
        <w:footnoteReference w:id="10"/>
      </w:r>
      <w:r w:rsidR="00D0245F" w:rsidRPr="00D0245F">
        <w:t>.</w:t>
      </w:r>
    </w:p>
    <w:p w14:paraId="139C3BEC" w14:textId="77777777" w:rsidR="00D0245F" w:rsidRDefault="00D0245F">
      <w:pPr>
        <w:adjustRightInd/>
        <w:spacing w:before="0" w:after="200"/>
        <w:ind w:firstLine="0"/>
        <w:jc w:val="left"/>
      </w:pPr>
      <w:r>
        <w:br w:type="page"/>
      </w:r>
    </w:p>
    <w:p w14:paraId="6BB39497" w14:textId="77777777" w:rsidR="00674379" w:rsidRPr="000B661D" w:rsidRDefault="008739B4" w:rsidP="000B661D">
      <w:pPr>
        <w:pStyle w:val="titolettotabella"/>
      </w:pPr>
      <w:r w:rsidRPr="000B661D">
        <w:t>The Budget assigned to the Americas Region</w:t>
      </w:r>
      <w:r w:rsidR="00AC55C1">
        <w:fldChar w:fldCharType="begin"/>
      </w:r>
      <w:r w:rsidR="00674379" w:rsidRPr="000B661D">
        <w:instrText xml:space="preserve"> LINK Excel.Sheet.12 "Cartel1" "Foglio1!R4C5:R11C11" \a \f 4 \h </w:instrText>
      </w:r>
      <w:r w:rsidR="009709A6" w:rsidRPr="000B661D">
        <w:instrText xml:space="preserve"> \* MERGEFORMAT </w:instrText>
      </w:r>
      <w:r w:rsidR="00AC55C1">
        <w:fldChar w:fldCharType="separate"/>
      </w:r>
    </w:p>
    <w:tbl>
      <w:tblPr>
        <w:tblW w:w="9062" w:type="dxa"/>
        <w:tblLayout w:type="fixed"/>
        <w:tblCellMar>
          <w:left w:w="70" w:type="dxa"/>
          <w:right w:w="70" w:type="dxa"/>
        </w:tblCellMar>
        <w:tblLook w:val="04A0" w:firstRow="1" w:lastRow="0" w:firstColumn="1" w:lastColumn="0" w:noHBand="0" w:noVBand="1"/>
      </w:tblPr>
      <w:tblGrid>
        <w:gridCol w:w="1397"/>
        <w:gridCol w:w="1145"/>
        <w:gridCol w:w="1417"/>
        <w:gridCol w:w="1134"/>
        <w:gridCol w:w="1418"/>
        <w:gridCol w:w="1134"/>
        <w:gridCol w:w="1417"/>
      </w:tblGrid>
      <w:tr w:rsidR="00674379" w:rsidRPr="00674379" w14:paraId="32A505F5" w14:textId="77777777" w:rsidTr="009709A6">
        <w:trPr>
          <w:trHeight w:val="735"/>
        </w:trPr>
        <w:tc>
          <w:tcPr>
            <w:tcW w:w="1397"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6358461C"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4"/>
                <w:szCs w:val="24"/>
                <w:lang w:val="it-IT"/>
              </w:rPr>
            </w:pPr>
            <w:r w:rsidRPr="00674379">
              <w:rPr>
                <w:rFonts w:ascii="Calibri" w:eastAsia="Times New Roman" w:hAnsi="Calibri" w:cs="Calibri"/>
                <w:b/>
                <w:bCs/>
                <w:color w:val="000000"/>
                <w:sz w:val="24"/>
                <w:szCs w:val="24"/>
                <w:lang w:val="it-IT"/>
              </w:rPr>
              <w:t>REGIONAL AND AREA OFFICES</w:t>
            </w:r>
          </w:p>
        </w:tc>
        <w:tc>
          <w:tcPr>
            <w:tcW w:w="2562" w:type="dxa"/>
            <w:gridSpan w:val="2"/>
            <w:tcBorders>
              <w:top w:val="single" w:sz="8" w:space="0" w:color="auto"/>
              <w:left w:val="nil"/>
              <w:bottom w:val="single" w:sz="8" w:space="0" w:color="auto"/>
              <w:right w:val="single" w:sz="8" w:space="0" w:color="000000"/>
            </w:tcBorders>
            <w:shd w:val="clear" w:color="000000" w:fill="5B9BD5"/>
            <w:noWrap/>
            <w:vAlign w:val="center"/>
            <w:hideMark/>
          </w:tcPr>
          <w:p w14:paraId="4C8697AF"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4"/>
                <w:szCs w:val="24"/>
                <w:lang w:val="it-IT"/>
              </w:rPr>
            </w:pPr>
            <w:r w:rsidRPr="00674379">
              <w:rPr>
                <w:rFonts w:ascii="Calibri" w:eastAsia="Times New Roman" w:hAnsi="Calibri" w:cs="Calibri"/>
                <w:b/>
                <w:bCs/>
                <w:color w:val="000000"/>
                <w:sz w:val="24"/>
                <w:szCs w:val="24"/>
                <w:lang w:val="it-IT"/>
              </w:rPr>
              <w:t>2015</w:t>
            </w:r>
          </w:p>
        </w:tc>
        <w:tc>
          <w:tcPr>
            <w:tcW w:w="2552" w:type="dxa"/>
            <w:gridSpan w:val="2"/>
            <w:tcBorders>
              <w:top w:val="single" w:sz="8" w:space="0" w:color="auto"/>
              <w:left w:val="nil"/>
              <w:bottom w:val="single" w:sz="8" w:space="0" w:color="auto"/>
              <w:right w:val="single" w:sz="8" w:space="0" w:color="000000"/>
            </w:tcBorders>
            <w:shd w:val="clear" w:color="000000" w:fill="5B9BD5"/>
            <w:noWrap/>
            <w:vAlign w:val="center"/>
            <w:hideMark/>
          </w:tcPr>
          <w:p w14:paraId="6275E38C"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4"/>
                <w:szCs w:val="24"/>
                <w:lang w:val="it-IT"/>
              </w:rPr>
            </w:pPr>
            <w:r w:rsidRPr="00674379">
              <w:rPr>
                <w:rFonts w:ascii="Calibri" w:eastAsia="Times New Roman" w:hAnsi="Calibri" w:cs="Calibri"/>
                <w:b/>
                <w:bCs/>
                <w:color w:val="000000"/>
                <w:sz w:val="24"/>
                <w:szCs w:val="24"/>
                <w:lang w:val="it-IT"/>
              </w:rPr>
              <w:t>2016</w:t>
            </w:r>
          </w:p>
        </w:tc>
        <w:tc>
          <w:tcPr>
            <w:tcW w:w="2551" w:type="dxa"/>
            <w:gridSpan w:val="2"/>
            <w:tcBorders>
              <w:top w:val="single" w:sz="8" w:space="0" w:color="auto"/>
              <w:left w:val="nil"/>
              <w:bottom w:val="single" w:sz="8" w:space="0" w:color="auto"/>
              <w:right w:val="single" w:sz="8" w:space="0" w:color="000000"/>
            </w:tcBorders>
            <w:shd w:val="clear" w:color="000000" w:fill="5B9BD5"/>
            <w:noWrap/>
            <w:vAlign w:val="center"/>
            <w:hideMark/>
          </w:tcPr>
          <w:p w14:paraId="5FA75CEE"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4"/>
                <w:szCs w:val="24"/>
                <w:lang w:val="it-IT"/>
              </w:rPr>
            </w:pPr>
            <w:r w:rsidRPr="00674379">
              <w:rPr>
                <w:rFonts w:ascii="Calibri" w:eastAsia="Times New Roman" w:hAnsi="Calibri" w:cs="Calibri"/>
                <w:b/>
                <w:bCs/>
                <w:color w:val="000000"/>
                <w:sz w:val="24"/>
                <w:szCs w:val="24"/>
                <w:lang w:val="it-IT"/>
              </w:rPr>
              <w:t>2017</w:t>
            </w:r>
          </w:p>
        </w:tc>
      </w:tr>
      <w:tr w:rsidR="00674379" w:rsidRPr="00674379" w14:paraId="61F7CE3C" w14:textId="77777777" w:rsidTr="009709A6">
        <w:trPr>
          <w:trHeight w:val="315"/>
        </w:trPr>
        <w:tc>
          <w:tcPr>
            <w:tcW w:w="1397" w:type="dxa"/>
            <w:vMerge/>
            <w:tcBorders>
              <w:top w:val="single" w:sz="8" w:space="0" w:color="auto"/>
              <w:left w:val="single" w:sz="8" w:space="0" w:color="auto"/>
              <w:bottom w:val="single" w:sz="8" w:space="0" w:color="000000"/>
              <w:right w:val="single" w:sz="8" w:space="0" w:color="auto"/>
            </w:tcBorders>
            <w:vAlign w:val="center"/>
            <w:hideMark/>
          </w:tcPr>
          <w:p w14:paraId="7FE24644" w14:textId="77777777" w:rsidR="00674379" w:rsidRPr="00674379" w:rsidRDefault="00674379" w:rsidP="00674379">
            <w:pPr>
              <w:adjustRightInd/>
              <w:spacing w:before="0" w:line="240" w:lineRule="auto"/>
              <w:ind w:firstLine="0"/>
              <w:jc w:val="left"/>
              <w:rPr>
                <w:rFonts w:ascii="Calibri" w:eastAsia="Times New Roman" w:hAnsi="Calibri" w:cs="Calibri"/>
                <w:b/>
                <w:bCs/>
                <w:color w:val="000000"/>
                <w:sz w:val="24"/>
                <w:szCs w:val="24"/>
                <w:lang w:val="it-IT"/>
              </w:rPr>
            </w:pPr>
          </w:p>
        </w:tc>
        <w:tc>
          <w:tcPr>
            <w:tcW w:w="1145" w:type="dxa"/>
            <w:tcBorders>
              <w:top w:val="nil"/>
              <w:left w:val="nil"/>
              <w:bottom w:val="single" w:sz="8" w:space="0" w:color="auto"/>
              <w:right w:val="single" w:sz="8" w:space="0" w:color="auto"/>
            </w:tcBorders>
            <w:shd w:val="clear" w:color="000000" w:fill="5B9BD5"/>
            <w:vAlign w:val="center"/>
            <w:hideMark/>
          </w:tcPr>
          <w:p w14:paraId="26AE9CBC"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BUDGETED</w:t>
            </w:r>
          </w:p>
        </w:tc>
        <w:tc>
          <w:tcPr>
            <w:tcW w:w="1417" w:type="dxa"/>
            <w:tcBorders>
              <w:top w:val="nil"/>
              <w:left w:val="nil"/>
              <w:bottom w:val="single" w:sz="8" w:space="0" w:color="auto"/>
              <w:right w:val="single" w:sz="8" w:space="0" w:color="auto"/>
            </w:tcBorders>
            <w:shd w:val="clear" w:color="000000" w:fill="5B9BD5"/>
            <w:vAlign w:val="center"/>
            <w:hideMark/>
          </w:tcPr>
          <w:p w14:paraId="13BF9FDB"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IMPLEMENTED</w:t>
            </w:r>
          </w:p>
        </w:tc>
        <w:tc>
          <w:tcPr>
            <w:tcW w:w="1134" w:type="dxa"/>
            <w:tcBorders>
              <w:top w:val="nil"/>
              <w:left w:val="nil"/>
              <w:bottom w:val="single" w:sz="8" w:space="0" w:color="auto"/>
              <w:right w:val="single" w:sz="8" w:space="0" w:color="auto"/>
            </w:tcBorders>
            <w:shd w:val="clear" w:color="000000" w:fill="5B9BD5"/>
            <w:vAlign w:val="center"/>
            <w:hideMark/>
          </w:tcPr>
          <w:p w14:paraId="396459F1"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BUDGETED</w:t>
            </w:r>
          </w:p>
        </w:tc>
        <w:tc>
          <w:tcPr>
            <w:tcW w:w="1418" w:type="dxa"/>
            <w:tcBorders>
              <w:top w:val="nil"/>
              <w:left w:val="nil"/>
              <w:bottom w:val="single" w:sz="8" w:space="0" w:color="auto"/>
              <w:right w:val="single" w:sz="8" w:space="0" w:color="auto"/>
            </w:tcBorders>
            <w:shd w:val="clear" w:color="000000" w:fill="5B9BD5"/>
            <w:vAlign w:val="center"/>
            <w:hideMark/>
          </w:tcPr>
          <w:p w14:paraId="59DB5408"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IMPLEMENTED</w:t>
            </w:r>
          </w:p>
        </w:tc>
        <w:tc>
          <w:tcPr>
            <w:tcW w:w="1134" w:type="dxa"/>
            <w:tcBorders>
              <w:top w:val="nil"/>
              <w:left w:val="nil"/>
              <w:bottom w:val="single" w:sz="8" w:space="0" w:color="auto"/>
              <w:right w:val="single" w:sz="8" w:space="0" w:color="auto"/>
            </w:tcBorders>
            <w:shd w:val="clear" w:color="000000" w:fill="5B9BD5"/>
            <w:vAlign w:val="center"/>
            <w:hideMark/>
          </w:tcPr>
          <w:p w14:paraId="4E339CCF"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BUDGETED</w:t>
            </w:r>
          </w:p>
        </w:tc>
        <w:tc>
          <w:tcPr>
            <w:tcW w:w="1417" w:type="dxa"/>
            <w:tcBorders>
              <w:top w:val="nil"/>
              <w:left w:val="nil"/>
              <w:bottom w:val="single" w:sz="8" w:space="0" w:color="auto"/>
              <w:right w:val="single" w:sz="8" w:space="0" w:color="auto"/>
            </w:tcBorders>
            <w:shd w:val="clear" w:color="000000" w:fill="5B9BD5"/>
            <w:vAlign w:val="center"/>
            <w:hideMark/>
          </w:tcPr>
          <w:p w14:paraId="2D138C3D" w14:textId="77777777" w:rsidR="00674379" w:rsidRPr="00674379" w:rsidRDefault="00674379" w:rsidP="00674379">
            <w:pPr>
              <w:adjustRightInd/>
              <w:spacing w:before="0" w:line="240" w:lineRule="auto"/>
              <w:ind w:firstLine="0"/>
              <w:jc w:val="center"/>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IMPLEMENTED</w:t>
            </w:r>
          </w:p>
        </w:tc>
      </w:tr>
      <w:tr w:rsidR="00FE46D9" w:rsidRPr="00674379" w14:paraId="03E1F02B" w14:textId="77777777" w:rsidTr="009709A6">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14:paraId="7AAFB7F9" w14:textId="77777777" w:rsidR="00FE46D9" w:rsidRPr="00674379" w:rsidRDefault="00FE46D9" w:rsidP="00FE46D9">
            <w:pPr>
              <w:adjustRightInd/>
              <w:spacing w:before="0" w:line="240" w:lineRule="auto"/>
              <w:ind w:firstLine="0"/>
              <w:jc w:val="left"/>
              <w:rPr>
                <w:rFonts w:ascii="Calibri" w:eastAsia="Times New Roman" w:hAnsi="Calibri" w:cs="Calibri"/>
                <w:b/>
                <w:bCs/>
                <w:color w:val="000000"/>
                <w:sz w:val="16"/>
                <w:szCs w:val="16"/>
                <w:lang w:val="it-IT"/>
              </w:rPr>
            </w:pPr>
            <w:r w:rsidRPr="00674379">
              <w:rPr>
                <w:rFonts w:ascii="Calibri" w:eastAsia="Times New Roman" w:hAnsi="Calibri" w:cs="Calibri"/>
                <w:b/>
                <w:bCs/>
                <w:color w:val="000000"/>
                <w:sz w:val="16"/>
                <w:szCs w:val="16"/>
                <w:lang w:val="it-IT"/>
              </w:rPr>
              <w:t>BRASIL RO</w:t>
            </w:r>
          </w:p>
        </w:tc>
        <w:tc>
          <w:tcPr>
            <w:tcW w:w="1145" w:type="dxa"/>
            <w:tcBorders>
              <w:top w:val="nil"/>
              <w:left w:val="nil"/>
              <w:bottom w:val="single" w:sz="8" w:space="0" w:color="auto"/>
              <w:right w:val="single" w:sz="8" w:space="0" w:color="auto"/>
            </w:tcBorders>
            <w:shd w:val="clear" w:color="000000" w:fill="FFFFFF"/>
            <w:vAlign w:val="center"/>
            <w:hideMark/>
          </w:tcPr>
          <w:p w14:paraId="4231C60A"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302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506</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0A874DC5"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299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897</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03BF33C5"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257</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715</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8" w:type="dxa"/>
            <w:tcBorders>
              <w:top w:val="nil"/>
              <w:left w:val="nil"/>
              <w:bottom w:val="single" w:sz="8" w:space="0" w:color="auto"/>
              <w:right w:val="single" w:sz="8" w:space="0" w:color="auto"/>
            </w:tcBorders>
            <w:shd w:val="clear" w:color="000000" w:fill="FFFFFF"/>
            <w:vAlign w:val="center"/>
            <w:hideMark/>
          </w:tcPr>
          <w:p w14:paraId="5931BEB1"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260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087</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646D79FE"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167</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069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56EE027A"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165</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451</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r>
      <w:tr w:rsidR="00FE46D9" w:rsidRPr="00674379" w14:paraId="5AFD7E4E" w14:textId="77777777" w:rsidTr="009709A6">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14:paraId="0DC7600A" w14:textId="77777777" w:rsidR="00FE46D9" w:rsidRPr="00674379" w:rsidRDefault="00FE46D9" w:rsidP="00FE46D9">
            <w:pPr>
              <w:adjustRightInd/>
              <w:spacing w:before="0" w:line="240" w:lineRule="auto"/>
              <w:ind w:firstLine="0"/>
              <w:jc w:val="left"/>
              <w:rPr>
                <w:rFonts w:ascii="Calibri" w:eastAsia="Times New Roman" w:hAnsi="Calibri" w:cs="Calibri"/>
                <w:b/>
                <w:bCs/>
                <w:color w:val="000000"/>
                <w:sz w:val="16"/>
                <w:szCs w:val="16"/>
                <w:lang w:val="it-IT"/>
              </w:rPr>
            </w:pPr>
            <w:r w:rsidRPr="00674379">
              <w:rPr>
                <w:rFonts w:ascii="Calibri" w:eastAsia="Times New Roman" w:hAnsi="Calibri" w:cs="Calibri"/>
                <w:b/>
                <w:bCs/>
                <w:color w:val="000000"/>
                <w:sz w:val="16"/>
                <w:szCs w:val="16"/>
                <w:lang w:val="it-IT"/>
              </w:rPr>
              <w:t>BARBADOS RO</w:t>
            </w:r>
          </w:p>
        </w:tc>
        <w:tc>
          <w:tcPr>
            <w:tcW w:w="1145" w:type="dxa"/>
            <w:tcBorders>
              <w:top w:val="nil"/>
              <w:left w:val="nil"/>
              <w:bottom w:val="single" w:sz="8" w:space="0" w:color="auto"/>
              <w:right w:val="single" w:sz="8" w:space="0" w:color="auto"/>
            </w:tcBorders>
            <w:shd w:val="clear" w:color="000000" w:fill="FFFFFF"/>
            <w:vAlign w:val="center"/>
            <w:hideMark/>
          </w:tcPr>
          <w:p w14:paraId="34BC1EE0"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211</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774</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2FF9368A"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207</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949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06AE2AB2"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179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870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8" w:type="dxa"/>
            <w:tcBorders>
              <w:top w:val="nil"/>
              <w:left w:val="nil"/>
              <w:bottom w:val="single" w:sz="8" w:space="0" w:color="auto"/>
              <w:right w:val="single" w:sz="8" w:space="0" w:color="auto"/>
            </w:tcBorders>
            <w:shd w:val="clear" w:color="000000" w:fill="FFFFFF"/>
            <w:vAlign w:val="center"/>
            <w:hideMark/>
          </w:tcPr>
          <w:p w14:paraId="62A8AAFB"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178</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713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7BB4417C"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190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4D413E3D"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188</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423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r>
      <w:tr w:rsidR="00FE46D9" w:rsidRPr="00674379" w14:paraId="28D95563" w14:textId="77777777" w:rsidTr="009709A6">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14:paraId="49E34F80" w14:textId="77777777" w:rsidR="00FE46D9" w:rsidRPr="00674379" w:rsidRDefault="00FE46D9" w:rsidP="00FE46D9">
            <w:pPr>
              <w:adjustRightInd/>
              <w:spacing w:before="0" w:line="240" w:lineRule="auto"/>
              <w:ind w:firstLine="0"/>
              <w:jc w:val="left"/>
              <w:rPr>
                <w:rFonts w:ascii="Calibri" w:eastAsia="Times New Roman" w:hAnsi="Calibri" w:cs="Calibri"/>
                <w:b/>
                <w:bCs/>
                <w:color w:val="000000"/>
                <w:sz w:val="16"/>
                <w:szCs w:val="16"/>
                <w:lang w:val="it-IT"/>
              </w:rPr>
            </w:pPr>
            <w:r w:rsidRPr="00674379">
              <w:rPr>
                <w:rFonts w:ascii="Calibri" w:eastAsia="Times New Roman" w:hAnsi="Calibri" w:cs="Calibri"/>
                <w:b/>
                <w:bCs/>
                <w:color w:val="000000"/>
                <w:sz w:val="16"/>
                <w:szCs w:val="16"/>
                <w:lang w:val="it-IT"/>
              </w:rPr>
              <w:t>SANTIAGO RO</w:t>
            </w:r>
          </w:p>
        </w:tc>
        <w:tc>
          <w:tcPr>
            <w:tcW w:w="1145" w:type="dxa"/>
            <w:tcBorders>
              <w:top w:val="nil"/>
              <w:left w:val="nil"/>
              <w:bottom w:val="single" w:sz="8" w:space="0" w:color="auto"/>
              <w:right w:val="single" w:sz="8" w:space="0" w:color="auto"/>
            </w:tcBorders>
            <w:shd w:val="clear" w:color="000000" w:fill="FFFFFF"/>
            <w:vAlign w:val="center"/>
            <w:hideMark/>
          </w:tcPr>
          <w:p w14:paraId="306DC12F"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66</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796</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7D990030"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64</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179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71A922A7"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112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628</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8" w:type="dxa"/>
            <w:tcBorders>
              <w:top w:val="nil"/>
              <w:left w:val="nil"/>
              <w:bottom w:val="single" w:sz="8" w:space="0" w:color="auto"/>
              <w:right w:val="single" w:sz="8" w:space="0" w:color="auto"/>
            </w:tcBorders>
            <w:shd w:val="clear" w:color="000000" w:fill="FFFFFF"/>
            <w:vAlign w:val="center"/>
            <w:hideMark/>
          </w:tcPr>
          <w:p w14:paraId="00A34C32"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112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566</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13AEC075"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113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931</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3219F503"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112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970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r>
      <w:tr w:rsidR="00FE46D9" w:rsidRPr="00674379" w14:paraId="5FC73AD7" w14:textId="77777777" w:rsidTr="009709A6">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14:paraId="34AD7844" w14:textId="77777777" w:rsidR="00FE46D9" w:rsidRPr="00674379" w:rsidRDefault="00FE46D9" w:rsidP="00FE46D9">
            <w:pPr>
              <w:adjustRightInd/>
              <w:spacing w:before="0" w:line="240" w:lineRule="auto"/>
              <w:ind w:firstLine="0"/>
              <w:jc w:val="left"/>
              <w:rPr>
                <w:rFonts w:ascii="Calibri" w:eastAsia="Times New Roman" w:hAnsi="Calibri" w:cs="Calibri"/>
                <w:b/>
                <w:bCs/>
                <w:color w:val="000000"/>
                <w:sz w:val="16"/>
                <w:szCs w:val="16"/>
                <w:lang w:val="it-IT"/>
              </w:rPr>
            </w:pPr>
            <w:r w:rsidRPr="00674379">
              <w:rPr>
                <w:rFonts w:ascii="Calibri" w:eastAsia="Times New Roman" w:hAnsi="Calibri" w:cs="Calibri"/>
                <w:b/>
                <w:bCs/>
                <w:color w:val="000000"/>
                <w:sz w:val="16"/>
                <w:szCs w:val="16"/>
                <w:lang w:val="it-IT"/>
              </w:rPr>
              <w:t>HONDURAS AO</w:t>
            </w:r>
          </w:p>
        </w:tc>
        <w:tc>
          <w:tcPr>
            <w:tcW w:w="1145" w:type="dxa"/>
            <w:tcBorders>
              <w:top w:val="nil"/>
              <w:left w:val="nil"/>
              <w:bottom w:val="single" w:sz="8" w:space="0" w:color="auto"/>
              <w:right w:val="single" w:sz="8" w:space="0" w:color="auto"/>
            </w:tcBorders>
            <w:shd w:val="clear" w:color="000000" w:fill="FFFFFF"/>
            <w:vAlign w:val="center"/>
            <w:hideMark/>
          </w:tcPr>
          <w:p w14:paraId="7DEB9ADC"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133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393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52A0DD6C"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132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130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005B6542"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91</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990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8" w:type="dxa"/>
            <w:tcBorders>
              <w:top w:val="nil"/>
              <w:left w:val="nil"/>
              <w:bottom w:val="single" w:sz="8" w:space="0" w:color="auto"/>
              <w:right w:val="single" w:sz="8" w:space="0" w:color="auto"/>
            </w:tcBorders>
            <w:shd w:val="clear" w:color="000000" w:fill="FFFFFF"/>
            <w:vAlign w:val="center"/>
            <w:hideMark/>
          </w:tcPr>
          <w:p w14:paraId="4D485377"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89</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423</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134" w:type="dxa"/>
            <w:tcBorders>
              <w:top w:val="nil"/>
              <w:left w:val="nil"/>
              <w:bottom w:val="single" w:sz="8" w:space="0" w:color="auto"/>
              <w:right w:val="single" w:sz="8" w:space="0" w:color="auto"/>
            </w:tcBorders>
            <w:shd w:val="clear" w:color="000000" w:fill="FFFFFF"/>
            <w:vAlign w:val="center"/>
            <w:hideMark/>
          </w:tcPr>
          <w:p w14:paraId="6AB6E8CD"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178</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000</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00</w:t>
            </w:r>
          </w:p>
        </w:tc>
        <w:tc>
          <w:tcPr>
            <w:tcW w:w="1417" w:type="dxa"/>
            <w:tcBorders>
              <w:top w:val="nil"/>
              <w:left w:val="nil"/>
              <w:bottom w:val="single" w:sz="8" w:space="0" w:color="auto"/>
              <w:right w:val="single" w:sz="8" w:space="0" w:color="auto"/>
            </w:tcBorders>
            <w:shd w:val="clear" w:color="000000" w:fill="FFFFFF"/>
            <w:vAlign w:val="center"/>
            <w:hideMark/>
          </w:tcPr>
          <w:p w14:paraId="060DF045" w14:textId="77777777" w:rsidR="00FE46D9" w:rsidRPr="00674379" w:rsidRDefault="00FE46D9" w:rsidP="00FE46D9">
            <w:pPr>
              <w:adjustRightInd/>
              <w:spacing w:before="0" w:line="240" w:lineRule="auto"/>
              <w:ind w:firstLine="0"/>
              <w:jc w:val="right"/>
              <w:rPr>
                <w:rFonts w:ascii="Calibri" w:eastAsia="Times New Roman" w:hAnsi="Calibri" w:cs="Calibri"/>
                <w:color w:val="000000"/>
                <w:sz w:val="16"/>
                <w:szCs w:val="16"/>
                <w:lang w:val="it-IT"/>
              </w:rPr>
            </w:pPr>
            <w:r w:rsidRPr="00674379">
              <w:rPr>
                <w:rFonts w:ascii="Calibri" w:eastAsia="Times New Roman" w:hAnsi="Calibri" w:cs="Calibri"/>
                <w:color w:val="000000"/>
                <w:sz w:val="16"/>
                <w:szCs w:val="16"/>
                <w:lang w:val="it-IT"/>
              </w:rPr>
              <w:t>182</w:t>
            </w:r>
            <w:r>
              <w:rPr>
                <w:rFonts w:ascii="Calibri" w:eastAsia="Times New Roman" w:hAnsi="Calibri" w:cs="Calibri"/>
                <w:color w:val="000000"/>
                <w:sz w:val="16"/>
                <w:szCs w:val="16"/>
                <w:lang w:val="it-IT"/>
              </w:rPr>
              <w:t>,</w:t>
            </w:r>
            <w:r w:rsidRPr="00674379">
              <w:rPr>
                <w:rFonts w:ascii="Calibri" w:eastAsia="Times New Roman" w:hAnsi="Calibri" w:cs="Calibri"/>
                <w:color w:val="000000"/>
                <w:sz w:val="16"/>
                <w:szCs w:val="16"/>
                <w:lang w:val="it-IT"/>
              </w:rPr>
              <w:t>144</w:t>
            </w:r>
            <w:r>
              <w:rPr>
                <w:rFonts w:ascii="Calibri" w:eastAsia="Times New Roman" w:hAnsi="Calibri" w:cs="Calibri"/>
                <w:color w:val="000000"/>
                <w:sz w:val="16"/>
                <w:szCs w:val="16"/>
                <w:lang w:val="it-IT"/>
              </w:rPr>
              <w:t>.0</w:t>
            </w:r>
            <w:r w:rsidRPr="00674379">
              <w:rPr>
                <w:rFonts w:ascii="Calibri" w:eastAsia="Times New Roman" w:hAnsi="Calibri" w:cs="Calibri"/>
                <w:color w:val="000000"/>
                <w:sz w:val="16"/>
                <w:szCs w:val="16"/>
                <w:lang w:val="it-IT"/>
              </w:rPr>
              <w:t>0</w:t>
            </w:r>
          </w:p>
        </w:tc>
      </w:tr>
      <w:tr w:rsidR="00326123" w:rsidRPr="00674379" w14:paraId="1CEE77AF" w14:textId="77777777" w:rsidTr="009709A6">
        <w:trPr>
          <w:trHeight w:val="315"/>
        </w:trPr>
        <w:tc>
          <w:tcPr>
            <w:tcW w:w="1397" w:type="dxa"/>
            <w:tcBorders>
              <w:top w:val="nil"/>
              <w:left w:val="single" w:sz="8" w:space="0" w:color="auto"/>
              <w:bottom w:val="single" w:sz="8" w:space="0" w:color="auto"/>
              <w:right w:val="single" w:sz="8" w:space="0" w:color="auto"/>
            </w:tcBorders>
            <w:shd w:val="clear" w:color="000000" w:fill="5B9BD5"/>
            <w:vAlign w:val="center"/>
            <w:hideMark/>
          </w:tcPr>
          <w:p w14:paraId="792937A6" w14:textId="77777777" w:rsidR="00326123" w:rsidRPr="00674379" w:rsidRDefault="00326123" w:rsidP="00326123">
            <w:pPr>
              <w:adjustRightInd/>
              <w:spacing w:before="0" w:line="240" w:lineRule="auto"/>
              <w:ind w:firstLine="0"/>
              <w:jc w:val="left"/>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TOTAL CHF</w:t>
            </w:r>
          </w:p>
        </w:tc>
        <w:tc>
          <w:tcPr>
            <w:tcW w:w="1145" w:type="dxa"/>
            <w:tcBorders>
              <w:top w:val="nil"/>
              <w:left w:val="nil"/>
              <w:bottom w:val="single" w:sz="8" w:space="0" w:color="auto"/>
              <w:right w:val="single" w:sz="8" w:space="0" w:color="auto"/>
            </w:tcBorders>
            <w:shd w:val="clear" w:color="000000" w:fill="5B9BD5"/>
            <w:vAlign w:val="center"/>
            <w:hideMark/>
          </w:tcPr>
          <w:p w14:paraId="3D48CA93"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Pr>
                <w:rFonts w:ascii="Calibri" w:eastAsia="Times New Roman" w:hAnsi="Calibri" w:cs="Calibri"/>
                <w:b/>
                <w:bCs/>
                <w:color w:val="000000"/>
                <w:sz w:val="20"/>
                <w:szCs w:val="20"/>
                <w:lang w:val="it-IT"/>
              </w:rPr>
              <w:t>714,469.00</w:t>
            </w:r>
          </w:p>
        </w:tc>
        <w:tc>
          <w:tcPr>
            <w:tcW w:w="1417" w:type="dxa"/>
            <w:tcBorders>
              <w:top w:val="nil"/>
              <w:left w:val="nil"/>
              <w:bottom w:val="single" w:sz="8" w:space="0" w:color="auto"/>
              <w:right w:val="single" w:sz="8" w:space="0" w:color="auto"/>
            </w:tcBorders>
            <w:shd w:val="clear" w:color="000000" w:fill="5B9BD5"/>
            <w:vAlign w:val="center"/>
            <w:hideMark/>
          </w:tcPr>
          <w:p w14:paraId="2C903934"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Pr>
                <w:rFonts w:ascii="Calibri" w:eastAsia="Times New Roman" w:hAnsi="Calibri" w:cs="Calibri"/>
                <w:b/>
                <w:bCs/>
                <w:color w:val="000000"/>
                <w:sz w:val="20"/>
                <w:szCs w:val="20"/>
                <w:lang w:val="it-IT"/>
              </w:rPr>
              <w:t>704,155.00</w:t>
            </w:r>
          </w:p>
        </w:tc>
        <w:tc>
          <w:tcPr>
            <w:tcW w:w="1134" w:type="dxa"/>
            <w:tcBorders>
              <w:top w:val="nil"/>
              <w:left w:val="nil"/>
              <w:bottom w:val="single" w:sz="8" w:space="0" w:color="auto"/>
              <w:right w:val="single" w:sz="8" w:space="0" w:color="auto"/>
            </w:tcBorders>
            <w:shd w:val="clear" w:color="000000" w:fill="5B9BD5"/>
            <w:vAlign w:val="center"/>
            <w:hideMark/>
          </w:tcPr>
          <w:p w14:paraId="33EF4487"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642</w:t>
            </w:r>
            <w:r>
              <w:rPr>
                <w:rFonts w:ascii="Calibri" w:eastAsia="Times New Roman" w:hAnsi="Calibri" w:cs="Calibri"/>
                <w:b/>
                <w:bCs/>
                <w:color w:val="000000"/>
                <w:sz w:val="20"/>
                <w:szCs w:val="20"/>
                <w:lang w:val="it-IT"/>
              </w:rPr>
              <w:t>,</w:t>
            </w:r>
            <w:r w:rsidRPr="00674379">
              <w:rPr>
                <w:rFonts w:ascii="Calibri" w:eastAsia="Times New Roman" w:hAnsi="Calibri" w:cs="Calibri"/>
                <w:b/>
                <w:bCs/>
                <w:color w:val="000000"/>
                <w:sz w:val="20"/>
                <w:szCs w:val="20"/>
                <w:lang w:val="it-IT"/>
              </w:rPr>
              <w:t>203</w:t>
            </w:r>
            <w:r>
              <w:rPr>
                <w:rFonts w:ascii="Calibri" w:eastAsia="Times New Roman" w:hAnsi="Calibri" w:cs="Calibri"/>
                <w:b/>
                <w:bCs/>
                <w:color w:val="000000"/>
                <w:sz w:val="20"/>
                <w:szCs w:val="20"/>
                <w:lang w:val="it-IT"/>
              </w:rPr>
              <w:t>.</w:t>
            </w:r>
            <w:r w:rsidRPr="00674379">
              <w:rPr>
                <w:rFonts w:ascii="Calibri" w:eastAsia="Times New Roman" w:hAnsi="Calibri" w:cs="Calibri"/>
                <w:b/>
                <w:bCs/>
                <w:color w:val="000000"/>
                <w:sz w:val="20"/>
                <w:szCs w:val="20"/>
                <w:lang w:val="it-IT"/>
              </w:rPr>
              <w:t>00</w:t>
            </w:r>
          </w:p>
        </w:tc>
        <w:tc>
          <w:tcPr>
            <w:tcW w:w="1418" w:type="dxa"/>
            <w:tcBorders>
              <w:top w:val="nil"/>
              <w:left w:val="nil"/>
              <w:bottom w:val="single" w:sz="8" w:space="0" w:color="auto"/>
              <w:right w:val="single" w:sz="8" w:space="0" w:color="auto"/>
            </w:tcBorders>
            <w:shd w:val="clear" w:color="000000" w:fill="5B9BD5"/>
            <w:vAlign w:val="center"/>
            <w:hideMark/>
          </w:tcPr>
          <w:p w14:paraId="7D24B134"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sidRPr="00674379">
              <w:rPr>
                <w:rFonts w:ascii="Calibri" w:eastAsia="Times New Roman" w:hAnsi="Calibri" w:cs="Calibri"/>
                <w:b/>
                <w:bCs/>
                <w:color w:val="000000"/>
                <w:sz w:val="20"/>
                <w:szCs w:val="20"/>
                <w:lang w:val="it-IT"/>
              </w:rPr>
              <w:t>640</w:t>
            </w:r>
            <w:r>
              <w:rPr>
                <w:rFonts w:ascii="Calibri" w:eastAsia="Times New Roman" w:hAnsi="Calibri" w:cs="Calibri"/>
                <w:b/>
                <w:bCs/>
                <w:color w:val="000000"/>
                <w:sz w:val="20"/>
                <w:szCs w:val="20"/>
                <w:lang w:val="it-IT"/>
              </w:rPr>
              <w:t>,</w:t>
            </w:r>
            <w:r w:rsidRPr="00674379">
              <w:rPr>
                <w:rFonts w:ascii="Calibri" w:eastAsia="Times New Roman" w:hAnsi="Calibri" w:cs="Calibri"/>
                <w:b/>
                <w:bCs/>
                <w:color w:val="000000"/>
                <w:sz w:val="20"/>
                <w:szCs w:val="20"/>
                <w:lang w:val="it-IT"/>
              </w:rPr>
              <w:t>789</w:t>
            </w:r>
            <w:r>
              <w:rPr>
                <w:rFonts w:ascii="Calibri" w:eastAsia="Times New Roman" w:hAnsi="Calibri" w:cs="Calibri"/>
                <w:b/>
                <w:bCs/>
                <w:color w:val="000000"/>
                <w:sz w:val="20"/>
                <w:szCs w:val="20"/>
                <w:lang w:val="it-IT"/>
              </w:rPr>
              <w:t>.</w:t>
            </w:r>
            <w:r w:rsidRPr="00674379">
              <w:rPr>
                <w:rFonts w:ascii="Calibri" w:eastAsia="Times New Roman" w:hAnsi="Calibri" w:cs="Calibri"/>
                <w:b/>
                <w:bCs/>
                <w:color w:val="000000"/>
                <w:sz w:val="20"/>
                <w:szCs w:val="20"/>
                <w:lang w:val="it-IT"/>
              </w:rPr>
              <w:t>00</w:t>
            </w:r>
          </w:p>
        </w:tc>
        <w:tc>
          <w:tcPr>
            <w:tcW w:w="1134" w:type="dxa"/>
            <w:tcBorders>
              <w:top w:val="nil"/>
              <w:left w:val="nil"/>
              <w:bottom w:val="single" w:sz="8" w:space="0" w:color="auto"/>
              <w:right w:val="single" w:sz="8" w:space="0" w:color="auto"/>
            </w:tcBorders>
            <w:shd w:val="clear" w:color="000000" w:fill="5B9BD5"/>
            <w:vAlign w:val="center"/>
            <w:hideMark/>
          </w:tcPr>
          <w:p w14:paraId="03AF00A5"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Pr>
                <w:rFonts w:ascii="Calibri" w:eastAsia="Times New Roman" w:hAnsi="Calibri" w:cs="Calibri"/>
                <w:b/>
                <w:bCs/>
                <w:color w:val="000000"/>
                <w:sz w:val="20"/>
                <w:szCs w:val="20"/>
                <w:lang w:val="it-IT"/>
              </w:rPr>
              <w:t>649,000.00</w:t>
            </w:r>
          </w:p>
        </w:tc>
        <w:tc>
          <w:tcPr>
            <w:tcW w:w="1417" w:type="dxa"/>
            <w:tcBorders>
              <w:top w:val="nil"/>
              <w:left w:val="nil"/>
              <w:bottom w:val="single" w:sz="8" w:space="0" w:color="auto"/>
              <w:right w:val="single" w:sz="8" w:space="0" w:color="auto"/>
            </w:tcBorders>
            <w:shd w:val="clear" w:color="000000" w:fill="5B9BD5"/>
            <w:vAlign w:val="center"/>
            <w:hideMark/>
          </w:tcPr>
          <w:p w14:paraId="6BB86B04" w14:textId="77777777" w:rsidR="00326123" w:rsidRPr="00674379" w:rsidRDefault="00326123" w:rsidP="00326123">
            <w:pPr>
              <w:adjustRightInd/>
              <w:spacing w:before="0" w:line="240" w:lineRule="auto"/>
              <w:ind w:firstLine="0"/>
              <w:jc w:val="right"/>
              <w:rPr>
                <w:rFonts w:ascii="Calibri" w:eastAsia="Times New Roman" w:hAnsi="Calibri" w:cs="Calibri"/>
                <w:b/>
                <w:bCs/>
                <w:color w:val="000000"/>
                <w:sz w:val="20"/>
                <w:szCs w:val="20"/>
                <w:lang w:val="it-IT"/>
              </w:rPr>
            </w:pPr>
            <w:r>
              <w:rPr>
                <w:rFonts w:ascii="Calibri" w:eastAsia="Times New Roman" w:hAnsi="Calibri" w:cs="Calibri"/>
                <w:b/>
                <w:bCs/>
                <w:color w:val="000000"/>
                <w:sz w:val="20"/>
                <w:szCs w:val="20"/>
                <w:lang w:val="it-IT"/>
              </w:rPr>
              <w:t>648,988.00</w:t>
            </w:r>
          </w:p>
        </w:tc>
      </w:tr>
    </w:tbl>
    <w:p w14:paraId="0372388A" w14:textId="77777777" w:rsidR="00D0245F" w:rsidRDefault="00AC55C1" w:rsidP="00D0245F">
      <w:r>
        <w:rPr>
          <w:highlight w:val="green"/>
        </w:rPr>
        <w:fldChar w:fldCharType="end"/>
      </w:r>
    </w:p>
    <w:p w14:paraId="4FEFAFF1" w14:textId="77777777" w:rsidR="008739B4" w:rsidRDefault="008739B4" w:rsidP="000B661D">
      <w:pPr>
        <w:pStyle w:val="titolettotabella"/>
      </w:pPr>
      <w:r w:rsidRPr="00D0245F">
        <w:t>The Budget assigned to the Africa Region</w:t>
      </w:r>
    </w:p>
    <w:tbl>
      <w:tblPr>
        <w:tblW w:w="9293" w:type="dxa"/>
        <w:tblLook w:val="04A0" w:firstRow="1" w:lastRow="0" w:firstColumn="1" w:lastColumn="0" w:noHBand="0" w:noVBand="1"/>
      </w:tblPr>
      <w:tblGrid>
        <w:gridCol w:w="1413"/>
        <w:gridCol w:w="1134"/>
        <w:gridCol w:w="1460"/>
        <w:gridCol w:w="1233"/>
        <w:gridCol w:w="1460"/>
        <w:gridCol w:w="1133"/>
        <w:gridCol w:w="1460"/>
      </w:tblGrid>
      <w:tr w:rsidR="00176A0E" w:rsidRPr="00AB6C53" w14:paraId="3319A37F" w14:textId="77777777" w:rsidTr="00326123">
        <w:trPr>
          <w:trHeight w:val="645"/>
        </w:trPr>
        <w:tc>
          <w:tcPr>
            <w:tcW w:w="1413" w:type="dxa"/>
            <w:vMerge w:val="restart"/>
            <w:tcBorders>
              <w:top w:val="single" w:sz="4" w:space="0" w:color="auto"/>
              <w:left w:val="single" w:sz="4" w:space="0" w:color="auto"/>
              <w:bottom w:val="single" w:sz="4" w:space="0" w:color="auto"/>
              <w:right w:val="single" w:sz="4" w:space="0" w:color="auto"/>
            </w:tcBorders>
            <w:shd w:val="clear" w:color="000000" w:fill="5B9BD5"/>
            <w:vAlign w:val="bottom"/>
            <w:hideMark/>
          </w:tcPr>
          <w:p w14:paraId="393D9807" w14:textId="77777777" w:rsidR="00176A0E" w:rsidRPr="00AB6C53" w:rsidRDefault="00176A0E" w:rsidP="0042364A">
            <w:pPr>
              <w:adjustRightInd/>
              <w:spacing w:before="0" w:line="240" w:lineRule="auto"/>
              <w:ind w:firstLine="0"/>
              <w:jc w:val="center"/>
              <w:rPr>
                <w:rFonts w:ascii="Calibri" w:eastAsia="Times New Roman" w:hAnsi="Calibri" w:cs="Times New Roman"/>
                <w:b/>
                <w:bCs/>
                <w:color w:val="000000"/>
                <w:sz w:val="24"/>
                <w:szCs w:val="24"/>
                <w:lang w:eastAsia="zh-CN"/>
              </w:rPr>
            </w:pPr>
            <w:r w:rsidRPr="00AB6C53">
              <w:rPr>
                <w:rFonts w:ascii="Calibri" w:eastAsia="Times New Roman" w:hAnsi="Calibri" w:cs="Times New Roman"/>
                <w:b/>
                <w:bCs/>
                <w:color w:val="000000"/>
                <w:sz w:val="24"/>
                <w:szCs w:val="24"/>
                <w:lang w:eastAsia="zh-CN"/>
              </w:rPr>
              <w:t>REGIONAL AND AREA OFFICES</w:t>
            </w:r>
          </w:p>
        </w:tc>
        <w:tc>
          <w:tcPr>
            <w:tcW w:w="2594"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0AFE1877" w14:textId="77777777" w:rsidR="00176A0E" w:rsidRPr="00AB6C53" w:rsidRDefault="00176A0E" w:rsidP="0042364A">
            <w:pPr>
              <w:adjustRightInd/>
              <w:spacing w:before="0" w:line="240" w:lineRule="auto"/>
              <w:ind w:firstLine="0"/>
              <w:jc w:val="center"/>
              <w:rPr>
                <w:rFonts w:ascii="Calibri" w:eastAsia="Times New Roman" w:hAnsi="Calibri" w:cs="Times New Roman"/>
                <w:b/>
                <w:bCs/>
                <w:color w:val="000000"/>
                <w:sz w:val="24"/>
                <w:szCs w:val="24"/>
                <w:lang w:eastAsia="zh-CN"/>
              </w:rPr>
            </w:pPr>
            <w:r w:rsidRPr="00AB6C53">
              <w:rPr>
                <w:rFonts w:ascii="Calibri" w:eastAsia="Times New Roman" w:hAnsi="Calibri" w:cs="Times New Roman"/>
                <w:b/>
                <w:bCs/>
                <w:color w:val="000000"/>
                <w:sz w:val="24"/>
                <w:szCs w:val="24"/>
                <w:lang w:eastAsia="zh-CN"/>
              </w:rPr>
              <w:t>2015</w:t>
            </w:r>
          </w:p>
        </w:tc>
        <w:tc>
          <w:tcPr>
            <w:tcW w:w="2693"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50FD517D" w14:textId="77777777" w:rsidR="00176A0E" w:rsidRPr="00AB6C53" w:rsidRDefault="00176A0E" w:rsidP="0042364A">
            <w:pPr>
              <w:adjustRightInd/>
              <w:spacing w:before="0" w:line="240" w:lineRule="auto"/>
              <w:ind w:firstLine="0"/>
              <w:jc w:val="center"/>
              <w:rPr>
                <w:rFonts w:ascii="Calibri" w:eastAsia="Times New Roman" w:hAnsi="Calibri" w:cs="Times New Roman"/>
                <w:b/>
                <w:bCs/>
                <w:color w:val="000000"/>
                <w:sz w:val="24"/>
                <w:szCs w:val="24"/>
                <w:lang w:eastAsia="zh-CN"/>
              </w:rPr>
            </w:pPr>
            <w:r w:rsidRPr="00AB6C53">
              <w:rPr>
                <w:rFonts w:ascii="Calibri" w:eastAsia="Times New Roman" w:hAnsi="Calibri" w:cs="Times New Roman"/>
                <w:b/>
                <w:bCs/>
                <w:color w:val="000000"/>
                <w:sz w:val="24"/>
                <w:szCs w:val="24"/>
                <w:lang w:eastAsia="zh-CN"/>
              </w:rPr>
              <w:t>2016</w:t>
            </w:r>
          </w:p>
        </w:tc>
        <w:tc>
          <w:tcPr>
            <w:tcW w:w="2593"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212C1475" w14:textId="77777777" w:rsidR="00176A0E" w:rsidRPr="00AB6C53" w:rsidRDefault="00176A0E" w:rsidP="0042364A">
            <w:pPr>
              <w:adjustRightInd/>
              <w:spacing w:before="0" w:line="240" w:lineRule="auto"/>
              <w:ind w:firstLine="0"/>
              <w:jc w:val="center"/>
              <w:rPr>
                <w:rFonts w:ascii="Calibri" w:eastAsia="Times New Roman" w:hAnsi="Calibri" w:cs="Times New Roman"/>
                <w:b/>
                <w:bCs/>
                <w:color w:val="000000"/>
                <w:sz w:val="24"/>
                <w:szCs w:val="24"/>
                <w:lang w:eastAsia="zh-CN"/>
              </w:rPr>
            </w:pPr>
            <w:r w:rsidRPr="00AB6C53">
              <w:rPr>
                <w:rFonts w:ascii="Calibri" w:eastAsia="Times New Roman" w:hAnsi="Calibri" w:cs="Times New Roman"/>
                <w:b/>
                <w:bCs/>
                <w:color w:val="000000"/>
                <w:sz w:val="24"/>
                <w:szCs w:val="24"/>
                <w:lang w:eastAsia="zh-CN"/>
              </w:rPr>
              <w:t>2017</w:t>
            </w:r>
          </w:p>
        </w:tc>
      </w:tr>
      <w:tr w:rsidR="00176A0E" w:rsidRPr="00AB6C53" w14:paraId="5CBAC85B" w14:textId="77777777" w:rsidTr="00326123">
        <w:trPr>
          <w:trHeight w:val="31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9A2148D"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4"/>
                <w:szCs w:val="24"/>
                <w:lang w:eastAsia="zh-CN"/>
              </w:rPr>
            </w:pPr>
          </w:p>
        </w:tc>
        <w:tc>
          <w:tcPr>
            <w:tcW w:w="1134" w:type="dxa"/>
            <w:tcBorders>
              <w:top w:val="nil"/>
              <w:left w:val="nil"/>
              <w:bottom w:val="single" w:sz="4" w:space="0" w:color="auto"/>
              <w:right w:val="single" w:sz="4" w:space="0" w:color="auto"/>
            </w:tcBorders>
            <w:shd w:val="clear" w:color="000000" w:fill="5B9BD5"/>
            <w:noWrap/>
            <w:vAlign w:val="bottom"/>
            <w:hideMark/>
          </w:tcPr>
          <w:p w14:paraId="59FB681F"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BUDGETED</w:t>
            </w:r>
          </w:p>
        </w:tc>
        <w:tc>
          <w:tcPr>
            <w:tcW w:w="1460" w:type="dxa"/>
            <w:tcBorders>
              <w:top w:val="nil"/>
              <w:left w:val="nil"/>
              <w:bottom w:val="single" w:sz="4" w:space="0" w:color="auto"/>
              <w:right w:val="single" w:sz="4" w:space="0" w:color="auto"/>
            </w:tcBorders>
            <w:shd w:val="clear" w:color="000000" w:fill="5B9BD5"/>
            <w:noWrap/>
            <w:vAlign w:val="bottom"/>
            <w:hideMark/>
          </w:tcPr>
          <w:p w14:paraId="1CD653B1"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IMPLEMENTED</w:t>
            </w:r>
          </w:p>
        </w:tc>
        <w:tc>
          <w:tcPr>
            <w:tcW w:w="1233" w:type="dxa"/>
            <w:tcBorders>
              <w:top w:val="nil"/>
              <w:left w:val="nil"/>
              <w:bottom w:val="single" w:sz="4" w:space="0" w:color="auto"/>
              <w:right w:val="single" w:sz="4" w:space="0" w:color="auto"/>
            </w:tcBorders>
            <w:shd w:val="clear" w:color="000000" w:fill="5B9BD5"/>
            <w:noWrap/>
            <w:vAlign w:val="bottom"/>
            <w:hideMark/>
          </w:tcPr>
          <w:p w14:paraId="65556C63"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BUDGETED</w:t>
            </w:r>
          </w:p>
        </w:tc>
        <w:tc>
          <w:tcPr>
            <w:tcW w:w="1460" w:type="dxa"/>
            <w:tcBorders>
              <w:top w:val="nil"/>
              <w:left w:val="nil"/>
              <w:bottom w:val="single" w:sz="4" w:space="0" w:color="auto"/>
              <w:right w:val="single" w:sz="4" w:space="0" w:color="auto"/>
            </w:tcBorders>
            <w:shd w:val="clear" w:color="000000" w:fill="5B9BD5"/>
            <w:noWrap/>
            <w:vAlign w:val="bottom"/>
            <w:hideMark/>
          </w:tcPr>
          <w:p w14:paraId="192C0FEC"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IMPLEMENTED</w:t>
            </w:r>
          </w:p>
        </w:tc>
        <w:tc>
          <w:tcPr>
            <w:tcW w:w="1133" w:type="dxa"/>
            <w:tcBorders>
              <w:top w:val="nil"/>
              <w:left w:val="nil"/>
              <w:bottom w:val="single" w:sz="4" w:space="0" w:color="auto"/>
              <w:right w:val="single" w:sz="4" w:space="0" w:color="auto"/>
            </w:tcBorders>
            <w:shd w:val="clear" w:color="000000" w:fill="5B9BD5"/>
            <w:noWrap/>
            <w:vAlign w:val="bottom"/>
            <w:hideMark/>
          </w:tcPr>
          <w:p w14:paraId="4A6B912C"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BUDGETED</w:t>
            </w:r>
          </w:p>
        </w:tc>
        <w:tc>
          <w:tcPr>
            <w:tcW w:w="1460" w:type="dxa"/>
            <w:tcBorders>
              <w:top w:val="nil"/>
              <w:left w:val="nil"/>
              <w:bottom w:val="single" w:sz="4" w:space="0" w:color="auto"/>
              <w:right w:val="single" w:sz="4" w:space="0" w:color="auto"/>
            </w:tcBorders>
            <w:shd w:val="clear" w:color="000000" w:fill="5B9BD5"/>
            <w:noWrap/>
            <w:vAlign w:val="bottom"/>
            <w:hideMark/>
          </w:tcPr>
          <w:p w14:paraId="1BAD26EB" w14:textId="77777777" w:rsidR="00176A0E" w:rsidRPr="00AB6C53" w:rsidRDefault="00176A0E" w:rsidP="0042364A">
            <w:pPr>
              <w:adjustRightInd/>
              <w:spacing w:before="0" w:line="240" w:lineRule="auto"/>
              <w:ind w:firstLine="0"/>
              <w:jc w:val="left"/>
              <w:rPr>
                <w:rFonts w:ascii="Calibri" w:eastAsia="Times New Roman" w:hAnsi="Calibri" w:cs="Times New Roman"/>
                <w:b/>
                <w:bCs/>
                <w:color w:val="000000"/>
                <w:sz w:val="20"/>
                <w:szCs w:val="20"/>
                <w:lang w:eastAsia="zh-CN"/>
              </w:rPr>
            </w:pPr>
            <w:r w:rsidRPr="00AB6C53">
              <w:rPr>
                <w:rFonts w:ascii="Calibri" w:eastAsia="Times New Roman" w:hAnsi="Calibri" w:cs="Times New Roman"/>
                <w:b/>
                <w:bCs/>
                <w:color w:val="000000"/>
                <w:sz w:val="20"/>
                <w:szCs w:val="20"/>
                <w:lang w:eastAsia="zh-CN"/>
              </w:rPr>
              <w:t>IMPLEMENTED</w:t>
            </w:r>
          </w:p>
        </w:tc>
      </w:tr>
      <w:tr w:rsidR="009709A6" w:rsidRPr="00AB6C53" w14:paraId="08FEED0D" w14:textId="77777777" w:rsidTr="0032612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A533BD" w14:textId="77777777" w:rsidR="00176A0E" w:rsidRPr="00AB6C53" w:rsidRDefault="00176A0E" w:rsidP="0042364A">
            <w:pPr>
              <w:adjustRightInd/>
              <w:spacing w:before="0" w:line="240" w:lineRule="auto"/>
              <w:ind w:firstLine="0"/>
              <w:jc w:val="lef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ETHIOPIA RO</w:t>
            </w:r>
          </w:p>
        </w:tc>
        <w:tc>
          <w:tcPr>
            <w:tcW w:w="1134" w:type="dxa"/>
            <w:tcBorders>
              <w:top w:val="nil"/>
              <w:left w:val="nil"/>
              <w:bottom w:val="single" w:sz="4" w:space="0" w:color="auto"/>
              <w:right w:val="single" w:sz="4" w:space="0" w:color="auto"/>
            </w:tcBorders>
            <w:shd w:val="clear" w:color="auto" w:fill="auto"/>
            <w:noWrap/>
            <w:vAlign w:val="bottom"/>
            <w:hideMark/>
          </w:tcPr>
          <w:p w14:paraId="50BE839F"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330,585.00</w:t>
            </w:r>
          </w:p>
        </w:tc>
        <w:tc>
          <w:tcPr>
            <w:tcW w:w="1460" w:type="dxa"/>
            <w:tcBorders>
              <w:top w:val="nil"/>
              <w:left w:val="nil"/>
              <w:bottom w:val="single" w:sz="4" w:space="0" w:color="auto"/>
              <w:right w:val="single" w:sz="4" w:space="0" w:color="auto"/>
            </w:tcBorders>
            <w:shd w:val="clear" w:color="auto" w:fill="auto"/>
            <w:noWrap/>
            <w:vAlign w:val="bottom"/>
            <w:hideMark/>
          </w:tcPr>
          <w:p w14:paraId="37CC39D0"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251,352.31</w:t>
            </w:r>
          </w:p>
        </w:tc>
        <w:tc>
          <w:tcPr>
            <w:tcW w:w="1233" w:type="dxa"/>
            <w:tcBorders>
              <w:top w:val="nil"/>
              <w:left w:val="nil"/>
              <w:bottom w:val="single" w:sz="4" w:space="0" w:color="auto"/>
              <w:right w:val="single" w:sz="4" w:space="0" w:color="auto"/>
            </w:tcBorders>
            <w:shd w:val="clear" w:color="auto" w:fill="auto"/>
            <w:noWrap/>
            <w:vAlign w:val="bottom"/>
            <w:hideMark/>
          </w:tcPr>
          <w:p w14:paraId="30D2AC3E"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240,288.00</w:t>
            </w:r>
          </w:p>
        </w:tc>
        <w:tc>
          <w:tcPr>
            <w:tcW w:w="1460" w:type="dxa"/>
            <w:tcBorders>
              <w:top w:val="nil"/>
              <w:left w:val="nil"/>
              <w:bottom w:val="single" w:sz="4" w:space="0" w:color="auto"/>
              <w:right w:val="single" w:sz="4" w:space="0" w:color="auto"/>
            </w:tcBorders>
            <w:shd w:val="clear" w:color="auto" w:fill="auto"/>
            <w:noWrap/>
            <w:vAlign w:val="bottom"/>
            <w:hideMark/>
          </w:tcPr>
          <w:p w14:paraId="1D268B89"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199,849.62</w:t>
            </w:r>
          </w:p>
        </w:tc>
        <w:tc>
          <w:tcPr>
            <w:tcW w:w="1133" w:type="dxa"/>
            <w:tcBorders>
              <w:top w:val="nil"/>
              <w:left w:val="nil"/>
              <w:bottom w:val="single" w:sz="4" w:space="0" w:color="auto"/>
              <w:right w:val="single" w:sz="4" w:space="0" w:color="auto"/>
            </w:tcBorders>
            <w:shd w:val="clear" w:color="auto" w:fill="auto"/>
            <w:noWrap/>
            <w:vAlign w:val="bottom"/>
            <w:hideMark/>
          </w:tcPr>
          <w:p w14:paraId="6AC3C568"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230,400.00</w:t>
            </w:r>
          </w:p>
        </w:tc>
        <w:tc>
          <w:tcPr>
            <w:tcW w:w="1460" w:type="dxa"/>
            <w:tcBorders>
              <w:top w:val="nil"/>
              <w:left w:val="nil"/>
              <w:bottom w:val="single" w:sz="4" w:space="0" w:color="auto"/>
              <w:right w:val="single" w:sz="4" w:space="0" w:color="auto"/>
            </w:tcBorders>
            <w:shd w:val="clear" w:color="auto" w:fill="auto"/>
            <w:noWrap/>
            <w:vAlign w:val="bottom"/>
            <w:hideMark/>
          </w:tcPr>
          <w:p w14:paraId="73792149"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227,865.27</w:t>
            </w:r>
          </w:p>
        </w:tc>
      </w:tr>
      <w:tr w:rsidR="009709A6" w:rsidRPr="00AB6C53" w14:paraId="7624632D" w14:textId="77777777" w:rsidTr="0032612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D8C532" w14:textId="77777777" w:rsidR="00176A0E" w:rsidRPr="00AB6C53" w:rsidRDefault="00176A0E" w:rsidP="0042364A">
            <w:pPr>
              <w:adjustRightInd/>
              <w:spacing w:before="0" w:line="240" w:lineRule="auto"/>
              <w:ind w:firstLine="0"/>
              <w:jc w:val="lef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SENEGAL AO</w:t>
            </w:r>
          </w:p>
        </w:tc>
        <w:tc>
          <w:tcPr>
            <w:tcW w:w="1134" w:type="dxa"/>
            <w:tcBorders>
              <w:top w:val="nil"/>
              <w:left w:val="nil"/>
              <w:bottom w:val="single" w:sz="4" w:space="0" w:color="auto"/>
              <w:right w:val="single" w:sz="4" w:space="0" w:color="auto"/>
            </w:tcBorders>
            <w:shd w:val="clear" w:color="auto" w:fill="auto"/>
            <w:noWrap/>
            <w:vAlign w:val="bottom"/>
            <w:hideMark/>
          </w:tcPr>
          <w:p w14:paraId="3511CEDB"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93,500.00</w:t>
            </w:r>
          </w:p>
        </w:tc>
        <w:tc>
          <w:tcPr>
            <w:tcW w:w="1460" w:type="dxa"/>
            <w:tcBorders>
              <w:top w:val="nil"/>
              <w:left w:val="nil"/>
              <w:bottom w:val="single" w:sz="4" w:space="0" w:color="auto"/>
              <w:right w:val="single" w:sz="4" w:space="0" w:color="auto"/>
            </w:tcBorders>
            <w:shd w:val="clear" w:color="auto" w:fill="auto"/>
            <w:noWrap/>
            <w:vAlign w:val="bottom"/>
            <w:hideMark/>
          </w:tcPr>
          <w:p w14:paraId="07396A2C"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75,380.00</w:t>
            </w:r>
          </w:p>
        </w:tc>
        <w:tc>
          <w:tcPr>
            <w:tcW w:w="1233" w:type="dxa"/>
            <w:tcBorders>
              <w:top w:val="nil"/>
              <w:left w:val="nil"/>
              <w:bottom w:val="single" w:sz="4" w:space="0" w:color="auto"/>
              <w:right w:val="single" w:sz="4" w:space="0" w:color="auto"/>
            </w:tcBorders>
            <w:shd w:val="clear" w:color="auto" w:fill="auto"/>
            <w:noWrap/>
            <w:vAlign w:val="bottom"/>
            <w:hideMark/>
          </w:tcPr>
          <w:p w14:paraId="40AADFD1"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129,436.00</w:t>
            </w:r>
          </w:p>
        </w:tc>
        <w:tc>
          <w:tcPr>
            <w:tcW w:w="1460" w:type="dxa"/>
            <w:tcBorders>
              <w:top w:val="nil"/>
              <w:left w:val="nil"/>
              <w:bottom w:val="single" w:sz="4" w:space="0" w:color="auto"/>
              <w:right w:val="single" w:sz="4" w:space="0" w:color="auto"/>
            </w:tcBorders>
            <w:shd w:val="clear" w:color="auto" w:fill="auto"/>
            <w:noWrap/>
            <w:vAlign w:val="bottom"/>
            <w:hideMark/>
          </w:tcPr>
          <w:p w14:paraId="765939DA"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99,140.26</w:t>
            </w:r>
          </w:p>
        </w:tc>
        <w:tc>
          <w:tcPr>
            <w:tcW w:w="1133" w:type="dxa"/>
            <w:tcBorders>
              <w:top w:val="nil"/>
              <w:left w:val="nil"/>
              <w:bottom w:val="single" w:sz="4" w:space="0" w:color="auto"/>
              <w:right w:val="single" w:sz="4" w:space="0" w:color="auto"/>
            </w:tcBorders>
            <w:shd w:val="clear" w:color="auto" w:fill="auto"/>
            <w:noWrap/>
            <w:vAlign w:val="bottom"/>
            <w:hideMark/>
          </w:tcPr>
          <w:p w14:paraId="580D53BC"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77,183.00</w:t>
            </w:r>
          </w:p>
        </w:tc>
        <w:tc>
          <w:tcPr>
            <w:tcW w:w="1460" w:type="dxa"/>
            <w:tcBorders>
              <w:top w:val="nil"/>
              <w:left w:val="nil"/>
              <w:bottom w:val="single" w:sz="4" w:space="0" w:color="auto"/>
              <w:right w:val="single" w:sz="4" w:space="0" w:color="auto"/>
            </w:tcBorders>
            <w:shd w:val="clear" w:color="auto" w:fill="auto"/>
            <w:noWrap/>
            <w:vAlign w:val="bottom"/>
            <w:hideMark/>
          </w:tcPr>
          <w:p w14:paraId="125230BC"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60,953.98</w:t>
            </w:r>
          </w:p>
        </w:tc>
      </w:tr>
      <w:tr w:rsidR="009709A6" w:rsidRPr="00AB6C53" w14:paraId="7D7D80B8" w14:textId="77777777" w:rsidTr="0032612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FDAF1B" w14:textId="77777777" w:rsidR="00176A0E" w:rsidRPr="00AB6C53" w:rsidRDefault="00176A0E" w:rsidP="0042364A">
            <w:pPr>
              <w:adjustRightInd/>
              <w:spacing w:before="0" w:line="240" w:lineRule="auto"/>
              <w:ind w:firstLine="0"/>
              <w:jc w:val="lef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ZIMBABWE AO</w:t>
            </w:r>
          </w:p>
        </w:tc>
        <w:tc>
          <w:tcPr>
            <w:tcW w:w="1134" w:type="dxa"/>
            <w:tcBorders>
              <w:top w:val="nil"/>
              <w:left w:val="nil"/>
              <w:bottom w:val="single" w:sz="4" w:space="0" w:color="auto"/>
              <w:right w:val="single" w:sz="4" w:space="0" w:color="auto"/>
            </w:tcBorders>
            <w:shd w:val="clear" w:color="auto" w:fill="auto"/>
            <w:noWrap/>
            <w:vAlign w:val="bottom"/>
            <w:hideMark/>
          </w:tcPr>
          <w:p w14:paraId="5B337F17"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152,083.00</w:t>
            </w:r>
          </w:p>
        </w:tc>
        <w:tc>
          <w:tcPr>
            <w:tcW w:w="1460" w:type="dxa"/>
            <w:tcBorders>
              <w:top w:val="nil"/>
              <w:left w:val="nil"/>
              <w:bottom w:val="single" w:sz="4" w:space="0" w:color="auto"/>
              <w:right w:val="single" w:sz="4" w:space="0" w:color="auto"/>
            </w:tcBorders>
            <w:shd w:val="clear" w:color="auto" w:fill="auto"/>
            <w:noWrap/>
            <w:vAlign w:val="bottom"/>
            <w:hideMark/>
          </w:tcPr>
          <w:p w14:paraId="619F7EED"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131,816.95</w:t>
            </w:r>
          </w:p>
        </w:tc>
        <w:tc>
          <w:tcPr>
            <w:tcW w:w="1233" w:type="dxa"/>
            <w:tcBorders>
              <w:top w:val="nil"/>
              <w:left w:val="nil"/>
              <w:bottom w:val="single" w:sz="4" w:space="0" w:color="auto"/>
              <w:right w:val="single" w:sz="4" w:space="0" w:color="auto"/>
            </w:tcBorders>
            <w:shd w:val="clear" w:color="auto" w:fill="auto"/>
            <w:noWrap/>
            <w:vAlign w:val="bottom"/>
            <w:hideMark/>
          </w:tcPr>
          <w:p w14:paraId="3ED547AE"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137,043.00</w:t>
            </w:r>
          </w:p>
        </w:tc>
        <w:tc>
          <w:tcPr>
            <w:tcW w:w="1460" w:type="dxa"/>
            <w:tcBorders>
              <w:top w:val="nil"/>
              <w:left w:val="nil"/>
              <w:bottom w:val="single" w:sz="4" w:space="0" w:color="auto"/>
              <w:right w:val="single" w:sz="4" w:space="0" w:color="auto"/>
            </w:tcBorders>
            <w:shd w:val="clear" w:color="auto" w:fill="auto"/>
            <w:noWrap/>
            <w:vAlign w:val="bottom"/>
            <w:hideMark/>
          </w:tcPr>
          <w:p w14:paraId="172BA22C"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123,778.25</w:t>
            </w:r>
          </w:p>
        </w:tc>
        <w:tc>
          <w:tcPr>
            <w:tcW w:w="1133" w:type="dxa"/>
            <w:tcBorders>
              <w:top w:val="nil"/>
              <w:left w:val="nil"/>
              <w:bottom w:val="single" w:sz="4" w:space="0" w:color="auto"/>
              <w:right w:val="single" w:sz="4" w:space="0" w:color="auto"/>
            </w:tcBorders>
            <w:shd w:val="clear" w:color="auto" w:fill="auto"/>
            <w:noWrap/>
            <w:vAlign w:val="bottom"/>
            <w:hideMark/>
          </w:tcPr>
          <w:p w14:paraId="7FF94227"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153,339.00</w:t>
            </w:r>
          </w:p>
        </w:tc>
        <w:tc>
          <w:tcPr>
            <w:tcW w:w="1460" w:type="dxa"/>
            <w:tcBorders>
              <w:top w:val="nil"/>
              <w:left w:val="nil"/>
              <w:bottom w:val="single" w:sz="4" w:space="0" w:color="auto"/>
              <w:right w:val="single" w:sz="4" w:space="0" w:color="auto"/>
            </w:tcBorders>
            <w:shd w:val="clear" w:color="auto" w:fill="auto"/>
            <w:noWrap/>
            <w:vAlign w:val="bottom"/>
            <w:hideMark/>
          </w:tcPr>
          <w:p w14:paraId="186BE003"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152,790.79</w:t>
            </w:r>
          </w:p>
        </w:tc>
      </w:tr>
      <w:tr w:rsidR="009709A6" w:rsidRPr="00AB6C53" w14:paraId="2EA49942" w14:textId="77777777" w:rsidTr="0032612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C0046F" w14:textId="77777777" w:rsidR="00176A0E" w:rsidRPr="00AB6C53" w:rsidRDefault="00176A0E" w:rsidP="0042364A">
            <w:pPr>
              <w:adjustRightInd/>
              <w:spacing w:before="0" w:line="240" w:lineRule="auto"/>
              <w:ind w:firstLine="0"/>
              <w:jc w:val="lef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CAMEROON AO</w:t>
            </w:r>
          </w:p>
        </w:tc>
        <w:tc>
          <w:tcPr>
            <w:tcW w:w="1134" w:type="dxa"/>
            <w:tcBorders>
              <w:top w:val="nil"/>
              <w:left w:val="nil"/>
              <w:bottom w:val="single" w:sz="4" w:space="0" w:color="auto"/>
              <w:right w:val="single" w:sz="4" w:space="0" w:color="auto"/>
            </w:tcBorders>
            <w:shd w:val="clear" w:color="auto" w:fill="auto"/>
            <w:noWrap/>
            <w:vAlign w:val="bottom"/>
            <w:hideMark/>
          </w:tcPr>
          <w:p w14:paraId="2B76FE40"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125,000.00</w:t>
            </w:r>
          </w:p>
        </w:tc>
        <w:tc>
          <w:tcPr>
            <w:tcW w:w="1460" w:type="dxa"/>
            <w:tcBorders>
              <w:top w:val="nil"/>
              <w:left w:val="nil"/>
              <w:bottom w:val="single" w:sz="4" w:space="0" w:color="auto"/>
              <w:right w:val="single" w:sz="4" w:space="0" w:color="auto"/>
            </w:tcBorders>
            <w:shd w:val="clear" w:color="auto" w:fill="auto"/>
            <w:noWrap/>
            <w:vAlign w:val="bottom"/>
            <w:hideMark/>
          </w:tcPr>
          <w:p w14:paraId="0F04B49F"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103,887.70</w:t>
            </w:r>
          </w:p>
        </w:tc>
        <w:tc>
          <w:tcPr>
            <w:tcW w:w="1233" w:type="dxa"/>
            <w:tcBorders>
              <w:top w:val="nil"/>
              <w:left w:val="nil"/>
              <w:bottom w:val="single" w:sz="4" w:space="0" w:color="auto"/>
              <w:right w:val="single" w:sz="4" w:space="0" w:color="auto"/>
            </w:tcBorders>
            <w:shd w:val="clear" w:color="auto" w:fill="auto"/>
            <w:noWrap/>
            <w:vAlign w:val="bottom"/>
            <w:hideMark/>
          </w:tcPr>
          <w:p w14:paraId="4291E34C"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143,422.00</w:t>
            </w:r>
          </w:p>
        </w:tc>
        <w:tc>
          <w:tcPr>
            <w:tcW w:w="1460" w:type="dxa"/>
            <w:tcBorders>
              <w:top w:val="nil"/>
              <w:left w:val="nil"/>
              <w:bottom w:val="single" w:sz="4" w:space="0" w:color="auto"/>
              <w:right w:val="single" w:sz="4" w:space="0" w:color="auto"/>
            </w:tcBorders>
            <w:shd w:val="clear" w:color="auto" w:fill="auto"/>
            <w:noWrap/>
            <w:vAlign w:val="bottom"/>
            <w:hideMark/>
          </w:tcPr>
          <w:p w14:paraId="71C9A28A"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144,777.94</w:t>
            </w:r>
          </w:p>
        </w:tc>
        <w:tc>
          <w:tcPr>
            <w:tcW w:w="1133" w:type="dxa"/>
            <w:tcBorders>
              <w:top w:val="nil"/>
              <w:left w:val="nil"/>
              <w:bottom w:val="single" w:sz="4" w:space="0" w:color="auto"/>
              <w:right w:val="single" w:sz="4" w:space="0" w:color="auto"/>
            </w:tcBorders>
            <w:shd w:val="clear" w:color="auto" w:fill="auto"/>
            <w:noWrap/>
            <w:vAlign w:val="bottom"/>
            <w:hideMark/>
          </w:tcPr>
          <w:p w14:paraId="5F6D705B"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151,500.00</w:t>
            </w:r>
          </w:p>
        </w:tc>
        <w:tc>
          <w:tcPr>
            <w:tcW w:w="1460" w:type="dxa"/>
            <w:tcBorders>
              <w:top w:val="nil"/>
              <w:left w:val="nil"/>
              <w:bottom w:val="single" w:sz="4" w:space="0" w:color="auto"/>
              <w:right w:val="single" w:sz="4" w:space="0" w:color="auto"/>
            </w:tcBorders>
            <w:shd w:val="clear" w:color="auto" w:fill="auto"/>
            <w:noWrap/>
            <w:vAlign w:val="bottom"/>
            <w:hideMark/>
          </w:tcPr>
          <w:p w14:paraId="047C4661" w14:textId="77777777" w:rsidR="00176A0E" w:rsidRPr="00AB6C53" w:rsidRDefault="00176A0E" w:rsidP="009709A6">
            <w:pPr>
              <w:adjustRightInd/>
              <w:spacing w:before="0" w:line="240" w:lineRule="auto"/>
              <w:ind w:firstLine="0"/>
              <w:jc w:val="right"/>
              <w:rPr>
                <w:rFonts w:ascii="Calibri" w:eastAsia="Times New Roman" w:hAnsi="Calibri" w:cs="Times New Roman"/>
                <w:color w:val="000000"/>
                <w:sz w:val="16"/>
                <w:szCs w:val="16"/>
                <w:lang w:eastAsia="zh-CN"/>
              </w:rPr>
            </w:pPr>
            <w:r w:rsidRPr="00AB6C53">
              <w:rPr>
                <w:rFonts w:ascii="Calibri" w:eastAsia="Times New Roman" w:hAnsi="Calibri" w:cs="Times New Roman"/>
                <w:color w:val="000000"/>
                <w:sz w:val="16"/>
                <w:szCs w:val="16"/>
                <w:lang w:eastAsia="zh-CN"/>
              </w:rPr>
              <w:t>150,318.26</w:t>
            </w:r>
          </w:p>
        </w:tc>
      </w:tr>
      <w:tr w:rsidR="00326123" w:rsidRPr="00AB6C53" w14:paraId="09B662A0" w14:textId="77777777" w:rsidTr="00326123">
        <w:trPr>
          <w:trHeight w:val="315"/>
        </w:trPr>
        <w:tc>
          <w:tcPr>
            <w:tcW w:w="1413" w:type="dxa"/>
            <w:tcBorders>
              <w:top w:val="nil"/>
              <w:left w:val="single" w:sz="4" w:space="0" w:color="auto"/>
              <w:bottom w:val="single" w:sz="4" w:space="0" w:color="auto"/>
              <w:right w:val="single" w:sz="4" w:space="0" w:color="auto"/>
            </w:tcBorders>
            <w:shd w:val="clear" w:color="000000" w:fill="5B9BD5"/>
            <w:noWrap/>
            <w:vAlign w:val="bottom"/>
            <w:hideMark/>
          </w:tcPr>
          <w:p w14:paraId="7B983E48" w14:textId="77777777" w:rsidR="00326123" w:rsidRPr="00AB6C53" w:rsidRDefault="00326123" w:rsidP="00326123">
            <w:pPr>
              <w:adjustRightInd/>
              <w:spacing w:before="0" w:line="240" w:lineRule="auto"/>
              <w:ind w:firstLine="0"/>
              <w:jc w:val="left"/>
              <w:rPr>
                <w:rFonts w:ascii="Calibri" w:eastAsia="Times New Roman" w:hAnsi="Calibri" w:cs="Times New Roman"/>
                <w:b/>
                <w:bCs/>
                <w:color w:val="000000"/>
                <w:sz w:val="16"/>
                <w:szCs w:val="16"/>
                <w:lang w:eastAsia="zh-CN"/>
              </w:rPr>
            </w:pPr>
            <w:r w:rsidRPr="00AB6C53">
              <w:rPr>
                <w:rFonts w:ascii="Calibri" w:eastAsia="Times New Roman" w:hAnsi="Calibri" w:cs="Times New Roman"/>
                <w:b/>
                <w:bCs/>
                <w:color w:val="000000"/>
                <w:sz w:val="16"/>
                <w:szCs w:val="16"/>
                <w:lang w:eastAsia="zh-CN"/>
              </w:rPr>
              <w:t>TOTAL CHF</w:t>
            </w:r>
          </w:p>
        </w:tc>
        <w:tc>
          <w:tcPr>
            <w:tcW w:w="1134" w:type="dxa"/>
            <w:tcBorders>
              <w:top w:val="nil"/>
              <w:left w:val="nil"/>
              <w:bottom w:val="single" w:sz="4" w:space="0" w:color="auto"/>
              <w:right w:val="single" w:sz="4" w:space="0" w:color="auto"/>
            </w:tcBorders>
            <w:shd w:val="clear" w:color="000000" w:fill="5B9BD5"/>
            <w:noWrap/>
            <w:vAlign w:val="bottom"/>
            <w:hideMark/>
          </w:tcPr>
          <w:p w14:paraId="1A9A5109"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Pr>
                <w:rFonts w:ascii="Calibri" w:eastAsia="Times New Roman" w:hAnsi="Calibri" w:cs="Times New Roman"/>
                <w:b/>
                <w:bCs/>
                <w:color w:val="000000"/>
                <w:sz w:val="16"/>
                <w:szCs w:val="16"/>
                <w:lang w:eastAsia="zh-CN"/>
              </w:rPr>
              <w:t>701,168.00</w:t>
            </w:r>
          </w:p>
        </w:tc>
        <w:tc>
          <w:tcPr>
            <w:tcW w:w="1460" w:type="dxa"/>
            <w:tcBorders>
              <w:top w:val="nil"/>
              <w:left w:val="nil"/>
              <w:bottom w:val="single" w:sz="4" w:space="0" w:color="auto"/>
              <w:right w:val="single" w:sz="4" w:space="0" w:color="auto"/>
            </w:tcBorders>
            <w:shd w:val="clear" w:color="000000" w:fill="5B9BD5"/>
            <w:noWrap/>
            <w:vAlign w:val="bottom"/>
            <w:hideMark/>
          </w:tcPr>
          <w:p w14:paraId="2D2389EE"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Pr>
                <w:rFonts w:ascii="Calibri" w:eastAsia="Times New Roman" w:hAnsi="Calibri" w:cs="Times New Roman"/>
                <w:b/>
                <w:bCs/>
                <w:color w:val="000000"/>
                <w:sz w:val="16"/>
                <w:szCs w:val="16"/>
                <w:lang w:eastAsia="zh-CN"/>
              </w:rPr>
              <w:t>562,436.96</w:t>
            </w:r>
          </w:p>
        </w:tc>
        <w:tc>
          <w:tcPr>
            <w:tcW w:w="1233" w:type="dxa"/>
            <w:tcBorders>
              <w:top w:val="nil"/>
              <w:left w:val="nil"/>
              <w:bottom w:val="single" w:sz="4" w:space="0" w:color="auto"/>
              <w:right w:val="single" w:sz="4" w:space="0" w:color="auto"/>
            </w:tcBorders>
            <w:shd w:val="clear" w:color="000000" w:fill="5B9BD5"/>
            <w:noWrap/>
            <w:vAlign w:val="bottom"/>
            <w:hideMark/>
          </w:tcPr>
          <w:p w14:paraId="476F4A20"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Pr>
                <w:rFonts w:ascii="Calibri" w:eastAsia="Times New Roman" w:hAnsi="Calibri" w:cs="Times New Roman"/>
                <w:b/>
                <w:bCs/>
                <w:color w:val="000000"/>
                <w:sz w:val="16"/>
                <w:szCs w:val="16"/>
                <w:lang w:eastAsia="zh-CN"/>
              </w:rPr>
              <w:t>650,189.00</w:t>
            </w:r>
          </w:p>
        </w:tc>
        <w:tc>
          <w:tcPr>
            <w:tcW w:w="1460" w:type="dxa"/>
            <w:tcBorders>
              <w:top w:val="nil"/>
              <w:left w:val="nil"/>
              <w:bottom w:val="single" w:sz="4" w:space="0" w:color="auto"/>
              <w:right w:val="single" w:sz="4" w:space="0" w:color="auto"/>
            </w:tcBorders>
            <w:shd w:val="clear" w:color="000000" w:fill="5B9BD5"/>
            <w:noWrap/>
            <w:vAlign w:val="bottom"/>
            <w:hideMark/>
          </w:tcPr>
          <w:p w14:paraId="137B7F3A"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Pr>
                <w:rFonts w:ascii="Calibri" w:eastAsia="Times New Roman" w:hAnsi="Calibri" w:cs="Times New Roman"/>
                <w:b/>
                <w:bCs/>
                <w:color w:val="000000"/>
                <w:sz w:val="16"/>
                <w:szCs w:val="16"/>
                <w:lang w:eastAsia="zh-CN"/>
              </w:rPr>
              <w:t>567,546.07</w:t>
            </w:r>
          </w:p>
        </w:tc>
        <w:tc>
          <w:tcPr>
            <w:tcW w:w="1133" w:type="dxa"/>
            <w:tcBorders>
              <w:top w:val="nil"/>
              <w:left w:val="nil"/>
              <w:bottom w:val="single" w:sz="4" w:space="0" w:color="auto"/>
              <w:right w:val="single" w:sz="4" w:space="0" w:color="auto"/>
            </w:tcBorders>
            <w:shd w:val="clear" w:color="000000" w:fill="5B9BD5"/>
            <w:noWrap/>
            <w:vAlign w:val="bottom"/>
            <w:hideMark/>
          </w:tcPr>
          <w:p w14:paraId="03CC8022"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sidRPr="00AB6C53">
              <w:rPr>
                <w:rFonts w:ascii="Calibri" w:eastAsia="Times New Roman" w:hAnsi="Calibri" w:cs="Times New Roman"/>
                <w:b/>
                <w:bCs/>
                <w:color w:val="000000"/>
                <w:sz w:val="16"/>
                <w:szCs w:val="16"/>
                <w:lang w:eastAsia="zh-CN"/>
              </w:rPr>
              <w:t>612,422.00</w:t>
            </w:r>
          </w:p>
        </w:tc>
        <w:tc>
          <w:tcPr>
            <w:tcW w:w="1460" w:type="dxa"/>
            <w:tcBorders>
              <w:top w:val="nil"/>
              <w:left w:val="nil"/>
              <w:bottom w:val="single" w:sz="4" w:space="0" w:color="auto"/>
              <w:right w:val="single" w:sz="4" w:space="0" w:color="auto"/>
            </w:tcBorders>
            <w:shd w:val="clear" w:color="000000" w:fill="5B9BD5"/>
            <w:noWrap/>
            <w:vAlign w:val="bottom"/>
            <w:hideMark/>
          </w:tcPr>
          <w:p w14:paraId="575C4455" w14:textId="77777777" w:rsidR="00326123" w:rsidRPr="00AB6C53" w:rsidRDefault="00326123" w:rsidP="00326123">
            <w:pPr>
              <w:adjustRightInd/>
              <w:spacing w:before="0" w:line="240" w:lineRule="auto"/>
              <w:ind w:firstLine="0"/>
              <w:jc w:val="right"/>
              <w:rPr>
                <w:rFonts w:ascii="Calibri" w:eastAsia="Times New Roman" w:hAnsi="Calibri" w:cs="Times New Roman"/>
                <w:b/>
                <w:bCs/>
                <w:color w:val="000000"/>
                <w:sz w:val="16"/>
                <w:szCs w:val="16"/>
                <w:lang w:eastAsia="zh-CN"/>
              </w:rPr>
            </w:pPr>
            <w:r w:rsidRPr="00AB6C53">
              <w:rPr>
                <w:rFonts w:ascii="Calibri" w:eastAsia="Times New Roman" w:hAnsi="Calibri" w:cs="Times New Roman"/>
                <w:b/>
                <w:bCs/>
                <w:color w:val="000000"/>
                <w:sz w:val="16"/>
                <w:szCs w:val="16"/>
                <w:lang w:eastAsia="zh-CN"/>
              </w:rPr>
              <w:t>591,928.</w:t>
            </w:r>
            <w:r>
              <w:rPr>
                <w:rFonts w:ascii="Calibri" w:eastAsia="Times New Roman" w:hAnsi="Calibri" w:cs="Times New Roman"/>
                <w:b/>
                <w:bCs/>
                <w:color w:val="000000"/>
                <w:sz w:val="16"/>
                <w:szCs w:val="16"/>
                <w:lang w:eastAsia="zh-CN"/>
              </w:rPr>
              <w:t>30</w:t>
            </w:r>
          </w:p>
        </w:tc>
      </w:tr>
    </w:tbl>
    <w:p w14:paraId="34F23D43" w14:textId="77777777" w:rsidR="00176A0E" w:rsidRPr="00176A0E" w:rsidRDefault="00176A0E" w:rsidP="00176A0E">
      <w:pPr>
        <w:pStyle w:val="testobase"/>
        <w:numPr>
          <w:ilvl w:val="0"/>
          <w:numId w:val="0"/>
        </w:numPr>
        <w:ind w:left="426" w:hanging="420"/>
      </w:pPr>
    </w:p>
    <w:p w14:paraId="4C250277" w14:textId="77777777" w:rsidR="0013024A" w:rsidRPr="00C10739" w:rsidRDefault="0013024A" w:rsidP="00C84A2A">
      <w:pPr>
        <w:pStyle w:val="Heading1"/>
      </w:pPr>
      <w:bookmarkStart w:id="23" w:name="_Toc526772249"/>
      <w:bookmarkStart w:id="24" w:name="_Toc415170493"/>
      <w:bookmarkStart w:id="25" w:name="_Toc415566498"/>
      <w:r w:rsidRPr="00C10739">
        <w:t>Observations</w:t>
      </w:r>
      <w:bookmarkEnd w:id="23"/>
    </w:p>
    <w:p w14:paraId="42DC61E0" w14:textId="77777777" w:rsidR="000431F4" w:rsidRDefault="000431F4" w:rsidP="000431F4">
      <w:pPr>
        <w:pStyle w:val="Heading2"/>
      </w:pPr>
      <w:bookmarkStart w:id="26" w:name="_Toc526772250"/>
      <w:r w:rsidRPr="00C10739">
        <w:t>Objectives, KPIs</w:t>
      </w:r>
      <w:r w:rsidR="00F37C3D">
        <w:t xml:space="preserve"> and</w:t>
      </w:r>
      <w:r w:rsidRPr="00C10739">
        <w:t xml:space="preserve"> risks</w:t>
      </w:r>
      <w:r w:rsidR="00F37C3D">
        <w:t xml:space="preserve"> in the </w:t>
      </w:r>
      <w:r w:rsidRPr="00C10739">
        <w:t>operational activit</w:t>
      </w:r>
      <w:r w:rsidR="00F37C3D">
        <w:t>ies</w:t>
      </w:r>
      <w:r>
        <w:t xml:space="preserve"> for </w:t>
      </w:r>
      <w:r w:rsidRPr="00A42F8C">
        <w:t>“strengthening the regional presence”</w:t>
      </w:r>
      <w:bookmarkEnd w:id="26"/>
    </w:p>
    <w:p w14:paraId="1BA3B5A1" w14:textId="77777777" w:rsidR="003E5F51" w:rsidRDefault="003E5F51" w:rsidP="00B4431B">
      <w:pPr>
        <w:pStyle w:val="testobase"/>
      </w:pPr>
      <w:r>
        <w:t xml:space="preserve">The regional presence covers all mechanisms and </w:t>
      </w:r>
      <w:r w:rsidR="0073345B">
        <w:t xml:space="preserve">instruments </w:t>
      </w:r>
      <w:r>
        <w:t xml:space="preserve">that ITU has introduced </w:t>
      </w:r>
      <w:r w:rsidR="00D0671F">
        <w:t>for delivery</w:t>
      </w:r>
      <w:r>
        <w:t xml:space="preserve"> at the country and regional levels. Field offices are an essential part of </w:t>
      </w:r>
      <w:r w:rsidR="00CA69F4">
        <w:t xml:space="preserve">a </w:t>
      </w:r>
      <w:r w:rsidR="0073345B">
        <w:t>wide</w:t>
      </w:r>
      <w:r w:rsidR="00CA69F4">
        <w:t>r</w:t>
      </w:r>
      <w:r w:rsidR="0073345B">
        <w:t xml:space="preserve"> </w:t>
      </w:r>
      <w:r>
        <w:t>setting</w:t>
      </w:r>
      <w:r w:rsidR="0073345B">
        <w:t xml:space="preserve"> aimed </w:t>
      </w:r>
      <w:r w:rsidR="00D0671F">
        <w:t>at</w:t>
      </w:r>
      <w:r w:rsidR="0073345B">
        <w:t xml:space="preserve"> ensur</w:t>
      </w:r>
      <w:r w:rsidR="00D0671F">
        <w:t>ing</w:t>
      </w:r>
      <w:r w:rsidR="0073345B">
        <w:t xml:space="preserve"> regional development</w:t>
      </w:r>
      <w:r>
        <w:t xml:space="preserve">. </w:t>
      </w:r>
      <w:r w:rsidR="006858BC">
        <w:t xml:space="preserve">They are specifically intended to bring the ITU closer to its membership. </w:t>
      </w:r>
    </w:p>
    <w:p w14:paraId="727BA080" w14:textId="77777777" w:rsidR="000B37F5" w:rsidRDefault="000B37F5" w:rsidP="00B4431B">
      <w:pPr>
        <w:pStyle w:val="testobase"/>
      </w:pPr>
      <w:r w:rsidRPr="000B37F5">
        <w:t xml:space="preserve">We acknowledge that Management </w:t>
      </w:r>
      <w:r>
        <w:t>is</w:t>
      </w:r>
      <w:r w:rsidRPr="000B37F5">
        <w:t xml:space="preserve"> devot</w:t>
      </w:r>
      <w:r>
        <w:t>ing</w:t>
      </w:r>
      <w:r w:rsidRPr="000B37F5">
        <w:t xml:space="preserve"> extensive effort, </w:t>
      </w:r>
      <w:r w:rsidR="00A80DC0">
        <w:t>in accordance with</w:t>
      </w:r>
      <w:r w:rsidRPr="000B37F5">
        <w:t xml:space="preserve"> UN and interna</w:t>
      </w:r>
      <w:r w:rsidR="00B24130">
        <w:t xml:space="preserve">tional best practices, in order </w:t>
      </w:r>
      <w:r w:rsidRPr="000B37F5">
        <w:t>to build up a framework</w:t>
      </w:r>
      <w:r w:rsidR="000E774D">
        <w:t xml:space="preserve"> </w:t>
      </w:r>
      <w:r w:rsidR="00D0671F">
        <w:t>intended</w:t>
      </w:r>
      <w:r w:rsidR="00A80DC0">
        <w:t xml:space="preserve"> to </w:t>
      </w:r>
      <w:r w:rsidRPr="000B37F5">
        <w:t>provid</w:t>
      </w:r>
      <w:r w:rsidR="00A80DC0">
        <w:t>e</w:t>
      </w:r>
      <w:r w:rsidRPr="000B37F5">
        <w:t xml:space="preserve"> the Council with</w:t>
      </w:r>
      <w:r w:rsidR="00A80DC0">
        <w:t xml:space="preserve"> relevant information on the implementation of the </w:t>
      </w:r>
      <w:r w:rsidR="00553D15">
        <w:t xml:space="preserve">strategic </w:t>
      </w:r>
      <w:r w:rsidR="00A80DC0">
        <w:t>objective of</w:t>
      </w:r>
      <w:r w:rsidR="00AA51CC">
        <w:t xml:space="preserve"> the</w:t>
      </w:r>
      <w:r w:rsidR="00A80DC0">
        <w:t xml:space="preserve"> </w:t>
      </w:r>
      <w:r w:rsidR="00553D15">
        <w:t xml:space="preserve">regional </w:t>
      </w:r>
      <w:r w:rsidR="006858BC">
        <w:t>presence</w:t>
      </w:r>
      <w:r w:rsidR="00553D15">
        <w:t xml:space="preserve">. The annual report by the Secretary-General on "strengthening the regional presence" is part of this framework. It sets </w:t>
      </w:r>
      <w:r w:rsidR="00AA51CC">
        <w:t xml:space="preserve">out </w:t>
      </w:r>
      <w:r w:rsidR="00553D15">
        <w:t xml:space="preserve">information on the </w:t>
      </w:r>
      <w:r w:rsidR="00FC2A4B">
        <w:t>implementation of the A</w:t>
      </w:r>
      <w:r w:rsidR="00553D15">
        <w:t xml:space="preserve">ction </w:t>
      </w:r>
      <w:r w:rsidR="00FC2A4B">
        <w:t>P</w:t>
      </w:r>
      <w:r w:rsidR="00553D15">
        <w:t>lan and regi</w:t>
      </w:r>
      <w:r w:rsidR="00E16D9C">
        <w:t xml:space="preserve">onal initiatives, as well as information on the staffing level and external resources used by the various regional and area offices. </w:t>
      </w:r>
      <w:r w:rsidR="006858BC">
        <w:t>Another source of information is t</w:t>
      </w:r>
      <w:r w:rsidR="00FC2A4B">
        <w:t xml:space="preserve">he Performance report of ITU-D, which periodically reports on the status of implementation of the objectives, outcomes and outputs of the Sector, as defined in the ITU-D Operational Plan. </w:t>
      </w:r>
      <w:r w:rsidR="00E16D9C">
        <w:t>Furthermore, a survey of satisfaction with ITU's regional presence is conducted once every four years, as required by PP Res. 25.</w:t>
      </w:r>
      <w:r w:rsidR="00A14170">
        <w:t xml:space="preserve"> </w:t>
      </w:r>
      <w:r w:rsidR="00E16D9C">
        <w:t>The latest one was undertaken in 2016 and its results were presented to the Council at its 2017 session.</w:t>
      </w:r>
      <w:r w:rsidR="003E5F51">
        <w:t xml:space="preserve"> </w:t>
      </w:r>
    </w:p>
    <w:p w14:paraId="0BC9457D" w14:textId="77777777" w:rsidR="00330682" w:rsidRPr="000B37F5" w:rsidRDefault="00E16D9C" w:rsidP="00B4431B">
      <w:pPr>
        <w:pStyle w:val="testobase"/>
      </w:pPr>
      <w:r>
        <w:t xml:space="preserve">However, our audit found that </w:t>
      </w:r>
      <w:r w:rsidR="00F37C3D">
        <w:t xml:space="preserve">the </w:t>
      </w:r>
      <w:r>
        <w:t>evaluation of the ITU</w:t>
      </w:r>
      <w:r w:rsidR="004648AA">
        <w:t>'s</w:t>
      </w:r>
      <w:r>
        <w:t xml:space="preserve"> regional presence still </w:t>
      </w:r>
      <w:r w:rsidR="00F37C3D">
        <w:t>lack</w:t>
      </w:r>
      <w:r w:rsidR="00D0671F">
        <w:t>s</w:t>
      </w:r>
      <w:r w:rsidR="00F37C3D">
        <w:t xml:space="preserve"> </w:t>
      </w:r>
      <w:r w:rsidR="004648AA">
        <w:t xml:space="preserve">some </w:t>
      </w:r>
      <w:r w:rsidR="00F37C3D">
        <w:t xml:space="preserve">major </w:t>
      </w:r>
      <w:r>
        <w:t>elements</w:t>
      </w:r>
      <w:r w:rsidR="006858BC">
        <w:t xml:space="preserve"> in respect of field offices.</w:t>
      </w:r>
      <w:r w:rsidR="00F37C3D">
        <w:t xml:space="preserve"> Th</w:t>
      </w:r>
      <w:r w:rsidR="00D0671F">
        <w:t>is</w:t>
      </w:r>
      <w:r w:rsidR="00FC2A4B">
        <w:t xml:space="preserve"> </w:t>
      </w:r>
      <w:r>
        <w:t xml:space="preserve">report offers </w:t>
      </w:r>
      <w:r w:rsidR="00F37C3D">
        <w:t xml:space="preserve">suggestions and recommendations for how the current system might be improved in order to enhance the assurance level provided by internal control that </w:t>
      </w:r>
      <w:r w:rsidR="004648AA">
        <w:t xml:space="preserve">field </w:t>
      </w:r>
      <w:r w:rsidR="00F37C3D">
        <w:t xml:space="preserve">offices are delivering </w:t>
      </w:r>
      <w:r w:rsidR="004648AA">
        <w:t xml:space="preserve">timely and </w:t>
      </w:r>
      <w:r w:rsidR="00A14170">
        <w:t>high-</w:t>
      </w:r>
      <w:r w:rsidR="00F37C3D">
        <w:t>quality products</w:t>
      </w:r>
      <w:r w:rsidR="004648AA">
        <w:t xml:space="preserve"> in pursuit of </w:t>
      </w:r>
      <w:r w:rsidR="00D0671F">
        <w:t xml:space="preserve">the </w:t>
      </w:r>
      <w:r w:rsidR="004648AA">
        <w:t>ITU's institutional goals</w:t>
      </w:r>
      <w:r w:rsidR="00FC2A4B">
        <w:t>, according to their mandate</w:t>
      </w:r>
      <w:r w:rsidR="004648AA">
        <w:t xml:space="preserve">. </w:t>
      </w:r>
    </w:p>
    <w:p w14:paraId="437B90F8" w14:textId="77777777" w:rsidR="00A22A2E" w:rsidRPr="00A22A2E" w:rsidRDefault="00B24130" w:rsidP="00B4431B">
      <w:pPr>
        <w:pStyle w:val="testobase"/>
      </w:pPr>
      <w:r>
        <w:t xml:space="preserve">The following paragraphs aim to describe what we observed during our audit </w:t>
      </w:r>
      <w:r w:rsidR="00CA192B">
        <w:t xml:space="preserve">as regards the objectives assigned to field offices, their measurability through appropriate and consistent KPIs </w:t>
      </w:r>
      <w:r>
        <w:t xml:space="preserve">and </w:t>
      </w:r>
      <w:r w:rsidR="00CA192B">
        <w:t xml:space="preserve">how </w:t>
      </w:r>
      <w:r>
        <w:t xml:space="preserve">the </w:t>
      </w:r>
      <w:r w:rsidR="00CA192B">
        <w:t xml:space="preserve">risks related to operational activities </w:t>
      </w:r>
      <w:r w:rsidR="00C144FE">
        <w:t>when</w:t>
      </w:r>
      <w:r w:rsidR="00CA192B">
        <w:t xml:space="preserve"> "strengthening the </w:t>
      </w:r>
      <w:r w:rsidR="00311654">
        <w:t>regional</w:t>
      </w:r>
      <w:r w:rsidR="00CA192B">
        <w:t xml:space="preserve"> presence" are taken into account and mitigated.</w:t>
      </w:r>
    </w:p>
    <w:p w14:paraId="76755BA6" w14:textId="77777777" w:rsidR="00A22A2E" w:rsidRPr="004A43EF" w:rsidRDefault="00CA192B" w:rsidP="00A22A2E">
      <w:pPr>
        <w:pStyle w:val="Heading3"/>
        <w:ind w:left="567"/>
      </w:pPr>
      <w:bookmarkStart w:id="27" w:name="_Toc526772251"/>
      <w:r>
        <w:t>I</w:t>
      </w:r>
      <w:r w:rsidR="003A6F5C">
        <w:t>t</w:t>
      </w:r>
      <w:r>
        <w:t xml:space="preserve"> i</w:t>
      </w:r>
      <w:r w:rsidR="004A43EF" w:rsidRPr="004A43EF">
        <w:t xml:space="preserve">s </w:t>
      </w:r>
      <w:r>
        <w:t xml:space="preserve">not </w:t>
      </w:r>
      <w:r w:rsidR="004A43EF" w:rsidRPr="004A43EF">
        <w:t xml:space="preserve">possible for Management to </w:t>
      </w:r>
      <w:r w:rsidR="003F1A32" w:rsidRPr="004A43EF">
        <w:t>de</w:t>
      </w:r>
      <w:r w:rsidR="00A669EF">
        <w:t>rive</w:t>
      </w:r>
      <w:r w:rsidR="003F1A32">
        <w:t xml:space="preserve"> </w:t>
      </w:r>
      <w:r>
        <w:t xml:space="preserve">specific and </w:t>
      </w:r>
      <w:r w:rsidR="003F1A32" w:rsidRPr="004A43EF">
        <w:t>measurable</w:t>
      </w:r>
      <w:r w:rsidR="004A43EF">
        <w:t xml:space="preserve"> </w:t>
      </w:r>
      <w:r w:rsidR="004A43EF" w:rsidRPr="004A43EF">
        <w:t>objective</w:t>
      </w:r>
      <w:r w:rsidR="003866EF">
        <w:t xml:space="preserve">s </w:t>
      </w:r>
      <w:r w:rsidR="00AA31BE">
        <w:t xml:space="preserve">directly </w:t>
      </w:r>
      <w:r w:rsidR="003866EF">
        <w:t xml:space="preserve">from </w:t>
      </w:r>
      <w:r>
        <w:t>PP Res. 25</w:t>
      </w:r>
      <w:bookmarkEnd w:id="27"/>
      <w:r w:rsidR="003866EF">
        <w:t xml:space="preserve"> </w:t>
      </w:r>
    </w:p>
    <w:p w14:paraId="0F49DC2E" w14:textId="77777777" w:rsidR="003A6F5C" w:rsidRDefault="003A6F5C" w:rsidP="00B4431B">
      <w:pPr>
        <w:pStyle w:val="testobase"/>
      </w:pPr>
      <w:r>
        <w:t xml:space="preserve">In </w:t>
      </w:r>
      <w:r w:rsidR="00D0671F">
        <w:t>its</w:t>
      </w:r>
      <w:r>
        <w:t xml:space="preserve"> report JIU/REP/2016/1</w:t>
      </w:r>
      <w:r w:rsidR="00C144FE">
        <w:t xml:space="preserve"> of 2016</w:t>
      </w:r>
      <w:r w:rsidR="0017343D">
        <w:t>, the J</w:t>
      </w:r>
      <w:r w:rsidR="00D0671F">
        <w:t>oint Inspection Unit</w:t>
      </w:r>
      <w:r>
        <w:t xml:space="preserve"> invited the Council “to approve a consolidated and clearly formulated mandate for the ITU regional presence with specific objectives for the regional offices” and ensure that the role of the regional presence in achieving “One ITU” is mainstreamed in the Strategic Plan of the Union and appropriately cascaded down into the operational plans </w:t>
      </w:r>
      <w:r w:rsidR="00D0671F">
        <w:t>for</w:t>
      </w:r>
      <w:r>
        <w:t xml:space="preserve"> each </w:t>
      </w:r>
      <w:r w:rsidR="00C144FE">
        <w:t>S</w:t>
      </w:r>
      <w:r>
        <w:t>ector. This echoed a similar recommendation made by the Inspector</w:t>
      </w:r>
      <w:r w:rsidR="0017343D">
        <w:t>s</w:t>
      </w:r>
      <w:r>
        <w:t xml:space="preserve"> in another report of 2009. </w:t>
      </w:r>
    </w:p>
    <w:p w14:paraId="1F908157" w14:textId="77777777" w:rsidR="00441671" w:rsidRPr="00441671" w:rsidRDefault="003866EF" w:rsidP="00B4431B">
      <w:pPr>
        <w:pStyle w:val="testobase"/>
      </w:pPr>
      <w:r>
        <w:t xml:space="preserve">During our audit, we observed that </w:t>
      </w:r>
      <w:r w:rsidR="00A22A2E" w:rsidRPr="00C10739">
        <w:t xml:space="preserve">PP Resolution 25 on “strengthening Regional </w:t>
      </w:r>
      <w:r w:rsidR="00441671">
        <w:t>Presence”</w:t>
      </w:r>
      <w:r w:rsidR="0017343D">
        <w:t xml:space="preserve"> </w:t>
      </w:r>
      <w:r w:rsidR="00441671">
        <w:t xml:space="preserve">provides </w:t>
      </w:r>
      <w:r w:rsidR="003A6F5C">
        <w:t xml:space="preserve">some </w:t>
      </w:r>
      <w:r w:rsidR="00441671">
        <w:t>guidance to Management</w:t>
      </w:r>
      <w:r w:rsidR="003A6F5C">
        <w:t xml:space="preserve"> </w:t>
      </w:r>
      <w:r w:rsidR="00441671">
        <w:t xml:space="preserve">in relation to </w:t>
      </w:r>
      <w:r w:rsidR="00441671" w:rsidRPr="00A22A2E">
        <w:rPr>
          <w:rFonts w:eastAsia="Times New Roman" w:cs="Calibri"/>
          <w:color w:val="000000"/>
        </w:rPr>
        <w:t>regional offices</w:t>
      </w:r>
      <w:r w:rsidR="003A6F5C">
        <w:rPr>
          <w:rFonts w:eastAsia="Times New Roman" w:cs="Calibri"/>
          <w:color w:val="000000"/>
        </w:rPr>
        <w:t xml:space="preserve">. In particular, </w:t>
      </w:r>
      <w:r w:rsidR="00441671" w:rsidRPr="00A22A2E">
        <w:rPr>
          <w:rFonts w:eastAsia="Times New Roman" w:cs="Calibri"/>
          <w:color w:val="000000"/>
        </w:rPr>
        <w:t>Resolve 2</w:t>
      </w:r>
      <w:r w:rsidR="00441671">
        <w:rPr>
          <w:rFonts w:eastAsia="Times New Roman" w:cs="Calibri"/>
          <w:color w:val="000000"/>
        </w:rPr>
        <w:t xml:space="preserve"> indicates that </w:t>
      </w:r>
      <w:r w:rsidR="00441671" w:rsidRPr="00A22A2E">
        <w:rPr>
          <w:rFonts w:eastAsia="Times New Roman" w:cs="Calibri"/>
          <w:color w:val="000000"/>
        </w:rPr>
        <w:t xml:space="preserve">they play a </w:t>
      </w:r>
      <w:r w:rsidR="00CA192B">
        <w:rPr>
          <w:rFonts w:eastAsia="Times New Roman" w:cs="Calibri"/>
          <w:color w:val="000000"/>
        </w:rPr>
        <w:t xml:space="preserve">role </w:t>
      </w:r>
      <w:r w:rsidR="00441671" w:rsidRPr="00A22A2E">
        <w:rPr>
          <w:rFonts w:eastAsia="Times New Roman" w:cs="Calibri"/>
          <w:color w:val="000000"/>
        </w:rPr>
        <w:t xml:space="preserve">in the implementation of programmes and projects </w:t>
      </w:r>
      <w:r w:rsidR="00441671" w:rsidRPr="00A22A2E">
        <w:rPr>
          <w:rFonts w:eastAsia="Times New Roman" w:cs="Calibri"/>
          <w:i/>
          <w:color w:val="000000"/>
        </w:rPr>
        <w:t>in the framework of regional initiatives</w:t>
      </w:r>
      <w:r w:rsidR="00441671" w:rsidRPr="00A22A2E">
        <w:rPr>
          <w:rFonts w:eastAsia="Times New Roman" w:cs="Calibri"/>
          <w:color w:val="000000"/>
        </w:rPr>
        <w:t>, within the resources allocated by the financial plan</w:t>
      </w:r>
      <w:r w:rsidR="003F1A32">
        <w:rPr>
          <w:rFonts w:eastAsia="Times New Roman" w:cs="Calibri"/>
          <w:color w:val="000000"/>
        </w:rPr>
        <w:t>.</w:t>
      </w:r>
      <w:r w:rsidR="003A6F5C">
        <w:rPr>
          <w:rFonts w:eastAsia="Times New Roman" w:cs="Calibri"/>
          <w:color w:val="000000"/>
        </w:rPr>
        <w:t xml:space="preserve"> </w:t>
      </w:r>
    </w:p>
    <w:p w14:paraId="05BEBC07" w14:textId="77777777" w:rsidR="00925558" w:rsidRPr="00812AB8" w:rsidRDefault="00441671" w:rsidP="00B4431B">
      <w:pPr>
        <w:pStyle w:val="testobase"/>
      </w:pPr>
      <w:r w:rsidRPr="00812AB8">
        <w:t>However, PP Res</w:t>
      </w:r>
      <w:r w:rsidR="006858BC">
        <w:t>.</w:t>
      </w:r>
      <w:r w:rsidRPr="00812AB8">
        <w:t xml:space="preserve"> 25</w:t>
      </w:r>
      <w:r w:rsidR="000C62AB" w:rsidRPr="00812AB8">
        <w:t xml:space="preserve"> </w:t>
      </w:r>
      <w:r w:rsidRPr="00812AB8">
        <w:t xml:space="preserve">does not set </w:t>
      </w:r>
      <w:r w:rsidR="0017343D">
        <w:t>forth</w:t>
      </w:r>
      <w:r w:rsidRPr="00812AB8">
        <w:t xml:space="preserve"> any specific and m</w:t>
      </w:r>
      <w:r w:rsidR="00A22A2E" w:rsidRPr="00812AB8">
        <w:t xml:space="preserve">easurable </w:t>
      </w:r>
      <w:r w:rsidR="00276DDE" w:rsidRPr="00812AB8">
        <w:t>o</w:t>
      </w:r>
      <w:r w:rsidR="00A22A2E" w:rsidRPr="00812AB8">
        <w:t>bje</w:t>
      </w:r>
      <w:r w:rsidR="000C62AB" w:rsidRPr="00812AB8">
        <w:t>ctive</w:t>
      </w:r>
      <w:r w:rsidR="006858BC">
        <w:t>s</w:t>
      </w:r>
      <w:r w:rsidR="000C62AB" w:rsidRPr="00812AB8">
        <w:t xml:space="preserve">, </w:t>
      </w:r>
      <w:r w:rsidR="00CA192B" w:rsidRPr="00812AB8">
        <w:t xml:space="preserve">which could be </w:t>
      </w:r>
      <w:r w:rsidR="000C62AB" w:rsidRPr="00812AB8">
        <w:t>followed by a</w:t>
      </w:r>
      <w:r w:rsidR="00CA192B" w:rsidRPr="00812AB8">
        <w:t xml:space="preserve">ppropriate </w:t>
      </w:r>
      <w:r w:rsidR="000C62AB" w:rsidRPr="00812AB8">
        <w:t>and agreed KPIs.</w:t>
      </w:r>
      <w:r w:rsidR="00812AB8" w:rsidRPr="00812AB8">
        <w:t xml:space="preserve"> </w:t>
      </w:r>
      <w:r w:rsidR="000C62AB" w:rsidRPr="00812AB8">
        <w:t xml:space="preserve">Therefore, it </w:t>
      </w:r>
      <w:r w:rsidR="002630EC" w:rsidRPr="00812AB8">
        <w:t xml:space="preserve">is </w:t>
      </w:r>
      <w:r w:rsidR="000C62AB" w:rsidRPr="00812AB8">
        <w:t xml:space="preserve">not </w:t>
      </w:r>
      <w:r w:rsidR="00A669EF">
        <w:t xml:space="preserve">possible to derive directly from </w:t>
      </w:r>
      <w:r w:rsidR="006858BC">
        <w:t xml:space="preserve">PP </w:t>
      </w:r>
      <w:r w:rsidR="00A669EF">
        <w:t xml:space="preserve">Res. 25 the elements needed to </w:t>
      </w:r>
      <w:r w:rsidR="00812AB8">
        <w:t xml:space="preserve">assess </w:t>
      </w:r>
      <w:r w:rsidR="00D0671F">
        <w:t>whether</w:t>
      </w:r>
      <w:r w:rsidR="00DB7D44" w:rsidRPr="00812AB8">
        <w:t xml:space="preserve"> </w:t>
      </w:r>
      <w:r w:rsidR="002630EC" w:rsidRPr="00812AB8">
        <w:t xml:space="preserve">and to what extent </w:t>
      </w:r>
      <w:r w:rsidR="00DB7D44" w:rsidRPr="00812AB8">
        <w:t>the “resolves” and</w:t>
      </w:r>
      <w:r w:rsidR="00276DDE" w:rsidRPr="00812AB8" w:rsidDel="00276DDE">
        <w:t xml:space="preserve"> </w:t>
      </w:r>
      <w:r w:rsidR="00DB7D44" w:rsidRPr="00812AB8">
        <w:t xml:space="preserve">the Council’s requests have been achieved and/or </w:t>
      </w:r>
      <w:r w:rsidR="00D0671F">
        <w:t xml:space="preserve">properly </w:t>
      </w:r>
      <w:r w:rsidR="00DB7D44" w:rsidRPr="00812AB8">
        <w:t>implemented</w:t>
      </w:r>
      <w:r w:rsidR="00D0671F">
        <w:t>.</w:t>
      </w:r>
      <w:bookmarkEnd w:id="0"/>
      <w:bookmarkEnd w:id="24"/>
      <w:bookmarkEnd w:id="25"/>
    </w:p>
    <w:p w14:paraId="01400EB8" w14:textId="77777777" w:rsidR="00925558" w:rsidRPr="00276DDE" w:rsidRDefault="002630EC" w:rsidP="00B4431B">
      <w:pPr>
        <w:pStyle w:val="recesug"/>
      </w:pPr>
      <w:r w:rsidRPr="002630EC">
        <w:rPr>
          <w:i/>
        </w:rPr>
        <w:t>W</w:t>
      </w:r>
      <w:r w:rsidR="00925558" w:rsidRPr="00925558">
        <w:rPr>
          <w:i/>
          <w:u w:val="single"/>
        </w:rPr>
        <w:t>e draw the Council’s attention</w:t>
      </w:r>
      <w:r w:rsidR="00925558" w:rsidRPr="00925558">
        <w:t xml:space="preserve"> to the fact that</w:t>
      </w:r>
      <w:r w:rsidR="00D0671F">
        <w:t>,</w:t>
      </w:r>
      <w:r w:rsidR="00925558" w:rsidRPr="00925558">
        <w:t xml:space="preserve"> in order to have systematic monitoring </w:t>
      </w:r>
      <w:r>
        <w:t xml:space="preserve">as to </w:t>
      </w:r>
      <w:r w:rsidR="00925558" w:rsidRPr="00925558">
        <w:t xml:space="preserve">whether </w:t>
      </w:r>
      <w:r w:rsidR="0017343D">
        <w:t xml:space="preserve">and to what extent </w:t>
      </w:r>
      <w:r>
        <w:t>the o</w:t>
      </w:r>
      <w:r w:rsidR="00925558" w:rsidRPr="00925558">
        <w:t xml:space="preserve">bjectives </w:t>
      </w:r>
      <w:r>
        <w:t xml:space="preserve">related to the regional presence </w:t>
      </w:r>
      <w:r w:rsidR="00925558" w:rsidRPr="00925558">
        <w:t>have been achieved</w:t>
      </w:r>
      <w:r w:rsidR="00276DDE">
        <w:t>,</w:t>
      </w:r>
      <w:r w:rsidR="00925558" w:rsidRPr="00925558">
        <w:t xml:space="preserve"> </w:t>
      </w:r>
      <w:r w:rsidR="00276DDE">
        <w:t xml:space="preserve">a set of </w:t>
      </w:r>
      <w:r w:rsidR="00925558" w:rsidRPr="00925558">
        <w:t>specific</w:t>
      </w:r>
      <w:r w:rsidR="0017343D">
        <w:t xml:space="preserve"> and </w:t>
      </w:r>
      <w:r w:rsidR="00925558" w:rsidRPr="00925558">
        <w:t xml:space="preserve">measurable </w:t>
      </w:r>
      <w:r w:rsidR="0017343D">
        <w:t>o</w:t>
      </w:r>
      <w:r w:rsidR="00925558" w:rsidRPr="00925558">
        <w:t>bjectives</w:t>
      </w:r>
      <w:r w:rsidR="00276DDE">
        <w:t xml:space="preserve"> </w:t>
      </w:r>
      <w:r w:rsidR="006334DF">
        <w:t>should</w:t>
      </w:r>
      <w:r w:rsidR="00276DDE">
        <w:t xml:space="preserve"> be </w:t>
      </w:r>
      <w:r w:rsidR="00276DDE" w:rsidRPr="00925558">
        <w:t>embedded in PP Resolution</w:t>
      </w:r>
      <w:r w:rsidR="00EC01D7">
        <w:t>s</w:t>
      </w:r>
      <w:r w:rsidR="00276DDE">
        <w:t>,</w:t>
      </w:r>
      <w:r w:rsidR="00276DDE" w:rsidRPr="00925558">
        <w:t xml:space="preserve"> </w:t>
      </w:r>
      <w:r w:rsidR="00EC01D7">
        <w:t xml:space="preserve">and </w:t>
      </w:r>
      <w:r w:rsidR="00925558" w:rsidRPr="00925558">
        <w:t>linked to accurate, robust and consistent KPIs</w:t>
      </w:r>
      <w:r>
        <w:t xml:space="preserve">. To this </w:t>
      </w:r>
      <w:r w:rsidR="00D0671F">
        <w:t>end</w:t>
      </w:r>
      <w:r>
        <w:t>,</w:t>
      </w:r>
      <w:r w:rsidR="00925558" w:rsidRPr="00925558">
        <w:t xml:space="preserve"> it might be </w:t>
      </w:r>
      <w:r w:rsidR="00276DDE">
        <w:t xml:space="preserve">appropriate </w:t>
      </w:r>
      <w:r w:rsidR="00925558" w:rsidRPr="00925558">
        <w:t xml:space="preserve">to create an ad-hoc Working group for </w:t>
      </w:r>
      <w:r w:rsidR="00276DDE">
        <w:t xml:space="preserve">setting </w:t>
      </w:r>
      <w:r w:rsidR="00B92686">
        <w:t xml:space="preserve">specific </w:t>
      </w:r>
      <w:r w:rsidR="00925558" w:rsidRPr="00925558">
        <w:t>Objectives and KPIs</w:t>
      </w:r>
      <w:r w:rsidR="00B92686">
        <w:t xml:space="preserve"> </w:t>
      </w:r>
      <w:r w:rsidR="00EC01D7">
        <w:t xml:space="preserve">to be applied by </w:t>
      </w:r>
      <w:r w:rsidR="00276DDE">
        <w:t xml:space="preserve">the </w:t>
      </w:r>
      <w:r w:rsidR="00EC01D7">
        <w:t>field</w:t>
      </w:r>
      <w:r w:rsidR="00925558" w:rsidRPr="00925558">
        <w:t xml:space="preserve"> </w:t>
      </w:r>
      <w:r w:rsidR="00EC01D7">
        <w:t>offices.</w:t>
      </w:r>
      <w:r w:rsidR="00967333">
        <w:t xml:space="preserve"> </w:t>
      </w:r>
      <w:r w:rsidR="0063705D">
        <w:t>These</w:t>
      </w:r>
      <w:r w:rsidR="00393258">
        <w:t xml:space="preserve"> </w:t>
      </w:r>
      <w:r w:rsidR="0063705D">
        <w:t>o</w:t>
      </w:r>
      <w:r w:rsidR="00393258">
        <w:t xml:space="preserve">bjectives and KPIs should </w:t>
      </w:r>
      <w:r w:rsidR="0063705D">
        <w:t xml:space="preserve">also reflect </w:t>
      </w:r>
      <w:r w:rsidR="00393258">
        <w:t xml:space="preserve">the </w:t>
      </w:r>
      <w:r w:rsidR="00096924">
        <w:t xml:space="preserve">decision </w:t>
      </w:r>
      <w:r w:rsidR="00393258">
        <w:t>to u</w:t>
      </w:r>
      <w:r w:rsidR="00096924">
        <w:t>se</w:t>
      </w:r>
      <w:r w:rsidR="00393258">
        <w:t xml:space="preserve"> field offices </w:t>
      </w:r>
      <w:r w:rsidR="005F597B">
        <w:t xml:space="preserve">as an instrument </w:t>
      </w:r>
      <w:r w:rsidR="00393258">
        <w:t xml:space="preserve">for enhancing the role of ITU as a whole. </w:t>
      </w:r>
    </w:p>
    <w:p w14:paraId="118168D6" w14:textId="77777777" w:rsidR="005F597B" w:rsidRPr="005F597B" w:rsidRDefault="005F597B" w:rsidP="00C66E9B">
      <w:pPr>
        <w:pStyle w:val="titolosugg"/>
      </w:pPr>
    </w:p>
    <w:p w14:paraId="2C9F91DE" w14:textId="77777777" w:rsidR="00925558" w:rsidRPr="00C10739" w:rsidRDefault="00925558" w:rsidP="0042364A">
      <w:pPr>
        <w:pStyle w:val="recesug"/>
      </w:pPr>
      <w:r w:rsidRPr="00C10739">
        <w:t>Furthermo</w:t>
      </w:r>
      <w:r w:rsidRPr="00A669EF">
        <w:t>re</w:t>
      </w:r>
      <w:r w:rsidRPr="00276DDE">
        <w:rPr>
          <w:i/>
        </w:rPr>
        <w:t>,</w:t>
      </w:r>
      <w:r w:rsidRPr="00276DDE">
        <w:t xml:space="preserve"> </w:t>
      </w:r>
      <w:r w:rsidR="008C24A1" w:rsidRPr="00C145F5">
        <w:rPr>
          <w:u w:val="single"/>
        </w:rPr>
        <w:t xml:space="preserve">we </w:t>
      </w:r>
      <w:r w:rsidRPr="00C145F5">
        <w:rPr>
          <w:u w:val="single"/>
        </w:rPr>
        <w:t>suggest</w:t>
      </w:r>
      <w:r w:rsidRPr="00C10739">
        <w:t xml:space="preserve"> that</w:t>
      </w:r>
      <w:r w:rsidR="00EC01D7">
        <w:t xml:space="preserve">, </w:t>
      </w:r>
      <w:r w:rsidR="00EC01D7" w:rsidRPr="00276DDE">
        <w:t>in order to proactively implement</w:t>
      </w:r>
      <w:r w:rsidR="00EC01D7">
        <w:t xml:space="preserve"> a consistent and coherent system of Objectives and KPIs for ROs,</w:t>
      </w:r>
      <w:r w:rsidRPr="00C10739">
        <w:t xml:space="preserve"> Management </w:t>
      </w:r>
      <w:r w:rsidR="00EC01D7">
        <w:t xml:space="preserve">should </w:t>
      </w:r>
      <w:r w:rsidRPr="00C10739">
        <w:t xml:space="preserve">prepare a proposal, </w:t>
      </w:r>
      <w:r w:rsidR="00D0671F">
        <w:t>for</w:t>
      </w:r>
      <w:r w:rsidRPr="00C10739">
        <w:t xml:space="preserve"> the </w:t>
      </w:r>
      <w:r w:rsidR="00EC01D7">
        <w:t xml:space="preserve">Council's </w:t>
      </w:r>
      <w:r w:rsidRPr="00C10739">
        <w:t xml:space="preserve">attention, gathering </w:t>
      </w:r>
      <w:r w:rsidR="00EC01D7">
        <w:t xml:space="preserve">the </w:t>
      </w:r>
      <w:r w:rsidRPr="00C10739">
        <w:t xml:space="preserve">ITU's Management experience both at </w:t>
      </w:r>
      <w:r w:rsidR="0042364A">
        <w:t>BDT</w:t>
      </w:r>
      <w:r w:rsidRPr="00C10739">
        <w:t xml:space="preserve"> and ROs level</w:t>
      </w:r>
      <w:r w:rsidR="00C145F5">
        <w:t xml:space="preserve">, with the aim of facilitating discussions and </w:t>
      </w:r>
      <w:r w:rsidR="00D0671F">
        <w:t xml:space="preserve">the </w:t>
      </w:r>
      <w:r w:rsidR="00C145F5">
        <w:t>approval of P</w:t>
      </w:r>
      <w:r w:rsidR="00276DDE">
        <w:t>P</w:t>
      </w:r>
      <w:r w:rsidR="00C145F5">
        <w:t xml:space="preserve"> decision</w:t>
      </w:r>
      <w:r w:rsidR="00276DDE">
        <w:t>s</w:t>
      </w:r>
      <w:r w:rsidR="00C145F5">
        <w:t xml:space="preserve"> on this issue.</w:t>
      </w:r>
    </w:p>
    <w:p w14:paraId="00ABB281" w14:textId="77777777" w:rsidR="00925558" w:rsidRPr="00C10739" w:rsidRDefault="00925558" w:rsidP="00925558"/>
    <w:p w14:paraId="55EBA736" w14:textId="77777777" w:rsidR="00925558" w:rsidRDefault="00E635CA" w:rsidP="00C66E9B">
      <w:pPr>
        <w:pStyle w:val="titcomments"/>
      </w:pPr>
      <w:r w:rsidRPr="00C10739">
        <w:t>Comments by ITU</w:t>
      </w:r>
    </w:p>
    <w:p w14:paraId="4C7AA87C" w14:textId="77777777" w:rsidR="00343C1D" w:rsidRDefault="00343C1D" w:rsidP="000534A7">
      <w:pPr>
        <w:pStyle w:val="titcomments"/>
        <w:spacing w:line="319" w:lineRule="auto"/>
        <w:rPr>
          <w:b w:val="0"/>
          <w:bCs w:val="0"/>
          <w:i w:val="0"/>
          <w:iCs/>
        </w:rPr>
      </w:pPr>
      <w:r w:rsidRPr="00CC1830">
        <w:rPr>
          <w:b w:val="0"/>
          <w:bCs w:val="0"/>
          <w:i w:val="0"/>
          <w:iCs/>
        </w:rPr>
        <w:t xml:space="preserve">ITU </w:t>
      </w:r>
      <w:r w:rsidR="00C8618F">
        <w:rPr>
          <w:b w:val="0"/>
          <w:bCs w:val="0"/>
          <w:i w:val="0"/>
          <w:iCs/>
        </w:rPr>
        <w:t>will further study</w:t>
      </w:r>
      <w:r w:rsidRPr="00CC1830">
        <w:rPr>
          <w:b w:val="0"/>
          <w:bCs w:val="0"/>
          <w:i w:val="0"/>
          <w:iCs/>
        </w:rPr>
        <w:t xml:space="preserve"> </w:t>
      </w:r>
      <w:r w:rsidR="002D3327">
        <w:rPr>
          <w:b w:val="0"/>
          <w:bCs w:val="0"/>
          <w:i w:val="0"/>
          <w:iCs/>
        </w:rPr>
        <w:t>S</w:t>
      </w:r>
      <w:r>
        <w:rPr>
          <w:b w:val="0"/>
          <w:bCs w:val="0"/>
          <w:i w:val="0"/>
          <w:iCs/>
        </w:rPr>
        <w:t>uggestion</w:t>
      </w:r>
      <w:r w:rsidR="002D3327">
        <w:rPr>
          <w:b w:val="0"/>
          <w:bCs w:val="0"/>
          <w:i w:val="0"/>
          <w:iCs/>
        </w:rPr>
        <w:t xml:space="preserve"> </w:t>
      </w:r>
      <w:r w:rsidR="000534A7">
        <w:rPr>
          <w:b w:val="0"/>
          <w:bCs w:val="0"/>
          <w:i w:val="0"/>
          <w:iCs/>
        </w:rPr>
        <w:t xml:space="preserve">n. </w:t>
      </w:r>
      <w:r w:rsidR="002D3327">
        <w:rPr>
          <w:b w:val="0"/>
          <w:bCs w:val="0"/>
          <w:i w:val="0"/>
          <w:iCs/>
        </w:rPr>
        <w:t>1</w:t>
      </w:r>
      <w:r>
        <w:rPr>
          <w:b w:val="0"/>
          <w:bCs w:val="0"/>
          <w:i w:val="0"/>
          <w:iCs/>
          <w:lang w:val="en-US"/>
        </w:rPr>
        <w:t xml:space="preserve">. Indeed, </w:t>
      </w:r>
      <w:r>
        <w:rPr>
          <w:b w:val="0"/>
          <w:bCs w:val="0"/>
          <w:i w:val="0"/>
          <w:iCs/>
        </w:rPr>
        <w:t xml:space="preserve">ITU would like to highlight that regional activities are implemented through combined efforts of the HQ and regions. Activities of HQ and regions are highly interlinked and inseparable. </w:t>
      </w:r>
    </w:p>
    <w:p w14:paraId="189E6CEC" w14:textId="77777777" w:rsidR="00343C1D" w:rsidRPr="00A03969" w:rsidRDefault="00343C1D" w:rsidP="000140C6">
      <w:pPr>
        <w:pStyle w:val="titcomments"/>
        <w:spacing w:line="319" w:lineRule="auto"/>
        <w:rPr>
          <w:b w:val="0"/>
          <w:bCs w:val="0"/>
          <w:i w:val="0"/>
          <w:iCs/>
        </w:rPr>
      </w:pPr>
      <w:r>
        <w:rPr>
          <w:b w:val="0"/>
          <w:bCs w:val="0"/>
          <w:i w:val="0"/>
          <w:iCs/>
        </w:rPr>
        <w:t xml:space="preserve">In addition, </w:t>
      </w:r>
      <w:r w:rsidRPr="00A03969">
        <w:rPr>
          <w:b w:val="0"/>
          <w:bCs w:val="0"/>
          <w:i w:val="0"/>
          <w:iCs/>
        </w:rPr>
        <w:t xml:space="preserve">Objectives and KPI’s </w:t>
      </w:r>
      <w:r>
        <w:rPr>
          <w:b w:val="0"/>
          <w:bCs w:val="0"/>
          <w:i w:val="0"/>
          <w:iCs/>
        </w:rPr>
        <w:t xml:space="preserve">covering </w:t>
      </w:r>
      <w:r w:rsidRPr="00A03969">
        <w:rPr>
          <w:b w:val="0"/>
          <w:bCs w:val="0"/>
          <w:i w:val="0"/>
          <w:iCs/>
        </w:rPr>
        <w:t xml:space="preserve">both the HQ and </w:t>
      </w:r>
      <w:r>
        <w:rPr>
          <w:b w:val="0"/>
          <w:bCs w:val="0"/>
          <w:i w:val="0"/>
          <w:iCs/>
        </w:rPr>
        <w:t>r</w:t>
      </w:r>
      <w:r w:rsidRPr="00A03969">
        <w:rPr>
          <w:b w:val="0"/>
          <w:bCs w:val="0"/>
          <w:i w:val="0"/>
          <w:iCs/>
        </w:rPr>
        <w:t xml:space="preserve">egional </w:t>
      </w:r>
      <w:r>
        <w:rPr>
          <w:b w:val="0"/>
          <w:bCs w:val="0"/>
          <w:i w:val="0"/>
          <w:iCs/>
        </w:rPr>
        <w:t xml:space="preserve">activities already exist in the WTDC Action Plan and the rolling four-year Operational Plan. </w:t>
      </w:r>
      <w:r w:rsidRPr="00F05254">
        <w:rPr>
          <w:b w:val="0"/>
          <w:bCs w:val="0"/>
          <w:i w:val="0"/>
          <w:iCs/>
        </w:rPr>
        <w:t>These are already covered by the annual reports of the SG to Council on “Strengthening the Regional Presence”</w:t>
      </w:r>
      <w:r w:rsidR="000140C6" w:rsidRPr="00F05254">
        <w:rPr>
          <w:b w:val="0"/>
          <w:bCs w:val="0"/>
          <w:i w:val="0"/>
          <w:iCs/>
        </w:rPr>
        <w:t>,</w:t>
      </w:r>
      <w:r w:rsidRPr="00F05254">
        <w:rPr>
          <w:b w:val="0"/>
          <w:bCs w:val="0"/>
          <w:i w:val="0"/>
          <w:iCs/>
        </w:rPr>
        <w:t xml:space="preserve"> and the annual performance reports</w:t>
      </w:r>
      <w:r w:rsidR="000140C6" w:rsidRPr="00F05254">
        <w:rPr>
          <w:b w:val="0"/>
          <w:bCs w:val="0"/>
          <w:i w:val="0"/>
          <w:iCs/>
        </w:rPr>
        <w:t xml:space="preserve"> and quarterly performance reports published by BDT</w:t>
      </w:r>
      <w:r w:rsidR="000140C6">
        <w:rPr>
          <w:b w:val="0"/>
          <w:bCs w:val="0"/>
          <w:i w:val="0"/>
          <w:iCs/>
        </w:rPr>
        <w:t xml:space="preserve"> to inform the membership regularly.</w:t>
      </w:r>
    </w:p>
    <w:p w14:paraId="10C56557" w14:textId="77777777" w:rsidR="00C66E9B" w:rsidRPr="00343C1D" w:rsidRDefault="00343C1D" w:rsidP="00343C1D">
      <w:pPr>
        <w:pStyle w:val="titcomments"/>
        <w:spacing w:line="319" w:lineRule="auto"/>
        <w:rPr>
          <w:b w:val="0"/>
          <w:bCs w:val="0"/>
          <w:i w:val="0"/>
          <w:iCs/>
        </w:rPr>
      </w:pPr>
      <w:r>
        <w:rPr>
          <w:b w:val="0"/>
          <w:bCs w:val="0"/>
          <w:i w:val="0"/>
          <w:iCs/>
        </w:rPr>
        <w:t xml:space="preserve">Furthermore, PP </w:t>
      </w:r>
      <w:r w:rsidRPr="00A03969">
        <w:rPr>
          <w:b w:val="0"/>
          <w:bCs w:val="0"/>
          <w:i w:val="0"/>
          <w:iCs/>
        </w:rPr>
        <w:t>Res</w:t>
      </w:r>
      <w:r>
        <w:rPr>
          <w:b w:val="0"/>
          <w:bCs w:val="0"/>
          <w:i w:val="0"/>
          <w:iCs/>
        </w:rPr>
        <w:t>olution</w:t>
      </w:r>
      <w:r w:rsidRPr="00A03969">
        <w:rPr>
          <w:b w:val="0"/>
          <w:bCs w:val="0"/>
          <w:i w:val="0"/>
          <w:iCs/>
        </w:rPr>
        <w:t xml:space="preserve"> 25 </w:t>
      </w:r>
      <w:r>
        <w:rPr>
          <w:b w:val="0"/>
          <w:bCs w:val="0"/>
          <w:i w:val="0"/>
          <w:iCs/>
        </w:rPr>
        <w:t>presents the high-level membership requirements for ITU regional activities</w:t>
      </w:r>
      <w:r w:rsidRPr="00A03969">
        <w:rPr>
          <w:b w:val="0"/>
          <w:bCs w:val="0"/>
          <w:i w:val="0"/>
          <w:iCs/>
        </w:rPr>
        <w:t xml:space="preserve">. </w:t>
      </w:r>
      <w:r>
        <w:rPr>
          <w:b w:val="0"/>
          <w:bCs w:val="0"/>
          <w:i w:val="0"/>
          <w:iCs/>
        </w:rPr>
        <w:t>Adding another set of KPIs to Res 25 will duplicate with the existing set of KPIs.</w:t>
      </w:r>
    </w:p>
    <w:p w14:paraId="7FCD78A4" w14:textId="77777777" w:rsidR="00555191" w:rsidRPr="00D64A59" w:rsidRDefault="00EC01D7" w:rsidP="00D64A59">
      <w:pPr>
        <w:pStyle w:val="Heading3"/>
        <w:ind w:left="567"/>
      </w:pPr>
      <w:bookmarkStart w:id="28" w:name="_Toc526772252"/>
      <w:bookmarkStart w:id="29" w:name="_Toc446064890"/>
      <w:r>
        <w:t xml:space="preserve">Management to link </w:t>
      </w:r>
      <w:r w:rsidR="006334DF">
        <w:t>PP R</w:t>
      </w:r>
      <w:r w:rsidR="00D64A59" w:rsidRPr="00D64A59">
        <w:t>es</w:t>
      </w:r>
      <w:r w:rsidR="006334DF">
        <w:t>olution</w:t>
      </w:r>
      <w:r>
        <w:t xml:space="preserve"> </w:t>
      </w:r>
      <w:r w:rsidR="00D64A59" w:rsidRPr="00D64A59">
        <w:t>25 with</w:t>
      </w:r>
      <w:r w:rsidR="00555191" w:rsidRPr="00D64A59">
        <w:t xml:space="preserve"> specific objectives and KPIs </w:t>
      </w:r>
      <w:r w:rsidR="006334DF">
        <w:t xml:space="preserve">for </w:t>
      </w:r>
      <w:r w:rsidR="00555191" w:rsidRPr="00D64A59">
        <w:t>RO</w:t>
      </w:r>
      <w:r w:rsidR="006334DF">
        <w:t>s</w:t>
      </w:r>
      <w:bookmarkEnd w:id="28"/>
      <w:r w:rsidR="00555191" w:rsidRPr="00D64A59">
        <w:t xml:space="preserve"> </w:t>
      </w:r>
      <w:bookmarkEnd w:id="29"/>
    </w:p>
    <w:p w14:paraId="089A3B12" w14:textId="77777777" w:rsidR="00784932" w:rsidRDefault="005A1E64" w:rsidP="00B4431B">
      <w:pPr>
        <w:pStyle w:val="testobase"/>
      </w:pPr>
      <w:r>
        <w:t>I</w:t>
      </w:r>
      <w:r w:rsidR="00674813" w:rsidRPr="00674813">
        <w:t xml:space="preserve">n the absence of a </w:t>
      </w:r>
      <w:r w:rsidR="0032212B">
        <w:t>specific</w:t>
      </w:r>
      <w:r w:rsidR="00674813" w:rsidRPr="00674813">
        <w:t xml:space="preserve"> reference framework </w:t>
      </w:r>
      <w:r w:rsidR="0032212B">
        <w:t xml:space="preserve">for the field offices </w:t>
      </w:r>
      <w:r w:rsidR="008B310E">
        <w:t xml:space="preserve">in </w:t>
      </w:r>
      <w:r w:rsidR="006334DF">
        <w:t xml:space="preserve">PP </w:t>
      </w:r>
      <w:r w:rsidR="00674813" w:rsidRPr="00674813">
        <w:t>Res</w:t>
      </w:r>
      <w:r w:rsidR="006334DF">
        <w:t>.</w:t>
      </w:r>
      <w:r w:rsidR="00674813" w:rsidRPr="00674813">
        <w:t xml:space="preserve"> 25, and even more so </w:t>
      </w:r>
      <w:r w:rsidR="0017343D">
        <w:t>if</w:t>
      </w:r>
      <w:r w:rsidR="0032212B">
        <w:t xml:space="preserve"> </w:t>
      </w:r>
      <w:r w:rsidR="00674813" w:rsidRPr="00674813">
        <w:t xml:space="preserve">the </w:t>
      </w:r>
      <w:r w:rsidR="00D0671F">
        <w:t xml:space="preserve">“political” </w:t>
      </w:r>
      <w:r w:rsidR="00282AAE">
        <w:t>nature</w:t>
      </w:r>
      <w:r w:rsidR="00674813" w:rsidRPr="00674813">
        <w:t xml:space="preserve"> of </w:t>
      </w:r>
      <w:r w:rsidR="006334DF">
        <w:t xml:space="preserve">the </w:t>
      </w:r>
      <w:r w:rsidR="00674813" w:rsidRPr="00674813">
        <w:t xml:space="preserve">Resolution </w:t>
      </w:r>
      <w:r w:rsidR="00282AAE">
        <w:t xml:space="preserve">should be </w:t>
      </w:r>
      <w:r w:rsidR="00674813" w:rsidRPr="00674813">
        <w:t>considered inappropriate</w:t>
      </w:r>
      <w:r w:rsidR="0032212B">
        <w:t xml:space="preserve"> </w:t>
      </w:r>
      <w:r w:rsidR="00D0671F">
        <w:t>for setting</w:t>
      </w:r>
      <w:r w:rsidR="0032212B">
        <w:t xml:space="preserve"> </w:t>
      </w:r>
      <w:r w:rsidR="008B310E">
        <w:t xml:space="preserve">concrete </w:t>
      </w:r>
      <w:r w:rsidR="0032212B">
        <w:t>objectives</w:t>
      </w:r>
      <w:r w:rsidR="00674813" w:rsidRPr="00674813">
        <w:t xml:space="preserve">, it is the </w:t>
      </w:r>
      <w:r w:rsidR="006334DF">
        <w:t xml:space="preserve">Management's </w:t>
      </w:r>
      <w:r w:rsidR="00674813" w:rsidRPr="00674813">
        <w:t xml:space="preserve">responsibility to introduce the elements </w:t>
      </w:r>
      <w:r w:rsidR="0032212B">
        <w:t xml:space="preserve">needed to </w:t>
      </w:r>
      <w:r w:rsidR="008B310E">
        <w:t xml:space="preserve">measure </w:t>
      </w:r>
      <w:r w:rsidR="0032212B">
        <w:t xml:space="preserve">the performance </w:t>
      </w:r>
      <w:r w:rsidR="00674813" w:rsidRPr="00674813">
        <w:t>of the individual regional offices</w:t>
      </w:r>
      <w:r w:rsidR="003A6F5C">
        <w:t xml:space="preserve"> </w:t>
      </w:r>
      <w:r w:rsidR="00D0671F" w:rsidRPr="00674813">
        <w:t>in the strategic and operational planning</w:t>
      </w:r>
      <w:r w:rsidR="00D0671F">
        <w:t xml:space="preserve">, </w:t>
      </w:r>
      <w:r w:rsidR="003A6F5C">
        <w:t xml:space="preserve">and hence the contribution they </w:t>
      </w:r>
      <w:r w:rsidR="006858BC">
        <w:t>are called to</w:t>
      </w:r>
      <w:r w:rsidR="003A6F5C">
        <w:t xml:space="preserve"> make towards achieving </w:t>
      </w:r>
      <w:r w:rsidR="0032212B">
        <w:t>the general objective of strengthening the ITU</w:t>
      </w:r>
      <w:r w:rsidR="00D0671F">
        <w:t>’s</w:t>
      </w:r>
      <w:r w:rsidR="0032212B">
        <w:t xml:space="preserve"> regional presence</w:t>
      </w:r>
      <w:r w:rsidR="003A6F5C">
        <w:t xml:space="preserve">. </w:t>
      </w:r>
    </w:p>
    <w:p w14:paraId="1FD8CF06" w14:textId="77777777" w:rsidR="00555191" w:rsidRDefault="00ED2E14" w:rsidP="00B4431B">
      <w:pPr>
        <w:pStyle w:val="testobase"/>
        <w:rPr>
          <w:color w:val="000000"/>
        </w:rPr>
      </w:pPr>
      <w:r>
        <w:t>A</w:t>
      </w:r>
      <w:r w:rsidR="001B1A2E">
        <w:t xml:space="preserve">s already </w:t>
      </w:r>
      <w:r w:rsidR="001333D6">
        <w:t>mentioned</w:t>
      </w:r>
      <w:r w:rsidR="005D0D77">
        <w:t>,</w:t>
      </w:r>
      <w:r w:rsidR="001B1A2E">
        <w:t xml:space="preserve"> </w:t>
      </w:r>
      <w:r>
        <w:t>every</w:t>
      </w:r>
      <w:r w:rsidR="00071849" w:rsidRPr="00C10739">
        <w:t xml:space="preserve"> World Telecommunication Development Conference</w:t>
      </w:r>
      <w:r w:rsidR="001B1A2E">
        <w:t xml:space="preserve"> (WTDC)</w:t>
      </w:r>
      <w:r>
        <w:t xml:space="preserve"> a</w:t>
      </w:r>
      <w:r w:rsidR="00175A91">
        <w:t>dopts</w:t>
      </w:r>
      <w:r w:rsidR="001B1A2E">
        <w:t xml:space="preserve"> an </w:t>
      </w:r>
      <w:r w:rsidR="00071849" w:rsidRPr="00C10739">
        <w:t>Action Plan (</w:t>
      </w:r>
      <w:r w:rsidR="001B1A2E">
        <w:t>A</w:t>
      </w:r>
      <w:r w:rsidR="00071849" w:rsidRPr="00C10739">
        <w:t>P)</w:t>
      </w:r>
      <w:r w:rsidR="00175A91">
        <w:t xml:space="preserve">, which </w:t>
      </w:r>
      <w:r w:rsidR="00071849" w:rsidRPr="00C10739">
        <w:t>follows a results-based structure</w:t>
      </w:r>
      <w:r w:rsidR="001B1A2E">
        <w:t xml:space="preserve"> </w:t>
      </w:r>
      <w:r w:rsidR="00791140">
        <w:t xml:space="preserve">where </w:t>
      </w:r>
      <w:r w:rsidR="00071849" w:rsidRPr="00C10739">
        <w:t xml:space="preserve">outcomes are identified for </w:t>
      </w:r>
      <w:r w:rsidR="001B1A2E">
        <w:t xml:space="preserve">every </w:t>
      </w:r>
      <w:r w:rsidR="00071849" w:rsidRPr="00C10739">
        <w:t>objective. Outcomes provide an indication as to whether the objective is being achieved.</w:t>
      </w:r>
      <w:r w:rsidR="00175A91">
        <w:t xml:space="preserve"> Moreover,</w:t>
      </w:r>
      <w:r w:rsidR="001333D6">
        <w:t xml:space="preserve"> </w:t>
      </w:r>
      <w:r w:rsidR="00175A91">
        <w:t xml:space="preserve">WTDCs adopt </w:t>
      </w:r>
      <w:r w:rsidR="00791140">
        <w:t>"</w:t>
      </w:r>
      <w:r w:rsidR="00175A91">
        <w:t>Regional Initiatives</w:t>
      </w:r>
      <w:r w:rsidR="00791140">
        <w:t xml:space="preserve">" </w:t>
      </w:r>
      <w:r w:rsidR="00175A91">
        <w:t>per development region.</w:t>
      </w:r>
    </w:p>
    <w:p w14:paraId="5B8AD678" w14:textId="77777777" w:rsidR="00873AA1" w:rsidRDefault="0099763B" w:rsidP="00B4431B">
      <w:pPr>
        <w:pStyle w:val="testobase"/>
      </w:pPr>
      <w:r w:rsidRPr="00791140">
        <w:t xml:space="preserve">Despite the Action and Operational Plans being part of </w:t>
      </w:r>
      <w:r w:rsidR="00791140" w:rsidRPr="00791140">
        <w:t xml:space="preserve">the goal of </w:t>
      </w:r>
      <w:r w:rsidRPr="00791140">
        <w:t>"strengthening regional presence"</w:t>
      </w:r>
      <w:r w:rsidR="00282AAE">
        <w:t>,</w:t>
      </w:r>
      <w:r w:rsidRPr="00791140">
        <w:t xml:space="preserve"> as laid down in PP Res 25, we</w:t>
      </w:r>
      <w:r w:rsidR="002F2F87" w:rsidRPr="002F2F87">
        <w:t xml:space="preserve"> understood from </w:t>
      </w:r>
      <w:r w:rsidR="00175A91">
        <w:t>R</w:t>
      </w:r>
      <w:r w:rsidR="003B7FC5">
        <w:t xml:space="preserve">Os’ </w:t>
      </w:r>
      <w:r w:rsidR="002F2F87" w:rsidRPr="002F2F87">
        <w:t>Management that PP Res</w:t>
      </w:r>
      <w:r w:rsidR="006A3CE9">
        <w:t>.</w:t>
      </w:r>
      <w:r w:rsidR="002F2F87" w:rsidRPr="002F2F87">
        <w:t xml:space="preserve"> 25</w:t>
      </w:r>
      <w:r w:rsidR="00175A91">
        <w:t xml:space="preserve"> </w:t>
      </w:r>
      <w:r w:rsidR="002F2F87" w:rsidRPr="002F2F87">
        <w:t xml:space="preserve">and its </w:t>
      </w:r>
      <w:r w:rsidR="00175A91">
        <w:t xml:space="preserve">general </w:t>
      </w:r>
      <w:r w:rsidR="002F2F87" w:rsidRPr="002F2F87">
        <w:t xml:space="preserve">objectives </w:t>
      </w:r>
      <w:r w:rsidR="00282AAE">
        <w:t>we</w:t>
      </w:r>
      <w:r w:rsidR="002F2F87" w:rsidRPr="002F2F87">
        <w:t>re</w:t>
      </w:r>
      <w:r w:rsidR="00791140">
        <w:t xml:space="preserve"> not formally linked to WTDC's </w:t>
      </w:r>
      <w:r w:rsidR="002F2F87" w:rsidRPr="002F2F87">
        <w:t>Regional Initiatives</w:t>
      </w:r>
      <w:r w:rsidR="00175A91" w:rsidRPr="00175A91">
        <w:t>.</w:t>
      </w:r>
      <w:r w:rsidR="003B7FC5">
        <w:t xml:space="preserve"> </w:t>
      </w:r>
      <w:r w:rsidR="00873AA1">
        <w:t xml:space="preserve">This is confirmed by the overview of ITU-D Strategic and Operational Plan Implementation provided by the periodic Implementation </w:t>
      </w:r>
      <w:r w:rsidR="00282AAE">
        <w:t>R</w:t>
      </w:r>
      <w:r w:rsidR="00873AA1">
        <w:t>eports, which only contain descriptive elements referring to the activities carried out by regional offices</w:t>
      </w:r>
      <w:r w:rsidR="00791140">
        <w:t>,</w:t>
      </w:r>
      <w:r w:rsidR="00873AA1">
        <w:t xml:space="preserve"> but do not </w:t>
      </w:r>
      <w:r w:rsidR="00282AAE">
        <w:t xml:space="preserve">make it possible </w:t>
      </w:r>
      <w:r w:rsidR="00873AA1">
        <w:t xml:space="preserve">to </w:t>
      </w:r>
      <w:r>
        <w:t>assess</w:t>
      </w:r>
      <w:r w:rsidR="00873AA1">
        <w:t xml:space="preserve"> the </w:t>
      </w:r>
      <w:r w:rsidR="00FE37D7">
        <w:t xml:space="preserve">impact of these activities </w:t>
      </w:r>
      <w:r w:rsidR="00EB1E07">
        <w:t xml:space="preserve">on </w:t>
      </w:r>
      <w:r w:rsidR="00873AA1">
        <w:t xml:space="preserve">the </w:t>
      </w:r>
      <w:r w:rsidR="00FE37D7">
        <w:t xml:space="preserve">Strategic </w:t>
      </w:r>
      <w:r w:rsidR="00282AAE">
        <w:t>O</w:t>
      </w:r>
      <w:r w:rsidR="00FE37D7">
        <w:t xml:space="preserve">bjectives set by Council in PP Res. 25. </w:t>
      </w:r>
    </w:p>
    <w:p w14:paraId="7852A9C2" w14:textId="77777777" w:rsidR="002F2F87" w:rsidRPr="000F1E37" w:rsidRDefault="002F2F87" w:rsidP="006A3CE9">
      <w:pPr>
        <w:pStyle w:val="testobase"/>
      </w:pPr>
      <w:r w:rsidRPr="002F2F87">
        <w:t>Furthermore, R</w:t>
      </w:r>
      <w:r w:rsidR="00791140">
        <w:t xml:space="preserve">egional Initiatives are </w:t>
      </w:r>
      <w:r w:rsidR="003B7FC5">
        <w:t xml:space="preserve">only </w:t>
      </w:r>
      <w:r w:rsidRPr="002F2F87">
        <w:t xml:space="preserve">part of the activities carried out by ROs, which are </w:t>
      </w:r>
      <w:r w:rsidR="003B7FC5">
        <w:t>broader</w:t>
      </w:r>
      <w:r w:rsidRPr="002F2F87">
        <w:t xml:space="preserve"> than </w:t>
      </w:r>
      <w:r w:rsidR="003B7FC5">
        <w:t xml:space="preserve">those </w:t>
      </w:r>
      <w:r w:rsidRPr="002F2F87">
        <w:t>indicated in the A</w:t>
      </w:r>
      <w:r w:rsidR="006334DF">
        <w:t xml:space="preserve">nnual </w:t>
      </w:r>
      <w:r w:rsidRPr="002F2F87">
        <w:t>P</w:t>
      </w:r>
      <w:r w:rsidR="006334DF">
        <w:t>lan</w:t>
      </w:r>
      <w:r w:rsidRPr="002F2F87">
        <w:t xml:space="preserve">. </w:t>
      </w:r>
      <w:r w:rsidR="00D434F4">
        <w:t>Amongst other things, t</w:t>
      </w:r>
      <w:r w:rsidR="006334DF">
        <w:t xml:space="preserve">hey also implement </w:t>
      </w:r>
      <w:r w:rsidR="00D434F4">
        <w:t>projects, represent ITU in local events</w:t>
      </w:r>
      <w:r w:rsidR="00282AAE">
        <w:t xml:space="preserve"> and</w:t>
      </w:r>
      <w:r w:rsidR="00D434F4">
        <w:t xml:space="preserve"> carry out capacity-building actions. </w:t>
      </w:r>
      <w:r w:rsidRPr="002F2F87">
        <w:t>All the</w:t>
      </w:r>
      <w:r w:rsidR="003B7FC5">
        <w:t xml:space="preserve">se activities </w:t>
      </w:r>
      <w:r w:rsidRPr="002F2F87">
        <w:t xml:space="preserve">concur to achieve the general objective of “strengthening </w:t>
      </w:r>
      <w:r w:rsidR="003B7FC5">
        <w:t>the r</w:t>
      </w:r>
      <w:r w:rsidRPr="002F2F87">
        <w:t xml:space="preserve">egional </w:t>
      </w:r>
      <w:r w:rsidR="003B7FC5" w:rsidRPr="000F1E37">
        <w:t>p</w:t>
      </w:r>
      <w:r w:rsidRPr="000F1E37">
        <w:t>resence”</w:t>
      </w:r>
      <w:r w:rsidR="006A3CE9" w:rsidRPr="000F1E37">
        <w:t xml:space="preserve">, but there is no specific set of objectives to measure </w:t>
      </w:r>
      <w:r w:rsidR="00D434F4">
        <w:t>their</w:t>
      </w:r>
      <w:r w:rsidR="006A3CE9" w:rsidRPr="000F1E37">
        <w:t xml:space="preserve"> implementation against the goal</w:t>
      </w:r>
      <w:r w:rsidR="00EF32CC" w:rsidRPr="000F1E37">
        <w:t xml:space="preserve"> </w:t>
      </w:r>
      <w:r w:rsidR="00282AAE">
        <w:t xml:space="preserve">set </w:t>
      </w:r>
      <w:r w:rsidR="00EF32CC" w:rsidRPr="000F1E37">
        <w:t>and monitor the adequacy of the human and financial resources employed to achieve it</w:t>
      </w:r>
      <w:r w:rsidRPr="000F1E37">
        <w:t>.</w:t>
      </w:r>
      <w:r w:rsidR="00057639" w:rsidRPr="000F1E37">
        <w:t xml:space="preserve"> </w:t>
      </w:r>
    </w:p>
    <w:p w14:paraId="16477476" w14:textId="77777777" w:rsidR="009324A7" w:rsidRDefault="00791140" w:rsidP="00B4431B">
      <w:pPr>
        <w:pStyle w:val="testobase"/>
      </w:pPr>
      <w:r>
        <w:rPr>
          <w:lang w:val="en-US"/>
        </w:rPr>
        <w:t xml:space="preserve">During our audit, </w:t>
      </w:r>
      <w:r w:rsidR="009324A7" w:rsidRPr="00C22CD9">
        <w:t>Management</w:t>
      </w:r>
      <w:r w:rsidR="009324A7">
        <w:t xml:space="preserve"> </w:t>
      </w:r>
      <w:r>
        <w:t xml:space="preserve">confirmed that </w:t>
      </w:r>
      <w:r w:rsidR="009324A7" w:rsidRPr="00CD16E0">
        <w:t xml:space="preserve">it </w:t>
      </w:r>
      <w:r>
        <w:t xml:space="preserve">would be </w:t>
      </w:r>
      <w:r w:rsidR="009324A7" w:rsidRPr="00CD16E0">
        <w:t>possible</w:t>
      </w:r>
      <w:r>
        <w:t>, in their opinion,</w:t>
      </w:r>
      <w:r w:rsidR="009324A7" w:rsidRPr="00CD16E0">
        <w:t xml:space="preserve"> to have common indicators for monitoring the implementation of PP Res. 25</w:t>
      </w:r>
      <w:r w:rsidR="00E96E33">
        <w:t xml:space="preserve"> in the field</w:t>
      </w:r>
      <w:r w:rsidR="000A20DA">
        <w:t>.</w:t>
      </w:r>
      <w:r w:rsidR="009324A7">
        <w:t xml:space="preserve"> </w:t>
      </w:r>
    </w:p>
    <w:p w14:paraId="4E4B8571" w14:textId="77777777" w:rsidR="002F2F87" w:rsidRPr="008C08F1" w:rsidRDefault="002F2F87" w:rsidP="002F2F87"/>
    <w:p w14:paraId="424B3131" w14:textId="77777777" w:rsidR="00C66E9B" w:rsidRPr="00C66E9B" w:rsidRDefault="00C66E9B" w:rsidP="000B579D">
      <w:pPr>
        <w:pStyle w:val="titoloracc"/>
      </w:pPr>
    </w:p>
    <w:p w14:paraId="59AB0947" w14:textId="77777777" w:rsidR="002F2F87" w:rsidRPr="00CD16E0" w:rsidRDefault="00E96E33" w:rsidP="00B4431B">
      <w:pPr>
        <w:pStyle w:val="recesug"/>
      </w:pPr>
      <w:r>
        <w:t xml:space="preserve">In line with our </w:t>
      </w:r>
      <w:r w:rsidR="00880969" w:rsidRPr="00E96E33">
        <w:t>S</w:t>
      </w:r>
      <w:r w:rsidR="000F1E37" w:rsidRPr="00E96E33">
        <w:t xml:space="preserve">uggestion </w:t>
      </w:r>
      <w:r w:rsidR="00880969" w:rsidRPr="00E96E33">
        <w:t>n.</w:t>
      </w:r>
      <w:r w:rsidR="000F1E37" w:rsidRPr="00E96E33">
        <w:t>1</w:t>
      </w:r>
      <w:r w:rsidR="00880969" w:rsidRPr="00E96E33">
        <w:t xml:space="preserve">, </w:t>
      </w:r>
      <w:r>
        <w:t xml:space="preserve">in the absence of a specific reference framework for field offices in PP Res. 25, </w:t>
      </w:r>
      <w:r>
        <w:rPr>
          <w:u w:val="single"/>
        </w:rPr>
        <w:t>w</w:t>
      </w:r>
      <w:r w:rsidR="002F2F87" w:rsidRPr="00CD16E0">
        <w:rPr>
          <w:u w:val="single"/>
        </w:rPr>
        <w:t>e recommend</w:t>
      </w:r>
      <w:r w:rsidR="00CD16E0" w:rsidRPr="00CD16E0">
        <w:t xml:space="preserve"> </w:t>
      </w:r>
      <w:r w:rsidR="000A20DA">
        <w:t xml:space="preserve">that </w:t>
      </w:r>
      <w:r w:rsidR="00CD16E0" w:rsidRPr="00CD16E0">
        <w:t>Management</w:t>
      </w:r>
      <w:r w:rsidR="002F2F87" w:rsidRPr="00CD16E0">
        <w:t xml:space="preserve"> </w:t>
      </w:r>
      <w:r w:rsidR="00CD16E0">
        <w:t xml:space="preserve">prepare a specific </w:t>
      </w:r>
      <w:r>
        <w:t xml:space="preserve">internal document, </w:t>
      </w:r>
      <w:r w:rsidR="00CD16E0">
        <w:t xml:space="preserve">where </w:t>
      </w:r>
      <w:r>
        <w:t xml:space="preserve">the objective of "strengthening the regional presence" set by </w:t>
      </w:r>
      <w:r w:rsidR="00CD16E0">
        <w:t>PP Res.</w:t>
      </w:r>
      <w:r w:rsidR="00784932">
        <w:t xml:space="preserve"> </w:t>
      </w:r>
      <w:r w:rsidR="00CD16E0">
        <w:t>25 is clearly tran</w:t>
      </w:r>
      <w:r w:rsidR="00791140">
        <w:t>slated in</w:t>
      </w:r>
      <w:r w:rsidR="000A20DA">
        <w:t>to</w:t>
      </w:r>
      <w:r w:rsidR="00791140">
        <w:t xml:space="preserve"> measurable objectives </w:t>
      </w:r>
      <w:r>
        <w:t xml:space="preserve">for field offices, </w:t>
      </w:r>
      <w:r w:rsidR="00FE37D7">
        <w:t xml:space="preserve">associated </w:t>
      </w:r>
      <w:r w:rsidR="000A20DA">
        <w:t>with</w:t>
      </w:r>
      <w:r w:rsidR="00FE37D7">
        <w:t xml:space="preserve"> </w:t>
      </w:r>
      <w:r w:rsidR="00CD16E0">
        <w:t xml:space="preserve">accurate and </w:t>
      </w:r>
      <w:r w:rsidR="00FE37D7">
        <w:t xml:space="preserve">consistent </w:t>
      </w:r>
      <w:r w:rsidR="00CD16E0">
        <w:t xml:space="preserve">KPIs.  </w:t>
      </w:r>
    </w:p>
    <w:p w14:paraId="118FD8E4" w14:textId="77777777" w:rsidR="0099763B" w:rsidRPr="000F1E37" w:rsidRDefault="0099763B" w:rsidP="000B579D">
      <w:pPr>
        <w:pStyle w:val="titoloracc"/>
      </w:pPr>
    </w:p>
    <w:p w14:paraId="56804C1D" w14:textId="77777777" w:rsidR="0099763B" w:rsidRPr="000F1E37" w:rsidRDefault="000A20DA" w:rsidP="00B4431B">
      <w:pPr>
        <w:pStyle w:val="recesug"/>
      </w:pPr>
      <w:r>
        <w:t>As a next step,</w:t>
      </w:r>
      <w:r w:rsidR="00791140" w:rsidRPr="000F1E37">
        <w:t xml:space="preserve"> </w:t>
      </w:r>
      <w:r w:rsidR="0099763B" w:rsidRPr="000F1E37">
        <w:rPr>
          <w:u w:val="single"/>
        </w:rPr>
        <w:t>we recommend</w:t>
      </w:r>
      <w:r w:rsidR="00980986" w:rsidRPr="000F1E37">
        <w:t xml:space="preserve"> explicitly </w:t>
      </w:r>
      <w:r w:rsidR="0099763B" w:rsidRPr="000F1E37">
        <w:t>link</w:t>
      </w:r>
      <w:r w:rsidR="002D77BC" w:rsidRPr="000F1E37">
        <w:t>ing</w:t>
      </w:r>
      <w:r>
        <w:t>, in cascade connection,</w:t>
      </w:r>
      <w:r w:rsidR="00980986" w:rsidRPr="000F1E37">
        <w:t xml:space="preserve"> </w:t>
      </w:r>
      <w:r w:rsidR="0099763B" w:rsidRPr="000F1E37">
        <w:t xml:space="preserve">the </w:t>
      </w:r>
      <w:r w:rsidR="00791140" w:rsidRPr="000F1E37">
        <w:t xml:space="preserve">objectives </w:t>
      </w:r>
      <w:r w:rsidR="00980986" w:rsidRPr="000F1E37">
        <w:t xml:space="preserve">of </w:t>
      </w:r>
      <w:r w:rsidR="00791140" w:rsidRPr="000F1E37">
        <w:t xml:space="preserve">the </w:t>
      </w:r>
      <w:r w:rsidR="0099763B" w:rsidRPr="000F1E37">
        <w:t>Action</w:t>
      </w:r>
      <w:r w:rsidR="002D77BC" w:rsidRPr="000F1E37">
        <w:t xml:space="preserve"> Plans</w:t>
      </w:r>
      <w:r w:rsidR="0099763B" w:rsidRPr="000F1E37">
        <w:t xml:space="preserve"> and Operational Plans</w:t>
      </w:r>
      <w:r w:rsidR="00791140" w:rsidRPr="000F1E37">
        <w:t xml:space="preserve"> </w:t>
      </w:r>
      <w:r w:rsidR="00980986" w:rsidRPr="000F1E37">
        <w:t xml:space="preserve">with the </w:t>
      </w:r>
      <w:r w:rsidR="00E96E33">
        <w:t xml:space="preserve">concrete </w:t>
      </w:r>
      <w:r w:rsidR="00980986" w:rsidRPr="000F1E37">
        <w:t xml:space="preserve">objectives </w:t>
      </w:r>
      <w:r>
        <w:t xml:space="preserve">resulting </w:t>
      </w:r>
      <w:r w:rsidR="00E96E33">
        <w:t>from</w:t>
      </w:r>
      <w:r w:rsidR="00980986" w:rsidRPr="000F1E37">
        <w:t xml:space="preserve"> </w:t>
      </w:r>
      <w:r w:rsidR="0099763B" w:rsidRPr="000F1E37">
        <w:t>PP Res. 25</w:t>
      </w:r>
      <w:r w:rsidR="00980986" w:rsidRPr="000F1E37">
        <w:t>, with a view to reporting to Council accordingly</w:t>
      </w:r>
      <w:r w:rsidR="0099763B" w:rsidRPr="000F1E37">
        <w:t>.</w:t>
      </w:r>
    </w:p>
    <w:p w14:paraId="12F4D199" w14:textId="77777777" w:rsidR="002F2F87" w:rsidRPr="00C10739" w:rsidRDefault="002F2F87" w:rsidP="002F2F87"/>
    <w:p w14:paraId="5519A4FC" w14:textId="77777777" w:rsidR="002F2F87" w:rsidRPr="00173AFF" w:rsidRDefault="002F2F87" w:rsidP="00C66E9B">
      <w:pPr>
        <w:pStyle w:val="titcomments"/>
        <w:rPr>
          <w:lang w:val="en-US"/>
        </w:rPr>
      </w:pPr>
      <w:r w:rsidRPr="00173AFF">
        <w:rPr>
          <w:lang w:val="en-US"/>
        </w:rPr>
        <w:t>Comments by ITU</w:t>
      </w:r>
    </w:p>
    <w:p w14:paraId="53DB3F8C" w14:textId="77777777" w:rsidR="00343C1D" w:rsidRDefault="00343C1D" w:rsidP="00343C1D">
      <w:pPr>
        <w:pStyle w:val="titcomments"/>
        <w:spacing w:line="319" w:lineRule="auto"/>
        <w:rPr>
          <w:b w:val="0"/>
          <w:bCs w:val="0"/>
          <w:i w:val="0"/>
          <w:iCs/>
        </w:rPr>
      </w:pPr>
      <w:r>
        <w:rPr>
          <w:b w:val="0"/>
          <w:bCs w:val="0"/>
          <w:i w:val="0"/>
          <w:iCs/>
          <w:lang w:val="en-US"/>
        </w:rPr>
        <w:t xml:space="preserve">ITU </w:t>
      </w:r>
      <w:r w:rsidR="00C8618F">
        <w:rPr>
          <w:b w:val="0"/>
          <w:bCs w:val="0"/>
          <w:i w:val="0"/>
          <w:iCs/>
        </w:rPr>
        <w:t xml:space="preserve">will further study </w:t>
      </w:r>
      <w:r>
        <w:rPr>
          <w:b w:val="0"/>
          <w:bCs w:val="0"/>
          <w:i w:val="0"/>
          <w:iCs/>
          <w:lang w:val="en-US"/>
        </w:rPr>
        <w:t xml:space="preserve">Recommendation </w:t>
      </w:r>
      <w:r w:rsidR="000534A7">
        <w:rPr>
          <w:b w:val="0"/>
          <w:bCs w:val="0"/>
          <w:i w:val="0"/>
          <w:iCs/>
          <w:lang w:val="en-US"/>
        </w:rPr>
        <w:t xml:space="preserve">n. </w:t>
      </w:r>
      <w:r>
        <w:rPr>
          <w:b w:val="0"/>
          <w:bCs w:val="0"/>
          <w:i w:val="0"/>
          <w:iCs/>
          <w:lang w:val="en-US"/>
        </w:rPr>
        <w:t xml:space="preserve">1.  ITU would like to highlight that </w:t>
      </w:r>
      <w:r>
        <w:rPr>
          <w:b w:val="0"/>
          <w:bCs w:val="0"/>
          <w:i w:val="0"/>
          <w:iCs/>
        </w:rPr>
        <w:t xml:space="preserve">regional activities are implemented through combined efforts of the HQ and regions. Activities of HQ and regions are highly interlinked and inseparable. </w:t>
      </w:r>
    </w:p>
    <w:p w14:paraId="1D21BC32" w14:textId="77777777" w:rsidR="00343C1D" w:rsidRPr="00A03969" w:rsidRDefault="00343C1D" w:rsidP="00343C1D">
      <w:pPr>
        <w:pStyle w:val="titcomments"/>
        <w:spacing w:line="319" w:lineRule="auto"/>
        <w:rPr>
          <w:b w:val="0"/>
          <w:bCs w:val="0"/>
          <w:i w:val="0"/>
          <w:iCs/>
        </w:rPr>
      </w:pPr>
      <w:r>
        <w:rPr>
          <w:b w:val="0"/>
          <w:bCs w:val="0"/>
          <w:i w:val="0"/>
          <w:iCs/>
        </w:rPr>
        <w:t xml:space="preserve">In addition, </w:t>
      </w:r>
      <w:r w:rsidRPr="00A03969">
        <w:rPr>
          <w:b w:val="0"/>
          <w:bCs w:val="0"/>
          <w:i w:val="0"/>
          <w:iCs/>
        </w:rPr>
        <w:t xml:space="preserve">Objectives and KPI’s </w:t>
      </w:r>
      <w:r>
        <w:rPr>
          <w:b w:val="0"/>
          <w:bCs w:val="0"/>
          <w:i w:val="0"/>
          <w:iCs/>
        </w:rPr>
        <w:t xml:space="preserve">covering </w:t>
      </w:r>
      <w:r w:rsidRPr="00A03969">
        <w:rPr>
          <w:b w:val="0"/>
          <w:bCs w:val="0"/>
          <w:i w:val="0"/>
          <w:iCs/>
        </w:rPr>
        <w:t xml:space="preserve">both the HQ and </w:t>
      </w:r>
      <w:r>
        <w:rPr>
          <w:b w:val="0"/>
          <w:bCs w:val="0"/>
          <w:i w:val="0"/>
          <w:iCs/>
        </w:rPr>
        <w:t>r</w:t>
      </w:r>
      <w:r w:rsidRPr="00A03969">
        <w:rPr>
          <w:b w:val="0"/>
          <w:bCs w:val="0"/>
          <w:i w:val="0"/>
          <w:iCs/>
        </w:rPr>
        <w:t xml:space="preserve">egional </w:t>
      </w:r>
      <w:r>
        <w:rPr>
          <w:b w:val="0"/>
          <w:bCs w:val="0"/>
          <w:i w:val="0"/>
          <w:iCs/>
        </w:rPr>
        <w:t xml:space="preserve">activities already exist in the WTDC Action Plan and the rolling four-year Operational Plan. </w:t>
      </w:r>
      <w:r w:rsidRPr="0042364A">
        <w:rPr>
          <w:b w:val="0"/>
          <w:bCs w:val="0"/>
          <w:i w:val="0"/>
          <w:iCs/>
        </w:rPr>
        <w:t>These are already covered by the annual reports of the SG to Council on “Strengthening the Regional Presence” and the annual performance reports</w:t>
      </w:r>
      <w:r w:rsidR="000140C6" w:rsidRPr="0042364A">
        <w:rPr>
          <w:b w:val="0"/>
          <w:bCs w:val="0"/>
          <w:i w:val="0"/>
          <w:iCs/>
        </w:rPr>
        <w:t xml:space="preserve">, </w:t>
      </w:r>
      <w:r w:rsidR="000140C6" w:rsidRPr="000140C6">
        <w:rPr>
          <w:b w:val="0"/>
          <w:bCs w:val="0"/>
          <w:i w:val="0"/>
          <w:iCs/>
        </w:rPr>
        <w:t xml:space="preserve">and quarterly performance reports </w:t>
      </w:r>
      <w:r w:rsidR="000140C6">
        <w:rPr>
          <w:b w:val="0"/>
          <w:bCs w:val="0"/>
          <w:i w:val="0"/>
          <w:iCs/>
        </w:rPr>
        <w:t>published by</w:t>
      </w:r>
      <w:r w:rsidR="000140C6" w:rsidRPr="000140C6">
        <w:rPr>
          <w:b w:val="0"/>
          <w:bCs w:val="0"/>
          <w:i w:val="0"/>
          <w:iCs/>
        </w:rPr>
        <w:t xml:space="preserve"> BDT to inform the membership regularly</w:t>
      </w:r>
      <w:r w:rsidRPr="0042364A">
        <w:rPr>
          <w:b w:val="0"/>
          <w:bCs w:val="0"/>
          <w:i w:val="0"/>
          <w:iCs/>
        </w:rPr>
        <w:t>.</w:t>
      </w:r>
    </w:p>
    <w:p w14:paraId="323D97F1" w14:textId="77777777" w:rsidR="00343C1D" w:rsidRDefault="00343C1D" w:rsidP="00343C1D">
      <w:pPr>
        <w:pStyle w:val="titcomments"/>
        <w:spacing w:line="319" w:lineRule="auto"/>
        <w:rPr>
          <w:b w:val="0"/>
          <w:bCs w:val="0"/>
          <w:i w:val="0"/>
          <w:iCs/>
        </w:rPr>
      </w:pPr>
      <w:r>
        <w:rPr>
          <w:b w:val="0"/>
          <w:bCs w:val="0"/>
          <w:i w:val="0"/>
          <w:iCs/>
        </w:rPr>
        <w:t xml:space="preserve">Furthermore, PP </w:t>
      </w:r>
      <w:r w:rsidRPr="00A03969">
        <w:rPr>
          <w:b w:val="0"/>
          <w:bCs w:val="0"/>
          <w:i w:val="0"/>
          <w:iCs/>
        </w:rPr>
        <w:t>Res</w:t>
      </w:r>
      <w:r>
        <w:rPr>
          <w:b w:val="0"/>
          <w:bCs w:val="0"/>
          <w:i w:val="0"/>
          <w:iCs/>
        </w:rPr>
        <w:t>olution</w:t>
      </w:r>
      <w:r w:rsidRPr="00A03969">
        <w:rPr>
          <w:b w:val="0"/>
          <w:bCs w:val="0"/>
          <w:i w:val="0"/>
          <w:iCs/>
        </w:rPr>
        <w:t xml:space="preserve"> 25 </w:t>
      </w:r>
      <w:r>
        <w:rPr>
          <w:b w:val="0"/>
          <w:bCs w:val="0"/>
          <w:i w:val="0"/>
          <w:iCs/>
        </w:rPr>
        <w:t>presents the high-level membership requirements for ITU regional activities</w:t>
      </w:r>
      <w:r w:rsidRPr="00A03969">
        <w:rPr>
          <w:b w:val="0"/>
          <w:bCs w:val="0"/>
          <w:i w:val="0"/>
          <w:iCs/>
        </w:rPr>
        <w:t xml:space="preserve">. </w:t>
      </w:r>
      <w:r>
        <w:rPr>
          <w:b w:val="0"/>
          <w:bCs w:val="0"/>
          <w:i w:val="0"/>
          <w:iCs/>
        </w:rPr>
        <w:t>Adding another set of KPIs to Res 25 will duplicate with the existing set of KPIs.</w:t>
      </w:r>
    </w:p>
    <w:p w14:paraId="7FFAC0DA" w14:textId="77777777" w:rsidR="00343C1D" w:rsidRDefault="00343C1D" w:rsidP="00343C1D"/>
    <w:p w14:paraId="51C57643" w14:textId="77777777" w:rsidR="00343C1D" w:rsidRDefault="00343C1D" w:rsidP="00343C1D">
      <w:pPr>
        <w:pStyle w:val="titcomments"/>
        <w:rPr>
          <w:lang w:val="en-US"/>
        </w:rPr>
      </w:pPr>
      <w:r w:rsidRPr="00173AFF">
        <w:rPr>
          <w:lang w:val="en-US"/>
        </w:rPr>
        <w:t>Comments by ITU</w:t>
      </w:r>
    </w:p>
    <w:p w14:paraId="1F56C6FA" w14:textId="77777777" w:rsidR="002F2F87" w:rsidRPr="00173AFF" w:rsidRDefault="00343C1D" w:rsidP="0042364A">
      <w:pPr>
        <w:pStyle w:val="testocomments"/>
        <w:rPr>
          <w:lang w:val="en-US"/>
        </w:rPr>
      </w:pPr>
      <w:r>
        <w:rPr>
          <w:lang w:val="en-US"/>
        </w:rPr>
        <w:t xml:space="preserve">Consequently, </w:t>
      </w:r>
      <w:r>
        <w:t xml:space="preserve">ITU </w:t>
      </w:r>
      <w:r w:rsidR="00C8618F" w:rsidRPr="00C8618F">
        <w:rPr>
          <w:bCs/>
          <w:iCs/>
        </w:rPr>
        <w:t>will also further study</w:t>
      </w:r>
      <w:r>
        <w:t xml:space="preserve"> </w:t>
      </w:r>
      <w:r w:rsidRPr="004F58B0">
        <w:t xml:space="preserve">Recommendation </w:t>
      </w:r>
      <w:r w:rsidR="000534A7">
        <w:t xml:space="preserve">n. </w:t>
      </w:r>
      <w:r w:rsidRPr="004F58B0">
        <w:t>2</w:t>
      </w:r>
      <w:r>
        <w:t>. ITU would like to highlight that t</w:t>
      </w:r>
      <w:r w:rsidRPr="00562B0E">
        <w:t xml:space="preserve">his </w:t>
      </w:r>
      <w:r w:rsidRPr="0042364A">
        <w:t>link is always taken into consideration</w:t>
      </w:r>
      <w:r w:rsidRPr="00562B0E">
        <w:t xml:space="preserve"> in the planning of Operational Plans, which is made by ROs’ Management.</w:t>
      </w:r>
    </w:p>
    <w:p w14:paraId="5F1C281B" w14:textId="77777777" w:rsidR="005A1E64" w:rsidRPr="000F1E37" w:rsidRDefault="003872D4" w:rsidP="005A1E64">
      <w:pPr>
        <w:pStyle w:val="Heading3"/>
        <w:ind w:left="567"/>
      </w:pPr>
      <w:bookmarkStart w:id="30" w:name="_Toc526772253"/>
      <w:r w:rsidRPr="000F1E37">
        <w:t>Greater coordination is needed to ensure that f</w:t>
      </w:r>
      <w:r w:rsidR="005A1E64" w:rsidRPr="000F1E37">
        <w:t>ield office</w:t>
      </w:r>
      <w:r w:rsidR="003A0EE7" w:rsidRPr="000F1E37">
        <w:t>s</w:t>
      </w:r>
      <w:r w:rsidRPr="000F1E37">
        <w:t xml:space="preserve"> </w:t>
      </w:r>
      <w:r w:rsidR="003A0EE7" w:rsidRPr="000F1E37">
        <w:t>represent ITU as a whole</w:t>
      </w:r>
      <w:bookmarkEnd w:id="30"/>
      <w:r w:rsidR="00FF4D91" w:rsidRPr="000F1E37">
        <w:t xml:space="preserve"> </w:t>
      </w:r>
    </w:p>
    <w:p w14:paraId="563B71FE" w14:textId="77777777" w:rsidR="005A1E64" w:rsidRPr="000F1E37" w:rsidRDefault="003872D4" w:rsidP="005A1E64">
      <w:pPr>
        <w:pStyle w:val="testobase"/>
      </w:pPr>
      <w:r w:rsidRPr="000F1E37">
        <w:t xml:space="preserve">In accordance with </w:t>
      </w:r>
      <w:r w:rsidR="005A1E64" w:rsidRPr="000F1E37">
        <w:t xml:space="preserve">the idea of </w:t>
      </w:r>
      <w:r w:rsidRPr="000F1E37">
        <w:t xml:space="preserve">having </w:t>
      </w:r>
      <w:r w:rsidR="005A1E64" w:rsidRPr="000F1E37">
        <w:t>“one ITU”</w:t>
      </w:r>
      <w:r w:rsidRPr="000F1E37">
        <w:t xml:space="preserve"> in the field</w:t>
      </w:r>
      <w:r w:rsidR="005A1E64" w:rsidRPr="000F1E37">
        <w:t xml:space="preserve">, </w:t>
      </w:r>
      <w:r w:rsidRPr="000F1E37">
        <w:t>ROs</w:t>
      </w:r>
      <w:r w:rsidR="003A0EE7" w:rsidRPr="000F1E37">
        <w:t xml:space="preserve"> </w:t>
      </w:r>
      <w:r w:rsidRPr="000F1E37">
        <w:t xml:space="preserve">should receive clear instructions on how to implement ITU Strategic Objectives linked to the other ITU Sectors </w:t>
      </w:r>
      <w:r w:rsidR="00003CE9" w:rsidRPr="000F1E37">
        <w:t>(</w:t>
      </w:r>
      <w:r w:rsidR="00E241B2" w:rsidRPr="000F1E37">
        <w:t>ITU-R and ITU-</w:t>
      </w:r>
      <w:r w:rsidR="000B571D" w:rsidRPr="000F1E37">
        <w:t>T)</w:t>
      </w:r>
      <w:r w:rsidRPr="000F1E37">
        <w:t xml:space="preserve">. To this </w:t>
      </w:r>
      <w:r w:rsidR="000A20DA">
        <w:t>end</w:t>
      </w:r>
      <w:r w:rsidRPr="000F1E37">
        <w:t xml:space="preserve">, </w:t>
      </w:r>
      <w:r w:rsidR="001941AA" w:rsidRPr="000F1E37">
        <w:t xml:space="preserve">greater coordination </w:t>
      </w:r>
      <w:r w:rsidR="00696143" w:rsidRPr="000F1E37">
        <w:t xml:space="preserve">on operational issues </w:t>
      </w:r>
      <w:r w:rsidR="001941AA" w:rsidRPr="000F1E37">
        <w:t>is needed</w:t>
      </w:r>
      <w:r w:rsidR="006A3CE9" w:rsidRPr="000F1E37">
        <w:t>, especially</w:t>
      </w:r>
      <w:r w:rsidR="001941AA" w:rsidRPr="000F1E37">
        <w:t xml:space="preserve"> when it comes to the definition of the respective operational plans. </w:t>
      </w:r>
    </w:p>
    <w:p w14:paraId="4191037A" w14:textId="77777777" w:rsidR="005A1E64" w:rsidRPr="000F1E37" w:rsidRDefault="005A1E64" w:rsidP="000B579D">
      <w:pPr>
        <w:pStyle w:val="titoloracc"/>
      </w:pPr>
    </w:p>
    <w:p w14:paraId="733F2FDE" w14:textId="77777777" w:rsidR="005A1E64" w:rsidRPr="000F1E37" w:rsidRDefault="005A1E64" w:rsidP="005A1E64">
      <w:pPr>
        <w:pStyle w:val="recesug"/>
      </w:pPr>
      <w:r w:rsidRPr="000F1E37">
        <w:t xml:space="preserve"> </w:t>
      </w:r>
      <w:r w:rsidR="00E241B2" w:rsidRPr="000F1E37">
        <w:t>In order to foster the “</w:t>
      </w:r>
      <w:r w:rsidR="003A0EE7" w:rsidRPr="000F1E37">
        <w:t>o</w:t>
      </w:r>
      <w:r w:rsidR="00E241B2" w:rsidRPr="000F1E37">
        <w:t>ne ITU”</w:t>
      </w:r>
      <w:r w:rsidR="001941AA" w:rsidRPr="000F1E37">
        <w:t xml:space="preserve"> approach</w:t>
      </w:r>
      <w:r w:rsidR="00E241B2" w:rsidRPr="000F1E37">
        <w:t xml:space="preserve">, </w:t>
      </w:r>
      <w:r w:rsidR="00D434F4">
        <w:t xml:space="preserve">the </w:t>
      </w:r>
      <w:r w:rsidR="001941AA" w:rsidRPr="000F1E37">
        <w:t xml:space="preserve">objectives and related KPIs </w:t>
      </w:r>
      <w:r w:rsidR="005A2186">
        <w:t xml:space="preserve">identified for field offices </w:t>
      </w:r>
      <w:r w:rsidR="001941AA" w:rsidRPr="000F1E37">
        <w:t>should also reflect the objectives and KPIs of the other ITU Sectors</w:t>
      </w:r>
      <w:r w:rsidR="005A2186">
        <w:t xml:space="preserve">; </w:t>
      </w:r>
      <w:r w:rsidR="00B52A1C" w:rsidRPr="000F1E37">
        <w:t xml:space="preserve"> </w:t>
      </w:r>
      <w:r w:rsidRPr="000F1E37">
        <w:rPr>
          <w:u w:val="single"/>
        </w:rPr>
        <w:t xml:space="preserve">we </w:t>
      </w:r>
      <w:r w:rsidR="000A20DA">
        <w:rPr>
          <w:u w:val="single"/>
        </w:rPr>
        <w:t xml:space="preserve">therefore </w:t>
      </w:r>
      <w:r w:rsidRPr="000F1E37">
        <w:rPr>
          <w:u w:val="single"/>
        </w:rPr>
        <w:t>recommend</w:t>
      </w:r>
      <w:r w:rsidRPr="000F1E37">
        <w:t xml:space="preserve"> </w:t>
      </w:r>
      <w:r w:rsidR="001941AA" w:rsidRPr="000F1E37">
        <w:t xml:space="preserve">exploring opportunities to </w:t>
      </w:r>
      <w:r w:rsidR="00B52A1C" w:rsidRPr="000F1E37">
        <w:t>enhanc</w:t>
      </w:r>
      <w:r w:rsidR="001941AA" w:rsidRPr="000F1E37">
        <w:t xml:space="preserve">e the </w:t>
      </w:r>
      <w:r w:rsidR="00B52A1C" w:rsidRPr="000F1E37">
        <w:t xml:space="preserve">coordination </w:t>
      </w:r>
      <w:r w:rsidR="000A20DA">
        <w:t>regarding</w:t>
      </w:r>
      <w:r w:rsidR="00FF4D91" w:rsidRPr="000F1E37">
        <w:t xml:space="preserve"> regional presence </w:t>
      </w:r>
      <w:r w:rsidR="001941AA" w:rsidRPr="000F1E37">
        <w:t>among Sectors</w:t>
      </w:r>
      <w:r w:rsidR="006A3CE9" w:rsidRPr="000F1E37">
        <w:t>.</w:t>
      </w:r>
      <w:r w:rsidR="00FF4D91" w:rsidRPr="000F1E37">
        <w:t xml:space="preserve"> </w:t>
      </w:r>
    </w:p>
    <w:p w14:paraId="5A1C3B9A" w14:textId="77777777" w:rsidR="005A1E64" w:rsidRPr="00173AFF" w:rsidRDefault="005A1E64" w:rsidP="00C66E9B">
      <w:pPr>
        <w:pStyle w:val="titcomments"/>
        <w:rPr>
          <w:lang w:val="en-US"/>
        </w:rPr>
      </w:pPr>
      <w:r w:rsidRPr="00173AFF">
        <w:rPr>
          <w:lang w:val="en-US"/>
        </w:rPr>
        <w:t>Comments by ITU</w:t>
      </w:r>
    </w:p>
    <w:p w14:paraId="082768C7" w14:textId="77777777" w:rsidR="005A1E64" w:rsidRPr="00173AFF" w:rsidRDefault="00CA3361" w:rsidP="005A1E64">
      <w:pPr>
        <w:pStyle w:val="testocomments"/>
        <w:rPr>
          <w:lang w:val="en-US"/>
        </w:rPr>
      </w:pPr>
      <w:r>
        <w:rPr>
          <w:lang w:val="en-US"/>
        </w:rPr>
        <w:t>ITU agrees with</w:t>
      </w:r>
      <w:r w:rsidRPr="004F58B0">
        <w:rPr>
          <w:lang w:val="en-US"/>
        </w:rPr>
        <w:t xml:space="preserve"> Recommendation </w:t>
      </w:r>
      <w:r w:rsidR="000534A7">
        <w:rPr>
          <w:lang w:val="en-US"/>
        </w:rPr>
        <w:t xml:space="preserve">n. </w:t>
      </w:r>
      <w:r>
        <w:rPr>
          <w:lang w:val="en-US"/>
        </w:rPr>
        <w:t>3.  ITU would like to highlight that various internal and membership-led coordination mechanisms, involving regional activities, among Sectors already exist and will continue to enhance coordination on regional presence among Sectors. Existing KPIs already accommodate the needs of all ITU Sectors.</w:t>
      </w:r>
    </w:p>
    <w:p w14:paraId="6AEB47FF" w14:textId="77777777" w:rsidR="00193391" w:rsidRPr="00D64A59" w:rsidRDefault="00057639" w:rsidP="00193391">
      <w:pPr>
        <w:pStyle w:val="Heading3"/>
        <w:ind w:left="567"/>
      </w:pPr>
      <w:bookmarkStart w:id="31" w:name="_Toc526772254"/>
      <w:r>
        <w:t xml:space="preserve">Definition of </w:t>
      </w:r>
      <w:r w:rsidR="00193391" w:rsidRPr="00D64A59">
        <w:t xml:space="preserve">specific objectives and KPIs </w:t>
      </w:r>
      <w:r w:rsidR="00193391">
        <w:t xml:space="preserve">should be shared </w:t>
      </w:r>
      <w:r>
        <w:t xml:space="preserve">between </w:t>
      </w:r>
      <w:r w:rsidR="00193391" w:rsidRPr="00D64A59">
        <w:t>HQ</w:t>
      </w:r>
      <w:r w:rsidR="00FF4D91">
        <w:t>s</w:t>
      </w:r>
      <w:r w:rsidR="00193391" w:rsidRPr="00D64A59">
        <w:t xml:space="preserve"> and RO</w:t>
      </w:r>
      <w:r w:rsidR="00E96E33">
        <w:t>s</w:t>
      </w:r>
      <w:bookmarkEnd w:id="31"/>
      <w:r w:rsidR="00FF4D91">
        <w:t xml:space="preserve"> </w:t>
      </w:r>
    </w:p>
    <w:p w14:paraId="5F35FA32" w14:textId="77777777" w:rsidR="00822941" w:rsidRPr="00EC1784" w:rsidRDefault="00EE1E02" w:rsidP="00B4431B">
      <w:pPr>
        <w:pStyle w:val="testobase"/>
        <w:rPr>
          <w:b/>
          <w:lang w:val="en-US"/>
        </w:rPr>
      </w:pPr>
      <w:r w:rsidRPr="00E26132">
        <w:t>The</w:t>
      </w:r>
      <w:r w:rsidRPr="001C16C6">
        <w:t xml:space="preserve"> </w:t>
      </w:r>
      <w:r w:rsidR="000A20DA">
        <w:t>RO</w:t>
      </w:r>
      <w:r w:rsidR="004B4E9B">
        <w:t>s</w:t>
      </w:r>
      <w:r w:rsidR="000A20DA">
        <w:t xml:space="preserve">’ </w:t>
      </w:r>
      <w:r w:rsidRPr="001C16C6">
        <w:t>mission may vary according to specific regional needs</w:t>
      </w:r>
      <w:r w:rsidR="00E96E33">
        <w:t>, risks</w:t>
      </w:r>
      <w:r w:rsidRPr="001C16C6">
        <w:t xml:space="preserve"> and conditions. </w:t>
      </w:r>
      <w:r w:rsidR="00057639" w:rsidRPr="001C16C6">
        <w:t xml:space="preserve">Moreover, </w:t>
      </w:r>
      <w:r w:rsidR="00193391" w:rsidRPr="001C16C6">
        <w:t xml:space="preserve">there is a need to balance the objectives with the </w:t>
      </w:r>
      <w:r w:rsidR="002D77BC" w:rsidRPr="001C16C6">
        <w:t xml:space="preserve">concrete </w:t>
      </w:r>
      <w:r w:rsidR="00193391" w:rsidRPr="001C16C6">
        <w:t>actions</w:t>
      </w:r>
      <w:r w:rsidR="002D77BC" w:rsidRPr="001C16C6">
        <w:t>, in a context of limited resources.</w:t>
      </w:r>
    </w:p>
    <w:p w14:paraId="34CC340B" w14:textId="77777777" w:rsidR="001C16C6" w:rsidRPr="001C16C6" w:rsidRDefault="002D77BC" w:rsidP="00B4431B">
      <w:pPr>
        <w:pStyle w:val="testobase"/>
      </w:pPr>
      <w:r w:rsidRPr="001C16C6">
        <w:t xml:space="preserve"> In </w:t>
      </w:r>
      <w:r w:rsidR="00EE1E02" w:rsidRPr="001C16C6">
        <w:t xml:space="preserve">order to clearly detail </w:t>
      </w:r>
      <w:r w:rsidR="00E96E33">
        <w:t xml:space="preserve">the </w:t>
      </w:r>
      <w:r w:rsidRPr="001C16C6">
        <w:t xml:space="preserve">ROs' </w:t>
      </w:r>
      <w:r w:rsidR="00EE1E02" w:rsidRPr="001C16C6">
        <w:t xml:space="preserve">mandate and mitigate the risks associated </w:t>
      </w:r>
      <w:r w:rsidR="000A20DA">
        <w:t>with</w:t>
      </w:r>
      <w:r w:rsidR="00EE1E02" w:rsidRPr="001C16C6">
        <w:t xml:space="preserve"> their activities</w:t>
      </w:r>
      <w:r w:rsidRPr="001C16C6">
        <w:t xml:space="preserve">, </w:t>
      </w:r>
      <w:r w:rsidR="00193391" w:rsidRPr="001C16C6">
        <w:t>an internal procedure establishing how and who should set objectives (and monitor them through robust and credible KPIs) should be adopted</w:t>
      </w:r>
      <w:r w:rsidR="00056675" w:rsidRPr="001C16C6">
        <w:t xml:space="preserve"> and the definition of objectives should be shared with the field offices</w:t>
      </w:r>
      <w:r w:rsidR="00193391" w:rsidRPr="001C16C6">
        <w:t xml:space="preserve">. </w:t>
      </w:r>
    </w:p>
    <w:p w14:paraId="18F568B5" w14:textId="77777777" w:rsidR="00193391" w:rsidRPr="001C16C6" w:rsidRDefault="00193391" w:rsidP="00B4431B">
      <w:pPr>
        <w:pStyle w:val="testobase"/>
      </w:pPr>
      <w:r w:rsidRPr="001C16C6">
        <w:t xml:space="preserve">Furthermore, during our audit we found that no comprehensive flow chart and/or summary documents were prepared with the purpose of illustrating the </w:t>
      </w:r>
      <w:r w:rsidR="000A20DA">
        <w:t xml:space="preserve">whole </w:t>
      </w:r>
      <w:r w:rsidRPr="001C16C6">
        <w:t>regulatory framework to all staff, especially those working in the area offices.</w:t>
      </w:r>
    </w:p>
    <w:p w14:paraId="19BEB203" w14:textId="77777777" w:rsidR="00193391" w:rsidRPr="00D64A59" w:rsidRDefault="00193391" w:rsidP="000B579D">
      <w:pPr>
        <w:pStyle w:val="titoloracc"/>
      </w:pPr>
    </w:p>
    <w:p w14:paraId="43BFD0CA" w14:textId="77777777" w:rsidR="00193391" w:rsidRPr="00D64A59" w:rsidRDefault="00193391" w:rsidP="00B4431B">
      <w:pPr>
        <w:pStyle w:val="recesug"/>
      </w:pPr>
      <w:r w:rsidRPr="00D64A59">
        <w:rPr>
          <w:u w:val="single"/>
        </w:rPr>
        <w:t>We recommend</w:t>
      </w:r>
      <w:r w:rsidRPr="00D64A59">
        <w:t xml:space="preserve"> </w:t>
      </w:r>
      <w:r w:rsidR="000A20DA">
        <w:t xml:space="preserve">that </w:t>
      </w:r>
      <w:r w:rsidRPr="00D64A59">
        <w:t xml:space="preserve">Management </w:t>
      </w:r>
      <w:r w:rsidR="000A20DA">
        <w:t>should</w:t>
      </w:r>
      <w:r w:rsidRPr="00D64A59">
        <w:t xml:space="preserve"> prepare a comprehensive flow chart</w:t>
      </w:r>
      <w:r w:rsidR="00267F1A">
        <w:t xml:space="preserve">, so as to make </w:t>
      </w:r>
      <w:r>
        <w:t>the</w:t>
      </w:r>
      <w:r w:rsidRPr="00D64A59">
        <w:t xml:space="preserve"> functions, roles</w:t>
      </w:r>
      <w:r>
        <w:t xml:space="preserve"> and </w:t>
      </w:r>
      <w:r w:rsidRPr="00D64A59">
        <w:t xml:space="preserve">activities </w:t>
      </w:r>
      <w:r>
        <w:t>of ROs</w:t>
      </w:r>
      <w:r w:rsidR="00267F1A">
        <w:t xml:space="preserve"> </w:t>
      </w:r>
      <w:r w:rsidR="00267F1A" w:rsidRPr="00D64A59">
        <w:t>understandable to all staff</w:t>
      </w:r>
      <w:r>
        <w:t>.</w:t>
      </w:r>
      <w:r w:rsidRPr="00D64A59">
        <w:t xml:space="preserve"> At the same time</w:t>
      </w:r>
      <w:r>
        <w:t>,</w:t>
      </w:r>
      <w:r w:rsidRPr="00D64A59">
        <w:t xml:space="preserve"> </w:t>
      </w:r>
      <w:r>
        <w:t>the r</w:t>
      </w:r>
      <w:r w:rsidRPr="00D64A59">
        <w:t>egional staff should have a view</w:t>
      </w:r>
      <w:r w:rsidR="00901627">
        <w:t xml:space="preserve"> </w:t>
      </w:r>
      <w:r w:rsidRPr="00D64A59">
        <w:t xml:space="preserve">of </w:t>
      </w:r>
      <w:r>
        <w:t>the o</w:t>
      </w:r>
      <w:r w:rsidRPr="00D64A59">
        <w:t xml:space="preserve">bjectives, </w:t>
      </w:r>
      <w:r>
        <w:t>s</w:t>
      </w:r>
      <w:r w:rsidRPr="00D64A59">
        <w:t>ub-objectives and related KPI</w:t>
      </w:r>
      <w:r>
        <w:t>s</w:t>
      </w:r>
      <w:r w:rsidR="00901627" w:rsidRPr="00D64A59">
        <w:t xml:space="preserve"> </w:t>
      </w:r>
      <w:r w:rsidR="00901627">
        <w:t xml:space="preserve">associated with </w:t>
      </w:r>
      <w:r w:rsidR="00901627" w:rsidRPr="00D64A59">
        <w:t>th</w:t>
      </w:r>
      <w:r w:rsidR="00901627">
        <w:t>is</w:t>
      </w:r>
      <w:r w:rsidR="00901627" w:rsidRPr="00D64A59">
        <w:t xml:space="preserve"> flow chart, </w:t>
      </w:r>
      <w:r>
        <w:t xml:space="preserve">with a view to </w:t>
      </w:r>
      <w:r w:rsidRPr="00D64A59">
        <w:t xml:space="preserve">monitoring </w:t>
      </w:r>
      <w:r>
        <w:t xml:space="preserve">the implementation of </w:t>
      </w:r>
      <w:r w:rsidRPr="00D64A59">
        <w:t xml:space="preserve">the </w:t>
      </w:r>
      <w:r>
        <w:t>r</w:t>
      </w:r>
      <w:r w:rsidRPr="00D64A59">
        <w:t xml:space="preserve">egional </w:t>
      </w:r>
      <w:r>
        <w:t>p</w:t>
      </w:r>
      <w:r w:rsidRPr="00D64A59">
        <w:t>resence</w:t>
      </w:r>
      <w:r>
        <w:t xml:space="preserve"> </w:t>
      </w:r>
      <w:r w:rsidRPr="005A3392">
        <w:t>and mitigating the associated risks</w:t>
      </w:r>
      <w:r w:rsidR="005A3392">
        <w:t xml:space="preserve"> </w:t>
      </w:r>
      <w:r w:rsidRPr="005A3392">
        <w:t>i</w:t>
      </w:r>
      <w:r w:rsidRPr="00D64A59">
        <w:t xml:space="preserve">n a consistent way. </w:t>
      </w:r>
    </w:p>
    <w:p w14:paraId="30B9BBF6" w14:textId="77777777" w:rsidR="00193391" w:rsidRPr="00C10739" w:rsidRDefault="00193391" w:rsidP="00193391"/>
    <w:p w14:paraId="606C9964" w14:textId="77777777" w:rsidR="00193391" w:rsidRDefault="00193391" w:rsidP="000B579D">
      <w:pPr>
        <w:pStyle w:val="titcomments"/>
        <w:rPr>
          <w:lang w:val="en-US"/>
        </w:rPr>
      </w:pPr>
      <w:r w:rsidRPr="00B2747E">
        <w:rPr>
          <w:lang w:val="en-US"/>
        </w:rPr>
        <w:t>Comments by ITU</w:t>
      </w:r>
    </w:p>
    <w:p w14:paraId="4145870A" w14:textId="77777777" w:rsidR="000B579D" w:rsidRPr="00CA3361" w:rsidRDefault="00CA3361" w:rsidP="00CA3361">
      <w:pPr>
        <w:pStyle w:val="titcomments"/>
        <w:spacing w:line="319" w:lineRule="auto"/>
        <w:rPr>
          <w:b w:val="0"/>
          <w:bCs w:val="0"/>
          <w:i w:val="0"/>
          <w:iCs/>
          <w:lang w:val="en-US"/>
        </w:rPr>
      </w:pPr>
      <w:r w:rsidRPr="006B3965">
        <w:rPr>
          <w:b w:val="0"/>
          <w:bCs w:val="0"/>
          <w:i w:val="0"/>
          <w:iCs/>
          <w:lang w:val="en-US"/>
        </w:rPr>
        <w:t xml:space="preserve">ITU has taken note of Recommendation </w:t>
      </w:r>
      <w:r w:rsidR="000534A7">
        <w:rPr>
          <w:b w:val="0"/>
          <w:bCs w:val="0"/>
          <w:i w:val="0"/>
          <w:iCs/>
          <w:lang w:val="en-US"/>
        </w:rPr>
        <w:t xml:space="preserve">n. </w:t>
      </w:r>
      <w:r>
        <w:rPr>
          <w:b w:val="0"/>
          <w:bCs w:val="0"/>
          <w:i w:val="0"/>
          <w:iCs/>
          <w:lang w:val="en-US"/>
        </w:rPr>
        <w:t>4</w:t>
      </w:r>
      <w:r w:rsidRPr="006B3965">
        <w:rPr>
          <w:b w:val="0"/>
          <w:bCs w:val="0"/>
          <w:i w:val="0"/>
          <w:iCs/>
          <w:lang w:val="en-US"/>
        </w:rPr>
        <w:t xml:space="preserve">.  </w:t>
      </w:r>
      <w:r>
        <w:rPr>
          <w:b w:val="0"/>
          <w:bCs w:val="0"/>
          <w:i w:val="0"/>
          <w:iCs/>
          <w:lang w:val="en-US"/>
        </w:rPr>
        <w:t>ITU would like to highlight that f</w:t>
      </w:r>
      <w:r w:rsidRPr="00145604">
        <w:rPr>
          <w:b w:val="0"/>
          <w:bCs w:val="0"/>
          <w:i w:val="0"/>
          <w:iCs/>
          <w:lang w:val="en-US"/>
        </w:rPr>
        <w:t>low chart</w:t>
      </w:r>
      <w:r>
        <w:rPr>
          <w:b w:val="0"/>
          <w:bCs w:val="0"/>
          <w:i w:val="0"/>
          <w:iCs/>
          <w:lang w:val="en-US"/>
        </w:rPr>
        <w:t>s explaining positions and reporting lines of ROs already exist. Performance of regional activities are regularly monitored on the basis of Objectives and KPIs.</w:t>
      </w:r>
    </w:p>
    <w:p w14:paraId="235A7230" w14:textId="77777777" w:rsidR="00D434F4" w:rsidRDefault="00DA4D07" w:rsidP="00D434F4">
      <w:pPr>
        <w:pStyle w:val="Heading2"/>
        <w:rPr>
          <w:lang w:val="en-US"/>
        </w:rPr>
      </w:pPr>
      <w:bookmarkStart w:id="32" w:name="_Toc526772255"/>
      <w:r w:rsidRPr="00B2747E">
        <w:rPr>
          <w:lang w:val="en-US"/>
        </w:rPr>
        <w:t>Regional initiatives</w:t>
      </w:r>
      <w:r w:rsidR="00A842A4" w:rsidRPr="00B2747E">
        <w:rPr>
          <w:lang w:val="en-US"/>
        </w:rPr>
        <w:t xml:space="preserve"> </w:t>
      </w:r>
      <w:r w:rsidR="00A842A4" w:rsidRPr="00DB4FAB">
        <w:rPr>
          <w:lang w:val="en-US"/>
        </w:rPr>
        <w:t>and Actions</w:t>
      </w:r>
      <w:bookmarkEnd w:id="32"/>
    </w:p>
    <w:p w14:paraId="5FDB4FF6" w14:textId="77777777" w:rsidR="00822941" w:rsidRPr="00D64A59" w:rsidRDefault="00822941" w:rsidP="00822941">
      <w:pPr>
        <w:pStyle w:val="Heading3"/>
        <w:ind w:left="567"/>
      </w:pPr>
      <w:bookmarkStart w:id="33" w:name="_Toc526772256"/>
      <w:r w:rsidRPr="004B4E9B">
        <w:t>Evaluation of Regional Initiatives should be enhanced</w:t>
      </w:r>
      <w:bookmarkEnd w:id="33"/>
    </w:p>
    <w:p w14:paraId="7B9776DE" w14:textId="77777777" w:rsidR="008E0922" w:rsidRPr="00E95085" w:rsidRDefault="00822941" w:rsidP="00B4431B">
      <w:pPr>
        <w:pStyle w:val="testobase"/>
        <w:rPr>
          <w:lang w:val="en-US"/>
        </w:rPr>
      </w:pPr>
      <w:r w:rsidRPr="00E95085">
        <w:t xml:space="preserve">As </w:t>
      </w:r>
      <w:r w:rsidR="00C12A19" w:rsidRPr="00E95085">
        <w:t>mentioned in para</w:t>
      </w:r>
      <w:r w:rsidR="00D434F4" w:rsidRPr="00E95085">
        <w:t xml:space="preserve">. </w:t>
      </w:r>
      <w:r w:rsidR="00E91ED4" w:rsidRPr="00E95085">
        <w:t>5</w:t>
      </w:r>
      <w:r w:rsidR="00E26132" w:rsidRPr="00E95085">
        <w:t>0</w:t>
      </w:r>
      <w:r w:rsidR="00C12A19" w:rsidRPr="00E95085">
        <w:t>, every</w:t>
      </w:r>
      <w:r w:rsidR="00DA4D07" w:rsidRPr="00E95085">
        <w:t xml:space="preserve"> 4 years, </w:t>
      </w:r>
      <w:r w:rsidR="00C12A19" w:rsidRPr="00E95085">
        <w:t xml:space="preserve">WTDCs </w:t>
      </w:r>
      <w:r w:rsidR="00DA4D07" w:rsidRPr="00E95085">
        <w:t>provide guidance on “Regional Initiatives” (RIs)</w:t>
      </w:r>
      <w:r w:rsidR="00C12A19" w:rsidRPr="00E95085">
        <w:t>.</w:t>
      </w:r>
      <w:r w:rsidR="00DA4D07" w:rsidRPr="00E95085">
        <w:t xml:space="preserve"> “Actions” are </w:t>
      </w:r>
      <w:r w:rsidR="00056675" w:rsidRPr="00E95085">
        <w:t xml:space="preserve">then </w:t>
      </w:r>
      <w:r w:rsidR="00DA4D07" w:rsidRPr="00E95085">
        <w:t>developed</w:t>
      </w:r>
      <w:r w:rsidR="00056675" w:rsidRPr="00E95085">
        <w:t>,</w:t>
      </w:r>
      <w:r w:rsidR="00DA4D07" w:rsidRPr="00E95085">
        <w:t xml:space="preserve"> in accordance with RIs</w:t>
      </w:r>
      <w:r w:rsidR="00056675" w:rsidRPr="00E95085">
        <w:t>, under the regular budget.</w:t>
      </w:r>
      <w:r w:rsidR="00DA4D07" w:rsidRPr="00E95085">
        <w:t xml:space="preserve"> </w:t>
      </w:r>
      <w:r w:rsidR="00056675" w:rsidRPr="00E95085">
        <w:t>The</w:t>
      </w:r>
      <w:r w:rsidR="008E0922" w:rsidRPr="00E95085">
        <w:t xml:space="preserve">ir implementation is regularly monitored </w:t>
      </w:r>
      <w:r w:rsidR="00DA4D07" w:rsidRPr="00E95085">
        <w:t>by RO</w:t>
      </w:r>
      <w:r w:rsidR="00F10D68" w:rsidRPr="00E95085">
        <w:t>s</w:t>
      </w:r>
      <w:r w:rsidR="00DA4D07" w:rsidRPr="00E95085">
        <w:t xml:space="preserve"> and HQ to ascertain whether they have achieved the objectives </w:t>
      </w:r>
      <w:r w:rsidR="00F10D68" w:rsidRPr="00E95085">
        <w:t>assigned to the individual actions</w:t>
      </w:r>
      <w:r w:rsidR="00056675" w:rsidRPr="00E95085">
        <w:t xml:space="preserve">. </w:t>
      </w:r>
      <w:r w:rsidR="00DA4D07" w:rsidRPr="00E95085">
        <w:t xml:space="preserve">Management reported to us that their effectiveness is </w:t>
      </w:r>
      <w:r w:rsidR="00056675" w:rsidRPr="00E95085">
        <w:t xml:space="preserve">also </w:t>
      </w:r>
      <w:r w:rsidR="00DA4D07" w:rsidRPr="00E95085">
        <w:t>evaluated</w:t>
      </w:r>
      <w:r w:rsidR="00F10D68" w:rsidRPr="00E95085">
        <w:t xml:space="preserve"> on an individual basis</w:t>
      </w:r>
      <w:r w:rsidR="00DA4D07" w:rsidRPr="00E95085">
        <w:t xml:space="preserve">. All the results are brought to </w:t>
      </w:r>
      <w:r w:rsidR="00ED5C08" w:rsidRPr="00E95085">
        <w:t xml:space="preserve">the attention of </w:t>
      </w:r>
      <w:r w:rsidR="00DA4D07" w:rsidRPr="00E95085">
        <w:t xml:space="preserve">ITU Council and PP through </w:t>
      </w:r>
      <w:r w:rsidR="00C12A19" w:rsidRPr="00E95085">
        <w:t>the</w:t>
      </w:r>
      <w:r w:rsidR="00ED5C08" w:rsidRPr="00E95085">
        <w:t xml:space="preserve"> </w:t>
      </w:r>
      <w:r w:rsidR="00C12A19" w:rsidRPr="00E95085">
        <w:t xml:space="preserve">Implementation </w:t>
      </w:r>
      <w:r w:rsidR="00420B1D" w:rsidRPr="00E95085">
        <w:t>R</w:t>
      </w:r>
      <w:r w:rsidR="00C12A19" w:rsidRPr="00E95085">
        <w:t>eport</w:t>
      </w:r>
      <w:r w:rsidR="00ED5C08" w:rsidRPr="00E95085">
        <w:t xml:space="preserve"> mentioned in para. </w:t>
      </w:r>
      <w:r w:rsidR="00182D5E" w:rsidRPr="00E95085">
        <w:t>5</w:t>
      </w:r>
      <w:r w:rsidR="00420B1D" w:rsidRPr="00E95085">
        <w:t>1</w:t>
      </w:r>
      <w:r w:rsidR="008E0922" w:rsidRPr="00E95085">
        <w:t>.</w:t>
      </w:r>
    </w:p>
    <w:p w14:paraId="7CB80F11" w14:textId="77777777" w:rsidR="00DA4D07" w:rsidRPr="00822941" w:rsidRDefault="008E0922" w:rsidP="00647A23">
      <w:pPr>
        <w:pStyle w:val="testobase"/>
        <w:rPr>
          <w:lang w:val="en-US"/>
        </w:rPr>
      </w:pPr>
      <w:r w:rsidRPr="00822941">
        <w:t xml:space="preserve">We also understood </w:t>
      </w:r>
      <w:r w:rsidR="00822941" w:rsidRPr="00822941">
        <w:t xml:space="preserve">from Management </w:t>
      </w:r>
      <w:r w:rsidRPr="00822941">
        <w:t xml:space="preserve">that </w:t>
      </w:r>
      <w:r w:rsidRPr="00822941">
        <w:rPr>
          <w:lang w:val="en-US"/>
        </w:rPr>
        <w:t xml:space="preserve">the results of the </w:t>
      </w:r>
      <w:r w:rsidR="00647A23" w:rsidRPr="00822941">
        <w:rPr>
          <w:lang w:val="en-US"/>
        </w:rPr>
        <w:t>Regional Initiatives</w:t>
      </w:r>
      <w:r w:rsidR="00D434F4">
        <w:rPr>
          <w:lang w:val="en-US"/>
        </w:rPr>
        <w:t>,</w:t>
      </w:r>
      <w:r w:rsidR="00647A23" w:rsidRPr="00822941">
        <w:rPr>
          <w:lang w:val="en-US"/>
        </w:rPr>
        <w:t xml:space="preserve"> as embedded in the </w:t>
      </w:r>
      <w:r w:rsidRPr="00822941">
        <w:rPr>
          <w:lang w:val="en-US"/>
        </w:rPr>
        <w:t>Action Plan</w:t>
      </w:r>
      <w:r w:rsidR="00D434F4">
        <w:rPr>
          <w:lang w:val="en-US"/>
        </w:rPr>
        <w:t>,</w:t>
      </w:r>
      <w:r w:rsidRPr="00822941">
        <w:rPr>
          <w:lang w:val="en-US"/>
        </w:rPr>
        <w:t xml:space="preserve"> con</w:t>
      </w:r>
      <w:r w:rsidR="00420B1D">
        <w:rPr>
          <w:lang w:val="en-US"/>
        </w:rPr>
        <w:t xml:space="preserve">tribute </w:t>
      </w:r>
      <w:r w:rsidRPr="00822941">
        <w:rPr>
          <w:lang w:val="en-US"/>
        </w:rPr>
        <w:t xml:space="preserve">to the ITU Strategic Plan. However, </w:t>
      </w:r>
      <w:r w:rsidRPr="00822941">
        <w:t xml:space="preserve">the “Report on the Implementation of the Dubai Action Plan”, which provides information on the achievement of objectives of the Plan, is the result of an </w:t>
      </w:r>
      <w:r w:rsidR="00420B1D">
        <w:t xml:space="preserve">internal </w:t>
      </w:r>
      <w:r w:rsidRPr="00822941">
        <w:t>ITU assessment, not an independent one</w:t>
      </w:r>
      <w:r w:rsidR="00647A23" w:rsidRPr="00822941">
        <w:t>.</w:t>
      </w:r>
      <w:r w:rsidRPr="00822941">
        <w:t xml:space="preserve"> </w:t>
      </w:r>
    </w:p>
    <w:p w14:paraId="3C26F916" w14:textId="77777777" w:rsidR="000B579D" w:rsidRPr="00822941" w:rsidRDefault="000B579D" w:rsidP="00DB4FAB">
      <w:pPr>
        <w:pStyle w:val="titoloracc"/>
      </w:pPr>
    </w:p>
    <w:p w14:paraId="3E2E88D9" w14:textId="77777777" w:rsidR="00DA4D07" w:rsidRPr="00822941" w:rsidRDefault="00DA4D07" w:rsidP="000B579D">
      <w:pPr>
        <w:pStyle w:val="recesug"/>
      </w:pPr>
      <w:r w:rsidRPr="00822941">
        <w:t xml:space="preserve">Whilst </w:t>
      </w:r>
      <w:r w:rsidR="00C12A19" w:rsidRPr="00822941">
        <w:t xml:space="preserve">monitoring </w:t>
      </w:r>
      <w:r w:rsidR="00ED5C08" w:rsidRPr="00822941">
        <w:t>of the individual actions is</w:t>
      </w:r>
      <w:r w:rsidRPr="00822941">
        <w:t xml:space="preserve"> carried out systematically</w:t>
      </w:r>
      <w:r w:rsidR="00F10D68" w:rsidRPr="00822941">
        <w:t xml:space="preserve"> </w:t>
      </w:r>
      <w:r w:rsidRPr="00822941">
        <w:t>both at RO and HQ</w:t>
      </w:r>
      <w:r w:rsidR="00ED5C08" w:rsidRPr="00822941">
        <w:t>s</w:t>
      </w:r>
      <w:r w:rsidRPr="00822941">
        <w:t xml:space="preserve"> </w:t>
      </w:r>
      <w:r w:rsidR="00ED5C08" w:rsidRPr="00822941">
        <w:t>l</w:t>
      </w:r>
      <w:r w:rsidRPr="00822941">
        <w:t>evel</w:t>
      </w:r>
      <w:r w:rsidR="00ED5C08" w:rsidRPr="00822941">
        <w:t>s</w:t>
      </w:r>
      <w:r w:rsidRPr="00822941">
        <w:t xml:space="preserve">, </w:t>
      </w:r>
      <w:r w:rsidR="00D6271E" w:rsidRPr="00822941">
        <w:t xml:space="preserve">and </w:t>
      </w:r>
      <w:r w:rsidR="00D434F4">
        <w:t xml:space="preserve">the results are </w:t>
      </w:r>
      <w:r w:rsidR="00D6271E" w:rsidRPr="00822941">
        <w:t xml:space="preserve">regularly reported to the Council, </w:t>
      </w:r>
      <w:r w:rsidR="00ED5C08" w:rsidRPr="00822941">
        <w:t xml:space="preserve">our audit </w:t>
      </w:r>
      <w:r w:rsidRPr="00822941">
        <w:t>found no comprehensive ad hoc documents o</w:t>
      </w:r>
      <w:r w:rsidR="00ED5C08" w:rsidRPr="00822941">
        <w:t>n</w:t>
      </w:r>
      <w:r w:rsidRPr="00822941">
        <w:t xml:space="preserve"> </w:t>
      </w:r>
      <w:r w:rsidR="00ED5C08" w:rsidRPr="00822941">
        <w:t xml:space="preserve">the </w:t>
      </w:r>
      <w:r w:rsidRPr="00822941">
        <w:t xml:space="preserve">evaluation of the effectiveness of the RIs </w:t>
      </w:r>
      <w:r w:rsidR="00F10D68" w:rsidRPr="00822941">
        <w:t>themselves</w:t>
      </w:r>
      <w:r w:rsidR="00647A23" w:rsidRPr="00822941">
        <w:t xml:space="preserve">. Considering that every Action Plan may introduce new objectives and indicators for the reference period, </w:t>
      </w:r>
      <w:r w:rsidR="00647A23" w:rsidRPr="00822941">
        <w:rPr>
          <w:u w:val="single"/>
        </w:rPr>
        <w:t>we recommend</w:t>
      </w:r>
      <w:r w:rsidR="00647A23" w:rsidRPr="00822941">
        <w:t xml:space="preserve"> that an external and independent mid-term and/or ex-post assessment of the </w:t>
      </w:r>
      <w:r w:rsidRPr="00822941">
        <w:t xml:space="preserve">effective and efficient achievement of the </w:t>
      </w:r>
      <w:r w:rsidR="00D434F4">
        <w:t xml:space="preserve">objectives </w:t>
      </w:r>
      <w:r w:rsidRPr="00822941">
        <w:t>decided at the WTDC level</w:t>
      </w:r>
      <w:r w:rsidR="00647A23" w:rsidRPr="00822941">
        <w:t xml:space="preserve"> be conducted, in order to bring added value to the process</w:t>
      </w:r>
      <w:r w:rsidRPr="00822941">
        <w:t>. Similarly, a comprehen</w:t>
      </w:r>
      <w:r w:rsidR="00647A23" w:rsidRPr="00822941">
        <w:t xml:space="preserve">sive </w:t>
      </w:r>
      <w:r w:rsidRPr="00822941">
        <w:t>mid-term and</w:t>
      </w:r>
      <w:r w:rsidR="00647A23" w:rsidRPr="00822941">
        <w:t xml:space="preserve">/or </w:t>
      </w:r>
      <w:r w:rsidRPr="00822941">
        <w:t xml:space="preserve">ex-post evaluation </w:t>
      </w:r>
      <w:r w:rsidR="00420B1D">
        <w:t xml:space="preserve">might be envisaged </w:t>
      </w:r>
      <w:r w:rsidRPr="00822941">
        <w:t xml:space="preserve">on whether the </w:t>
      </w:r>
      <w:r w:rsidR="00ED5C08" w:rsidRPr="00822941">
        <w:t xml:space="preserve">objective of </w:t>
      </w:r>
      <w:r w:rsidRPr="00822941">
        <w:t xml:space="preserve">“strengthening </w:t>
      </w:r>
      <w:r w:rsidR="00ED5C08" w:rsidRPr="00822941">
        <w:t>the regional presence</w:t>
      </w:r>
      <w:r w:rsidRPr="00822941">
        <w:t>” has been achieved in accordance with PP Res.</w:t>
      </w:r>
      <w:r w:rsidR="00ED5C08" w:rsidRPr="00822941">
        <w:t xml:space="preserve"> 25.</w:t>
      </w:r>
    </w:p>
    <w:p w14:paraId="1A44CE17" w14:textId="77777777" w:rsidR="00DA4D07" w:rsidRPr="00C10739" w:rsidRDefault="00DA4D07" w:rsidP="00DA4D07"/>
    <w:p w14:paraId="5CA3195A" w14:textId="77777777" w:rsidR="00DA4D07" w:rsidRPr="00173AFF" w:rsidRDefault="00DA4D07" w:rsidP="000B579D">
      <w:pPr>
        <w:pStyle w:val="titcomments"/>
        <w:rPr>
          <w:lang w:val="en-US"/>
        </w:rPr>
      </w:pPr>
      <w:r w:rsidRPr="00173AFF">
        <w:rPr>
          <w:lang w:val="en-US"/>
        </w:rPr>
        <w:t>Comments by ITU</w:t>
      </w:r>
    </w:p>
    <w:p w14:paraId="78107918" w14:textId="77777777" w:rsidR="00DA4D07" w:rsidRPr="00173AFF" w:rsidRDefault="000023F5" w:rsidP="00DA4D07">
      <w:pPr>
        <w:pStyle w:val="testocomments"/>
        <w:rPr>
          <w:lang w:val="en-US"/>
        </w:rPr>
      </w:pPr>
      <w:r w:rsidRPr="006B3965">
        <w:rPr>
          <w:lang w:val="en-US"/>
        </w:rPr>
        <w:t xml:space="preserve">ITU has taken note of Recommendation </w:t>
      </w:r>
      <w:r w:rsidR="000534A7">
        <w:rPr>
          <w:lang w:val="en-US"/>
        </w:rPr>
        <w:t xml:space="preserve">n. </w:t>
      </w:r>
      <w:r>
        <w:rPr>
          <w:lang w:val="en-US"/>
        </w:rPr>
        <w:t>5</w:t>
      </w:r>
      <w:r w:rsidRPr="006B3965">
        <w:rPr>
          <w:lang w:val="en-US"/>
        </w:rPr>
        <w:t xml:space="preserve">.  </w:t>
      </w:r>
      <w:r>
        <w:rPr>
          <w:lang w:val="en-US"/>
        </w:rPr>
        <w:t>However, ITU would like to highlight that the function</w:t>
      </w:r>
      <w:r w:rsidR="009B5E5A">
        <w:rPr>
          <w:lang w:val="en-US"/>
        </w:rPr>
        <w:t>s</w:t>
      </w:r>
      <w:r>
        <w:rPr>
          <w:lang w:val="en-US"/>
        </w:rPr>
        <w:t xml:space="preserve"> of </w:t>
      </w:r>
      <w:r w:rsidR="009B5E5A" w:rsidRPr="009B5E5A">
        <w:rPr>
          <w:lang w:val="en-US"/>
        </w:rPr>
        <w:t xml:space="preserve">the evaluation of the effectiveness of the RIs </w:t>
      </w:r>
      <w:r w:rsidR="009B5E5A">
        <w:rPr>
          <w:lang w:val="en-US"/>
        </w:rPr>
        <w:t xml:space="preserve">and the </w:t>
      </w:r>
      <w:r>
        <w:rPr>
          <w:lang w:val="en-US"/>
        </w:rPr>
        <w:t xml:space="preserve">mid-term assessment is entrusted </w:t>
      </w:r>
      <w:r w:rsidR="000534A7">
        <w:rPr>
          <w:lang w:val="en-US"/>
        </w:rPr>
        <w:t xml:space="preserve">to </w:t>
      </w:r>
      <w:r>
        <w:rPr>
          <w:lang w:val="en-US"/>
        </w:rPr>
        <w:t xml:space="preserve">and done by TDAG and Council. </w:t>
      </w:r>
      <w:r w:rsidRPr="00562B0E">
        <w:t>Since all results are presented to TDAG and Council, in our view they are the final evaluators of the effectiveness of the implementation carried out.</w:t>
      </w:r>
    </w:p>
    <w:p w14:paraId="2B028109" w14:textId="77777777" w:rsidR="00BD1323" w:rsidRPr="00173AFF" w:rsidRDefault="00BD1323" w:rsidP="00BD1323">
      <w:pPr>
        <w:rPr>
          <w:lang w:val="en-US"/>
        </w:rPr>
      </w:pPr>
    </w:p>
    <w:p w14:paraId="1A1CFEBA" w14:textId="77777777" w:rsidR="0099763B" w:rsidRPr="004F6FDB" w:rsidRDefault="0099763B" w:rsidP="0099763B">
      <w:pPr>
        <w:pStyle w:val="Heading3"/>
        <w:ind w:left="567"/>
      </w:pPr>
      <w:bookmarkStart w:id="34" w:name="_Toc526772257"/>
      <w:r>
        <w:t xml:space="preserve">Guidance on </w:t>
      </w:r>
      <w:r w:rsidR="00CB1C14">
        <w:t xml:space="preserve">how to </w:t>
      </w:r>
      <w:r>
        <w:t xml:space="preserve">set priorities </w:t>
      </w:r>
      <w:r w:rsidR="00003CE9">
        <w:t xml:space="preserve">is </w:t>
      </w:r>
      <w:r>
        <w:t>needed</w:t>
      </w:r>
      <w:bookmarkEnd w:id="34"/>
      <w:r>
        <w:t xml:space="preserve"> </w:t>
      </w:r>
    </w:p>
    <w:p w14:paraId="6564F1D8" w14:textId="77777777" w:rsidR="0099763B" w:rsidRDefault="001F5A2E" w:rsidP="00093F1E">
      <w:pPr>
        <w:pStyle w:val="testobase"/>
      </w:pPr>
      <w:r>
        <w:t>Under the supervision of t</w:t>
      </w:r>
      <w:r w:rsidR="0099763B" w:rsidRPr="00C10739">
        <w:t xml:space="preserve">he Director of </w:t>
      </w:r>
      <w:r w:rsidR="00420B1D">
        <w:t>BDT</w:t>
      </w:r>
      <w:r>
        <w:t>,</w:t>
      </w:r>
      <w:r w:rsidR="0099763B" w:rsidRPr="00C10739">
        <w:t xml:space="preserve"> </w:t>
      </w:r>
      <w:r w:rsidR="004B4E9B">
        <w:t xml:space="preserve">the </w:t>
      </w:r>
      <w:r w:rsidR="009B5E5A">
        <w:t>Management Committee (</w:t>
      </w:r>
      <w:r w:rsidR="004B4E9B">
        <w:t>includ</w:t>
      </w:r>
      <w:r w:rsidR="009B5E5A">
        <w:t xml:space="preserve">ing the Chiefs of </w:t>
      </w:r>
      <w:r w:rsidR="0055381E">
        <w:t>Department</w:t>
      </w:r>
      <w:r w:rsidR="009B5E5A">
        <w:t xml:space="preserve"> in the HQ and the Regional Directors) </w:t>
      </w:r>
      <w:r w:rsidR="0099763B" w:rsidRPr="00C10739">
        <w:t>prepares an Operational Plan (OP)</w:t>
      </w:r>
      <w:r w:rsidR="00420B1D">
        <w:t xml:space="preserve"> on</w:t>
      </w:r>
      <w:r w:rsidR="00420B1D" w:rsidRPr="00C10739">
        <w:t xml:space="preserve"> the basis of the </w:t>
      </w:r>
      <w:r w:rsidR="0055381E">
        <w:t xml:space="preserve">ITU-D Strategic </w:t>
      </w:r>
      <w:r>
        <w:t xml:space="preserve">Objectives and the </w:t>
      </w:r>
      <w:r w:rsidR="00420B1D" w:rsidRPr="00C10739">
        <w:t>RIs decided by WTDC</w:t>
      </w:r>
      <w:r w:rsidR="00420B1D">
        <w:t>s.</w:t>
      </w:r>
      <w:r w:rsidR="0099763B" w:rsidRPr="00C10739">
        <w:t xml:space="preserve"> Each </w:t>
      </w:r>
      <w:r w:rsidR="00420B1D">
        <w:t>R</w:t>
      </w:r>
      <w:r w:rsidR="0099763B" w:rsidRPr="00C10739">
        <w:t>egion</w:t>
      </w:r>
      <w:r w:rsidR="0099763B">
        <w:t xml:space="preserve">al </w:t>
      </w:r>
      <w:r w:rsidR="00420B1D">
        <w:t>O</w:t>
      </w:r>
      <w:r w:rsidR="0099763B">
        <w:t>ffice</w:t>
      </w:r>
      <w:r w:rsidR="0099763B" w:rsidRPr="00C10739">
        <w:t xml:space="preserve"> </w:t>
      </w:r>
      <w:r>
        <w:t>proposes</w:t>
      </w:r>
      <w:r w:rsidR="0099763B" w:rsidRPr="00C10739">
        <w:t xml:space="preserve"> which RIs they should work on, and, following the OP, prepares </w:t>
      </w:r>
      <w:r w:rsidR="0042364A">
        <w:t xml:space="preserve">the </w:t>
      </w:r>
      <w:r w:rsidR="0099763B">
        <w:t xml:space="preserve">regional </w:t>
      </w:r>
      <w:r w:rsidR="0042364A">
        <w:t>part of the Operational Plan</w:t>
      </w:r>
      <w:r w:rsidR="0042364A" w:rsidRPr="00C10739">
        <w:t xml:space="preserve"> </w:t>
      </w:r>
      <w:r w:rsidR="0099763B" w:rsidRPr="00C10739">
        <w:t xml:space="preserve">for </w:t>
      </w:r>
      <w:r w:rsidR="0099763B">
        <w:t xml:space="preserve">those </w:t>
      </w:r>
      <w:r w:rsidR="0099763B" w:rsidRPr="00C10739">
        <w:t xml:space="preserve">“actions” that </w:t>
      </w:r>
      <w:r w:rsidR="00647A23">
        <w:t xml:space="preserve">it </w:t>
      </w:r>
      <w:r w:rsidR="0099763B">
        <w:t>intends</w:t>
      </w:r>
      <w:r w:rsidR="00647A23">
        <w:t xml:space="preserve"> </w:t>
      </w:r>
      <w:r w:rsidR="0099763B" w:rsidRPr="00C10739">
        <w:t xml:space="preserve">to </w:t>
      </w:r>
      <w:r w:rsidR="00420B1D">
        <w:t xml:space="preserve">implement </w:t>
      </w:r>
      <w:r w:rsidR="0099763B" w:rsidRPr="00C10739">
        <w:t xml:space="preserve">during the reference year. </w:t>
      </w:r>
      <w:r w:rsidR="00420B1D">
        <w:t>ROs’ Management consider a</w:t>
      </w:r>
      <w:r w:rsidR="0099763B" w:rsidRPr="00C10739">
        <w:t>ll these Documents (</w:t>
      </w:r>
      <w:r w:rsidR="00647A23">
        <w:t xml:space="preserve">BDT </w:t>
      </w:r>
      <w:r w:rsidR="0099763B" w:rsidRPr="00C10739">
        <w:t>Operational Plans</w:t>
      </w:r>
      <w:r w:rsidR="0099763B">
        <w:t xml:space="preserve"> and </w:t>
      </w:r>
      <w:r w:rsidR="00093F1E">
        <w:t xml:space="preserve">the </w:t>
      </w:r>
      <w:r w:rsidR="00647A23">
        <w:t xml:space="preserve">regional </w:t>
      </w:r>
      <w:r w:rsidR="00093F1E">
        <w:t>part of the Operational Plan</w:t>
      </w:r>
      <w:r w:rsidR="0099763B" w:rsidRPr="00C10739">
        <w:t xml:space="preserve">) </w:t>
      </w:r>
      <w:r w:rsidR="00420B1D">
        <w:t xml:space="preserve">to be </w:t>
      </w:r>
      <w:r w:rsidR="0099763B" w:rsidRPr="00C10739">
        <w:t>the main tools for “strengthening the regional presence” for ITU-D.</w:t>
      </w:r>
    </w:p>
    <w:p w14:paraId="6C9EE839" w14:textId="77777777" w:rsidR="0099763B" w:rsidRPr="00C10739" w:rsidRDefault="0099763B" w:rsidP="00B4431B">
      <w:pPr>
        <w:pStyle w:val="testobase"/>
      </w:pPr>
      <w:r>
        <w:t>A</w:t>
      </w:r>
      <w:r w:rsidRPr="00C10739">
        <w:t xml:space="preserve">ctions can </w:t>
      </w:r>
      <w:r>
        <w:t xml:space="preserve">also </w:t>
      </w:r>
      <w:r w:rsidRPr="00C10739">
        <w:t xml:space="preserve">be included in the Plan with no budget. The decision regarding which funds from the regular budget should be allocated to </w:t>
      </w:r>
      <w:r w:rsidR="00402F44">
        <w:t xml:space="preserve">which </w:t>
      </w:r>
      <w:r w:rsidRPr="00C10739">
        <w:t>actions is taken yearly by the BDT Director</w:t>
      </w:r>
      <w:r w:rsidR="00402F44">
        <w:t>,</w:t>
      </w:r>
      <w:r w:rsidRPr="00C10739">
        <w:t xml:space="preserve"> jointly with Regional Directors (based on proposals </w:t>
      </w:r>
      <w:r>
        <w:t xml:space="preserve">previously </w:t>
      </w:r>
      <w:r w:rsidRPr="00C10739">
        <w:t>discussed by Regional Directors and P Staff).</w:t>
      </w:r>
    </w:p>
    <w:p w14:paraId="273FBD1B" w14:textId="77777777" w:rsidR="0099763B" w:rsidRPr="00C10739" w:rsidRDefault="0099763B" w:rsidP="000B579D">
      <w:pPr>
        <w:pStyle w:val="titoloracc"/>
      </w:pPr>
    </w:p>
    <w:p w14:paraId="53468BF3" w14:textId="77777777" w:rsidR="0099763B" w:rsidRPr="00C10739" w:rsidRDefault="0099763B" w:rsidP="00093F1E">
      <w:pPr>
        <w:pStyle w:val="recesug"/>
      </w:pPr>
      <w:r w:rsidRPr="00C10739">
        <w:t xml:space="preserve">We understood from </w:t>
      </w:r>
      <w:r w:rsidRPr="00647A23">
        <w:t>Management th</w:t>
      </w:r>
      <w:r w:rsidRPr="00C10739">
        <w:t xml:space="preserve">at </w:t>
      </w:r>
      <w:r w:rsidR="004759F4">
        <w:t xml:space="preserve">more actions are </w:t>
      </w:r>
      <w:r w:rsidRPr="00C10739">
        <w:t xml:space="preserve">proposed than </w:t>
      </w:r>
      <w:r w:rsidR="004759F4">
        <w:t xml:space="preserve">they are </w:t>
      </w:r>
      <w:r w:rsidRPr="00C10739">
        <w:t xml:space="preserve">approved in the </w:t>
      </w:r>
      <w:r w:rsidR="00093F1E">
        <w:t>regional part of the Operational Plan</w:t>
      </w:r>
      <w:r>
        <w:t xml:space="preserve">; </w:t>
      </w:r>
      <w:r w:rsidRPr="00C10739">
        <w:t>however</w:t>
      </w:r>
      <w:r>
        <w:t>,</w:t>
      </w:r>
      <w:r w:rsidRPr="00C10739">
        <w:t xml:space="preserve"> there is no specific methodology, </w:t>
      </w:r>
      <w:r w:rsidR="004759F4">
        <w:t xml:space="preserve">framed </w:t>
      </w:r>
      <w:r w:rsidRPr="00C10739">
        <w:t xml:space="preserve">in a system, for weighting them </w:t>
      </w:r>
      <w:r>
        <w:t xml:space="preserve">and for </w:t>
      </w:r>
      <w:r w:rsidRPr="00C10739">
        <w:t>defin</w:t>
      </w:r>
      <w:r>
        <w:t>ing</w:t>
      </w:r>
      <w:r w:rsidRPr="00C10739">
        <w:t xml:space="preserve"> the respective priorities in an objective way. Therefore, </w:t>
      </w:r>
      <w:r w:rsidRPr="004A6635">
        <w:rPr>
          <w:u w:val="single"/>
        </w:rPr>
        <w:t>we recommend</w:t>
      </w:r>
      <w:r w:rsidRPr="00C10739">
        <w:t xml:space="preserve"> </w:t>
      </w:r>
      <w:r w:rsidR="004759F4">
        <w:t xml:space="preserve">that </w:t>
      </w:r>
      <w:r w:rsidRPr="00C10739">
        <w:t xml:space="preserve">guidance </w:t>
      </w:r>
      <w:r w:rsidR="004759F4">
        <w:t xml:space="preserve">should be provided as to </w:t>
      </w:r>
      <w:r w:rsidRPr="00C10739">
        <w:t>how to set priorities on the basis of objective criteria</w:t>
      </w:r>
      <w:r w:rsidR="004759F4">
        <w:t xml:space="preserve">. These criteria </w:t>
      </w:r>
      <w:r w:rsidRPr="00C10739">
        <w:t>should also be consistent in all the RO</w:t>
      </w:r>
      <w:r w:rsidR="00CB1C14">
        <w:t>s</w:t>
      </w:r>
      <w:r w:rsidRPr="00C10739">
        <w:t xml:space="preserve"> </w:t>
      </w:r>
      <w:r>
        <w:t xml:space="preserve">across </w:t>
      </w:r>
      <w:r w:rsidRPr="00C10739">
        <w:t xml:space="preserve">the world, </w:t>
      </w:r>
      <w:r>
        <w:t xml:space="preserve">while taking into account the intrinsic differences between regions. </w:t>
      </w:r>
    </w:p>
    <w:p w14:paraId="5473CCA2" w14:textId="77777777" w:rsidR="0099763B" w:rsidRPr="00C10739" w:rsidRDefault="0099763B" w:rsidP="0099763B"/>
    <w:p w14:paraId="797E3725" w14:textId="77777777" w:rsidR="0099763B" w:rsidRPr="00173AFF" w:rsidRDefault="0099763B" w:rsidP="000B579D">
      <w:pPr>
        <w:pStyle w:val="titcomments"/>
        <w:rPr>
          <w:lang w:val="en-US"/>
        </w:rPr>
      </w:pPr>
      <w:r w:rsidRPr="00173AFF">
        <w:rPr>
          <w:lang w:val="en-US"/>
        </w:rPr>
        <w:t>Comments by ITU</w:t>
      </w:r>
    </w:p>
    <w:p w14:paraId="7A166D8A" w14:textId="77777777" w:rsidR="000023F5" w:rsidRDefault="000023F5" w:rsidP="005071D2">
      <w:pPr>
        <w:pStyle w:val="testocomments"/>
      </w:pPr>
      <w:r w:rsidRPr="006B3965">
        <w:rPr>
          <w:lang w:val="en-US"/>
        </w:rPr>
        <w:t xml:space="preserve">ITU </w:t>
      </w:r>
      <w:r w:rsidR="00C8618F" w:rsidRPr="00C8618F">
        <w:rPr>
          <w:bCs/>
          <w:iCs/>
        </w:rPr>
        <w:t>will further study</w:t>
      </w:r>
      <w:r w:rsidRPr="006B3965">
        <w:rPr>
          <w:lang w:val="en-US"/>
        </w:rPr>
        <w:t xml:space="preserve"> Recommendation </w:t>
      </w:r>
      <w:r w:rsidR="000534A7">
        <w:rPr>
          <w:lang w:val="en-US"/>
        </w:rPr>
        <w:t xml:space="preserve">n. </w:t>
      </w:r>
      <w:r>
        <w:rPr>
          <w:lang w:val="en-US"/>
        </w:rPr>
        <w:t>6</w:t>
      </w:r>
      <w:r w:rsidRPr="006B3965">
        <w:rPr>
          <w:lang w:val="en-US"/>
        </w:rPr>
        <w:t xml:space="preserve">.  </w:t>
      </w:r>
      <w:r>
        <w:rPr>
          <w:lang w:val="en-US"/>
        </w:rPr>
        <w:t xml:space="preserve">ITU would like to highlight that </w:t>
      </w:r>
      <w:r w:rsidRPr="007F70F3">
        <w:rPr>
          <w:lang w:val="en-US"/>
        </w:rPr>
        <w:t xml:space="preserve">when funding is not </w:t>
      </w:r>
      <w:r w:rsidR="005071D2">
        <w:rPr>
          <w:lang w:val="en-US"/>
        </w:rPr>
        <w:t>sufficient</w:t>
      </w:r>
      <w:r w:rsidRPr="007F70F3">
        <w:rPr>
          <w:lang w:val="en-US"/>
        </w:rPr>
        <w:t xml:space="preserve">, the priority </w:t>
      </w:r>
      <w:r>
        <w:rPr>
          <w:lang w:val="en-US"/>
        </w:rPr>
        <w:t xml:space="preserve">is determined in line with </w:t>
      </w:r>
      <w:r w:rsidRPr="00615036">
        <w:t>criteria</w:t>
      </w:r>
      <w:r>
        <w:rPr>
          <w:lang w:val="en-US"/>
        </w:rPr>
        <w:t xml:space="preserve"> in the Action Plan, </w:t>
      </w:r>
      <w:r w:rsidR="001F5A2E">
        <w:rPr>
          <w:lang w:val="en-US"/>
        </w:rPr>
        <w:t xml:space="preserve">taking into account </w:t>
      </w:r>
      <w:r>
        <w:rPr>
          <w:lang w:val="en-US"/>
        </w:rPr>
        <w:t>regional initiatives</w:t>
      </w:r>
      <w:r w:rsidRPr="007F70F3">
        <w:rPr>
          <w:lang w:val="en-US"/>
        </w:rPr>
        <w:t xml:space="preserve"> </w:t>
      </w:r>
      <w:r>
        <w:rPr>
          <w:lang w:val="en-US"/>
        </w:rPr>
        <w:t>approved by Member States</w:t>
      </w:r>
      <w:r w:rsidRPr="007F70F3">
        <w:rPr>
          <w:lang w:val="en-US"/>
        </w:rPr>
        <w:t>.</w:t>
      </w:r>
      <w:r w:rsidRPr="000023F5">
        <w:t xml:space="preserve"> </w:t>
      </w:r>
    </w:p>
    <w:p w14:paraId="497544F0" w14:textId="77777777" w:rsidR="0099763B" w:rsidRPr="00173AFF" w:rsidRDefault="000023F5" w:rsidP="0099763B">
      <w:pPr>
        <w:pStyle w:val="testocomments"/>
        <w:rPr>
          <w:lang w:val="en-US"/>
        </w:rPr>
      </w:pPr>
      <w:r>
        <w:t>A regional Action Plan referred to in this report is understood to be the regional part of the Operational Plan. The regional part of the Operational Plan is planned by ROs’ management in consultation with regional team based on the needs of Member States and preferably linked to the regional initiatives.</w:t>
      </w:r>
    </w:p>
    <w:p w14:paraId="32E28421" w14:textId="77777777" w:rsidR="00555191" w:rsidRPr="00141720" w:rsidRDefault="00794549" w:rsidP="00141720">
      <w:pPr>
        <w:pStyle w:val="Heading3"/>
        <w:ind w:left="567"/>
      </w:pPr>
      <w:bookmarkStart w:id="35" w:name="_Toc526772258"/>
      <w:r>
        <w:t xml:space="preserve">Monitoring actions with a common </w:t>
      </w:r>
      <w:r w:rsidR="004A6635" w:rsidRPr="00141720">
        <w:t>IT tool</w:t>
      </w:r>
      <w:bookmarkEnd w:id="35"/>
    </w:p>
    <w:p w14:paraId="36F3B0C5" w14:textId="77777777" w:rsidR="00A15023" w:rsidRDefault="00A15023" w:rsidP="00B4431B">
      <w:pPr>
        <w:pStyle w:val="testobase"/>
      </w:pPr>
      <w:r w:rsidRPr="00C10739">
        <w:t>Resolution 17 WTDC instructs the BDT Director: [point] 2 “</w:t>
      </w:r>
      <w:r w:rsidRPr="00E12742">
        <w:t>to ensure that the ITU regional offices have a role in monitoring the implementation of the initiatives approved in their regions, and to submit an annual report to the Telecommunication Development Advisory Group on the implementation of this Resolution</w:t>
      </w:r>
      <w:r w:rsidRPr="00C10739">
        <w:t xml:space="preserve">”. </w:t>
      </w:r>
      <w:r w:rsidR="00F10D68">
        <w:t xml:space="preserve">Moreover, </w:t>
      </w:r>
      <w:r w:rsidRPr="00C10739">
        <w:t>[Point] 3</w:t>
      </w:r>
      <w:r w:rsidR="00F10D68">
        <w:t xml:space="preserve"> establishes </w:t>
      </w:r>
      <w:r w:rsidRPr="00E12742">
        <w:t xml:space="preserve">that </w:t>
      </w:r>
      <w:r w:rsidR="00F10D68">
        <w:t>"</w:t>
      </w:r>
      <w:r w:rsidRPr="00E12742">
        <w:t xml:space="preserve">an annual meeting be held for each region in order to discuss the Regional Initiatives and projects for each region and mechanism for implementation of the initiatives and to make known the needs of the different regions </w:t>
      </w:r>
      <w:r w:rsidR="00CB1C14">
        <w:t>[</w:t>
      </w:r>
      <w:r w:rsidRPr="00E12742">
        <w:t>…</w:t>
      </w:r>
      <w:r w:rsidR="00CB1C14">
        <w:t>]</w:t>
      </w:r>
      <w:r w:rsidRPr="00C10739">
        <w:t xml:space="preserve">”. </w:t>
      </w:r>
    </w:p>
    <w:p w14:paraId="3DD133AF" w14:textId="77777777" w:rsidR="00402F44" w:rsidRPr="00C10739" w:rsidRDefault="00402F44" w:rsidP="00402F44">
      <w:pPr>
        <w:pStyle w:val="testobase"/>
      </w:pPr>
      <w:r w:rsidRPr="00C10739">
        <w:t>During our audit we</w:t>
      </w:r>
      <w:r>
        <w:t xml:space="preserve"> found </w:t>
      </w:r>
      <w:r w:rsidRPr="00C10739">
        <w:t xml:space="preserve">that actions </w:t>
      </w:r>
      <w:r>
        <w:t>established</w:t>
      </w:r>
      <w:r w:rsidRPr="00C10739">
        <w:t xml:space="preserve"> by WTDC</w:t>
      </w:r>
      <w:r>
        <w:t>s</w:t>
      </w:r>
      <w:r w:rsidRPr="00C10739">
        <w:t xml:space="preserve"> </w:t>
      </w:r>
      <w:r w:rsidR="00CB1C14">
        <w:t>were</w:t>
      </w:r>
      <w:r w:rsidRPr="00C10739">
        <w:t xml:space="preserve"> monitored and assessed by </w:t>
      </w:r>
      <w:r>
        <w:t xml:space="preserve">the </w:t>
      </w:r>
      <w:r w:rsidRPr="00C10739">
        <w:t xml:space="preserve">ITU </w:t>
      </w:r>
      <w:r w:rsidR="00CB1C14">
        <w:t>s</w:t>
      </w:r>
      <w:r w:rsidRPr="00C10739">
        <w:t>taff</w:t>
      </w:r>
      <w:r>
        <w:t xml:space="preserve"> concerned</w:t>
      </w:r>
      <w:r w:rsidRPr="00C10739">
        <w:t xml:space="preserve">. </w:t>
      </w:r>
      <w:r>
        <w:t>However, we observed that the information provided by each RO in terms of specific objectives and sub-objectives m</w:t>
      </w:r>
      <w:r w:rsidR="00CB1C14">
        <w:t>ight</w:t>
      </w:r>
      <w:r>
        <w:t xml:space="preserve"> vary.</w:t>
      </w:r>
    </w:p>
    <w:p w14:paraId="1DB88A4E" w14:textId="77777777" w:rsidR="00555191" w:rsidRPr="00402F44" w:rsidRDefault="00402F44" w:rsidP="00093F1E">
      <w:pPr>
        <w:pStyle w:val="testobase"/>
        <w:rPr>
          <w:lang w:val="en-US"/>
        </w:rPr>
      </w:pPr>
      <w:r>
        <w:t>For example, i</w:t>
      </w:r>
      <w:r w:rsidRPr="00C10739">
        <w:t xml:space="preserve">n AMS/Brasilia </w:t>
      </w:r>
      <w:r>
        <w:t xml:space="preserve">the regional </w:t>
      </w:r>
      <w:r w:rsidR="00093F1E">
        <w:t>part of the Operational Plan</w:t>
      </w:r>
      <w:r w:rsidR="00093F1E" w:rsidRPr="00C10739">
        <w:t xml:space="preserve"> </w:t>
      </w:r>
      <w:r>
        <w:t>is</w:t>
      </w:r>
      <w:r w:rsidRPr="00C10739">
        <w:t xml:space="preserve"> monitored through an </w:t>
      </w:r>
      <w:r w:rsidR="00CB1C14" w:rsidRPr="00C10739">
        <w:t>internally developed</w:t>
      </w:r>
      <w:r w:rsidR="00CB1C14">
        <w:t xml:space="preserve"> </w:t>
      </w:r>
      <w:r w:rsidRPr="00C10739">
        <w:t xml:space="preserve">IT tool and </w:t>
      </w:r>
      <w:r w:rsidR="00CB1C14">
        <w:t>dashboard</w:t>
      </w:r>
      <w:r w:rsidRPr="00C10739">
        <w:t>.</w:t>
      </w:r>
      <w:r>
        <w:t xml:space="preserve"> D</w:t>
      </w:r>
      <w:r w:rsidRPr="00C10739">
        <w:t xml:space="preserve">uring the final meeting in Brasilia, </w:t>
      </w:r>
      <w:r>
        <w:t xml:space="preserve">we were shown the </w:t>
      </w:r>
      <w:r w:rsidRPr="00C10739">
        <w:t xml:space="preserve">methodology </w:t>
      </w:r>
      <w:r w:rsidR="00CB1C14">
        <w:t xml:space="preserve">used </w:t>
      </w:r>
      <w:r>
        <w:t>to follow the implementation</w:t>
      </w:r>
      <w:r w:rsidRPr="00C10739">
        <w:t xml:space="preserve"> </w:t>
      </w:r>
      <w:r w:rsidR="00CB1C14">
        <w:t xml:space="preserve">of the actions </w:t>
      </w:r>
      <w:r w:rsidRPr="00C10739">
        <w:t>over the years.</w:t>
      </w:r>
      <w:r>
        <w:t xml:space="preserve"> </w:t>
      </w:r>
      <w:r w:rsidRPr="00C10739">
        <w:t xml:space="preserve">We understood that the Excel files shown on that occasion </w:t>
      </w:r>
      <w:r>
        <w:t xml:space="preserve">were not </w:t>
      </w:r>
      <w:r w:rsidRPr="00C10739">
        <w:t xml:space="preserve">prepared </w:t>
      </w:r>
      <w:r>
        <w:t xml:space="preserve">in a standardized way by all </w:t>
      </w:r>
      <w:r w:rsidRPr="00C10739">
        <w:t>R</w:t>
      </w:r>
      <w:r w:rsidR="00CB1C14">
        <w:t>Os</w:t>
      </w:r>
      <w:r w:rsidRPr="00C10739">
        <w:t xml:space="preserve">. </w:t>
      </w:r>
    </w:p>
    <w:p w14:paraId="4B9EA1FC" w14:textId="77777777" w:rsidR="00555191" w:rsidRPr="00C10739" w:rsidRDefault="00555191" w:rsidP="000B579D">
      <w:pPr>
        <w:pStyle w:val="titolosugg"/>
      </w:pPr>
    </w:p>
    <w:p w14:paraId="1FB91D9C" w14:textId="77777777" w:rsidR="00555191" w:rsidRPr="00C10739" w:rsidRDefault="00402F44" w:rsidP="00B4431B">
      <w:pPr>
        <w:pStyle w:val="recesug"/>
      </w:pPr>
      <w:r>
        <w:rPr>
          <w:u w:val="single"/>
        </w:rPr>
        <w:t>W</w:t>
      </w:r>
      <w:r w:rsidR="00555191" w:rsidRPr="00141720">
        <w:rPr>
          <w:u w:val="single"/>
        </w:rPr>
        <w:t>e suggest</w:t>
      </w:r>
      <w:r w:rsidR="00555191" w:rsidRPr="00C10739">
        <w:t xml:space="preserve"> </w:t>
      </w:r>
      <w:r w:rsidR="00CB1C14">
        <w:t xml:space="preserve">that </w:t>
      </w:r>
      <w:r w:rsidR="00555191" w:rsidRPr="00C10739">
        <w:t xml:space="preserve">a common IT tool </w:t>
      </w:r>
      <w:r w:rsidR="00CB1C14">
        <w:t xml:space="preserve">should </w:t>
      </w:r>
      <w:r w:rsidR="00555191" w:rsidRPr="00C10739">
        <w:t>be used for monitoring Action Plans</w:t>
      </w:r>
      <w:r>
        <w:t xml:space="preserve"> an</w:t>
      </w:r>
      <w:r w:rsidR="00D6271E">
        <w:t xml:space="preserve">d </w:t>
      </w:r>
      <w:r w:rsidR="00CB1C14">
        <w:t xml:space="preserve">that it should be made </w:t>
      </w:r>
      <w:r w:rsidR="00141720">
        <w:t>eas</w:t>
      </w:r>
      <w:r w:rsidR="00C33D5F">
        <w:t xml:space="preserve">ily </w:t>
      </w:r>
      <w:r w:rsidR="00141720">
        <w:t>accessible from HQ</w:t>
      </w:r>
      <w:r w:rsidR="00C33D5F">
        <w:t>.</w:t>
      </w:r>
    </w:p>
    <w:p w14:paraId="1BB1B414" w14:textId="77777777" w:rsidR="00555191" w:rsidRPr="00C10739" w:rsidRDefault="00555191" w:rsidP="00555191"/>
    <w:p w14:paraId="0B5624E8" w14:textId="77777777" w:rsidR="00555191" w:rsidRPr="00C10739" w:rsidRDefault="00555191" w:rsidP="000B579D">
      <w:pPr>
        <w:pStyle w:val="titcomments"/>
      </w:pPr>
      <w:r w:rsidRPr="00C10739">
        <w:t>Comments by ITU</w:t>
      </w:r>
    </w:p>
    <w:p w14:paraId="02D29042" w14:textId="77777777" w:rsidR="00555191" w:rsidRPr="00C10739" w:rsidRDefault="000023F5" w:rsidP="000023F5">
      <w:pPr>
        <w:pStyle w:val="testocomments"/>
      </w:pPr>
      <w:r w:rsidRPr="005B077A">
        <w:t xml:space="preserve">ITU </w:t>
      </w:r>
      <w:r>
        <w:t xml:space="preserve">agrees with Suggestion </w:t>
      </w:r>
      <w:r w:rsidR="000534A7">
        <w:t xml:space="preserve">n. </w:t>
      </w:r>
      <w:r>
        <w:t>2.  ITU would like to highlight that the internal system for the Operational Plan implementation (OPS) already exists and its upgrading is regularly and continuously addressed to accommodate the latest user needs.</w:t>
      </w:r>
    </w:p>
    <w:p w14:paraId="62F4DB63" w14:textId="77777777" w:rsidR="00555191" w:rsidRPr="00C10739" w:rsidRDefault="00555191" w:rsidP="00555191">
      <w:pPr>
        <w:pStyle w:val="Heading2"/>
      </w:pPr>
      <w:bookmarkStart w:id="36" w:name="_Toc526772259"/>
      <w:r>
        <w:t xml:space="preserve">ITU </w:t>
      </w:r>
      <w:r w:rsidRPr="00C10739">
        <w:t>Project</w:t>
      </w:r>
      <w:r>
        <w:t>s</w:t>
      </w:r>
      <w:bookmarkEnd w:id="36"/>
      <w:r>
        <w:t xml:space="preserve"> </w:t>
      </w:r>
    </w:p>
    <w:p w14:paraId="669153A2" w14:textId="77777777" w:rsidR="004D7EF7" w:rsidRDefault="00555191" w:rsidP="00B4431B">
      <w:pPr>
        <w:pStyle w:val="testobase"/>
      </w:pPr>
      <w:r w:rsidRPr="00C10739">
        <w:t>A</w:t>
      </w:r>
      <w:r w:rsidR="00AC065F">
        <w:t xml:space="preserve">ccording to </w:t>
      </w:r>
      <w:r w:rsidR="00AE77A0">
        <w:t xml:space="preserve">the </w:t>
      </w:r>
      <w:r w:rsidRPr="00C10739">
        <w:t>ITU Constitution, one of the functions of ITU</w:t>
      </w:r>
      <w:r w:rsidR="00AC065F">
        <w:t>-D</w:t>
      </w:r>
      <w:r w:rsidRPr="00C10739">
        <w:t xml:space="preserve"> is to </w:t>
      </w:r>
      <w:r w:rsidR="00AC065F">
        <w:t xml:space="preserve">fulfil </w:t>
      </w:r>
      <w:r w:rsidRPr="00C10739">
        <w:t>the Union's dual responsibility as a United Nations specialized agency and as a</w:t>
      </w:r>
      <w:r w:rsidR="00794549">
        <w:t>n</w:t>
      </w:r>
      <w:r w:rsidRPr="00C10739">
        <w:t xml:space="preserve"> executing agency for implementing projects under the UN development system or other funding arrangements</w:t>
      </w:r>
      <w:r w:rsidR="003B3461">
        <w:t>.</w:t>
      </w:r>
      <w:r w:rsidRPr="00C10739">
        <w:t xml:space="preserve"> </w:t>
      </w:r>
      <w:r w:rsidR="009324A7" w:rsidRPr="00C10739">
        <w:t xml:space="preserve">ITU has </w:t>
      </w:r>
      <w:r w:rsidR="00D707BA">
        <w:t xml:space="preserve">recognized </w:t>
      </w:r>
      <w:r w:rsidR="009324A7" w:rsidRPr="00C10739">
        <w:t>longstanding exper</w:t>
      </w:r>
      <w:r w:rsidR="00AC065F">
        <w:t xml:space="preserve">tise </w:t>
      </w:r>
      <w:r w:rsidR="00C07B4A" w:rsidRPr="00C10739">
        <w:t xml:space="preserve">in </w:t>
      </w:r>
      <w:r w:rsidR="004D7EF7">
        <w:t xml:space="preserve">the </w:t>
      </w:r>
      <w:r w:rsidR="00C07B4A" w:rsidRPr="00C10739">
        <w:t xml:space="preserve">development, management, implementation, monitoring and evaluation </w:t>
      </w:r>
      <w:r w:rsidR="004D7EF7">
        <w:t xml:space="preserve">of projects </w:t>
      </w:r>
      <w:r w:rsidR="00C07B4A">
        <w:t>in the ICT field</w:t>
      </w:r>
      <w:r w:rsidR="003B3461">
        <w:t xml:space="preserve">, through </w:t>
      </w:r>
      <w:r w:rsidR="003B3461" w:rsidRPr="00C10739">
        <w:t>offering, organizing and coordinating technical cooperation and assistance activities.</w:t>
      </w:r>
      <w:r w:rsidR="00C07B4A">
        <w:t xml:space="preserve"> </w:t>
      </w:r>
    </w:p>
    <w:p w14:paraId="7042698E" w14:textId="77777777" w:rsidR="00555191" w:rsidRPr="00C10739" w:rsidRDefault="00555191" w:rsidP="00B4431B">
      <w:pPr>
        <w:pStyle w:val="testobase"/>
      </w:pPr>
      <w:r w:rsidRPr="00C10739">
        <w:t xml:space="preserve">BDT is responsible for providing support </w:t>
      </w:r>
      <w:r w:rsidR="00794549">
        <w:t>for</w:t>
      </w:r>
      <w:r w:rsidR="00C07B4A">
        <w:t xml:space="preserve"> </w:t>
      </w:r>
      <w:r w:rsidRPr="00C10739">
        <w:t xml:space="preserve">the development of </w:t>
      </w:r>
      <w:r w:rsidR="003B3461">
        <w:t>those</w:t>
      </w:r>
      <w:r w:rsidR="00C07B4A">
        <w:t xml:space="preserve"> </w:t>
      </w:r>
      <w:r w:rsidRPr="00C10739">
        <w:t>projects</w:t>
      </w:r>
      <w:r w:rsidR="00C07B4A">
        <w:t>.</w:t>
      </w:r>
      <w:r w:rsidR="004D7EF7">
        <w:t xml:space="preserve"> Over time, </w:t>
      </w:r>
      <w:r w:rsidRPr="00C10739">
        <w:t xml:space="preserve">BDT has taken several steps to strengthen its project execution role by developing the necessary tools and methodology to facilitate project development and </w:t>
      </w:r>
      <w:r w:rsidR="00794549">
        <w:t>obtain</w:t>
      </w:r>
      <w:r w:rsidR="003B3461">
        <w:t xml:space="preserve"> a </w:t>
      </w:r>
      <w:r w:rsidRPr="00C10739">
        <w:t>better project management. To this end, ITU Project Management Guidelines and Template forms are available for project managers.</w:t>
      </w:r>
    </w:p>
    <w:p w14:paraId="3ED86885" w14:textId="77777777" w:rsidR="00555191" w:rsidRPr="00C10739" w:rsidRDefault="003B3461" w:rsidP="00B4431B">
      <w:pPr>
        <w:pStyle w:val="testobase"/>
      </w:pPr>
      <w:r>
        <w:t xml:space="preserve">The </w:t>
      </w:r>
      <w:r w:rsidR="00555191" w:rsidRPr="00C10739">
        <w:t>ITU's project portfolio consists of projects in a wide range of areas</w:t>
      </w:r>
      <w:r w:rsidR="00E42041">
        <w:t>,</w:t>
      </w:r>
      <w:r w:rsidR="00555191" w:rsidRPr="00C10739">
        <w:t xml:space="preserve"> such as: </w:t>
      </w:r>
      <w:r w:rsidR="00794549">
        <w:t xml:space="preserve">the </w:t>
      </w:r>
      <w:r w:rsidR="00555191" w:rsidRPr="00C10739">
        <w:t>regulatory and market environment; development technologies and networks; ICT applications; access to ICTs through special initiatives; capacity building; cyber</w:t>
      </w:r>
      <w:r w:rsidR="00E42041">
        <w:t>-</w:t>
      </w:r>
      <w:r w:rsidR="00555191" w:rsidRPr="00C10739">
        <w:t>security; emergency telecommunication; climate change; and statistics and indicators. ITU projects are being implemented in all six regions of the world.</w:t>
      </w:r>
      <w:r w:rsidR="00670804">
        <w:t xml:space="preserve"> </w:t>
      </w:r>
      <w:r w:rsidR="00670804" w:rsidRPr="00C10739">
        <w:t>The portfolio also includes projects related to the Regional Initiatives that are adopted by WTDC</w:t>
      </w:r>
      <w:r w:rsidR="00CA5090">
        <w:t>s</w:t>
      </w:r>
      <w:r w:rsidR="00670804" w:rsidRPr="00C10739">
        <w:t>.</w:t>
      </w:r>
    </w:p>
    <w:p w14:paraId="0F2E7A94" w14:textId="77777777" w:rsidR="00555191" w:rsidRPr="00E42041" w:rsidRDefault="00555191" w:rsidP="00B4431B">
      <w:pPr>
        <w:pStyle w:val="testobase"/>
      </w:pPr>
      <w:r w:rsidRPr="00C10739">
        <w:t>Since 2007</w:t>
      </w:r>
      <w:r w:rsidR="00E42041">
        <w:t>,</w:t>
      </w:r>
      <w:r w:rsidR="00D6271E">
        <w:t xml:space="preserve"> the Americas O</w:t>
      </w:r>
      <w:r w:rsidRPr="00C10739">
        <w:t xml:space="preserve">ffices </w:t>
      </w:r>
      <w:r w:rsidR="00E42041">
        <w:t>have been managing</w:t>
      </w:r>
      <w:r w:rsidRPr="00C10739">
        <w:t xml:space="preserve"> 36 projects for a total of 16 Beneficiary Countries. The total budget managed through projects in the Americas </w:t>
      </w:r>
      <w:r w:rsidR="00E42041">
        <w:t xml:space="preserve">amounts to </w:t>
      </w:r>
      <w:r w:rsidRPr="00C10739">
        <w:t>USD 38,517,</w:t>
      </w:r>
      <w:r w:rsidR="006B4A5E">
        <w:t>680.</w:t>
      </w:r>
    </w:p>
    <w:p w14:paraId="05214574" w14:textId="77777777" w:rsidR="00555191" w:rsidRPr="00C10739" w:rsidRDefault="00555191" w:rsidP="00B4431B">
      <w:pPr>
        <w:pStyle w:val="testobase"/>
      </w:pPr>
      <w:r w:rsidRPr="00C10739">
        <w:t xml:space="preserve">All Project funds are kept in ITU specific accounts in Geneva and </w:t>
      </w:r>
      <w:r w:rsidR="00CA5090">
        <w:t>are</w:t>
      </w:r>
      <w:r w:rsidRPr="00C10739">
        <w:t xml:space="preserve"> managed by BDT/ADM. </w:t>
      </w:r>
      <w:r w:rsidR="00CA5090">
        <w:t xml:space="preserve">The </w:t>
      </w:r>
      <w:r w:rsidRPr="00C10739">
        <w:t xml:space="preserve">ITU Project Manager works jointly with the client to analyse and approve all products delivered </w:t>
      </w:r>
      <w:r w:rsidR="00794549">
        <w:t xml:space="preserve">under </w:t>
      </w:r>
      <w:r w:rsidRPr="00C10739">
        <w:t>the projects. Based on th</w:t>
      </w:r>
      <w:r w:rsidR="00794549">
        <w:t>e</w:t>
      </w:r>
      <w:r w:rsidRPr="00C10739">
        <w:t>se analys</w:t>
      </w:r>
      <w:r w:rsidR="00794549">
        <w:t>e</w:t>
      </w:r>
      <w:r w:rsidRPr="00C10739">
        <w:t>s and approvals, authorizations are sent either to ITU Procurement</w:t>
      </w:r>
      <w:r w:rsidR="00794549">
        <w:t>,</w:t>
      </w:r>
      <w:r w:rsidRPr="00C10739">
        <w:t xml:space="preserve"> which is responsible for processing the payments </w:t>
      </w:r>
      <w:r w:rsidR="00CA5090">
        <w:t xml:space="preserve">(after </w:t>
      </w:r>
      <w:r w:rsidRPr="00C10739">
        <w:t xml:space="preserve">cross-checking with </w:t>
      </w:r>
      <w:r w:rsidR="00CA5090">
        <w:t xml:space="preserve">the </w:t>
      </w:r>
      <w:r w:rsidRPr="00C10739">
        <w:t xml:space="preserve">conditions </w:t>
      </w:r>
      <w:r w:rsidR="00794549">
        <w:t xml:space="preserve">set out </w:t>
      </w:r>
      <w:r w:rsidRPr="00C10739">
        <w:t xml:space="preserve">in </w:t>
      </w:r>
      <w:r w:rsidR="00CA5090">
        <w:t xml:space="preserve">the relevant </w:t>
      </w:r>
      <w:r w:rsidRPr="00C10739">
        <w:t xml:space="preserve">ITU contracts </w:t>
      </w:r>
      <w:r w:rsidR="00CA5090">
        <w:t xml:space="preserve">, which are </w:t>
      </w:r>
      <w:r w:rsidRPr="00C10739">
        <w:t xml:space="preserve">usually signed after international bid processes) or to BDT/ADM, in </w:t>
      </w:r>
      <w:r w:rsidR="00794549">
        <w:t xml:space="preserve">the </w:t>
      </w:r>
      <w:r w:rsidRPr="00C10739">
        <w:t>case of external consultants hired to develop a specific work</w:t>
      </w:r>
      <w:r w:rsidR="00CA5090">
        <w:t>.</w:t>
      </w:r>
    </w:p>
    <w:p w14:paraId="687223C4" w14:textId="77777777" w:rsidR="00A20FFC" w:rsidRPr="00AB5E25" w:rsidRDefault="002E5EBB" w:rsidP="00A20FFC">
      <w:pPr>
        <w:pStyle w:val="Heading3"/>
        <w:ind w:left="567"/>
      </w:pPr>
      <w:bookmarkStart w:id="37" w:name="_Toc526772260"/>
      <w:r>
        <w:t>Streng</w:t>
      </w:r>
      <w:r w:rsidR="00A20FFC" w:rsidRPr="00AB5E25">
        <w:t>t</w:t>
      </w:r>
      <w:r>
        <w:t>h</w:t>
      </w:r>
      <w:r w:rsidR="00A20FFC" w:rsidRPr="00AB5E25">
        <w:t xml:space="preserve">ening </w:t>
      </w:r>
      <w:r w:rsidR="00696143">
        <w:t>ITU</w:t>
      </w:r>
      <w:r w:rsidR="00C751D1">
        <w:t>'s</w:t>
      </w:r>
      <w:r w:rsidR="00696143">
        <w:t xml:space="preserve"> </w:t>
      </w:r>
      <w:r w:rsidR="00A20FFC" w:rsidRPr="00AB5E25">
        <w:t>role in the project evaluation</w:t>
      </w:r>
      <w:bookmarkEnd w:id="37"/>
    </w:p>
    <w:p w14:paraId="7DD311FB" w14:textId="77777777" w:rsidR="00B81977" w:rsidRPr="00C10739" w:rsidRDefault="00B81977" w:rsidP="00B4431B">
      <w:pPr>
        <w:pStyle w:val="testobase"/>
      </w:pPr>
      <w:r>
        <w:t>Projects</w:t>
      </w:r>
      <w:r w:rsidRPr="00C10739">
        <w:t xml:space="preserve"> are part of the activities carried out at Regional Level</w:t>
      </w:r>
      <w:r w:rsidR="0099713F">
        <w:t>,</w:t>
      </w:r>
      <w:r w:rsidRPr="00C10739">
        <w:t xml:space="preserve"> </w:t>
      </w:r>
      <w:r w:rsidR="0099713F">
        <w:t>which</w:t>
      </w:r>
      <w:r w:rsidR="0099713F" w:rsidRPr="00C10739">
        <w:t xml:space="preserve"> </w:t>
      </w:r>
      <w:r w:rsidRPr="00C10739">
        <w:t>are broader than RIs and fall under the ITU-D overall strategic objectives. They are mainly financed by Member States.</w:t>
      </w:r>
    </w:p>
    <w:p w14:paraId="2565CD16" w14:textId="77777777" w:rsidR="00A20FFC" w:rsidRPr="00C10739" w:rsidRDefault="000A04D9" w:rsidP="00B4431B">
      <w:pPr>
        <w:pStyle w:val="testobase"/>
      </w:pPr>
      <w:r>
        <w:t xml:space="preserve">The </w:t>
      </w:r>
      <w:r w:rsidR="00A20FFC" w:rsidRPr="00C10739">
        <w:t xml:space="preserve">Project Management Guidelines </w:t>
      </w:r>
      <w:r w:rsidR="002E5EBB">
        <w:t xml:space="preserve">issued by BDT </w:t>
      </w:r>
      <w:r w:rsidR="00B81977">
        <w:t xml:space="preserve">establish </w:t>
      </w:r>
      <w:r w:rsidR="00A20FFC" w:rsidRPr="00C10739">
        <w:t>that “</w:t>
      </w:r>
      <w:r w:rsidR="00A20FFC" w:rsidRPr="000B1D1F">
        <w:t>Evaluation involves financial resources that should be incorporated in the budget planning before the project would commence</w:t>
      </w:r>
      <w:r w:rsidR="00A20FFC" w:rsidRPr="00C10739">
        <w:t>”</w:t>
      </w:r>
      <w:r w:rsidR="00032254">
        <w:t xml:space="preserve"> (</w:t>
      </w:r>
      <w:r w:rsidR="00032254" w:rsidRPr="00C10739">
        <w:t xml:space="preserve">chapter 5 </w:t>
      </w:r>
      <w:r w:rsidR="00032254" w:rsidRPr="002E5EBB">
        <w:rPr>
          <w:i/>
        </w:rPr>
        <w:t>Evaluation Phase</w:t>
      </w:r>
      <w:r w:rsidR="00032254">
        <w:t>)</w:t>
      </w:r>
      <w:r w:rsidR="00A20FFC" w:rsidRPr="00C10739">
        <w:t>.</w:t>
      </w:r>
    </w:p>
    <w:p w14:paraId="4D79850E" w14:textId="77777777" w:rsidR="00A20FFC" w:rsidRPr="00C10739" w:rsidRDefault="00032254" w:rsidP="00B4431B">
      <w:pPr>
        <w:pStyle w:val="testobase"/>
      </w:pPr>
      <w:r>
        <w:t>C</w:t>
      </w:r>
      <w:r w:rsidR="00A20FFC" w:rsidRPr="00C10739">
        <w:t xml:space="preserve">hapter 5.1 </w:t>
      </w:r>
      <w:r w:rsidR="00A20FFC" w:rsidRPr="002E5EBB">
        <w:rPr>
          <w:i/>
        </w:rPr>
        <w:t>Post Implementation Review</w:t>
      </w:r>
      <w:r w:rsidR="00A20FFC" w:rsidRPr="00C10739">
        <w:t xml:space="preserve"> </w:t>
      </w:r>
      <w:r>
        <w:t xml:space="preserve">provides for evaluations to be carried out </w:t>
      </w:r>
      <w:r w:rsidR="00A20FFC" w:rsidRPr="00C10739">
        <w:t>“in order to assess whether the objectives and results were achieve</w:t>
      </w:r>
      <w:r>
        <w:t>d</w:t>
      </w:r>
      <w:r w:rsidR="00A20FFC" w:rsidRPr="00C10739">
        <w:t xml:space="preserve">” and chapter 5.2 Impact Analysis and Sustainability </w:t>
      </w:r>
      <w:r>
        <w:t xml:space="preserve">states that </w:t>
      </w:r>
      <w:r w:rsidR="00A20FFC" w:rsidRPr="00C10739">
        <w:t>“</w:t>
      </w:r>
      <w:r w:rsidR="000A04D9">
        <w:t>t</w:t>
      </w:r>
      <w:r w:rsidR="00A20FFC" w:rsidRPr="00C10739">
        <w:t>he contribution of a project on the development of a market or population must be measured sev</w:t>
      </w:r>
      <w:r w:rsidR="002E5EBB">
        <w:t xml:space="preserve">eral years after the end of it. </w:t>
      </w:r>
      <w:r w:rsidR="00A20FFC" w:rsidRPr="00C10739">
        <w:t>The Sustainability Analysis assesses the project's ability to continue its activities without external funding, as well as the beneficiaries' ability to manage their project in an independent manner”).</w:t>
      </w:r>
    </w:p>
    <w:p w14:paraId="49F24F8A" w14:textId="77777777" w:rsidR="00B81977" w:rsidRDefault="00B81977" w:rsidP="00B4431B">
      <w:pPr>
        <w:pStyle w:val="testobase"/>
      </w:pPr>
      <w:r w:rsidRPr="00C10739">
        <w:t xml:space="preserve">A </w:t>
      </w:r>
      <w:r w:rsidR="002E5EBB">
        <w:t>p</w:t>
      </w:r>
      <w:r w:rsidRPr="00C10739">
        <w:t>roject's performance may be evaluated by the M</w:t>
      </w:r>
      <w:r w:rsidR="000A04D9">
        <w:t xml:space="preserve">ember </w:t>
      </w:r>
      <w:r w:rsidRPr="00C10739">
        <w:t>S</w:t>
      </w:r>
      <w:r w:rsidR="000A04D9">
        <w:t>tate</w:t>
      </w:r>
      <w:r w:rsidRPr="00C10739">
        <w:t xml:space="preserve"> concerned, which in general</w:t>
      </w:r>
      <w:r>
        <w:t xml:space="preserve">, </w:t>
      </w:r>
      <w:r w:rsidRPr="00C10739">
        <w:t>as we understood from Management</w:t>
      </w:r>
      <w:r>
        <w:t xml:space="preserve">, </w:t>
      </w:r>
      <w:r w:rsidRPr="00C10739">
        <w:t xml:space="preserve">provides feedback to ITU. However, </w:t>
      </w:r>
      <w:r w:rsidR="000A04D9">
        <w:t xml:space="preserve">Member </w:t>
      </w:r>
      <w:r w:rsidRPr="00C10739">
        <w:t>S</w:t>
      </w:r>
      <w:r w:rsidR="000A04D9">
        <w:t>tate</w:t>
      </w:r>
      <w:r w:rsidRPr="00C10739">
        <w:t xml:space="preserve">s are </w:t>
      </w:r>
      <w:r w:rsidR="00032254">
        <w:t xml:space="preserve">mostly </w:t>
      </w:r>
      <w:r w:rsidRPr="00C10739">
        <w:t>interested in ending the project in due time and</w:t>
      </w:r>
      <w:r w:rsidR="00032254">
        <w:t xml:space="preserve"> </w:t>
      </w:r>
      <w:r w:rsidRPr="00C10739">
        <w:t xml:space="preserve">for this reason, they might consider </w:t>
      </w:r>
      <w:r w:rsidR="00032254">
        <w:t xml:space="preserve">the evaluation process </w:t>
      </w:r>
      <w:r w:rsidR="000A04D9">
        <w:t>to be</w:t>
      </w:r>
      <w:r w:rsidR="00032254">
        <w:t xml:space="preserve"> an administrative burden and not </w:t>
      </w:r>
      <w:r w:rsidR="000A04D9">
        <w:t>wish</w:t>
      </w:r>
      <w:r w:rsidR="00032254">
        <w:t xml:space="preserve"> </w:t>
      </w:r>
      <w:r w:rsidRPr="00C10739">
        <w:t xml:space="preserve">to </w:t>
      </w:r>
      <w:r w:rsidR="00032254">
        <w:t xml:space="preserve">devote </w:t>
      </w:r>
      <w:r w:rsidRPr="00C10739">
        <w:t xml:space="preserve">financial resources </w:t>
      </w:r>
      <w:r w:rsidR="000A04D9">
        <w:t>to</w:t>
      </w:r>
      <w:r w:rsidRPr="00C10739">
        <w:t xml:space="preserve"> the process</w:t>
      </w:r>
      <w:r w:rsidR="00032254">
        <w:t xml:space="preserve"> (</w:t>
      </w:r>
      <w:r>
        <w:t>f</w:t>
      </w:r>
      <w:r w:rsidRPr="00C10739">
        <w:t>or instance, an ex-post evaluation carried out by BDT at a later stage might delay the closure of a project</w:t>
      </w:r>
      <w:r w:rsidR="00032254">
        <w:t>)</w:t>
      </w:r>
      <w:r w:rsidRPr="00C10739">
        <w:t xml:space="preserve">, </w:t>
      </w:r>
    </w:p>
    <w:p w14:paraId="6FE238B9" w14:textId="77777777" w:rsidR="005A2186" w:rsidRPr="00C10739" w:rsidRDefault="005A2186" w:rsidP="005A2186">
      <w:pPr>
        <w:pStyle w:val="testobase"/>
      </w:pPr>
      <w:r w:rsidRPr="00C10739">
        <w:t>During our audit we noted that</w:t>
      </w:r>
      <w:r>
        <w:t>,</w:t>
      </w:r>
      <w:r w:rsidRPr="00C10739">
        <w:t xml:space="preserve"> due to the fact that the funding State</w:t>
      </w:r>
      <w:r w:rsidR="000A04D9">
        <w:t>s</w:t>
      </w:r>
      <w:r w:rsidRPr="00C10739">
        <w:t xml:space="preserve"> </w:t>
      </w:r>
      <w:r w:rsidR="000A04D9">
        <w:t>were</w:t>
      </w:r>
      <w:r w:rsidRPr="00C10739">
        <w:t xml:space="preserve"> not interested in the evaluation phase</w:t>
      </w:r>
      <w:r>
        <w:t xml:space="preserve">, </w:t>
      </w:r>
      <w:r w:rsidRPr="00C10739">
        <w:t xml:space="preserve">the budget </w:t>
      </w:r>
      <w:r w:rsidR="000A04D9">
        <w:t>for</w:t>
      </w:r>
      <w:r w:rsidRPr="00C10739">
        <w:t xml:space="preserve"> the projects rarely </w:t>
      </w:r>
      <w:r>
        <w:t xml:space="preserve">included funds </w:t>
      </w:r>
      <w:r w:rsidRPr="00C10739">
        <w:t>for evaluation.</w:t>
      </w:r>
      <w:r>
        <w:t xml:space="preserve"> </w:t>
      </w:r>
    </w:p>
    <w:p w14:paraId="54A6F802" w14:textId="77777777" w:rsidR="00C6724A" w:rsidRPr="00C6724A" w:rsidRDefault="00B81977" w:rsidP="00C6724A">
      <w:pPr>
        <w:pStyle w:val="testobase"/>
      </w:pPr>
      <w:r w:rsidRPr="005A2186">
        <w:t xml:space="preserve">It is worth mentioning that there is a unit within BDT which is in charge of carrying out such evaluations when there are sufficient resources left in the project or </w:t>
      </w:r>
      <w:r w:rsidR="00032254" w:rsidRPr="005A2186">
        <w:t xml:space="preserve">even </w:t>
      </w:r>
      <w:r w:rsidRPr="005A2186">
        <w:t xml:space="preserve">with </w:t>
      </w:r>
      <w:r w:rsidR="00032254" w:rsidRPr="005A2186">
        <w:t>ITU</w:t>
      </w:r>
      <w:r w:rsidR="000A04D9">
        <w:t>’s</w:t>
      </w:r>
      <w:r w:rsidRPr="005A2186">
        <w:t xml:space="preserve"> own financial resources, </w:t>
      </w:r>
      <w:r w:rsidR="000A04D9">
        <w:t xml:space="preserve">but </w:t>
      </w:r>
      <w:r w:rsidR="00FB4679" w:rsidRPr="005A2186">
        <w:t xml:space="preserve">this work is not </w:t>
      </w:r>
      <w:r w:rsidR="000A04D9">
        <w:t xml:space="preserve">performed </w:t>
      </w:r>
      <w:r w:rsidR="00FB4679" w:rsidRPr="005A2186">
        <w:t>systematically</w:t>
      </w:r>
      <w:r w:rsidR="000A04D9">
        <w:t>.</w:t>
      </w:r>
    </w:p>
    <w:p w14:paraId="248546A9" w14:textId="77777777" w:rsidR="00E43EC4" w:rsidRPr="00E43EC4" w:rsidRDefault="00E43EC4" w:rsidP="00E43EC4">
      <w:pPr>
        <w:pStyle w:val="titoloracc"/>
      </w:pPr>
    </w:p>
    <w:p w14:paraId="27F48462" w14:textId="77777777" w:rsidR="00A20FFC" w:rsidRPr="00E43EC4" w:rsidRDefault="00A20FFC" w:rsidP="00E43EC4">
      <w:pPr>
        <w:pStyle w:val="recesug"/>
      </w:pPr>
      <w:r w:rsidRPr="005A2186">
        <w:rPr>
          <w:u w:val="single"/>
        </w:rPr>
        <w:t>We recommend</w:t>
      </w:r>
      <w:r w:rsidRPr="005A2186">
        <w:t xml:space="preserve"> that ITU should strengthen its role in the evaluation of projects </w:t>
      </w:r>
      <w:r w:rsidR="00C751D1">
        <w:t>with a view to</w:t>
      </w:r>
      <w:r w:rsidRPr="005A2186">
        <w:t xml:space="preserve">: 1) </w:t>
      </w:r>
      <w:r w:rsidR="00C751D1">
        <w:t>preventing</w:t>
      </w:r>
      <w:r w:rsidRPr="005A2186">
        <w:t xml:space="preserve"> reputational risk</w:t>
      </w:r>
      <w:r w:rsidR="00C751D1">
        <w:t>s</w:t>
      </w:r>
      <w:r w:rsidRPr="005A2186">
        <w:t xml:space="preserve"> </w:t>
      </w:r>
      <w:r w:rsidR="000A04D9">
        <w:t>regarding</w:t>
      </w:r>
      <w:r w:rsidRPr="005A2186">
        <w:t xml:space="preserve"> non-functioning projects; 2) hav</w:t>
      </w:r>
      <w:r w:rsidR="00C751D1">
        <w:t xml:space="preserve">ing </w:t>
      </w:r>
      <w:r w:rsidRPr="005A2186">
        <w:t>a comprehensive picture of the impact of its work and</w:t>
      </w:r>
      <w:r w:rsidR="00C751D1">
        <w:t>,</w:t>
      </w:r>
      <w:r w:rsidRPr="005A2186">
        <w:t xml:space="preserve"> </w:t>
      </w:r>
      <w:r w:rsidR="00C751D1">
        <w:t xml:space="preserve">3) </w:t>
      </w:r>
      <w:r w:rsidRPr="005A2186">
        <w:t>identify</w:t>
      </w:r>
      <w:r w:rsidR="00C751D1">
        <w:t>ing</w:t>
      </w:r>
      <w:r w:rsidRPr="005A2186">
        <w:t xml:space="preserve"> any possible corrective action relating to the implementation of projects</w:t>
      </w:r>
      <w:r w:rsidR="00C751D1">
        <w:t>. This involves urg</w:t>
      </w:r>
      <w:r w:rsidR="00E43EC4">
        <w:t xml:space="preserve">ing </w:t>
      </w:r>
      <w:r w:rsidR="000A04D9">
        <w:t xml:space="preserve">its </w:t>
      </w:r>
      <w:r w:rsidR="00E43EC4">
        <w:t>counterpart</w:t>
      </w:r>
      <w:r w:rsidR="000A04D9">
        <w:t>s</w:t>
      </w:r>
      <w:r w:rsidR="00E43EC4">
        <w:t xml:space="preserve"> to allocate</w:t>
      </w:r>
      <w:r w:rsidR="00C751D1">
        <w:t xml:space="preserve"> specific funds in every project </w:t>
      </w:r>
      <w:r w:rsidR="00B97F2E" w:rsidRPr="00C10739">
        <w:t xml:space="preserve">to cover </w:t>
      </w:r>
      <w:r w:rsidR="000A04D9">
        <w:t xml:space="preserve">its </w:t>
      </w:r>
      <w:r w:rsidR="00B97F2E" w:rsidRPr="00C10739">
        <w:t>evaluation</w:t>
      </w:r>
      <w:r w:rsidR="000A04D9">
        <w:t>.</w:t>
      </w:r>
      <w:r w:rsidR="00C751D1" w:rsidRPr="00E43EC4">
        <w:t xml:space="preserve"> </w:t>
      </w:r>
      <w:r w:rsidR="00E43EC4">
        <w:t xml:space="preserve">For minor projects, if </w:t>
      </w:r>
      <w:r w:rsidR="005D3DD0" w:rsidRPr="00E43EC4">
        <w:t xml:space="preserve">performing an evaluation </w:t>
      </w:r>
      <w:r w:rsidR="00E43EC4">
        <w:t xml:space="preserve">is considered </w:t>
      </w:r>
      <w:r w:rsidR="005D3DD0" w:rsidRPr="00E43EC4">
        <w:t xml:space="preserve">not </w:t>
      </w:r>
      <w:r w:rsidR="00E43EC4">
        <w:t xml:space="preserve">to </w:t>
      </w:r>
      <w:r w:rsidR="005D3DD0" w:rsidRPr="00E43EC4">
        <w:t xml:space="preserve">be cost-effective, Management should </w:t>
      </w:r>
      <w:r w:rsidR="000A04D9">
        <w:t xml:space="preserve">nevertheless </w:t>
      </w:r>
      <w:r w:rsidR="005D3DD0" w:rsidRPr="00E43EC4">
        <w:t>carry out a limited analysis o</w:t>
      </w:r>
      <w:r w:rsidR="00E43EC4">
        <w:t>f</w:t>
      </w:r>
      <w:r w:rsidR="005D3DD0" w:rsidRPr="00E43EC4">
        <w:t xml:space="preserve"> the project’s </w:t>
      </w:r>
      <w:r w:rsidR="00C751D1" w:rsidRPr="00E43EC4">
        <w:t xml:space="preserve">performance. </w:t>
      </w:r>
    </w:p>
    <w:p w14:paraId="6A8765E9" w14:textId="77777777" w:rsidR="00A20FFC" w:rsidRPr="00C6724A" w:rsidRDefault="00A20FFC" w:rsidP="00C6724A">
      <w:pPr>
        <w:pStyle w:val="titcomments"/>
        <w:rPr>
          <w:lang w:val="en-US"/>
        </w:rPr>
      </w:pPr>
      <w:r w:rsidRPr="00C6724A">
        <w:rPr>
          <w:lang w:val="en-US"/>
        </w:rPr>
        <w:t>Comments by ITU</w:t>
      </w:r>
    </w:p>
    <w:p w14:paraId="675D9254" w14:textId="77777777" w:rsidR="00A20FFC" w:rsidRPr="00C6724A" w:rsidRDefault="000023F5" w:rsidP="000023F5">
      <w:pPr>
        <w:pStyle w:val="testocomments"/>
        <w:rPr>
          <w:lang w:val="en-US"/>
        </w:rPr>
      </w:pPr>
      <w:r w:rsidRPr="005B077A">
        <w:t xml:space="preserve">ITU has taken note of Recommendation </w:t>
      </w:r>
      <w:r w:rsidR="000534A7">
        <w:t xml:space="preserve">n. </w:t>
      </w:r>
      <w:r>
        <w:t>7</w:t>
      </w:r>
      <w:r w:rsidRPr="005B077A">
        <w:t xml:space="preserve">. </w:t>
      </w:r>
      <w:r>
        <w:t xml:space="preserve">ITU will </w:t>
      </w:r>
      <w:r w:rsidR="0055381E">
        <w:t xml:space="preserve">continue to </w:t>
      </w:r>
      <w:r>
        <w:t xml:space="preserve">explore possibilities with </w:t>
      </w:r>
      <w:r w:rsidRPr="00744A66">
        <w:t>counterpart</w:t>
      </w:r>
      <w:r>
        <w:t>s</w:t>
      </w:r>
      <w:r w:rsidRPr="00744A66">
        <w:t xml:space="preserve"> to allocate specific funds in every project to cover the evaluation of such project</w:t>
      </w:r>
      <w:r>
        <w:t>s.</w:t>
      </w:r>
    </w:p>
    <w:p w14:paraId="0BC395EF" w14:textId="77777777" w:rsidR="00555191" w:rsidRPr="00E93ACC" w:rsidRDefault="0099763B" w:rsidP="00E93ACC">
      <w:pPr>
        <w:pStyle w:val="Heading3"/>
        <w:ind w:left="567"/>
      </w:pPr>
      <w:bookmarkStart w:id="38" w:name="_Toc526772261"/>
      <w:r w:rsidRPr="0099763B">
        <w:rPr>
          <w:lang w:val="en-US"/>
        </w:rPr>
        <w:t>Ha</w:t>
      </w:r>
      <w:r>
        <w:rPr>
          <w:lang w:val="en-US"/>
        </w:rPr>
        <w:t xml:space="preserve">ving </w:t>
      </w:r>
      <w:r w:rsidR="00544897" w:rsidRPr="00E93ACC">
        <w:t xml:space="preserve">a </w:t>
      </w:r>
      <w:r w:rsidR="00E93ACC">
        <w:t xml:space="preserve">comprehensive </w:t>
      </w:r>
      <w:r w:rsidR="000A04D9">
        <w:t>r</w:t>
      </w:r>
      <w:r w:rsidR="00544897" w:rsidRPr="00E93ACC">
        <w:t xml:space="preserve">isk analysis at </w:t>
      </w:r>
      <w:r w:rsidR="000A04D9">
        <w:t xml:space="preserve">the </w:t>
      </w:r>
      <w:r>
        <w:t>ROs'</w:t>
      </w:r>
      <w:r w:rsidR="00544897" w:rsidRPr="00E93ACC">
        <w:t xml:space="preserve"> level</w:t>
      </w:r>
      <w:r w:rsidR="00E43EC4">
        <w:t xml:space="preserve">, </w:t>
      </w:r>
      <w:r w:rsidR="000A04D9">
        <w:t xml:space="preserve">that is </w:t>
      </w:r>
      <w:r w:rsidR="00E93ACC">
        <w:t>eas</w:t>
      </w:r>
      <w:r>
        <w:t>ily</w:t>
      </w:r>
      <w:r w:rsidR="00EC3844">
        <w:t xml:space="preserve"> </w:t>
      </w:r>
      <w:r w:rsidR="00E93ACC">
        <w:t>accessible to HQ</w:t>
      </w:r>
      <w:bookmarkEnd w:id="38"/>
      <w:r w:rsidR="00E93ACC">
        <w:t xml:space="preserve"> </w:t>
      </w:r>
    </w:p>
    <w:p w14:paraId="695B9723" w14:textId="77777777" w:rsidR="00555191" w:rsidRPr="00C10739" w:rsidRDefault="00555191" w:rsidP="00B4431B">
      <w:pPr>
        <w:pStyle w:val="testobase"/>
      </w:pPr>
      <w:r w:rsidRPr="00C10739">
        <w:t xml:space="preserve">AMS RO prepares a risk analysis where </w:t>
      </w:r>
      <w:r w:rsidR="00937EAE">
        <w:t xml:space="preserve">activity Managers present </w:t>
      </w:r>
      <w:r w:rsidR="00E43EC4">
        <w:t xml:space="preserve">a list of </w:t>
      </w:r>
      <w:r w:rsidRPr="00C10739">
        <w:t xml:space="preserve">risks for </w:t>
      </w:r>
      <w:r w:rsidR="00E43EC4">
        <w:t xml:space="preserve">specific </w:t>
      </w:r>
      <w:r w:rsidRPr="00C10739">
        <w:t>Actions</w:t>
      </w:r>
      <w:r w:rsidR="00EC3844">
        <w:t>. T</w:t>
      </w:r>
      <w:r w:rsidRPr="00C10739">
        <w:t xml:space="preserve">hey </w:t>
      </w:r>
      <w:r w:rsidR="00EC3844">
        <w:t xml:space="preserve">also envisage </w:t>
      </w:r>
      <w:r w:rsidRPr="00C10739">
        <w:t xml:space="preserve">measures for mitigating risks. Management reported to us that every activity and every Project has </w:t>
      </w:r>
      <w:r w:rsidR="00E43EC4">
        <w:t>its own</w:t>
      </w:r>
      <w:r w:rsidRPr="00C10739">
        <w:t xml:space="preserve"> risk analysis.</w:t>
      </w:r>
    </w:p>
    <w:p w14:paraId="79C20515" w14:textId="77777777" w:rsidR="00814223" w:rsidRDefault="00814223" w:rsidP="00814223">
      <w:pPr>
        <w:pStyle w:val="titoloracc"/>
      </w:pPr>
    </w:p>
    <w:p w14:paraId="234A01FF" w14:textId="77777777" w:rsidR="00555191" w:rsidRPr="005D3DD0" w:rsidRDefault="00E93ACC" w:rsidP="00B4431B">
      <w:pPr>
        <w:pStyle w:val="recesug"/>
      </w:pPr>
      <w:r w:rsidRPr="005D3DD0">
        <w:t xml:space="preserve">During our audit we </w:t>
      </w:r>
      <w:r w:rsidR="00EC3844" w:rsidRPr="005D3DD0">
        <w:t>found</w:t>
      </w:r>
      <w:r w:rsidRPr="005D3DD0">
        <w:t xml:space="preserve"> that, apart </w:t>
      </w:r>
      <w:r w:rsidR="00EC3844" w:rsidRPr="005D3DD0">
        <w:t xml:space="preserve">from </w:t>
      </w:r>
      <w:r w:rsidRPr="005D3DD0">
        <w:t xml:space="preserve">the </w:t>
      </w:r>
      <w:r w:rsidR="00EC3844" w:rsidRPr="005D3DD0">
        <w:t>"</w:t>
      </w:r>
      <w:r w:rsidRPr="005D3DD0">
        <w:t>specific-to-project</w:t>
      </w:r>
      <w:r w:rsidR="00EC3844" w:rsidRPr="005D3DD0">
        <w:t>"</w:t>
      </w:r>
      <w:r w:rsidRPr="005D3DD0">
        <w:t xml:space="preserve"> risk analysis, </w:t>
      </w:r>
      <w:r w:rsidR="00EC3844" w:rsidRPr="005D3DD0">
        <w:t>there is no</w:t>
      </w:r>
      <w:r w:rsidRPr="005D3DD0">
        <w:t xml:space="preserve"> comprehensive risk analysis for all the risks that might occur in the Region and the risks that might impair th</w:t>
      </w:r>
      <w:r w:rsidR="005A2186">
        <w:t>e objectives of "strengthening the r</w:t>
      </w:r>
      <w:r w:rsidRPr="005D3DD0">
        <w:t xml:space="preserve">egional </w:t>
      </w:r>
      <w:r w:rsidR="005A2186">
        <w:t>p</w:t>
      </w:r>
      <w:r w:rsidRPr="005D3DD0">
        <w:t xml:space="preserve">resence". </w:t>
      </w:r>
      <w:r w:rsidRPr="005D3DD0">
        <w:rPr>
          <w:u w:val="single"/>
        </w:rPr>
        <w:t xml:space="preserve">We therefore </w:t>
      </w:r>
      <w:r w:rsidR="00555191" w:rsidRPr="005D3DD0">
        <w:rPr>
          <w:u w:val="single"/>
        </w:rPr>
        <w:t>recommend</w:t>
      </w:r>
      <w:r w:rsidR="00555191" w:rsidRPr="005D3DD0">
        <w:t xml:space="preserve"> </w:t>
      </w:r>
      <w:r w:rsidR="00937EAE">
        <w:t xml:space="preserve">that there should be </w:t>
      </w:r>
      <w:r w:rsidR="00555191" w:rsidRPr="005D3DD0">
        <w:t>a comprehensive risk analysis</w:t>
      </w:r>
      <w:r w:rsidR="00EC3844" w:rsidRPr="005D3DD0">
        <w:t xml:space="preserve"> and</w:t>
      </w:r>
      <w:r w:rsidR="00555191" w:rsidRPr="005D3DD0">
        <w:t xml:space="preserve"> </w:t>
      </w:r>
      <w:r w:rsidR="00937EAE">
        <w:t xml:space="preserve">that this tool should be linked to </w:t>
      </w:r>
      <w:r w:rsidR="00555191" w:rsidRPr="005D3DD0">
        <w:t>the Objectives laid down in PP Res. 25</w:t>
      </w:r>
      <w:r w:rsidR="00EC3844" w:rsidRPr="005D3DD0">
        <w:t xml:space="preserve">. This should </w:t>
      </w:r>
      <w:r w:rsidR="005A2186">
        <w:t xml:space="preserve">be shared </w:t>
      </w:r>
      <w:r w:rsidR="00937EAE">
        <w:t xml:space="preserve">among </w:t>
      </w:r>
      <w:r w:rsidR="00EC3844" w:rsidRPr="005D3DD0">
        <w:t>HQ</w:t>
      </w:r>
      <w:r w:rsidR="005A2186">
        <w:t xml:space="preserve"> and ROs</w:t>
      </w:r>
      <w:r w:rsidR="00EC3844" w:rsidRPr="005D3DD0">
        <w:t>.</w:t>
      </w:r>
    </w:p>
    <w:p w14:paraId="693B67C7" w14:textId="77777777" w:rsidR="00555191" w:rsidRPr="00C10739" w:rsidRDefault="00555191" w:rsidP="00555191"/>
    <w:p w14:paraId="27093CD3" w14:textId="77777777" w:rsidR="00555191" w:rsidRPr="00C10739" w:rsidRDefault="00555191" w:rsidP="00814223">
      <w:pPr>
        <w:pStyle w:val="titcomments"/>
      </w:pPr>
      <w:r w:rsidRPr="00C10739">
        <w:t>Comments by ITU</w:t>
      </w:r>
    </w:p>
    <w:p w14:paraId="286F23F9" w14:textId="77777777" w:rsidR="00555191" w:rsidRPr="00C10739" w:rsidRDefault="000023F5" w:rsidP="000023F5">
      <w:pPr>
        <w:pStyle w:val="testocomments"/>
      </w:pPr>
      <w:r w:rsidRPr="005B077A">
        <w:t>ITU has taken note of Recommendation</w:t>
      </w:r>
      <w:r>
        <w:t xml:space="preserve"> </w:t>
      </w:r>
      <w:r w:rsidR="000534A7">
        <w:t xml:space="preserve">n. </w:t>
      </w:r>
      <w:r>
        <w:t xml:space="preserve">8. ITU would like to highlight that there is an overall risk analysis that is carried out and reported yearly in the Operational Plan.  </w:t>
      </w:r>
      <w:r>
        <w:rPr>
          <w:noProof/>
        </w:rPr>
        <w:t>ITU will endeavour to strengthen this analysis in the Operational Plan.</w:t>
      </w:r>
    </w:p>
    <w:p w14:paraId="4AC3DF93" w14:textId="77777777" w:rsidR="00555191" w:rsidRPr="00C10739" w:rsidRDefault="00555191" w:rsidP="00555191"/>
    <w:p w14:paraId="5764D541" w14:textId="77777777" w:rsidR="00555191" w:rsidRPr="00C10739" w:rsidRDefault="00555191" w:rsidP="00555191">
      <w:pPr>
        <w:pStyle w:val="Heading2"/>
      </w:pPr>
      <w:bookmarkStart w:id="39" w:name="_Toc526772262"/>
      <w:r w:rsidRPr="00C10739">
        <w:t>EA Review of the Follow-up exercise held by IA</w:t>
      </w:r>
      <w:r w:rsidR="005E2427">
        <w:t>U</w:t>
      </w:r>
      <w:r w:rsidRPr="00C10739">
        <w:t xml:space="preserve"> on </w:t>
      </w:r>
      <w:r w:rsidR="005E2427">
        <w:t xml:space="preserve">its </w:t>
      </w:r>
      <w:r w:rsidRPr="00C10739">
        <w:t>previous recommendations</w:t>
      </w:r>
      <w:bookmarkEnd w:id="39"/>
    </w:p>
    <w:p w14:paraId="52560A0F" w14:textId="77777777" w:rsidR="00CD350E" w:rsidRDefault="00555191" w:rsidP="00B4431B">
      <w:pPr>
        <w:pStyle w:val="testobase"/>
      </w:pPr>
      <w:r w:rsidRPr="00C10739">
        <w:t xml:space="preserve">During our review of the follow-up undertaken by IA, we </w:t>
      </w:r>
      <w:r w:rsidR="00814223">
        <w:t>found</w:t>
      </w:r>
      <w:r w:rsidRPr="00C10739">
        <w:t xml:space="preserve"> that some of the notes, reported as a response for considering “closed” or “in progress” the status of a recommendation, were not properly justified. In particular, we found some recommendations </w:t>
      </w:r>
      <w:r w:rsidR="00173AFF" w:rsidRPr="00E43EC4">
        <w:rPr>
          <w:i/>
        </w:rPr>
        <w:t xml:space="preserve">A) </w:t>
      </w:r>
      <w:r w:rsidRPr="00C10739">
        <w:t>considered as “closed”</w:t>
      </w:r>
      <w:r w:rsidR="00173AFF">
        <w:t xml:space="preserve">, but </w:t>
      </w:r>
      <w:r w:rsidRPr="00C10739">
        <w:t xml:space="preserve">with no clear explanation </w:t>
      </w:r>
      <w:r w:rsidR="00937EAE">
        <w:t xml:space="preserve">as to </w:t>
      </w:r>
      <w:r w:rsidRPr="00C10739">
        <w:t xml:space="preserve">why they </w:t>
      </w:r>
      <w:r w:rsidR="00173AFF">
        <w:t xml:space="preserve">had been </w:t>
      </w:r>
      <w:r w:rsidRPr="00C10739">
        <w:t>closed</w:t>
      </w:r>
      <w:r w:rsidR="00173AFF">
        <w:t>,</w:t>
      </w:r>
      <w:r w:rsidRPr="00C10739">
        <w:t xml:space="preserve"> or </w:t>
      </w:r>
      <w:r w:rsidRPr="00E43EC4">
        <w:rPr>
          <w:i/>
        </w:rPr>
        <w:t>B)</w:t>
      </w:r>
      <w:r w:rsidRPr="00C10739">
        <w:t xml:space="preserve"> considered </w:t>
      </w:r>
      <w:r w:rsidR="00173AFF">
        <w:t xml:space="preserve">as </w:t>
      </w:r>
      <w:r w:rsidRPr="00C10739">
        <w:t>“closed”</w:t>
      </w:r>
      <w:r w:rsidR="00173AFF">
        <w:t>,</w:t>
      </w:r>
      <w:r w:rsidRPr="00C10739">
        <w:t xml:space="preserve"> but according to our review still “in progress”</w:t>
      </w:r>
      <w:r w:rsidR="00173AFF">
        <w:t>,</w:t>
      </w:r>
      <w:r w:rsidRPr="00C10739">
        <w:t xml:space="preserve"> or </w:t>
      </w:r>
      <w:r w:rsidRPr="00E43EC4">
        <w:rPr>
          <w:i/>
        </w:rPr>
        <w:t>C)</w:t>
      </w:r>
      <w:r w:rsidRPr="00C10739">
        <w:t xml:space="preserve"> considered </w:t>
      </w:r>
      <w:r w:rsidR="00173AFF">
        <w:t xml:space="preserve">as </w:t>
      </w:r>
      <w:r w:rsidRPr="00C10739">
        <w:t>“closed”</w:t>
      </w:r>
      <w:r w:rsidR="00173AFF">
        <w:t>, whilst</w:t>
      </w:r>
      <w:r w:rsidRPr="00C10739">
        <w:t xml:space="preserve"> </w:t>
      </w:r>
      <w:r w:rsidR="00173AFF">
        <w:t xml:space="preserve">they should have been </w:t>
      </w:r>
      <w:r w:rsidRPr="00C10739">
        <w:t>“dropped”</w:t>
      </w:r>
      <w:r w:rsidR="00173AFF">
        <w:t xml:space="preserve">, as </w:t>
      </w:r>
      <w:r w:rsidR="00937EAE">
        <w:t xml:space="preserve">they had </w:t>
      </w:r>
      <w:r w:rsidR="00173AFF">
        <w:t xml:space="preserve">not </w:t>
      </w:r>
      <w:r w:rsidR="00937EAE">
        <w:t xml:space="preserve">been </w:t>
      </w:r>
      <w:r w:rsidRPr="00C10739">
        <w:t xml:space="preserve">implemented in the </w:t>
      </w:r>
      <w:r w:rsidR="00937EAE">
        <w:t xml:space="preserve">way </w:t>
      </w:r>
      <w:r w:rsidR="00173AFF">
        <w:t xml:space="preserve">called for by </w:t>
      </w:r>
      <w:r w:rsidRPr="00C10739">
        <w:t>the recommendation itself.</w:t>
      </w:r>
    </w:p>
    <w:p w14:paraId="49CCCD6C" w14:textId="77777777" w:rsidR="00814223" w:rsidRDefault="00814223" w:rsidP="00814223">
      <w:pPr>
        <w:pStyle w:val="titoloracc"/>
      </w:pPr>
    </w:p>
    <w:p w14:paraId="50F17842" w14:textId="77777777" w:rsidR="00555191" w:rsidRPr="00C10739" w:rsidRDefault="00C471D4" w:rsidP="00B4431B">
      <w:pPr>
        <w:pStyle w:val="recesug"/>
      </w:pPr>
      <w:r>
        <w:t>I</w:t>
      </w:r>
      <w:r w:rsidR="00555191" w:rsidRPr="00C10739">
        <w:t xml:space="preserve">n the course of our audit, </w:t>
      </w:r>
      <w:r>
        <w:t xml:space="preserve">we found </w:t>
      </w:r>
      <w:r w:rsidR="00555191" w:rsidRPr="00C10739">
        <w:t xml:space="preserve">some cases where recommendations had been considered as “closed” by </w:t>
      </w:r>
      <w:r>
        <w:t xml:space="preserve">the </w:t>
      </w:r>
      <w:r w:rsidR="00555191" w:rsidRPr="00C10739">
        <w:t>IAU, wh</w:t>
      </w:r>
      <w:r>
        <w:t xml:space="preserve">ereas </w:t>
      </w:r>
      <w:r w:rsidR="00555191" w:rsidRPr="00C10739">
        <w:t xml:space="preserve">our audit </w:t>
      </w:r>
      <w:r w:rsidR="00E43EC4">
        <w:t xml:space="preserve">showed </w:t>
      </w:r>
      <w:r w:rsidR="00555191" w:rsidRPr="00C10739">
        <w:t>that they were still “in progress”</w:t>
      </w:r>
      <w:r>
        <w:t xml:space="preserve">. </w:t>
      </w:r>
      <w:r w:rsidR="00044AC3" w:rsidRPr="00044AC3">
        <w:rPr>
          <w:u w:val="single"/>
        </w:rPr>
        <w:t>We t</w:t>
      </w:r>
      <w:r w:rsidRPr="00044AC3">
        <w:rPr>
          <w:u w:val="single"/>
        </w:rPr>
        <w:t>herefore</w:t>
      </w:r>
      <w:r w:rsidR="00044AC3">
        <w:rPr>
          <w:u w:val="single"/>
        </w:rPr>
        <w:t xml:space="preserve"> </w:t>
      </w:r>
      <w:r w:rsidR="00555191" w:rsidRPr="00B567A6">
        <w:rPr>
          <w:u w:val="single"/>
        </w:rPr>
        <w:t>recommend</w:t>
      </w:r>
      <w:r w:rsidR="00555191" w:rsidRPr="00C10739">
        <w:t xml:space="preserve"> that </w:t>
      </w:r>
      <w:r>
        <w:t xml:space="preserve">the </w:t>
      </w:r>
      <w:r w:rsidR="00555191" w:rsidRPr="00C10739">
        <w:t>IAU should follow up on their recommendations and</w:t>
      </w:r>
      <w:r w:rsidR="003054A9">
        <w:t xml:space="preserve"> </w:t>
      </w:r>
      <w:r w:rsidR="00C81BF4">
        <w:t xml:space="preserve">only </w:t>
      </w:r>
      <w:r w:rsidR="00555191" w:rsidRPr="00C10739">
        <w:t xml:space="preserve">consider them </w:t>
      </w:r>
      <w:r w:rsidR="003054A9">
        <w:t xml:space="preserve">as </w:t>
      </w:r>
      <w:r w:rsidR="00555191" w:rsidRPr="00C10739">
        <w:t xml:space="preserve">“closed” </w:t>
      </w:r>
      <w:r>
        <w:t xml:space="preserve">where there is </w:t>
      </w:r>
      <w:r w:rsidR="00C81BF4">
        <w:t xml:space="preserve">adequate </w:t>
      </w:r>
      <w:r w:rsidR="00555191" w:rsidRPr="00C10739">
        <w:t>evidence</w:t>
      </w:r>
      <w:r w:rsidR="00C81BF4">
        <w:t>.</w:t>
      </w:r>
    </w:p>
    <w:p w14:paraId="5A9F5584" w14:textId="77777777" w:rsidR="00555191" w:rsidRPr="00C10739" w:rsidRDefault="00555191" w:rsidP="00555191"/>
    <w:p w14:paraId="2DA0851E" w14:textId="77777777" w:rsidR="00555191" w:rsidRPr="00173AFF" w:rsidRDefault="00555191" w:rsidP="000534A7">
      <w:pPr>
        <w:pStyle w:val="titcomments"/>
        <w:pBdr>
          <w:bottom w:val="single" w:sz="4" w:space="7" w:color="auto"/>
        </w:pBdr>
        <w:rPr>
          <w:lang w:val="en-US"/>
        </w:rPr>
      </w:pPr>
      <w:r w:rsidRPr="00173AFF">
        <w:rPr>
          <w:lang w:val="en-US"/>
        </w:rPr>
        <w:t>Comments by ITU</w:t>
      </w:r>
    </w:p>
    <w:p w14:paraId="021F936A" w14:textId="77777777" w:rsidR="00555191" w:rsidRPr="0049762F" w:rsidRDefault="002D3327" w:rsidP="000534A7">
      <w:pPr>
        <w:pStyle w:val="testocomments"/>
        <w:pBdr>
          <w:bottom w:val="single" w:sz="4" w:space="7" w:color="auto"/>
        </w:pBdr>
        <w:rPr>
          <w:lang w:val="en-US"/>
        </w:rPr>
      </w:pPr>
      <w:r>
        <w:rPr>
          <w:lang w:val="en-US"/>
        </w:rPr>
        <w:t>R</w:t>
      </w:r>
      <w:r w:rsidR="0049762F" w:rsidRPr="0049762F">
        <w:rPr>
          <w:lang w:val="en-US"/>
        </w:rPr>
        <w:t xml:space="preserve">ecommendation </w:t>
      </w:r>
      <w:r w:rsidR="000534A7">
        <w:rPr>
          <w:lang w:val="en-US"/>
        </w:rPr>
        <w:t xml:space="preserve">n. </w:t>
      </w:r>
      <w:r>
        <w:rPr>
          <w:lang w:val="en-US"/>
        </w:rPr>
        <w:t xml:space="preserve">9 </w:t>
      </w:r>
      <w:r w:rsidR="0049762F" w:rsidRPr="0049762F">
        <w:rPr>
          <w:lang w:val="en-US"/>
        </w:rPr>
        <w:t xml:space="preserve">is duly noted and IAU recommendations will not be closed unless the respective managers have provided adequate evidence, also taking into account the cost efficiency and priorities when the residual risk of partial non-implementation of IAU recommendations is </w:t>
      </w:r>
      <w:r w:rsidR="0055381E">
        <w:rPr>
          <w:lang w:val="en-US"/>
        </w:rPr>
        <w:t xml:space="preserve">very </w:t>
      </w:r>
      <w:r w:rsidR="0049762F" w:rsidRPr="0049762F">
        <w:rPr>
          <w:lang w:val="en-US"/>
        </w:rPr>
        <w:t>low.</w:t>
      </w:r>
    </w:p>
    <w:p w14:paraId="1066EFE0" w14:textId="77777777" w:rsidR="00555191" w:rsidRPr="00AB5E25" w:rsidRDefault="00B567A6" w:rsidP="00AB5E25">
      <w:pPr>
        <w:pStyle w:val="Heading3"/>
        <w:ind w:left="567"/>
      </w:pPr>
      <w:bookmarkStart w:id="40" w:name="_Toc526772263"/>
      <w:r w:rsidRPr="00AB5E25">
        <w:t xml:space="preserve">Host </w:t>
      </w:r>
      <w:r w:rsidR="007A03FC">
        <w:t>Country</w:t>
      </w:r>
      <w:r w:rsidRPr="00AB5E25">
        <w:t xml:space="preserve"> agreement </w:t>
      </w:r>
      <w:r w:rsidR="00814223">
        <w:t xml:space="preserve">is </w:t>
      </w:r>
      <w:r w:rsidRPr="00AB5E25">
        <w:t>need</w:t>
      </w:r>
      <w:r w:rsidR="005E2427">
        <w:t>ed</w:t>
      </w:r>
      <w:bookmarkEnd w:id="40"/>
    </w:p>
    <w:p w14:paraId="580D17DA" w14:textId="77777777" w:rsidR="00555191" w:rsidRPr="00C10739" w:rsidRDefault="00555191" w:rsidP="00093F1E">
      <w:pPr>
        <w:pStyle w:val="testobase"/>
      </w:pPr>
      <w:r w:rsidRPr="00C10739">
        <w:t>In its report</w:t>
      </w:r>
      <w:r w:rsidR="00044AC3">
        <w:t xml:space="preserve">, the IAU </w:t>
      </w:r>
      <w:r w:rsidR="008F0FDC">
        <w:t xml:space="preserve">highlighted </w:t>
      </w:r>
      <w:r w:rsidRPr="00C10739">
        <w:t xml:space="preserve">that SCL </w:t>
      </w:r>
      <w:r w:rsidR="00044AC3">
        <w:t xml:space="preserve">did not yet </w:t>
      </w:r>
      <w:r w:rsidRPr="00C10739">
        <w:t>ha</w:t>
      </w:r>
      <w:r w:rsidR="00044AC3">
        <w:t>ve</w:t>
      </w:r>
      <w:r w:rsidRPr="00C10739">
        <w:t xml:space="preserve"> a Host </w:t>
      </w:r>
      <w:r w:rsidR="00093F1E">
        <w:t xml:space="preserve">Country </w:t>
      </w:r>
      <w:r w:rsidRPr="00C10739">
        <w:t xml:space="preserve">Agreement. </w:t>
      </w:r>
      <w:r w:rsidR="00E43EC4">
        <w:t>A</w:t>
      </w:r>
      <w:r w:rsidR="00E43EC4" w:rsidRPr="00C10739">
        <w:t xml:space="preserve">t the date of our </w:t>
      </w:r>
      <w:r w:rsidR="00044AC3">
        <w:t>a</w:t>
      </w:r>
      <w:r w:rsidR="00E43EC4" w:rsidRPr="00C10739">
        <w:t>udit</w:t>
      </w:r>
      <w:r w:rsidR="00E43EC4">
        <w:t>, the s</w:t>
      </w:r>
      <w:r w:rsidRPr="00C10739">
        <w:t xml:space="preserve">ituation </w:t>
      </w:r>
      <w:r w:rsidR="00E43EC4">
        <w:t xml:space="preserve">was </w:t>
      </w:r>
      <w:r w:rsidRPr="00C10739">
        <w:t>still ongoing</w:t>
      </w:r>
      <w:r w:rsidR="00E43EC4">
        <w:t>.</w:t>
      </w:r>
    </w:p>
    <w:p w14:paraId="0958EEE0" w14:textId="77777777" w:rsidR="00555191" w:rsidRPr="00C10739" w:rsidRDefault="00555191" w:rsidP="00555191"/>
    <w:p w14:paraId="33D0B156" w14:textId="77777777" w:rsidR="00814223" w:rsidRDefault="00814223" w:rsidP="00814223">
      <w:pPr>
        <w:pStyle w:val="titoloracc"/>
      </w:pPr>
    </w:p>
    <w:p w14:paraId="682FFF4A" w14:textId="77777777" w:rsidR="00555191" w:rsidRPr="00C10739" w:rsidRDefault="00555191" w:rsidP="00093F1E">
      <w:pPr>
        <w:pStyle w:val="recesug"/>
      </w:pPr>
      <w:r w:rsidRPr="00C10739">
        <w:t>Following the IAU</w:t>
      </w:r>
      <w:r w:rsidR="00044AC3">
        <w:t>’s</w:t>
      </w:r>
      <w:r w:rsidRPr="00C10739">
        <w:t xml:space="preserve"> recommendations, </w:t>
      </w:r>
      <w:r w:rsidRPr="00814223">
        <w:rPr>
          <w:u w:val="single"/>
        </w:rPr>
        <w:t>we recommend</w:t>
      </w:r>
      <w:r w:rsidRPr="00C10739">
        <w:t xml:space="preserve"> increasing efforts </w:t>
      </w:r>
      <w:r w:rsidR="00044AC3">
        <w:t xml:space="preserve">to obtain </w:t>
      </w:r>
      <w:r w:rsidRPr="00C10739">
        <w:t>a</w:t>
      </w:r>
      <w:r w:rsidR="00044AC3">
        <w:t>n</w:t>
      </w:r>
      <w:r w:rsidRPr="00C10739">
        <w:t xml:space="preserve"> H</w:t>
      </w:r>
      <w:r w:rsidR="00093F1E">
        <w:t>C</w:t>
      </w:r>
      <w:r w:rsidRPr="00C10739">
        <w:t>A to protect the ITU</w:t>
      </w:r>
      <w:r w:rsidR="00A12950">
        <w:t>'s</w:t>
      </w:r>
      <w:r w:rsidRPr="00C10739">
        <w:t xml:space="preserve"> role and interests.</w:t>
      </w:r>
    </w:p>
    <w:p w14:paraId="1461ABED" w14:textId="77777777" w:rsidR="00555191" w:rsidRPr="00C10739" w:rsidRDefault="00555191" w:rsidP="00555191"/>
    <w:p w14:paraId="020D681C" w14:textId="77777777" w:rsidR="00555191" w:rsidRPr="00173AFF" w:rsidRDefault="00555191" w:rsidP="00814223">
      <w:pPr>
        <w:pStyle w:val="titcomments"/>
        <w:rPr>
          <w:lang w:val="en-US"/>
        </w:rPr>
      </w:pPr>
      <w:r w:rsidRPr="00173AFF">
        <w:rPr>
          <w:lang w:val="en-US"/>
        </w:rPr>
        <w:t>Comments by ITU</w:t>
      </w:r>
    </w:p>
    <w:p w14:paraId="575FB8D0" w14:textId="77777777" w:rsidR="00555191" w:rsidRPr="0049762F" w:rsidRDefault="0049762F" w:rsidP="000534A7">
      <w:pPr>
        <w:pStyle w:val="testocomments"/>
        <w:rPr>
          <w:lang w:val="en-US"/>
        </w:rPr>
      </w:pPr>
      <w:r w:rsidRPr="0049762F">
        <w:t>ITU has a HCA for all the regional offices and area offices, except for the area office of Santiago de Chile for which negotiations with the host country are ongoing.</w:t>
      </w:r>
      <w:r>
        <w:t xml:space="preserve"> </w:t>
      </w:r>
      <w:r w:rsidRPr="0049762F">
        <w:t xml:space="preserve">ITU has done all </w:t>
      </w:r>
      <w:r>
        <w:t xml:space="preserve">the </w:t>
      </w:r>
      <w:r w:rsidRPr="0049762F">
        <w:t xml:space="preserve">paper work and a proposal is </w:t>
      </w:r>
      <w:r w:rsidR="000534A7">
        <w:t xml:space="preserve">being analysed by </w:t>
      </w:r>
      <w:r w:rsidRPr="0049762F">
        <w:t>the Chilean Administration</w:t>
      </w:r>
      <w:r>
        <w:t>.</w:t>
      </w:r>
    </w:p>
    <w:p w14:paraId="0E41D7B6" w14:textId="77777777" w:rsidR="00555191" w:rsidRDefault="00555191" w:rsidP="00555191">
      <w:pPr>
        <w:rPr>
          <w:lang w:val="en-US"/>
        </w:rPr>
      </w:pPr>
    </w:p>
    <w:p w14:paraId="0EFD2AED" w14:textId="77777777" w:rsidR="001A1740" w:rsidRPr="00C10739" w:rsidRDefault="00EB1F07" w:rsidP="001A1740">
      <w:pPr>
        <w:pStyle w:val="Heading2"/>
      </w:pPr>
      <w:bookmarkStart w:id="41" w:name="_Toc526772264"/>
      <w:r>
        <w:t>Organizational issues</w:t>
      </w:r>
      <w:bookmarkEnd w:id="41"/>
      <w:r>
        <w:t xml:space="preserve"> </w:t>
      </w:r>
    </w:p>
    <w:p w14:paraId="2164765B" w14:textId="77777777" w:rsidR="00E218DA" w:rsidRDefault="00E218DA" w:rsidP="008F0FDC">
      <w:pPr>
        <w:pStyle w:val="testobase"/>
        <w:rPr>
          <w:lang w:val="en-US"/>
        </w:rPr>
      </w:pPr>
      <w:r w:rsidRPr="00E218DA">
        <w:rPr>
          <w:lang w:val="en-US"/>
        </w:rPr>
        <w:t xml:space="preserve">Field offices have a standard configuration in terms of human resources allocated. In 2009, the JIU pointed out that the staffing level in the ITU field offices was not commensurate with the widening scope and complexity of their tasks and responsibilities. The number of field </w:t>
      </w:r>
      <w:r w:rsidR="001C51D5">
        <w:rPr>
          <w:lang w:val="en-US"/>
        </w:rPr>
        <w:t xml:space="preserve">staff </w:t>
      </w:r>
      <w:r w:rsidRPr="00E218DA">
        <w:rPr>
          <w:lang w:val="en-US"/>
        </w:rPr>
        <w:t xml:space="preserve">increased from 51 to 58 in 2012, as a result of </w:t>
      </w:r>
      <w:r w:rsidR="00C628CF">
        <w:rPr>
          <w:lang w:val="en-US"/>
        </w:rPr>
        <w:t>Document C12/25-E of 10 May 2012</w:t>
      </w:r>
      <w:r w:rsidRPr="00E218DA">
        <w:rPr>
          <w:lang w:val="en-US"/>
        </w:rPr>
        <w:t>. The</w:t>
      </w:r>
      <w:r w:rsidR="00C628CF">
        <w:rPr>
          <w:lang w:val="en-US"/>
        </w:rPr>
        <w:t xml:space="preserve">re are </w:t>
      </w:r>
      <w:r w:rsidRPr="00E218DA">
        <w:rPr>
          <w:lang w:val="en-US"/>
        </w:rPr>
        <w:t>now 59. During an interview, the ITU-D Director reported to us that some procedural changes had been introduced, going in the direction of more decentralization for field offices and more autonomy for Regional Directors</w:t>
      </w:r>
    </w:p>
    <w:p w14:paraId="261D33A3" w14:textId="77777777" w:rsidR="003705DA" w:rsidRPr="003705DA" w:rsidRDefault="008F0FDC" w:rsidP="008F0FDC">
      <w:pPr>
        <w:pStyle w:val="testobase"/>
        <w:rPr>
          <w:lang w:val="en-US"/>
        </w:rPr>
      </w:pPr>
      <w:r w:rsidRPr="003705DA">
        <w:rPr>
          <w:lang w:val="en-US"/>
        </w:rPr>
        <w:t xml:space="preserve">However, </w:t>
      </w:r>
      <w:r w:rsidR="00DB15CD" w:rsidRPr="003705DA">
        <w:t xml:space="preserve">the current absence of </w:t>
      </w:r>
      <w:r w:rsidR="004B73BC" w:rsidRPr="003705DA">
        <w:t xml:space="preserve">a clear mandate and </w:t>
      </w:r>
      <w:r w:rsidR="00DB15CD" w:rsidRPr="003705DA">
        <w:t xml:space="preserve">specific indicators for field offices does not allow </w:t>
      </w:r>
      <w:r w:rsidR="00C628CF">
        <w:t xml:space="preserve">us </w:t>
      </w:r>
      <w:r w:rsidR="00DB15CD" w:rsidRPr="003705DA">
        <w:t>to assess the adequacy of resources</w:t>
      </w:r>
      <w:r w:rsidR="00552DF6" w:rsidRPr="003705DA">
        <w:t xml:space="preserve"> employed</w:t>
      </w:r>
      <w:r w:rsidR="00DB15CD" w:rsidRPr="003705DA">
        <w:t>, nor the progress made over time</w:t>
      </w:r>
      <w:r w:rsidR="004B73BC" w:rsidRPr="003705DA">
        <w:t>.</w:t>
      </w:r>
      <w:r w:rsidR="003705DA" w:rsidRPr="003705DA">
        <w:t xml:space="preserve"> </w:t>
      </w:r>
      <w:r w:rsidR="004B73BC" w:rsidRPr="003705DA">
        <w:t xml:space="preserve">For this reason, </w:t>
      </w:r>
      <w:r w:rsidR="003705DA" w:rsidRPr="003705DA">
        <w:t>the following paragraphs</w:t>
      </w:r>
      <w:r w:rsidR="004B73BC" w:rsidRPr="003705DA">
        <w:t xml:space="preserve"> are only </w:t>
      </w:r>
      <w:r w:rsidR="00DB15CD" w:rsidRPr="003705DA">
        <w:t xml:space="preserve">limited to </w:t>
      </w:r>
      <w:r w:rsidR="00DC2979">
        <w:t>address</w:t>
      </w:r>
      <w:r w:rsidR="00C628CF">
        <w:t>ing</w:t>
      </w:r>
      <w:r w:rsidR="00DC2979">
        <w:t xml:space="preserve"> </w:t>
      </w:r>
      <w:r w:rsidR="004B73BC" w:rsidRPr="003705DA">
        <w:t xml:space="preserve">some </w:t>
      </w:r>
      <w:r w:rsidR="001D53BC">
        <w:t xml:space="preserve">other </w:t>
      </w:r>
      <w:r w:rsidR="00DB15CD" w:rsidRPr="003705DA">
        <w:t xml:space="preserve">specific </w:t>
      </w:r>
      <w:r w:rsidR="004B73BC" w:rsidRPr="003705DA">
        <w:t xml:space="preserve">aspects </w:t>
      </w:r>
      <w:r w:rsidR="001D53BC">
        <w:t xml:space="preserve">relating to </w:t>
      </w:r>
      <w:r w:rsidR="004B73BC" w:rsidRPr="003705DA">
        <w:t xml:space="preserve">the </w:t>
      </w:r>
      <w:r w:rsidR="001D53BC">
        <w:t xml:space="preserve">financial and office </w:t>
      </w:r>
      <w:r w:rsidR="00DB15CD" w:rsidRPr="003705DA">
        <w:t>management</w:t>
      </w:r>
      <w:r w:rsidR="001D53BC">
        <w:t xml:space="preserve">, as well as </w:t>
      </w:r>
      <w:r w:rsidR="004B73BC" w:rsidRPr="003705DA">
        <w:t xml:space="preserve">the procurement process. </w:t>
      </w:r>
    </w:p>
    <w:p w14:paraId="4952BEFE" w14:textId="77777777" w:rsidR="001D53BC" w:rsidRDefault="001D53BC" w:rsidP="001D53BC">
      <w:pPr>
        <w:pStyle w:val="Heading2"/>
      </w:pPr>
      <w:bookmarkStart w:id="42" w:name="_Toc526772265"/>
      <w:r>
        <w:t>Financial management</w:t>
      </w:r>
      <w:bookmarkEnd w:id="42"/>
      <w:r>
        <w:t xml:space="preserve"> </w:t>
      </w:r>
    </w:p>
    <w:p w14:paraId="0675FAC2" w14:textId="77777777" w:rsidR="00555191" w:rsidRPr="00AB5E25" w:rsidRDefault="001A1740" w:rsidP="00AB5E25">
      <w:pPr>
        <w:pStyle w:val="Heading3"/>
        <w:ind w:left="567"/>
      </w:pPr>
      <w:bookmarkStart w:id="43" w:name="_Toc526772266"/>
      <w:r>
        <w:t xml:space="preserve">Process </w:t>
      </w:r>
      <w:r w:rsidR="00C628CF">
        <w:t>for</w:t>
      </w:r>
      <w:r>
        <w:t xml:space="preserve"> d</w:t>
      </w:r>
      <w:r w:rsidR="00B567A6" w:rsidRPr="00AB5E25">
        <w:t xml:space="preserve">elegations of </w:t>
      </w:r>
      <w:r>
        <w:t>a</w:t>
      </w:r>
      <w:r w:rsidR="00B567A6" w:rsidRPr="00AB5E25">
        <w:t xml:space="preserve">uthority should be </w:t>
      </w:r>
      <w:r>
        <w:t>improved</w:t>
      </w:r>
      <w:bookmarkEnd w:id="43"/>
    </w:p>
    <w:p w14:paraId="772187D7" w14:textId="77777777" w:rsidR="00555191" w:rsidRPr="00C10739" w:rsidRDefault="00555191" w:rsidP="00B4431B">
      <w:pPr>
        <w:pStyle w:val="testobase"/>
      </w:pPr>
      <w:r w:rsidRPr="00C10739">
        <w:t xml:space="preserve">During our audit, we </w:t>
      </w:r>
      <w:r w:rsidR="005E2427">
        <w:t xml:space="preserve">found </w:t>
      </w:r>
      <w:r w:rsidRPr="00C10739">
        <w:t>that there was no comprehe</w:t>
      </w:r>
      <w:r w:rsidR="00D83D12">
        <w:t xml:space="preserve">nsive formal document </w:t>
      </w:r>
      <w:r w:rsidRPr="00C10739">
        <w:t>list</w:t>
      </w:r>
      <w:r w:rsidR="00D83D12">
        <w:t>ing</w:t>
      </w:r>
      <w:r w:rsidRPr="00C10739">
        <w:t xml:space="preserve"> all the delegations of </w:t>
      </w:r>
      <w:r w:rsidR="00D65E1E">
        <w:t>a</w:t>
      </w:r>
      <w:r w:rsidRPr="00C10739">
        <w:t xml:space="preserve">uthority from </w:t>
      </w:r>
      <w:r w:rsidR="00D83D12">
        <w:t>t</w:t>
      </w:r>
      <w:r w:rsidRPr="00C10739">
        <w:t xml:space="preserve">he SG to the </w:t>
      </w:r>
      <w:r w:rsidR="00C628CF">
        <w:t xml:space="preserve">ITU-D </w:t>
      </w:r>
      <w:r w:rsidRPr="00C10739">
        <w:t xml:space="preserve">Director </w:t>
      </w:r>
      <w:r w:rsidR="008F0FDC">
        <w:t xml:space="preserve">and then to the RD and to </w:t>
      </w:r>
      <w:r w:rsidRPr="00C10739">
        <w:t>P</w:t>
      </w:r>
      <w:r w:rsidR="001A1740">
        <w:t>-</w:t>
      </w:r>
      <w:r w:rsidRPr="00C10739">
        <w:t xml:space="preserve">staff in </w:t>
      </w:r>
      <w:r w:rsidR="008F0FDC">
        <w:t>field</w:t>
      </w:r>
      <w:r w:rsidRPr="00C10739">
        <w:t xml:space="preserve"> </w:t>
      </w:r>
      <w:r w:rsidR="00C628CF">
        <w:t>o</w:t>
      </w:r>
      <w:r w:rsidRPr="00C10739">
        <w:t>ffice</w:t>
      </w:r>
      <w:r w:rsidR="001A1740">
        <w:t>s</w:t>
      </w:r>
      <w:r w:rsidRPr="00C10739">
        <w:t>.</w:t>
      </w:r>
    </w:p>
    <w:p w14:paraId="5C65391E" w14:textId="77777777" w:rsidR="00555191" w:rsidRPr="00C10739" w:rsidRDefault="00555191" w:rsidP="00555191"/>
    <w:p w14:paraId="324D1109" w14:textId="77777777" w:rsidR="00543DEA" w:rsidRDefault="00543DEA" w:rsidP="003567AE">
      <w:pPr>
        <w:pStyle w:val="titoloracc"/>
      </w:pPr>
    </w:p>
    <w:p w14:paraId="519357A4" w14:textId="77777777" w:rsidR="00555191" w:rsidRPr="00C10739" w:rsidRDefault="00555191" w:rsidP="00B4431B">
      <w:pPr>
        <w:pStyle w:val="recesug"/>
      </w:pPr>
      <w:r w:rsidRPr="00C10739">
        <w:t xml:space="preserve">For accountability purposes, </w:t>
      </w:r>
      <w:r w:rsidRPr="00B567A6">
        <w:rPr>
          <w:u w:val="single"/>
        </w:rPr>
        <w:t>we recommend</w:t>
      </w:r>
      <w:r w:rsidRPr="00C10739">
        <w:t xml:space="preserve"> preparing a document summarizing all the delegations of authority, be they internal (who must sign what) or external (authorization for sig</w:t>
      </w:r>
      <w:r w:rsidR="00D83D12">
        <w:t xml:space="preserve">nature, such us bank movements and </w:t>
      </w:r>
      <w:r w:rsidRPr="00C10739">
        <w:t>internet banking with the respective lines of responsibility).</w:t>
      </w:r>
    </w:p>
    <w:p w14:paraId="1C961276" w14:textId="77777777" w:rsidR="00555191" w:rsidRPr="00C10739" w:rsidRDefault="00555191" w:rsidP="00555191"/>
    <w:p w14:paraId="444EF137" w14:textId="77777777" w:rsidR="00555191" w:rsidRPr="00C10739" w:rsidRDefault="00555191" w:rsidP="00543DEA">
      <w:pPr>
        <w:pStyle w:val="titcomments"/>
      </w:pPr>
      <w:r w:rsidRPr="00C10739">
        <w:t>Comments by ITU</w:t>
      </w:r>
    </w:p>
    <w:p w14:paraId="2388953D" w14:textId="77777777" w:rsidR="00555191" w:rsidRPr="00C10739" w:rsidRDefault="000E6214" w:rsidP="002D3327">
      <w:pPr>
        <w:pStyle w:val="testocomments"/>
      </w:pPr>
      <w:r w:rsidRPr="001C38BE">
        <w:rPr>
          <w:iCs/>
        </w:rPr>
        <w:t xml:space="preserve">ITU </w:t>
      </w:r>
      <w:r w:rsidR="002D3327">
        <w:rPr>
          <w:iCs/>
        </w:rPr>
        <w:t xml:space="preserve">has </w:t>
      </w:r>
      <w:r w:rsidRPr="001C38BE">
        <w:rPr>
          <w:iCs/>
        </w:rPr>
        <w:t>take</w:t>
      </w:r>
      <w:r w:rsidR="002D3327">
        <w:rPr>
          <w:iCs/>
        </w:rPr>
        <w:t>n</w:t>
      </w:r>
      <w:r w:rsidRPr="001C38BE">
        <w:rPr>
          <w:iCs/>
        </w:rPr>
        <w:t xml:space="preserve"> note of </w:t>
      </w:r>
      <w:r w:rsidR="002D3327">
        <w:rPr>
          <w:iCs/>
        </w:rPr>
        <w:t>R</w:t>
      </w:r>
      <w:r w:rsidRPr="001C38BE">
        <w:rPr>
          <w:iCs/>
        </w:rPr>
        <w:t>ecommendation</w:t>
      </w:r>
      <w:r w:rsidR="002D3327">
        <w:rPr>
          <w:iCs/>
        </w:rPr>
        <w:t xml:space="preserve"> </w:t>
      </w:r>
      <w:r w:rsidR="000534A7">
        <w:rPr>
          <w:iCs/>
        </w:rPr>
        <w:t xml:space="preserve">n. </w:t>
      </w:r>
      <w:r w:rsidR="002D3327">
        <w:rPr>
          <w:iCs/>
        </w:rPr>
        <w:t>11</w:t>
      </w:r>
      <w:r w:rsidRPr="001C38BE">
        <w:rPr>
          <w:iCs/>
        </w:rPr>
        <w:t>. As far as the bank movement</w:t>
      </w:r>
      <w:r w:rsidR="000534A7">
        <w:rPr>
          <w:iCs/>
        </w:rPr>
        <w:t>s</w:t>
      </w:r>
      <w:r w:rsidRPr="001C38BE">
        <w:rPr>
          <w:iCs/>
        </w:rPr>
        <w:t xml:space="preserve"> are</w:t>
      </w:r>
      <w:r w:rsidRPr="001C38BE">
        <w:t xml:space="preserve"> </w:t>
      </w:r>
      <w:r w:rsidRPr="001C38BE">
        <w:rPr>
          <w:iCs/>
        </w:rPr>
        <w:t>concerned this document already exists and is updated each time there is a staff movement. The coordination with the banks is also done to make sure they follow the instructions given by the HQ. Internal coordination will take place for creating a summary document for the delegation of authority.</w:t>
      </w:r>
    </w:p>
    <w:p w14:paraId="49D1F8DC" w14:textId="77777777" w:rsidR="001A1740" w:rsidRPr="00C10739" w:rsidRDefault="001A1740" w:rsidP="001A1740">
      <w:pPr>
        <w:pStyle w:val="Heading3"/>
      </w:pPr>
      <w:bookmarkStart w:id="44" w:name="_Toc526772267"/>
      <w:r>
        <w:t>Petty cash</w:t>
      </w:r>
      <w:bookmarkEnd w:id="44"/>
    </w:p>
    <w:p w14:paraId="1744F680" w14:textId="77777777" w:rsidR="00555191" w:rsidRPr="00C10739" w:rsidRDefault="00555191" w:rsidP="00B4431B">
      <w:pPr>
        <w:pStyle w:val="testobase"/>
      </w:pPr>
      <w:r w:rsidRPr="00C10739">
        <w:t xml:space="preserve">In relation to petty cash management, the data entry of operations and transactions is not reported directly on SAP at the level of </w:t>
      </w:r>
      <w:r w:rsidR="003A5A69">
        <w:t>A</w:t>
      </w:r>
      <w:r w:rsidRPr="00C10739">
        <w:t>rea Offices;</w:t>
      </w:r>
      <w:r w:rsidR="003A5A69">
        <w:t xml:space="preserve"> </w:t>
      </w:r>
      <w:r w:rsidR="00736B3E">
        <w:t>however</w:t>
      </w:r>
      <w:r w:rsidRPr="00C10739">
        <w:t>, everything is recorded manually on a standard form template, established by HQ.</w:t>
      </w:r>
    </w:p>
    <w:p w14:paraId="4BB15987" w14:textId="77777777" w:rsidR="00555191" w:rsidRPr="00C10739" w:rsidRDefault="00555191" w:rsidP="00B4431B">
      <w:pPr>
        <w:pStyle w:val="elencoconletteremaiuscole"/>
      </w:pPr>
      <w:r w:rsidRPr="00C10739">
        <w:t xml:space="preserve">During our audit of the supporting documents </w:t>
      </w:r>
      <w:r w:rsidR="00736B3E">
        <w:t xml:space="preserve">for </w:t>
      </w:r>
      <w:r w:rsidRPr="00C10739">
        <w:t xml:space="preserve">the petty cash expenditure, in some purchases with a negotiated market </w:t>
      </w:r>
      <w:r w:rsidR="00733980">
        <w:t xml:space="preserve">requiring </w:t>
      </w:r>
      <w:r w:rsidRPr="00C10739">
        <w:t xml:space="preserve">at least 3 </w:t>
      </w:r>
      <w:r w:rsidR="00852BCA">
        <w:t>bids</w:t>
      </w:r>
      <w:r w:rsidRPr="00C10739">
        <w:t xml:space="preserve">, </w:t>
      </w:r>
      <w:r w:rsidR="00F80D17">
        <w:t>no explanation (for instance a note)</w:t>
      </w:r>
      <w:r w:rsidRPr="00C10739">
        <w:t xml:space="preserve"> </w:t>
      </w:r>
      <w:r w:rsidR="00F80D17">
        <w:t xml:space="preserve">was </w:t>
      </w:r>
      <w:r w:rsidR="00736B3E">
        <w:t>found</w:t>
      </w:r>
      <w:r w:rsidR="00F80D17">
        <w:t xml:space="preserve"> </w:t>
      </w:r>
      <w:r w:rsidRPr="00C10739">
        <w:t xml:space="preserve">in order to justify the </w:t>
      </w:r>
      <w:r w:rsidR="00736B3E">
        <w:t xml:space="preserve">fact that it had been impossible to carry </w:t>
      </w:r>
      <w:r w:rsidR="00F80D17">
        <w:t xml:space="preserve">out </w:t>
      </w:r>
      <w:r w:rsidRPr="00C10739">
        <w:t xml:space="preserve">a negotiated </w:t>
      </w:r>
      <w:r w:rsidR="00736B3E">
        <w:t>procedure</w:t>
      </w:r>
      <w:r w:rsidRPr="00C10739">
        <w:t xml:space="preserve"> with 3 </w:t>
      </w:r>
      <w:r w:rsidR="00852BCA">
        <w:t>bids</w:t>
      </w:r>
      <w:r w:rsidRPr="00C10739">
        <w:t>.</w:t>
      </w:r>
    </w:p>
    <w:p w14:paraId="6DC45F64" w14:textId="77777777" w:rsidR="00555191" w:rsidRPr="00C10739" w:rsidRDefault="00555191" w:rsidP="00B4431B">
      <w:pPr>
        <w:pStyle w:val="elencoconletteremaiuscole"/>
      </w:pPr>
      <w:r w:rsidRPr="00C10739">
        <w:t>Following the IAU recommendation</w:t>
      </w:r>
      <w:r w:rsidR="00504F53">
        <w:t xml:space="preserve"> </w:t>
      </w:r>
      <w:r w:rsidRPr="00C10739">
        <w:t xml:space="preserve">#6.6 that, </w:t>
      </w:r>
      <w:r w:rsidR="00736B3E">
        <w:t xml:space="preserve">in </w:t>
      </w:r>
      <w:r w:rsidRPr="00C10739">
        <w:t>accord</w:t>
      </w:r>
      <w:r w:rsidR="00736B3E">
        <w:t xml:space="preserve">ance with </w:t>
      </w:r>
      <w:r w:rsidRPr="00C10739">
        <w:t>best practice</w:t>
      </w:r>
      <w:r w:rsidR="00504F53">
        <w:t>s</w:t>
      </w:r>
      <w:r w:rsidRPr="00C10739">
        <w:t xml:space="preserve">, </w:t>
      </w:r>
      <w:r w:rsidR="00736B3E">
        <w:t xml:space="preserve">the </w:t>
      </w:r>
      <w:r w:rsidRPr="00C10739">
        <w:t>RD should carry out yearly unannounced petty cash checks</w:t>
      </w:r>
      <w:r w:rsidR="00733980">
        <w:t>,</w:t>
      </w:r>
      <w:r w:rsidRPr="00C10739">
        <w:t xml:space="preserve"> we </w:t>
      </w:r>
      <w:r w:rsidR="00504F53">
        <w:t>found</w:t>
      </w:r>
      <w:r w:rsidR="00504F53" w:rsidRPr="00C10739">
        <w:t xml:space="preserve"> </w:t>
      </w:r>
      <w:r w:rsidRPr="00C10739">
        <w:t>that this ha</w:t>
      </w:r>
      <w:r w:rsidR="00733980">
        <w:t>d</w:t>
      </w:r>
      <w:r w:rsidRPr="00C10739">
        <w:t xml:space="preserve"> not been </w:t>
      </w:r>
      <w:r w:rsidR="00736B3E">
        <w:t>done for</w:t>
      </w:r>
      <w:r w:rsidRPr="00C10739">
        <w:t xml:space="preserve"> one AO </w:t>
      </w:r>
      <w:r w:rsidR="00736B3E">
        <w:t xml:space="preserve">that </w:t>
      </w:r>
      <w:r w:rsidRPr="00C10739">
        <w:t>the RD ha</w:t>
      </w:r>
      <w:r w:rsidR="00736B3E">
        <w:t>d</w:t>
      </w:r>
      <w:r w:rsidRPr="00C10739">
        <w:t xml:space="preserve"> not yet </w:t>
      </w:r>
      <w:r w:rsidR="00736B3E">
        <w:t>visited</w:t>
      </w:r>
      <w:r w:rsidRPr="00C10739">
        <w:t xml:space="preserve">. Furthermore, we observed that there </w:t>
      </w:r>
      <w:r w:rsidR="00736B3E">
        <w:t>was</w:t>
      </w:r>
      <w:r w:rsidRPr="00C10739">
        <w:t xml:space="preserve"> no standard form t</w:t>
      </w:r>
      <w:r w:rsidR="00733980">
        <w:t xml:space="preserve">o be utilized by the </w:t>
      </w:r>
      <w:r w:rsidRPr="00C10739">
        <w:t xml:space="preserve">RD for reporting </w:t>
      </w:r>
      <w:r w:rsidR="00733980">
        <w:t xml:space="preserve">on </w:t>
      </w:r>
      <w:r w:rsidRPr="00C10739">
        <w:t>the checks performed</w:t>
      </w:r>
      <w:r w:rsidR="00733980">
        <w:t xml:space="preserve">. There is not even a </w:t>
      </w:r>
      <w:r w:rsidRPr="00C10739">
        <w:t>detailed procedure</w:t>
      </w:r>
      <w:r w:rsidR="00733980">
        <w:t>,</w:t>
      </w:r>
      <w:r w:rsidRPr="00C10739">
        <w:t xml:space="preserve"> issued by HQ</w:t>
      </w:r>
      <w:r w:rsidR="00733980">
        <w:t>,</w:t>
      </w:r>
      <w:r w:rsidRPr="00C10739">
        <w:t xml:space="preserve"> </w:t>
      </w:r>
      <w:r w:rsidR="00736B3E">
        <w:t xml:space="preserve">as to </w:t>
      </w:r>
      <w:r w:rsidRPr="00C10739">
        <w:t>how these unannounced checks should</w:t>
      </w:r>
      <w:r w:rsidR="00733980">
        <w:t xml:space="preserve"> be </w:t>
      </w:r>
      <w:r w:rsidR="00736B3E">
        <w:t>performed</w:t>
      </w:r>
      <w:r w:rsidR="00733980">
        <w:t>.</w:t>
      </w:r>
    </w:p>
    <w:p w14:paraId="218C66E2" w14:textId="77777777" w:rsidR="00555191" w:rsidRPr="00C10739" w:rsidRDefault="00555191" w:rsidP="00B4431B">
      <w:pPr>
        <w:pStyle w:val="elencoconletteremaiuscole"/>
      </w:pPr>
      <w:r w:rsidRPr="00C10739">
        <w:t xml:space="preserve">During our analysis of petty cash, we observed that some </w:t>
      </w:r>
      <w:r w:rsidR="00736B3E">
        <w:t xml:space="preserve">items </w:t>
      </w:r>
      <w:r w:rsidRPr="00C10739">
        <w:t xml:space="preserve">of </w:t>
      </w:r>
      <w:r w:rsidR="00736B3E" w:rsidRPr="00C10739">
        <w:t>expenditure</w:t>
      </w:r>
      <w:r w:rsidR="00736B3E">
        <w:t xml:space="preserve"> had not been </w:t>
      </w:r>
      <w:r w:rsidR="00D65E1E">
        <w:t>duly authorized</w:t>
      </w:r>
      <w:r w:rsidR="00736B3E">
        <w:t>;</w:t>
      </w:r>
      <w:r w:rsidR="00D65E1E">
        <w:t xml:space="preserve"> for instance, </w:t>
      </w:r>
      <w:r w:rsidRPr="00C10739">
        <w:t>w</w:t>
      </w:r>
      <w:r w:rsidR="00D65E1E">
        <w:t>e</w:t>
      </w:r>
      <w:r w:rsidRPr="00C10739">
        <w:t xml:space="preserve"> only found the signature </w:t>
      </w:r>
      <w:r w:rsidR="00736B3E">
        <w:t xml:space="preserve">by </w:t>
      </w:r>
      <w:r w:rsidRPr="00C10739">
        <w:t>a G</w:t>
      </w:r>
      <w:r w:rsidR="00736B3E">
        <w:t xml:space="preserve"> grade</w:t>
      </w:r>
      <w:r w:rsidRPr="00C10739">
        <w:t xml:space="preserve"> </w:t>
      </w:r>
      <w:r w:rsidR="00736B3E">
        <w:t>employee.</w:t>
      </w:r>
    </w:p>
    <w:p w14:paraId="2253A0C7" w14:textId="77777777" w:rsidR="00555191" w:rsidRPr="00C10739" w:rsidRDefault="00555191" w:rsidP="00555191"/>
    <w:p w14:paraId="7D4BC05D" w14:textId="77777777" w:rsidR="00543DEA" w:rsidRDefault="00543DEA" w:rsidP="00543DEA">
      <w:pPr>
        <w:pStyle w:val="titoloracc"/>
      </w:pPr>
    </w:p>
    <w:p w14:paraId="5E1FBA53" w14:textId="77777777" w:rsidR="00555191" w:rsidRPr="00C10739" w:rsidRDefault="00555191" w:rsidP="00B4431B">
      <w:pPr>
        <w:pStyle w:val="recesug"/>
      </w:pPr>
      <w:r w:rsidRPr="00C10739">
        <w:t xml:space="preserve">In relation to A): </w:t>
      </w:r>
      <w:r w:rsidRPr="00B567A6">
        <w:rPr>
          <w:u w:val="single"/>
        </w:rPr>
        <w:t>we recommend</w:t>
      </w:r>
      <w:r w:rsidRPr="00C10739">
        <w:t xml:space="preserve"> adopting a standardised report form to record any exceptions, with the signature of the </w:t>
      </w:r>
      <w:r w:rsidR="00E47C1F">
        <w:t>senior</w:t>
      </w:r>
      <w:r w:rsidRPr="00C10739">
        <w:t xml:space="preserve"> offic</w:t>
      </w:r>
      <w:r w:rsidR="00E47C1F">
        <w:t xml:space="preserve">ial who has approved </w:t>
      </w:r>
      <w:r w:rsidRPr="00C10739">
        <w:t xml:space="preserve">the exception. </w:t>
      </w:r>
      <w:r w:rsidR="00E47C1F">
        <w:t>A</w:t>
      </w:r>
      <w:r w:rsidRPr="00C10739">
        <w:t xml:space="preserve">n exception register </w:t>
      </w:r>
      <w:r w:rsidR="00E47C1F" w:rsidRPr="00C10739">
        <w:t>might also be create</w:t>
      </w:r>
      <w:r w:rsidR="00E47C1F">
        <w:t>d</w:t>
      </w:r>
      <w:r w:rsidR="00E47C1F" w:rsidRPr="00C10739">
        <w:t xml:space="preserve"> </w:t>
      </w:r>
      <w:r w:rsidRPr="00C10739">
        <w:t xml:space="preserve">for effective monitoring by HQ (this might also be </w:t>
      </w:r>
      <w:r w:rsidR="00D65E1E">
        <w:t>extended to areas other than petty cash management).</w:t>
      </w:r>
    </w:p>
    <w:p w14:paraId="023BFCD0" w14:textId="77777777" w:rsidR="00555191" w:rsidRPr="00C10739" w:rsidRDefault="00555191" w:rsidP="00B4431B">
      <w:pPr>
        <w:pStyle w:val="recesug"/>
      </w:pPr>
      <w:r w:rsidRPr="00C10739">
        <w:t xml:space="preserve">In relation to B) we share the </w:t>
      </w:r>
      <w:r w:rsidR="00E47C1F">
        <w:t xml:space="preserve">IAU’s </w:t>
      </w:r>
      <w:r w:rsidRPr="00C10739">
        <w:t>view</w:t>
      </w:r>
      <w:r w:rsidR="00E47C1F">
        <w:t>. H</w:t>
      </w:r>
      <w:r w:rsidRPr="00C10739">
        <w:t xml:space="preserve">owever, due to the fact that </w:t>
      </w:r>
      <w:r w:rsidR="00E47C1F">
        <w:t>AOs are geographically dispersed</w:t>
      </w:r>
      <w:r w:rsidRPr="00C10739">
        <w:t xml:space="preserve">, effective unannounced </w:t>
      </w:r>
      <w:r w:rsidR="00E47C1F" w:rsidRPr="00C10739">
        <w:t xml:space="preserve">on-the-spot </w:t>
      </w:r>
      <w:r w:rsidRPr="00C10739">
        <w:t>check</w:t>
      </w:r>
      <w:r w:rsidR="00E47C1F">
        <w:t>s</w:t>
      </w:r>
      <w:r w:rsidRPr="00C10739">
        <w:t xml:space="preserve"> </w:t>
      </w:r>
      <w:r w:rsidR="00E47C1F">
        <w:t>are</w:t>
      </w:r>
      <w:r w:rsidRPr="00C10739">
        <w:t xml:space="preserve"> </w:t>
      </w:r>
      <w:r w:rsidR="00D65E1E">
        <w:t xml:space="preserve">only </w:t>
      </w:r>
      <w:r w:rsidRPr="00C10739">
        <w:t>feasible in the Regional Office where the RD is resident. For instance, an AO receiving the RD for any operati</w:t>
      </w:r>
      <w:r w:rsidR="00D65E1E">
        <w:t>onal</w:t>
      </w:r>
      <w:r w:rsidRPr="00C10739">
        <w:t xml:space="preserve"> mission might reveal a potential unannounced check</w:t>
      </w:r>
      <w:r w:rsidR="00E47C1F">
        <w:t xml:space="preserve"> </w:t>
      </w:r>
      <w:r w:rsidR="00E47C1F" w:rsidRPr="00C10739">
        <w:t>in advance to the Area Office Management</w:t>
      </w:r>
      <w:r w:rsidRPr="00C10739">
        <w:t xml:space="preserve">, </w:t>
      </w:r>
      <w:r w:rsidR="00E47C1F">
        <w:t xml:space="preserve">thus making the check lose </w:t>
      </w:r>
      <w:r w:rsidRPr="00C10739">
        <w:t>part of its effectiveness. In order to increase the level of effectiveness of unannounced checks o</w:t>
      </w:r>
      <w:r w:rsidR="00E47C1F">
        <w:t>n</w:t>
      </w:r>
      <w:r w:rsidRPr="00C10739">
        <w:t xml:space="preserve"> petty cash, </w:t>
      </w:r>
      <w:r w:rsidRPr="00E47C1F">
        <w:rPr>
          <w:u w:val="single"/>
        </w:rPr>
        <w:t>we therefore recommend</w:t>
      </w:r>
      <w:r w:rsidRPr="00C10739">
        <w:t xml:space="preserve"> that </w:t>
      </w:r>
      <w:r w:rsidR="00E47C1F">
        <w:t xml:space="preserve">the </w:t>
      </w:r>
      <w:r w:rsidRPr="00C10739">
        <w:t>Regional Director should receive monthly reports o</w:t>
      </w:r>
      <w:r w:rsidR="00E47C1F">
        <w:t>n</w:t>
      </w:r>
      <w:r w:rsidRPr="00C10739">
        <w:t xml:space="preserve"> petty cash expenditure from all the AOs (at the moment, AOs only send their reports directly to HQ), so as to have an opportunity to perform recurrent desk reviews, sign</w:t>
      </w:r>
      <w:r w:rsidR="00E47C1F">
        <w:t xml:space="preserve"> them off</w:t>
      </w:r>
      <w:r w:rsidRPr="00C10739">
        <w:t xml:space="preserve"> and then forward th</w:t>
      </w:r>
      <w:r w:rsidR="00E47C1F">
        <w:t>e</w:t>
      </w:r>
      <w:r w:rsidRPr="00C10739">
        <w:t>se reports to HQ. Following the same logic, unannounced checks t</w:t>
      </w:r>
      <w:r w:rsidR="00880BB2">
        <w:t>h</w:t>
      </w:r>
      <w:r w:rsidRPr="00C10739">
        <w:t xml:space="preserve">rough desk reviews might </w:t>
      </w:r>
      <w:r w:rsidR="00880BB2">
        <w:t xml:space="preserve">also </w:t>
      </w:r>
      <w:r w:rsidRPr="00C10739">
        <w:t xml:space="preserve">be </w:t>
      </w:r>
      <w:r w:rsidR="00E47C1F">
        <w:t>performed</w:t>
      </w:r>
      <w:r w:rsidRPr="00C10739">
        <w:t xml:space="preserve"> by HQ on the RO where the Director is resident</w:t>
      </w:r>
      <w:r w:rsidR="00880BB2">
        <w:t xml:space="preserve"> </w:t>
      </w:r>
      <w:r w:rsidRPr="00C10739">
        <w:t xml:space="preserve">(please </w:t>
      </w:r>
      <w:r w:rsidR="00E47C1F">
        <w:t>see</w:t>
      </w:r>
      <w:r w:rsidRPr="00C10739">
        <w:t xml:space="preserve"> our recommendation </w:t>
      </w:r>
      <w:r w:rsidR="00E47C1F">
        <w:t xml:space="preserve">on </w:t>
      </w:r>
      <w:r w:rsidRPr="00C10739">
        <w:t>Banking operations)</w:t>
      </w:r>
      <w:r w:rsidR="00880BB2">
        <w:t>.</w:t>
      </w:r>
      <w:r w:rsidRPr="00C10739">
        <w:t xml:space="preserve"> Furthermore, </w:t>
      </w:r>
      <w:r w:rsidRPr="00E47C1F">
        <w:rPr>
          <w:u w:val="single"/>
        </w:rPr>
        <w:t>we recommend</w:t>
      </w:r>
      <w:r w:rsidRPr="00C10739">
        <w:t xml:space="preserve"> that a specific procedure and template should be adopted at HQ and be followed by all the RO Directors.</w:t>
      </w:r>
    </w:p>
    <w:p w14:paraId="525E784D" w14:textId="77777777" w:rsidR="00555191" w:rsidRPr="00C10739" w:rsidRDefault="00555191" w:rsidP="00B4431B">
      <w:pPr>
        <w:pStyle w:val="recesug"/>
      </w:pPr>
      <w:r w:rsidRPr="00C10739">
        <w:t xml:space="preserve">In relation to C), although we refer to petty cash expenditures and the purchase of stationery or other items for the normal running of the office, </w:t>
      </w:r>
      <w:r w:rsidRPr="009C60CC">
        <w:rPr>
          <w:u w:val="single"/>
        </w:rPr>
        <w:t>we recommend</w:t>
      </w:r>
      <w:r w:rsidRPr="00C10739">
        <w:t xml:space="preserve"> that there should be a template for every purchase request indicating the “initiating Agent”, as well as the person who authorizes th</w:t>
      </w:r>
      <w:r w:rsidR="00C95736">
        <w:t>e</w:t>
      </w:r>
      <w:r w:rsidRPr="00C10739">
        <w:t xml:space="preserve"> specific purchase, such as the RD and/or the AO Manager.</w:t>
      </w:r>
    </w:p>
    <w:p w14:paraId="0D39F96B" w14:textId="77777777" w:rsidR="00555191" w:rsidRPr="00C10739" w:rsidRDefault="00555191" w:rsidP="00555191"/>
    <w:p w14:paraId="04224761" w14:textId="77777777" w:rsidR="00555191" w:rsidRPr="00173AFF" w:rsidRDefault="00555191" w:rsidP="00543DEA">
      <w:pPr>
        <w:pStyle w:val="titcomments"/>
        <w:rPr>
          <w:lang w:val="en-US"/>
        </w:rPr>
      </w:pPr>
      <w:r w:rsidRPr="00173AFF">
        <w:rPr>
          <w:lang w:val="en-US"/>
        </w:rPr>
        <w:t>Comments by ITU</w:t>
      </w:r>
    </w:p>
    <w:p w14:paraId="32190EFC" w14:textId="77777777" w:rsidR="00683FB5" w:rsidRPr="00A7184F" w:rsidRDefault="00683FB5" w:rsidP="00A7184F">
      <w:pPr>
        <w:pStyle w:val="titcomments"/>
        <w:jc w:val="left"/>
        <w:rPr>
          <w:b w:val="0"/>
          <w:bCs w:val="0"/>
          <w:i w:val="0"/>
          <w:iCs/>
          <w:lang w:val="en-US"/>
        </w:rPr>
      </w:pPr>
      <w:r w:rsidRPr="00D76A8F">
        <w:rPr>
          <w:b w:val="0"/>
          <w:bCs w:val="0"/>
          <w:i w:val="0"/>
          <w:iCs/>
          <w:lang w:val="en-US"/>
        </w:rPr>
        <w:t>ITU has taken note of Recommendation</w:t>
      </w:r>
      <w:r>
        <w:rPr>
          <w:b w:val="0"/>
          <w:bCs w:val="0"/>
          <w:i w:val="0"/>
          <w:iCs/>
          <w:lang w:val="en-US"/>
        </w:rPr>
        <w:t xml:space="preserve"> </w:t>
      </w:r>
      <w:r w:rsidR="000534A7">
        <w:rPr>
          <w:b w:val="0"/>
          <w:bCs w:val="0"/>
          <w:i w:val="0"/>
          <w:iCs/>
          <w:lang w:val="en-US"/>
        </w:rPr>
        <w:t xml:space="preserve">n. </w:t>
      </w:r>
      <w:r>
        <w:rPr>
          <w:b w:val="0"/>
          <w:bCs w:val="0"/>
          <w:i w:val="0"/>
          <w:iCs/>
          <w:lang w:val="en-US"/>
        </w:rPr>
        <w:t>12.</w:t>
      </w:r>
      <w:r w:rsidR="00A7184F">
        <w:rPr>
          <w:b w:val="0"/>
          <w:bCs w:val="0"/>
          <w:i w:val="0"/>
          <w:iCs/>
          <w:lang w:val="en-US"/>
        </w:rPr>
        <w:t xml:space="preserve"> </w:t>
      </w:r>
      <w:r w:rsidR="00A7184F" w:rsidRPr="00A7184F">
        <w:rPr>
          <w:b w:val="0"/>
          <w:bCs w:val="0"/>
          <w:i w:val="0"/>
          <w:iCs/>
          <w:lang w:val="en-US"/>
        </w:rPr>
        <w:t>ITU would like to highlight</w:t>
      </w:r>
      <w:r w:rsidR="00A7184F">
        <w:rPr>
          <w:b w:val="0"/>
          <w:bCs w:val="0"/>
          <w:i w:val="0"/>
          <w:iCs/>
          <w:lang w:val="en-US"/>
        </w:rPr>
        <w:t xml:space="preserve"> the following: </w:t>
      </w:r>
    </w:p>
    <w:p w14:paraId="06609C9D" w14:textId="77777777" w:rsidR="00683FB5" w:rsidRDefault="000534A7" w:rsidP="000534A7">
      <w:pPr>
        <w:pStyle w:val="testocomments"/>
        <w:rPr>
          <w:noProof/>
        </w:rPr>
      </w:pPr>
      <w:r>
        <w:rPr>
          <w:noProof/>
        </w:rPr>
        <w:t>In relation to A), p</w:t>
      </w:r>
      <w:r w:rsidR="00683FB5">
        <w:rPr>
          <w:noProof/>
        </w:rPr>
        <w:t>etty cash is used for small purchases which do not nornally require 3 offers.</w:t>
      </w:r>
    </w:p>
    <w:p w14:paraId="4364D5F4" w14:textId="77777777" w:rsidR="00683FB5" w:rsidRDefault="000534A7" w:rsidP="000534A7">
      <w:pPr>
        <w:pStyle w:val="testocomments"/>
        <w:rPr>
          <w:noProof/>
        </w:rPr>
      </w:pPr>
      <w:r>
        <w:rPr>
          <w:noProof/>
        </w:rPr>
        <w:t>In relation to B), s</w:t>
      </w:r>
      <w:r w:rsidR="00683FB5">
        <w:rPr>
          <w:noProof/>
        </w:rPr>
        <w:t>ummary petty cash reports from area offices can be shared with Regional Directors.  In addition, the recommendation on “unannounced checks” will be further explored.</w:t>
      </w:r>
    </w:p>
    <w:p w14:paraId="0E70BDD9" w14:textId="77777777" w:rsidR="00555191" w:rsidRPr="00173AFF" w:rsidRDefault="000534A7" w:rsidP="000534A7">
      <w:pPr>
        <w:pStyle w:val="testocomments"/>
        <w:rPr>
          <w:lang w:val="en-US"/>
        </w:rPr>
      </w:pPr>
      <w:r>
        <w:rPr>
          <w:noProof/>
        </w:rPr>
        <w:t>In relation to C), m</w:t>
      </w:r>
      <w:r w:rsidR="00683FB5">
        <w:rPr>
          <w:noProof/>
        </w:rPr>
        <w:t>onthly petty cash reports are all signed by regional directors and heads of area offices.  In addition, purchases are done through electronic shopping cart procedures which provide all the necessary approvals and background information.</w:t>
      </w:r>
    </w:p>
    <w:p w14:paraId="162FD6E5" w14:textId="77777777" w:rsidR="00555191" w:rsidRPr="00173AFF" w:rsidRDefault="00555191" w:rsidP="00555191">
      <w:pPr>
        <w:rPr>
          <w:lang w:val="en-US"/>
        </w:rPr>
      </w:pPr>
    </w:p>
    <w:p w14:paraId="4453D759" w14:textId="77777777" w:rsidR="00B46A31" w:rsidRPr="00AB5E25" w:rsidRDefault="00B46A31" w:rsidP="00504F53">
      <w:pPr>
        <w:pStyle w:val="Heading3"/>
      </w:pPr>
      <w:bookmarkStart w:id="45" w:name="_Toc526772268"/>
      <w:r w:rsidRPr="00AB5E25">
        <w:t xml:space="preserve">Enhancing financial accountability </w:t>
      </w:r>
      <w:r>
        <w:t xml:space="preserve">through a </w:t>
      </w:r>
      <w:r w:rsidR="005E2427">
        <w:t xml:space="preserve">better </w:t>
      </w:r>
      <w:r w:rsidRPr="00AB5E25">
        <w:t>use of</w:t>
      </w:r>
      <w:r>
        <w:t xml:space="preserve"> UNDP systems </w:t>
      </w:r>
      <w:r w:rsidRPr="00AB5E25">
        <w:t>in Regional and Area Offices</w:t>
      </w:r>
      <w:bookmarkEnd w:id="45"/>
      <w:r w:rsidRPr="00AB5E25">
        <w:t xml:space="preserve"> </w:t>
      </w:r>
    </w:p>
    <w:p w14:paraId="5F794819" w14:textId="77777777" w:rsidR="00555191" w:rsidRPr="00C10739" w:rsidRDefault="005E2427" w:rsidP="00504F53">
      <w:pPr>
        <w:pStyle w:val="testobase"/>
      </w:pPr>
      <w:r>
        <w:t xml:space="preserve">In relation to </w:t>
      </w:r>
      <w:r w:rsidR="00A6705F">
        <w:t>b</w:t>
      </w:r>
      <w:r>
        <w:t>ank</w:t>
      </w:r>
      <w:r w:rsidR="00555191" w:rsidRPr="00C10739">
        <w:t xml:space="preserve"> operations at </w:t>
      </w:r>
      <w:r w:rsidR="00C95736">
        <w:t xml:space="preserve">the </w:t>
      </w:r>
      <w:r w:rsidR="00555191" w:rsidRPr="00C10739">
        <w:t>AMS RO</w:t>
      </w:r>
      <w:r>
        <w:t>,</w:t>
      </w:r>
      <w:r w:rsidR="00555191" w:rsidRPr="00C10739">
        <w:t xml:space="preserve"> a monthly statement </w:t>
      </w:r>
      <w:r>
        <w:t xml:space="preserve">is drafted </w:t>
      </w:r>
      <w:r w:rsidR="0019174F">
        <w:t xml:space="preserve">following a template that provides for </w:t>
      </w:r>
      <w:r w:rsidR="00555191" w:rsidRPr="00C10739">
        <w:t xml:space="preserve">three different signatures. We </w:t>
      </w:r>
      <w:r w:rsidR="00C95736">
        <w:t xml:space="preserve">found </w:t>
      </w:r>
      <w:r w:rsidR="00555191" w:rsidRPr="00C10739">
        <w:t>that</w:t>
      </w:r>
      <w:r w:rsidR="00C95736">
        <w:t>,</w:t>
      </w:r>
      <w:r w:rsidR="0019174F">
        <w:t xml:space="preserve"> in practice</w:t>
      </w:r>
      <w:r w:rsidR="00C95736">
        <w:t>,</w:t>
      </w:r>
      <w:r w:rsidR="0019174F">
        <w:t xml:space="preserve"> </w:t>
      </w:r>
      <w:r w:rsidR="00555191" w:rsidRPr="00C10739">
        <w:t xml:space="preserve">not all the 3 signatures </w:t>
      </w:r>
      <w:r w:rsidR="00116F6C">
        <w:t>we</w:t>
      </w:r>
      <w:r w:rsidR="00555191" w:rsidRPr="00C10739">
        <w:t xml:space="preserve">re </w:t>
      </w:r>
      <w:r w:rsidR="0019174F">
        <w:t xml:space="preserve">always </w:t>
      </w:r>
      <w:r w:rsidR="00555191" w:rsidRPr="00C10739">
        <w:t>provided and sometimes the same person sign</w:t>
      </w:r>
      <w:r w:rsidR="00A6705F">
        <w:t>ed twice.</w:t>
      </w:r>
      <w:r w:rsidR="00555191" w:rsidRPr="00C10739">
        <w:t xml:space="preserve"> </w:t>
      </w:r>
    </w:p>
    <w:p w14:paraId="4ACFCDF5" w14:textId="77777777" w:rsidR="00555191" w:rsidRPr="00E47406" w:rsidRDefault="00555191" w:rsidP="00B4431B">
      <w:pPr>
        <w:pStyle w:val="testobase"/>
      </w:pPr>
      <w:r w:rsidRPr="00E47406">
        <w:t xml:space="preserve">Furthermore, we observed that </w:t>
      </w:r>
      <w:r w:rsidR="00A6705F">
        <w:t xml:space="preserve">ITU used the UNDP account for petty cash transactions </w:t>
      </w:r>
      <w:r w:rsidRPr="00E47406">
        <w:t xml:space="preserve">in </w:t>
      </w:r>
      <w:r w:rsidR="00A6705F">
        <w:t xml:space="preserve">the </w:t>
      </w:r>
      <w:r w:rsidRPr="00E47406">
        <w:t>SCL AO,</w:t>
      </w:r>
      <w:r w:rsidR="0019174F" w:rsidRPr="00E47406">
        <w:t xml:space="preserve"> </w:t>
      </w:r>
      <w:r w:rsidR="00A6705F">
        <w:t xml:space="preserve">as it does not have </w:t>
      </w:r>
      <w:r w:rsidR="0019174F" w:rsidRPr="00E47406">
        <w:t>a</w:t>
      </w:r>
      <w:r w:rsidR="00A6705F">
        <w:t xml:space="preserve"> </w:t>
      </w:r>
      <w:r w:rsidRPr="00E47406">
        <w:t>H</w:t>
      </w:r>
      <w:r w:rsidR="0019174F" w:rsidRPr="00E47406">
        <w:t xml:space="preserve">ost State Agreement, </w:t>
      </w:r>
      <w:r w:rsidRPr="00E47406">
        <w:t xml:space="preserve">but UNDP transfers local currency </w:t>
      </w:r>
      <w:r w:rsidR="00A6705F">
        <w:t>to</w:t>
      </w:r>
      <w:r w:rsidRPr="00E47406">
        <w:t xml:space="preserve"> the private account of </w:t>
      </w:r>
      <w:r w:rsidR="0019174F" w:rsidRPr="00E47406">
        <w:t xml:space="preserve">one </w:t>
      </w:r>
      <w:r w:rsidRPr="00E47406">
        <w:t>staff</w:t>
      </w:r>
      <w:r w:rsidR="0019174F" w:rsidRPr="00E47406">
        <w:t xml:space="preserve"> member.</w:t>
      </w:r>
    </w:p>
    <w:p w14:paraId="211D18E8" w14:textId="77777777" w:rsidR="00555191" w:rsidRPr="00C10739" w:rsidRDefault="00555191" w:rsidP="00555191"/>
    <w:p w14:paraId="74513B25" w14:textId="77777777" w:rsidR="00543DEA" w:rsidRDefault="00543DEA" w:rsidP="00543DEA">
      <w:pPr>
        <w:pStyle w:val="titoloracc"/>
      </w:pPr>
    </w:p>
    <w:p w14:paraId="6B56E37D" w14:textId="77777777" w:rsidR="00555191" w:rsidRPr="00C10739" w:rsidRDefault="00555191" w:rsidP="00A6705F">
      <w:pPr>
        <w:pStyle w:val="recesug"/>
      </w:pPr>
      <w:r w:rsidRPr="00C10739">
        <w:t xml:space="preserve">In relation to bank operations, </w:t>
      </w:r>
      <w:r w:rsidRPr="00CE502D">
        <w:rPr>
          <w:u w:val="single"/>
        </w:rPr>
        <w:t>we recommend</w:t>
      </w:r>
      <w:r w:rsidRPr="00C10739">
        <w:t xml:space="preserve"> that a </w:t>
      </w:r>
      <w:r w:rsidR="0019174F">
        <w:t>strict</w:t>
      </w:r>
      <w:r w:rsidRPr="00C10739">
        <w:t xml:space="preserve"> procedure should be implemented for all the ROs, whereby the third signature </w:t>
      </w:r>
      <w:r w:rsidR="00A6705F">
        <w:t>for</w:t>
      </w:r>
      <w:r w:rsidRPr="00C10739">
        <w:t xml:space="preserve"> bank operations</w:t>
      </w:r>
      <w:r w:rsidR="00A6705F">
        <w:t xml:space="preserve"> should be provided by the RD</w:t>
      </w:r>
      <w:r w:rsidRPr="00C10739">
        <w:t>, even whe</w:t>
      </w:r>
      <w:r w:rsidR="00A6705F">
        <w:t>re the operation is</w:t>
      </w:r>
      <w:r w:rsidRPr="00C10739">
        <w:t xml:space="preserve"> carried out at Area Office l</w:t>
      </w:r>
      <w:r w:rsidR="0019174F">
        <w:t>evel</w:t>
      </w:r>
      <w:r w:rsidR="00A6705F">
        <w:t>.</w:t>
      </w:r>
      <w:r w:rsidR="0019174F">
        <w:t xml:space="preserve"> </w:t>
      </w:r>
      <w:r w:rsidR="00A6705F">
        <w:t xml:space="preserve">The RD </w:t>
      </w:r>
      <w:r w:rsidR="0019174F">
        <w:t>can thus</w:t>
      </w:r>
      <w:r w:rsidRPr="00C10739">
        <w:t xml:space="preserve"> </w:t>
      </w:r>
      <w:r w:rsidR="00A6705F">
        <w:t xml:space="preserve">be </w:t>
      </w:r>
      <w:r w:rsidRPr="00C10739">
        <w:t>held responsible for all the transactions</w:t>
      </w:r>
      <w:r w:rsidR="0019174F">
        <w:t>.</w:t>
      </w:r>
      <w:r w:rsidRPr="00C10739">
        <w:t xml:space="preserve"> with </w:t>
      </w:r>
      <w:r w:rsidR="0019174F">
        <w:t>b</w:t>
      </w:r>
      <w:r w:rsidRPr="00C10739">
        <w:t>anks. In our view, a revision of the procedure with UNDP is also necessary in order to avoid th</w:t>
      </w:r>
      <w:r w:rsidR="00A6705F">
        <w:t>e</w:t>
      </w:r>
      <w:r w:rsidRPr="00C10739">
        <w:t xml:space="preserve"> personal accounts of </w:t>
      </w:r>
      <w:r w:rsidR="0019174F">
        <w:t>s</w:t>
      </w:r>
      <w:r w:rsidRPr="00C10739">
        <w:t xml:space="preserve">taff </w:t>
      </w:r>
      <w:r w:rsidR="0019174F">
        <w:t xml:space="preserve">members </w:t>
      </w:r>
      <w:r w:rsidR="00A6705F">
        <w:t xml:space="preserve">being </w:t>
      </w:r>
      <w:r w:rsidRPr="00C10739">
        <w:t xml:space="preserve">involved in any </w:t>
      </w:r>
      <w:r w:rsidR="00A6705F">
        <w:t xml:space="preserve">ITU </w:t>
      </w:r>
      <w:r w:rsidRPr="00C10739">
        <w:t>operations</w:t>
      </w:r>
      <w:r w:rsidR="00A6705F">
        <w:t>.</w:t>
      </w:r>
      <w:r w:rsidR="00A6705F" w:rsidRPr="00C10739">
        <w:t xml:space="preserve"> </w:t>
      </w:r>
    </w:p>
    <w:p w14:paraId="7F6225B9" w14:textId="77777777" w:rsidR="00555191" w:rsidRPr="00173AFF" w:rsidRDefault="00555191" w:rsidP="00543DEA">
      <w:pPr>
        <w:pStyle w:val="titcomments"/>
        <w:rPr>
          <w:lang w:val="en-US"/>
        </w:rPr>
      </w:pPr>
      <w:r w:rsidRPr="00173AFF">
        <w:rPr>
          <w:lang w:val="en-US"/>
        </w:rPr>
        <w:t>Comments by ITU</w:t>
      </w:r>
    </w:p>
    <w:p w14:paraId="734E1906" w14:textId="77777777" w:rsidR="000E6214" w:rsidRPr="00BB5D54" w:rsidRDefault="001C38BE" w:rsidP="00034828">
      <w:pPr>
        <w:pStyle w:val="titcomments"/>
        <w:pBdr>
          <w:top w:val="single" w:sz="4" w:space="0" w:color="auto"/>
        </w:pBdr>
        <w:spacing w:line="319" w:lineRule="auto"/>
        <w:rPr>
          <w:b w:val="0"/>
          <w:bCs w:val="0"/>
          <w:i w:val="0"/>
          <w:iCs/>
        </w:rPr>
      </w:pPr>
      <w:r w:rsidRPr="002D3327">
        <w:rPr>
          <w:b w:val="0"/>
          <w:bCs w:val="0"/>
          <w:i w:val="0"/>
        </w:rPr>
        <w:t>ITU</w:t>
      </w:r>
      <w:r w:rsidR="000E6214" w:rsidRPr="002D3327">
        <w:rPr>
          <w:b w:val="0"/>
          <w:bCs w:val="0"/>
          <w:i w:val="0"/>
        </w:rPr>
        <w:t xml:space="preserve"> </w:t>
      </w:r>
      <w:r w:rsidR="002D3327">
        <w:rPr>
          <w:b w:val="0"/>
          <w:bCs w:val="0"/>
          <w:i w:val="0"/>
        </w:rPr>
        <w:t xml:space="preserve">has </w:t>
      </w:r>
      <w:r w:rsidR="000E6214" w:rsidRPr="002D3327">
        <w:rPr>
          <w:b w:val="0"/>
          <w:bCs w:val="0"/>
          <w:i w:val="0"/>
        </w:rPr>
        <w:t>take</w:t>
      </w:r>
      <w:r w:rsidR="002D3327">
        <w:rPr>
          <w:b w:val="0"/>
          <w:bCs w:val="0"/>
          <w:i w:val="0"/>
        </w:rPr>
        <w:t>n</w:t>
      </w:r>
      <w:r w:rsidR="000E6214" w:rsidRPr="002D3327">
        <w:rPr>
          <w:b w:val="0"/>
          <w:bCs w:val="0"/>
          <w:i w:val="0"/>
        </w:rPr>
        <w:t xml:space="preserve"> note of </w:t>
      </w:r>
      <w:r w:rsidR="002D3327">
        <w:rPr>
          <w:b w:val="0"/>
          <w:bCs w:val="0"/>
          <w:i w:val="0"/>
        </w:rPr>
        <w:t>R</w:t>
      </w:r>
      <w:r w:rsidR="000E6214" w:rsidRPr="002D3327">
        <w:rPr>
          <w:b w:val="0"/>
          <w:bCs w:val="0"/>
          <w:i w:val="0"/>
        </w:rPr>
        <w:t>ecommendation</w:t>
      </w:r>
      <w:r w:rsidR="002D3327">
        <w:rPr>
          <w:b w:val="0"/>
          <w:bCs w:val="0"/>
          <w:i w:val="0"/>
        </w:rPr>
        <w:t xml:space="preserve"> </w:t>
      </w:r>
      <w:r w:rsidR="000534A7">
        <w:rPr>
          <w:b w:val="0"/>
          <w:bCs w:val="0"/>
          <w:i w:val="0"/>
        </w:rPr>
        <w:t xml:space="preserve">n. </w:t>
      </w:r>
      <w:r w:rsidR="002D3327">
        <w:rPr>
          <w:b w:val="0"/>
          <w:bCs w:val="0"/>
          <w:i w:val="0"/>
        </w:rPr>
        <w:t>13</w:t>
      </w:r>
      <w:r w:rsidR="000E6214" w:rsidRPr="002D3327">
        <w:rPr>
          <w:b w:val="0"/>
          <w:bCs w:val="0"/>
          <w:i w:val="0"/>
        </w:rPr>
        <w:t>. However, ITU wishes to outline the difficulties for implementing this recommendation due to staff constraints and availability of RD. Requesting a third signature for all the bank transaction</w:t>
      </w:r>
      <w:r w:rsidR="00C64ECD">
        <w:rPr>
          <w:b w:val="0"/>
          <w:bCs w:val="0"/>
          <w:i w:val="0"/>
        </w:rPr>
        <w:t>s</w:t>
      </w:r>
      <w:r w:rsidR="000E6214" w:rsidRPr="002D3327">
        <w:rPr>
          <w:b w:val="0"/>
          <w:bCs w:val="0"/>
          <w:i w:val="0"/>
        </w:rPr>
        <w:t xml:space="preserve"> </w:t>
      </w:r>
      <w:r w:rsidR="00292B91">
        <w:rPr>
          <w:b w:val="0"/>
          <w:bCs w:val="0"/>
          <w:i w:val="0"/>
        </w:rPr>
        <w:t>will certainly</w:t>
      </w:r>
      <w:r w:rsidR="00292B91" w:rsidRPr="002D3327">
        <w:rPr>
          <w:b w:val="0"/>
          <w:bCs w:val="0"/>
          <w:i w:val="0"/>
        </w:rPr>
        <w:t xml:space="preserve"> </w:t>
      </w:r>
      <w:r w:rsidR="000E6214" w:rsidRPr="002D3327">
        <w:rPr>
          <w:b w:val="0"/>
          <w:bCs w:val="0"/>
          <w:i w:val="0"/>
        </w:rPr>
        <w:t>slow down the process</w:t>
      </w:r>
      <w:r w:rsidR="00A7184F">
        <w:rPr>
          <w:b w:val="0"/>
          <w:bCs w:val="0"/>
          <w:i w:val="0"/>
        </w:rPr>
        <w:t xml:space="preserve"> and have a negative impact on efficiency of field offices</w:t>
      </w:r>
      <w:r w:rsidR="000E6214" w:rsidRPr="002D3327">
        <w:rPr>
          <w:b w:val="0"/>
          <w:bCs w:val="0"/>
          <w:i w:val="0"/>
        </w:rPr>
        <w:t>.</w:t>
      </w:r>
    </w:p>
    <w:p w14:paraId="1622EDE6" w14:textId="77777777" w:rsidR="00555191" w:rsidRPr="00AB5E25" w:rsidRDefault="00CE502D" w:rsidP="00AB5E25">
      <w:pPr>
        <w:pStyle w:val="Heading3"/>
        <w:ind w:left="567"/>
      </w:pPr>
      <w:bookmarkStart w:id="46" w:name="_Toc526772269"/>
      <w:r w:rsidRPr="00AB5E25">
        <w:t xml:space="preserve">Assessing </w:t>
      </w:r>
      <w:r w:rsidR="00A6705F">
        <w:t xml:space="preserve">the </w:t>
      </w:r>
      <w:r w:rsidRPr="00AB5E25">
        <w:t xml:space="preserve">cost-effectiveness of keeping inventories at </w:t>
      </w:r>
      <w:r w:rsidR="00E95085">
        <w:t>r</w:t>
      </w:r>
      <w:r w:rsidRPr="00AB5E25">
        <w:t>egional level</w:t>
      </w:r>
      <w:bookmarkEnd w:id="46"/>
    </w:p>
    <w:p w14:paraId="550D47A0" w14:textId="77777777" w:rsidR="00555191" w:rsidRPr="00C10739" w:rsidRDefault="00555191" w:rsidP="00B4431B">
      <w:pPr>
        <w:pStyle w:val="testobase"/>
      </w:pPr>
      <w:r w:rsidRPr="00C10739">
        <w:t xml:space="preserve">During our audit we </w:t>
      </w:r>
      <w:r w:rsidR="00A6705F">
        <w:t>did not find a</w:t>
      </w:r>
      <w:r w:rsidRPr="00C10739">
        <w:t xml:space="preserve"> warehouse related to station</w:t>
      </w:r>
      <w:r w:rsidR="00A6705F">
        <w:t>e</w:t>
      </w:r>
      <w:r w:rsidRPr="00C10739">
        <w:t xml:space="preserve">ry items. Further, although ITU </w:t>
      </w:r>
      <w:r w:rsidR="00A6705F">
        <w:t xml:space="preserve">has relatively few </w:t>
      </w:r>
      <w:r w:rsidRPr="00C10739">
        <w:t xml:space="preserve">assets, </w:t>
      </w:r>
      <w:r w:rsidR="00A6705F">
        <w:t xml:space="preserve">which are </w:t>
      </w:r>
      <w:r w:rsidRPr="00C10739">
        <w:t>mainly related to IT equipment</w:t>
      </w:r>
      <w:r w:rsidR="00A6705F">
        <w:t xml:space="preserve">, as </w:t>
      </w:r>
      <w:r w:rsidRPr="00C10739">
        <w:t xml:space="preserve">most of the furniture belongs </w:t>
      </w:r>
      <w:r w:rsidR="00A6705F">
        <w:t xml:space="preserve">to </w:t>
      </w:r>
      <w:r w:rsidRPr="00C10739">
        <w:t xml:space="preserve">and is provided by the Host </w:t>
      </w:r>
      <w:r w:rsidR="007A03FC">
        <w:t>Country</w:t>
      </w:r>
      <w:r w:rsidRPr="00C10739">
        <w:t xml:space="preserve">, we found </w:t>
      </w:r>
      <w:r w:rsidR="00A6705F">
        <w:t xml:space="preserve">that </w:t>
      </w:r>
      <w:r w:rsidRPr="00C10739">
        <w:t>the inventory</w:t>
      </w:r>
      <w:r w:rsidR="00A6705F">
        <w:t xml:space="preserve"> was not accurate</w:t>
      </w:r>
      <w:r w:rsidRPr="00C10739">
        <w:t xml:space="preserve">, in particular </w:t>
      </w:r>
      <w:r w:rsidR="0019174F">
        <w:t xml:space="preserve">as regards </w:t>
      </w:r>
      <w:r w:rsidRPr="00C10739">
        <w:t>asset management</w:t>
      </w:r>
      <w:r w:rsidR="00E072BF">
        <w:t xml:space="preserve"> (individual assets</w:t>
      </w:r>
      <w:r w:rsidR="0019174F">
        <w:t xml:space="preserve"> </w:t>
      </w:r>
      <w:r w:rsidR="00A6705F">
        <w:t xml:space="preserve">were </w:t>
      </w:r>
      <w:r w:rsidRPr="00C10739">
        <w:t>not always assigned to a specific user</w:t>
      </w:r>
      <w:r w:rsidR="00E072BF">
        <w:t>)</w:t>
      </w:r>
      <w:r w:rsidRPr="00C10739">
        <w:t>. Further</w:t>
      </w:r>
      <w:r w:rsidR="0019174F">
        <w:t>more</w:t>
      </w:r>
      <w:r w:rsidRPr="00C10739">
        <w:t>, in relation to write-off</w:t>
      </w:r>
      <w:r w:rsidR="00A6705F">
        <w:t>s</w:t>
      </w:r>
      <w:r w:rsidRPr="00C10739">
        <w:t xml:space="preserve"> of assets, we </w:t>
      </w:r>
      <w:r w:rsidR="00A6705F">
        <w:t xml:space="preserve">found </w:t>
      </w:r>
      <w:r w:rsidRPr="00C10739">
        <w:t>no evidence o</w:t>
      </w:r>
      <w:r w:rsidR="00A6705F">
        <w:t>f</w:t>
      </w:r>
      <w:r w:rsidRPr="00C10739">
        <w:t xml:space="preserve"> a third-party assurance that the items had really </w:t>
      </w:r>
      <w:r w:rsidR="00A6705F">
        <w:t xml:space="preserve">been </w:t>
      </w:r>
      <w:r w:rsidRPr="00C10739">
        <w:t xml:space="preserve">disposed </w:t>
      </w:r>
      <w:r w:rsidR="00A6705F">
        <w:t xml:space="preserve">of </w:t>
      </w:r>
      <w:r w:rsidRPr="00C10739">
        <w:t xml:space="preserve">after </w:t>
      </w:r>
      <w:r w:rsidR="00A6705F">
        <w:t>being written off.</w:t>
      </w:r>
    </w:p>
    <w:p w14:paraId="7981B25E" w14:textId="77777777" w:rsidR="00555191" w:rsidRPr="00C10739" w:rsidRDefault="00555191" w:rsidP="00555191"/>
    <w:p w14:paraId="7FA4B9E7" w14:textId="77777777" w:rsidR="00082A86" w:rsidRDefault="00082A86" w:rsidP="00082A86">
      <w:pPr>
        <w:pStyle w:val="titolosugg"/>
      </w:pPr>
    </w:p>
    <w:p w14:paraId="6D7CD990" w14:textId="77777777" w:rsidR="00555191" w:rsidRPr="00C10739" w:rsidRDefault="00135EB2" w:rsidP="00555191">
      <w:pPr>
        <w:pStyle w:val="recesug"/>
      </w:pPr>
      <w:r>
        <w:t xml:space="preserve">With regard to </w:t>
      </w:r>
      <w:r w:rsidR="00555191" w:rsidRPr="00C10739">
        <w:t xml:space="preserve">the warehouse, in order </w:t>
      </w:r>
      <w:r>
        <w:t xml:space="preserve">also </w:t>
      </w:r>
      <w:r w:rsidR="00555191" w:rsidRPr="00C10739">
        <w:t xml:space="preserve">to maintain control over </w:t>
      </w:r>
      <w:r>
        <w:t xml:space="preserve">the buying </w:t>
      </w:r>
      <w:r w:rsidR="00555191" w:rsidRPr="00C10739">
        <w:t>of station</w:t>
      </w:r>
      <w:r w:rsidR="00504F53">
        <w:t>e</w:t>
      </w:r>
      <w:r w:rsidR="00555191" w:rsidRPr="00C10739">
        <w:t xml:space="preserve">ry, </w:t>
      </w:r>
      <w:r w:rsidR="00555191" w:rsidRPr="00082A86">
        <w:rPr>
          <w:u w:val="single"/>
        </w:rPr>
        <w:t>we suggest</w:t>
      </w:r>
      <w:r w:rsidR="00555191" w:rsidRPr="00C10739">
        <w:t xml:space="preserve"> assessing the cost-effectiveness of calculating the value at year end, and, if relevant </w:t>
      </w:r>
      <w:r>
        <w:t xml:space="preserve">for </w:t>
      </w:r>
      <w:r w:rsidR="00555191" w:rsidRPr="00C10739">
        <w:t xml:space="preserve">all the ROs, </w:t>
      </w:r>
      <w:r w:rsidR="00E072BF">
        <w:t>enter</w:t>
      </w:r>
      <w:r>
        <w:t>ing</w:t>
      </w:r>
      <w:r w:rsidR="00555191" w:rsidRPr="00C10739">
        <w:t xml:space="preserve"> the values in the Financial Statements.</w:t>
      </w:r>
      <w:r w:rsidR="00082A86" w:rsidRPr="00C10739">
        <w:t xml:space="preserve"> </w:t>
      </w:r>
    </w:p>
    <w:p w14:paraId="69B352E2" w14:textId="77777777" w:rsidR="00082A86" w:rsidRDefault="00082A86" w:rsidP="00082A86">
      <w:pPr>
        <w:pStyle w:val="titoloracc"/>
      </w:pPr>
    </w:p>
    <w:p w14:paraId="1F7FA5C2" w14:textId="77777777" w:rsidR="00082A86" w:rsidRPr="00C10739" w:rsidRDefault="00397DD5" w:rsidP="00082A86">
      <w:pPr>
        <w:pStyle w:val="recesug"/>
      </w:pPr>
      <w:r>
        <w:t xml:space="preserve">With regard to </w:t>
      </w:r>
      <w:r w:rsidR="00082A86" w:rsidRPr="00C10739">
        <w:t xml:space="preserve">the inventory, </w:t>
      </w:r>
      <w:r w:rsidR="00082A86" w:rsidRPr="00082A86">
        <w:rPr>
          <w:u w:val="single"/>
        </w:rPr>
        <w:t>we recommend</w:t>
      </w:r>
      <w:r w:rsidR="00082A86" w:rsidRPr="00C10739">
        <w:t xml:space="preserve"> that Management </w:t>
      </w:r>
      <w:r w:rsidR="00082A86">
        <w:t xml:space="preserve">should </w:t>
      </w:r>
      <w:r w:rsidR="00082A86" w:rsidRPr="00C10739">
        <w:t xml:space="preserve">enhance the level of accuracy of the Asset register, in particular in relation to asset management and items </w:t>
      </w:r>
      <w:r>
        <w:t xml:space="preserve">that are </w:t>
      </w:r>
      <w:r w:rsidR="00082A86" w:rsidRPr="00C10739">
        <w:t xml:space="preserve">disposed of after </w:t>
      </w:r>
      <w:r>
        <w:t xml:space="preserve">being written </w:t>
      </w:r>
      <w:r w:rsidR="00082A86" w:rsidRPr="00C10739">
        <w:t>off.</w:t>
      </w:r>
    </w:p>
    <w:p w14:paraId="7F06CE67" w14:textId="77777777" w:rsidR="00082A86" w:rsidRDefault="00082A86" w:rsidP="00555191"/>
    <w:p w14:paraId="432937D5" w14:textId="77777777" w:rsidR="00555191" w:rsidRPr="00C10739" w:rsidRDefault="00555191" w:rsidP="00082A86">
      <w:pPr>
        <w:pStyle w:val="titcomments"/>
      </w:pPr>
      <w:r w:rsidRPr="00C10739">
        <w:t>Comments by ITU</w:t>
      </w:r>
    </w:p>
    <w:p w14:paraId="1F4FCE4F" w14:textId="77777777" w:rsidR="00034828" w:rsidRDefault="00B208A2" w:rsidP="00B208A2">
      <w:pPr>
        <w:pStyle w:val="testocomments"/>
      </w:pPr>
      <w:r w:rsidRPr="00B208A2">
        <w:t xml:space="preserve">ITU </w:t>
      </w:r>
      <w:r w:rsidR="00C8618F" w:rsidRPr="00C8618F">
        <w:rPr>
          <w:bCs/>
          <w:iCs/>
        </w:rPr>
        <w:t>will further study</w:t>
      </w:r>
      <w:r w:rsidRPr="00B208A2">
        <w:t xml:space="preserve"> </w:t>
      </w:r>
      <w:r w:rsidR="00034828">
        <w:t xml:space="preserve">Suggestion </w:t>
      </w:r>
      <w:r>
        <w:t xml:space="preserve">n. </w:t>
      </w:r>
      <w:r w:rsidR="00034828">
        <w:t>3</w:t>
      </w:r>
      <w:r>
        <w:t xml:space="preserve">. </w:t>
      </w:r>
      <w:r w:rsidR="00034828">
        <w:t>Stationaries are bought as need arises to replenish the stock on many occasions during the year. The balance</w:t>
      </w:r>
      <w:r w:rsidR="003E73A9">
        <w:t>s</w:t>
      </w:r>
      <w:r w:rsidR="00034828">
        <w:t xml:space="preserve"> left at the year-end are not significant value</w:t>
      </w:r>
      <w:r>
        <w:t xml:space="preserve"> and considered as immaterial.</w:t>
      </w:r>
    </w:p>
    <w:p w14:paraId="53AA5DB4" w14:textId="77777777" w:rsidR="00555191" w:rsidRPr="00BB5D54" w:rsidRDefault="00034828" w:rsidP="00741946">
      <w:pPr>
        <w:pStyle w:val="testocomments"/>
      </w:pPr>
      <w:r w:rsidRPr="002D3327">
        <w:rPr>
          <w:lang w:val="en-US"/>
        </w:rPr>
        <w:t xml:space="preserve">ITU </w:t>
      </w:r>
      <w:r w:rsidR="00B208A2" w:rsidRPr="00B208A2">
        <w:rPr>
          <w:lang w:val="en-US"/>
        </w:rPr>
        <w:t xml:space="preserve">has taken note of </w:t>
      </w:r>
      <w:r>
        <w:rPr>
          <w:lang w:val="en-US"/>
        </w:rPr>
        <w:t>R</w:t>
      </w:r>
      <w:r w:rsidRPr="002D3327">
        <w:rPr>
          <w:lang w:val="en-US"/>
        </w:rPr>
        <w:t xml:space="preserve">ecommendation </w:t>
      </w:r>
      <w:r>
        <w:rPr>
          <w:lang w:val="en-US"/>
        </w:rPr>
        <w:t>n. 14.</w:t>
      </w:r>
      <w:r>
        <w:t xml:space="preserve"> </w:t>
      </w:r>
      <w:r w:rsidR="00BA3F40">
        <w:t>ITU would like to highlight that s</w:t>
      </w:r>
      <w:r>
        <w:t>ince the end of 2013 IT assets ar</w:t>
      </w:r>
      <w:r w:rsidR="007A03FC">
        <w:t xml:space="preserve">e assigned to each individual. </w:t>
      </w:r>
      <w:r w:rsidR="00BA3F40">
        <w:t>In addition, o</w:t>
      </w:r>
      <w:r>
        <w:t xml:space="preserve">nline platform on Inventory Records keep track of IT equipment assigned to each individual including Regional Offices.  An update of software is planned in the end of 2018 that will be integrated directly with SAP that should resolve the issue with </w:t>
      </w:r>
      <w:r w:rsidR="007A03FC">
        <w:t xml:space="preserve">non-assigned IT equipment. </w:t>
      </w:r>
      <w:r>
        <w:t>When assets are written off, they are removed from asset regi</w:t>
      </w:r>
      <w:r w:rsidR="007A03FC">
        <w:t xml:space="preserve">ster and disposed accordingly. </w:t>
      </w:r>
      <w:r>
        <w:t>Several service orders are issued on Asset Management. Trainings will be organized to Regional Offices to properly record and follow the service orders as well as the delivery of new invento</w:t>
      </w:r>
      <w:r w:rsidR="00741946">
        <w:t>ry scanners is planned in 2019.</w:t>
      </w:r>
    </w:p>
    <w:p w14:paraId="49D99449" w14:textId="77777777" w:rsidR="006F7CEF" w:rsidRPr="00C10739" w:rsidRDefault="006F7CEF" w:rsidP="006F7CEF">
      <w:pPr>
        <w:pStyle w:val="Heading2"/>
      </w:pPr>
      <w:bookmarkStart w:id="47" w:name="_Toc526772270"/>
      <w:r w:rsidRPr="00C10739">
        <w:t>Procurement</w:t>
      </w:r>
      <w:bookmarkEnd w:id="47"/>
    </w:p>
    <w:p w14:paraId="3B1AA2D1" w14:textId="77777777" w:rsidR="00A2570A" w:rsidRDefault="00B71162" w:rsidP="00A2570A">
      <w:pPr>
        <w:pStyle w:val="testobase"/>
      </w:pPr>
      <w:r w:rsidRPr="00A2570A">
        <w:t xml:space="preserve">The procurement process </w:t>
      </w:r>
      <w:r w:rsidR="00397DD5">
        <w:t xml:space="preserve">applied for purchasing </w:t>
      </w:r>
      <w:r w:rsidRPr="00A2570A">
        <w:t>services, products and resources is a high-risk area. Common types of procurement risks include fraud, cost, quality and delivery risks. In</w:t>
      </w:r>
      <w:r w:rsidR="00082A86" w:rsidRPr="00A2570A">
        <w:t xml:space="preserve"> its </w:t>
      </w:r>
      <w:r w:rsidR="00397DD5">
        <w:t xml:space="preserve">2017 </w:t>
      </w:r>
      <w:r w:rsidR="00082A86" w:rsidRPr="00A2570A">
        <w:t>Long Form Report</w:t>
      </w:r>
      <w:r w:rsidR="00397DD5">
        <w:t>,</w:t>
      </w:r>
      <w:r w:rsidR="00082A86" w:rsidRPr="00A2570A">
        <w:t xml:space="preserve"> </w:t>
      </w:r>
      <w:r w:rsidR="0071326E" w:rsidRPr="00A2570A">
        <w:t xml:space="preserve">the Corte dei conti </w:t>
      </w:r>
      <w:r w:rsidRPr="00A2570A">
        <w:t>highlighted some failures in the process and issued a set of recommendations meant to be implemented at the central level. This is even more crucial in decentralized offices.</w:t>
      </w:r>
    </w:p>
    <w:p w14:paraId="07E4EDCB" w14:textId="77777777" w:rsidR="006F7CEF" w:rsidRPr="00A2570A" w:rsidRDefault="006F7CEF" w:rsidP="00A2570A">
      <w:pPr>
        <w:pStyle w:val="testobase"/>
      </w:pPr>
      <w:r w:rsidRPr="00A2570A">
        <w:t>ITU</w:t>
      </w:r>
      <w:r w:rsidR="00B71162" w:rsidRPr="00A2570A">
        <w:t>'s</w:t>
      </w:r>
      <w:r w:rsidRPr="00A2570A">
        <w:t xml:space="preserve"> procurement is </w:t>
      </w:r>
      <w:r w:rsidR="00B71162" w:rsidRPr="00A2570A">
        <w:t>governed</w:t>
      </w:r>
      <w:r w:rsidRPr="00A2570A">
        <w:t xml:space="preserve"> by the following document</w:t>
      </w:r>
      <w:r w:rsidR="00B71162" w:rsidRPr="00A2570A">
        <w:t>s</w:t>
      </w:r>
      <w:r w:rsidRPr="00A2570A">
        <w:t xml:space="preserve">: </w:t>
      </w:r>
    </w:p>
    <w:p w14:paraId="74832B42" w14:textId="77777777" w:rsidR="006F7CEF" w:rsidRPr="00C10739" w:rsidRDefault="006F7CEF" w:rsidP="00B4431B">
      <w:pPr>
        <w:pStyle w:val="elencopuntato"/>
      </w:pPr>
      <w:r w:rsidRPr="00C10739">
        <w:t>Service Order 14/06 "Rules and procedure governing the placement of contracts" for regular budget;</w:t>
      </w:r>
    </w:p>
    <w:p w14:paraId="671F6AC0" w14:textId="77777777" w:rsidR="006F7CEF" w:rsidRPr="00C10739" w:rsidRDefault="006F7CEF" w:rsidP="00B4431B">
      <w:pPr>
        <w:pStyle w:val="elencopuntato"/>
      </w:pPr>
      <w:r w:rsidRPr="00C10739">
        <w:t>Basic Rules for Procurement of Equipment for IT Technical Cooperation and Assistance Projects, as approved by the Administrative Council in 1968 and Manual on Administrative Procedures for the application of this Basic Rules as established by the Secretary General in 1968 and up-dated in 1987 and 1991 for en</w:t>
      </w:r>
      <w:r w:rsidR="00EB2146">
        <w:t>try into force on January 1992.</w:t>
      </w:r>
    </w:p>
    <w:p w14:paraId="3B4F379E" w14:textId="77777777" w:rsidR="006F7CEF" w:rsidRPr="00B71162" w:rsidRDefault="006F7CEF" w:rsidP="00B4431B">
      <w:pPr>
        <w:pStyle w:val="testobase"/>
      </w:pPr>
      <w:r w:rsidRPr="00B71162">
        <w:t xml:space="preserve">The choice of the rules to be applied </w:t>
      </w:r>
      <w:r w:rsidR="00B71162">
        <w:t xml:space="preserve">depends on </w:t>
      </w:r>
      <w:r w:rsidRPr="00B71162">
        <w:t xml:space="preserve">the type of funds allocated to </w:t>
      </w:r>
      <w:r w:rsidR="00B71162">
        <w:t xml:space="preserve">a </w:t>
      </w:r>
      <w:r w:rsidRPr="00B71162">
        <w:t>specific purchase.</w:t>
      </w:r>
    </w:p>
    <w:p w14:paraId="69158981" w14:textId="77777777" w:rsidR="006F7CEF" w:rsidRDefault="006F7CEF" w:rsidP="00B4431B">
      <w:pPr>
        <w:pStyle w:val="testobase"/>
      </w:pPr>
      <w:r w:rsidRPr="00C10739">
        <w:t xml:space="preserve">Procurement under </w:t>
      </w:r>
      <w:r w:rsidR="00397DD5">
        <w:t xml:space="preserve">the </w:t>
      </w:r>
      <w:r w:rsidRPr="00C10739">
        <w:t xml:space="preserve">ITU Regular budget </w:t>
      </w:r>
      <w:r w:rsidR="00397DD5">
        <w:t xml:space="preserve">is </w:t>
      </w:r>
      <w:r w:rsidR="00EB2146">
        <w:t>ruled by Service Order 14/06.</w:t>
      </w:r>
    </w:p>
    <w:p w14:paraId="7A490349" w14:textId="77777777" w:rsidR="006F7CEF" w:rsidRPr="00C10739" w:rsidRDefault="006F7CEF" w:rsidP="00B4431B">
      <w:pPr>
        <w:pStyle w:val="testobase"/>
      </w:pPr>
      <w:r w:rsidRPr="00C10739">
        <w:t xml:space="preserve">Basic Rules apply to the "procurement, control and disposal of equipment (material and supplies) purchased by the International Telecommunication Union for the implementation of technical assistance projects under the United Nations Development Programme and the Funds-in-Trust arrangements". </w:t>
      </w:r>
    </w:p>
    <w:p w14:paraId="5E0FF729" w14:textId="77777777" w:rsidR="00B71162" w:rsidRPr="00AB5E25" w:rsidRDefault="00B71162" w:rsidP="00B71162">
      <w:pPr>
        <w:pStyle w:val="Heading3"/>
        <w:ind w:left="567"/>
      </w:pPr>
      <w:bookmarkStart w:id="48" w:name="_Toc526772271"/>
      <w:r w:rsidRPr="00AB5E25">
        <w:t xml:space="preserve">Projects related to </w:t>
      </w:r>
      <w:r>
        <w:t>“</w:t>
      </w:r>
      <w:r w:rsidRPr="00AB5E25">
        <w:t>Funds</w:t>
      </w:r>
      <w:r w:rsidR="00397DD5">
        <w:t>-</w:t>
      </w:r>
      <w:r w:rsidRPr="00AB5E25">
        <w:t>in</w:t>
      </w:r>
      <w:r w:rsidR="00397DD5">
        <w:t>-</w:t>
      </w:r>
      <w:r w:rsidRPr="00AB5E25">
        <w:t>Trust</w:t>
      </w:r>
      <w:r>
        <w:t>”</w:t>
      </w:r>
      <w:r w:rsidRPr="00AB5E25">
        <w:t xml:space="preserve"> should </w:t>
      </w:r>
      <w:r>
        <w:t>comply with</w:t>
      </w:r>
      <w:r w:rsidRPr="00AB5E25">
        <w:t xml:space="preserve"> </w:t>
      </w:r>
      <w:r>
        <w:t xml:space="preserve">the </w:t>
      </w:r>
      <w:r w:rsidRPr="00AB5E25">
        <w:t>Procurement Manual</w:t>
      </w:r>
      <w:bookmarkEnd w:id="48"/>
    </w:p>
    <w:p w14:paraId="2589D29D" w14:textId="77777777" w:rsidR="006F7CEF" w:rsidRPr="00C10739" w:rsidRDefault="006F7CEF" w:rsidP="00B4431B">
      <w:pPr>
        <w:pStyle w:val="testobase"/>
      </w:pPr>
      <w:r w:rsidRPr="00C10739">
        <w:t>During our audit</w:t>
      </w:r>
      <w:r w:rsidR="00BC578B">
        <w:t>,</w:t>
      </w:r>
      <w:r w:rsidRPr="00C10739">
        <w:t xml:space="preserve"> we </w:t>
      </w:r>
      <w:r w:rsidR="00B71162">
        <w:t xml:space="preserve">observed that </w:t>
      </w:r>
      <w:r w:rsidRPr="00C10739">
        <w:t xml:space="preserve">the Basic Rules </w:t>
      </w:r>
      <w:r w:rsidR="00B71162">
        <w:t>were</w:t>
      </w:r>
      <w:r w:rsidRPr="00C10739">
        <w:t xml:space="preserve"> obsolete</w:t>
      </w:r>
      <w:r w:rsidR="00397DD5">
        <w:t xml:space="preserve">, since </w:t>
      </w:r>
      <w:r w:rsidRPr="00C10739">
        <w:t>they ha</w:t>
      </w:r>
      <w:r w:rsidR="00BC578B">
        <w:t>d</w:t>
      </w:r>
      <w:r w:rsidRPr="00C10739">
        <w:t xml:space="preserve"> not been updated </w:t>
      </w:r>
      <w:r w:rsidR="00BC578B">
        <w:t>since 1992</w:t>
      </w:r>
      <w:r w:rsidR="008C3800">
        <w:t xml:space="preserve">, as </w:t>
      </w:r>
      <w:r w:rsidR="00397DD5">
        <w:t xml:space="preserve">they </w:t>
      </w:r>
      <w:r w:rsidR="008C3800">
        <w:t xml:space="preserve">should have been done under </w:t>
      </w:r>
      <w:r w:rsidRPr="00C10739">
        <w:t>Procedure 1</w:t>
      </w:r>
      <w:r w:rsidR="00BC578B">
        <w:t>:</w:t>
      </w:r>
      <w:r w:rsidRPr="00C10739">
        <w:t xml:space="preserve"> "Under the authority of the Secretary-General, the Director of the Telecommunications Development Bureau (the BDT) shall be responsible for keeping the Manual on Administrative Procedures up to date". </w:t>
      </w:r>
    </w:p>
    <w:p w14:paraId="33618809" w14:textId="77777777" w:rsidR="006F7CEF" w:rsidRPr="00C10739" w:rsidRDefault="006F7CEF" w:rsidP="00B4431B">
      <w:pPr>
        <w:pStyle w:val="testobase"/>
      </w:pPr>
      <w:r w:rsidRPr="00C10739">
        <w:t>For example, they refer to division</w:t>
      </w:r>
      <w:r w:rsidR="00BC578B">
        <w:t>s</w:t>
      </w:r>
      <w:r w:rsidRPr="00C10739">
        <w:t xml:space="preserve"> that do not exist anymore </w:t>
      </w:r>
      <w:r w:rsidR="00BC578B">
        <w:t>with</w:t>
      </w:r>
      <w:r w:rsidRPr="00C10739">
        <w:t xml:space="preserve">in </w:t>
      </w:r>
      <w:r w:rsidR="00BC578B">
        <w:t xml:space="preserve">the </w:t>
      </w:r>
      <w:r w:rsidRPr="00C10739">
        <w:t xml:space="preserve">ITU </w:t>
      </w:r>
      <w:r w:rsidR="00BC578B">
        <w:t xml:space="preserve">organization, such </w:t>
      </w:r>
      <w:r w:rsidRPr="00C10739">
        <w:t>as the "Equipment Procurement Service of the BDT (EPS)", or the member</w:t>
      </w:r>
      <w:r w:rsidR="00BC578B">
        <w:t>s</w:t>
      </w:r>
      <w:r w:rsidRPr="00C10739">
        <w:t xml:space="preserve"> of the Selection Panel ("Chief, Prog. Sup. Dept, Chairman, Chief, Field Operations Dept, Vice-Chairman, One representative from IFRB, One representative from the CCIs, One representative from the Field Operations Department, The Chief of the EPS, Secretary"). </w:t>
      </w:r>
    </w:p>
    <w:p w14:paraId="3FAC812F" w14:textId="77777777" w:rsidR="006F7CEF" w:rsidRPr="00C10739" w:rsidRDefault="006F7CEF" w:rsidP="00B4431B">
      <w:pPr>
        <w:pStyle w:val="testobase"/>
      </w:pPr>
      <w:r w:rsidRPr="00C10739">
        <w:t xml:space="preserve">Therefore, </w:t>
      </w:r>
      <w:r w:rsidR="00EC077C">
        <w:t xml:space="preserve">there is no </w:t>
      </w:r>
      <w:r w:rsidR="00852BCA" w:rsidRPr="00C10739">
        <w:t>clear framework of rules, policies and procedures</w:t>
      </w:r>
      <w:r w:rsidR="00852BCA">
        <w:t xml:space="preserve"> </w:t>
      </w:r>
      <w:r w:rsidR="00BC578B">
        <w:t xml:space="preserve">for </w:t>
      </w:r>
      <w:r w:rsidRPr="00C10739">
        <w:t xml:space="preserve">projects </w:t>
      </w:r>
      <w:r w:rsidR="00BC578B">
        <w:t xml:space="preserve">which are </w:t>
      </w:r>
      <w:r w:rsidRPr="00C10739">
        <w:t xml:space="preserve">funded </w:t>
      </w:r>
      <w:r w:rsidR="00BC578B">
        <w:t xml:space="preserve">through </w:t>
      </w:r>
      <w:r>
        <w:t>“</w:t>
      </w:r>
      <w:r w:rsidRPr="00C10739">
        <w:t>Fund</w:t>
      </w:r>
      <w:r w:rsidR="00BC578B">
        <w:t>s</w:t>
      </w:r>
      <w:r w:rsidR="00852BCA">
        <w:t>-</w:t>
      </w:r>
      <w:r w:rsidRPr="00C10739">
        <w:t>in</w:t>
      </w:r>
      <w:r w:rsidR="00852BCA">
        <w:t>-</w:t>
      </w:r>
      <w:r w:rsidRPr="00C10739">
        <w:t>Trust</w:t>
      </w:r>
      <w:r>
        <w:t>”</w:t>
      </w:r>
      <w:r w:rsidR="00BC578B">
        <w:t>.</w:t>
      </w:r>
      <w:r w:rsidRPr="00C10739">
        <w:t xml:space="preserve"> </w:t>
      </w:r>
    </w:p>
    <w:p w14:paraId="57E4BF97" w14:textId="77777777" w:rsidR="006F7CEF" w:rsidRPr="00C10739" w:rsidRDefault="00BC578B" w:rsidP="00B4431B">
      <w:pPr>
        <w:pStyle w:val="testobase"/>
      </w:pPr>
      <w:r>
        <w:t>I</w:t>
      </w:r>
      <w:r w:rsidR="006F7CEF" w:rsidRPr="00C10739">
        <w:t>t is</w:t>
      </w:r>
      <w:r w:rsidR="00504F53">
        <w:t xml:space="preserve"> also</w:t>
      </w:r>
      <w:r w:rsidR="006F7CEF" w:rsidRPr="00C10739">
        <w:t xml:space="preserve"> worth</w:t>
      </w:r>
      <w:r w:rsidR="00852BCA">
        <w:t xml:space="preserve"> </w:t>
      </w:r>
      <w:r w:rsidR="006F7CEF" w:rsidRPr="00C10739">
        <w:t xml:space="preserve">mentioning that </w:t>
      </w:r>
      <w:r>
        <w:t xml:space="preserve">the </w:t>
      </w:r>
      <w:r w:rsidR="006F7CEF" w:rsidRPr="00C10739">
        <w:t>p</w:t>
      </w:r>
      <w:r>
        <w:t xml:space="preserve">urchases made </w:t>
      </w:r>
      <w:r w:rsidR="006F7CEF" w:rsidRPr="00C10739">
        <w:t xml:space="preserve">for BDT projects </w:t>
      </w:r>
      <w:r w:rsidR="00852BCA">
        <w:t xml:space="preserve">in </w:t>
      </w:r>
      <w:r>
        <w:t xml:space="preserve">our sample </w:t>
      </w:r>
      <w:r w:rsidR="006F7CEF" w:rsidRPr="00C10739">
        <w:t>w</w:t>
      </w:r>
      <w:r>
        <w:t>ere</w:t>
      </w:r>
      <w:r w:rsidR="006F7CEF" w:rsidRPr="00C10739">
        <w:t xml:space="preserve"> related to services, but services are not mentioned </w:t>
      </w:r>
      <w:r>
        <w:t>in</w:t>
      </w:r>
      <w:r w:rsidR="006F7CEF" w:rsidRPr="00C10739">
        <w:t xml:space="preserve"> the Basic Rules, and Service Order 14/06 is not applicable for procurement</w:t>
      </w:r>
      <w:r w:rsidR="00504F53">
        <w:t>s</w:t>
      </w:r>
      <w:r w:rsidR="006F7CEF" w:rsidRPr="00C10739">
        <w:t xml:space="preserve"> financed by Fund</w:t>
      </w:r>
      <w:r>
        <w:t>s</w:t>
      </w:r>
      <w:r w:rsidR="00852BCA">
        <w:t>-</w:t>
      </w:r>
      <w:r w:rsidR="006F7CEF" w:rsidRPr="00C10739">
        <w:t>in</w:t>
      </w:r>
      <w:r w:rsidR="00852BCA">
        <w:t>-</w:t>
      </w:r>
      <w:r w:rsidR="006F7CEF" w:rsidRPr="00C10739">
        <w:t>Trust.</w:t>
      </w:r>
    </w:p>
    <w:p w14:paraId="7D96E3AF" w14:textId="77777777" w:rsidR="006F7CEF" w:rsidRPr="00C10739" w:rsidRDefault="006F7CEF" w:rsidP="006F7CEF"/>
    <w:p w14:paraId="20A9BCFE" w14:textId="77777777" w:rsidR="00A2570A" w:rsidRPr="00A2570A" w:rsidRDefault="00A2570A" w:rsidP="00A2570A">
      <w:pPr>
        <w:pStyle w:val="titoloracc"/>
      </w:pPr>
    </w:p>
    <w:p w14:paraId="2AC41F09" w14:textId="77777777" w:rsidR="006F7CEF" w:rsidRPr="00C10739" w:rsidRDefault="006F7CEF" w:rsidP="00B4431B">
      <w:pPr>
        <w:pStyle w:val="recesug"/>
      </w:pPr>
      <w:r w:rsidRPr="00544897">
        <w:rPr>
          <w:u w:val="single"/>
        </w:rPr>
        <w:t>We recommend</w:t>
      </w:r>
      <w:r w:rsidRPr="00C10739">
        <w:t xml:space="preserve"> that, </w:t>
      </w:r>
      <w:r w:rsidR="00BC578B">
        <w:t xml:space="preserve">since the </w:t>
      </w:r>
      <w:r w:rsidRPr="00C10739">
        <w:t xml:space="preserve">Basic Rules are obsolete, ITU </w:t>
      </w:r>
      <w:r>
        <w:t>sh</w:t>
      </w:r>
      <w:r w:rsidR="00BC578B">
        <w:t>ould</w:t>
      </w:r>
      <w:r w:rsidRPr="00C10739">
        <w:t xml:space="preserve"> adopt a new Procurement Manual covering both the regular budget and the extra-budgetary funds.</w:t>
      </w:r>
    </w:p>
    <w:p w14:paraId="40E7700A" w14:textId="77777777" w:rsidR="006F7CEF" w:rsidRPr="00C10739" w:rsidRDefault="006F7CEF" w:rsidP="006F7CEF"/>
    <w:p w14:paraId="09C20C53" w14:textId="77777777" w:rsidR="006F7CEF" w:rsidRPr="00173AFF" w:rsidRDefault="006F7CEF" w:rsidP="00A2570A">
      <w:pPr>
        <w:pStyle w:val="titcomments"/>
        <w:rPr>
          <w:lang w:val="en-US"/>
        </w:rPr>
      </w:pPr>
      <w:r w:rsidRPr="00173AFF">
        <w:rPr>
          <w:lang w:val="en-US"/>
        </w:rPr>
        <w:t>Comments by ITU</w:t>
      </w:r>
    </w:p>
    <w:p w14:paraId="745F73B6" w14:textId="77777777" w:rsidR="006F7CEF" w:rsidRPr="00BB5D54" w:rsidRDefault="00BB5D54" w:rsidP="005071D2">
      <w:pPr>
        <w:pStyle w:val="testocomments"/>
        <w:rPr>
          <w:lang w:val="en-US"/>
        </w:rPr>
      </w:pPr>
      <w:r w:rsidRPr="002D3327">
        <w:rPr>
          <w:lang w:val="en-US"/>
        </w:rPr>
        <w:t xml:space="preserve">ITU agrees with </w:t>
      </w:r>
      <w:r w:rsidR="002D3327">
        <w:rPr>
          <w:lang w:val="en-US"/>
        </w:rPr>
        <w:t>R</w:t>
      </w:r>
      <w:r w:rsidRPr="002D3327">
        <w:rPr>
          <w:lang w:val="en-US"/>
        </w:rPr>
        <w:t xml:space="preserve">ecommendation </w:t>
      </w:r>
      <w:r w:rsidR="000534A7">
        <w:rPr>
          <w:lang w:val="en-US"/>
        </w:rPr>
        <w:t xml:space="preserve">n. </w:t>
      </w:r>
      <w:r w:rsidR="002D3327">
        <w:rPr>
          <w:lang w:val="en-US"/>
        </w:rPr>
        <w:t xml:space="preserve">15 </w:t>
      </w:r>
      <w:r w:rsidRPr="002D3327">
        <w:rPr>
          <w:lang w:val="en-US"/>
        </w:rPr>
        <w:t xml:space="preserve">and confirms that the forthcoming Procurement </w:t>
      </w:r>
      <w:r w:rsidR="005071D2" w:rsidRPr="002D3327">
        <w:rPr>
          <w:lang w:val="en-US"/>
        </w:rPr>
        <w:t>Manu</w:t>
      </w:r>
      <w:r w:rsidR="005071D2">
        <w:rPr>
          <w:lang w:val="en-US"/>
        </w:rPr>
        <w:t>a</w:t>
      </w:r>
      <w:r w:rsidR="005071D2" w:rsidRPr="002D3327">
        <w:rPr>
          <w:lang w:val="en-US"/>
        </w:rPr>
        <w:t>l will</w:t>
      </w:r>
      <w:r w:rsidR="005071D2">
        <w:rPr>
          <w:lang w:val="en-US"/>
        </w:rPr>
        <w:t>, in principle,</w:t>
      </w:r>
      <w:r w:rsidRPr="002D3327">
        <w:rPr>
          <w:lang w:val="en-US"/>
        </w:rPr>
        <w:t xml:space="preserve"> also be applicable to procurement of goods and services from extra-budgetary funds.</w:t>
      </w:r>
    </w:p>
    <w:p w14:paraId="0CE709BA" w14:textId="77777777" w:rsidR="006F7CEF" w:rsidRPr="00173AFF" w:rsidRDefault="006F7CEF" w:rsidP="006F7CEF">
      <w:pPr>
        <w:rPr>
          <w:lang w:val="en-US"/>
        </w:rPr>
      </w:pPr>
    </w:p>
    <w:p w14:paraId="166CDABF" w14:textId="77777777" w:rsidR="006F7CEF" w:rsidRPr="00AB5E25" w:rsidRDefault="006F7CEF" w:rsidP="006F7CEF">
      <w:pPr>
        <w:pStyle w:val="Heading3"/>
        <w:ind w:left="567"/>
      </w:pPr>
      <w:bookmarkStart w:id="49" w:name="_Toc526772272"/>
      <w:r w:rsidRPr="00AB5E25">
        <w:t xml:space="preserve">Enhancing the role of ITU </w:t>
      </w:r>
      <w:r w:rsidR="00852BCA">
        <w:t>in</w:t>
      </w:r>
      <w:r w:rsidRPr="00AB5E25">
        <w:t xml:space="preserve"> cooperating with Member States</w:t>
      </w:r>
      <w:bookmarkEnd w:id="49"/>
    </w:p>
    <w:p w14:paraId="69109160" w14:textId="77777777" w:rsidR="006F7CEF" w:rsidRPr="00C10739" w:rsidRDefault="006F7CEF" w:rsidP="00B4431B">
      <w:pPr>
        <w:pStyle w:val="testobase"/>
      </w:pPr>
      <w:r w:rsidRPr="00C10739">
        <w:t xml:space="preserve">In </w:t>
      </w:r>
      <w:r w:rsidR="009A6E1B">
        <w:t xml:space="preserve">our sample of </w:t>
      </w:r>
      <w:r>
        <w:t>Request</w:t>
      </w:r>
      <w:r w:rsidR="00852BCA">
        <w:t xml:space="preserve">s </w:t>
      </w:r>
      <w:r>
        <w:t>for Proposals (</w:t>
      </w:r>
      <w:r w:rsidRPr="00C10739">
        <w:t>RFPs</w:t>
      </w:r>
      <w:r>
        <w:t>)</w:t>
      </w:r>
      <w:r w:rsidR="009A6E1B">
        <w:t>,</w:t>
      </w:r>
      <w:r w:rsidRPr="00C10739">
        <w:t xml:space="preserve"> we found the following statements:</w:t>
      </w:r>
    </w:p>
    <w:p w14:paraId="3BA5EE5C" w14:textId="77777777" w:rsidR="006F7CEF" w:rsidRPr="00C10739" w:rsidRDefault="00B86AC5" w:rsidP="00B4431B">
      <w:pPr>
        <w:pStyle w:val="elencotrattino"/>
      </w:pPr>
      <w:r w:rsidRPr="00C10739" w:rsidDel="00B86AC5">
        <w:t xml:space="preserve"> </w:t>
      </w:r>
      <w:r w:rsidR="006F7CEF" w:rsidRPr="00C10739">
        <w:t>“The ITU reserves the right to reject all or part of the Proposals received in good and due form, without being bound in any way to communicate its reasons to the vendors, who shall have no right of recourse against the final decision of the ITU”;</w:t>
      </w:r>
    </w:p>
    <w:p w14:paraId="67B61B22" w14:textId="77777777" w:rsidR="006F7CEF" w:rsidRPr="00C10739" w:rsidRDefault="006F7CEF" w:rsidP="00B4431B">
      <w:pPr>
        <w:pStyle w:val="elencotrattino"/>
      </w:pPr>
      <w:r w:rsidRPr="00C10739">
        <w:t xml:space="preserve">“The ITU, in consultation with </w:t>
      </w:r>
      <w:r w:rsidR="00852BCA">
        <w:t>[</w:t>
      </w:r>
      <w:r w:rsidR="00B86AC5" w:rsidRPr="00852BCA">
        <w:rPr>
          <w:i/>
        </w:rPr>
        <w:t xml:space="preserve">the </w:t>
      </w:r>
      <w:r w:rsidR="00EB2146">
        <w:rPr>
          <w:i/>
        </w:rPr>
        <w:t>client</w:t>
      </w:r>
      <w:r w:rsidR="00852BCA">
        <w:t>]</w:t>
      </w:r>
      <w:r w:rsidRPr="00852BCA">
        <w:t>,</w:t>
      </w:r>
      <w:r w:rsidRPr="00C10739">
        <w:t xml:space="preserve"> reserves fully the right to reject any proposal, the whole or only a part of it, received by reason of this Request for Proposals and to negotiate separately with any other source whatsoever or to call for a second Request for Proposals. It does not undertake to accept the lowest priced Proposal”;</w:t>
      </w:r>
    </w:p>
    <w:p w14:paraId="503BCDC7" w14:textId="77777777" w:rsidR="006F7CEF" w:rsidRPr="006C2E53" w:rsidRDefault="009A6E1B" w:rsidP="006C2E53">
      <w:pPr>
        <w:pStyle w:val="testobase"/>
      </w:pPr>
      <w:r w:rsidRPr="006C2E53">
        <w:t>Moreover, according to procedure</w:t>
      </w:r>
      <w:r w:rsidR="006F7CEF" w:rsidRPr="006C2E53">
        <w:t xml:space="preserve"> 27 of the Basic Rules</w:t>
      </w:r>
      <w:r w:rsidR="006C2E53">
        <w:t>,</w:t>
      </w:r>
      <w:r w:rsidR="006F7CEF" w:rsidRPr="006C2E53">
        <w:t xml:space="preserve"> “Recommendations of the Selection Panel are not needed in the case of the purchase order being financed through a Fund-in-Trust agreement with the recipient Government and where the order is to be placed according to that Government’s recommendations”</w:t>
      </w:r>
      <w:r w:rsidR="00852BCA">
        <w:t>.</w:t>
      </w:r>
    </w:p>
    <w:p w14:paraId="215230C0" w14:textId="77777777" w:rsidR="006F7CEF" w:rsidRPr="00C10739" w:rsidRDefault="009A6E1B" w:rsidP="00B4431B">
      <w:pPr>
        <w:pStyle w:val="testobase"/>
      </w:pPr>
      <w:r>
        <w:t xml:space="preserve">Such </w:t>
      </w:r>
      <w:r w:rsidR="006F7CEF" w:rsidRPr="00C10739">
        <w:t xml:space="preserve">clauses </w:t>
      </w:r>
      <w:r>
        <w:t xml:space="preserve">may </w:t>
      </w:r>
      <w:r w:rsidR="006F7CEF" w:rsidRPr="00C10739">
        <w:t>create a serious risk of lack of transpa</w:t>
      </w:r>
      <w:r w:rsidR="006C2E53">
        <w:t xml:space="preserve">rency </w:t>
      </w:r>
      <w:r w:rsidR="00DC2979">
        <w:t xml:space="preserve">and may raise doubts of bias and favouritism </w:t>
      </w:r>
      <w:r w:rsidR="006C2E53">
        <w:t xml:space="preserve">(see also </w:t>
      </w:r>
      <w:r w:rsidR="006F7CEF" w:rsidRPr="00C10739">
        <w:t>Recommendation n</w:t>
      </w:r>
      <w:r w:rsidR="006F7CEF" w:rsidRPr="00C73B62">
        <w:t xml:space="preserve">. 6 </w:t>
      </w:r>
      <w:r w:rsidRPr="00C73B62">
        <w:t xml:space="preserve">in our </w:t>
      </w:r>
      <w:r w:rsidR="00852BCA">
        <w:t>L</w:t>
      </w:r>
      <w:r w:rsidR="006C2E53">
        <w:t>ong</w:t>
      </w:r>
      <w:r w:rsidR="00852BCA">
        <w:t>-</w:t>
      </w:r>
      <w:r w:rsidR="006C2E53">
        <w:t xml:space="preserve">form </w:t>
      </w:r>
      <w:r w:rsidRPr="00C73B62">
        <w:t xml:space="preserve">report on </w:t>
      </w:r>
      <w:r w:rsidR="00852BCA">
        <w:t xml:space="preserve">the </w:t>
      </w:r>
      <w:r w:rsidRPr="00C73B62">
        <w:t xml:space="preserve">ITU financial statements for </w:t>
      </w:r>
      <w:r w:rsidR="006F7CEF" w:rsidRPr="00C73B62">
        <w:t>2017</w:t>
      </w:r>
      <w:r w:rsidR="006C2E53">
        <w:t>)</w:t>
      </w:r>
      <w:r w:rsidR="006F7CEF" w:rsidRPr="00C73B62">
        <w:t>.</w:t>
      </w:r>
      <w:r w:rsidR="006F7CEF">
        <w:t xml:space="preserve"> </w:t>
      </w:r>
    </w:p>
    <w:p w14:paraId="6924E6FA" w14:textId="77777777" w:rsidR="006F7CEF" w:rsidRPr="00C10739" w:rsidRDefault="006F7CEF" w:rsidP="006F7CEF"/>
    <w:p w14:paraId="47BDEB9F" w14:textId="77777777" w:rsidR="006C2E53" w:rsidRPr="008C3800" w:rsidRDefault="006C2E53" w:rsidP="006C2E53">
      <w:pPr>
        <w:pStyle w:val="titoloracc"/>
      </w:pPr>
    </w:p>
    <w:p w14:paraId="5C0514B1" w14:textId="77777777" w:rsidR="006F7CEF" w:rsidRPr="008C3800" w:rsidRDefault="006F7CEF" w:rsidP="006F7CEF">
      <w:pPr>
        <w:pStyle w:val="recesug"/>
      </w:pPr>
      <w:r w:rsidRPr="008C3800">
        <w:t xml:space="preserve">In order to avoid </w:t>
      </w:r>
      <w:r w:rsidR="006C2E53" w:rsidRPr="008C3800">
        <w:t xml:space="preserve">any reputational risk for ITU, </w:t>
      </w:r>
      <w:r w:rsidRPr="008C3800">
        <w:rPr>
          <w:u w:val="single"/>
        </w:rPr>
        <w:t>we recommend</w:t>
      </w:r>
      <w:r w:rsidRPr="008C3800">
        <w:t xml:space="preserve"> that: 1) in </w:t>
      </w:r>
      <w:r w:rsidR="00852BCA">
        <w:t xml:space="preserve">the </w:t>
      </w:r>
      <w:r w:rsidRPr="008C3800">
        <w:t>case of Fund</w:t>
      </w:r>
      <w:r w:rsidR="009A6E1B" w:rsidRPr="008C3800">
        <w:t>s</w:t>
      </w:r>
      <w:r w:rsidRPr="008C3800">
        <w:t>-in-Trust</w:t>
      </w:r>
      <w:r w:rsidR="009A6E1B" w:rsidRPr="008C3800">
        <w:t xml:space="preserve">, clear and objective criteria to select the proposals should be established and the results </w:t>
      </w:r>
      <w:r w:rsidR="00852BCA">
        <w:t xml:space="preserve">should </w:t>
      </w:r>
      <w:r w:rsidR="009A6E1B" w:rsidRPr="008C3800">
        <w:t>be communicated to bidders in a transparent way</w:t>
      </w:r>
      <w:r w:rsidR="008C3800" w:rsidRPr="008C3800">
        <w:t>.</w:t>
      </w:r>
      <w:r w:rsidR="009A6E1B" w:rsidRPr="008C3800">
        <w:t xml:space="preserve"> </w:t>
      </w:r>
    </w:p>
    <w:p w14:paraId="49F7B3A6" w14:textId="77777777" w:rsidR="006F7CEF" w:rsidRPr="00173AFF" w:rsidRDefault="006F7CEF" w:rsidP="006C2E53">
      <w:pPr>
        <w:pStyle w:val="titcomments"/>
        <w:rPr>
          <w:lang w:val="en-US"/>
        </w:rPr>
      </w:pPr>
      <w:r w:rsidRPr="00173AFF">
        <w:rPr>
          <w:lang w:val="en-US"/>
        </w:rPr>
        <w:t>Comments by ITU</w:t>
      </w:r>
    </w:p>
    <w:p w14:paraId="3EB3CFFB" w14:textId="77777777" w:rsidR="006F7CEF" w:rsidRPr="00BF650C" w:rsidRDefault="00BF650C" w:rsidP="005071D2">
      <w:pPr>
        <w:pStyle w:val="testocomments"/>
        <w:rPr>
          <w:lang w:val="en-US"/>
        </w:rPr>
      </w:pPr>
      <w:r w:rsidRPr="001C38BE">
        <w:rPr>
          <w:lang w:val="en-US"/>
        </w:rPr>
        <w:t xml:space="preserve">ITU agrees that clear and objective criteria shall be established for all procurement exercises regardless of funding source and that all procurement cases shall follow the procedures of the forthcoming Procurement Manual. The Manual outlines that the recommendation to award a contract shall be based on the clear and objective evaluation criteria as well as evaluation methodology, which shall </w:t>
      </w:r>
      <w:r w:rsidR="005071D2">
        <w:rPr>
          <w:lang w:val="en-US"/>
        </w:rPr>
        <w:t xml:space="preserve">be </w:t>
      </w:r>
      <w:r w:rsidRPr="001C38BE">
        <w:rPr>
          <w:lang w:val="en-US"/>
        </w:rPr>
        <w:t>established prior to the issuance of the bid. This will mean that the recipient Government will not be able to recommend which vendor should be awarded. All awards above a CHF 50,000</w:t>
      </w:r>
      <w:r w:rsidR="005071D2">
        <w:rPr>
          <w:lang w:val="en-US"/>
        </w:rPr>
        <w:t xml:space="preserve"> threshold</w:t>
      </w:r>
      <w:r w:rsidRPr="001C38BE">
        <w:rPr>
          <w:lang w:val="en-US"/>
        </w:rPr>
        <w:t>, shall be made public, and vendors are invited to request for a debriefing in regards to the assessment of their proposal. However, ITU does not agree to communicate its reasons for awarding a contract to a particular vendor, nor to allow vendors to have a right of recourse against the final decision of ITU.</w:t>
      </w:r>
    </w:p>
    <w:p w14:paraId="133EA083" w14:textId="77777777" w:rsidR="006F7CEF" w:rsidRPr="00173AFF" w:rsidRDefault="006F7CEF" w:rsidP="006F7CEF">
      <w:pPr>
        <w:rPr>
          <w:lang w:val="en-US"/>
        </w:rPr>
      </w:pPr>
    </w:p>
    <w:p w14:paraId="64A06A46" w14:textId="77777777" w:rsidR="006F7CEF" w:rsidRPr="00AB5E25" w:rsidRDefault="006F7CEF" w:rsidP="006F7CEF">
      <w:pPr>
        <w:pStyle w:val="Heading3"/>
        <w:ind w:left="567"/>
      </w:pPr>
      <w:bookmarkStart w:id="50" w:name="_Toc526772273"/>
      <w:r w:rsidRPr="00AB5E25">
        <w:t xml:space="preserve">Procurement process </w:t>
      </w:r>
      <w:r w:rsidR="000A39A7">
        <w:t>to be entirely p</w:t>
      </w:r>
      <w:r w:rsidR="001A668A">
        <w:t>laced</w:t>
      </w:r>
      <w:r w:rsidR="000A39A7">
        <w:t xml:space="preserve"> </w:t>
      </w:r>
      <w:r w:rsidRPr="00AB5E25">
        <w:t xml:space="preserve">under the </w:t>
      </w:r>
      <w:r w:rsidR="000A39A7">
        <w:t xml:space="preserve">Procurement </w:t>
      </w:r>
      <w:r w:rsidRPr="00AB5E25">
        <w:t>Division</w:t>
      </w:r>
      <w:bookmarkEnd w:id="50"/>
      <w:r w:rsidRPr="00AB5E25">
        <w:t xml:space="preserve"> </w:t>
      </w:r>
    </w:p>
    <w:p w14:paraId="7919F178" w14:textId="77777777" w:rsidR="00B86AC5" w:rsidRDefault="00B86AC5" w:rsidP="00B86AC5">
      <w:pPr>
        <w:pStyle w:val="testobase"/>
      </w:pPr>
      <w:r>
        <w:t xml:space="preserve">In one Request for Proposals (RFPs) </w:t>
      </w:r>
      <w:r w:rsidR="001A668A">
        <w:t xml:space="preserve">included in our sample </w:t>
      </w:r>
      <w:r>
        <w:t>we found that “</w:t>
      </w:r>
      <w:r w:rsidRPr="00B86AC5">
        <w:t>Proposals prepared and submitted in accordance with the guidelines contained in the present Request for Proposals will be reviewed and evaluated by an Evaluation Group established by the Director of the Telecommunication Development Bureau of the ITU, in accordance with the relevant ITU rules and procedures</w:t>
      </w:r>
      <w:r>
        <w:t>”.</w:t>
      </w:r>
    </w:p>
    <w:p w14:paraId="735173F7" w14:textId="77777777" w:rsidR="006F7CEF" w:rsidRDefault="000A39A7" w:rsidP="00B4431B">
      <w:pPr>
        <w:pStyle w:val="testobase"/>
      </w:pPr>
      <w:r>
        <w:t>C</w:t>
      </w:r>
      <w:r w:rsidR="006F7CEF" w:rsidRPr="00C10739">
        <w:t>hapter 4.2.2</w:t>
      </w:r>
      <w:r>
        <w:t>,</w:t>
      </w:r>
      <w:r w:rsidR="006F7CEF" w:rsidRPr="00C10739">
        <w:t xml:space="preserve"> point c) </w:t>
      </w:r>
      <w:r w:rsidR="006F7CEF" w:rsidRPr="001A668A">
        <w:rPr>
          <w:i/>
        </w:rPr>
        <w:t>Perform Procurement Management</w:t>
      </w:r>
      <w:r>
        <w:t xml:space="preserve"> </w:t>
      </w:r>
      <w:r w:rsidRPr="000A39A7">
        <w:t xml:space="preserve">of </w:t>
      </w:r>
      <w:r>
        <w:t>t</w:t>
      </w:r>
      <w:r w:rsidRPr="00C10739">
        <w:t>he Project Management Guidelines (July 2013)</w:t>
      </w:r>
      <w:r>
        <w:t xml:space="preserve"> </w:t>
      </w:r>
      <w:r w:rsidR="006F7CEF">
        <w:t>states that</w:t>
      </w:r>
      <w:r>
        <w:t>:</w:t>
      </w:r>
      <w:r w:rsidR="006F7CEF">
        <w:t xml:space="preserve"> </w:t>
      </w:r>
      <w:r w:rsidR="006F7CEF" w:rsidRPr="00C10739">
        <w:t>"</w:t>
      </w:r>
      <w:r w:rsidR="006F7CEF" w:rsidRPr="001004E1">
        <w:t>after the definition of requirements for the project, the whole process of procurement of goods and services is the responsibility of the Procurement Division. Therefore, the project must be monitored regularly with the Procurement Division assistance</w:t>
      </w:r>
      <w:r w:rsidR="006F7CEF" w:rsidRPr="00C10739">
        <w:t>".</w:t>
      </w:r>
    </w:p>
    <w:p w14:paraId="16DAAFD0" w14:textId="77777777" w:rsidR="00161037" w:rsidRDefault="00161037" w:rsidP="00B4431B">
      <w:pPr>
        <w:pStyle w:val="testobase"/>
      </w:pPr>
      <w:r>
        <w:t>During our audit, w</w:t>
      </w:r>
      <w:r w:rsidRPr="00C10739">
        <w:t>e not</w:t>
      </w:r>
      <w:r>
        <w:t>ed</w:t>
      </w:r>
      <w:r w:rsidRPr="00C10739">
        <w:t xml:space="preserve"> that the role </w:t>
      </w:r>
      <w:r>
        <w:t xml:space="preserve">of the </w:t>
      </w:r>
      <w:r w:rsidRPr="00C10739">
        <w:t xml:space="preserve">Procurement Division in the </w:t>
      </w:r>
      <w:r w:rsidR="008C3800">
        <w:t xml:space="preserve">crucial </w:t>
      </w:r>
      <w:r w:rsidRPr="00C10739">
        <w:t xml:space="preserve">phase of the selection of suppliers </w:t>
      </w:r>
      <w:r>
        <w:t>wa</w:t>
      </w:r>
      <w:r w:rsidRPr="00C10739">
        <w:t xml:space="preserve">s marginal. In fact, the Evaluation Group </w:t>
      </w:r>
      <w:r w:rsidR="001A668A">
        <w:t>was</w:t>
      </w:r>
      <w:r w:rsidRPr="00C10739">
        <w:t xml:space="preserve"> composed by the Project Manager (acting as coordinator), members of BDT (Regional Office or Headquarter), members of the Member State who prepared TOR/TS, and one member </w:t>
      </w:r>
      <w:r>
        <w:t xml:space="preserve">from the Procurement Division. </w:t>
      </w:r>
    </w:p>
    <w:p w14:paraId="5E977363" w14:textId="77777777" w:rsidR="00161037" w:rsidRDefault="000A39A7" w:rsidP="00B4431B">
      <w:pPr>
        <w:pStyle w:val="testobase"/>
      </w:pPr>
      <w:r>
        <w:t xml:space="preserve">In </w:t>
      </w:r>
      <w:r w:rsidR="006F7CEF">
        <w:t xml:space="preserve">our </w:t>
      </w:r>
      <w:r>
        <w:t>sample</w:t>
      </w:r>
      <w:r w:rsidR="006F7CEF">
        <w:t xml:space="preserve">, we </w:t>
      </w:r>
      <w:r w:rsidR="00161037">
        <w:t xml:space="preserve">also </w:t>
      </w:r>
      <w:r>
        <w:t xml:space="preserve">found </w:t>
      </w:r>
      <w:r w:rsidR="006F7CEF" w:rsidRPr="00C10739">
        <w:t>that the Evaluation Group had been established by the Director of RO</w:t>
      </w:r>
      <w:r>
        <w:t>,</w:t>
      </w:r>
      <w:r w:rsidR="006F7CEF" w:rsidRPr="00C10739">
        <w:t xml:space="preserve"> instead of the Director of </w:t>
      </w:r>
      <w:r w:rsidR="00DC2979">
        <w:t>BDT.</w:t>
      </w:r>
    </w:p>
    <w:p w14:paraId="733278F9" w14:textId="77777777" w:rsidR="006F7CEF" w:rsidRPr="00C10739" w:rsidRDefault="006F7CEF" w:rsidP="008C3800">
      <w:pPr>
        <w:pStyle w:val="testobase"/>
        <w:numPr>
          <w:ilvl w:val="0"/>
          <w:numId w:val="0"/>
        </w:numPr>
        <w:ind w:left="426"/>
      </w:pPr>
    </w:p>
    <w:p w14:paraId="7257EAC1" w14:textId="77777777" w:rsidR="008C3800" w:rsidRDefault="008C3800" w:rsidP="008C3800">
      <w:pPr>
        <w:pStyle w:val="titoloracc"/>
      </w:pPr>
    </w:p>
    <w:p w14:paraId="31D5E985" w14:textId="77777777" w:rsidR="006F7CEF" w:rsidRPr="00C10739" w:rsidRDefault="006F7CEF" w:rsidP="008C3800">
      <w:pPr>
        <w:pStyle w:val="recesug"/>
      </w:pPr>
      <w:r w:rsidRPr="008C3800">
        <w:rPr>
          <w:u w:val="single"/>
        </w:rPr>
        <w:t>W</w:t>
      </w:r>
      <w:r w:rsidRPr="00B567A6">
        <w:rPr>
          <w:u w:val="single"/>
        </w:rPr>
        <w:t>e recommend</w:t>
      </w:r>
      <w:r w:rsidRPr="00C10739">
        <w:t xml:space="preserve"> that the Evaluation Group should be </w:t>
      </w:r>
      <w:r w:rsidR="001A668A">
        <w:t>set up</w:t>
      </w:r>
      <w:r w:rsidRPr="00C10739">
        <w:t xml:space="preserve"> by the Procurement Division, in accordance with the Project Management Guidelines</w:t>
      </w:r>
      <w:r w:rsidR="000A39A7">
        <w:t>,</w:t>
      </w:r>
      <w:r w:rsidRPr="00C10739">
        <w:t xml:space="preserve"> chapter 4.2.2, point c)</w:t>
      </w:r>
      <w:r w:rsidR="000A39A7">
        <w:t>,</w:t>
      </w:r>
      <w:r w:rsidRPr="00C10739">
        <w:t xml:space="preserve"> which states that the whole process </w:t>
      </w:r>
      <w:r w:rsidR="001A668A">
        <w:t xml:space="preserve">for the </w:t>
      </w:r>
      <w:r w:rsidRPr="00C10739">
        <w:t>procurement of goods and services is the responsibility of the Procurement Division.</w:t>
      </w:r>
    </w:p>
    <w:p w14:paraId="766C7372" w14:textId="77777777" w:rsidR="006F7CEF" w:rsidRPr="00C10739" w:rsidRDefault="006F7CEF" w:rsidP="006F7CEF"/>
    <w:p w14:paraId="3995DE57" w14:textId="77777777" w:rsidR="006F7CEF" w:rsidRPr="00173AFF" w:rsidRDefault="006F7CEF" w:rsidP="008C3800">
      <w:pPr>
        <w:pStyle w:val="titcomments"/>
        <w:rPr>
          <w:lang w:val="en-US"/>
        </w:rPr>
      </w:pPr>
      <w:r w:rsidRPr="00173AFF">
        <w:rPr>
          <w:lang w:val="en-US"/>
        </w:rPr>
        <w:t>Comments by ITU</w:t>
      </w:r>
    </w:p>
    <w:p w14:paraId="457F883F" w14:textId="77777777" w:rsidR="006F7CEF" w:rsidRPr="00173AFF" w:rsidRDefault="00BF650C" w:rsidP="00BF650C">
      <w:pPr>
        <w:pStyle w:val="testocomments"/>
        <w:rPr>
          <w:lang w:val="en-US"/>
        </w:rPr>
      </w:pPr>
      <w:r>
        <w:rPr>
          <w:lang w:val="en-US"/>
        </w:rPr>
        <w:t xml:space="preserve">The response to this recommendation is covered by the response to Recommendation </w:t>
      </w:r>
      <w:r w:rsidR="00C11D9A">
        <w:rPr>
          <w:lang w:val="en-US"/>
        </w:rPr>
        <w:t xml:space="preserve">n. </w:t>
      </w:r>
      <w:r>
        <w:rPr>
          <w:lang w:val="en-US"/>
        </w:rPr>
        <w:t>18 below.</w:t>
      </w:r>
    </w:p>
    <w:p w14:paraId="489AAE28" w14:textId="77777777" w:rsidR="002B68AB" w:rsidRPr="00AB5E25" w:rsidRDefault="002B68AB" w:rsidP="002B68AB">
      <w:pPr>
        <w:pStyle w:val="Heading3"/>
        <w:ind w:left="567"/>
      </w:pPr>
      <w:bookmarkStart w:id="51" w:name="_Toc526772274"/>
      <w:r w:rsidRPr="00AB5E25">
        <w:t xml:space="preserve">Project </w:t>
      </w:r>
      <w:r w:rsidR="001A668A">
        <w:t>M</w:t>
      </w:r>
      <w:r w:rsidRPr="00AB5E25">
        <w:t>anager</w:t>
      </w:r>
      <w:r>
        <w:t>s</w:t>
      </w:r>
      <w:r w:rsidRPr="00AB5E25">
        <w:t xml:space="preserve"> should not be appointed as member</w:t>
      </w:r>
      <w:r w:rsidR="001A668A">
        <w:t>s</w:t>
      </w:r>
      <w:r w:rsidRPr="00AB5E25">
        <w:t xml:space="preserve"> of the Evaluation Group</w:t>
      </w:r>
      <w:bookmarkEnd w:id="51"/>
      <w:r w:rsidRPr="00AB5E25">
        <w:t xml:space="preserve"> </w:t>
      </w:r>
    </w:p>
    <w:p w14:paraId="71180321" w14:textId="77777777" w:rsidR="002B68AB" w:rsidRPr="00DC2979" w:rsidRDefault="00151713" w:rsidP="00DC2979">
      <w:pPr>
        <w:pStyle w:val="testobase"/>
      </w:pPr>
      <w:r w:rsidRPr="00DC2979">
        <w:t>During our audit</w:t>
      </w:r>
      <w:r w:rsidR="00DC2979">
        <w:t>,</w:t>
      </w:r>
      <w:r w:rsidRPr="00DC2979">
        <w:t xml:space="preserve"> we </w:t>
      </w:r>
      <w:r w:rsidR="008C3800" w:rsidRPr="00DC2979">
        <w:t xml:space="preserve">found no rules about the appointment/composition of the Evaluation Group. In our sample, </w:t>
      </w:r>
      <w:r w:rsidR="00C06AB2" w:rsidRPr="00DC2979">
        <w:t>we detected cases where</w:t>
      </w:r>
      <w:r w:rsidR="008C3800" w:rsidRPr="00DC2979">
        <w:t xml:space="preserve"> </w:t>
      </w:r>
      <w:r w:rsidR="00F60347" w:rsidRPr="00DC2979">
        <w:t xml:space="preserve">Project Managers </w:t>
      </w:r>
      <w:r w:rsidR="00C06AB2" w:rsidRPr="00DC2979">
        <w:t xml:space="preserve">had been </w:t>
      </w:r>
      <w:r w:rsidR="00F60347" w:rsidRPr="00DC2979">
        <w:t xml:space="preserve">appointed as </w:t>
      </w:r>
      <w:r w:rsidR="008C3800" w:rsidRPr="00DC2979">
        <w:t>m</w:t>
      </w:r>
      <w:r w:rsidR="00F60347" w:rsidRPr="00DC2979">
        <w:t>embers of the Evaluation Group</w:t>
      </w:r>
      <w:r w:rsidR="008C3800" w:rsidRPr="00DC2979">
        <w:t>. T</w:t>
      </w:r>
      <w:r w:rsidR="00F60347" w:rsidRPr="00DC2979">
        <w:t xml:space="preserve">his is not </w:t>
      </w:r>
      <w:r w:rsidR="008C3800" w:rsidRPr="00DC2979">
        <w:t xml:space="preserve">in </w:t>
      </w:r>
      <w:r w:rsidR="00F60347" w:rsidRPr="00DC2979">
        <w:t xml:space="preserve">line with </w:t>
      </w:r>
      <w:r w:rsidR="00C06AB2" w:rsidRPr="00DC2979">
        <w:t xml:space="preserve">best </w:t>
      </w:r>
      <w:r w:rsidR="00F60347" w:rsidRPr="00DC2979">
        <w:t>practices in the UN system</w:t>
      </w:r>
      <w:r w:rsidR="00C06AB2" w:rsidRPr="00DC2979">
        <w:t xml:space="preserve"> nor with </w:t>
      </w:r>
      <w:r w:rsidR="00DC2979">
        <w:t xml:space="preserve">the </w:t>
      </w:r>
      <w:r w:rsidR="00C06AB2" w:rsidRPr="00DC2979">
        <w:t xml:space="preserve">Project Management Guidelines, chapter 4.2.2, point c). </w:t>
      </w:r>
      <w:r w:rsidR="008C3800" w:rsidRPr="00DC2979">
        <w:t>Moreover, the Project Manager should n</w:t>
      </w:r>
      <w:r w:rsidR="00C06AB2" w:rsidRPr="00DC2979">
        <w:t>ever</w:t>
      </w:r>
      <w:r w:rsidR="008C3800" w:rsidRPr="00DC2979">
        <w:t xml:space="preserve"> be the </w:t>
      </w:r>
      <w:r w:rsidR="001A668A">
        <w:t>c</w:t>
      </w:r>
      <w:r w:rsidR="008C3800" w:rsidRPr="00DC2979">
        <w:t>oordinator of the Evaluation Group.</w:t>
      </w:r>
      <w:r w:rsidR="00F60347" w:rsidRPr="00DC2979">
        <w:t xml:space="preserve"> </w:t>
      </w:r>
    </w:p>
    <w:p w14:paraId="413CF795" w14:textId="77777777" w:rsidR="008C3800" w:rsidRDefault="008C3800" w:rsidP="008C3800">
      <w:pPr>
        <w:pStyle w:val="titoloracc"/>
      </w:pPr>
    </w:p>
    <w:p w14:paraId="5AF2ECDD" w14:textId="77777777" w:rsidR="002B68AB" w:rsidRPr="00C10739" w:rsidRDefault="002B68AB" w:rsidP="002B68AB">
      <w:pPr>
        <w:pStyle w:val="recesug"/>
      </w:pPr>
      <w:r>
        <w:t xml:space="preserve">In order to minimize risks for ITU, </w:t>
      </w:r>
      <w:r w:rsidRPr="00C06AB2">
        <w:rPr>
          <w:u w:val="single"/>
        </w:rPr>
        <w:t>we also recommend</w:t>
      </w:r>
      <w:r w:rsidRPr="00C10739">
        <w:t xml:space="preserve"> that the Project </w:t>
      </w:r>
      <w:r w:rsidR="001A668A">
        <w:t>M</w:t>
      </w:r>
      <w:r w:rsidRPr="00C10739">
        <w:t xml:space="preserve">anager should not be appointed as a member of the Evaluation Group and that the Procurement Division should be the Coordinator of the Evaluation Group </w:t>
      </w:r>
      <w:r w:rsidR="001A668A">
        <w:t xml:space="preserve">rather than </w:t>
      </w:r>
      <w:r w:rsidRPr="00C10739">
        <w:t>the Project Manager</w:t>
      </w:r>
      <w:r w:rsidR="00C06AB2">
        <w:t>.</w:t>
      </w:r>
      <w:r>
        <w:t xml:space="preserve"> </w:t>
      </w:r>
    </w:p>
    <w:p w14:paraId="3475BD0B" w14:textId="77777777" w:rsidR="002B68AB" w:rsidRPr="00173AFF" w:rsidRDefault="002B68AB" w:rsidP="00DF6646">
      <w:pPr>
        <w:pStyle w:val="titcomments"/>
        <w:pBdr>
          <w:bottom w:val="single" w:sz="4" w:space="9" w:color="auto"/>
        </w:pBdr>
        <w:rPr>
          <w:lang w:val="en-US"/>
        </w:rPr>
      </w:pPr>
      <w:r w:rsidRPr="00173AFF">
        <w:rPr>
          <w:lang w:val="en-US"/>
        </w:rPr>
        <w:t>Comments by ITU</w:t>
      </w:r>
    </w:p>
    <w:p w14:paraId="23E211E9" w14:textId="77777777" w:rsidR="00BF650C" w:rsidRPr="00173AFF" w:rsidRDefault="00BF650C" w:rsidP="00DF6646">
      <w:pPr>
        <w:pStyle w:val="testocomments"/>
        <w:pBdr>
          <w:bottom w:val="single" w:sz="4" w:space="9" w:color="auto"/>
        </w:pBdr>
        <w:rPr>
          <w:lang w:val="en-US"/>
        </w:rPr>
      </w:pPr>
      <w:r>
        <w:t xml:space="preserve">ITU </w:t>
      </w:r>
      <w:r w:rsidR="00C8618F" w:rsidRPr="00C8618F">
        <w:rPr>
          <w:bCs/>
          <w:iCs/>
        </w:rPr>
        <w:t>will further study</w:t>
      </w:r>
      <w:r>
        <w:t xml:space="preserve"> part</w:t>
      </w:r>
      <w:r w:rsidR="00C11D9A">
        <w:t>ly</w:t>
      </w:r>
      <w:r>
        <w:t xml:space="preserve"> </w:t>
      </w:r>
      <w:r w:rsidR="002D3327">
        <w:t>R</w:t>
      </w:r>
      <w:r>
        <w:t xml:space="preserve">ecommendations </w:t>
      </w:r>
      <w:r w:rsidR="00C11D9A">
        <w:t xml:space="preserve">n. </w:t>
      </w:r>
      <w:r>
        <w:t xml:space="preserve">17 and </w:t>
      </w:r>
      <w:r w:rsidR="00C11D9A">
        <w:t xml:space="preserve">n. </w:t>
      </w:r>
      <w:r>
        <w:t>18 since all offers need to be technically evaluated. The project manager is responsible</w:t>
      </w:r>
      <w:r w:rsidRPr="00844559">
        <w:t xml:space="preserve"> </w:t>
      </w:r>
      <w:r>
        <w:t>for all technical aspects of the project and so he/she is the best person to technically evaluate the offers, along with other professionals that he/she proposes to participate.</w:t>
      </w:r>
      <w:r>
        <w:rPr>
          <w:noProof/>
        </w:rPr>
        <w:t xml:space="preserve"> </w:t>
      </w:r>
    </w:p>
    <w:p w14:paraId="32D5D2FD" w14:textId="77777777" w:rsidR="00447EE0" w:rsidRDefault="00BF650C" w:rsidP="00DF6646">
      <w:pPr>
        <w:pStyle w:val="testocomments"/>
        <w:pBdr>
          <w:bottom w:val="single" w:sz="4" w:space="9" w:color="auto"/>
        </w:pBdr>
        <w:rPr>
          <w:lang w:val="en-US"/>
        </w:rPr>
      </w:pPr>
      <w:r>
        <w:rPr>
          <w:lang w:val="en-US"/>
        </w:rPr>
        <w:t>Because most projects are implemented in the field under a project manager who knows the reality on the ground</w:t>
      </w:r>
      <w:r w:rsidR="005071D2">
        <w:rPr>
          <w:lang w:val="en-US"/>
        </w:rPr>
        <w:t>, the latter</w:t>
      </w:r>
      <w:r>
        <w:rPr>
          <w:lang w:val="en-US"/>
        </w:rPr>
        <w:t xml:space="preserve"> should be present with the evaluation team in HQ when decisions are made about the items to be procured.</w:t>
      </w:r>
      <w:r w:rsidR="00447EE0">
        <w:rPr>
          <w:lang w:val="en-US"/>
        </w:rPr>
        <w:t xml:space="preserve"> </w:t>
      </w:r>
    </w:p>
    <w:p w14:paraId="500C085B" w14:textId="77777777" w:rsidR="002B68AB" w:rsidRPr="00173AFF" w:rsidRDefault="00447EE0" w:rsidP="00BF650C">
      <w:pPr>
        <w:pStyle w:val="testocomments"/>
        <w:rPr>
          <w:lang w:val="en-US"/>
        </w:rPr>
      </w:pPr>
      <w:r w:rsidRPr="001C38BE">
        <w:rPr>
          <w:lang w:val="en-US"/>
        </w:rPr>
        <w:t>The establishment of evaluation panels will follow the procedures set out in the forthcoming Procurement Manual. The technical evaluation will be carried out by the Technical Evaluation Panel (TEP). The Requesting Unit is responsible for appointing the members of the panel and this shall be established prior to the issuance of the tender. At least one member shall be a staff member from inside the Requesting Department, and at least one member shall be from outside the Requesting Department. The following shall guide the establishment of the panel. The panel shall consist of a group of minimum of three ITU staff members with interdivisional representation: i) Consultants or external experts designated by the Requesting Unit, or representatives of the beneficiary may sit on the panel, but will not have decision making power, ii) non-</w:t>
      </w:r>
      <w:r w:rsidRPr="001C38BE">
        <w:t>ITU staff members may not outnumber ITU staff members on the Panel, iii) a representative from the Procurement Division may guide and advice the Panel on its work, iv) TEP members shall sign a form declaring the absence of conflict of interest. The commercial evaluation shall be carried out by a staff member of the Procurement Division. A technically competent expert may be requested to support the commercial evaluation, if technical expertise is required. The expert may be external to the Union when in-house expertise is not available.</w:t>
      </w:r>
    </w:p>
    <w:p w14:paraId="78A959BB" w14:textId="77777777" w:rsidR="00161037" w:rsidRPr="00AB5E25" w:rsidRDefault="001A668A" w:rsidP="00161037">
      <w:pPr>
        <w:pStyle w:val="Heading3"/>
        <w:ind w:left="567"/>
      </w:pPr>
      <w:bookmarkStart w:id="52" w:name="_Toc526772275"/>
      <w:r>
        <w:t xml:space="preserve">A </w:t>
      </w:r>
      <w:r w:rsidR="00161037" w:rsidRPr="00AB5E25">
        <w:t xml:space="preserve">Declaration of Absence of Conflict of Interest should always </w:t>
      </w:r>
      <w:r w:rsidR="00161037">
        <w:t xml:space="preserve">be </w:t>
      </w:r>
      <w:r w:rsidR="00161037" w:rsidRPr="00AB5E25">
        <w:t>provided</w:t>
      </w:r>
      <w:bookmarkEnd w:id="52"/>
    </w:p>
    <w:p w14:paraId="13E45080" w14:textId="77777777" w:rsidR="00161037" w:rsidRPr="005D3DD0" w:rsidRDefault="00161037" w:rsidP="00161037">
      <w:pPr>
        <w:pStyle w:val="testobase"/>
      </w:pPr>
      <w:r>
        <w:t xml:space="preserve">During our audit, </w:t>
      </w:r>
      <w:r w:rsidR="00C06AB2">
        <w:t xml:space="preserve">we found that </w:t>
      </w:r>
      <w:r w:rsidRPr="00C10739">
        <w:t xml:space="preserve">the members of the Evaluation Group </w:t>
      </w:r>
      <w:r w:rsidR="008F174D">
        <w:t xml:space="preserve">had </w:t>
      </w:r>
      <w:r w:rsidRPr="00C10739">
        <w:t>not sign</w:t>
      </w:r>
      <w:r w:rsidR="008F174D">
        <w:t>ed</w:t>
      </w:r>
      <w:r w:rsidRPr="00C10739">
        <w:t xml:space="preserve"> a Declaration of absence of interest.</w:t>
      </w:r>
      <w:r>
        <w:t xml:space="preserve"> </w:t>
      </w:r>
      <w:r w:rsidR="00C06AB2">
        <w:t xml:space="preserve">This point had already been </w:t>
      </w:r>
      <w:r w:rsidR="00C06AB2" w:rsidRPr="005D3DD0">
        <w:t xml:space="preserve">raised in our </w:t>
      </w:r>
      <w:r w:rsidRPr="005D3DD0">
        <w:t>last year</w:t>
      </w:r>
      <w:r w:rsidR="00C06AB2" w:rsidRPr="005D3DD0">
        <w:t xml:space="preserve">'s </w:t>
      </w:r>
      <w:r w:rsidR="00F60347" w:rsidRPr="005D3DD0">
        <w:t>Long</w:t>
      </w:r>
      <w:r w:rsidR="008F174D">
        <w:t>-</w:t>
      </w:r>
      <w:r w:rsidR="00F60347" w:rsidRPr="005D3DD0">
        <w:t>Form report</w:t>
      </w:r>
      <w:r w:rsidR="00C06AB2" w:rsidRPr="005D3DD0">
        <w:t xml:space="preserve">. It is worth mentioning that our </w:t>
      </w:r>
      <w:r w:rsidRPr="005D3DD0">
        <w:t>recommend</w:t>
      </w:r>
      <w:r w:rsidR="00C06AB2" w:rsidRPr="005D3DD0">
        <w:t xml:space="preserve">ation n. </w:t>
      </w:r>
      <w:r w:rsidR="00357D0D">
        <w:t>11</w:t>
      </w:r>
      <w:r w:rsidR="008F174D">
        <w:t>,</w:t>
      </w:r>
      <w:r w:rsidR="00DC2979">
        <w:t xml:space="preserve"> to</w:t>
      </w:r>
      <w:r w:rsidR="00C06AB2" w:rsidRPr="005D3DD0">
        <w:t xml:space="preserve"> </w:t>
      </w:r>
      <w:r w:rsidRPr="005D3DD0">
        <w:t>implement</w:t>
      </w:r>
      <w:r w:rsidR="00C06AB2" w:rsidRPr="005D3DD0">
        <w:t xml:space="preserve"> </w:t>
      </w:r>
      <w:r w:rsidRPr="005D3DD0">
        <w:t>a general DACI</w:t>
      </w:r>
      <w:r w:rsidR="00C06AB2" w:rsidRPr="005D3DD0">
        <w:t xml:space="preserve"> process</w:t>
      </w:r>
      <w:r w:rsidR="008F174D">
        <w:t>,</w:t>
      </w:r>
      <w:r w:rsidR="00C06AB2" w:rsidRPr="005D3DD0">
        <w:t xml:space="preserve"> </w:t>
      </w:r>
      <w:r w:rsidR="0071326E" w:rsidRPr="005D3DD0">
        <w:t xml:space="preserve">was not limited to </w:t>
      </w:r>
      <w:r w:rsidR="00C06AB2" w:rsidRPr="005D3DD0">
        <w:t>the regular budget</w:t>
      </w:r>
      <w:r w:rsidR="0071326E" w:rsidRPr="005D3DD0">
        <w:t xml:space="preserve">, but </w:t>
      </w:r>
      <w:r w:rsidR="00DC2979">
        <w:t xml:space="preserve">was </w:t>
      </w:r>
      <w:r w:rsidRPr="005D3DD0">
        <w:t xml:space="preserve">also </w:t>
      </w:r>
      <w:r w:rsidR="00C06AB2" w:rsidRPr="005D3DD0">
        <w:t>meant</w:t>
      </w:r>
      <w:r w:rsidRPr="005D3DD0">
        <w:t xml:space="preserve"> </w:t>
      </w:r>
      <w:r w:rsidR="00C06AB2" w:rsidRPr="005D3DD0">
        <w:t>to apply to</w:t>
      </w:r>
      <w:r w:rsidRPr="005D3DD0">
        <w:t xml:space="preserve"> projects funded with extra-budgetary funds</w:t>
      </w:r>
      <w:r w:rsidR="00C06AB2" w:rsidRPr="005D3DD0">
        <w:t>.</w:t>
      </w:r>
      <w:r w:rsidRPr="005D3DD0">
        <w:t xml:space="preserve"> </w:t>
      </w:r>
    </w:p>
    <w:p w14:paraId="38F0F1D4" w14:textId="77777777" w:rsidR="0071326E" w:rsidRDefault="0071326E" w:rsidP="0071326E">
      <w:pPr>
        <w:pStyle w:val="titoloracc"/>
      </w:pPr>
    </w:p>
    <w:p w14:paraId="0E7A15C1" w14:textId="77777777" w:rsidR="00161037" w:rsidRPr="00357D0D" w:rsidRDefault="00DC2979" w:rsidP="0071326E">
      <w:pPr>
        <w:pStyle w:val="recesug"/>
      </w:pPr>
      <w:r w:rsidRPr="00357D0D">
        <w:t xml:space="preserve">In line with recommendation n. </w:t>
      </w:r>
      <w:r w:rsidR="00357D0D" w:rsidRPr="00357D0D">
        <w:t>11</w:t>
      </w:r>
      <w:r w:rsidRPr="00357D0D">
        <w:t xml:space="preserve"> of our Long</w:t>
      </w:r>
      <w:r w:rsidR="008F174D">
        <w:t>-</w:t>
      </w:r>
      <w:r w:rsidRPr="00357D0D">
        <w:t xml:space="preserve">Form report on </w:t>
      </w:r>
      <w:r w:rsidR="00357D0D" w:rsidRPr="00357D0D">
        <w:t xml:space="preserve">the audit of </w:t>
      </w:r>
      <w:r w:rsidRPr="00357D0D">
        <w:t>ITU</w:t>
      </w:r>
      <w:r w:rsidR="008F174D">
        <w:t>’s</w:t>
      </w:r>
      <w:r w:rsidRPr="00357D0D">
        <w:t xml:space="preserve"> financial statements for 2016, </w:t>
      </w:r>
      <w:r w:rsidRPr="00357D0D">
        <w:rPr>
          <w:u w:val="single"/>
        </w:rPr>
        <w:t>w</w:t>
      </w:r>
      <w:r w:rsidR="00161037" w:rsidRPr="00357D0D">
        <w:rPr>
          <w:u w:val="single"/>
        </w:rPr>
        <w:t>e recommend</w:t>
      </w:r>
      <w:r w:rsidR="00161037" w:rsidRPr="00357D0D">
        <w:t xml:space="preserve"> that a specific and detailed Declaration of absence of conflict of interest (DACI) should be </w:t>
      </w:r>
      <w:r w:rsidR="008F174D">
        <w:t xml:space="preserve">provided </w:t>
      </w:r>
      <w:r w:rsidR="00161037" w:rsidRPr="00357D0D">
        <w:t>duly signed by all the people involved in the procurement process.</w:t>
      </w:r>
      <w:r w:rsidR="005D3DD0" w:rsidRPr="00357D0D">
        <w:t xml:space="preserve"> </w:t>
      </w:r>
    </w:p>
    <w:p w14:paraId="7CA14861" w14:textId="77777777" w:rsidR="00161037" w:rsidRDefault="00161037" w:rsidP="0071326E">
      <w:pPr>
        <w:pStyle w:val="titcomments"/>
        <w:rPr>
          <w:lang w:val="en-US"/>
        </w:rPr>
      </w:pPr>
      <w:r w:rsidRPr="00161037">
        <w:rPr>
          <w:lang w:val="en-US"/>
        </w:rPr>
        <w:t>Comments by ITU</w:t>
      </w:r>
    </w:p>
    <w:p w14:paraId="5262A514" w14:textId="77777777" w:rsidR="0071326E" w:rsidRPr="001C38BE" w:rsidRDefault="00447EE0" w:rsidP="00447EE0">
      <w:pPr>
        <w:pStyle w:val="titcomments"/>
        <w:spacing w:line="319" w:lineRule="auto"/>
        <w:rPr>
          <w:b w:val="0"/>
          <w:bCs w:val="0"/>
          <w:i w:val="0"/>
          <w:lang w:val="en-US"/>
        </w:rPr>
      </w:pPr>
      <w:r w:rsidRPr="001C38BE">
        <w:rPr>
          <w:b w:val="0"/>
          <w:bCs w:val="0"/>
          <w:i w:val="0"/>
        </w:rPr>
        <w:t>ITU agrees that some key staff involved in the procurement process shall sign a DACI.</w:t>
      </w:r>
    </w:p>
    <w:p w14:paraId="2D63C336" w14:textId="77777777" w:rsidR="006F7CEF" w:rsidRPr="00AB5E25" w:rsidRDefault="006F7CEF" w:rsidP="006F7CEF">
      <w:pPr>
        <w:pStyle w:val="Heading3"/>
        <w:ind w:left="567"/>
      </w:pPr>
      <w:bookmarkStart w:id="53" w:name="_Toc526772276"/>
      <w:r w:rsidRPr="00AB5E25">
        <w:t>R</w:t>
      </w:r>
      <w:r w:rsidR="002B68AB">
        <w:t>espective r</w:t>
      </w:r>
      <w:r w:rsidRPr="00AB5E25">
        <w:t>ole</w:t>
      </w:r>
      <w:r w:rsidR="002B68AB">
        <w:t>s</w:t>
      </w:r>
      <w:r w:rsidRPr="00AB5E25">
        <w:t xml:space="preserve"> of the Procurement Division </w:t>
      </w:r>
      <w:r w:rsidR="002B68AB">
        <w:t xml:space="preserve">and the </w:t>
      </w:r>
      <w:r w:rsidRPr="00AB5E25">
        <w:t>P</w:t>
      </w:r>
      <w:r w:rsidR="000A39A7">
        <w:t>r</w:t>
      </w:r>
      <w:r w:rsidRPr="00AB5E25">
        <w:t>oject Manage</w:t>
      </w:r>
      <w:r w:rsidR="002B68AB">
        <w:t>r</w:t>
      </w:r>
      <w:bookmarkEnd w:id="53"/>
    </w:p>
    <w:p w14:paraId="6744CB60" w14:textId="77777777" w:rsidR="006F7CEF" w:rsidRDefault="006F7CEF" w:rsidP="00B4431B">
      <w:pPr>
        <w:pStyle w:val="testobase"/>
      </w:pPr>
      <w:r w:rsidRPr="00C10739">
        <w:t xml:space="preserve">Project Management Guidelines </w:t>
      </w:r>
      <w:r w:rsidR="000A39A7">
        <w:t>state t</w:t>
      </w:r>
      <w:r w:rsidRPr="00C10739">
        <w:t>hat “</w:t>
      </w:r>
      <w:r w:rsidRPr="000B1D1F">
        <w:t xml:space="preserve">the project manager should concentrate on </w:t>
      </w:r>
      <w:r w:rsidR="008F174D">
        <w:t xml:space="preserve">the </w:t>
      </w:r>
      <w:r w:rsidRPr="000B1D1F">
        <w:t>definition of requirements (terms of reference for services, technical specifications for equipment). To estimate the delivery taking into account needs, and develop a preliminary schedule of purchases, the project manager must coordinate with the Procurement Division which is responsible for the relationship with suppliers. The project manager must plan the acquisition of products and services needed to achieve the project deliverables. Control and monitoring of the plan will allow the project manager to mitigate risks related to the non-mastery of suppliers and external service providers</w:t>
      </w:r>
      <w:r w:rsidR="000A39A7">
        <w:t>” (</w:t>
      </w:r>
      <w:r w:rsidR="000A39A7" w:rsidRPr="00C10739">
        <w:t xml:space="preserve">chapter 4.1.3 </w:t>
      </w:r>
      <w:r w:rsidR="000A39A7" w:rsidRPr="000A39A7">
        <w:t>Procurement plan</w:t>
      </w:r>
      <w:r w:rsidR="000A39A7">
        <w:t xml:space="preserve">). </w:t>
      </w:r>
    </w:p>
    <w:p w14:paraId="553B1D22" w14:textId="77777777" w:rsidR="006F7CEF" w:rsidRPr="00484823" w:rsidRDefault="006F7CEF" w:rsidP="006F7CEF">
      <w:pPr>
        <w:rPr>
          <w:lang w:val="en-US"/>
        </w:rPr>
      </w:pPr>
    </w:p>
    <w:p w14:paraId="57D97379" w14:textId="77777777" w:rsidR="0071326E" w:rsidRPr="0071326E" w:rsidRDefault="0071326E" w:rsidP="0071326E">
      <w:pPr>
        <w:pStyle w:val="titoloracc"/>
      </w:pPr>
    </w:p>
    <w:p w14:paraId="4C2FC5CB" w14:textId="77777777" w:rsidR="006F7CEF" w:rsidRPr="00C10739" w:rsidRDefault="008F174D" w:rsidP="0071326E">
      <w:pPr>
        <w:pStyle w:val="recesug"/>
      </w:pPr>
      <w:r>
        <w:rPr>
          <w:lang w:val="en-US"/>
        </w:rPr>
        <w:t xml:space="preserve">Since </w:t>
      </w:r>
      <w:r w:rsidR="00436A03" w:rsidRPr="005D3DD0">
        <w:rPr>
          <w:lang w:val="en-US"/>
        </w:rPr>
        <w:t xml:space="preserve">we </w:t>
      </w:r>
      <w:r w:rsidR="0071326E" w:rsidRPr="005D3DD0">
        <w:rPr>
          <w:lang w:val="en-US"/>
        </w:rPr>
        <w:t xml:space="preserve">do not </w:t>
      </w:r>
      <w:r w:rsidR="00436A03" w:rsidRPr="005D3DD0">
        <w:rPr>
          <w:lang w:val="en-US"/>
        </w:rPr>
        <w:t xml:space="preserve">consider </w:t>
      </w:r>
      <w:r>
        <w:rPr>
          <w:lang w:val="en-US"/>
        </w:rPr>
        <w:t xml:space="preserve">that </w:t>
      </w:r>
      <w:r w:rsidR="00436A03" w:rsidRPr="005D3DD0">
        <w:rPr>
          <w:lang w:val="en-US"/>
        </w:rPr>
        <w:t xml:space="preserve">the Project </w:t>
      </w:r>
      <w:r>
        <w:rPr>
          <w:lang w:val="en-US"/>
        </w:rPr>
        <w:t>M</w:t>
      </w:r>
      <w:r w:rsidR="00436A03" w:rsidRPr="005D3DD0">
        <w:rPr>
          <w:lang w:val="en-US"/>
        </w:rPr>
        <w:t>anagement Guid</w:t>
      </w:r>
      <w:r w:rsidR="0071326E" w:rsidRPr="005D3DD0">
        <w:rPr>
          <w:lang w:val="en-US"/>
        </w:rPr>
        <w:t>e</w:t>
      </w:r>
      <w:r w:rsidR="00436A03" w:rsidRPr="005D3DD0">
        <w:rPr>
          <w:lang w:val="en-US"/>
        </w:rPr>
        <w:t>lines</w:t>
      </w:r>
      <w:r>
        <w:rPr>
          <w:lang w:val="en-US"/>
        </w:rPr>
        <w:t>, which should be directly and clearly linked to Procurement Rules,</w:t>
      </w:r>
      <w:r w:rsidR="00436A03" w:rsidRPr="005D3DD0">
        <w:rPr>
          <w:lang w:val="en-US"/>
        </w:rPr>
        <w:t xml:space="preserve"> </w:t>
      </w:r>
      <w:r>
        <w:rPr>
          <w:lang w:val="en-US"/>
        </w:rPr>
        <w:t xml:space="preserve">are </w:t>
      </w:r>
      <w:r w:rsidR="0071326E" w:rsidRPr="005D3DD0">
        <w:rPr>
          <w:lang w:val="en-US"/>
        </w:rPr>
        <w:t xml:space="preserve">sufficiently detailed, </w:t>
      </w:r>
      <w:r w:rsidR="0071326E" w:rsidRPr="005D3DD0">
        <w:rPr>
          <w:u w:val="single"/>
          <w:lang w:val="en-US"/>
        </w:rPr>
        <w:t>w</w:t>
      </w:r>
      <w:r w:rsidR="006F7CEF" w:rsidRPr="005D3DD0">
        <w:rPr>
          <w:u w:val="single"/>
        </w:rPr>
        <w:t xml:space="preserve">e </w:t>
      </w:r>
      <w:r w:rsidR="0071326E" w:rsidRPr="005D3DD0">
        <w:rPr>
          <w:u w:val="single"/>
        </w:rPr>
        <w:t>re</w:t>
      </w:r>
      <w:r w:rsidR="006F7CEF" w:rsidRPr="005D3DD0">
        <w:rPr>
          <w:u w:val="single"/>
        </w:rPr>
        <w:t>commend</w:t>
      </w:r>
      <w:r w:rsidR="006F7CEF" w:rsidRPr="005D3DD0">
        <w:t xml:space="preserve"> amending the Project</w:t>
      </w:r>
      <w:r w:rsidR="006F7CEF" w:rsidRPr="00C10739">
        <w:t xml:space="preserve"> Management Guidelines in order to better explain the role of the Procurement Division and make reference to the rules and procedures applicable to procurement</w:t>
      </w:r>
      <w:r w:rsidR="0071326E">
        <w:t>.</w:t>
      </w:r>
    </w:p>
    <w:p w14:paraId="5FC3D89B" w14:textId="77777777" w:rsidR="006F7CEF" w:rsidRPr="00C10739" w:rsidRDefault="006F7CEF" w:rsidP="006F7CEF"/>
    <w:p w14:paraId="7759A6AB" w14:textId="77777777" w:rsidR="006F7CEF" w:rsidRPr="00173AFF" w:rsidRDefault="006F7CEF" w:rsidP="0071326E">
      <w:pPr>
        <w:pStyle w:val="titcomments"/>
        <w:rPr>
          <w:lang w:val="en-US"/>
        </w:rPr>
      </w:pPr>
      <w:r w:rsidRPr="00173AFF">
        <w:rPr>
          <w:lang w:val="en-US"/>
        </w:rPr>
        <w:t>Comments by ITU</w:t>
      </w:r>
    </w:p>
    <w:p w14:paraId="455BF1B2" w14:textId="77777777" w:rsidR="00447EE0" w:rsidRDefault="00447EE0" w:rsidP="001C38BE">
      <w:pPr>
        <w:pStyle w:val="titcomments"/>
        <w:spacing w:line="319" w:lineRule="auto"/>
        <w:rPr>
          <w:b w:val="0"/>
          <w:bCs w:val="0"/>
          <w:i w:val="0"/>
          <w:iCs/>
          <w:lang w:val="en-US"/>
        </w:rPr>
      </w:pPr>
      <w:r>
        <w:rPr>
          <w:b w:val="0"/>
          <w:bCs w:val="0"/>
          <w:i w:val="0"/>
          <w:iCs/>
          <w:lang w:val="en-US"/>
        </w:rPr>
        <w:t xml:space="preserve">ITU agrees </w:t>
      </w:r>
      <w:r w:rsidR="001C38BE">
        <w:rPr>
          <w:b w:val="0"/>
          <w:bCs w:val="0"/>
          <w:i w:val="0"/>
          <w:iCs/>
          <w:lang w:val="en-US"/>
        </w:rPr>
        <w:t>with</w:t>
      </w:r>
      <w:r>
        <w:rPr>
          <w:b w:val="0"/>
          <w:bCs w:val="0"/>
          <w:i w:val="0"/>
          <w:iCs/>
          <w:lang w:val="en-US"/>
        </w:rPr>
        <w:t xml:space="preserve"> Recommendation </w:t>
      </w:r>
      <w:r w:rsidR="00C11D9A">
        <w:rPr>
          <w:b w:val="0"/>
          <w:bCs w:val="0"/>
          <w:i w:val="0"/>
          <w:iCs/>
          <w:lang w:val="en-US"/>
        </w:rPr>
        <w:t xml:space="preserve">n. </w:t>
      </w:r>
      <w:r>
        <w:rPr>
          <w:b w:val="0"/>
          <w:bCs w:val="0"/>
          <w:i w:val="0"/>
          <w:iCs/>
          <w:lang w:val="en-US"/>
        </w:rPr>
        <w:t xml:space="preserve">20. ITU has already started initial discussion on linking </w:t>
      </w:r>
      <w:r w:rsidRPr="00874C74">
        <w:rPr>
          <w:b w:val="0"/>
          <w:bCs w:val="0"/>
          <w:i w:val="0"/>
          <w:iCs/>
          <w:lang w:val="en-US"/>
        </w:rPr>
        <w:t xml:space="preserve">the Project Management Guidelines </w:t>
      </w:r>
      <w:r>
        <w:rPr>
          <w:b w:val="0"/>
          <w:bCs w:val="0"/>
          <w:i w:val="0"/>
          <w:iCs/>
          <w:lang w:val="en-US"/>
        </w:rPr>
        <w:t xml:space="preserve">with </w:t>
      </w:r>
      <w:r w:rsidRPr="00874C74">
        <w:rPr>
          <w:b w:val="0"/>
          <w:bCs w:val="0"/>
          <w:i w:val="0"/>
          <w:iCs/>
          <w:lang w:val="en-US"/>
        </w:rPr>
        <w:t xml:space="preserve">the </w:t>
      </w:r>
      <w:r>
        <w:rPr>
          <w:b w:val="0"/>
          <w:bCs w:val="0"/>
          <w:i w:val="0"/>
          <w:iCs/>
          <w:lang w:val="en-US"/>
        </w:rPr>
        <w:t>p</w:t>
      </w:r>
      <w:r w:rsidRPr="00874C74">
        <w:rPr>
          <w:b w:val="0"/>
          <w:bCs w:val="0"/>
          <w:i w:val="0"/>
          <w:iCs/>
          <w:lang w:val="en-US"/>
        </w:rPr>
        <w:t xml:space="preserve">rocurement </w:t>
      </w:r>
      <w:r>
        <w:rPr>
          <w:b w:val="0"/>
          <w:bCs w:val="0"/>
          <w:i w:val="0"/>
          <w:iCs/>
          <w:lang w:val="en-US"/>
        </w:rPr>
        <w:t>rules and procedures.</w:t>
      </w:r>
    </w:p>
    <w:p w14:paraId="73541200" w14:textId="77777777" w:rsidR="006F7CEF" w:rsidRPr="00173AFF" w:rsidRDefault="006F7CEF" w:rsidP="006F7CEF">
      <w:pPr>
        <w:rPr>
          <w:lang w:val="en-US"/>
        </w:rPr>
      </w:pPr>
    </w:p>
    <w:p w14:paraId="7B43901E" w14:textId="77777777" w:rsidR="006F7CEF" w:rsidRPr="00AB5E25" w:rsidRDefault="006F7CEF" w:rsidP="006F7CEF">
      <w:pPr>
        <w:pStyle w:val="Heading3"/>
        <w:ind w:left="567"/>
      </w:pPr>
      <w:bookmarkStart w:id="54" w:name="_Toc526772277"/>
      <w:r w:rsidRPr="00AB5E25">
        <w:t>Training for staff in relation to procurement should be enhanced</w:t>
      </w:r>
      <w:bookmarkEnd w:id="54"/>
      <w:r w:rsidRPr="00AB5E25">
        <w:t xml:space="preserve"> </w:t>
      </w:r>
    </w:p>
    <w:p w14:paraId="69FCD47E" w14:textId="77777777" w:rsidR="006F7CEF" w:rsidRPr="00B27601" w:rsidRDefault="006F7CEF" w:rsidP="00B4431B">
      <w:pPr>
        <w:pStyle w:val="testobase"/>
      </w:pPr>
      <w:r w:rsidRPr="00B27601">
        <w:t xml:space="preserve">During our audit, </w:t>
      </w:r>
      <w:r>
        <w:t>we noted</w:t>
      </w:r>
      <w:r w:rsidRPr="00B27601">
        <w:t xml:space="preserve"> that ITU </w:t>
      </w:r>
      <w:r w:rsidR="008F174D">
        <w:t>s</w:t>
      </w:r>
      <w:r w:rsidRPr="00B27601">
        <w:t>taff in regional offices</w:t>
      </w:r>
      <w:r w:rsidR="00AE0CEF">
        <w:t xml:space="preserve"> w</w:t>
      </w:r>
      <w:r w:rsidR="008F174D">
        <w:t>ere</w:t>
      </w:r>
      <w:r w:rsidRPr="00B27601">
        <w:t xml:space="preserve"> not aware which procurement rules they ha</w:t>
      </w:r>
      <w:r w:rsidR="00AE0CEF">
        <w:t>d</w:t>
      </w:r>
      <w:r w:rsidRPr="00B27601">
        <w:t xml:space="preserve"> to apply</w:t>
      </w:r>
      <w:r>
        <w:t xml:space="preserve">; Management reported to us </w:t>
      </w:r>
      <w:r w:rsidRPr="00B27601">
        <w:t>that they follow</w:t>
      </w:r>
      <w:r w:rsidR="00AE0CEF">
        <w:t>ed</w:t>
      </w:r>
      <w:r w:rsidRPr="00B27601">
        <w:t xml:space="preserve"> the instructions coming from </w:t>
      </w:r>
      <w:r w:rsidR="00AE0CEF">
        <w:t xml:space="preserve">the </w:t>
      </w:r>
      <w:r w:rsidRPr="00B27601">
        <w:t xml:space="preserve">Procurement </w:t>
      </w:r>
      <w:r w:rsidR="00AE0CEF">
        <w:t>D</w:t>
      </w:r>
      <w:r w:rsidRPr="00B27601">
        <w:t>ivision in Geneva</w:t>
      </w:r>
      <w:r>
        <w:t xml:space="preserve">, </w:t>
      </w:r>
      <w:r w:rsidR="008F174D">
        <w:t>but</w:t>
      </w:r>
      <w:r w:rsidR="00AE0CEF">
        <w:t xml:space="preserve"> no </w:t>
      </w:r>
      <w:r>
        <w:t xml:space="preserve">specific and regular ad-hoc training </w:t>
      </w:r>
      <w:r w:rsidR="008F174D">
        <w:t xml:space="preserve">had been </w:t>
      </w:r>
      <w:r>
        <w:t>systematically</w:t>
      </w:r>
      <w:r w:rsidR="00AE0CEF">
        <w:t xml:space="preserve"> </w:t>
      </w:r>
      <w:r w:rsidR="008F174D">
        <w:t xml:space="preserve">carried out </w:t>
      </w:r>
      <w:r w:rsidR="00AE0CEF">
        <w:t>in the past years.</w:t>
      </w:r>
      <w:r w:rsidR="00AE0CEF">
        <w:rPr>
          <w:rStyle w:val="CommentReference"/>
        </w:rPr>
        <w:t xml:space="preserve"> </w:t>
      </w:r>
      <w:r w:rsidRPr="00B27601">
        <w:t xml:space="preserve"> </w:t>
      </w:r>
    </w:p>
    <w:p w14:paraId="2370E0E2" w14:textId="77777777" w:rsidR="006F7CEF" w:rsidRPr="00C10739" w:rsidRDefault="006F7CEF" w:rsidP="006F7CEF"/>
    <w:p w14:paraId="3C700249" w14:textId="77777777" w:rsidR="0071326E" w:rsidRPr="0071326E" w:rsidRDefault="0071326E" w:rsidP="0071326E">
      <w:pPr>
        <w:pStyle w:val="titoloracc"/>
      </w:pPr>
    </w:p>
    <w:p w14:paraId="30148F99" w14:textId="77777777" w:rsidR="006F7CEF" w:rsidRPr="00C10739" w:rsidRDefault="006F7CEF" w:rsidP="000D29F4">
      <w:pPr>
        <w:pStyle w:val="recesug"/>
      </w:pPr>
      <w:r w:rsidRPr="00B567A6">
        <w:rPr>
          <w:u w:val="single"/>
        </w:rPr>
        <w:t>We recommend</w:t>
      </w:r>
      <w:r w:rsidRPr="00C10739">
        <w:t xml:space="preserve"> organizing </w:t>
      </w:r>
      <w:r>
        <w:t xml:space="preserve">regular </w:t>
      </w:r>
      <w:r w:rsidRPr="00C10739">
        <w:t>training for all staff involved in the procurement process in the Regional Offices and Area Offices.</w:t>
      </w:r>
    </w:p>
    <w:p w14:paraId="1FD5BBB2" w14:textId="77777777" w:rsidR="006F7CEF" w:rsidRPr="00C10739" w:rsidRDefault="006F7CEF" w:rsidP="006F7CEF"/>
    <w:p w14:paraId="658E70B5" w14:textId="77777777" w:rsidR="006F7CEF" w:rsidRPr="00C10739" w:rsidRDefault="006F7CEF" w:rsidP="000D29F4">
      <w:pPr>
        <w:pStyle w:val="titcomments"/>
      </w:pPr>
      <w:r w:rsidRPr="00C10739">
        <w:t>Comments by ITU</w:t>
      </w:r>
    </w:p>
    <w:p w14:paraId="2486AFD0" w14:textId="77777777" w:rsidR="006F7CEF" w:rsidRPr="00C10739" w:rsidRDefault="00447EE0" w:rsidP="00447EE0">
      <w:pPr>
        <w:pStyle w:val="testocomments"/>
      </w:pPr>
      <w:r>
        <w:t xml:space="preserve">ITU agrees with </w:t>
      </w:r>
      <w:r w:rsidRPr="00874C74">
        <w:t xml:space="preserve">Recommendation </w:t>
      </w:r>
      <w:r w:rsidR="00C11D9A">
        <w:t xml:space="preserve">n. </w:t>
      </w:r>
      <w:r w:rsidRPr="00874C74">
        <w:t>21.</w:t>
      </w:r>
      <w:r>
        <w:t xml:space="preserve"> </w:t>
      </w:r>
      <w:r w:rsidRPr="001C38BE">
        <w:t>Following the promulgation of the forthcoming Procurement Manual, training shall be offered to staff involved in the procurement process in the Regional Offices and Area Offices.</w:t>
      </w:r>
    </w:p>
    <w:p w14:paraId="5E139328" w14:textId="77777777" w:rsidR="006F7CEF" w:rsidRPr="00C10739" w:rsidRDefault="006F7CEF" w:rsidP="006F7CEF"/>
    <w:p w14:paraId="30014225" w14:textId="77777777" w:rsidR="00555191" w:rsidRDefault="00555191" w:rsidP="00555191">
      <w:pPr>
        <w:pStyle w:val="Heading2"/>
      </w:pPr>
      <w:bookmarkStart w:id="55" w:name="_Toc526772278"/>
      <w:r>
        <w:t>Office management</w:t>
      </w:r>
      <w:bookmarkEnd w:id="55"/>
    </w:p>
    <w:p w14:paraId="3B534C66" w14:textId="77777777" w:rsidR="00555191" w:rsidRPr="00022569" w:rsidRDefault="00B46A31" w:rsidP="00B4431B">
      <w:pPr>
        <w:pStyle w:val="testobase"/>
      </w:pPr>
      <w:r>
        <w:t xml:space="preserve">In relation to insurances and Office Protection, which are part of </w:t>
      </w:r>
      <w:r w:rsidR="000D29F4">
        <w:t xml:space="preserve">ordinary </w:t>
      </w:r>
      <w:r w:rsidR="008F174D">
        <w:t>o</w:t>
      </w:r>
      <w:r>
        <w:t xml:space="preserve">ffice management, </w:t>
      </w:r>
      <w:r w:rsidR="000D29F4">
        <w:t>w</w:t>
      </w:r>
      <w:r w:rsidR="00555191" w:rsidRPr="00022569">
        <w:t xml:space="preserve">e understood from </w:t>
      </w:r>
      <w:r w:rsidR="008F174D">
        <w:t xml:space="preserve">the </w:t>
      </w:r>
      <w:r w:rsidR="00555191" w:rsidRPr="00022569">
        <w:t>RD that</w:t>
      </w:r>
      <w:r w:rsidR="000D29F4">
        <w:t>,</w:t>
      </w:r>
      <w:r w:rsidR="00555191" w:rsidRPr="00022569">
        <w:t xml:space="preserve"> for RO Brasilia, insurance contracts are in place to protect </w:t>
      </w:r>
      <w:r w:rsidR="000D29F4">
        <w:t xml:space="preserve">the interests of </w:t>
      </w:r>
      <w:r w:rsidR="00555191" w:rsidRPr="00022569">
        <w:t xml:space="preserve">ITU’s </w:t>
      </w:r>
      <w:r w:rsidR="000D29F4">
        <w:t>and the staff;</w:t>
      </w:r>
      <w:r w:rsidR="00555191" w:rsidRPr="00022569">
        <w:t xml:space="preserve"> however</w:t>
      </w:r>
      <w:r w:rsidR="008F174D">
        <w:t>,</w:t>
      </w:r>
      <w:r w:rsidR="00555191" w:rsidRPr="00022569">
        <w:t xml:space="preserve"> there is no standardized check</w:t>
      </w:r>
      <w:r w:rsidR="008F174D">
        <w:t>-</w:t>
      </w:r>
      <w:r w:rsidR="00555191" w:rsidRPr="00022569">
        <w:t xml:space="preserve">list or template that could </w:t>
      </w:r>
      <w:r w:rsidR="008F174D">
        <w:t>summarize</w:t>
      </w:r>
      <w:r w:rsidR="00555191" w:rsidRPr="00022569">
        <w:t xml:space="preserve"> all the documents</w:t>
      </w:r>
      <w:r w:rsidR="000D29F4">
        <w:t xml:space="preserve"> and</w:t>
      </w:r>
      <w:r w:rsidR="00555191" w:rsidRPr="00022569">
        <w:t xml:space="preserve"> insurances needed and immediately show the schedule </w:t>
      </w:r>
      <w:r w:rsidR="000D29F4">
        <w:t xml:space="preserve">and deadlines </w:t>
      </w:r>
      <w:r w:rsidR="008F174D">
        <w:t>for</w:t>
      </w:r>
      <w:r w:rsidR="00555191" w:rsidRPr="00022569">
        <w:t xml:space="preserve"> </w:t>
      </w:r>
      <w:r w:rsidR="000D29F4">
        <w:t xml:space="preserve">all </w:t>
      </w:r>
      <w:r w:rsidR="00555191" w:rsidRPr="00022569">
        <w:t xml:space="preserve">payments. Furthermore, we understood from </w:t>
      </w:r>
      <w:r w:rsidR="008F174D">
        <w:t xml:space="preserve">the </w:t>
      </w:r>
      <w:r w:rsidR="00555191" w:rsidRPr="00022569">
        <w:t>RD that there is no</w:t>
      </w:r>
      <w:r w:rsidR="008F174D">
        <w:t xml:space="preserve"> </w:t>
      </w:r>
      <w:r w:rsidR="00555191" w:rsidRPr="00022569">
        <w:t xml:space="preserve">systematic check </w:t>
      </w:r>
      <w:r w:rsidR="008F174D">
        <w:t xml:space="preserve">as to whether </w:t>
      </w:r>
      <w:r w:rsidR="00555191" w:rsidRPr="00022569">
        <w:t>all the Area Offices (AO</w:t>
      </w:r>
      <w:r w:rsidR="008F174D">
        <w:t>s</w:t>
      </w:r>
      <w:r w:rsidR="00555191" w:rsidRPr="00022569">
        <w:t>) ha</w:t>
      </w:r>
      <w:r w:rsidR="008F174D">
        <w:t>ve</w:t>
      </w:r>
      <w:r w:rsidR="00555191" w:rsidRPr="00022569">
        <w:t xml:space="preserve"> all the insurances and protection in p</w:t>
      </w:r>
      <w:r w:rsidR="000D29F4">
        <w:t>lace</w:t>
      </w:r>
      <w:r w:rsidR="00555191" w:rsidRPr="00022569">
        <w:t>.</w:t>
      </w:r>
    </w:p>
    <w:p w14:paraId="05A6BF6C" w14:textId="77777777" w:rsidR="00555191" w:rsidRPr="00022569" w:rsidRDefault="00555191" w:rsidP="00555191"/>
    <w:p w14:paraId="690A47F5" w14:textId="77777777" w:rsidR="000D29F4" w:rsidRDefault="000D29F4" w:rsidP="000D29F4">
      <w:pPr>
        <w:pStyle w:val="titoloracc"/>
      </w:pPr>
    </w:p>
    <w:p w14:paraId="4A7764E9" w14:textId="77777777" w:rsidR="00555191" w:rsidRPr="000D29F4" w:rsidRDefault="00AE0CEF" w:rsidP="000D29F4">
      <w:pPr>
        <w:pStyle w:val="recesug"/>
      </w:pPr>
      <w:r w:rsidRPr="000D29F4">
        <w:t>I</w:t>
      </w:r>
      <w:r w:rsidR="00555191" w:rsidRPr="000D29F4">
        <w:t xml:space="preserve">n order to protect </w:t>
      </w:r>
      <w:r w:rsidRPr="000D29F4">
        <w:t xml:space="preserve">the </w:t>
      </w:r>
      <w:r w:rsidR="00555191" w:rsidRPr="000D29F4">
        <w:t xml:space="preserve">staff, as well as </w:t>
      </w:r>
      <w:r w:rsidR="008F174D">
        <w:t xml:space="preserve">the </w:t>
      </w:r>
      <w:r w:rsidR="00555191" w:rsidRPr="000D29F4">
        <w:t xml:space="preserve">ITU’s interests and premises, we recommend that HQ’s Management </w:t>
      </w:r>
      <w:r w:rsidRPr="000D29F4">
        <w:t xml:space="preserve">should </w:t>
      </w:r>
      <w:r w:rsidR="00555191" w:rsidRPr="000D29F4">
        <w:t xml:space="preserve">draft a standardised procedure and templates </w:t>
      </w:r>
      <w:r w:rsidRPr="000D29F4">
        <w:t xml:space="preserve">to </w:t>
      </w:r>
      <w:r w:rsidR="00555191" w:rsidRPr="000D29F4">
        <w:t xml:space="preserve">monitor </w:t>
      </w:r>
      <w:r w:rsidRPr="000D29F4">
        <w:t xml:space="preserve">the </w:t>
      </w:r>
      <w:r w:rsidR="00555191" w:rsidRPr="000D29F4">
        <w:t>various ROs</w:t>
      </w:r>
      <w:r w:rsidR="00551193">
        <w:t>’</w:t>
      </w:r>
      <w:r w:rsidR="00555191" w:rsidRPr="000D29F4">
        <w:t xml:space="preserve"> activities </w:t>
      </w:r>
      <w:r w:rsidR="00551193">
        <w:t xml:space="preserve">in </w:t>
      </w:r>
      <w:r w:rsidR="00555191" w:rsidRPr="000D29F4">
        <w:t>relat</w:t>
      </w:r>
      <w:r w:rsidR="00551193">
        <w:t xml:space="preserve">ion </w:t>
      </w:r>
      <w:r w:rsidR="00555191" w:rsidRPr="000D29F4">
        <w:t>to office management</w:t>
      </w:r>
      <w:r w:rsidRPr="000D29F4">
        <w:t xml:space="preserve">, </w:t>
      </w:r>
      <w:r w:rsidR="00555191" w:rsidRPr="000D29F4">
        <w:t xml:space="preserve">taking into account the different needs </w:t>
      </w:r>
      <w:r w:rsidRPr="000D29F4">
        <w:t>of</w:t>
      </w:r>
      <w:r w:rsidR="00555191" w:rsidRPr="000D29F4">
        <w:t xml:space="preserve"> </w:t>
      </w:r>
      <w:r w:rsidRPr="000D29F4">
        <w:t xml:space="preserve">each </w:t>
      </w:r>
      <w:r w:rsidR="00555191" w:rsidRPr="000D29F4">
        <w:t>geographic</w:t>
      </w:r>
      <w:r w:rsidRPr="000D29F4">
        <w:t>al</w:t>
      </w:r>
      <w:r w:rsidR="00555191" w:rsidRPr="000D29F4">
        <w:t xml:space="preserve"> area.</w:t>
      </w:r>
    </w:p>
    <w:p w14:paraId="61670F7E" w14:textId="77777777" w:rsidR="00555191" w:rsidRPr="00022569" w:rsidRDefault="00555191" w:rsidP="00FE7ED4">
      <w:pPr>
        <w:pStyle w:val="titcomments"/>
        <w:pBdr>
          <w:bottom w:val="single" w:sz="4" w:space="13" w:color="auto"/>
        </w:pBdr>
        <w:rPr>
          <w:lang w:val="en-US"/>
        </w:rPr>
      </w:pPr>
      <w:r w:rsidRPr="00022569">
        <w:rPr>
          <w:lang w:val="en-US"/>
        </w:rPr>
        <w:t>Comments by ITU</w:t>
      </w:r>
    </w:p>
    <w:p w14:paraId="49CA2E3D" w14:textId="77777777" w:rsidR="00447EE0" w:rsidRPr="001B2198" w:rsidRDefault="00447EE0" w:rsidP="00FE7ED4">
      <w:pPr>
        <w:pStyle w:val="titcomments"/>
        <w:pBdr>
          <w:bottom w:val="single" w:sz="4" w:space="13" w:color="auto"/>
        </w:pBdr>
        <w:spacing w:line="319" w:lineRule="auto"/>
        <w:jc w:val="left"/>
        <w:rPr>
          <w:b w:val="0"/>
          <w:bCs w:val="0"/>
          <w:i w:val="0"/>
          <w:iCs/>
          <w:lang w:val="en-US"/>
        </w:rPr>
      </w:pPr>
      <w:r w:rsidRPr="001B2198">
        <w:rPr>
          <w:b w:val="0"/>
          <w:bCs w:val="0"/>
          <w:i w:val="0"/>
          <w:iCs/>
          <w:lang w:val="en-US"/>
        </w:rPr>
        <w:t>ITU agrees with Recommendati</w:t>
      </w:r>
      <w:r>
        <w:rPr>
          <w:b w:val="0"/>
          <w:bCs w:val="0"/>
          <w:i w:val="0"/>
          <w:iCs/>
          <w:lang w:val="en-US"/>
        </w:rPr>
        <w:t>o</w:t>
      </w:r>
      <w:r w:rsidRPr="001B2198">
        <w:rPr>
          <w:b w:val="0"/>
          <w:bCs w:val="0"/>
          <w:i w:val="0"/>
          <w:iCs/>
          <w:lang w:val="en-US"/>
        </w:rPr>
        <w:t xml:space="preserve">n </w:t>
      </w:r>
      <w:r w:rsidR="00C11D9A">
        <w:rPr>
          <w:b w:val="0"/>
          <w:bCs w:val="0"/>
          <w:i w:val="0"/>
          <w:iCs/>
          <w:lang w:val="en-US"/>
        </w:rPr>
        <w:t xml:space="preserve">n. </w:t>
      </w:r>
      <w:r w:rsidRPr="001B2198">
        <w:rPr>
          <w:b w:val="0"/>
          <w:bCs w:val="0"/>
          <w:i w:val="0"/>
          <w:iCs/>
          <w:lang w:val="en-US"/>
        </w:rPr>
        <w:t xml:space="preserve">22. ITU </w:t>
      </w:r>
      <w:r>
        <w:rPr>
          <w:b w:val="0"/>
          <w:bCs w:val="0"/>
          <w:i w:val="0"/>
          <w:iCs/>
          <w:lang w:val="en-US"/>
        </w:rPr>
        <w:t xml:space="preserve">will develop </w:t>
      </w:r>
      <w:r w:rsidR="00AF2DE0">
        <w:rPr>
          <w:b w:val="0"/>
          <w:bCs w:val="0"/>
          <w:i w:val="0"/>
          <w:iCs/>
          <w:lang w:val="en-US"/>
        </w:rPr>
        <w:t xml:space="preserve">a </w:t>
      </w:r>
      <w:r w:rsidRPr="001B2198">
        <w:rPr>
          <w:b w:val="0"/>
          <w:bCs w:val="0"/>
          <w:i w:val="0"/>
          <w:iCs/>
          <w:lang w:val="en-US"/>
        </w:rPr>
        <w:t>standardi</w:t>
      </w:r>
      <w:r>
        <w:rPr>
          <w:b w:val="0"/>
          <w:bCs w:val="0"/>
          <w:i w:val="0"/>
          <w:iCs/>
          <w:lang w:val="en-US"/>
        </w:rPr>
        <w:t>z</w:t>
      </w:r>
      <w:r w:rsidRPr="001B2198">
        <w:rPr>
          <w:b w:val="0"/>
          <w:bCs w:val="0"/>
          <w:i w:val="0"/>
          <w:iCs/>
          <w:lang w:val="en-US"/>
        </w:rPr>
        <w:t>ed procedure and templates aimed to monitor the various RO’s activities related to office management</w:t>
      </w:r>
      <w:r>
        <w:rPr>
          <w:b w:val="0"/>
          <w:bCs w:val="0"/>
          <w:i w:val="0"/>
          <w:iCs/>
          <w:lang w:val="en-US"/>
        </w:rPr>
        <w:t xml:space="preserve">. </w:t>
      </w:r>
    </w:p>
    <w:sectPr w:rsidR="00447EE0" w:rsidRPr="001B2198" w:rsidSect="003B1ACD">
      <w:headerReference w:type="default" r:id="rId20"/>
      <w:footerReference w:type="default" r:id="rId21"/>
      <w:pgSz w:w="12242" w:h="15842" w:code="1"/>
      <w:pgMar w:top="1531" w:right="1531" w:bottom="1247" w:left="153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4EC6D" w16cid:durableId="1F66F1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916D6" w14:textId="77777777" w:rsidR="000E0BF8" w:rsidRDefault="000E0BF8" w:rsidP="004C5575">
      <w:r>
        <w:separator/>
      </w:r>
    </w:p>
  </w:endnote>
  <w:endnote w:type="continuationSeparator" w:id="0">
    <w:p w14:paraId="14916D70" w14:textId="77777777" w:rsidR="000E0BF8" w:rsidRDefault="000E0BF8" w:rsidP="004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778B" w14:textId="77777777" w:rsidR="0039440E" w:rsidRDefault="0039440E" w:rsidP="004C5575">
    <w:pPr>
      <w:pStyle w:val="Footer"/>
    </w:pPr>
  </w:p>
  <w:p w14:paraId="5F32E789" w14:textId="77777777" w:rsidR="0039440E" w:rsidRDefault="0039440E" w:rsidP="004C5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1732120291"/>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4A191D9A" w14:textId="77777777" w:rsidR="0039440E" w:rsidRDefault="0039440E">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3</w:t>
        </w:r>
        <w:r w:rsidRPr="00E34DBF">
          <w:rPr>
            <w:rFonts w:ascii="Arial Rounded MT Bold" w:eastAsiaTheme="majorEastAsia" w:hAnsi="Arial Rounded MT Bold" w:cstheme="majorBidi"/>
            <w:noProof/>
            <w:color w:val="4F81BD" w:themeColor="accent1"/>
            <w:sz w:val="52"/>
            <w:szCs w:val="52"/>
          </w:rPr>
          <w:fldChar w:fldCharType="end"/>
        </w:r>
      </w:p>
    </w:sdtContent>
  </w:sdt>
  <w:p w14:paraId="409184CC" w14:textId="77777777" w:rsidR="0039440E" w:rsidRDefault="0039440E" w:rsidP="004C5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1470430130"/>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07238F3F" w14:textId="77777777" w:rsidR="0039440E" w:rsidRDefault="0039440E" w:rsidP="004861F5">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5</w:t>
        </w:r>
        <w:r w:rsidRPr="00E34DBF">
          <w:rPr>
            <w:rFonts w:ascii="Arial Rounded MT Bold" w:eastAsiaTheme="majorEastAsia" w:hAnsi="Arial Rounded MT Bold" w:cstheme="majorBidi"/>
            <w:noProof/>
            <w:color w:val="4F81BD" w:themeColor="accent1"/>
            <w:sz w:val="52"/>
            <w:szCs w:val="52"/>
          </w:rPr>
          <w:fldChar w:fldCharType="end"/>
        </w:r>
      </w:p>
    </w:sdtContent>
  </w:sdt>
  <w:p w14:paraId="7A3B2B71" w14:textId="77777777" w:rsidR="0039440E" w:rsidRDefault="0039440E" w:rsidP="004C55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1264529111"/>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1F9368BE" w14:textId="77777777" w:rsidR="0039440E" w:rsidRDefault="0039440E" w:rsidP="004861F5">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6</w:t>
        </w:r>
        <w:r w:rsidRPr="00E34DBF">
          <w:rPr>
            <w:rFonts w:ascii="Arial Rounded MT Bold" w:eastAsiaTheme="majorEastAsia" w:hAnsi="Arial Rounded MT Bold" w:cstheme="majorBidi"/>
            <w:noProof/>
            <w:color w:val="4F81BD" w:themeColor="accent1"/>
            <w:sz w:val="52"/>
            <w:szCs w:val="52"/>
          </w:rPr>
          <w:fldChar w:fldCharType="end"/>
        </w:r>
      </w:p>
    </w:sdtContent>
  </w:sdt>
  <w:p w14:paraId="75260E7F" w14:textId="77777777" w:rsidR="0039440E" w:rsidRDefault="0039440E" w:rsidP="004C55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1310142439"/>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3B158D82" w14:textId="77777777" w:rsidR="0039440E" w:rsidRDefault="0039440E" w:rsidP="004861F5">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7</w:t>
        </w:r>
        <w:r w:rsidRPr="00E34DBF">
          <w:rPr>
            <w:rFonts w:ascii="Arial Rounded MT Bold" w:eastAsiaTheme="majorEastAsia" w:hAnsi="Arial Rounded MT Bold" w:cstheme="majorBidi"/>
            <w:noProof/>
            <w:color w:val="4F81BD" w:themeColor="accent1"/>
            <w:sz w:val="52"/>
            <w:szCs w:val="52"/>
          </w:rPr>
          <w:fldChar w:fldCharType="end"/>
        </w:r>
      </w:p>
    </w:sdtContent>
  </w:sdt>
  <w:p w14:paraId="44E29855" w14:textId="77777777" w:rsidR="0039440E" w:rsidRDefault="0039440E" w:rsidP="004C55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190146155"/>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05F6503F" w14:textId="77777777" w:rsidR="0039440E" w:rsidRDefault="0039440E" w:rsidP="004861F5">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11</w:t>
        </w:r>
        <w:r w:rsidRPr="00E34DBF">
          <w:rPr>
            <w:rFonts w:ascii="Arial Rounded MT Bold" w:eastAsiaTheme="majorEastAsia" w:hAnsi="Arial Rounded MT Bold" w:cstheme="majorBidi"/>
            <w:noProof/>
            <w:color w:val="4F81BD" w:themeColor="accent1"/>
            <w:sz w:val="52"/>
            <w:szCs w:val="52"/>
          </w:rPr>
          <w:fldChar w:fldCharType="end"/>
        </w:r>
      </w:p>
    </w:sdtContent>
  </w:sdt>
  <w:p w14:paraId="557135B6" w14:textId="77777777" w:rsidR="0039440E" w:rsidRDefault="0039440E" w:rsidP="004C55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rPr>
      <w:id w:val="-315803791"/>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534AD94F" w14:textId="77777777" w:rsidR="0039440E" w:rsidRDefault="0039440E" w:rsidP="003730E3">
        <w:pPr>
          <w:pStyle w:val="Footer"/>
          <w:jc w:val="right"/>
          <w:rPr>
            <w:rFonts w:asciiTheme="majorHAnsi" w:eastAsiaTheme="majorEastAsia" w:hAnsiTheme="majorHAnsi" w:cstheme="majorBidi"/>
            <w:color w:val="4F81BD" w:themeColor="accent1"/>
            <w:sz w:val="40"/>
            <w:szCs w:val="40"/>
          </w:rPr>
        </w:pPr>
        <w:r w:rsidRPr="00E34DBF">
          <w:rPr>
            <w:rFonts w:ascii="Arial Rounded MT Bold" w:eastAsiaTheme="minorEastAsia" w:hAnsi="Arial Rounded MT Bold" w:cstheme="minorBidi"/>
            <w:sz w:val="52"/>
            <w:szCs w:val="52"/>
          </w:rPr>
          <w:fldChar w:fldCharType="begin"/>
        </w:r>
        <w:r w:rsidRPr="00E34DBF">
          <w:rPr>
            <w:rFonts w:ascii="Arial Rounded MT Bold" w:hAnsi="Arial Rounded MT Bold"/>
            <w:sz w:val="52"/>
            <w:szCs w:val="52"/>
          </w:rPr>
          <w:instrText xml:space="preserve"> PAGE   \* MERGEFORMAT </w:instrText>
        </w:r>
        <w:r w:rsidRPr="00E34DBF">
          <w:rPr>
            <w:rFonts w:ascii="Arial Rounded MT Bold" w:eastAsiaTheme="minorEastAsia" w:hAnsi="Arial Rounded MT Bold" w:cstheme="minorBidi"/>
            <w:sz w:val="52"/>
            <w:szCs w:val="52"/>
          </w:rPr>
          <w:fldChar w:fldCharType="separate"/>
        </w:r>
        <w:r w:rsidR="00007ED2" w:rsidRPr="00007ED2">
          <w:rPr>
            <w:rFonts w:ascii="Arial Rounded MT Bold" w:eastAsiaTheme="majorEastAsia" w:hAnsi="Arial Rounded MT Bold" w:cstheme="majorBidi"/>
            <w:noProof/>
            <w:color w:val="4F81BD" w:themeColor="accent1"/>
            <w:sz w:val="52"/>
            <w:szCs w:val="52"/>
          </w:rPr>
          <w:t>21</w:t>
        </w:r>
        <w:r w:rsidRPr="00E34DBF">
          <w:rPr>
            <w:rFonts w:ascii="Arial Rounded MT Bold" w:eastAsiaTheme="majorEastAsia" w:hAnsi="Arial Rounded MT Bold" w:cstheme="majorBidi"/>
            <w:noProof/>
            <w:color w:val="4F81BD" w:themeColor="accent1"/>
            <w:sz w:val="52"/>
            <w:szCs w:val="5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00C9C" w14:textId="77777777" w:rsidR="000E0BF8" w:rsidRDefault="000E0BF8" w:rsidP="004C5575">
      <w:r>
        <w:separator/>
      </w:r>
    </w:p>
  </w:footnote>
  <w:footnote w:type="continuationSeparator" w:id="0">
    <w:p w14:paraId="00967B27" w14:textId="77777777" w:rsidR="000E0BF8" w:rsidRDefault="000E0BF8" w:rsidP="004C5575">
      <w:r>
        <w:continuationSeparator/>
      </w:r>
    </w:p>
  </w:footnote>
  <w:footnote w:id="1">
    <w:p w14:paraId="24AE9642" w14:textId="77777777" w:rsidR="0039440E" w:rsidRPr="00DE27EE" w:rsidRDefault="0039440E" w:rsidP="00D6271E">
      <w:pPr>
        <w:pStyle w:val="FootnoteText"/>
        <w:rPr>
          <w:lang w:val="en-US"/>
        </w:rPr>
      </w:pPr>
      <w:r>
        <w:rPr>
          <w:rStyle w:val="FootnoteReference"/>
        </w:rPr>
        <w:footnoteRef/>
      </w:r>
      <w:r w:rsidRPr="00DD37B0">
        <w:rPr>
          <w:lang w:val="en-US"/>
        </w:rPr>
        <w:t xml:space="preserve"> </w:t>
      </w:r>
      <w:r>
        <w:rPr>
          <w:lang w:val="en-US"/>
        </w:rPr>
        <w:t>The a</w:t>
      </w:r>
      <w:r w:rsidRPr="00DD37B0">
        <w:rPr>
          <w:lang w:val="en-US"/>
        </w:rPr>
        <w:t xml:space="preserve">reas of action of </w:t>
      </w:r>
      <w:r>
        <w:rPr>
          <w:lang w:val="en-US"/>
        </w:rPr>
        <w:t xml:space="preserve">the </w:t>
      </w:r>
      <w:r w:rsidRPr="00DD37B0">
        <w:rPr>
          <w:lang w:val="en-US"/>
        </w:rPr>
        <w:t>ITU Telecommunication Development Sector (ITU-D) are the following: Capacity Building; Climate change and e-waste; Cyber</w:t>
      </w:r>
      <w:r>
        <w:rPr>
          <w:lang w:val="en-US"/>
        </w:rPr>
        <w:t>-</w:t>
      </w:r>
      <w:r w:rsidRPr="00DD37B0">
        <w:rPr>
          <w:lang w:val="en-US"/>
        </w:rPr>
        <w:t xml:space="preserve">security; Digital inclusion; Emergency telecommunications; ICT applications; Innovation; Least Developed Countries, Landlocked Developing Countries, and Small Island Developing States; Regulatory and market environments; Spectrum and management and digital broadcasting; Statistics and Indicators; Technology and </w:t>
      </w:r>
      <w:r w:rsidRPr="00DD37B0">
        <w:t xml:space="preserve">network development. </w:t>
      </w:r>
      <w:r w:rsidRPr="00DE27EE">
        <w:t xml:space="preserve">Projects are implemented in all </w:t>
      </w:r>
      <w:r>
        <w:t xml:space="preserve">the </w:t>
      </w:r>
      <w:r w:rsidRPr="00DE27EE">
        <w:t xml:space="preserve">ITU-D’s </w:t>
      </w:r>
      <w:r>
        <w:t>a</w:t>
      </w:r>
      <w:r w:rsidRPr="00DE27EE">
        <w:t>reas of action.</w:t>
      </w:r>
    </w:p>
  </w:footnote>
  <w:footnote w:id="2">
    <w:p w14:paraId="58C71EAB" w14:textId="77777777" w:rsidR="0039440E" w:rsidRPr="00631C1B" w:rsidRDefault="0039440E" w:rsidP="00270566">
      <w:pPr>
        <w:pStyle w:val="FootnoteText"/>
      </w:pPr>
      <w:r w:rsidRPr="00631C1B">
        <w:rPr>
          <w:rStyle w:val="FootnoteReference"/>
        </w:rPr>
        <w:footnoteRef/>
      </w:r>
      <w:r w:rsidRPr="00631C1B">
        <w:t xml:space="preserve"> </w:t>
      </w:r>
      <w:r>
        <w:t xml:space="preserve">The </w:t>
      </w:r>
      <w:r w:rsidRPr="00631C1B">
        <w:t xml:space="preserve">Regional Office </w:t>
      </w:r>
      <w:r>
        <w:t>for</w:t>
      </w:r>
      <w:r w:rsidRPr="00631C1B">
        <w:t xml:space="preserve"> </w:t>
      </w:r>
      <w:r>
        <w:t xml:space="preserve">the </w:t>
      </w:r>
      <w:r w:rsidRPr="00631C1B">
        <w:t>Americas serves all countries covered by the Area Offices</w:t>
      </w:r>
      <w:r>
        <w:t>,</w:t>
      </w:r>
      <w:r w:rsidRPr="00631C1B">
        <w:t xml:space="preserve"> plus Brazil, Canada, Mexico and the United States.</w:t>
      </w:r>
    </w:p>
  </w:footnote>
  <w:footnote w:id="3">
    <w:p w14:paraId="69F064E7" w14:textId="77777777" w:rsidR="0039440E" w:rsidRPr="00AA4A70" w:rsidRDefault="0039440E" w:rsidP="00270566">
      <w:pPr>
        <w:pStyle w:val="FootnoteText"/>
        <w:rPr>
          <w:lang w:val="es-ES"/>
        </w:rPr>
      </w:pPr>
      <w:r w:rsidRPr="00631C1B">
        <w:rPr>
          <w:rStyle w:val="FootnoteReference"/>
        </w:rPr>
        <w:footnoteRef/>
      </w:r>
      <w:r w:rsidRPr="00AA4A70">
        <w:rPr>
          <w:lang w:val="es-ES"/>
        </w:rPr>
        <w:t xml:space="preserve"> </w:t>
      </w:r>
      <w:r>
        <w:rPr>
          <w:lang w:val="es-ES"/>
        </w:rPr>
        <w:t xml:space="preserve">The </w:t>
      </w:r>
      <w:r w:rsidRPr="00AA4A70">
        <w:rPr>
          <w:lang w:val="es-ES"/>
        </w:rPr>
        <w:t>Area Office in Honduras covers Costa Rica, Cuba, Dominican Republic, El Salvador, Guatemala, Nicaragua, Panama.</w:t>
      </w:r>
    </w:p>
  </w:footnote>
  <w:footnote w:id="4">
    <w:p w14:paraId="465BE981" w14:textId="77777777" w:rsidR="0039440E" w:rsidRPr="00A14170" w:rsidRDefault="0039440E" w:rsidP="00270566">
      <w:pPr>
        <w:pStyle w:val="FootnoteText"/>
        <w:rPr>
          <w:lang w:val="en-US"/>
        </w:rPr>
      </w:pPr>
      <w:r w:rsidRPr="00631C1B">
        <w:rPr>
          <w:rStyle w:val="FootnoteReference"/>
        </w:rPr>
        <w:footnoteRef/>
      </w:r>
      <w:r w:rsidRPr="00A14170">
        <w:rPr>
          <w:lang w:val="en-US"/>
        </w:rPr>
        <w:t xml:space="preserve"> The Area Office in Chile covers Argentina, Bolivia Chile, Colombia, Ecuador, Paraguay, Venezuela.</w:t>
      </w:r>
    </w:p>
  </w:footnote>
  <w:footnote w:id="5">
    <w:p w14:paraId="4F19CFCE" w14:textId="77777777" w:rsidR="0039440E" w:rsidRPr="00B17364" w:rsidRDefault="0039440E" w:rsidP="00270566">
      <w:pPr>
        <w:pStyle w:val="FootnoteText"/>
        <w:rPr>
          <w:lang w:val="en-US"/>
        </w:rPr>
      </w:pPr>
      <w:r w:rsidRPr="00631C1B">
        <w:rPr>
          <w:rStyle w:val="FootnoteReference"/>
        </w:rPr>
        <w:footnoteRef/>
      </w:r>
      <w:r w:rsidRPr="00B17364">
        <w:rPr>
          <w:lang w:val="en-US"/>
        </w:rPr>
        <w:t xml:space="preserve"> </w:t>
      </w:r>
      <w:r>
        <w:rPr>
          <w:lang w:val="en-US"/>
        </w:rPr>
        <w:t xml:space="preserve">The </w:t>
      </w:r>
      <w:r w:rsidRPr="00B17364">
        <w:rPr>
          <w:lang w:val="en-US"/>
        </w:rPr>
        <w:t>Area Office in Barbados covers Antigua and Barbuda, Bahamas, Barbados, Belize, Dominica, Grenada, Guyana, Haiti, Jamaica, Saint Kitts and Nevis, Saint Lucia, Saint Vincent and the Grenadines, Suriname, Trinidad and Tobago.</w:t>
      </w:r>
    </w:p>
  </w:footnote>
  <w:footnote w:id="6">
    <w:p w14:paraId="2C45F8CA" w14:textId="77777777" w:rsidR="0039440E" w:rsidRPr="00631C1B" w:rsidRDefault="0039440E" w:rsidP="00270566">
      <w:pPr>
        <w:pStyle w:val="FootnoteText"/>
      </w:pPr>
      <w:r w:rsidRPr="00631C1B">
        <w:rPr>
          <w:rStyle w:val="FootnoteReference"/>
        </w:rPr>
        <w:footnoteRef/>
      </w:r>
      <w:r w:rsidRPr="00631C1B">
        <w:t xml:space="preserve"> </w:t>
      </w:r>
      <w:r>
        <w:t xml:space="preserve">The </w:t>
      </w:r>
      <w:r w:rsidRPr="00631C1B">
        <w:t xml:space="preserve">Regional Office </w:t>
      </w:r>
      <w:r>
        <w:t>for</w:t>
      </w:r>
      <w:r w:rsidRPr="00631C1B">
        <w:t xml:space="preserve"> </w:t>
      </w:r>
      <w:r>
        <w:t>Africa</w:t>
      </w:r>
      <w:r w:rsidRPr="00631C1B">
        <w:t xml:space="preserve"> </w:t>
      </w:r>
      <w:r>
        <w:t>manages the following countries: Eritrea, Ethiopia, Kenya, Uganda, Tanzania and South Sudan</w:t>
      </w:r>
      <w:r w:rsidRPr="00631C1B">
        <w:t>.</w:t>
      </w:r>
    </w:p>
  </w:footnote>
  <w:footnote w:id="7">
    <w:p w14:paraId="136626E4" w14:textId="77777777" w:rsidR="0039440E" w:rsidRPr="00555191" w:rsidRDefault="0039440E" w:rsidP="00270566">
      <w:pPr>
        <w:pStyle w:val="FootnoteText"/>
        <w:rPr>
          <w:lang w:val="it-IT"/>
        </w:rPr>
      </w:pPr>
      <w:r w:rsidRPr="00631C1B">
        <w:rPr>
          <w:rStyle w:val="FootnoteReference"/>
        </w:rPr>
        <w:footnoteRef/>
      </w:r>
      <w:r w:rsidRPr="00555191">
        <w:rPr>
          <w:lang w:val="it-IT"/>
        </w:rPr>
        <w:t xml:space="preserve"> </w:t>
      </w:r>
      <w:r>
        <w:rPr>
          <w:lang w:val="it-IT"/>
        </w:rPr>
        <w:t xml:space="preserve">The </w:t>
      </w:r>
      <w:r w:rsidRPr="00555191">
        <w:rPr>
          <w:lang w:val="it-IT"/>
        </w:rPr>
        <w:t>Area Office in Senegal covers Benin, Burkina Faso, Cape Verde, Côte d'Ivoire, Gambia, Ghana, Guinea, Guinea-Bissau, Liberia, Mali, Niger, Nigeria, Senegal, Sierra Leone</w:t>
      </w:r>
      <w:r>
        <w:rPr>
          <w:lang w:val="it-IT"/>
        </w:rPr>
        <w:t xml:space="preserve"> and</w:t>
      </w:r>
      <w:r w:rsidRPr="00555191">
        <w:rPr>
          <w:lang w:val="it-IT"/>
        </w:rPr>
        <w:t xml:space="preserve"> Togo.</w:t>
      </w:r>
    </w:p>
  </w:footnote>
  <w:footnote w:id="8">
    <w:p w14:paraId="50EEB392" w14:textId="77777777" w:rsidR="0039440E" w:rsidRPr="00282AAE" w:rsidRDefault="0039440E" w:rsidP="00270566">
      <w:pPr>
        <w:pStyle w:val="FootnoteText"/>
        <w:rPr>
          <w:lang w:val="it-IT"/>
        </w:rPr>
      </w:pPr>
      <w:r w:rsidRPr="00631C1B">
        <w:rPr>
          <w:rStyle w:val="FootnoteReference"/>
        </w:rPr>
        <w:footnoteRef/>
      </w:r>
      <w:r w:rsidRPr="00282AAE">
        <w:rPr>
          <w:lang w:val="it-IT"/>
        </w:rPr>
        <w:t xml:space="preserve"> The Area Office in Zimbabwe covers Angola, Botswana, Lesotho, Malawi, Mauritius, Mozambique, Namibia, Seychelles, South Africa, Swaziland, Zambia and Zimbabwe.</w:t>
      </w:r>
    </w:p>
  </w:footnote>
  <w:footnote w:id="9">
    <w:p w14:paraId="706BD176" w14:textId="77777777" w:rsidR="0039440E" w:rsidRPr="0080301F" w:rsidRDefault="0039440E" w:rsidP="00270566">
      <w:pPr>
        <w:pStyle w:val="FootnoteText"/>
        <w:rPr>
          <w:lang w:val="en-US"/>
        </w:rPr>
      </w:pPr>
      <w:r w:rsidRPr="00631C1B">
        <w:rPr>
          <w:rStyle w:val="FootnoteReference"/>
        </w:rPr>
        <w:footnoteRef/>
      </w:r>
      <w:r w:rsidRPr="0080301F">
        <w:rPr>
          <w:lang w:val="en-US"/>
        </w:rPr>
        <w:t xml:space="preserve"> </w:t>
      </w:r>
      <w:r>
        <w:rPr>
          <w:lang w:val="en-US"/>
        </w:rPr>
        <w:t xml:space="preserve">The </w:t>
      </w:r>
      <w:r w:rsidRPr="0080301F">
        <w:rPr>
          <w:lang w:val="en-US"/>
        </w:rPr>
        <w:t xml:space="preserve">Area Office in </w:t>
      </w:r>
      <w:r>
        <w:rPr>
          <w:lang w:val="en-US"/>
        </w:rPr>
        <w:t>Cameroon</w:t>
      </w:r>
      <w:r w:rsidRPr="0080301F">
        <w:rPr>
          <w:lang w:val="en-US"/>
        </w:rPr>
        <w:t xml:space="preserve"> covers </w:t>
      </w:r>
      <w:r w:rsidRPr="00EF7ABF">
        <w:rPr>
          <w:lang w:val="en-US"/>
        </w:rPr>
        <w:t xml:space="preserve">Burundi, Cameroon, </w:t>
      </w:r>
      <w:r>
        <w:rPr>
          <w:lang w:val="en-US"/>
        </w:rPr>
        <w:t xml:space="preserve">the </w:t>
      </w:r>
      <w:r w:rsidRPr="00EF7ABF">
        <w:rPr>
          <w:lang w:val="en-US"/>
        </w:rPr>
        <w:t>Central African Rep</w:t>
      </w:r>
      <w:r>
        <w:rPr>
          <w:lang w:val="en-US"/>
        </w:rPr>
        <w:t>ublic,</w:t>
      </w:r>
      <w:r w:rsidRPr="00EF7ABF">
        <w:rPr>
          <w:lang w:val="en-US"/>
        </w:rPr>
        <w:t xml:space="preserve"> Chad, </w:t>
      </w:r>
      <w:r>
        <w:rPr>
          <w:lang w:val="en-US"/>
        </w:rPr>
        <w:t xml:space="preserve">the </w:t>
      </w:r>
      <w:r w:rsidRPr="00EF7ABF">
        <w:rPr>
          <w:lang w:val="en-US"/>
        </w:rPr>
        <w:t xml:space="preserve">Dem. Rep. of the Congo, Equatorial Guinea, Gabon, Madagascar, </w:t>
      </w:r>
      <w:r>
        <w:rPr>
          <w:lang w:val="en-US"/>
        </w:rPr>
        <w:t xml:space="preserve">the </w:t>
      </w:r>
      <w:r w:rsidRPr="00EF7ABF">
        <w:rPr>
          <w:lang w:val="en-US"/>
        </w:rPr>
        <w:t>Republic of</w:t>
      </w:r>
      <w:r>
        <w:rPr>
          <w:lang w:val="en-US"/>
        </w:rPr>
        <w:t xml:space="preserve"> Rwanda,</w:t>
      </w:r>
      <w:r w:rsidRPr="00EF7ABF">
        <w:rPr>
          <w:lang w:val="en-US"/>
        </w:rPr>
        <w:t xml:space="preserve"> Sao Tome and Principe</w:t>
      </w:r>
      <w:r w:rsidRPr="0080301F">
        <w:rPr>
          <w:lang w:val="en-US"/>
        </w:rPr>
        <w:t>.</w:t>
      </w:r>
    </w:p>
  </w:footnote>
  <w:footnote w:id="10">
    <w:p w14:paraId="734F8B82" w14:textId="77777777" w:rsidR="0039440E" w:rsidRPr="005B32FE" w:rsidRDefault="0039440E">
      <w:pPr>
        <w:pStyle w:val="FootnoteText"/>
      </w:pPr>
      <w:r>
        <w:rPr>
          <w:rStyle w:val="FootnoteReference"/>
        </w:rPr>
        <w:footnoteRef/>
      </w:r>
      <w:r>
        <w:t xml:space="preserve"> Budget after transfers for activities implemented under the Operational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5206" w14:textId="77777777" w:rsidR="0039440E" w:rsidRPr="00547727" w:rsidRDefault="0039440E" w:rsidP="00547727">
    <w:pPr>
      <w:pStyle w:val="Header"/>
      <w:ind w:firstLine="0"/>
      <w:jc w:val="center"/>
      <w:rPr>
        <w:rFonts w:asciiTheme="minorHAnsi" w:hAnsiTheme="minorHAnsi"/>
        <w:sz w:val="20"/>
        <w:szCs w:val="20"/>
      </w:rPr>
    </w:pPr>
    <w:r w:rsidRPr="00547727">
      <w:rPr>
        <w:rFonts w:asciiTheme="minorHAnsi" w:hAnsiTheme="minorHAnsi"/>
        <w:sz w:val="20"/>
        <w:szCs w:val="20"/>
      </w:rPr>
      <w:fldChar w:fldCharType="begin"/>
    </w:r>
    <w:r w:rsidRPr="00547727">
      <w:rPr>
        <w:rFonts w:asciiTheme="minorHAnsi" w:hAnsiTheme="minorHAnsi"/>
        <w:sz w:val="20"/>
        <w:szCs w:val="20"/>
      </w:rPr>
      <w:instrText xml:space="preserve"> PAGE   \* MERGEFORMAT </w:instrText>
    </w:r>
    <w:r w:rsidRPr="00547727">
      <w:rPr>
        <w:rFonts w:asciiTheme="minorHAnsi" w:hAnsiTheme="minorHAnsi"/>
        <w:sz w:val="20"/>
        <w:szCs w:val="20"/>
      </w:rPr>
      <w:fldChar w:fldCharType="separate"/>
    </w:r>
    <w:r w:rsidR="00007ED2">
      <w:rPr>
        <w:rFonts w:asciiTheme="minorHAnsi" w:hAnsiTheme="minorHAnsi"/>
        <w:noProof/>
        <w:sz w:val="20"/>
        <w:szCs w:val="20"/>
      </w:rPr>
      <w:t>2</w:t>
    </w:r>
    <w:r w:rsidRPr="00547727">
      <w:rPr>
        <w:rFonts w:asciiTheme="minorHAnsi" w:hAnsiTheme="minorHAnsi"/>
        <w:noProof/>
        <w:sz w:val="20"/>
        <w:szCs w:val="20"/>
      </w:rPr>
      <w:fldChar w:fldCharType="end"/>
    </w:r>
    <w:r w:rsidRPr="00547727">
      <w:rPr>
        <w:rFonts w:asciiTheme="minorHAnsi" w:hAnsiTheme="minorHAnsi"/>
        <w:noProof/>
        <w:sz w:val="20"/>
        <w:szCs w:val="20"/>
      </w:rPr>
      <w:br/>
      <w:t>C18/125-E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370E" w14:textId="77777777" w:rsidR="0039440E" w:rsidRPr="00547727" w:rsidRDefault="0039440E" w:rsidP="00547727">
    <w:pPr>
      <w:pStyle w:val="Header"/>
      <w:ind w:firstLine="0"/>
      <w:jc w:val="center"/>
      <w:rPr>
        <w:rFonts w:asciiTheme="minorHAnsi" w:hAnsiTheme="minorHAnsi"/>
        <w:sz w:val="20"/>
        <w:szCs w:val="20"/>
      </w:rPr>
    </w:pPr>
    <w:r w:rsidRPr="00547727">
      <w:rPr>
        <w:rFonts w:asciiTheme="minorHAnsi" w:hAnsiTheme="minorHAnsi"/>
        <w:sz w:val="20"/>
        <w:szCs w:val="20"/>
      </w:rPr>
      <w:fldChar w:fldCharType="begin"/>
    </w:r>
    <w:r w:rsidRPr="00547727">
      <w:rPr>
        <w:rFonts w:asciiTheme="minorHAnsi" w:hAnsiTheme="minorHAnsi"/>
        <w:sz w:val="20"/>
        <w:szCs w:val="20"/>
      </w:rPr>
      <w:instrText xml:space="preserve"> PAGE   \* MERGEFORMAT </w:instrText>
    </w:r>
    <w:r w:rsidRPr="00547727">
      <w:rPr>
        <w:rFonts w:asciiTheme="minorHAnsi" w:hAnsiTheme="minorHAnsi"/>
        <w:sz w:val="20"/>
        <w:szCs w:val="20"/>
      </w:rPr>
      <w:fldChar w:fldCharType="separate"/>
    </w:r>
    <w:r w:rsidR="00007ED2">
      <w:rPr>
        <w:rFonts w:asciiTheme="minorHAnsi" w:hAnsiTheme="minorHAnsi"/>
        <w:noProof/>
        <w:sz w:val="20"/>
        <w:szCs w:val="20"/>
      </w:rPr>
      <w:t>11</w:t>
    </w:r>
    <w:r w:rsidRPr="00547727">
      <w:rPr>
        <w:rFonts w:asciiTheme="minorHAnsi" w:hAnsiTheme="minorHAnsi"/>
        <w:noProof/>
        <w:sz w:val="20"/>
        <w:szCs w:val="20"/>
      </w:rPr>
      <w:fldChar w:fldCharType="end"/>
    </w:r>
    <w:r w:rsidRPr="00547727">
      <w:rPr>
        <w:rFonts w:asciiTheme="minorHAnsi" w:hAnsiTheme="minorHAnsi"/>
        <w:noProof/>
        <w:sz w:val="20"/>
        <w:szCs w:val="20"/>
      </w:rPr>
      <w:br/>
      <w:t>C18/125-E</w:t>
    </w:r>
  </w:p>
  <w:p w14:paraId="07B6DBE0" w14:textId="77777777" w:rsidR="0039440E" w:rsidRDefault="00394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C4ED" w14:textId="77777777" w:rsidR="0039440E" w:rsidRPr="00547727" w:rsidRDefault="0039440E" w:rsidP="00547727">
    <w:pPr>
      <w:pStyle w:val="Header"/>
      <w:ind w:firstLine="0"/>
      <w:jc w:val="center"/>
      <w:rPr>
        <w:rFonts w:asciiTheme="minorHAnsi" w:hAnsiTheme="minorHAnsi"/>
        <w:sz w:val="20"/>
        <w:szCs w:val="20"/>
      </w:rPr>
    </w:pPr>
    <w:r w:rsidRPr="00547727">
      <w:rPr>
        <w:rFonts w:asciiTheme="minorHAnsi" w:hAnsiTheme="minorHAnsi"/>
        <w:sz w:val="20"/>
        <w:szCs w:val="20"/>
      </w:rPr>
      <w:fldChar w:fldCharType="begin"/>
    </w:r>
    <w:r w:rsidRPr="00547727">
      <w:rPr>
        <w:rFonts w:asciiTheme="minorHAnsi" w:hAnsiTheme="minorHAnsi"/>
        <w:sz w:val="20"/>
        <w:szCs w:val="20"/>
      </w:rPr>
      <w:instrText xml:space="preserve"> PAGE   \* MERGEFORMAT </w:instrText>
    </w:r>
    <w:r w:rsidRPr="00547727">
      <w:rPr>
        <w:rFonts w:asciiTheme="minorHAnsi" w:hAnsiTheme="minorHAnsi"/>
        <w:sz w:val="20"/>
        <w:szCs w:val="20"/>
      </w:rPr>
      <w:fldChar w:fldCharType="separate"/>
    </w:r>
    <w:r w:rsidR="00007ED2">
      <w:rPr>
        <w:rFonts w:asciiTheme="minorHAnsi" w:hAnsiTheme="minorHAnsi"/>
        <w:noProof/>
        <w:sz w:val="20"/>
        <w:szCs w:val="20"/>
      </w:rPr>
      <w:t>21</w:t>
    </w:r>
    <w:r w:rsidRPr="00547727">
      <w:rPr>
        <w:rFonts w:asciiTheme="minorHAnsi" w:hAnsiTheme="minorHAnsi"/>
        <w:noProof/>
        <w:sz w:val="20"/>
        <w:szCs w:val="20"/>
      </w:rPr>
      <w:fldChar w:fldCharType="end"/>
    </w:r>
    <w:r w:rsidRPr="00547727">
      <w:rPr>
        <w:rFonts w:asciiTheme="minorHAnsi" w:hAnsiTheme="minorHAnsi"/>
        <w:noProof/>
        <w:sz w:val="20"/>
        <w:szCs w:val="20"/>
      </w:rPr>
      <w:br/>
      <w:t>C18/125-E</w:t>
    </w:r>
  </w:p>
  <w:p w14:paraId="32508D24" w14:textId="77777777" w:rsidR="0039440E" w:rsidRPr="005E5838" w:rsidRDefault="0039440E" w:rsidP="005E5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B19A1528"/>
    <w:lvl w:ilvl="0" w:tplc="074C6FD4">
      <w:start w:val="1"/>
      <w:numFmt w:val="decimal"/>
      <w:pStyle w:val="testobase"/>
      <w:lvlText w:val="%1."/>
      <w:lvlJc w:val="left"/>
      <w:pPr>
        <w:ind w:left="1130" w:hanging="420"/>
      </w:pPr>
      <w:rPr>
        <w:rFonts w:hint="default"/>
        <w:b w:val="0"/>
        <w:lang w:val="en-GB"/>
      </w:rPr>
    </w:lvl>
    <w:lvl w:ilvl="1" w:tplc="0409000F">
      <w:start w:val="1"/>
      <w:numFmt w:val="decimal"/>
      <w:lvlText w:val="%2."/>
      <w:lvlJc w:val="left"/>
      <w:pPr>
        <w:ind w:left="1647" w:hanging="360"/>
      </w:pPr>
      <w:rPr>
        <w:rFonts w:hint="default"/>
      </w:rPr>
    </w:lvl>
    <w:lvl w:ilvl="2" w:tplc="0410001B">
      <w:start w:val="1"/>
      <w:numFmt w:val="lowerRoman"/>
      <w:lvlText w:val="%3."/>
      <w:lvlJc w:val="right"/>
      <w:pPr>
        <w:ind w:left="2367" w:hanging="180"/>
      </w:pPr>
    </w:lvl>
    <w:lvl w:ilvl="3" w:tplc="7D58F50C">
      <w:start w:val="1"/>
      <w:numFmt w:val="lowerLetter"/>
      <w:lvlText w:val="%4)"/>
      <w:lvlJc w:val="left"/>
      <w:pPr>
        <w:ind w:left="3087" w:hanging="360"/>
      </w:pPr>
      <w:rPr>
        <w:rFonts w:hint="default"/>
      </w:rPr>
    </w:lvl>
    <w:lvl w:ilvl="4" w:tplc="646AB890">
      <w:start w:val="1"/>
      <w:numFmt w:val="upperLetter"/>
      <w:lvlText w:val="%5)"/>
      <w:lvlJc w:val="left"/>
      <w:pPr>
        <w:ind w:left="3807" w:hanging="360"/>
      </w:pPr>
      <w:rPr>
        <w:rFonts w:hint="default"/>
      </w:r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19837E83"/>
    <w:multiLevelType w:val="hybridMultilevel"/>
    <w:tmpl w:val="C556E946"/>
    <w:lvl w:ilvl="0" w:tplc="D3AC0944">
      <w:numFmt w:val="bullet"/>
      <w:pStyle w:val="elencotrattino"/>
      <w:lvlText w:val="-"/>
      <w:lvlJc w:val="left"/>
      <w:pPr>
        <w:ind w:left="1271" w:hanging="420"/>
      </w:pPr>
      <w:rPr>
        <w:rFonts w:ascii="Arial" w:eastAsiaTheme="minorHAnsi" w:hAnsi="Arial" w:cs="Arial" w:hint="default"/>
      </w:rPr>
    </w:lvl>
    <w:lvl w:ilvl="1" w:tplc="E12CF01C">
      <w:start w:val="1"/>
      <w:numFmt w:val="upp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EA13EFD"/>
    <w:multiLevelType w:val="hybridMultilevel"/>
    <w:tmpl w:val="2786C28A"/>
    <w:lvl w:ilvl="0" w:tplc="9DCE8D12">
      <w:start w:val="1"/>
      <w:numFmt w:val="decimal"/>
      <w:pStyle w:val="titoloracc"/>
      <w:lvlText w:val="Recommendation n. %1."/>
      <w:lvlJc w:val="left"/>
      <w:pPr>
        <w:ind w:left="2204" w:hanging="360"/>
      </w:pPr>
      <w:rPr>
        <w:b/>
        <w:bCs w:val="0"/>
        <w:i/>
        <w:iCs w:val="0"/>
        <w:caps w:val="0"/>
        <w:smallCaps w:val="0"/>
        <w:strike w:val="0"/>
        <w:dstrike w:val="0"/>
        <w:noProof w:val="0"/>
        <w:vanish w:val="0"/>
        <w:spacing w:val="0"/>
        <w:kern w:val="0"/>
        <w:position w:val="0"/>
        <w:u w:val="none"/>
        <w:vertAlign w:val="baseline"/>
        <w:em w:val="none"/>
      </w:r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E1B02B9"/>
    <w:multiLevelType w:val="hybridMultilevel"/>
    <w:tmpl w:val="592C7FFA"/>
    <w:lvl w:ilvl="0" w:tplc="63CC168E">
      <w:start w:val="1"/>
      <w:numFmt w:val="lowerLetter"/>
      <w:lvlText w:val="%1)"/>
      <w:lvlJc w:val="left"/>
      <w:pPr>
        <w:ind w:left="785" w:hanging="360"/>
      </w:pPr>
      <w:rPr>
        <w:rFonts w:hint="default"/>
      </w:rPr>
    </w:lvl>
    <w:lvl w:ilvl="1" w:tplc="F4FE408A">
      <w:start w:val="1"/>
      <w:numFmt w:val="lowerLetter"/>
      <w:lvlText w:val="(%2)"/>
      <w:lvlJc w:val="left"/>
      <w:pPr>
        <w:ind w:left="1865" w:hanging="360"/>
      </w:pPr>
      <w:rPr>
        <w:rFonts w:hint="default"/>
      </w:rPr>
    </w:lvl>
    <w:lvl w:ilvl="2" w:tplc="0410001B" w:tentative="1">
      <w:start w:val="1"/>
      <w:numFmt w:val="lowerRoman"/>
      <w:lvlText w:val="%3."/>
      <w:lvlJc w:val="right"/>
      <w:pPr>
        <w:ind w:left="2585" w:hanging="180"/>
      </w:pPr>
    </w:lvl>
    <w:lvl w:ilvl="3" w:tplc="FDC29ADC">
      <w:start w:val="1"/>
      <w:numFmt w:val="decimal"/>
      <w:pStyle w:val="elencononlettere1"/>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 w15:restartNumberingAfterBreak="0">
    <w:nsid w:val="3B03292D"/>
    <w:multiLevelType w:val="hybridMultilevel"/>
    <w:tmpl w:val="C23A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90029"/>
    <w:multiLevelType w:val="hybridMultilevel"/>
    <w:tmpl w:val="93E2ACD6"/>
    <w:lvl w:ilvl="0" w:tplc="FD7E82BA">
      <w:start w:val="1"/>
      <w:numFmt w:val="decimal"/>
      <w:pStyle w:val="titolosugg"/>
      <w:lvlText w:val="Suggestion n. %1."/>
      <w:lvlJc w:val="left"/>
      <w:pPr>
        <w:ind w:left="420" w:hanging="420"/>
      </w:pPr>
      <w:rPr>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2B55B4"/>
    <w:multiLevelType w:val="hybridMultilevel"/>
    <w:tmpl w:val="A1BC1504"/>
    <w:lvl w:ilvl="0" w:tplc="A948CB5A">
      <w:start w:val="1"/>
      <w:numFmt w:val="upperRoman"/>
      <w:pStyle w:val="testoexecutive"/>
      <w:lvlText w:val="%1."/>
      <w:lvlJc w:val="left"/>
      <w:pPr>
        <w:ind w:left="4389"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83F6E11"/>
    <w:multiLevelType w:val="hybridMultilevel"/>
    <w:tmpl w:val="1DB278EE"/>
    <w:lvl w:ilvl="0" w:tplc="A88C843C">
      <w:start w:val="1"/>
      <w:numFmt w:val="bullet"/>
      <w:pStyle w:val="ListParagraph"/>
      <w:lvlText w:val=""/>
      <w:lvlJc w:val="left"/>
      <w:pPr>
        <w:ind w:left="1350" w:hanging="360"/>
      </w:pPr>
      <w:rPr>
        <w:rFonts w:ascii="Wingdings" w:hAnsi="Wingdings"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8" w15:restartNumberingAfterBreak="0">
    <w:nsid w:val="48DD7BC3"/>
    <w:multiLevelType w:val="hybridMultilevel"/>
    <w:tmpl w:val="B610FF02"/>
    <w:lvl w:ilvl="0" w:tplc="AB5A060E">
      <w:start w:val="1"/>
      <w:numFmt w:val="lowerRoman"/>
      <w:lvlText w:val="(%1)"/>
      <w:lvlJc w:val="left"/>
      <w:pPr>
        <w:ind w:left="1287" w:hanging="7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50C14D99"/>
    <w:multiLevelType w:val="hybridMultilevel"/>
    <w:tmpl w:val="93301566"/>
    <w:lvl w:ilvl="0" w:tplc="2DA80B46">
      <w:start w:val="1"/>
      <w:numFmt w:val="bullet"/>
      <w:pStyle w:val="elencopuntato"/>
      <w:lvlText w:val=""/>
      <w:lvlJc w:val="left"/>
      <w:pPr>
        <w:ind w:left="1271" w:hanging="420"/>
      </w:pPr>
      <w:rPr>
        <w:rFonts w:ascii="Symbol" w:hAnsi="Symbol" w:hint="default"/>
      </w:rPr>
    </w:lvl>
    <w:lvl w:ilvl="1" w:tplc="E12CF01C">
      <w:start w:val="1"/>
      <w:numFmt w:val="upp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51D1070C"/>
    <w:multiLevelType w:val="hybridMultilevel"/>
    <w:tmpl w:val="1158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2350B"/>
    <w:multiLevelType w:val="hybridMultilevel"/>
    <w:tmpl w:val="AB5EE83E"/>
    <w:lvl w:ilvl="0" w:tplc="33885738">
      <w:start w:val="1"/>
      <w:numFmt w:val="lowerRoman"/>
      <w:lvlText w:val="(%1)"/>
      <w:lvlJc w:val="left"/>
      <w:pPr>
        <w:ind w:left="157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2" w15:restartNumberingAfterBreak="0">
    <w:nsid w:val="5EDA282C"/>
    <w:multiLevelType w:val="hybridMultilevel"/>
    <w:tmpl w:val="752EEDF4"/>
    <w:lvl w:ilvl="0" w:tplc="3B54838E">
      <w:start w:val="1"/>
      <w:numFmt w:val="lowerLetter"/>
      <w:pStyle w:val="elencoabc"/>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3" w15:restartNumberingAfterBreak="0">
    <w:nsid w:val="687C231C"/>
    <w:multiLevelType w:val="hybridMultilevel"/>
    <w:tmpl w:val="9BBAACE2"/>
    <w:lvl w:ilvl="0" w:tplc="F040722A">
      <w:start w:val="1"/>
      <w:numFmt w:val="decimal"/>
      <w:lvlText w:val="%1."/>
      <w:lvlJc w:val="left"/>
      <w:pPr>
        <w:ind w:left="1412" w:hanging="420"/>
      </w:pPr>
      <w:rPr>
        <w:rFonts w:hint="default"/>
      </w:rPr>
    </w:lvl>
    <w:lvl w:ilvl="1" w:tplc="08090001">
      <w:start w:val="1"/>
      <w:numFmt w:val="bullet"/>
      <w:lvlText w:val=""/>
      <w:lvlJc w:val="left"/>
      <w:pPr>
        <w:ind w:left="1647" w:hanging="360"/>
      </w:pPr>
      <w:rPr>
        <w:rFonts w:ascii="Symbol" w:hAnsi="Symbol" w:hint="default"/>
      </w:rPr>
    </w:lvl>
    <w:lvl w:ilvl="2" w:tplc="0410001B">
      <w:start w:val="1"/>
      <w:numFmt w:val="lowerRoman"/>
      <w:lvlText w:val="%3."/>
      <w:lvlJc w:val="right"/>
      <w:pPr>
        <w:ind w:left="2367" w:hanging="180"/>
      </w:pPr>
    </w:lvl>
    <w:lvl w:ilvl="3" w:tplc="07CC7D3C">
      <w:start w:val="1"/>
      <w:numFmt w:val="upperLetter"/>
      <w:pStyle w:val="elencoconletteremaiuscole"/>
      <w:lvlText w:val="%4)"/>
      <w:lvlJc w:val="left"/>
      <w:pPr>
        <w:ind w:left="3087" w:hanging="360"/>
      </w:pPr>
      <w:rPr>
        <w:rFonts w:hint="default"/>
      </w:rPr>
    </w:lvl>
    <w:lvl w:ilvl="4" w:tplc="646AB890">
      <w:start w:val="1"/>
      <w:numFmt w:val="upperLetter"/>
      <w:lvlText w:val="%5)"/>
      <w:lvlJc w:val="left"/>
      <w:pPr>
        <w:ind w:left="3807" w:hanging="360"/>
      </w:pPr>
      <w:rPr>
        <w:rFonts w:hint="default"/>
      </w:r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716C1414"/>
    <w:multiLevelType w:val="hybridMultilevel"/>
    <w:tmpl w:val="C4A0E0EC"/>
    <w:lvl w:ilvl="0" w:tplc="467C6A6C">
      <w:start w:val="1"/>
      <w:numFmt w:val="lowerRoman"/>
      <w:pStyle w:val="elencoiiiiii"/>
      <w:lvlText w:val="(%1)"/>
      <w:lvlJc w:val="left"/>
      <w:pPr>
        <w:ind w:left="157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5" w15:restartNumberingAfterBreak="0">
    <w:nsid w:val="766A122C"/>
    <w:multiLevelType w:val="hybridMultilevel"/>
    <w:tmpl w:val="04CC80AE"/>
    <w:lvl w:ilvl="0" w:tplc="C202820C">
      <w:start w:val="1"/>
      <w:numFmt w:val="lowerLetter"/>
      <w:pStyle w:val="elencoconlettereenfatizzato"/>
      <w:lvlText w:val="(%1)"/>
      <w:lvlJc w:val="left"/>
      <w:pPr>
        <w:ind w:left="644" w:hanging="360"/>
      </w:pPr>
      <w:rPr>
        <w:rFonts w:hint="default"/>
      </w:rPr>
    </w:lvl>
    <w:lvl w:ilvl="1" w:tplc="2FDA1F1E">
      <w:start w:val="1"/>
      <w:numFmt w:val="upperRoman"/>
      <w:pStyle w:val="elencoconnumeriromani"/>
      <w:lvlText w:val="%2."/>
      <w:lvlJc w:val="left"/>
      <w:pPr>
        <w:ind w:left="1364" w:hanging="360"/>
      </w:pPr>
      <w:rPr>
        <w:rFonts w:hint="default"/>
      </w:rPr>
    </w:lvl>
    <w:lvl w:ilvl="2" w:tplc="6F22F32A">
      <w:start w:val="1"/>
      <w:numFmt w:val="lowerLetter"/>
      <w:lvlText w:val="%3)"/>
      <w:lvlJc w:val="left"/>
      <w:pPr>
        <w:ind w:left="568" w:hanging="360"/>
      </w:pPr>
      <w:rPr>
        <w:rFonts w:hint="default"/>
      </w:rPr>
    </w:lvl>
    <w:lvl w:ilvl="3" w:tplc="C72EBF3A">
      <w:start w:val="2"/>
      <w:numFmt w:val="upp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7E13D29"/>
    <w:multiLevelType w:val="hybridMultilevel"/>
    <w:tmpl w:val="D8E6ADF2"/>
    <w:lvl w:ilvl="0" w:tplc="2A30F8B0">
      <w:start w:val="1"/>
      <w:numFmt w:val="lowerRoman"/>
      <w:lvlText w:val="(%1)"/>
      <w:lvlJc w:val="left"/>
      <w:pPr>
        <w:ind w:left="157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7" w15:restartNumberingAfterBreak="0">
    <w:nsid w:val="7E2F284E"/>
    <w:multiLevelType w:val="hybridMultilevel"/>
    <w:tmpl w:val="F880E374"/>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0"/>
  </w:num>
  <w:num w:numId="2">
    <w:abstractNumId w:val="15"/>
  </w:num>
  <w:num w:numId="3">
    <w:abstractNumId w:val="6"/>
  </w:num>
  <w:num w:numId="4">
    <w:abstractNumId w:val="5"/>
  </w:num>
  <w:num w:numId="5">
    <w:abstractNumId w:val="3"/>
  </w:num>
  <w:num w:numId="6">
    <w:abstractNumId w:val="2"/>
  </w:num>
  <w:num w:numId="7">
    <w:abstractNumId w:val="7"/>
  </w:num>
  <w:num w:numId="8">
    <w:abstractNumId w:val="9"/>
  </w:num>
  <w:num w:numId="9">
    <w:abstractNumId w:val="1"/>
  </w:num>
  <w:num w:numId="10">
    <w:abstractNumId w:val="13"/>
  </w:num>
  <w:num w:numId="11">
    <w:abstractNumId w:val="8"/>
  </w:num>
  <w:num w:numId="12">
    <w:abstractNumId w:val="0"/>
    <w:lvlOverride w:ilvl="0">
      <w:startOverride w:val="1"/>
    </w:lvlOverride>
  </w:num>
  <w:num w:numId="13">
    <w:abstractNumId w:val="0"/>
    <w:lvlOverride w:ilvl="0">
      <w:startOverride w:val="1"/>
    </w:lvlOverride>
  </w:num>
  <w:num w:numId="14">
    <w:abstractNumId w:val="10"/>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num>
  <w:num w:numId="24">
    <w:abstractNumId w:val="6"/>
  </w:num>
  <w:num w:numId="25">
    <w:abstractNumId w:val="11"/>
  </w:num>
  <w:num w:numId="26">
    <w:abstractNumId w:val="11"/>
    <w:lvlOverride w:ilvl="0">
      <w:startOverride w:val="1"/>
    </w:lvlOverride>
  </w:num>
  <w:num w:numId="27">
    <w:abstractNumId w:val="12"/>
  </w:num>
  <w:num w:numId="28">
    <w:abstractNumId w:val="16"/>
  </w:num>
  <w:num w:numId="29">
    <w:abstractNumId w:val="16"/>
    <w:lvlOverride w:ilvl="0">
      <w:startOverride w:val="1"/>
    </w:lvlOverride>
  </w:num>
  <w:num w:numId="30">
    <w:abstractNumId w:val="14"/>
  </w:num>
  <w:num w:numId="31">
    <w:abstractNumId w:val="12"/>
  </w:num>
  <w:num w:numId="32">
    <w:abstractNumId w:val="17"/>
  </w:num>
  <w:num w:numId="33">
    <w:abstractNumId w:val="5"/>
  </w:num>
  <w:num w:numId="34">
    <w:abstractNumId w:val="2"/>
  </w:num>
  <w:num w:numId="35">
    <w:abstractNumId w:val="0"/>
    <w:lvlOverride w:ilvl="0">
      <w:startOverride w:val="1"/>
    </w:lvlOverride>
  </w:num>
  <w:num w:numId="36">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0A"/>
    <w:rsid w:val="0000097F"/>
    <w:rsid w:val="000017D5"/>
    <w:rsid w:val="00001958"/>
    <w:rsid w:val="000023F5"/>
    <w:rsid w:val="00003CE9"/>
    <w:rsid w:val="00003F89"/>
    <w:rsid w:val="00004400"/>
    <w:rsid w:val="00004AF3"/>
    <w:rsid w:val="00004EA5"/>
    <w:rsid w:val="00006F3F"/>
    <w:rsid w:val="00007ED2"/>
    <w:rsid w:val="00010B5E"/>
    <w:rsid w:val="000128F3"/>
    <w:rsid w:val="000140C6"/>
    <w:rsid w:val="00016244"/>
    <w:rsid w:val="00020EB2"/>
    <w:rsid w:val="00021CFE"/>
    <w:rsid w:val="00022569"/>
    <w:rsid w:val="00022CE1"/>
    <w:rsid w:val="00023325"/>
    <w:rsid w:val="000258D8"/>
    <w:rsid w:val="000258DD"/>
    <w:rsid w:val="00026B68"/>
    <w:rsid w:val="000277D4"/>
    <w:rsid w:val="00027AF0"/>
    <w:rsid w:val="000319B0"/>
    <w:rsid w:val="00031AA2"/>
    <w:rsid w:val="0003209B"/>
    <w:rsid w:val="00032254"/>
    <w:rsid w:val="00033734"/>
    <w:rsid w:val="00033808"/>
    <w:rsid w:val="000340A1"/>
    <w:rsid w:val="00034828"/>
    <w:rsid w:val="00034C40"/>
    <w:rsid w:val="000359D8"/>
    <w:rsid w:val="000369EA"/>
    <w:rsid w:val="00036B2E"/>
    <w:rsid w:val="000378CF"/>
    <w:rsid w:val="00037A1C"/>
    <w:rsid w:val="00037B13"/>
    <w:rsid w:val="0004088C"/>
    <w:rsid w:val="00040CDD"/>
    <w:rsid w:val="00041AFE"/>
    <w:rsid w:val="000431F4"/>
    <w:rsid w:val="00043530"/>
    <w:rsid w:val="000444E0"/>
    <w:rsid w:val="00044AC3"/>
    <w:rsid w:val="00044DF9"/>
    <w:rsid w:val="00044F10"/>
    <w:rsid w:val="00046987"/>
    <w:rsid w:val="00047643"/>
    <w:rsid w:val="00047BD3"/>
    <w:rsid w:val="00050AB0"/>
    <w:rsid w:val="00051A27"/>
    <w:rsid w:val="000534A7"/>
    <w:rsid w:val="0005361B"/>
    <w:rsid w:val="00053A63"/>
    <w:rsid w:val="00055425"/>
    <w:rsid w:val="00056622"/>
    <w:rsid w:val="00056675"/>
    <w:rsid w:val="00056B74"/>
    <w:rsid w:val="000574D7"/>
    <w:rsid w:val="00057639"/>
    <w:rsid w:val="00057EF3"/>
    <w:rsid w:val="00062030"/>
    <w:rsid w:val="0006278B"/>
    <w:rsid w:val="00067879"/>
    <w:rsid w:val="00067E4D"/>
    <w:rsid w:val="0007032C"/>
    <w:rsid w:val="00071849"/>
    <w:rsid w:val="000723C9"/>
    <w:rsid w:val="00072B30"/>
    <w:rsid w:val="00072F06"/>
    <w:rsid w:val="00073E8C"/>
    <w:rsid w:val="00076912"/>
    <w:rsid w:val="00077E82"/>
    <w:rsid w:val="00080989"/>
    <w:rsid w:val="00081D09"/>
    <w:rsid w:val="00082A86"/>
    <w:rsid w:val="00083570"/>
    <w:rsid w:val="00083975"/>
    <w:rsid w:val="00083F7D"/>
    <w:rsid w:val="00084789"/>
    <w:rsid w:val="0009035F"/>
    <w:rsid w:val="00090A2A"/>
    <w:rsid w:val="00090C49"/>
    <w:rsid w:val="000911B1"/>
    <w:rsid w:val="00091712"/>
    <w:rsid w:val="00093065"/>
    <w:rsid w:val="00093990"/>
    <w:rsid w:val="00093D0A"/>
    <w:rsid w:val="00093E9B"/>
    <w:rsid w:val="00093F1E"/>
    <w:rsid w:val="00094555"/>
    <w:rsid w:val="00096924"/>
    <w:rsid w:val="00096EB2"/>
    <w:rsid w:val="00097A28"/>
    <w:rsid w:val="000A013B"/>
    <w:rsid w:val="000A04D9"/>
    <w:rsid w:val="000A1037"/>
    <w:rsid w:val="000A1132"/>
    <w:rsid w:val="000A1C7F"/>
    <w:rsid w:val="000A20DA"/>
    <w:rsid w:val="000A26DF"/>
    <w:rsid w:val="000A39A7"/>
    <w:rsid w:val="000A4BBD"/>
    <w:rsid w:val="000A5D76"/>
    <w:rsid w:val="000A6891"/>
    <w:rsid w:val="000A755A"/>
    <w:rsid w:val="000A7589"/>
    <w:rsid w:val="000A7FC1"/>
    <w:rsid w:val="000B0643"/>
    <w:rsid w:val="000B0945"/>
    <w:rsid w:val="000B14D9"/>
    <w:rsid w:val="000B1D1F"/>
    <w:rsid w:val="000B1EAF"/>
    <w:rsid w:val="000B262E"/>
    <w:rsid w:val="000B37F5"/>
    <w:rsid w:val="000B3C1B"/>
    <w:rsid w:val="000B4418"/>
    <w:rsid w:val="000B4BD1"/>
    <w:rsid w:val="000B5644"/>
    <w:rsid w:val="000B571D"/>
    <w:rsid w:val="000B579D"/>
    <w:rsid w:val="000B57AC"/>
    <w:rsid w:val="000B661D"/>
    <w:rsid w:val="000B6775"/>
    <w:rsid w:val="000B6848"/>
    <w:rsid w:val="000B7743"/>
    <w:rsid w:val="000C058F"/>
    <w:rsid w:val="000C1D69"/>
    <w:rsid w:val="000C1E65"/>
    <w:rsid w:val="000C1F48"/>
    <w:rsid w:val="000C215D"/>
    <w:rsid w:val="000C2249"/>
    <w:rsid w:val="000C35F4"/>
    <w:rsid w:val="000C4265"/>
    <w:rsid w:val="000C4EBB"/>
    <w:rsid w:val="000C5CF3"/>
    <w:rsid w:val="000C5F0A"/>
    <w:rsid w:val="000C6140"/>
    <w:rsid w:val="000C62AB"/>
    <w:rsid w:val="000C6EB4"/>
    <w:rsid w:val="000C6FB6"/>
    <w:rsid w:val="000C7179"/>
    <w:rsid w:val="000C7333"/>
    <w:rsid w:val="000C7775"/>
    <w:rsid w:val="000D02F3"/>
    <w:rsid w:val="000D1D99"/>
    <w:rsid w:val="000D29F4"/>
    <w:rsid w:val="000D3F37"/>
    <w:rsid w:val="000D4E7D"/>
    <w:rsid w:val="000D655F"/>
    <w:rsid w:val="000D65AB"/>
    <w:rsid w:val="000D6891"/>
    <w:rsid w:val="000D6C92"/>
    <w:rsid w:val="000D7576"/>
    <w:rsid w:val="000D790F"/>
    <w:rsid w:val="000E0BF8"/>
    <w:rsid w:val="000E0CD8"/>
    <w:rsid w:val="000E179D"/>
    <w:rsid w:val="000E1CB3"/>
    <w:rsid w:val="000E285C"/>
    <w:rsid w:val="000E2D90"/>
    <w:rsid w:val="000E393D"/>
    <w:rsid w:val="000E47A2"/>
    <w:rsid w:val="000E5B98"/>
    <w:rsid w:val="000E6214"/>
    <w:rsid w:val="000E67E7"/>
    <w:rsid w:val="000E774D"/>
    <w:rsid w:val="000F1644"/>
    <w:rsid w:val="000F1E37"/>
    <w:rsid w:val="000F1E82"/>
    <w:rsid w:val="000F26C1"/>
    <w:rsid w:val="000F2A5E"/>
    <w:rsid w:val="000F30CF"/>
    <w:rsid w:val="000F3527"/>
    <w:rsid w:val="000F39F3"/>
    <w:rsid w:val="000F429C"/>
    <w:rsid w:val="000F4C09"/>
    <w:rsid w:val="000F4FA1"/>
    <w:rsid w:val="000F562E"/>
    <w:rsid w:val="000F645B"/>
    <w:rsid w:val="001004E1"/>
    <w:rsid w:val="00101925"/>
    <w:rsid w:val="00101F59"/>
    <w:rsid w:val="0010225F"/>
    <w:rsid w:val="00102C82"/>
    <w:rsid w:val="00104128"/>
    <w:rsid w:val="00105224"/>
    <w:rsid w:val="00106097"/>
    <w:rsid w:val="00106234"/>
    <w:rsid w:val="001069ED"/>
    <w:rsid w:val="00106ABB"/>
    <w:rsid w:val="00106CB2"/>
    <w:rsid w:val="00107B08"/>
    <w:rsid w:val="00110141"/>
    <w:rsid w:val="001149F6"/>
    <w:rsid w:val="00115868"/>
    <w:rsid w:val="00115D58"/>
    <w:rsid w:val="00116177"/>
    <w:rsid w:val="00116E83"/>
    <w:rsid w:val="00116F6C"/>
    <w:rsid w:val="001171EF"/>
    <w:rsid w:val="00117901"/>
    <w:rsid w:val="001179F5"/>
    <w:rsid w:val="00117AB0"/>
    <w:rsid w:val="00120EC4"/>
    <w:rsid w:val="0012124A"/>
    <w:rsid w:val="00122039"/>
    <w:rsid w:val="00122884"/>
    <w:rsid w:val="001234CB"/>
    <w:rsid w:val="00124C79"/>
    <w:rsid w:val="00125978"/>
    <w:rsid w:val="00126581"/>
    <w:rsid w:val="00126607"/>
    <w:rsid w:val="00126A0E"/>
    <w:rsid w:val="00130157"/>
    <w:rsid w:val="0013024A"/>
    <w:rsid w:val="0013053B"/>
    <w:rsid w:val="001306FE"/>
    <w:rsid w:val="00130887"/>
    <w:rsid w:val="00130D50"/>
    <w:rsid w:val="001316D9"/>
    <w:rsid w:val="00131B60"/>
    <w:rsid w:val="001333D6"/>
    <w:rsid w:val="00134BF9"/>
    <w:rsid w:val="00134CF8"/>
    <w:rsid w:val="00135051"/>
    <w:rsid w:val="00135EB2"/>
    <w:rsid w:val="0013640D"/>
    <w:rsid w:val="00137A68"/>
    <w:rsid w:val="001407C3"/>
    <w:rsid w:val="00141431"/>
    <w:rsid w:val="00141720"/>
    <w:rsid w:val="00141801"/>
    <w:rsid w:val="001427AB"/>
    <w:rsid w:val="00143381"/>
    <w:rsid w:val="00144E9C"/>
    <w:rsid w:val="001456F6"/>
    <w:rsid w:val="001459A8"/>
    <w:rsid w:val="00145B25"/>
    <w:rsid w:val="00145E8D"/>
    <w:rsid w:val="00146C7B"/>
    <w:rsid w:val="001476D4"/>
    <w:rsid w:val="0014789E"/>
    <w:rsid w:val="001515CA"/>
    <w:rsid w:val="00151713"/>
    <w:rsid w:val="00154325"/>
    <w:rsid w:val="00156563"/>
    <w:rsid w:val="00156ACF"/>
    <w:rsid w:val="00157C4D"/>
    <w:rsid w:val="001608EC"/>
    <w:rsid w:val="00160957"/>
    <w:rsid w:val="00161037"/>
    <w:rsid w:val="001614A3"/>
    <w:rsid w:val="00161841"/>
    <w:rsid w:val="0016256E"/>
    <w:rsid w:val="001625D0"/>
    <w:rsid w:val="001626DC"/>
    <w:rsid w:val="00162A0F"/>
    <w:rsid w:val="00162A21"/>
    <w:rsid w:val="00163995"/>
    <w:rsid w:val="00163F47"/>
    <w:rsid w:val="001645CE"/>
    <w:rsid w:val="00165232"/>
    <w:rsid w:val="0016594B"/>
    <w:rsid w:val="00167126"/>
    <w:rsid w:val="00171298"/>
    <w:rsid w:val="0017200C"/>
    <w:rsid w:val="00172A5B"/>
    <w:rsid w:val="0017343D"/>
    <w:rsid w:val="00173AFF"/>
    <w:rsid w:val="00175177"/>
    <w:rsid w:val="001751D1"/>
    <w:rsid w:val="00175A91"/>
    <w:rsid w:val="00176394"/>
    <w:rsid w:val="00176A0E"/>
    <w:rsid w:val="00176F93"/>
    <w:rsid w:val="0017751F"/>
    <w:rsid w:val="0018069F"/>
    <w:rsid w:val="001824CC"/>
    <w:rsid w:val="00182D5E"/>
    <w:rsid w:val="00183969"/>
    <w:rsid w:val="00183CD0"/>
    <w:rsid w:val="001842FC"/>
    <w:rsid w:val="00186423"/>
    <w:rsid w:val="00187D07"/>
    <w:rsid w:val="00190043"/>
    <w:rsid w:val="00190359"/>
    <w:rsid w:val="00190438"/>
    <w:rsid w:val="0019174F"/>
    <w:rsid w:val="00192C33"/>
    <w:rsid w:val="00192C6D"/>
    <w:rsid w:val="00193391"/>
    <w:rsid w:val="00193E0C"/>
    <w:rsid w:val="001941AA"/>
    <w:rsid w:val="00195192"/>
    <w:rsid w:val="00195387"/>
    <w:rsid w:val="00195B81"/>
    <w:rsid w:val="001A0A7B"/>
    <w:rsid w:val="001A1740"/>
    <w:rsid w:val="001A1AE2"/>
    <w:rsid w:val="001A40A9"/>
    <w:rsid w:val="001A4C2A"/>
    <w:rsid w:val="001A668A"/>
    <w:rsid w:val="001A68A6"/>
    <w:rsid w:val="001A7AB8"/>
    <w:rsid w:val="001A7CF8"/>
    <w:rsid w:val="001B180F"/>
    <w:rsid w:val="001B1A2E"/>
    <w:rsid w:val="001B285D"/>
    <w:rsid w:val="001B2AAA"/>
    <w:rsid w:val="001B3ADA"/>
    <w:rsid w:val="001B48AF"/>
    <w:rsid w:val="001B562A"/>
    <w:rsid w:val="001B5EF7"/>
    <w:rsid w:val="001B6BCB"/>
    <w:rsid w:val="001C0C96"/>
    <w:rsid w:val="001C16C6"/>
    <w:rsid w:val="001C1767"/>
    <w:rsid w:val="001C1D05"/>
    <w:rsid w:val="001C1EB3"/>
    <w:rsid w:val="001C2661"/>
    <w:rsid w:val="001C2A80"/>
    <w:rsid w:val="001C2AC2"/>
    <w:rsid w:val="001C3822"/>
    <w:rsid w:val="001C38BE"/>
    <w:rsid w:val="001C3A46"/>
    <w:rsid w:val="001C4C92"/>
    <w:rsid w:val="001C51D5"/>
    <w:rsid w:val="001C671A"/>
    <w:rsid w:val="001C69A3"/>
    <w:rsid w:val="001C6CEC"/>
    <w:rsid w:val="001D0320"/>
    <w:rsid w:val="001D0F28"/>
    <w:rsid w:val="001D18C4"/>
    <w:rsid w:val="001D1E4B"/>
    <w:rsid w:val="001D25B8"/>
    <w:rsid w:val="001D2908"/>
    <w:rsid w:val="001D2B4D"/>
    <w:rsid w:val="001D3B15"/>
    <w:rsid w:val="001D418C"/>
    <w:rsid w:val="001D4398"/>
    <w:rsid w:val="001D53A3"/>
    <w:rsid w:val="001D53BC"/>
    <w:rsid w:val="001D6CF7"/>
    <w:rsid w:val="001D6E6E"/>
    <w:rsid w:val="001E08FC"/>
    <w:rsid w:val="001E2FA4"/>
    <w:rsid w:val="001E3426"/>
    <w:rsid w:val="001E4401"/>
    <w:rsid w:val="001E78E6"/>
    <w:rsid w:val="001F1738"/>
    <w:rsid w:val="001F2D3F"/>
    <w:rsid w:val="001F3A4E"/>
    <w:rsid w:val="001F430D"/>
    <w:rsid w:val="001F5A2E"/>
    <w:rsid w:val="001F5A8F"/>
    <w:rsid w:val="001F5BD3"/>
    <w:rsid w:val="001F66FC"/>
    <w:rsid w:val="0020158F"/>
    <w:rsid w:val="0020240A"/>
    <w:rsid w:val="00204FAD"/>
    <w:rsid w:val="00206197"/>
    <w:rsid w:val="0020619F"/>
    <w:rsid w:val="00206DF6"/>
    <w:rsid w:val="0020743B"/>
    <w:rsid w:val="00207728"/>
    <w:rsid w:val="00207BD5"/>
    <w:rsid w:val="002101A6"/>
    <w:rsid w:val="00210846"/>
    <w:rsid w:val="0021125E"/>
    <w:rsid w:val="002142D4"/>
    <w:rsid w:val="0021593B"/>
    <w:rsid w:val="00215DD2"/>
    <w:rsid w:val="002172E7"/>
    <w:rsid w:val="00217C04"/>
    <w:rsid w:val="00220CE4"/>
    <w:rsid w:val="00220DCA"/>
    <w:rsid w:val="0022118C"/>
    <w:rsid w:val="002223E0"/>
    <w:rsid w:val="00227313"/>
    <w:rsid w:val="0022768C"/>
    <w:rsid w:val="002279EE"/>
    <w:rsid w:val="00230473"/>
    <w:rsid w:val="002318E2"/>
    <w:rsid w:val="00232700"/>
    <w:rsid w:val="00233208"/>
    <w:rsid w:val="00233786"/>
    <w:rsid w:val="0023471D"/>
    <w:rsid w:val="002364F3"/>
    <w:rsid w:val="00236E7B"/>
    <w:rsid w:val="00241608"/>
    <w:rsid w:val="00241BE5"/>
    <w:rsid w:val="00241D66"/>
    <w:rsid w:val="00241E2B"/>
    <w:rsid w:val="0024211D"/>
    <w:rsid w:val="00242890"/>
    <w:rsid w:val="00242AAF"/>
    <w:rsid w:val="00243233"/>
    <w:rsid w:val="00244C7E"/>
    <w:rsid w:val="002453C4"/>
    <w:rsid w:val="002475D1"/>
    <w:rsid w:val="00247E1E"/>
    <w:rsid w:val="002505A2"/>
    <w:rsid w:val="00251890"/>
    <w:rsid w:val="00252ED0"/>
    <w:rsid w:val="002530C0"/>
    <w:rsid w:val="0025546A"/>
    <w:rsid w:val="002560E5"/>
    <w:rsid w:val="00256A4C"/>
    <w:rsid w:val="00256B1F"/>
    <w:rsid w:val="002572B9"/>
    <w:rsid w:val="00257B09"/>
    <w:rsid w:val="00260E6B"/>
    <w:rsid w:val="00261228"/>
    <w:rsid w:val="002630EC"/>
    <w:rsid w:val="002634B9"/>
    <w:rsid w:val="00265140"/>
    <w:rsid w:val="00265868"/>
    <w:rsid w:val="00265D3E"/>
    <w:rsid w:val="002669D0"/>
    <w:rsid w:val="00266D87"/>
    <w:rsid w:val="002672F2"/>
    <w:rsid w:val="00267F1A"/>
    <w:rsid w:val="00270566"/>
    <w:rsid w:val="00270872"/>
    <w:rsid w:val="00270DB9"/>
    <w:rsid w:val="00271FAE"/>
    <w:rsid w:val="00272DC9"/>
    <w:rsid w:val="00274470"/>
    <w:rsid w:val="00274BAB"/>
    <w:rsid w:val="00275D41"/>
    <w:rsid w:val="002766C3"/>
    <w:rsid w:val="00276ABF"/>
    <w:rsid w:val="00276DDE"/>
    <w:rsid w:val="002772F1"/>
    <w:rsid w:val="0027751A"/>
    <w:rsid w:val="00277679"/>
    <w:rsid w:val="002805F9"/>
    <w:rsid w:val="002811EB"/>
    <w:rsid w:val="00282AAA"/>
    <w:rsid w:val="00282AAE"/>
    <w:rsid w:val="00282C22"/>
    <w:rsid w:val="00283A88"/>
    <w:rsid w:val="00284158"/>
    <w:rsid w:val="002851A3"/>
    <w:rsid w:val="00285B3B"/>
    <w:rsid w:val="00286F58"/>
    <w:rsid w:val="00287E16"/>
    <w:rsid w:val="0029126B"/>
    <w:rsid w:val="00292172"/>
    <w:rsid w:val="00292B91"/>
    <w:rsid w:val="00292C0B"/>
    <w:rsid w:val="00294848"/>
    <w:rsid w:val="00294E86"/>
    <w:rsid w:val="00295C7B"/>
    <w:rsid w:val="002961C5"/>
    <w:rsid w:val="00297E8F"/>
    <w:rsid w:val="002A0294"/>
    <w:rsid w:val="002A1FFE"/>
    <w:rsid w:val="002A210F"/>
    <w:rsid w:val="002A3A52"/>
    <w:rsid w:val="002A5735"/>
    <w:rsid w:val="002B008A"/>
    <w:rsid w:val="002B1340"/>
    <w:rsid w:val="002B2241"/>
    <w:rsid w:val="002B28B3"/>
    <w:rsid w:val="002B3DE3"/>
    <w:rsid w:val="002B5C42"/>
    <w:rsid w:val="002B6766"/>
    <w:rsid w:val="002B68AB"/>
    <w:rsid w:val="002B6A42"/>
    <w:rsid w:val="002C0658"/>
    <w:rsid w:val="002C1729"/>
    <w:rsid w:val="002C1B7C"/>
    <w:rsid w:val="002C213E"/>
    <w:rsid w:val="002C2D9D"/>
    <w:rsid w:val="002C5685"/>
    <w:rsid w:val="002C6BF5"/>
    <w:rsid w:val="002C72B0"/>
    <w:rsid w:val="002C7717"/>
    <w:rsid w:val="002D1006"/>
    <w:rsid w:val="002D3327"/>
    <w:rsid w:val="002D3436"/>
    <w:rsid w:val="002D354D"/>
    <w:rsid w:val="002D4761"/>
    <w:rsid w:val="002D5485"/>
    <w:rsid w:val="002D5996"/>
    <w:rsid w:val="002D6D46"/>
    <w:rsid w:val="002D7041"/>
    <w:rsid w:val="002D71E6"/>
    <w:rsid w:val="002D77BC"/>
    <w:rsid w:val="002E016F"/>
    <w:rsid w:val="002E28C5"/>
    <w:rsid w:val="002E34B0"/>
    <w:rsid w:val="002E4C36"/>
    <w:rsid w:val="002E5EBB"/>
    <w:rsid w:val="002E760C"/>
    <w:rsid w:val="002F1B49"/>
    <w:rsid w:val="002F2F87"/>
    <w:rsid w:val="002F58A3"/>
    <w:rsid w:val="002F6DC1"/>
    <w:rsid w:val="002F6ECB"/>
    <w:rsid w:val="002F6F88"/>
    <w:rsid w:val="002F7A27"/>
    <w:rsid w:val="00301D3D"/>
    <w:rsid w:val="00302DBB"/>
    <w:rsid w:val="003030E6"/>
    <w:rsid w:val="00304E45"/>
    <w:rsid w:val="003050E0"/>
    <w:rsid w:val="003054A9"/>
    <w:rsid w:val="00305AA1"/>
    <w:rsid w:val="00306E95"/>
    <w:rsid w:val="00307032"/>
    <w:rsid w:val="003070FE"/>
    <w:rsid w:val="00310624"/>
    <w:rsid w:val="003107CE"/>
    <w:rsid w:val="00310A7E"/>
    <w:rsid w:val="00310D36"/>
    <w:rsid w:val="00311654"/>
    <w:rsid w:val="0031359B"/>
    <w:rsid w:val="00314EB8"/>
    <w:rsid w:val="003150F2"/>
    <w:rsid w:val="00315D3C"/>
    <w:rsid w:val="003167DB"/>
    <w:rsid w:val="00316B35"/>
    <w:rsid w:val="00316DEA"/>
    <w:rsid w:val="0031740D"/>
    <w:rsid w:val="003202F3"/>
    <w:rsid w:val="00320B2B"/>
    <w:rsid w:val="0032212B"/>
    <w:rsid w:val="00326123"/>
    <w:rsid w:val="003261BB"/>
    <w:rsid w:val="003268E7"/>
    <w:rsid w:val="003279C7"/>
    <w:rsid w:val="00330682"/>
    <w:rsid w:val="00330C4C"/>
    <w:rsid w:val="0033362A"/>
    <w:rsid w:val="00333653"/>
    <w:rsid w:val="00336318"/>
    <w:rsid w:val="0033735A"/>
    <w:rsid w:val="00337929"/>
    <w:rsid w:val="00340309"/>
    <w:rsid w:val="00340A59"/>
    <w:rsid w:val="00341431"/>
    <w:rsid w:val="003415EB"/>
    <w:rsid w:val="00342E34"/>
    <w:rsid w:val="0034399A"/>
    <w:rsid w:val="00343C1D"/>
    <w:rsid w:val="00345220"/>
    <w:rsid w:val="00345242"/>
    <w:rsid w:val="00345564"/>
    <w:rsid w:val="003507D1"/>
    <w:rsid w:val="003515AC"/>
    <w:rsid w:val="003523A3"/>
    <w:rsid w:val="003554E9"/>
    <w:rsid w:val="003567AE"/>
    <w:rsid w:val="00357A49"/>
    <w:rsid w:val="00357D0D"/>
    <w:rsid w:val="00360B18"/>
    <w:rsid w:val="00360E92"/>
    <w:rsid w:val="00361AB5"/>
    <w:rsid w:val="0036356E"/>
    <w:rsid w:val="003635CF"/>
    <w:rsid w:val="00363765"/>
    <w:rsid w:val="0036499E"/>
    <w:rsid w:val="00365304"/>
    <w:rsid w:val="00365491"/>
    <w:rsid w:val="003656F8"/>
    <w:rsid w:val="00366282"/>
    <w:rsid w:val="003665D1"/>
    <w:rsid w:val="0036691C"/>
    <w:rsid w:val="0036708A"/>
    <w:rsid w:val="00367645"/>
    <w:rsid w:val="003705DA"/>
    <w:rsid w:val="003718FB"/>
    <w:rsid w:val="003730E3"/>
    <w:rsid w:val="00373EAE"/>
    <w:rsid w:val="00374CB2"/>
    <w:rsid w:val="003759B8"/>
    <w:rsid w:val="0038238E"/>
    <w:rsid w:val="0038297C"/>
    <w:rsid w:val="00385F59"/>
    <w:rsid w:val="003866EF"/>
    <w:rsid w:val="003872D4"/>
    <w:rsid w:val="003875BF"/>
    <w:rsid w:val="003916B2"/>
    <w:rsid w:val="00391D05"/>
    <w:rsid w:val="00392291"/>
    <w:rsid w:val="00393258"/>
    <w:rsid w:val="003933C6"/>
    <w:rsid w:val="0039440E"/>
    <w:rsid w:val="00394590"/>
    <w:rsid w:val="003945FB"/>
    <w:rsid w:val="003953DB"/>
    <w:rsid w:val="00397B6B"/>
    <w:rsid w:val="00397DD5"/>
    <w:rsid w:val="00397E11"/>
    <w:rsid w:val="003A0E4D"/>
    <w:rsid w:val="003A0EE7"/>
    <w:rsid w:val="003A17AE"/>
    <w:rsid w:val="003A2698"/>
    <w:rsid w:val="003A484B"/>
    <w:rsid w:val="003A5210"/>
    <w:rsid w:val="003A5370"/>
    <w:rsid w:val="003A5A69"/>
    <w:rsid w:val="003A6F5C"/>
    <w:rsid w:val="003A7037"/>
    <w:rsid w:val="003B1872"/>
    <w:rsid w:val="003B1ACD"/>
    <w:rsid w:val="003B3461"/>
    <w:rsid w:val="003B3ED9"/>
    <w:rsid w:val="003B7635"/>
    <w:rsid w:val="003B7FC5"/>
    <w:rsid w:val="003C0711"/>
    <w:rsid w:val="003C1680"/>
    <w:rsid w:val="003C335E"/>
    <w:rsid w:val="003C4B55"/>
    <w:rsid w:val="003C57A0"/>
    <w:rsid w:val="003C6515"/>
    <w:rsid w:val="003C740C"/>
    <w:rsid w:val="003D05D3"/>
    <w:rsid w:val="003D0B0B"/>
    <w:rsid w:val="003D0BE0"/>
    <w:rsid w:val="003D14A3"/>
    <w:rsid w:val="003D16B0"/>
    <w:rsid w:val="003D2346"/>
    <w:rsid w:val="003D34D7"/>
    <w:rsid w:val="003D397C"/>
    <w:rsid w:val="003D4115"/>
    <w:rsid w:val="003D4196"/>
    <w:rsid w:val="003D4777"/>
    <w:rsid w:val="003D5634"/>
    <w:rsid w:val="003D5A2D"/>
    <w:rsid w:val="003D5C59"/>
    <w:rsid w:val="003D5FA8"/>
    <w:rsid w:val="003D6D81"/>
    <w:rsid w:val="003D7AF8"/>
    <w:rsid w:val="003E0035"/>
    <w:rsid w:val="003E05FC"/>
    <w:rsid w:val="003E0CB8"/>
    <w:rsid w:val="003E111B"/>
    <w:rsid w:val="003E1C70"/>
    <w:rsid w:val="003E1EC1"/>
    <w:rsid w:val="003E202C"/>
    <w:rsid w:val="003E45AD"/>
    <w:rsid w:val="003E4819"/>
    <w:rsid w:val="003E5428"/>
    <w:rsid w:val="003E5882"/>
    <w:rsid w:val="003E5B72"/>
    <w:rsid w:val="003E5F51"/>
    <w:rsid w:val="003E6542"/>
    <w:rsid w:val="003E66FB"/>
    <w:rsid w:val="003E73A9"/>
    <w:rsid w:val="003E7CE1"/>
    <w:rsid w:val="003E7E07"/>
    <w:rsid w:val="003F1A32"/>
    <w:rsid w:val="003F1B92"/>
    <w:rsid w:val="003F2AD5"/>
    <w:rsid w:val="003F2E5A"/>
    <w:rsid w:val="003F3BFF"/>
    <w:rsid w:val="003F3D28"/>
    <w:rsid w:val="003F42F5"/>
    <w:rsid w:val="003F5F65"/>
    <w:rsid w:val="003F6228"/>
    <w:rsid w:val="003F63F9"/>
    <w:rsid w:val="003F7959"/>
    <w:rsid w:val="003F7BC4"/>
    <w:rsid w:val="0040063C"/>
    <w:rsid w:val="004021C0"/>
    <w:rsid w:val="00402426"/>
    <w:rsid w:val="0040297A"/>
    <w:rsid w:val="00402F44"/>
    <w:rsid w:val="0040323D"/>
    <w:rsid w:val="0040397C"/>
    <w:rsid w:val="00403D0E"/>
    <w:rsid w:val="00404D34"/>
    <w:rsid w:val="00404E0E"/>
    <w:rsid w:val="00405E70"/>
    <w:rsid w:val="00405FC9"/>
    <w:rsid w:val="00406D61"/>
    <w:rsid w:val="004102C1"/>
    <w:rsid w:val="004108B6"/>
    <w:rsid w:val="00411AC5"/>
    <w:rsid w:val="00411CC4"/>
    <w:rsid w:val="00412330"/>
    <w:rsid w:val="00412EC5"/>
    <w:rsid w:val="00414136"/>
    <w:rsid w:val="00414951"/>
    <w:rsid w:val="00414B0E"/>
    <w:rsid w:val="00415CF2"/>
    <w:rsid w:val="00416108"/>
    <w:rsid w:val="00420B1D"/>
    <w:rsid w:val="00420DD3"/>
    <w:rsid w:val="004218B2"/>
    <w:rsid w:val="00421CF9"/>
    <w:rsid w:val="0042364A"/>
    <w:rsid w:val="0042439D"/>
    <w:rsid w:val="0042443D"/>
    <w:rsid w:val="00424AF6"/>
    <w:rsid w:val="00426159"/>
    <w:rsid w:val="00431D21"/>
    <w:rsid w:val="00432D51"/>
    <w:rsid w:val="00435455"/>
    <w:rsid w:val="004356C6"/>
    <w:rsid w:val="00435C1C"/>
    <w:rsid w:val="004361A6"/>
    <w:rsid w:val="00436487"/>
    <w:rsid w:val="00436A03"/>
    <w:rsid w:val="00436FD0"/>
    <w:rsid w:val="00437C5E"/>
    <w:rsid w:val="0044154D"/>
    <w:rsid w:val="00441671"/>
    <w:rsid w:val="00443240"/>
    <w:rsid w:val="00443892"/>
    <w:rsid w:val="0044487A"/>
    <w:rsid w:val="00446362"/>
    <w:rsid w:val="004468A8"/>
    <w:rsid w:val="00446DC1"/>
    <w:rsid w:val="00447EE0"/>
    <w:rsid w:val="00450481"/>
    <w:rsid w:val="00451515"/>
    <w:rsid w:val="00451534"/>
    <w:rsid w:val="004532B8"/>
    <w:rsid w:val="00453695"/>
    <w:rsid w:val="0045384D"/>
    <w:rsid w:val="0045622B"/>
    <w:rsid w:val="00456B7E"/>
    <w:rsid w:val="0045725D"/>
    <w:rsid w:val="004606F1"/>
    <w:rsid w:val="00460A3D"/>
    <w:rsid w:val="00461B84"/>
    <w:rsid w:val="00462703"/>
    <w:rsid w:val="00462F66"/>
    <w:rsid w:val="004648AA"/>
    <w:rsid w:val="00465286"/>
    <w:rsid w:val="00465F60"/>
    <w:rsid w:val="00466D07"/>
    <w:rsid w:val="00467106"/>
    <w:rsid w:val="00467677"/>
    <w:rsid w:val="004679AC"/>
    <w:rsid w:val="00467EA3"/>
    <w:rsid w:val="00470946"/>
    <w:rsid w:val="004711F1"/>
    <w:rsid w:val="00472E5C"/>
    <w:rsid w:val="004738DD"/>
    <w:rsid w:val="00473C3D"/>
    <w:rsid w:val="0047481F"/>
    <w:rsid w:val="004752F4"/>
    <w:rsid w:val="00475661"/>
    <w:rsid w:val="00475917"/>
    <w:rsid w:val="004759F4"/>
    <w:rsid w:val="00477F3E"/>
    <w:rsid w:val="00480B51"/>
    <w:rsid w:val="00480C72"/>
    <w:rsid w:val="00482F98"/>
    <w:rsid w:val="00483970"/>
    <w:rsid w:val="004846DF"/>
    <w:rsid w:val="00484823"/>
    <w:rsid w:val="004857C7"/>
    <w:rsid w:val="00486117"/>
    <w:rsid w:val="004861F5"/>
    <w:rsid w:val="004879E1"/>
    <w:rsid w:val="00487BCF"/>
    <w:rsid w:val="004901D2"/>
    <w:rsid w:val="00490671"/>
    <w:rsid w:val="004923FE"/>
    <w:rsid w:val="004926DB"/>
    <w:rsid w:val="004927E4"/>
    <w:rsid w:val="00493108"/>
    <w:rsid w:val="00493F2F"/>
    <w:rsid w:val="00493FFA"/>
    <w:rsid w:val="00494361"/>
    <w:rsid w:val="004943F5"/>
    <w:rsid w:val="0049762F"/>
    <w:rsid w:val="00497DC2"/>
    <w:rsid w:val="004A0A27"/>
    <w:rsid w:val="004A1816"/>
    <w:rsid w:val="004A2759"/>
    <w:rsid w:val="004A35A3"/>
    <w:rsid w:val="004A43EF"/>
    <w:rsid w:val="004A5E95"/>
    <w:rsid w:val="004A6635"/>
    <w:rsid w:val="004A6AB0"/>
    <w:rsid w:val="004A7B02"/>
    <w:rsid w:val="004B08BF"/>
    <w:rsid w:val="004B11B0"/>
    <w:rsid w:val="004B15A3"/>
    <w:rsid w:val="004B228B"/>
    <w:rsid w:val="004B3659"/>
    <w:rsid w:val="004B4E9B"/>
    <w:rsid w:val="004B54E6"/>
    <w:rsid w:val="004B73BC"/>
    <w:rsid w:val="004B7CCA"/>
    <w:rsid w:val="004B7D0A"/>
    <w:rsid w:val="004B7D30"/>
    <w:rsid w:val="004C1D1F"/>
    <w:rsid w:val="004C1DB7"/>
    <w:rsid w:val="004C297F"/>
    <w:rsid w:val="004C5575"/>
    <w:rsid w:val="004C5EF2"/>
    <w:rsid w:val="004C68C1"/>
    <w:rsid w:val="004C69B3"/>
    <w:rsid w:val="004C6E85"/>
    <w:rsid w:val="004D0F69"/>
    <w:rsid w:val="004D18D0"/>
    <w:rsid w:val="004D1995"/>
    <w:rsid w:val="004D2B7A"/>
    <w:rsid w:val="004D2F11"/>
    <w:rsid w:val="004D5823"/>
    <w:rsid w:val="004D5A07"/>
    <w:rsid w:val="004D6016"/>
    <w:rsid w:val="004D7C48"/>
    <w:rsid w:val="004D7EF7"/>
    <w:rsid w:val="004E1434"/>
    <w:rsid w:val="004E3332"/>
    <w:rsid w:val="004E6C8B"/>
    <w:rsid w:val="004E6F2E"/>
    <w:rsid w:val="004E7A3B"/>
    <w:rsid w:val="004E7BB7"/>
    <w:rsid w:val="004F0004"/>
    <w:rsid w:val="004F0368"/>
    <w:rsid w:val="004F0523"/>
    <w:rsid w:val="004F2163"/>
    <w:rsid w:val="004F269C"/>
    <w:rsid w:val="004F3DBA"/>
    <w:rsid w:val="004F4294"/>
    <w:rsid w:val="004F49BE"/>
    <w:rsid w:val="004F5904"/>
    <w:rsid w:val="004F5B18"/>
    <w:rsid w:val="004F6FDB"/>
    <w:rsid w:val="004F7A74"/>
    <w:rsid w:val="00500145"/>
    <w:rsid w:val="005003B4"/>
    <w:rsid w:val="005007C0"/>
    <w:rsid w:val="00500CA5"/>
    <w:rsid w:val="005014F4"/>
    <w:rsid w:val="005017C7"/>
    <w:rsid w:val="00501A84"/>
    <w:rsid w:val="00502436"/>
    <w:rsid w:val="00503ED2"/>
    <w:rsid w:val="00504F53"/>
    <w:rsid w:val="00504FA3"/>
    <w:rsid w:val="005052F7"/>
    <w:rsid w:val="005055FC"/>
    <w:rsid w:val="00505952"/>
    <w:rsid w:val="00505BCF"/>
    <w:rsid w:val="0050610B"/>
    <w:rsid w:val="00506FA1"/>
    <w:rsid w:val="005071D2"/>
    <w:rsid w:val="005074E1"/>
    <w:rsid w:val="005079E5"/>
    <w:rsid w:val="00507B0C"/>
    <w:rsid w:val="00507F00"/>
    <w:rsid w:val="00510080"/>
    <w:rsid w:val="005104FD"/>
    <w:rsid w:val="00511773"/>
    <w:rsid w:val="005117BD"/>
    <w:rsid w:val="0051192D"/>
    <w:rsid w:val="00511A29"/>
    <w:rsid w:val="00513530"/>
    <w:rsid w:val="005150E2"/>
    <w:rsid w:val="00516A92"/>
    <w:rsid w:val="005178A5"/>
    <w:rsid w:val="00517D70"/>
    <w:rsid w:val="005250A3"/>
    <w:rsid w:val="005260C2"/>
    <w:rsid w:val="005269A1"/>
    <w:rsid w:val="0052720A"/>
    <w:rsid w:val="00527441"/>
    <w:rsid w:val="00527470"/>
    <w:rsid w:val="005277F0"/>
    <w:rsid w:val="00531077"/>
    <w:rsid w:val="0053223A"/>
    <w:rsid w:val="00535F5E"/>
    <w:rsid w:val="00536C5D"/>
    <w:rsid w:val="00536DCE"/>
    <w:rsid w:val="00537929"/>
    <w:rsid w:val="0053793E"/>
    <w:rsid w:val="005409E2"/>
    <w:rsid w:val="00541441"/>
    <w:rsid w:val="00541C23"/>
    <w:rsid w:val="00542048"/>
    <w:rsid w:val="00542E7D"/>
    <w:rsid w:val="00542ECA"/>
    <w:rsid w:val="00543DEA"/>
    <w:rsid w:val="00544897"/>
    <w:rsid w:val="00545041"/>
    <w:rsid w:val="00545A53"/>
    <w:rsid w:val="00545ED6"/>
    <w:rsid w:val="005462FC"/>
    <w:rsid w:val="00547727"/>
    <w:rsid w:val="00550DAD"/>
    <w:rsid w:val="00551193"/>
    <w:rsid w:val="0055143F"/>
    <w:rsid w:val="005516B4"/>
    <w:rsid w:val="00552D2B"/>
    <w:rsid w:val="00552DF6"/>
    <w:rsid w:val="0055381E"/>
    <w:rsid w:val="00553D15"/>
    <w:rsid w:val="00555191"/>
    <w:rsid w:val="00556565"/>
    <w:rsid w:val="005565B9"/>
    <w:rsid w:val="0055690E"/>
    <w:rsid w:val="005572DD"/>
    <w:rsid w:val="00557663"/>
    <w:rsid w:val="00561028"/>
    <w:rsid w:val="0056247C"/>
    <w:rsid w:val="00563D99"/>
    <w:rsid w:val="005659B8"/>
    <w:rsid w:val="00565C97"/>
    <w:rsid w:val="00565EA7"/>
    <w:rsid w:val="00566FF3"/>
    <w:rsid w:val="005674C1"/>
    <w:rsid w:val="00572304"/>
    <w:rsid w:val="0057279A"/>
    <w:rsid w:val="005733F2"/>
    <w:rsid w:val="0057371E"/>
    <w:rsid w:val="005738D5"/>
    <w:rsid w:val="0057506D"/>
    <w:rsid w:val="00575BB2"/>
    <w:rsid w:val="005765DC"/>
    <w:rsid w:val="00581848"/>
    <w:rsid w:val="0058198F"/>
    <w:rsid w:val="00582DCC"/>
    <w:rsid w:val="005837E1"/>
    <w:rsid w:val="00584687"/>
    <w:rsid w:val="005856CA"/>
    <w:rsid w:val="00585933"/>
    <w:rsid w:val="005861B3"/>
    <w:rsid w:val="00586A42"/>
    <w:rsid w:val="005870C0"/>
    <w:rsid w:val="005871E8"/>
    <w:rsid w:val="00587BB5"/>
    <w:rsid w:val="00590458"/>
    <w:rsid w:val="00591803"/>
    <w:rsid w:val="00591E10"/>
    <w:rsid w:val="00592E39"/>
    <w:rsid w:val="00593444"/>
    <w:rsid w:val="00593A9A"/>
    <w:rsid w:val="0059576F"/>
    <w:rsid w:val="005959D2"/>
    <w:rsid w:val="005967C0"/>
    <w:rsid w:val="00596E9F"/>
    <w:rsid w:val="005A03DF"/>
    <w:rsid w:val="005A0C5E"/>
    <w:rsid w:val="005A0F6F"/>
    <w:rsid w:val="005A1E64"/>
    <w:rsid w:val="005A2042"/>
    <w:rsid w:val="005A2186"/>
    <w:rsid w:val="005A23A1"/>
    <w:rsid w:val="005A3392"/>
    <w:rsid w:val="005A4452"/>
    <w:rsid w:val="005A55DD"/>
    <w:rsid w:val="005A5B72"/>
    <w:rsid w:val="005A6B91"/>
    <w:rsid w:val="005A7C4D"/>
    <w:rsid w:val="005B0CB5"/>
    <w:rsid w:val="005B32FE"/>
    <w:rsid w:val="005B626F"/>
    <w:rsid w:val="005B7A04"/>
    <w:rsid w:val="005B7DAD"/>
    <w:rsid w:val="005B7F53"/>
    <w:rsid w:val="005C008D"/>
    <w:rsid w:val="005C0581"/>
    <w:rsid w:val="005C077B"/>
    <w:rsid w:val="005C09C2"/>
    <w:rsid w:val="005C12C1"/>
    <w:rsid w:val="005C1A61"/>
    <w:rsid w:val="005C1AC3"/>
    <w:rsid w:val="005C27AC"/>
    <w:rsid w:val="005C307E"/>
    <w:rsid w:val="005C4F1F"/>
    <w:rsid w:val="005C50E0"/>
    <w:rsid w:val="005C528E"/>
    <w:rsid w:val="005C535E"/>
    <w:rsid w:val="005C6DAB"/>
    <w:rsid w:val="005C7266"/>
    <w:rsid w:val="005D0C02"/>
    <w:rsid w:val="005D0D77"/>
    <w:rsid w:val="005D3567"/>
    <w:rsid w:val="005D3968"/>
    <w:rsid w:val="005D3A1F"/>
    <w:rsid w:val="005D3DD0"/>
    <w:rsid w:val="005D4062"/>
    <w:rsid w:val="005D567B"/>
    <w:rsid w:val="005D5A3E"/>
    <w:rsid w:val="005D603D"/>
    <w:rsid w:val="005D6F64"/>
    <w:rsid w:val="005D751D"/>
    <w:rsid w:val="005E0CF2"/>
    <w:rsid w:val="005E1298"/>
    <w:rsid w:val="005E2427"/>
    <w:rsid w:val="005E3060"/>
    <w:rsid w:val="005E3931"/>
    <w:rsid w:val="005E492B"/>
    <w:rsid w:val="005E5425"/>
    <w:rsid w:val="005E57C2"/>
    <w:rsid w:val="005E5838"/>
    <w:rsid w:val="005F145E"/>
    <w:rsid w:val="005F1534"/>
    <w:rsid w:val="005F597B"/>
    <w:rsid w:val="005F6807"/>
    <w:rsid w:val="005F74F9"/>
    <w:rsid w:val="00600B73"/>
    <w:rsid w:val="006010AA"/>
    <w:rsid w:val="00601ACC"/>
    <w:rsid w:val="00602DA9"/>
    <w:rsid w:val="00603615"/>
    <w:rsid w:val="00603B97"/>
    <w:rsid w:val="0060439D"/>
    <w:rsid w:val="00604858"/>
    <w:rsid w:val="00605F5A"/>
    <w:rsid w:val="00606240"/>
    <w:rsid w:val="0060659B"/>
    <w:rsid w:val="006073C4"/>
    <w:rsid w:val="006076A2"/>
    <w:rsid w:val="00611874"/>
    <w:rsid w:val="0061388E"/>
    <w:rsid w:val="006138E9"/>
    <w:rsid w:val="0061679E"/>
    <w:rsid w:val="00617C70"/>
    <w:rsid w:val="0062349F"/>
    <w:rsid w:val="00624149"/>
    <w:rsid w:val="006243A9"/>
    <w:rsid w:val="00625CEE"/>
    <w:rsid w:val="0062639C"/>
    <w:rsid w:val="006267F9"/>
    <w:rsid w:val="00627CB6"/>
    <w:rsid w:val="00632BAF"/>
    <w:rsid w:val="006334DF"/>
    <w:rsid w:val="00633890"/>
    <w:rsid w:val="0063463A"/>
    <w:rsid w:val="0063479E"/>
    <w:rsid w:val="0063579A"/>
    <w:rsid w:val="006366BE"/>
    <w:rsid w:val="00636DE9"/>
    <w:rsid w:val="00636E94"/>
    <w:rsid w:val="0063705D"/>
    <w:rsid w:val="00642385"/>
    <w:rsid w:val="00643B1B"/>
    <w:rsid w:val="00644DF9"/>
    <w:rsid w:val="00645140"/>
    <w:rsid w:val="006456F4"/>
    <w:rsid w:val="0064580B"/>
    <w:rsid w:val="0064604B"/>
    <w:rsid w:val="006463AF"/>
    <w:rsid w:val="00646EA0"/>
    <w:rsid w:val="00647A23"/>
    <w:rsid w:val="00650E70"/>
    <w:rsid w:val="006521A6"/>
    <w:rsid w:val="00652880"/>
    <w:rsid w:val="00653A15"/>
    <w:rsid w:val="00653C75"/>
    <w:rsid w:val="006541EF"/>
    <w:rsid w:val="00654AB1"/>
    <w:rsid w:val="00654E1F"/>
    <w:rsid w:val="00654EB7"/>
    <w:rsid w:val="00655305"/>
    <w:rsid w:val="006557D7"/>
    <w:rsid w:val="00656F89"/>
    <w:rsid w:val="0065740D"/>
    <w:rsid w:val="0065741D"/>
    <w:rsid w:val="00657B82"/>
    <w:rsid w:val="00657D12"/>
    <w:rsid w:val="00657D13"/>
    <w:rsid w:val="006604F8"/>
    <w:rsid w:val="006619C2"/>
    <w:rsid w:val="0066413E"/>
    <w:rsid w:val="00665437"/>
    <w:rsid w:val="00665A83"/>
    <w:rsid w:val="00666061"/>
    <w:rsid w:val="0066790B"/>
    <w:rsid w:val="00667EBB"/>
    <w:rsid w:val="0067007F"/>
    <w:rsid w:val="0067060E"/>
    <w:rsid w:val="00670804"/>
    <w:rsid w:val="00670F4A"/>
    <w:rsid w:val="006719F8"/>
    <w:rsid w:val="00672BD9"/>
    <w:rsid w:val="00672CE4"/>
    <w:rsid w:val="00672F12"/>
    <w:rsid w:val="0067305F"/>
    <w:rsid w:val="006731AB"/>
    <w:rsid w:val="006733B0"/>
    <w:rsid w:val="00674379"/>
    <w:rsid w:val="00674813"/>
    <w:rsid w:val="00675070"/>
    <w:rsid w:val="00675AE1"/>
    <w:rsid w:val="006772E5"/>
    <w:rsid w:val="006779C2"/>
    <w:rsid w:val="00680686"/>
    <w:rsid w:val="006824F1"/>
    <w:rsid w:val="00683105"/>
    <w:rsid w:val="00683FB5"/>
    <w:rsid w:val="0068527D"/>
    <w:rsid w:val="006858BC"/>
    <w:rsid w:val="006876C7"/>
    <w:rsid w:val="006878C1"/>
    <w:rsid w:val="00690B16"/>
    <w:rsid w:val="00690CA4"/>
    <w:rsid w:val="00693F41"/>
    <w:rsid w:val="00694BD2"/>
    <w:rsid w:val="00695176"/>
    <w:rsid w:val="006953C2"/>
    <w:rsid w:val="00696143"/>
    <w:rsid w:val="0069787B"/>
    <w:rsid w:val="006A029A"/>
    <w:rsid w:val="006A17E0"/>
    <w:rsid w:val="006A325A"/>
    <w:rsid w:val="006A3CE9"/>
    <w:rsid w:val="006A42F6"/>
    <w:rsid w:val="006A55B4"/>
    <w:rsid w:val="006A7514"/>
    <w:rsid w:val="006B109C"/>
    <w:rsid w:val="006B146E"/>
    <w:rsid w:val="006B1FC0"/>
    <w:rsid w:val="006B2F98"/>
    <w:rsid w:val="006B328C"/>
    <w:rsid w:val="006B3591"/>
    <w:rsid w:val="006B39AC"/>
    <w:rsid w:val="006B4091"/>
    <w:rsid w:val="006B4A5E"/>
    <w:rsid w:val="006B628A"/>
    <w:rsid w:val="006B7349"/>
    <w:rsid w:val="006B7BA3"/>
    <w:rsid w:val="006C2E53"/>
    <w:rsid w:val="006C2E97"/>
    <w:rsid w:val="006C36C7"/>
    <w:rsid w:val="006C3728"/>
    <w:rsid w:val="006C3FAD"/>
    <w:rsid w:val="006C40D3"/>
    <w:rsid w:val="006C5A3C"/>
    <w:rsid w:val="006D0BCC"/>
    <w:rsid w:val="006D0E51"/>
    <w:rsid w:val="006D11E9"/>
    <w:rsid w:val="006D2BD0"/>
    <w:rsid w:val="006D3307"/>
    <w:rsid w:val="006D75F7"/>
    <w:rsid w:val="006D79D0"/>
    <w:rsid w:val="006E01EE"/>
    <w:rsid w:val="006E06C3"/>
    <w:rsid w:val="006E1C6A"/>
    <w:rsid w:val="006E51CB"/>
    <w:rsid w:val="006E583B"/>
    <w:rsid w:val="006E7133"/>
    <w:rsid w:val="006E72B7"/>
    <w:rsid w:val="006E7441"/>
    <w:rsid w:val="006E7E7C"/>
    <w:rsid w:val="006F0A3F"/>
    <w:rsid w:val="006F22F1"/>
    <w:rsid w:val="006F2507"/>
    <w:rsid w:val="006F2F83"/>
    <w:rsid w:val="006F3AC5"/>
    <w:rsid w:val="006F3D94"/>
    <w:rsid w:val="006F4F9F"/>
    <w:rsid w:val="006F7CEF"/>
    <w:rsid w:val="007001FF"/>
    <w:rsid w:val="00700807"/>
    <w:rsid w:val="00700808"/>
    <w:rsid w:val="00700E9B"/>
    <w:rsid w:val="00701170"/>
    <w:rsid w:val="00701374"/>
    <w:rsid w:val="00701DD0"/>
    <w:rsid w:val="007020CB"/>
    <w:rsid w:val="007022C9"/>
    <w:rsid w:val="007071BD"/>
    <w:rsid w:val="00707263"/>
    <w:rsid w:val="007077F6"/>
    <w:rsid w:val="00707F91"/>
    <w:rsid w:val="00712675"/>
    <w:rsid w:val="00712AA7"/>
    <w:rsid w:val="0071326E"/>
    <w:rsid w:val="00713972"/>
    <w:rsid w:val="007156C5"/>
    <w:rsid w:val="00716256"/>
    <w:rsid w:val="007170FC"/>
    <w:rsid w:val="00717237"/>
    <w:rsid w:val="0071755D"/>
    <w:rsid w:val="0072010C"/>
    <w:rsid w:val="00720EEC"/>
    <w:rsid w:val="00720FE8"/>
    <w:rsid w:val="00721108"/>
    <w:rsid w:val="00721274"/>
    <w:rsid w:val="00722959"/>
    <w:rsid w:val="007237AA"/>
    <w:rsid w:val="00723D91"/>
    <w:rsid w:val="0072425D"/>
    <w:rsid w:val="007258D4"/>
    <w:rsid w:val="00726E07"/>
    <w:rsid w:val="00727824"/>
    <w:rsid w:val="0073024E"/>
    <w:rsid w:val="00730709"/>
    <w:rsid w:val="00731115"/>
    <w:rsid w:val="0073339D"/>
    <w:rsid w:val="0073345B"/>
    <w:rsid w:val="00733980"/>
    <w:rsid w:val="00736B3E"/>
    <w:rsid w:val="00736C83"/>
    <w:rsid w:val="00737C66"/>
    <w:rsid w:val="00740136"/>
    <w:rsid w:val="007407AD"/>
    <w:rsid w:val="00741896"/>
    <w:rsid w:val="00741946"/>
    <w:rsid w:val="0074324C"/>
    <w:rsid w:val="00743689"/>
    <w:rsid w:val="00743FA0"/>
    <w:rsid w:val="00744132"/>
    <w:rsid w:val="007443E9"/>
    <w:rsid w:val="00744797"/>
    <w:rsid w:val="0074524A"/>
    <w:rsid w:val="007462AE"/>
    <w:rsid w:val="007464B0"/>
    <w:rsid w:val="00747063"/>
    <w:rsid w:val="007471C3"/>
    <w:rsid w:val="007500A3"/>
    <w:rsid w:val="00750D3F"/>
    <w:rsid w:val="00751313"/>
    <w:rsid w:val="00752BF9"/>
    <w:rsid w:val="0075330F"/>
    <w:rsid w:val="00754289"/>
    <w:rsid w:val="0075479E"/>
    <w:rsid w:val="00754CB0"/>
    <w:rsid w:val="0075584D"/>
    <w:rsid w:val="00755E25"/>
    <w:rsid w:val="007566E7"/>
    <w:rsid w:val="00757A9E"/>
    <w:rsid w:val="00757ABE"/>
    <w:rsid w:val="00760B1C"/>
    <w:rsid w:val="00761DC6"/>
    <w:rsid w:val="00764E24"/>
    <w:rsid w:val="00764FEC"/>
    <w:rsid w:val="007659E6"/>
    <w:rsid w:val="007678EF"/>
    <w:rsid w:val="007703C8"/>
    <w:rsid w:val="0077187D"/>
    <w:rsid w:val="0077510F"/>
    <w:rsid w:val="007771E2"/>
    <w:rsid w:val="0077742E"/>
    <w:rsid w:val="007774CF"/>
    <w:rsid w:val="007807DF"/>
    <w:rsid w:val="00780EDB"/>
    <w:rsid w:val="00781E5D"/>
    <w:rsid w:val="00782833"/>
    <w:rsid w:val="00783FDA"/>
    <w:rsid w:val="00783FF9"/>
    <w:rsid w:val="00784932"/>
    <w:rsid w:val="007868A0"/>
    <w:rsid w:val="0078709E"/>
    <w:rsid w:val="0079051C"/>
    <w:rsid w:val="00790C16"/>
    <w:rsid w:val="00791140"/>
    <w:rsid w:val="00791E4C"/>
    <w:rsid w:val="007929F5"/>
    <w:rsid w:val="00792BDB"/>
    <w:rsid w:val="00792F5C"/>
    <w:rsid w:val="00794549"/>
    <w:rsid w:val="007947EB"/>
    <w:rsid w:val="00794A81"/>
    <w:rsid w:val="007960F1"/>
    <w:rsid w:val="007963BC"/>
    <w:rsid w:val="00797929"/>
    <w:rsid w:val="00797BED"/>
    <w:rsid w:val="007A0304"/>
    <w:rsid w:val="007A03FC"/>
    <w:rsid w:val="007A0C42"/>
    <w:rsid w:val="007A1216"/>
    <w:rsid w:val="007A2CE1"/>
    <w:rsid w:val="007A3861"/>
    <w:rsid w:val="007A48E6"/>
    <w:rsid w:val="007A4B8B"/>
    <w:rsid w:val="007A59CA"/>
    <w:rsid w:val="007A5B1C"/>
    <w:rsid w:val="007A6393"/>
    <w:rsid w:val="007A6850"/>
    <w:rsid w:val="007A7159"/>
    <w:rsid w:val="007A7C19"/>
    <w:rsid w:val="007A7E75"/>
    <w:rsid w:val="007B030B"/>
    <w:rsid w:val="007B0BB4"/>
    <w:rsid w:val="007B162D"/>
    <w:rsid w:val="007B194C"/>
    <w:rsid w:val="007B5446"/>
    <w:rsid w:val="007B64F7"/>
    <w:rsid w:val="007B65F8"/>
    <w:rsid w:val="007B78C1"/>
    <w:rsid w:val="007C243B"/>
    <w:rsid w:val="007C245C"/>
    <w:rsid w:val="007C3129"/>
    <w:rsid w:val="007C4399"/>
    <w:rsid w:val="007C6D70"/>
    <w:rsid w:val="007C7558"/>
    <w:rsid w:val="007D0AC6"/>
    <w:rsid w:val="007D14E4"/>
    <w:rsid w:val="007D1B84"/>
    <w:rsid w:val="007D2B0F"/>
    <w:rsid w:val="007D38B1"/>
    <w:rsid w:val="007D39CB"/>
    <w:rsid w:val="007D6C3A"/>
    <w:rsid w:val="007E06E7"/>
    <w:rsid w:val="007E0979"/>
    <w:rsid w:val="007E0F65"/>
    <w:rsid w:val="007E1A4F"/>
    <w:rsid w:val="007E1B19"/>
    <w:rsid w:val="007E295E"/>
    <w:rsid w:val="007E2ABA"/>
    <w:rsid w:val="007E2DC6"/>
    <w:rsid w:val="007E3104"/>
    <w:rsid w:val="007E4211"/>
    <w:rsid w:val="007E4304"/>
    <w:rsid w:val="007E45A0"/>
    <w:rsid w:val="007E471A"/>
    <w:rsid w:val="007E4952"/>
    <w:rsid w:val="007E4BAD"/>
    <w:rsid w:val="007E583F"/>
    <w:rsid w:val="007E5D62"/>
    <w:rsid w:val="007E6BBA"/>
    <w:rsid w:val="007F0E5C"/>
    <w:rsid w:val="007F1B52"/>
    <w:rsid w:val="007F260F"/>
    <w:rsid w:val="007F37D8"/>
    <w:rsid w:val="007F387D"/>
    <w:rsid w:val="007F38BC"/>
    <w:rsid w:val="007F40E0"/>
    <w:rsid w:val="007F470D"/>
    <w:rsid w:val="007F570A"/>
    <w:rsid w:val="007F79B4"/>
    <w:rsid w:val="00801269"/>
    <w:rsid w:val="0080301F"/>
    <w:rsid w:val="00811151"/>
    <w:rsid w:val="00811995"/>
    <w:rsid w:val="00812275"/>
    <w:rsid w:val="00812AB8"/>
    <w:rsid w:val="00812E3D"/>
    <w:rsid w:val="008140E2"/>
    <w:rsid w:val="0081418E"/>
    <w:rsid w:val="00814223"/>
    <w:rsid w:val="00814F03"/>
    <w:rsid w:val="00815916"/>
    <w:rsid w:val="00816F5D"/>
    <w:rsid w:val="008175E7"/>
    <w:rsid w:val="00817645"/>
    <w:rsid w:val="00817911"/>
    <w:rsid w:val="00820138"/>
    <w:rsid w:val="008201A7"/>
    <w:rsid w:val="00821085"/>
    <w:rsid w:val="00821D51"/>
    <w:rsid w:val="00822941"/>
    <w:rsid w:val="0082297F"/>
    <w:rsid w:val="00824C83"/>
    <w:rsid w:val="008253D8"/>
    <w:rsid w:val="0082674C"/>
    <w:rsid w:val="00826CF1"/>
    <w:rsid w:val="00830C65"/>
    <w:rsid w:val="00831711"/>
    <w:rsid w:val="00832AFE"/>
    <w:rsid w:val="008335A7"/>
    <w:rsid w:val="008337C0"/>
    <w:rsid w:val="00834A33"/>
    <w:rsid w:val="00835299"/>
    <w:rsid w:val="00835E9C"/>
    <w:rsid w:val="00836124"/>
    <w:rsid w:val="008367C7"/>
    <w:rsid w:val="00836F4C"/>
    <w:rsid w:val="00837BCE"/>
    <w:rsid w:val="00837C3A"/>
    <w:rsid w:val="00840DF3"/>
    <w:rsid w:val="00840EEC"/>
    <w:rsid w:val="00842D06"/>
    <w:rsid w:val="008465E3"/>
    <w:rsid w:val="008520B2"/>
    <w:rsid w:val="008521E1"/>
    <w:rsid w:val="008528A7"/>
    <w:rsid w:val="00852917"/>
    <w:rsid w:val="00852BCA"/>
    <w:rsid w:val="008541E2"/>
    <w:rsid w:val="008548D8"/>
    <w:rsid w:val="00854D66"/>
    <w:rsid w:val="008568C7"/>
    <w:rsid w:val="0085717C"/>
    <w:rsid w:val="0085742F"/>
    <w:rsid w:val="00857C8A"/>
    <w:rsid w:val="0086096F"/>
    <w:rsid w:val="00860AAF"/>
    <w:rsid w:val="00860F52"/>
    <w:rsid w:val="00860FB0"/>
    <w:rsid w:val="008616B1"/>
    <w:rsid w:val="00863CE3"/>
    <w:rsid w:val="0086436D"/>
    <w:rsid w:val="00864A30"/>
    <w:rsid w:val="00866600"/>
    <w:rsid w:val="00866A39"/>
    <w:rsid w:val="0087161F"/>
    <w:rsid w:val="0087186D"/>
    <w:rsid w:val="008727E7"/>
    <w:rsid w:val="00872820"/>
    <w:rsid w:val="008739B4"/>
    <w:rsid w:val="00873AA1"/>
    <w:rsid w:val="00873E0A"/>
    <w:rsid w:val="0087555F"/>
    <w:rsid w:val="0087580B"/>
    <w:rsid w:val="00875D3A"/>
    <w:rsid w:val="00876A29"/>
    <w:rsid w:val="00880400"/>
    <w:rsid w:val="00880969"/>
    <w:rsid w:val="00880BB2"/>
    <w:rsid w:val="008820C3"/>
    <w:rsid w:val="00883197"/>
    <w:rsid w:val="00883423"/>
    <w:rsid w:val="0088364C"/>
    <w:rsid w:val="00884B00"/>
    <w:rsid w:val="00884BD1"/>
    <w:rsid w:val="00886183"/>
    <w:rsid w:val="00886AA0"/>
    <w:rsid w:val="008879A9"/>
    <w:rsid w:val="00887AD6"/>
    <w:rsid w:val="008904EB"/>
    <w:rsid w:val="0089166A"/>
    <w:rsid w:val="00892D0D"/>
    <w:rsid w:val="008931A0"/>
    <w:rsid w:val="00893396"/>
    <w:rsid w:val="00893C13"/>
    <w:rsid w:val="00895495"/>
    <w:rsid w:val="00895A61"/>
    <w:rsid w:val="00897AC6"/>
    <w:rsid w:val="00897D09"/>
    <w:rsid w:val="008A0656"/>
    <w:rsid w:val="008A0DF4"/>
    <w:rsid w:val="008A0E97"/>
    <w:rsid w:val="008A0F76"/>
    <w:rsid w:val="008A1071"/>
    <w:rsid w:val="008A1D36"/>
    <w:rsid w:val="008A20A7"/>
    <w:rsid w:val="008A22D9"/>
    <w:rsid w:val="008A26C7"/>
    <w:rsid w:val="008A373B"/>
    <w:rsid w:val="008A42C4"/>
    <w:rsid w:val="008A56B8"/>
    <w:rsid w:val="008A604E"/>
    <w:rsid w:val="008A63FD"/>
    <w:rsid w:val="008A64C0"/>
    <w:rsid w:val="008A66BF"/>
    <w:rsid w:val="008A68EC"/>
    <w:rsid w:val="008A772A"/>
    <w:rsid w:val="008A77AB"/>
    <w:rsid w:val="008B070A"/>
    <w:rsid w:val="008B1329"/>
    <w:rsid w:val="008B1484"/>
    <w:rsid w:val="008B2661"/>
    <w:rsid w:val="008B2EA9"/>
    <w:rsid w:val="008B310E"/>
    <w:rsid w:val="008B34E9"/>
    <w:rsid w:val="008B4005"/>
    <w:rsid w:val="008B4979"/>
    <w:rsid w:val="008B5835"/>
    <w:rsid w:val="008B5EC7"/>
    <w:rsid w:val="008B6845"/>
    <w:rsid w:val="008B7289"/>
    <w:rsid w:val="008B79CE"/>
    <w:rsid w:val="008C08F1"/>
    <w:rsid w:val="008C1043"/>
    <w:rsid w:val="008C1CDC"/>
    <w:rsid w:val="008C24A1"/>
    <w:rsid w:val="008C3800"/>
    <w:rsid w:val="008C4B23"/>
    <w:rsid w:val="008C5260"/>
    <w:rsid w:val="008C5631"/>
    <w:rsid w:val="008C682F"/>
    <w:rsid w:val="008C69C2"/>
    <w:rsid w:val="008C7FB0"/>
    <w:rsid w:val="008D3174"/>
    <w:rsid w:val="008D3235"/>
    <w:rsid w:val="008D3555"/>
    <w:rsid w:val="008D3A6C"/>
    <w:rsid w:val="008D5703"/>
    <w:rsid w:val="008D57E7"/>
    <w:rsid w:val="008D62C8"/>
    <w:rsid w:val="008D6AB8"/>
    <w:rsid w:val="008D6B15"/>
    <w:rsid w:val="008D739E"/>
    <w:rsid w:val="008D7526"/>
    <w:rsid w:val="008D7A6F"/>
    <w:rsid w:val="008D7CA0"/>
    <w:rsid w:val="008E0922"/>
    <w:rsid w:val="008E1B28"/>
    <w:rsid w:val="008E421C"/>
    <w:rsid w:val="008E4B21"/>
    <w:rsid w:val="008E59F6"/>
    <w:rsid w:val="008E617B"/>
    <w:rsid w:val="008E6B1F"/>
    <w:rsid w:val="008E6E21"/>
    <w:rsid w:val="008F0BA2"/>
    <w:rsid w:val="008F0FDC"/>
    <w:rsid w:val="008F113D"/>
    <w:rsid w:val="008F169D"/>
    <w:rsid w:val="008F174D"/>
    <w:rsid w:val="008F1837"/>
    <w:rsid w:val="008F1ECE"/>
    <w:rsid w:val="008F20C3"/>
    <w:rsid w:val="008F4D14"/>
    <w:rsid w:val="008F504B"/>
    <w:rsid w:val="008F652A"/>
    <w:rsid w:val="008F6F25"/>
    <w:rsid w:val="008F7F89"/>
    <w:rsid w:val="009009C5"/>
    <w:rsid w:val="00900A02"/>
    <w:rsid w:val="00901627"/>
    <w:rsid w:val="009022BF"/>
    <w:rsid w:val="00903870"/>
    <w:rsid w:val="00903CF4"/>
    <w:rsid w:val="009046AF"/>
    <w:rsid w:val="0090500B"/>
    <w:rsid w:val="00905D9A"/>
    <w:rsid w:val="009078AA"/>
    <w:rsid w:val="00910426"/>
    <w:rsid w:val="00910789"/>
    <w:rsid w:val="0091226D"/>
    <w:rsid w:val="0091234E"/>
    <w:rsid w:val="00914765"/>
    <w:rsid w:val="00914DCC"/>
    <w:rsid w:val="00915A0D"/>
    <w:rsid w:val="00915CAD"/>
    <w:rsid w:val="00916BC8"/>
    <w:rsid w:val="00917A64"/>
    <w:rsid w:val="0092185C"/>
    <w:rsid w:val="00921B9E"/>
    <w:rsid w:val="00922B35"/>
    <w:rsid w:val="00923699"/>
    <w:rsid w:val="00923840"/>
    <w:rsid w:val="0092398B"/>
    <w:rsid w:val="00925558"/>
    <w:rsid w:val="00930CDB"/>
    <w:rsid w:val="0093190B"/>
    <w:rsid w:val="009324A7"/>
    <w:rsid w:val="0093295F"/>
    <w:rsid w:val="00932A22"/>
    <w:rsid w:val="00933364"/>
    <w:rsid w:val="00933695"/>
    <w:rsid w:val="00933B6C"/>
    <w:rsid w:val="00933B8E"/>
    <w:rsid w:val="0093434D"/>
    <w:rsid w:val="00934578"/>
    <w:rsid w:val="00934E9D"/>
    <w:rsid w:val="0093539F"/>
    <w:rsid w:val="00935756"/>
    <w:rsid w:val="00936652"/>
    <w:rsid w:val="00936975"/>
    <w:rsid w:val="009375F7"/>
    <w:rsid w:val="00937EAE"/>
    <w:rsid w:val="00940F5C"/>
    <w:rsid w:val="0094117A"/>
    <w:rsid w:val="00942C57"/>
    <w:rsid w:val="00943863"/>
    <w:rsid w:val="00944A80"/>
    <w:rsid w:val="00946033"/>
    <w:rsid w:val="009466E4"/>
    <w:rsid w:val="0094745F"/>
    <w:rsid w:val="00950ECE"/>
    <w:rsid w:val="009516B7"/>
    <w:rsid w:val="009519D0"/>
    <w:rsid w:val="00952CCD"/>
    <w:rsid w:val="00952D53"/>
    <w:rsid w:val="0095602A"/>
    <w:rsid w:val="0096044D"/>
    <w:rsid w:val="00961F29"/>
    <w:rsid w:val="00964123"/>
    <w:rsid w:val="00965D33"/>
    <w:rsid w:val="00965E86"/>
    <w:rsid w:val="00967333"/>
    <w:rsid w:val="00967ED9"/>
    <w:rsid w:val="009709A6"/>
    <w:rsid w:val="00972943"/>
    <w:rsid w:val="00973CFA"/>
    <w:rsid w:val="0097479F"/>
    <w:rsid w:val="0097534E"/>
    <w:rsid w:val="009753BF"/>
    <w:rsid w:val="0097753A"/>
    <w:rsid w:val="00980986"/>
    <w:rsid w:val="00983F7B"/>
    <w:rsid w:val="00985350"/>
    <w:rsid w:val="0098535B"/>
    <w:rsid w:val="00985885"/>
    <w:rsid w:val="00985B9E"/>
    <w:rsid w:val="00987E8A"/>
    <w:rsid w:val="00992C4E"/>
    <w:rsid w:val="009932A5"/>
    <w:rsid w:val="009932D6"/>
    <w:rsid w:val="00993697"/>
    <w:rsid w:val="0099630E"/>
    <w:rsid w:val="0099713F"/>
    <w:rsid w:val="0099763B"/>
    <w:rsid w:val="00997E35"/>
    <w:rsid w:val="009A22A8"/>
    <w:rsid w:val="009A2F50"/>
    <w:rsid w:val="009A32A4"/>
    <w:rsid w:val="009A6B0C"/>
    <w:rsid w:val="009A6C53"/>
    <w:rsid w:val="009A6E1B"/>
    <w:rsid w:val="009A7347"/>
    <w:rsid w:val="009A764F"/>
    <w:rsid w:val="009A7791"/>
    <w:rsid w:val="009A7F6A"/>
    <w:rsid w:val="009B2F93"/>
    <w:rsid w:val="009B343D"/>
    <w:rsid w:val="009B3F14"/>
    <w:rsid w:val="009B5E5A"/>
    <w:rsid w:val="009B5EFB"/>
    <w:rsid w:val="009B62D9"/>
    <w:rsid w:val="009B6EFF"/>
    <w:rsid w:val="009B71B9"/>
    <w:rsid w:val="009B78DC"/>
    <w:rsid w:val="009C01F2"/>
    <w:rsid w:val="009C1A2E"/>
    <w:rsid w:val="009C491D"/>
    <w:rsid w:val="009C5376"/>
    <w:rsid w:val="009C5A71"/>
    <w:rsid w:val="009C60CC"/>
    <w:rsid w:val="009C62FD"/>
    <w:rsid w:val="009C6EA5"/>
    <w:rsid w:val="009C7E7C"/>
    <w:rsid w:val="009D1915"/>
    <w:rsid w:val="009D2006"/>
    <w:rsid w:val="009D22F5"/>
    <w:rsid w:val="009D2FDD"/>
    <w:rsid w:val="009D3B60"/>
    <w:rsid w:val="009D4669"/>
    <w:rsid w:val="009D4678"/>
    <w:rsid w:val="009D4A87"/>
    <w:rsid w:val="009D6DBA"/>
    <w:rsid w:val="009D71D1"/>
    <w:rsid w:val="009D7C8F"/>
    <w:rsid w:val="009E1529"/>
    <w:rsid w:val="009E17C0"/>
    <w:rsid w:val="009E3595"/>
    <w:rsid w:val="009E4919"/>
    <w:rsid w:val="009E4E11"/>
    <w:rsid w:val="009E51C7"/>
    <w:rsid w:val="009E7513"/>
    <w:rsid w:val="009F1689"/>
    <w:rsid w:val="009F2556"/>
    <w:rsid w:val="009F4260"/>
    <w:rsid w:val="009F554A"/>
    <w:rsid w:val="009F648A"/>
    <w:rsid w:val="00A00C43"/>
    <w:rsid w:val="00A00CC5"/>
    <w:rsid w:val="00A040B6"/>
    <w:rsid w:val="00A04539"/>
    <w:rsid w:val="00A04D74"/>
    <w:rsid w:val="00A062D0"/>
    <w:rsid w:val="00A06AEC"/>
    <w:rsid w:val="00A075FE"/>
    <w:rsid w:val="00A07604"/>
    <w:rsid w:val="00A11552"/>
    <w:rsid w:val="00A11DA7"/>
    <w:rsid w:val="00A128F0"/>
    <w:rsid w:val="00A12950"/>
    <w:rsid w:val="00A14170"/>
    <w:rsid w:val="00A14AD3"/>
    <w:rsid w:val="00A15023"/>
    <w:rsid w:val="00A20AD2"/>
    <w:rsid w:val="00A20FFC"/>
    <w:rsid w:val="00A21C8C"/>
    <w:rsid w:val="00A2293F"/>
    <w:rsid w:val="00A22A2E"/>
    <w:rsid w:val="00A231CC"/>
    <w:rsid w:val="00A23618"/>
    <w:rsid w:val="00A2379C"/>
    <w:rsid w:val="00A23952"/>
    <w:rsid w:val="00A23A52"/>
    <w:rsid w:val="00A248BD"/>
    <w:rsid w:val="00A25309"/>
    <w:rsid w:val="00A2570A"/>
    <w:rsid w:val="00A25C38"/>
    <w:rsid w:val="00A27049"/>
    <w:rsid w:val="00A300C9"/>
    <w:rsid w:val="00A30F34"/>
    <w:rsid w:val="00A31EC0"/>
    <w:rsid w:val="00A322CC"/>
    <w:rsid w:val="00A333D4"/>
    <w:rsid w:val="00A33BB0"/>
    <w:rsid w:val="00A342A3"/>
    <w:rsid w:val="00A346DD"/>
    <w:rsid w:val="00A34BF7"/>
    <w:rsid w:val="00A34CE2"/>
    <w:rsid w:val="00A3540F"/>
    <w:rsid w:val="00A35E86"/>
    <w:rsid w:val="00A37624"/>
    <w:rsid w:val="00A40174"/>
    <w:rsid w:val="00A410AD"/>
    <w:rsid w:val="00A41E93"/>
    <w:rsid w:val="00A42668"/>
    <w:rsid w:val="00A42F8C"/>
    <w:rsid w:val="00A42F8F"/>
    <w:rsid w:val="00A43434"/>
    <w:rsid w:val="00A4497A"/>
    <w:rsid w:val="00A469AD"/>
    <w:rsid w:val="00A46F42"/>
    <w:rsid w:val="00A53701"/>
    <w:rsid w:val="00A542DB"/>
    <w:rsid w:val="00A565D1"/>
    <w:rsid w:val="00A60543"/>
    <w:rsid w:val="00A60F81"/>
    <w:rsid w:val="00A61D52"/>
    <w:rsid w:val="00A62460"/>
    <w:rsid w:val="00A62487"/>
    <w:rsid w:val="00A627FB"/>
    <w:rsid w:val="00A62E51"/>
    <w:rsid w:val="00A630B8"/>
    <w:rsid w:val="00A64214"/>
    <w:rsid w:val="00A65091"/>
    <w:rsid w:val="00A6556B"/>
    <w:rsid w:val="00A6581B"/>
    <w:rsid w:val="00A6594F"/>
    <w:rsid w:val="00A6670A"/>
    <w:rsid w:val="00A669EF"/>
    <w:rsid w:val="00A66A64"/>
    <w:rsid w:val="00A6705F"/>
    <w:rsid w:val="00A678A5"/>
    <w:rsid w:val="00A67C1A"/>
    <w:rsid w:val="00A67E3E"/>
    <w:rsid w:val="00A70127"/>
    <w:rsid w:val="00A7030D"/>
    <w:rsid w:val="00A7184F"/>
    <w:rsid w:val="00A7380C"/>
    <w:rsid w:val="00A74CF6"/>
    <w:rsid w:val="00A75228"/>
    <w:rsid w:val="00A76895"/>
    <w:rsid w:val="00A76C77"/>
    <w:rsid w:val="00A775E6"/>
    <w:rsid w:val="00A80DC0"/>
    <w:rsid w:val="00A81DFA"/>
    <w:rsid w:val="00A82182"/>
    <w:rsid w:val="00A83448"/>
    <w:rsid w:val="00A83884"/>
    <w:rsid w:val="00A842A4"/>
    <w:rsid w:val="00A843F8"/>
    <w:rsid w:val="00A8498C"/>
    <w:rsid w:val="00A8534C"/>
    <w:rsid w:val="00A859B3"/>
    <w:rsid w:val="00A8612B"/>
    <w:rsid w:val="00A873D3"/>
    <w:rsid w:val="00A874BE"/>
    <w:rsid w:val="00A8795A"/>
    <w:rsid w:val="00A91DE3"/>
    <w:rsid w:val="00A92275"/>
    <w:rsid w:val="00A94932"/>
    <w:rsid w:val="00A94EC1"/>
    <w:rsid w:val="00A9511C"/>
    <w:rsid w:val="00A9638F"/>
    <w:rsid w:val="00A974CB"/>
    <w:rsid w:val="00A97FD7"/>
    <w:rsid w:val="00AA0104"/>
    <w:rsid w:val="00AA0C5C"/>
    <w:rsid w:val="00AA2DEE"/>
    <w:rsid w:val="00AA31BE"/>
    <w:rsid w:val="00AA333B"/>
    <w:rsid w:val="00AA381D"/>
    <w:rsid w:val="00AA44C0"/>
    <w:rsid w:val="00AA484A"/>
    <w:rsid w:val="00AA51CC"/>
    <w:rsid w:val="00AA55E2"/>
    <w:rsid w:val="00AA55F8"/>
    <w:rsid w:val="00AA5651"/>
    <w:rsid w:val="00AA6510"/>
    <w:rsid w:val="00AA7AB9"/>
    <w:rsid w:val="00AA7AFA"/>
    <w:rsid w:val="00AB28A7"/>
    <w:rsid w:val="00AB2921"/>
    <w:rsid w:val="00AB2C10"/>
    <w:rsid w:val="00AB3AFC"/>
    <w:rsid w:val="00AB3C24"/>
    <w:rsid w:val="00AB3DE1"/>
    <w:rsid w:val="00AB4342"/>
    <w:rsid w:val="00AB45FE"/>
    <w:rsid w:val="00AB4BF8"/>
    <w:rsid w:val="00AB5652"/>
    <w:rsid w:val="00AB5E25"/>
    <w:rsid w:val="00AB5F33"/>
    <w:rsid w:val="00AC05C9"/>
    <w:rsid w:val="00AC065F"/>
    <w:rsid w:val="00AC0FB1"/>
    <w:rsid w:val="00AC1666"/>
    <w:rsid w:val="00AC1DC0"/>
    <w:rsid w:val="00AC2D22"/>
    <w:rsid w:val="00AC2E76"/>
    <w:rsid w:val="00AC3A8A"/>
    <w:rsid w:val="00AC55C1"/>
    <w:rsid w:val="00AC64E1"/>
    <w:rsid w:val="00AD034D"/>
    <w:rsid w:val="00AD1480"/>
    <w:rsid w:val="00AD59A2"/>
    <w:rsid w:val="00AD66C0"/>
    <w:rsid w:val="00AE0CEF"/>
    <w:rsid w:val="00AE1EC2"/>
    <w:rsid w:val="00AE22AB"/>
    <w:rsid w:val="00AE27A1"/>
    <w:rsid w:val="00AE27CD"/>
    <w:rsid w:val="00AE3DA0"/>
    <w:rsid w:val="00AE4347"/>
    <w:rsid w:val="00AE458E"/>
    <w:rsid w:val="00AE4672"/>
    <w:rsid w:val="00AE53A9"/>
    <w:rsid w:val="00AE6AC5"/>
    <w:rsid w:val="00AE77A0"/>
    <w:rsid w:val="00AF09FC"/>
    <w:rsid w:val="00AF0B8B"/>
    <w:rsid w:val="00AF1BDD"/>
    <w:rsid w:val="00AF1C0A"/>
    <w:rsid w:val="00AF2B76"/>
    <w:rsid w:val="00AF2DE0"/>
    <w:rsid w:val="00AF4186"/>
    <w:rsid w:val="00AF66F2"/>
    <w:rsid w:val="00B02B41"/>
    <w:rsid w:val="00B03264"/>
    <w:rsid w:val="00B03401"/>
    <w:rsid w:val="00B0443F"/>
    <w:rsid w:val="00B044D9"/>
    <w:rsid w:val="00B04CB5"/>
    <w:rsid w:val="00B0559B"/>
    <w:rsid w:val="00B05A7F"/>
    <w:rsid w:val="00B07F66"/>
    <w:rsid w:val="00B12B52"/>
    <w:rsid w:val="00B12CCE"/>
    <w:rsid w:val="00B14921"/>
    <w:rsid w:val="00B154F9"/>
    <w:rsid w:val="00B15C08"/>
    <w:rsid w:val="00B17364"/>
    <w:rsid w:val="00B17E3F"/>
    <w:rsid w:val="00B201D3"/>
    <w:rsid w:val="00B203BB"/>
    <w:rsid w:val="00B2083D"/>
    <w:rsid w:val="00B208A2"/>
    <w:rsid w:val="00B21920"/>
    <w:rsid w:val="00B21EA6"/>
    <w:rsid w:val="00B24130"/>
    <w:rsid w:val="00B252A3"/>
    <w:rsid w:val="00B254EF"/>
    <w:rsid w:val="00B25523"/>
    <w:rsid w:val="00B2585C"/>
    <w:rsid w:val="00B258F9"/>
    <w:rsid w:val="00B266EA"/>
    <w:rsid w:val="00B270A0"/>
    <w:rsid w:val="00B272AF"/>
    <w:rsid w:val="00B2747E"/>
    <w:rsid w:val="00B27601"/>
    <w:rsid w:val="00B27688"/>
    <w:rsid w:val="00B27898"/>
    <w:rsid w:val="00B3020C"/>
    <w:rsid w:val="00B317A9"/>
    <w:rsid w:val="00B31894"/>
    <w:rsid w:val="00B32662"/>
    <w:rsid w:val="00B3362C"/>
    <w:rsid w:val="00B35033"/>
    <w:rsid w:val="00B35BF8"/>
    <w:rsid w:val="00B36FED"/>
    <w:rsid w:val="00B37B57"/>
    <w:rsid w:val="00B40719"/>
    <w:rsid w:val="00B409D8"/>
    <w:rsid w:val="00B409E7"/>
    <w:rsid w:val="00B41510"/>
    <w:rsid w:val="00B416D4"/>
    <w:rsid w:val="00B42A99"/>
    <w:rsid w:val="00B436E3"/>
    <w:rsid w:val="00B44074"/>
    <w:rsid w:val="00B442E4"/>
    <w:rsid w:val="00B4431B"/>
    <w:rsid w:val="00B466CA"/>
    <w:rsid w:val="00B46A31"/>
    <w:rsid w:val="00B46B91"/>
    <w:rsid w:val="00B46DCA"/>
    <w:rsid w:val="00B50AA8"/>
    <w:rsid w:val="00B50BE0"/>
    <w:rsid w:val="00B50E9A"/>
    <w:rsid w:val="00B519CA"/>
    <w:rsid w:val="00B51D73"/>
    <w:rsid w:val="00B521BB"/>
    <w:rsid w:val="00B52A1C"/>
    <w:rsid w:val="00B54C07"/>
    <w:rsid w:val="00B55F99"/>
    <w:rsid w:val="00B56203"/>
    <w:rsid w:val="00B567A6"/>
    <w:rsid w:val="00B56CBE"/>
    <w:rsid w:val="00B573DD"/>
    <w:rsid w:val="00B62CDB"/>
    <w:rsid w:val="00B62E10"/>
    <w:rsid w:val="00B62EB5"/>
    <w:rsid w:val="00B64533"/>
    <w:rsid w:val="00B65829"/>
    <w:rsid w:val="00B6635B"/>
    <w:rsid w:val="00B66D17"/>
    <w:rsid w:val="00B6728D"/>
    <w:rsid w:val="00B6755F"/>
    <w:rsid w:val="00B70154"/>
    <w:rsid w:val="00B71162"/>
    <w:rsid w:val="00B71EE3"/>
    <w:rsid w:val="00B72815"/>
    <w:rsid w:val="00B72ED4"/>
    <w:rsid w:val="00B73BF7"/>
    <w:rsid w:val="00B75162"/>
    <w:rsid w:val="00B767AA"/>
    <w:rsid w:val="00B76BF8"/>
    <w:rsid w:val="00B76C1A"/>
    <w:rsid w:val="00B76C93"/>
    <w:rsid w:val="00B8009D"/>
    <w:rsid w:val="00B801F6"/>
    <w:rsid w:val="00B80508"/>
    <w:rsid w:val="00B81550"/>
    <w:rsid w:val="00B81977"/>
    <w:rsid w:val="00B81DE5"/>
    <w:rsid w:val="00B82951"/>
    <w:rsid w:val="00B82BA0"/>
    <w:rsid w:val="00B832EF"/>
    <w:rsid w:val="00B8479F"/>
    <w:rsid w:val="00B84802"/>
    <w:rsid w:val="00B84A6E"/>
    <w:rsid w:val="00B84CB2"/>
    <w:rsid w:val="00B8526E"/>
    <w:rsid w:val="00B8692A"/>
    <w:rsid w:val="00B86AC5"/>
    <w:rsid w:val="00B904BF"/>
    <w:rsid w:val="00B90682"/>
    <w:rsid w:val="00B90724"/>
    <w:rsid w:val="00B9176E"/>
    <w:rsid w:val="00B91971"/>
    <w:rsid w:val="00B92686"/>
    <w:rsid w:val="00B93306"/>
    <w:rsid w:val="00B93515"/>
    <w:rsid w:val="00B93CD0"/>
    <w:rsid w:val="00B94368"/>
    <w:rsid w:val="00B94585"/>
    <w:rsid w:val="00B94604"/>
    <w:rsid w:val="00B9657B"/>
    <w:rsid w:val="00B9665B"/>
    <w:rsid w:val="00B97ACE"/>
    <w:rsid w:val="00B97B0E"/>
    <w:rsid w:val="00B97F2E"/>
    <w:rsid w:val="00BA04E1"/>
    <w:rsid w:val="00BA0CF4"/>
    <w:rsid w:val="00BA1733"/>
    <w:rsid w:val="00BA21F2"/>
    <w:rsid w:val="00BA3F40"/>
    <w:rsid w:val="00BA538B"/>
    <w:rsid w:val="00BA5806"/>
    <w:rsid w:val="00BA5A89"/>
    <w:rsid w:val="00BA5DB4"/>
    <w:rsid w:val="00BA632C"/>
    <w:rsid w:val="00BA633D"/>
    <w:rsid w:val="00BA6D86"/>
    <w:rsid w:val="00BA709F"/>
    <w:rsid w:val="00BA70D1"/>
    <w:rsid w:val="00BA7396"/>
    <w:rsid w:val="00BB018A"/>
    <w:rsid w:val="00BB1EA9"/>
    <w:rsid w:val="00BB3C2B"/>
    <w:rsid w:val="00BB5D54"/>
    <w:rsid w:val="00BB5FF0"/>
    <w:rsid w:val="00BB616E"/>
    <w:rsid w:val="00BB65A0"/>
    <w:rsid w:val="00BB741E"/>
    <w:rsid w:val="00BB7830"/>
    <w:rsid w:val="00BB7CB4"/>
    <w:rsid w:val="00BC0F20"/>
    <w:rsid w:val="00BC3972"/>
    <w:rsid w:val="00BC429C"/>
    <w:rsid w:val="00BC434D"/>
    <w:rsid w:val="00BC578B"/>
    <w:rsid w:val="00BC7A90"/>
    <w:rsid w:val="00BD039E"/>
    <w:rsid w:val="00BD08FC"/>
    <w:rsid w:val="00BD1323"/>
    <w:rsid w:val="00BD2271"/>
    <w:rsid w:val="00BD26DE"/>
    <w:rsid w:val="00BD2995"/>
    <w:rsid w:val="00BD2C36"/>
    <w:rsid w:val="00BD430D"/>
    <w:rsid w:val="00BD445B"/>
    <w:rsid w:val="00BD49B0"/>
    <w:rsid w:val="00BD5759"/>
    <w:rsid w:val="00BD5CD4"/>
    <w:rsid w:val="00BD62EE"/>
    <w:rsid w:val="00BD797F"/>
    <w:rsid w:val="00BE10EB"/>
    <w:rsid w:val="00BE1D59"/>
    <w:rsid w:val="00BE331A"/>
    <w:rsid w:val="00BE43AC"/>
    <w:rsid w:val="00BE6841"/>
    <w:rsid w:val="00BE7C2F"/>
    <w:rsid w:val="00BF0233"/>
    <w:rsid w:val="00BF0BBD"/>
    <w:rsid w:val="00BF0D93"/>
    <w:rsid w:val="00BF2611"/>
    <w:rsid w:val="00BF2650"/>
    <w:rsid w:val="00BF3E7D"/>
    <w:rsid w:val="00BF4212"/>
    <w:rsid w:val="00BF4C34"/>
    <w:rsid w:val="00BF51B9"/>
    <w:rsid w:val="00BF650C"/>
    <w:rsid w:val="00BF7CEB"/>
    <w:rsid w:val="00C00D7F"/>
    <w:rsid w:val="00C011D8"/>
    <w:rsid w:val="00C01805"/>
    <w:rsid w:val="00C0280E"/>
    <w:rsid w:val="00C02855"/>
    <w:rsid w:val="00C04A4A"/>
    <w:rsid w:val="00C0572F"/>
    <w:rsid w:val="00C05AD8"/>
    <w:rsid w:val="00C06AB2"/>
    <w:rsid w:val="00C07404"/>
    <w:rsid w:val="00C07B4A"/>
    <w:rsid w:val="00C10739"/>
    <w:rsid w:val="00C11D9A"/>
    <w:rsid w:val="00C12797"/>
    <w:rsid w:val="00C12A19"/>
    <w:rsid w:val="00C12CC8"/>
    <w:rsid w:val="00C12F61"/>
    <w:rsid w:val="00C13347"/>
    <w:rsid w:val="00C144FE"/>
    <w:rsid w:val="00C145F5"/>
    <w:rsid w:val="00C14B86"/>
    <w:rsid w:val="00C15AF5"/>
    <w:rsid w:val="00C15F69"/>
    <w:rsid w:val="00C2255E"/>
    <w:rsid w:val="00C22CD9"/>
    <w:rsid w:val="00C26074"/>
    <w:rsid w:val="00C26846"/>
    <w:rsid w:val="00C26A64"/>
    <w:rsid w:val="00C272BC"/>
    <w:rsid w:val="00C27CD0"/>
    <w:rsid w:val="00C27D31"/>
    <w:rsid w:val="00C30A87"/>
    <w:rsid w:val="00C3151B"/>
    <w:rsid w:val="00C319F3"/>
    <w:rsid w:val="00C32263"/>
    <w:rsid w:val="00C33D5F"/>
    <w:rsid w:val="00C341ED"/>
    <w:rsid w:val="00C342F9"/>
    <w:rsid w:val="00C34308"/>
    <w:rsid w:val="00C353D9"/>
    <w:rsid w:val="00C35D80"/>
    <w:rsid w:val="00C361FD"/>
    <w:rsid w:val="00C36E44"/>
    <w:rsid w:val="00C4060E"/>
    <w:rsid w:val="00C40AA5"/>
    <w:rsid w:val="00C4103B"/>
    <w:rsid w:val="00C42075"/>
    <w:rsid w:val="00C429DD"/>
    <w:rsid w:val="00C441BB"/>
    <w:rsid w:val="00C441C2"/>
    <w:rsid w:val="00C44842"/>
    <w:rsid w:val="00C46D10"/>
    <w:rsid w:val="00C471D4"/>
    <w:rsid w:val="00C4788D"/>
    <w:rsid w:val="00C47F4A"/>
    <w:rsid w:val="00C506B7"/>
    <w:rsid w:val="00C50A86"/>
    <w:rsid w:val="00C510F2"/>
    <w:rsid w:val="00C5111A"/>
    <w:rsid w:val="00C52677"/>
    <w:rsid w:val="00C52679"/>
    <w:rsid w:val="00C534E2"/>
    <w:rsid w:val="00C55C4C"/>
    <w:rsid w:val="00C57290"/>
    <w:rsid w:val="00C6083B"/>
    <w:rsid w:val="00C6222D"/>
    <w:rsid w:val="00C628CF"/>
    <w:rsid w:val="00C64415"/>
    <w:rsid w:val="00C64ECD"/>
    <w:rsid w:val="00C65BCF"/>
    <w:rsid w:val="00C65BDC"/>
    <w:rsid w:val="00C664AE"/>
    <w:rsid w:val="00C66E9B"/>
    <w:rsid w:val="00C6718A"/>
    <w:rsid w:val="00C6724A"/>
    <w:rsid w:val="00C70530"/>
    <w:rsid w:val="00C70A39"/>
    <w:rsid w:val="00C70DE7"/>
    <w:rsid w:val="00C72D7F"/>
    <w:rsid w:val="00C73200"/>
    <w:rsid w:val="00C73B62"/>
    <w:rsid w:val="00C7434C"/>
    <w:rsid w:val="00C74986"/>
    <w:rsid w:val="00C75063"/>
    <w:rsid w:val="00C750A7"/>
    <w:rsid w:val="00C751D1"/>
    <w:rsid w:val="00C757F0"/>
    <w:rsid w:val="00C7673C"/>
    <w:rsid w:val="00C77E3B"/>
    <w:rsid w:val="00C77FCF"/>
    <w:rsid w:val="00C80253"/>
    <w:rsid w:val="00C809D3"/>
    <w:rsid w:val="00C81BF4"/>
    <w:rsid w:val="00C81CF9"/>
    <w:rsid w:val="00C820C9"/>
    <w:rsid w:val="00C8338F"/>
    <w:rsid w:val="00C8358B"/>
    <w:rsid w:val="00C84A2A"/>
    <w:rsid w:val="00C84DA7"/>
    <w:rsid w:val="00C8515B"/>
    <w:rsid w:val="00C8618F"/>
    <w:rsid w:val="00C861F2"/>
    <w:rsid w:val="00C92294"/>
    <w:rsid w:val="00C92378"/>
    <w:rsid w:val="00C92C63"/>
    <w:rsid w:val="00C93B52"/>
    <w:rsid w:val="00C95736"/>
    <w:rsid w:val="00C96DB4"/>
    <w:rsid w:val="00CA036E"/>
    <w:rsid w:val="00CA0D1F"/>
    <w:rsid w:val="00CA192B"/>
    <w:rsid w:val="00CA1C88"/>
    <w:rsid w:val="00CA3361"/>
    <w:rsid w:val="00CA3411"/>
    <w:rsid w:val="00CA37B8"/>
    <w:rsid w:val="00CA3E4F"/>
    <w:rsid w:val="00CA5090"/>
    <w:rsid w:val="00CA6807"/>
    <w:rsid w:val="00CA69F4"/>
    <w:rsid w:val="00CA6ABE"/>
    <w:rsid w:val="00CA727C"/>
    <w:rsid w:val="00CB00B1"/>
    <w:rsid w:val="00CB0ABC"/>
    <w:rsid w:val="00CB0B10"/>
    <w:rsid w:val="00CB10A8"/>
    <w:rsid w:val="00CB13E7"/>
    <w:rsid w:val="00CB1C14"/>
    <w:rsid w:val="00CB3326"/>
    <w:rsid w:val="00CB5BD7"/>
    <w:rsid w:val="00CB5C3B"/>
    <w:rsid w:val="00CB63D1"/>
    <w:rsid w:val="00CB6643"/>
    <w:rsid w:val="00CB67A1"/>
    <w:rsid w:val="00CB71F9"/>
    <w:rsid w:val="00CB7A4C"/>
    <w:rsid w:val="00CC0BA8"/>
    <w:rsid w:val="00CC0E6D"/>
    <w:rsid w:val="00CC2883"/>
    <w:rsid w:val="00CC3B57"/>
    <w:rsid w:val="00CC63FC"/>
    <w:rsid w:val="00CC6753"/>
    <w:rsid w:val="00CC6C4F"/>
    <w:rsid w:val="00CD16E0"/>
    <w:rsid w:val="00CD2665"/>
    <w:rsid w:val="00CD275E"/>
    <w:rsid w:val="00CD350E"/>
    <w:rsid w:val="00CD3ED6"/>
    <w:rsid w:val="00CD436F"/>
    <w:rsid w:val="00CD52F5"/>
    <w:rsid w:val="00CD5B80"/>
    <w:rsid w:val="00CD601E"/>
    <w:rsid w:val="00CE16DB"/>
    <w:rsid w:val="00CE21D5"/>
    <w:rsid w:val="00CE502D"/>
    <w:rsid w:val="00CE55A4"/>
    <w:rsid w:val="00CE62AB"/>
    <w:rsid w:val="00CE6737"/>
    <w:rsid w:val="00CF14DE"/>
    <w:rsid w:val="00CF220A"/>
    <w:rsid w:val="00CF2FF7"/>
    <w:rsid w:val="00CF3194"/>
    <w:rsid w:val="00CF3411"/>
    <w:rsid w:val="00CF366F"/>
    <w:rsid w:val="00CF3F32"/>
    <w:rsid w:val="00CF6196"/>
    <w:rsid w:val="00CF64C6"/>
    <w:rsid w:val="00CF6774"/>
    <w:rsid w:val="00CF6D72"/>
    <w:rsid w:val="00CF766C"/>
    <w:rsid w:val="00CF7E7F"/>
    <w:rsid w:val="00D0039C"/>
    <w:rsid w:val="00D00A13"/>
    <w:rsid w:val="00D0245F"/>
    <w:rsid w:val="00D025B9"/>
    <w:rsid w:val="00D02D23"/>
    <w:rsid w:val="00D02FB8"/>
    <w:rsid w:val="00D06109"/>
    <w:rsid w:val="00D0671F"/>
    <w:rsid w:val="00D07888"/>
    <w:rsid w:val="00D07E30"/>
    <w:rsid w:val="00D11B85"/>
    <w:rsid w:val="00D11E50"/>
    <w:rsid w:val="00D12535"/>
    <w:rsid w:val="00D12659"/>
    <w:rsid w:val="00D126A6"/>
    <w:rsid w:val="00D13252"/>
    <w:rsid w:val="00D15463"/>
    <w:rsid w:val="00D15CD6"/>
    <w:rsid w:val="00D1683D"/>
    <w:rsid w:val="00D172D3"/>
    <w:rsid w:val="00D20CE8"/>
    <w:rsid w:val="00D21061"/>
    <w:rsid w:val="00D2270D"/>
    <w:rsid w:val="00D25335"/>
    <w:rsid w:val="00D260F6"/>
    <w:rsid w:val="00D26699"/>
    <w:rsid w:val="00D27700"/>
    <w:rsid w:val="00D278BA"/>
    <w:rsid w:val="00D27EE9"/>
    <w:rsid w:val="00D27FA1"/>
    <w:rsid w:val="00D303CA"/>
    <w:rsid w:val="00D3123D"/>
    <w:rsid w:val="00D31368"/>
    <w:rsid w:val="00D31C0F"/>
    <w:rsid w:val="00D32EEF"/>
    <w:rsid w:val="00D33FD9"/>
    <w:rsid w:val="00D3598E"/>
    <w:rsid w:val="00D35E09"/>
    <w:rsid w:val="00D36129"/>
    <w:rsid w:val="00D36D85"/>
    <w:rsid w:val="00D37C71"/>
    <w:rsid w:val="00D40802"/>
    <w:rsid w:val="00D41DBE"/>
    <w:rsid w:val="00D425AD"/>
    <w:rsid w:val="00D42884"/>
    <w:rsid w:val="00D43101"/>
    <w:rsid w:val="00D434F4"/>
    <w:rsid w:val="00D4437C"/>
    <w:rsid w:val="00D45837"/>
    <w:rsid w:val="00D458F5"/>
    <w:rsid w:val="00D4615A"/>
    <w:rsid w:val="00D47C74"/>
    <w:rsid w:val="00D506CD"/>
    <w:rsid w:val="00D5177E"/>
    <w:rsid w:val="00D51E9D"/>
    <w:rsid w:val="00D521A3"/>
    <w:rsid w:val="00D5264A"/>
    <w:rsid w:val="00D54062"/>
    <w:rsid w:val="00D5459C"/>
    <w:rsid w:val="00D54EC8"/>
    <w:rsid w:val="00D55ABB"/>
    <w:rsid w:val="00D56520"/>
    <w:rsid w:val="00D56948"/>
    <w:rsid w:val="00D57C53"/>
    <w:rsid w:val="00D603C2"/>
    <w:rsid w:val="00D60E59"/>
    <w:rsid w:val="00D61BDD"/>
    <w:rsid w:val="00D61F7A"/>
    <w:rsid w:val="00D6271E"/>
    <w:rsid w:val="00D64A55"/>
    <w:rsid w:val="00D64A59"/>
    <w:rsid w:val="00D6554E"/>
    <w:rsid w:val="00D6558A"/>
    <w:rsid w:val="00D65E1E"/>
    <w:rsid w:val="00D65F91"/>
    <w:rsid w:val="00D66EF0"/>
    <w:rsid w:val="00D67D2B"/>
    <w:rsid w:val="00D67EFA"/>
    <w:rsid w:val="00D703DC"/>
    <w:rsid w:val="00D707BA"/>
    <w:rsid w:val="00D70F82"/>
    <w:rsid w:val="00D70FA6"/>
    <w:rsid w:val="00D719B9"/>
    <w:rsid w:val="00D72453"/>
    <w:rsid w:val="00D724E5"/>
    <w:rsid w:val="00D72796"/>
    <w:rsid w:val="00D748CC"/>
    <w:rsid w:val="00D74A37"/>
    <w:rsid w:val="00D75BC4"/>
    <w:rsid w:val="00D75E8E"/>
    <w:rsid w:val="00D75EE8"/>
    <w:rsid w:val="00D77857"/>
    <w:rsid w:val="00D8173E"/>
    <w:rsid w:val="00D8239C"/>
    <w:rsid w:val="00D83037"/>
    <w:rsid w:val="00D83409"/>
    <w:rsid w:val="00D83477"/>
    <w:rsid w:val="00D83D12"/>
    <w:rsid w:val="00D84320"/>
    <w:rsid w:val="00D8432D"/>
    <w:rsid w:val="00D8433D"/>
    <w:rsid w:val="00D845EC"/>
    <w:rsid w:val="00D8564E"/>
    <w:rsid w:val="00D871CE"/>
    <w:rsid w:val="00D87C58"/>
    <w:rsid w:val="00D87D04"/>
    <w:rsid w:val="00D90401"/>
    <w:rsid w:val="00D90CC0"/>
    <w:rsid w:val="00D90CFD"/>
    <w:rsid w:val="00D91A8D"/>
    <w:rsid w:val="00D920E3"/>
    <w:rsid w:val="00D926C5"/>
    <w:rsid w:val="00D9395A"/>
    <w:rsid w:val="00D93A9E"/>
    <w:rsid w:val="00D9400C"/>
    <w:rsid w:val="00D9464C"/>
    <w:rsid w:val="00D95851"/>
    <w:rsid w:val="00D9687C"/>
    <w:rsid w:val="00D973E3"/>
    <w:rsid w:val="00D97935"/>
    <w:rsid w:val="00D97CBE"/>
    <w:rsid w:val="00D97E5A"/>
    <w:rsid w:val="00D97FC3"/>
    <w:rsid w:val="00DA1808"/>
    <w:rsid w:val="00DA1D62"/>
    <w:rsid w:val="00DA35BB"/>
    <w:rsid w:val="00DA4D07"/>
    <w:rsid w:val="00DA6141"/>
    <w:rsid w:val="00DA6180"/>
    <w:rsid w:val="00DB0A01"/>
    <w:rsid w:val="00DB15CD"/>
    <w:rsid w:val="00DB2415"/>
    <w:rsid w:val="00DB27A0"/>
    <w:rsid w:val="00DB4FAB"/>
    <w:rsid w:val="00DB586D"/>
    <w:rsid w:val="00DB7D44"/>
    <w:rsid w:val="00DB7FC5"/>
    <w:rsid w:val="00DC054E"/>
    <w:rsid w:val="00DC0E10"/>
    <w:rsid w:val="00DC150C"/>
    <w:rsid w:val="00DC1594"/>
    <w:rsid w:val="00DC178F"/>
    <w:rsid w:val="00DC28D7"/>
    <w:rsid w:val="00DC2978"/>
    <w:rsid w:val="00DC2979"/>
    <w:rsid w:val="00DC304F"/>
    <w:rsid w:val="00DC46C7"/>
    <w:rsid w:val="00DC5E87"/>
    <w:rsid w:val="00DC619B"/>
    <w:rsid w:val="00DC67BF"/>
    <w:rsid w:val="00DC7E6B"/>
    <w:rsid w:val="00DD138E"/>
    <w:rsid w:val="00DD1A6E"/>
    <w:rsid w:val="00DD1A88"/>
    <w:rsid w:val="00DD1F2D"/>
    <w:rsid w:val="00DD2E7A"/>
    <w:rsid w:val="00DD3A99"/>
    <w:rsid w:val="00DD4C01"/>
    <w:rsid w:val="00DD65BD"/>
    <w:rsid w:val="00DD6B65"/>
    <w:rsid w:val="00DD7FBA"/>
    <w:rsid w:val="00DE27EE"/>
    <w:rsid w:val="00DE2860"/>
    <w:rsid w:val="00DE3914"/>
    <w:rsid w:val="00DE3C7D"/>
    <w:rsid w:val="00DE43FF"/>
    <w:rsid w:val="00DE4671"/>
    <w:rsid w:val="00DE4D38"/>
    <w:rsid w:val="00DE5946"/>
    <w:rsid w:val="00DE6306"/>
    <w:rsid w:val="00DF006A"/>
    <w:rsid w:val="00DF0867"/>
    <w:rsid w:val="00DF11A5"/>
    <w:rsid w:val="00DF1739"/>
    <w:rsid w:val="00DF1946"/>
    <w:rsid w:val="00DF2A4B"/>
    <w:rsid w:val="00DF4076"/>
    <w:rsid w:val="00DF5CC1"/>
    <w:rsid w:val="00DF6646"/>
    <w:rsid w:val="00DF7142"/>
    <w:rsid w:val="00E00B83"/>
    <w:rsid w:val="00E01B80"/>
    <w:rsid w:val="00E031C3"/>
    <w:rsid w:val="00E047F9"/>
    <w:rsid w:val="00E056A2"/>
    <w:rsid w:val="00E072BF"/>
    <w:rsid w:val="00E12742"/>
    <w:rsid w:val="00E15B48"/>
    <w:rsid w:val="00E1653A"/>
    <w:rsid w:val="00E16D9C"/>
    <w:rsid w:val="00E170E6"/>
    <w:rsid w:val="00E2084F"/>
    <w:rsid w:val="00E218DA"/>
    <w:rsid w:val="00E230D0"/>
    <w:rsid w:val="00E2413E"/>
    <w:rsid w:val="00E241B2"/>
    <w:rsid w:val="00E254FE"/>
    <w:rsid w:val="00E26132"/>
    <w:rsid w:val="00E26BE4"/>
    <w:rsid w:val="00E27DF0"/>
    <w:rsid w:val="00E306B7"/>
    <w:rsid w:val="00E3218D"/>
    <w:rsid w:val="00E329DC"/>
    <w:rsid w:val="00E32E4B"/>
    <w:rsid w:val="00E33254"/>
    <w:rsid w:val="00E332CB"/>
    <w:rsid w:val="00E34A21"/>
    <w:rsid w:val="00E34B50"/>
    <w:rsid w:val="00E34DBF"/>
    <w:rsid w:val="00E350AB"/>
    <w:rsid w:val="00E3540B"/>
    <w:rsid w:val="00E36A07"/>
    <w:rsid w:val="00E37BBF"/>
    <w:rsid w:val="00E37F36"/>
    <w:rsid w:val="00E40561"/>
    <w:rsid w:val="00E414AA"/>
    <w:rsid w:val="00E42041"/>
    <w:rsid w:val="00E42B48"/>
    <w:rsid w:val="00E42E29"/>
    <w:rsid w:val="00E42EC2"/>
    <w:rsid w:val="00E43374"/>
    <w:rsid w:val="00E43EC4"/>
    <w:rsid w:val="00E45350"/>
    <w:rsid w:val="00E456E5"/>
    <w:rsid w:val="00E471FD"/>
    <w:rsid w:val="00E47406"/>
    <w:rsid w:val="00E47C1F"/>
    <w:rsid w:val="00E51763"/>
    <w:rsid w:val="00E531AD"/>
    <w:rsid w:val="00E537AA"/>
    <w:rsid w:val="00E54007"/>
    <w:rsid w:val="00E54CA3"/>
    <w:rsid w:val="00E54D80"/>
    <w:rsid w:val="00E56E92"/>
    <w:rsid w:val="00E6072C"/>
    <w:rsid w:val="00E60D4A"/>
    <w:rsid w:val="00E62F2D"/>
    <w:rsid w:val="00E635CA"/>
    <w:rsid w:val="00E63B84"/>
    <w:rsid w:val="00E651CE"/>
    <w:rsid w:val="00E65DB3"/>
    <w:rsid w:val="00E666C3"/>
    <w:rsid w:val="00E667A6"/>
    <w:rsid w:val="00E67BF4"/>
    <w:rsid w:val="00E70AAA"/>
    <w:rsid w:val="00E71316"/>
    <w:rsid w:val="00E72668"/>
    <w:rsid w:val="00E730DA"/>
    <w:rsid w:val="00E736AA"/>
    <w:rsid w:val="00E757A9"/>
    <w:rsid w:val="00E76E1F"/>
    <w:rsid w:val="00E76FEC"/>
    <w:rsid w:val="00E771AB"/>
    <w:rsid w:val="00E81A8B"/>
    <w:rsid w:val="00E829AC"/>
    <w:rsid w:val="00E82DEB"/>
    <w:rsid w:val="00E82E0A"/>
    <w:rsid w:val="00E860C2"/>
    <w:rsid w:val="00E873FD"/>
    <w:rsid w:val="00E901ED"/>
    <w:rsid w:val="00E91ED4"/>
    <w:rsid w:val="00E92760"/>
    <w:rsid w:val="00E92949"/>
    <w:rsid w:val="00E93ACC"/>
    <w:rsid w:val="00E945D5"/>
    <w:rsid w:val="00E945E6"/>
    <w:rsid w:val="00E94AE7"/>
    <w:rsid w:val="00E95085"/>
    <w:rsid w:val="00E95446"/>
    <w:rsid w:val="00E95958"/>
    <w:rsid w:val="00E95F5B"/>
    <w:rsid w:val="00E96E33"/>
    <w:rsid w:val="00E97024"/>
    <w:rsid w:val="00EA1597"/>
    <w:rsid w:val="00EA2007"/>
    <w:rsid w:val="00EA4170"/>
    <w:rsid w:val="00EA468B"/>
    <w:rsid w:val="00EA514F"/>
    <w:rsid w:val="00EA5398"/>
    <w:rsid w:val="00EA5E04"/>
    <w:rsid w:val="00EA6BF4"/>
    <w:rsid w:val="00EA6D82"/>
    <w:rsid w:val="00EA79CD"/>
    <w:rsid w:val="00EB1E07"/>
    <w:rsid w:val="00EB1E71"/>
    <w:rsid w:val="00EB1F07"/>
    <w:rsid w:val="00EB2146"/>
    <w:rsid w:val="00EB267E"/>
    <w:rsid w:val="00EB5383"/>
    <w:rsid w:val="00EB5F24"/>
    <w:rsid w:val="00EB61B4"/>
    <w:rsid w:val="00EB68BD"/>
    <w:rsid w:val="00EB74F1"/>
    <w:rsid w:val="00EB75FD"/>
    <w:rsid w:val="00EC01D7"/>
    <w:rsid w:val="00EC077C"/>
    <w:rsid w:val="00EC082E"/>
    <w:rsid w:val="00EC0B59"/>
    <w:rsid w:val="00EC1784"/>
    <w:rsid w:val="00EC2AF0"/>
    <w:rsid w:val="00EC3545"/>
    <w:rsid w:val="00EC3844"/>
    <w:rsid w:val="00EC4DC2"/>
    <w:rsid w:val="00EC738C"/>
    <w:rsid w:val="00ED06E0"/>
    <w:rsid w:val="00ED2E14"/>
    <w:rsid w:val="00ED5322"/>
    <w:rsid w:val="00ED56A4"/>
    <w:rsid w:val="00ED57F9"/>
    <w:rsid w:val="00ED5C08"/>
    <w:rsid w:val="00ED7704"/>
    <w:rsid w:val="00ED7B52"/>
    <w:rsid w:val="00EE0836"/>
    <w:rsid w:val="00EE12CF"/>
    <w:rsid w:val="00EE1E02"/>
    <w:rsid w:val="00EE1E08"/>
    <w:rsid w:val="00EE3BC4"/>
    <w:rsid w:val="00EE46FA"/>
    <w:rsid w:val="00EE4B10"/>
    <w:rsid w:val="00EE5644"/>
    <w:rsid w:val="00EE57F6"/>
    <w:rsid w:val="00EE5FD5"/>
    <w:rsid w:val="00EE643D"/>
    <w:rsid w:val="00EE64B2"/>
    <w:rsid w:val="00EF05CD"/>
    <w:rsid w:val="00EF183C"/>
    <w:rsid w:val="00EF32CC"/>
    <w:rsid w:val="00EF40AD"/>
    <w:rsid w:val="00EF4B85"/>
    <w:rsid w:val="00EF6AE5"/>
    <w:rsid w:val="00EF7ABF"/>
    <w:rsid w:val="00EF7CD9"/>
    <w:rsid w:val="00F049AB"/>
    <w:rsid w:val="00F05254"/>
    <w:rsid w:val="00F064B9"/>
    <w:rsid w:val="00F101B6"/>
    <w:rsid w:val="00F10261"/>
    <w:rsid w:val="00F1093F"/>
    <w:rsid w:val="00F10D68"/>
    <w:rsid w:val="00F1122E"/>
    <w:rsid w:val="00F11B20"/>
    <w:rsid w:val="00F11BC2"/>
    <w:rsid w:val="00F1260E"/>
    <w:rsid w:val="00F1275A"/>
    <w:rsid w:val="00F12A2F"/>
    <w:rsid w:val="00F12C31"/>
    <w:rsid w:val="00F1311A"/>
    <w:rsid w:val="00F131F4"/>
    <w:rsid w:val="00F1484D"/>
    <w:rsid w:val="00F15BD9"/>
    <w:rsid w:val="00F15D92"/>
    <w:rsid w:val="00F16010"/>
    <w:rsid w:val="00F16E82"/>
    <w:rsid w:val="00F177FC"/>
    <w:rsid w:val="00F178E6"/>
    <w:rsid w:val="00F1792D"/>
    <w:rsid w:val="00F17D52"/>
    <w:rsid w:val="00F2048E"/>
    <w:rsid w:val="00F204A8"/>
    <w:rsid w:val="00F20FCC"/>
    <w:rsid w:val="00F22066"/>
    <w:rsid w:val="00F2247A"/>
    <w:rsid w:val="00F23A5E"/>
    <w:rsid w:val="00F24715"/>
    <w:rsid w:val="00F25747"/>
    <w:rsid w:val="00F2712E"/>
    <w:rsid w:val="00F27207"/>
    <w:rsid w:val="00F27AF1"/>
    <w:rsid w:val="00F27E12"/>
    <w:rsid w:val="00F27F52"/>
    <w:rsid w:val="00F33944"/>
    <w:rsid w:val="00F341AB"/>
    <w:rsid w:val="00F34E00"/>
    <w:rsid w:val="00F362AD"/>
    <w:rsid w:val="00F3648A"/>
    <w:rsid w:val="00F36978"/>
    <w:rsid w:val="00F36B1C"/>
    <w:rsid w:val="00F3722F"/>
    <w:rsid w:val="00F37447"/>
    <w:rsid w:val="00F3769F"/>
    <w:rsid w:val="00F379FF"/>
    <w:rsid w:val="00F37C3D"/>
    <w:rsid w:val="00F41559"/>
    <w:rsid w:val="00F4261B"/>
    <w:rsid w:val="00F43B92"/>
    <w:rsid w:val="00F43C59"/>
    <w:rsid w:val="00F456D6"/>
    <w:rsid w:val="00F46670"/>
    <w:rsid w:val="00F46A45"/>
    <w:rsid w:val="00F47265"/>
    <w:rsid w:val="00F47E88"/>
    <w:rsid w:val="00F51953"/>
    <w:rsid w:val="00F520FA"/>
    <w:rsid w:val="00F525AF"/>
    <w:rsid w:val="00F545A4"/>
    <w:rsid w:val="00F57249"/>
    <w:rsid w:val="00F57B9C"/>
    <w:rsid w:val="00F60002"/>
    <w:rsid w:val="00F60347"/>
    <w:rsid w:val="00F60C9A"/>
    <w:rsid w:val="00F616BE"/>
    <w:rsid w:val="00F61BB8"/>
    <w:rsid w:val="00F620B0"/>
    <w:rsid w:val="00F62815"/>
    <w:rsid w:val="00F630AC"/>
    <w:rsid w:val="00F642BF"/>
    <w:rsid w:val="00F66267"/>
    <w:rsid w:val="00F66B94"/>
    <w:rsid w:val="00F66F1C"/>
    <w:rsid w:val="00F66FFD"/>
    <w:rsid w:val="00F673FD"/>
    <w:rsid w:val="00F67509"/>
    <w:rsid w:val="00F679DC"/>
    <w:rsid w:val="00F71B14"/>
    <w:rsid w:val="00F72021"/>
    <w:rsid w:val="00F72DD0"/>
    <w:rsid w:val="00F73F15"/>
    <w:rsid w:val="00F75919"/>
    <w:rsid w:val="00F7632B"/>
    <w:rsid w:val="00F763DA"/>
    <w:rsid w:val="00F80583"/>
    <w:rsid w:val="00F80D17"/>
    <w:rsid w:val="00F8334E"/>
    <w:rsid w:val="00F868DE"/>
    <w:rsid w:val="00F873A3"/>
    <w:rsid w:val="00F8785A"/>
    <w:rsid w:val="00F91903"/>
    <w:rsid w:val="00F9296F"/>
    <w:rsid w:val="00F93F70"/>
    <w:rsid w:val="00F95099"/>
    <w:rsid w:val="00F955B6"/>
    <w:rsid w:val="00F9620E"/>
    <w:rsid w:val="00F96E2B"/>
    <w:rsid w:val="00F974F3"/>
    <w:rsid w:val="00FA13A4"/>
    <w:rsid w:val="00FA29CC"/>
    <w:rsid w:val="00FA3093"/>
    <w:rsid w:val="00FA463D"/>
    <w:rsid w:val="00FA6829"/>
    <w:rsid w:val="00FA719D"/>
    <w:rsid w:val="00FA7AE5"/>
    <w:rsid w:val="00FB14B8"/>
    <w:rsid w:val="00FB19C1"/>
    <w:rsid w:val="00FB1C79"/>
    <w:rsid w:val="00FB1CD2"/>
    <w:rsid w:val="00FB1DB7"/>
    <w:rsid w:val="00FB2051"/>
    <w:rsid w:val="00FB2693"/>
    <w:rsid w:val="00FB3840"/>
    <w:rsid w:val="00FB3971"/>
    <w:rsid w:val="00FB3E26"/>
    <w:rsid w:val="00FB460C"/>
    <w:rsid w:val="00FB4679"/>
    <w:rsid w:val="00FB5211"/>
    <w:rsid w:val="00FB5A25"/>
    <w:rsid w:val="00FB60B6"/>
    <w:rsid w:val="00FB6131"/>
    <w:rsid w:val="00FC060A"/>
    <w:rsid w:val="00FC2A4B"/>
    <w:rsid w:val="00FC2B0F"/>
    <w:rsid w:val="00FC2BE1"/>
    <w:rsid w:val="00FC39F9"/>
    <w:rsid w:val="00FC449B"/>
    <w:rsid w:val="00FC4B90"/>
    <w:rsid w:val="00FC5657"/>
    <w:rsid w:val="00FC5B77"/>
    <w:rsid w:val="00FC750D"/>
    <w:rsid w:val="00FC795A"/>
    <w:rsid w:val="00FD209A"/>
    <w:rsid w:val="00FD215A"/>
    <w:rsid w:val="00FD2B20"/>
    <w:rsid w:val="00FD4B5E"/>
    <w:rsid w:val="00FD602B"/>
    <w:rsid w:val="00FD65A1"/>
    <w:rsid w:val="00FD79BB"/>
    <w:rsid w:val="00FD7FE0"/>
    <w:rsid w:val="00FE1798"/>
    <w:rsid w:val="00FE218A"/>
    <w:rsid w:val="00FE2346"/>
    <w:rsid w:val="00FE2401"/>
    <w:rsid w:val="00FE2DFF"/>
    <w:rsid w:val="00FE37D7"/>
    <w:rsid w:val="00FE4457"/>
    <w:rsid w:val="00FE46D9"/>
    <w:rsid w:val="00FE5535"/>
    <w:rsid w:val="00FE5B2F"/>
    <w:rsid w:val="00FE60BF"/>
    <w:rsid w:val="00FE6EFC"/>
    <w:rsid w:val="00FE780F"/>
    <w:rsid w:val="00FE7ED4"/>
    <w:rsid w:val="00FF002E"/>
    <w:rsid w:val="00FF140B"/>
    <w:rsid w:val="00FF1596"/>
    <w:rsid w:val="00FF3CCF"/>
    <w:rsid w:val="00FF3F10"/>
    <w:rsid w:val="00FF454E"/>
    <w:rsid w:val="00FF4D91"/>
    <w:rsid w:val="00FF4FAB"/>
    <w:rsid w:val="00FF57FE"/>
    <w:rsid w:val="00FF653C"/>
    <w:rsid w:val="00FF6BB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DCECB"/>
  <w15:docId w15:val="{C4246477-C927-4890-8E89-94E59C91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43"/>
    <w:pPr>
      <w:adjustRightInd w:val="0"/>
      <w:spacing w:before="120" w:after="0"/>
      <w:ind w:firstLine="567"/>
      <w:jc w:val="both"/>
    </w:pPr>
    <w:rPr>
      <w:rFonts w:ascii="Arial" w:hAnsi="Arial" w:cs="Arial"/>
      <w:lang w:val="en-GB" w:eastAsia="it-IT"/>
    </w:rPr>
  </w:style>
  <w:style w:type="paragraph" w:styleId="Heading1">
    <w:name w:val="heading 1"/>
    <w:basedOn w:val="Normal"/>
    <w:next w:val="Normal"/>
    <w:link w:val="Heading1Char"/>
    <w:uiPriority w:val="9"/>
    <w:qFormat/>
    <w:rsid w:val="00C84A2A"/>
    <w:pPr>
      <w:keepNext/>
      <w:pageBreakBefore/>
      <w:spacing w:after="600"/>
      <w:ind w:firstLine="0"/>
      <w:jc w:val="center"/>
      <w:outlineLvl w:val="0"/>
    </w:pPr>
    <w:rPr>
      <w:b/>
      <w:sz w:val="32"/>
      <w:szCs w:val="32"/>
    </w:rPr>
  </w:style>
  <w:style w:type="paragraph" w:styleId="Heading2">
    <w:name w:val="heading 2"/>
    <w:basedOn w:val="Normal"/>
    <w:next w:val="testobase"/>
    <w:link w:val="Heading2Char"/>
    <w:uiPriority w:val="9"/>
    <w:unhideWhenUsed/>
    <w:qFormat/>
    <w:rsid w:val="005837E1"/>
    <w:pPr>
      <w:keepNext/>
      <w:spacing w:before="480" w:after="240"/>
      <w:ind w:firstLine="0"/>
      <w:outlineLvl w:val="1"/>
    </w:pPr>
    <w:rPr>
      <w:b/>
      <w:sz w:val="24"/>
      <w:szCs w:val="24"/>
    </w:rPr>
  </w:style>
  <w:style w:type="paragraph" w:styleId="Heading3">
    <w:name w:val="heading 3"/>
    <w:basedOn w:val="Heading2"/>
    <w:next w:val="Normal"/>
    <w:link w:val="Heading3Char"/>
    <w:uiPriority w:val="9"/>
    <w:unhideWhenUsed/>
    <w:qFormat/>
    <w:rsid w:val="002B6766"/>
    <w:pPr>
      <w:outlineLvl w:val="2"/>
    </w:pPr>
    <w:rPr>
      <w:i/>
    </w:rPr>
  </w:style>
  <w:style w:type="paragraph" w:styleId="Heading4">
    <w:name w:val="heading 4"/>
    <w:basedOn w:val="Normal"/>
    <w:next w:val="Normal"/>
    <w:link w:val="Heading4Char"/>
    <w:uiPriority w:val="9"/>
    <w:unhideWhenUsed/>
    <w:qFormat/>
    <w:rsid w:val="002B67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A2A"/>
    <w:rPr>
      <w:rFonts w:ascii="Arial" w:hAnsi="Arial" w:cs="Arial"/>
      <w:b/>
      <w:sz w:val="32"/>
      <w:szCs w:val="32"/>
      <w:lang w:val="en-GB" w:eastAsia="it-IT"/>
    </w:rPr>
  </w:style>
  <w:style w:type="paragraph" w:customStyle="1" w:styleId="testobase">
    <w:name w:val="testo base"/>
    <w:basedOn w:val="ListParagraph"/>
    <w:link w:val="testobaseCarattere"/>
    <w:qFormat/>
    <w:rsid w:val="00B4431B"/>
    <w:pPr>
      <w:numPr>
        <w:numId w:val="1"/>
      </w:numPr>
      <w:spacing w:before="60" w:after="240" w:line="319" w:lineRule="auto"/>
      <w:ind w:left="426"/>
    </w:pPr>
  </w:style>
  <w:style w:type="paragraph" w:styleId="ListParagraph">
    <w:name w:val="List Paragraph"/>
    <w:basedOn w:val="Normal"/>
    <w:link w:val="ListParagraphChar"/>
    <w:uiPriority w:val="34"/>
    <w:qFormat/>
    <w:rsid w:val="000B57AC"/>
    <w:pPr>
      <w:numPr>
        <w:numId w:val="7"/>
      </w:numPr>
      <w:spacing w:before="0" w:line="240" w:lineRule="auto"/>
      <w:ind w:left="1134" w:hanging="283"/>
    </w:pPr>
  </w:style>
  <w:style w:type="character" w:customStyle="1" w:styleId="ListParagraphChar">
    <w:name w:val="List Paragraph Char"/>
    <w:basedOn w:val="DefaultParagraphFont"/>
    <w:link w:val="ListParagraph"/>
    <w:uiPriority w:val="34"/>
    <w:rsid w:val="000B57AC"/>
    <w:rPr>
      <w:rFonts w:ascii="Arial" w:hAnsi="Arial" w:cs="Arial"/>
      <w:lang w:val="en-GB" w:eastAsia="it-IT"/>
    </w:rPr>
  </w:style>
  <w:style w:type="character" w:customStyle="1" w:styleId="testobaseCarattere">
    <w:name w:val="testo base Carattere"/>
    <w:basedOn w:val="ListParagraphChar"/>
    <w:link w:val="testobase"/>
    <w:rsid w:val="00B4431B"/>
    <w:rPr>
      <w:rFonts w:ascii="Arial" w:hAnsi="Arial" w:cs="Arial"/>
      <w:lang w:val="en-GB" w:eastAsia="it-IT"/>
    </w:rPr>
  </w:style>
  <w:style w:type="character" w:customStyle="1" w:styleId="Heading2Char">
    <w:name w:val="Heading 2 Char"/>
    <w:basedOn w:val="DefaultParagraphFont"/>
    <w:link w:val="Heading2"/>
    <w:uiPriority w:val="9"/>
    <w:rsid w:val="005837E1"/>
    <w:rPr>
      <w:rFonts w:ascii="Arial" w:hAnsi="Arial" w:cs="Arial"/>
      <w:b/>
      <w:sz w:val="24"/>
      <w:szCs w:val="24"/>
      <w:lang w:val="en-GB" w:eastAsia="it-IT"/>
    </w:rPr>
  </w:style>
  <w:style w:type="character" w:customStyle="1" w:styleId="Heading3Char">
    <w:name w:val="Heading 3 Char"/>
    <w:basedOn w:val="DefaultParagraphFont"/>
    <w:link w:val="Heading3"/>
    <w:uiPriority w:val="9"/>
    <w:rsid w:val="002B6766"/>
    <w:rPr>
      <w:rFonts w:ascii="Arial" w:hAnsi="Arial" w:cs="Arial"/>
      <w:b/>
      <w:i/>
      <w:sz w:val="24"/>
      <w:szCs w:val="24"/>
      <w:lang w:val="en-GB" w:eastAsia="it-IT"/>
    </w:rPr>
  </w:style>
  <w:style w:type="character" w:customStyle="1" w:styleId="Heading4Char">
    <w:name w:val="Heading 4 Char"/>
    <w:basedOn w:val="DefaultParagraphFont"/>
    <w:link w:val="Heading4"/>
    <w:uiPriority w:val="9"/>
    <w:rsid w:val="002B6766"/>
    <w:rPr>
      <w:rFonts w:asciiTheme="majorHAnsi" w:eastAsiaTheme="majorEastAsia" w:hAnsiTheme="majorHAnsi" w:cstheme="majorBidi"/>
      <w:i/>
      <w:iCs/>
      <w:color w:val="365F91" w:themeColor="accent1" w:themeShade="BF"/>
      <w:lang w:val="en-GB" w:eastAsia="it-IT"/>
    </w:rPr>
  </w:style>
  <w:style w:type="paragraph" w:styleId="BalloonText">
    <w:name w:val="Balloon Text"/>
    <w:basedOn w:val="Normal"/>
    <w:link w:val="BalloonTextChar"/>
    <w:uiPriority w:val="99"/>
    <w:semiHidden/>
    <w:unhideWhenUsed/>
    <w:rsid w:val="00511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BD"/>
    <w:rPr>
      <w:rFonts w:ascii="Tahoma" w:hAnsi="Tahoma" w:cs="Tahoma"/>
      <w:sz w:val="16"/>
      <w:szCs w:val="16"/>
    </w:rPr>
  </w:style>
  <w:style w:type="paragraph" w:styleId="TOCHeading">
    <w:name w:val="TOC Heading"/>
    <w:basedOn w:val="Heading1"/>
    <w:next w:val="Normal"/>
    <w:uiPriority w:val="39"/>
    <w:unhideWhenUsed/>
    <w:qFormat/>
    <w:rsid w:val="00D45837"/>
    <w:pPr>
      <w:outlineLvl w:val="9"/>
    </w:pPr>
    <w:rPr>
      <w:lang w:eastAsia="ja-JP"/>
    </w:rPr>
  </w:style>
  <w:style w:type="paragraph" w:styleId="TOC2">
    <w:name w:val="toc 2"/>
    <w:basedOn w:val="Normal"/>
    <w:next w:val="Normal"/>
    <w:autoRedefine/>
    <w:uiPriority w:val="39"/>
    <w:unhideWhenUsed/>
    <w:qFormat/>
    <w:rsid w:val="0087555F"/>
    <w:pPr>
      <w:tabs>
        <w:tab w:val="right" w:leader="dot" w:pos="8789"/>
      </w:tabs>
      <w:spacing w:after="100"/>
      <w:ind w:left="284" w:right="567" w:hanging="284"/>
    </w:pPr>
    <w:rPr>
      <w:rFonts w:eastAsiaTheme="minorEastAsia"/>
      <w:sz w:val="24"/>
      <w:lang w:eastAsia="ja-JP"/>
    </w:rPr>
  </w:style>
  <w:style w:type="paragraph" w:styleId="TOC1">
    <w:name w:val="toc 1"/>
    <w:basedOn w:val="Normal"/>
    <w:next w:val="Normal"/>
    <w:autoRedefine/>
    <w:uiPriority w:val="39"/>
    <w:unhideWhenUsed/>
    <w:qFormat/>
    <w:rsid w:val="000B661D"/>
    <w:pPr>
      <w:tabs>
        <w:tab w:val="right" w:leader="dot" w:pos="8789"/>
      </w:tabs>
      <w:spacing w:after="100"/>
      <w:ind w:firstLine="0"/>
    </w:pPr>
    <w:rPr>
      <w:rFonts w:eastAsiaTheme="minorEastAsia"/>
      <w:b/>
      <w:noProof/>
      <w:sz w:val="24"/>
      <w:lang w:eastAsia="ja-JP"/>
    </w:rPr>
  </w:style>
  <w:style w:type="paragraph" w:styleId="TOC3">
    <w:name w:val="toc 3"/>
    <w:basedOn w:val="Normal"/>
    <w:next w:val="Normal"/>
    <w:autoRedefine/>
    <w:uiPriority w:val="39"/>
    <w:unhideWhenUsed/>
    <w:qFormat/>
    <w:rsid w:val="0087555F"/>
    <w:pPr>
      <w:tabs>
        <w:tab w:val="right" w:pos="8789"/>
      </w:tabs>
      <w:spacing w:after="100"/>
      <w:ind w:left="284" w:right="476" w:hanging="284"/>
    </w:pPr>
    <w:rPr>
      <w:rFonts w:eastAsiaTheme="minorEastAsia"/>
      <w:i/>
      <w:noProof/>
    </w:rPr>
  </w:style>
  <w:style w:type="paragraph" w:styleId="Header">
    <w:name w:val="header"/>
    <w:basedOn w:val="Normal"/>
    <w:link w:val="HeaderChar"/>
    <w:uiPriority w:val="99"/>
    <w:rsid w:val="001B285D"/>
    <w:pPr>
      <w:widowControl w:val="0"/>
      <w:tabs>
        <w:tab w:val="center" w:pos="4680"/>
        <w:tab w:val="right" w:pos="9360"/>
      </w:tabs>
      <w:kinsoku w:val="0"/>
      <w:spacing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B285D"/>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1B285D"/>
    <w:rPr>
      <w:rFonts w:cs="Times New Roman"/>
    </w:rPr>
  </w:style>
  <w:style w:type="table" w:styleId="TableGrid">
    <w:name w:val="Table Grid"/>
    <w:basedOn w:val="TableNormal"/>
    <w:uiPriority w:val="59"/>
    <w:rsid w:val="001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55F"/>
    <w:rPr>
      <w:color w:val="0000FF" w:themeColor="hyperlink"/>
      <w:u w:val="single"/>
    </w:rPr>
  </w:style>
  <w:style w:type="paragraph" w:styleId="Footer">
    <w:name w:val="footer"/>
    <w:basedOn w:val="Normal"/>
    <w:link w:val="FooterChar"/>
    <w:uiPriority w:val="99"/>
    <w:unhideWhenUsed/>
    <w:rsid w:val="00A410AD"/>
    <w:pPr>
      <w:tabs>
        <w:tab w:val="center" w:pos="4819"/>
        <w:tab w:val="right" w:pos="9638"/>
      </w:tabs>
      <w:spacing w:line="240" w:lineRule="auto"/>
    </w:pPr>
  </w:style>
  <w:style w:type="character" w:customStyle="1" w:styleId="FooterChar">
    <w:name w:val="Footer Char"/>
    <w:basedOn w:val="DefaultParagraphFont"/>
    <w:link w:val="Footer"/>
    <w:uiPriority w:val="99"/>
    <w:rsid w:val="00A410AD"/>
    <w:rPr>
      <w:rFonts w:asciiTheme="majorBidi" w:hAnsiTheme="majorBidi" w:cstheme="majorBidi"/>
      <w:sz w:val="24"/>
      <w:szCs w:val="24"/>
      <w:lang w:val="en-US"/>
    </w:rPr>
  </w:style>
  <w:style w:type="table" w:customStyle="1" w:styleId="TableGrid1">
    <w:name w:val="Table Grid1"/>
    <w:basedOn w:val="TableNormal"/>
    <w:next w:val="TableGrid"/>
    <w:uiPriority w:val="59"/>
    <w:rsid w:val="00A128F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46DF"/>
    <w:rPr>
      <w:sz w:val="16"/>
      <w:szCs w:val="16"/>
    </w:rPr>
  </w:style>
  <w:style w:type="paragraph" w:styleId="CommentSubject">
    <w:name w:val="annotation subject"/>
    <w:basedOn w:val="Normal"/>
    <w:next w:val="Normal"/>
    <w:link w:val="CommentSubjectChar"/>
    <w:uiPriority w:val="99"/>
    <w:semiHidden/>
    <w:unhideWhenUsed/>
    <w:rsid w:val="00696143"/>
    <w:rPr>
      <w:b/>
      <w:bCs/>
    </w:rPr>
  </w:style>
  <w:style w:type="character" w:customStyle="1" w:styleId="CommentSubjectChar">
    <w:name w:val="Comment Subject Char"/>
    <w:basedOn w:val="DefaultParagraphFont"/>
    <w:link w:val="CommentSubject"/>
    <w:uiPriority w:val="99"/>
    <w:semiHidden/>
    <w:rsid w:val="00696143"/>
    <w:rPr>
      <w:rFonts w:asciiTheme="majorBidi" w:hAnsiTheme="majorBidi" w:cstheme="majorBidi"/>
      <w:b/>
      <w:bCs/>
      <w:sz w:val="20"/>
      <w:szCs w:val="20"/>
      <w:lang w:val="en-US"/>
    </w:rPr>
  </w:style>
  <w:style w:type="paragraph" w:customStyle="1" w:styleId="elencoconlettere">
    <w:name w:val="elenco con lettere"/>
    <w:basedOn w:val="testobase"/>
    <w:qFormat/>
    <w:rsid w:val="00C10739"/>
    <w:pPr>
      <w:numPr>
        <w:ilvl w:val="3"/>
        <w:numId w:val="0"/>
      </w:numPr>
      <w:ind w:left="851" w:hanging="283"/>
    </w:pPr>
  </w:style>
  <w:style w:type="paragraph" w:customStyle="1" w:styleId="recesug">
    <w:name w:val="rec e sug"/>
    <w:basedOn w:val="testobase"/>
    <w:qFormat/>
    <w:rsid w:val="00C26846"/>
    <w:pPr>
      <w:keepLines/>
      <w:pBdr>
        <w:top w:val="single" w:sz="4" w:space="1" w:color="auto"/>
        <w:left w:val="single" w:sz="4" w:space="4" w:color="auto"/>
        <w:bottom w:val="single" w:sz="4" w:space="1" w:color="auto"/>
        <w:right w:val="single" w:sz="4" w:space="4" w:color="auto"/>
      </w:pBdr>
    </w:pPr>
  </w:style>
  <w:style w:type="paragraph" w:customStyle="1" w:styleId="testocomments">
    <w:name w:val="testo comments"/>
    <w:basedOn w:val="Normal"/>
    <w:next w:val="Normal"/>
    <w:qFormat/>
    <w:rsid w:val="00C26846"/>
    <w:pPr>
      <w:keepLines/>
      <w:pBdr>
        <w:top w:val="single" w:sz="4" w:space="1" w:color="auto"/>
        <w:left w:val="single" w:sz="4" w:space="4" w:color="auto"/>
        <w:bottom w:val="single" w:sz="4" w:space="1" w:color="auto"/>
        <w:right w:val="single" w:sz="4" w:space="4" w:color="auto"/>
      </w:pBdr>
      <w:spacing w:line="319" w:lineRule="auto"/>
      <w:ind w:firstLine="0"/>
    </w:pPr>
  </w:style>
  <w:style w:type="paragraph" w:customStyle="1" w:styleId="Default">
    <w:name w:val="Default"/>
    <w:rsid w:val="00233208"/>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3E7CE1"/>
    <w:pPr>
      <w:spacing w:line="601" w:lineRule="atLeast"/>
    </w:pPr>
    <w:rPr>
      <w:rFonts w:ascii="Myriad Pro" w:hAnsi="Myriad Pro" w:cstheme="minorBidi"/>
      <w:color w:val="auto"/>
      <w:lang w:val="en-GB"/>
    </w:rPr>
  </w:style>
  <w:style w:type="paragraph" w:customStyle="1" w:styleId="Pa19">
    <w:name w:val="Pa19"/>
    <w:basedOn w:val="Default"/>
    <w:next w:val="Default"/>
    <w:uiPriority w:val="99"/>
    <w:rsid w:val="003E7CE1"/>
    <w:pPr>
      <w:spacing w:line="201" w:lineRule="atLeast"/>
    </w:pPr>
    <w:rPr>
      <w:rFonts w:ascii="Myriad Pro" w:hAnsi="Myriad Pro" w:cstheme="minorBidi"/>
      <w:color w:val="auto"/>
      <w:lang w:val="en-GB"/>
    </w:rPr>
  </w:style>
  <w:style w:type="paragraph" w:customStyle="1" w:styleId="Pa24">
    <w:name w:val="Pa24"/>
    <w:basedOn w:val="Default"/>
    <w:next w:val="Default"/>
    <w:uiPriority w:val="99"/>
    <w:rsid w:val="003E7CE1"/>
    <w:pPr>
      <w:spacing w:line="201" w:lineRule="atLeast"/>
    </w:pPr>
    <w:rPr>
      <w:rFonts w:ascii="Myriad Pro" w:hAnsi="Myriad Pro" w:cstheme="minorBidi"/>
      <w:color w:val="auto"/>
      <w:lang w:val="en-GB"/>
    </w:rPr>
  </w:style>
  <w:style w:type="paragraph" w:customStyle="1" w:styleId="Pa10">
    <w:name w:val="Pa10"/>
    <w:basedOn w:val="Default"/>
    <w:next w:val="Default"/>
    <w:uiPriority w:val="99"/>
    <w:rsid w:val="003E7CE1"/>
    <w:pPr>
      <w:spacing w:line="601" w:lineRule="atLeast"/>
    </w:pPr>
    <w:rPr>
      <w:rFonts w:ascii="Myriad Pro" w:hAnsi="Myriad Pro" w:cstheme="minorBidi"/>
      <w:color w:val="auto"/>
      <w:lang w:val="en-GB"/>
    </w:rPr>
  </w:style>
  <w:style w:type="paragraph" w:customStyle="1" w:styleId="Pa25">
    <w:name w:val="Pa25"/>
    <w:basedOn w:val="Default"/>
    <w:next w:val="Default"/>
    <w:uiPriority w:val="99"/>
    <w:rsid w:val="003E7CE1"/>
    <w:pPr>
      <w:spacing w:line="201" w:lineRule="atLeast"/>
    </w:pPr>
    <w:rPr>
      <w:rFonts w:ascii="Myriad Pro" w:hAnsi="Myriad Pro" w:cstheme="minorBidi"/>
      <w:color w:val="auto"/>
      <w:lang w:val="en-GB"/>
    </w:rPr>
  </w:style>
  <w:style w:type="paragraph" w:customStyle="1" w:styleId="Pa18">
    <w:name w:val="Pa18"/>
    <w:basedOn w:val="Default"/>
    <w:next w:val="Default"/>
    <w:uiPriority w:val="99"/>
    <w:rsid w:val="003E7CE1"/>
    <w:pPr>
      <w:spacing w:line="161" w:lineRule="atLeast"/>
    </w:pPr>
    <w:rPr>
      <w:rFonts w:ascii="Myriad Pro" w:hAnsi="Myriad Pro" w:cstheme="minorBidi"/>
      <w:color w:val="auto"/>
      <w:lang w:val="en-GB"/>
    </w:rPr>
  </w:style>
  <w:style w:type="paragraph" w:customStyle="1" w:styleId="Pa23">
    <w:name w:val="Pa23"/>
    <w:basedOn w:val="Default"/>
    <w:next w:val="Default"/>
    <w:uiPriority w:val="99"/>
    <w:rsid w:val="001171EF"/>
    <w:pPr>
      <w:spacing w:line="201" w:lineRule="atLeast"/>
    </w:pPr>
    <w:rPr>
      <w:rFonts w:ascii="Myriad Pro" w:hAnsi="Myriad Pro" w:cstheme="minorBidi"/>
      <w:color w:val="auto"/>
      <w:lang w:val="en-GB"/>
    </w:rPr>
  </w:style>
  <w:style w:type="paragraph" w:customStyle="1" w:styleId="Pa29">
    <w:name w:val="Pa29"/>
    <w:basedOn w:val="Default"/>
    <w:next w:val="Default"/>
    <w:uiPriority w:val="99"/>
    <w:rsid w:val="001171EF"/>
    <w:pPr>
      <w:spacing w:line="201" w:lineRule="atLeast"/>
    </w:pPr>
    <w:rPr>
      <w:rFonts w:ascii="Myriad Pro" w:hAnsi="Myriad Pro" w:cstheme="minorBidi"/>
      <w:color w:val="auto"/>
      <w:lang w:val="en-GB"/>
    </w:rPr>
  </w:style>
  <w:style w:type="paragraph" w:customStyle="1" w:styleId="Pa20">
    <w:name w:val="Pa20"/>
    <w:basedOn w:val="Default"/>
    <w:next w:val="Default"/>
    <w:uiPriority w:val="99"/>
    <w:rsid w:val="00915CAD"/>
    <w:pPr>
      <w:spacing w:line="161" w:lineRule="atLeast"/>
    </w:pPr>
    <w:rPr>
      <w:rFonts w:ascii="Myriad Pro" w:hAnsi="Myriad Pro" w:cstheme="minorBidi"/>
      <w:color w:val="auto"/>
      <w:lang w:val="en-GB"/>
    </w:rPr>
  </w:style>
  <w:style w:type="paragraph" w:customStyle="1" w:styleId="testoexecutive">
    <w:name w:val="testo executive"/>
    <w:basedOn w:val="testobase"/>
    <w:qFormat/>
    <w:rsid w:val="0063479E"/>
    <w:pPr>
      <w:numPr>
        <w:numId w:val="3"/>
      </w:numPr>
      <w:spacing w:before="120"/>
      <w:ind w:left="0" w:firstLine="1134"/>
    </w:pPr>
  </w:style>
  <w:style w:type="paragraph" w:customStyle="1" w:styleId="elencoconnumeriromani">
    <w:name w:val="elenco con numeri romani"/>
    <w:basedOn w:val="Default"/>
    <w:qFormat/>
    <w:rsid w:val="00DC67BF"/>
    <w:pPr>
      <w:numPr>
        <w:ilvl w:val="1"/>
        <w:numId w:val="2"/>
      </w:numPr>
      <w:spacing w:before="120" w:line="276" w:lineRule="auto"/>
      <w:ind w:left="993"/>
    </w:pPr>
    <w:rPr>
      <w:i/>
      <w:sz w:val="22"/>
      <w:szCs w:val="22"/>
      <w:lang w:val="en-GB"/>
    </w:rPr>
  </w:style>
  <w:style w:type="paragraph" w:customStyle="1" w:styleId="elencononlettere1">
    <w:name w:val="elenco non lettere1"/>
    <w:basedOn w:val="elencoconlettere"/>
    <w:qFormat/>
    <w:rsid w:val="00DA35BB"/>
    <w:pPr>
      <w:numPr>
        <w:numId w:val="5"/>
      </w:numPr>
      <w:ind w:left="851" w:hanging="425"/>
    </w:pPr>
  </w:style>
  <w:style w:type="paragraph" w:customStyle="1" w:styleId="elencoconlettereenfatizzato">
    <w:name w:val="elenco con lettere enfatizzato"/>
    <w:basedOn w:val="elencoconlettere"/>
    <w:qFormat/>
    <w:rsid w:val="00836124"/>
    <w:pPr>
      <w:numPr>
        <w:ilvl w:val="0"/>
        <w:numId w:val="2"/>
      </w:numPr>
      <w:tabs>
        <w:tab w:val="num" w:pos="360"/>
      </w:tabs>
      <w:spacing w:line="276" w:lineRule="auto"/>
      <w:ind w:left="851" w:hanging="425"/>
    </w:pPr>
    <w:rPr>
      <w:b/>
      <w:i/>
    </w:rPr>
  </w:style>
  <w:style w:type="paragraph" w:styleId="Revision">
    <w:name w:val="Revision"/>
    <w:hidden/>
    <w:uiPriority w:val="99"/>
    <w:semiHidden/>
    <w:rsid w:val="003C0711"/>
    <w:pPr>
      <w:spacing w:after="0" w:line="240" w:lineRule="auto"/>
    </w:pPr>
    <w:rPr>
      <w:rFonts w:ascii="Arial" w:hAnsi="Arial" w:cs="Arial"/>
      <w:lang w:val="en-GB" w:eastAsia="it-IT"/>
    </w:rPr>
  </w:style>
  <w:style w:type="paragraph" w:styleId="FootnoteText">
    <w:name w:val="footnote text"/>
    <w:basedOn w:val="Normal"/>
    <w:link w:val="FootnoteTextChar"/>
    <w:uiPriority w:val="99"/>
    <w:unhideWhenUsed/>
    <w:qFormat/>
    <w:rsid w:val="003E66FB"/>
    <w:pPr>
      <w:spacing w:before="0" w:line="240" w:lineRule="auto"/>
    </w:pPr>
    <w:rPr>
      <w:sz w:val="20"/>
      <w:szCs w:val="20"/>
    </w:rPr>
  </w:style>
  <w:style w:type="character" w:customStyle="1" w:styleId="FootnoteTextChar">
    <w:name w:val="Footnote Text Char"/>
    <w:basedOn w:val="DefaultParagraphFont"/>
    <w:link w:val="FootnoteText"/>
    <w:uiPriority w:val="99"/>
    <w:rsid w:val="003E66FB"/>
    <w:rPr>
      <w:rFonts w:ascii="Arial" w:hAnsi="Arial" w:cs="Arial"/>
      <w:sz w:val="20"/>
      <w:szCs w:val="20"/>
      <w:lang w:val="en-GB" w:eastAsia="it-IT"/>
    </w:rPr>
  </w:style>
  <w:style w:type="character" w:styleId="FootnoteReference">
    <w:name w:val="footnote reference"/>
    <w:basedOn w:val="DefaultParagraphFont"/>
    <w:uiPriority w:val="99"/>
    <w:semiHidden/>
    <w:unhideWhenUsed/>
    <w:rsid w:val="003E66FB"/>
    <w:rPr>
      <w:vertAlign w:val="superscript"/>
    </w:rPr>
  </w:style>
  <w:style w:type="paragraph" w:customStyle="1" w:styleId="titoletto">
    <w:name w:val="titoletto"/>
    <w:basedOn w:val="testobase"/>
    <w:qFormat/>
    <w:rsid w:val="0036708A"/>
    <w:pPr>
      <w:keepNext/>
      <w:numPr>
        <w:numId w:val="0"/>
      </w:numPr>
      <w:jc w:val="center"/>
    </w:pPr>
    <w:rPr>
      <w:b/>
      <w:i/>
    </w:rPr>
  </w:style>
  <w:style w:type="paragraph" w:customStyle="1" w:styleId="paragraforientrato">
    <w:name w:val="paragrafo rientrato"/>
    <w:basedOn w:val="elencoconlettereenfatizzato"/>
    <w:qFormat/>
    <w:rsid w:val="00836124"/>
    <w:pPr>
      <w:numPr>
        <w:numId w:val="0"/>
      </w:numPr>
      <w:ind w:left="851"/>
    </w:pPr>
    <w:rPr>
      <w:b w:val="0"/>
    </w:rPr>
  </w:style>
  <w:style w:type="paragraph" w:customStyle="1" w:styleId="elencopuntato">
    <w:name w:val="elenco puntato"/>
    <w:basedOn w:val="testobase"/>
    <w:qFormat/>
    <w:rsid w:val="00C10739"/>
    <w:pPr>
      <w:numPr>
        <w:numId w:val="8"/>
      </w:numPr>
      <w:tabs>
        <w:tab w:val="num" w:pos="360"/>
      </w:tabs>
      <w:ind w:left="851" w:hanging="283"/>
    </w:pPr>
  </w:style>
  <w:style w:type="paragraph" w:customStyle="1" w:styleId="titolettotabella">
    <w:name w:val="titoletto tabella"/>
    <w:basedOn w:val="Heading2"/>
    <w:qFormat/>
    <w:rsid w:val="000B661D"/>
    <w:pPr>
      <w:outlineLvl w:val="9"/>
    </w:pPr>
  </w:style>
  <w:style w:type="paragraph" w:customStyle="1" w:styleId="elencotrattino">
    <w:name w:val="elenco trattino"/>
    <w:basedOn w:val="elencopuntato"/>
    <w:qFormat/>
    <w:rsid w:val="00C10739"/>
    <w:pPr>
      <w:numPr>
        <w:numId w:val="9"/>
      </w:numPr>
      <w:tabs>
        <w:tab w:val="num" w:pos="360"/>
      </w:tabs>
      <w:ind w:left="851" w:hanging="283"/>
    </w:pPr>
    <w:rPr>
      <w:lang w:val="en-US"/>
    </w:rPr>
  </w:style>
  <w:style w:type="paragraph" w:customStyle="1" w:styleId="elencoconletteremaiuscole">
    <w:name w:val="elenco con lettere maiuscole"/>
    <w:basedOn w:val="elencoconlettere"/>
    <w:qFormat/>
    <w:rsid w:val="00C10739"/>
    <w:pPr>
      <w:numPr>
        <w:numId w:val="10"/>
      </w:numPr>
      <w:tabs>
        <w:tab w:val="num" w:pos="360"/>
      </w:tabs>
      <w:ind w:left="851" w:hanging="283"/>
    </w:pPr>
    <w:rPr>
      <w:lang w:val="en-US"/>
    </w:rPr>
  </w:style>
  <w:style w:type="paragraph" w:styleId="DocumentMap">
    <w:name w:val="Document Map"/>
    <w:basedOn w:val="Normal"/>
    <w:link w:val="DocumentMapChar"/>
    <w:uiPriority w:val="99"/>
    <w:semiHidden/>
    <w:unhideWhenUsed/>
    <w:rsid w:val="00D75EE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EE8"/>
    <w:rPr>
      <w:rFonts w:ascii="Tahoma" w:hAnsi="Tahoma" w:cs="Tahoma"/>
      <w:sz w:val="16"/>
      <w:szCs w:val="16"/>
      <w:lang w:val="en-GB" w:eastAsia="it-IT"/>
    </w:rPr>
  </w:style>
  <w:style w:type="paragraph" w:customStyle="1" w:styleId="elencoiiiiii">
    <w:name w:val="elenco (i) (ii) (iii)"/>
    <w:qFormat/>
    <w:rsid w:val="00F36978"/>
    <w:pPr>
      <w:numPr>
        <w:numId w:val="30"/>
      </w:numPr>
      <w:ind w:left="850" w:hanging="425"/>
    </w:pPr>
    <w:rPr>
      <w:rFonts w:ascii="Arial" w:hAnsi="Arial" w:cs="Arial"/>
      <w:lang w:val="en-GB" w:eastAsia="it-IT"/>
    </w:rPr>
  </w:style>
  <w:style w:type="paragraph" w:customStyle="1" w:styleId="elencoabc">
    <w:name w:val="elenco a. b. c."/>
    <w:link w:val="elencoabcCarattere"/>
    <w:qFormat/>
    <w:rsid w:val="00F36978"/>
    <w:pPr>
      <w:numPr>
        <w:numId w:val="27"/>
      </w:numPr>
      <w:ind w:left="1276" w:hanging="425"/>
    </w:pPr>
    <w:rPr>
      <w:rFonts w:ascii="Arial" w:hAnsi="Arial" w:cs="Arial"/>
      <w:lang w:val="en-GB" w:eastAsia="it-IT"/>
    </w:rPr>
  </w:style>
  <w:style w:type="character" w:customStyle="1" w:styleId="elencoabcCarattere">
    <w:name w:val="elenco a. b. c. Carattere"/>
    <w:basedOn w:val="DefaultParagraphFont"/>
    <w:link w:val="elencoabc"/>
    <w:rsid w:val="00F36978"/>
    <w:rPr>
      <w:rFonts w:ascii="Arial" w:hAnsi="Arial" w:cs="Arial"/>
      <w:lang w:val="en-GB" w:eastAsia="it-IT"/>
    </w:rPr>
  </w:style>
  <w:style w:type="paragraph" w:customStyle="1" w:styleId="titolosugg">
    <w:name w:val="titolo sugg"/>
    <w:basedOn w:val="Normal"/>
    <w:qFormat/>
    <w:rsid w:val="00C66E9B"/>
    <w:pPr>
      <w:keepNext/>
      <w:keepLines/>
      <w:numPr>
        <w:numId w:val="33"/>
      </w:numPr>
      <w:pBdr>
        <w:top w:val="single" w:sz="4" w:space="1" w:color="auto"/>
        <w:left w:val="single" w:sz="4" w:space="4" w:color="auto"/>
        <w:bottom w:val="single" w:sz="4" w:space="1" w:color="auto"/>
        <w:right w:val="single" w:sz="4" w:space="4" w:color="auto"/>
      </w:pBdr>
      <w:spacing w:line="240" w:lineRule="auto"/>
    </w:pPr>
    <w:rPr>
      <w:b/>
      <w:bCs/>
      <w:i/>
    </w:rPr>
  </w:style>
  <w:style w:type="paragraph" w:customStyle="1" w:styleId="titcomments">
    <w:name w:val="tit comments"/>
    <w:basedOn w:val="titolosugg"/>
    <w:qFormat/>
    <w:rsid w:val="00C66E9B"/>
    <w:pPr>
      <w:numPr>
        <w:numId w:val="0"/>
      </w:numPr>
    </w:pPr>
  </w:style>
  <w:style w:type="paragraph" w:customStyle="1" w:styleId="titoloracc">
    <w:name w:val="titolo racc"/>
    <w:basedOn w:val="titolosugg"/>
    <w:qFormat/>
    <w:rsid w:val="000B579D"/>
    <w:pPr>
      <w:numPr>
        <w:numId w:val="34"/>
      </w:numPr>
      <w:ind w:left="426" w:hanging="426"/>
    </w:pPr>
    <w:rPr>
      <w:lang w:eastAsia="en-US"/>
    </w:rPr>
  </w:style>
  <w:style w:type="paragraph" w:styleId="CommentText">
    <w:name w:val="annotation text"/>
    <w:basedOn w:val="Normal"/>
    <w:link w:val="CommentTextChar"/>
    <w:uiPriority w:val="99"/>
    <w:semiHidden/>
    <w:unhideWhenUsed/>
    <w:rsid w:val="00072F06"/>
    <w:pPr>
      <w:spacing w:line="240" w:lineRule="auto"/>
    </w:pPr>
    <w:rPr>
      <w:sz w:val="20"/>
      <w:szCs w:val="20"/>
    </w:rPr>
  </w:style>
  <w:style w:type="character" w:customStyle="1" w:styleId="CommentTextChar">
    <w:name w:val="Comment Text Char"/>
    <w:basedOn w:val="DefaultParagraphFont"/>
    <w:link w:val="CommentText"/>
    <w:uiPriority w:val="99"/>
    <w:semiHidden/>
    <w:rsid w:val="00072F06"/>
    <w:rPr>
      <w:rFonts w:ascii="Arial" w:hAnsi="Arial" w:cs="Arial"/>
      <w:sz w:val="20"/>
      <w:szCs w:val="20"/>
      <w:lang w:val="en-GB" w:eastAsia="it-IT"/>
    </w:rPr>
  </w:style>
  <w:style w:type="paragraph" w:customStyle="1" w:styleId="rimandonotapidipagina">
    <w:name w:val="rimando nota piè di pagina"/>
    <w:basedOn w:val="testobase"/>
    <w:link w:val="rimandonotapidipaginaCarattere"/>
    <w:qFormat/>
    <w:rsid w:val="007407AD"/>
    <w:rPr>
      <w:szCs w:val="16"/>
      <w:vertAlign w:val="superscript"/>
    </w:rPr>
  </w:style>
  <w:style w:type="character" w:customStyle="1" w:styleId="rimandonotapidipaginaCarattere">
    <w:name w:val="rimando nota piè di pagina Carattere"/>
    <w:basedOn w:val="testobaseCarattere"/>
    <w:link w:val="rimandonotapidipagina"/>
    <w:rsid w:val="007407AD"/>
    <w:rPr>
      <w:rFonts w:ascii="Arial" w:hAnsi="Arial" w:cs="Arial"/>
      <w:szCs w:val="16"/>
      <w:vertAlign w:val="superscript"/>
      <w:lang w:val="en-GB" w:eastAsia="it-IT"/>
    </w:rPr>
  </w:style>
  <w:style w:type="paragraph" w:customStyle="1" w:styleId="xmsonormal">
    <w:name w:val="x_msonormal"/>
    <w:basedOn w:val="Normal"/>
    <w:rsid w:val="000B661D"/>
    <w:pPr>
      <w:adjustRightInd/>
      <w:spacing w:before="100" w:beforeAutospacing="1" w:after="100" w:afterAutospacing="1" w:line="240" w:lineRule="auto"/>
      <w:ind w:firstLine="0"/>
      <w:jc w:val="left"/>
    </w:pPr>
    <w:rPr>
      <w:rFonts w:ascii="Times New Roman" w:eastAsia="Times New Roman" w:hAnsi="Times New Roman" w:cs="Times New Roman"/>
      <w:sz w:val="24"/>
      <w:szCs w:val="24"/>
      <w:lang w:val="it-IT"/>
    </w:rPr>
  </w:style>
  <w:style w:type="paragraph" w:styleId="NormalWeb">
    <w:name w:val="Normal (Web)"/>
    <w:basedOn w:val="Normal"/>
    <w:uiPriority w:val="99"/>
    <w:semiHidden/>
    <w:unhideWhenUsed/>
    <w:rsid w:val="000B661D"/>
    <w:pPr>
      <w:adjustRightInd/>
      <w:spacing w:before="100" w:beforeAutospacing="1" w:after="100" w:afterAutospacing="1" w:line="240" w:lineRule="auto"/>
      <w:ind w:firstLine="0"/>
      <w:jc w:val="left"/>
    </w:pPr>
    <w:rPr>
      <w:rFonts w:ascii="Times New Roman" w:eastAsia="Times New Roman" w:hAnsi="Times New Roman" w:cs="Times New Roman"/>
      <w:sz w:val="24"/>
      <w:szCs w:val="24"/>
      <w:lang w:val="it-IT"/>
    </w:rPr>
  </w:style>
  <w:style w:type="character" w:customStyle="1" w:styleId="xalt-edited">
    <w:name w:val="x_alt-edited"/>
    <w:basedOn w:val="DefaultParagraphFont"/>
    <w:rsid w:val="000B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9454">
      <w:bodyDiv w:val="1"/>
      <w:marLeft w:val="0"/>
      <w:marRight w:val="0"/>
      <w:marTop w:val="0"/>
      <w:marBottom w:val="0"/>
      <w:divBdr>
        <w:top w:val="none" w:sz="0" w:space="0" w:color="auto"/>
        <w:left w:val="none" w:sz="0" w:space="0" w:color="auto"/>
        <w:bottom w:val="none" w:sz="0" w:space="0" w:color="auto"/>
        <w:right w:val="none" w:sz="0" w:space="0" w:color="auto"/>
      </w:divBdr>
    </w:div>
    <w:div w:id="170225650">
      <w:bodyDiv w:val="1"/>
      <w:marLeft w:val="0"/>
      <w:marRight w:val="0"/>
      <w:marTop w:val="0"/>
      <w:marBottom w:val="0"/>
      <w:divBdr>
        <w:top w:val="none" w:sz="0" w:space="0" w:color="auto"/>
        <w:left w:val="none" w:sz="0" w:space="0" w:color="auto"/>
        <w:bottom w:val="none" w:sz="0" w:space="0" w:color="auto"/>
        <w:right w:val="none" w:sz="0" w:space="0" w:color="auto"/>
      </w:divBdr>
      <w:divsChild>
        <w:div w:id="1535654369">
          <w:marLeft w:val="547"/>
          <w:marRight w:val="0"/>
          <w:marTop w:val="82"/>
          <w:marBottom w:val="0"/>
          <w:divBdr>
            <w:top w:val="none" w:sz="0" w:space="0" w:color="auto"/>
            <w:left w:val="none" w:sz="0" w:space="0" w:color="auto"/>
            <w:bottom w:val="none" w:sz="0" w:space="0" w:color="auto"/>
            <w:right w:val="none" w:sz="0" w:space="0" w:color="auto"/>
          </w:divBdr>
        </w:div>
      </w:divsChild>
    </w:div>
    <w:div w:id="205408763">
      <w:bodyDiv w:val="1"/>
      <w:marLeft w:val="0"/>
      <w:marRight w:val="0"/>
      <w:marTop w:val="0"/>
      <w:marBottom w:val="0"/>
      <w:divBdr>
        <w:top w:val="none" w:sz="0" w:space="0" w:color="auto"/>
        <w:left w:val="none" w:sz="0" w:space="0" w:color="auto"/>
        <w:bottom w:val="none" w:sz="0" w:space="0" w:color="auto"/>
        <w:right w:val="none" w:sz="0" w:space="0" w:color="auto"/>
      </w:divBdr>
    </w:div>
    <w:div w:id="216092121">
      <w:bodyDiv w:val="1"/>
      <w:marLeft w:val="0"/>
      <w:marRight w:val="0"/>
      <w:marTop w:val="0"/>
      <w:marBottom w:val="0"/>
      <w:divBdr>
        <w:top w:val="none" w:sz="0" w:space="0" w:color="auto"/>
        <w:left w:val="none" w:sz="0" w:space="0" w:color="auto"/>
        <w:bottom w:val="none" w:sz="0" w:space="0" w:color="auto"/>
        <w:right w:val="none" w:sz="0" w:space="0" w:color="auto"/>
      </w:divBdr>
    </w:div>
    <w:div w:id="346102486">
      <w:bodyDiv w:val="1"/>
      <w:marLeft w:val="0"/>
      <w:marRight w:val="0"/>
      <w:marTop w:val="0"/>
      <w:marBottom w:val="0"/>
      <w:divBdr>
        <w:top w:val="none" w:sz="0" w:space="0" w:color="auto"/>
        <w:left w:val="none" w:sz="0" w:space="0" w:color="auto"/>
        <w:bottom w:val="none" w:sz="0" w:space="0" w:color="auto"/>
        <w:right w:val="none" w:sz="0" w:space="0" w:color="auto"/>
      </w:divBdr>
    </w:div>
    <w:div w:id="414473771">
      <w:bodyDiv w:val="1"/>
      <w:marLeft w:val="0"/>
      <w:marRight w:val="0"/>
      <w:marTop w:val="0"/>
      <w:marBottom w:val="0"/>
      <w:divBdr>
        <w:top w:val="none" w:sz="0" w:space="0" w:color="auto"/>
        <w:left w:val="none" w:sz="0" w:space="0" w:color="auto"/>
        <w:bottom w:val="none" w:sz="0" w:space="0" w:color="auto"/>
        <w:right w:val="none" w:sz="0" w:space="0" w:color="auto"/>
      </w:divBdr>
    </w:div>
    <w:div w:id="426654782">
      <w:bodyDiv w:val="1"/>
      <w:marLeft w:val="0"/>
      <w:marRight w:val="0"/>
      <w:marTop w:val="0"/>
      <w:marBottom w:val="0"/>
      <w:divBdr>
        <w:top w:val="none" w:sz="0" w:space="0" w:color="auto"/>
        <w:left w:val="none" w:sz="0" w:space="0" w:color="auto"/>
        <w:bottom w:val="none" w:sz="0" w:space="0" w:color="auto"/>
        <w:right w:val="none" w:sz="0" w:space="0" w:color="auto"/>
      </w:divBdr>
    </w:div>
    <w:div w:id="665940580">
      <w:bodyDiv w:val="1"/>
      <w:marLeft w:val="0"/>
      <w:marRight w:val="0"/>
      <w:marTop w:val="0"/>
      <w:marBottom w:val="0"/>
      <w:divBdr>
        <w:top w:val="none" w:sz="0" w:space="0" w:color="auto"/>
        <w:left w:val="none" w:sz="0" w:space="0" w:color="auto"/>
        <w:bottom w:val="none" w:sz="0" w:space="0" w:color="auto"/>
        <w:right w:val="none" w:sz="0" w:space="0" w:color="auto"/>
      </w:divBdr>
    </w:div>
    <w:div w:id="674528835">
      <w:bodyDiv w:val="1"/>
      <w:marLeft w:val="0"/>
      <w:marRight w:val="0"/>
      <w:marTop w:val="0"/>
      <w:marBottom w:val="0"/>
      <w:divBdr>
        <w:top w:val="none" w:sz="0" w:space="0" w:color="auto"/>
        <w:left w:val="none" w:sz="0" w:space="0" w:color="auto"/>
        <w:bottom w:val="none" w:sz="0" w:space="0" w:color="auto"/>
        <w:right w:val="none" w:sz="0" w:space="0" w:color="auto"/>
      </w:divBdr>
    </w:div>
    <w:div w:id="892888859">
      <w:bodyDiv w:val="1"/>
      <w:marLeft w:val="0"/>
      <w:marRight w:val="0"/>
      <w:marTop w:val="0"/>
      <w:marBottom w:val="0"/>
      <w:divBdr>
        <w:top w:val="none" w:sz="0" w:space="0" w:color="auto"/>
        <w:left w:val="none" w:sz="0" w:space="0" w:color="auto"/>
        <w:bottom w:val="none" w:sz="0" w:space="0" w:color="auto"/>
        <w:right w:val="none" w:sz="0" w:space="0" w:color="auto"/>
      </w:divBdr>
    </w:div>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960645259">
      <w:bodyDiv w:val="1"/>
      <w:marLeft w:val="0"/>
      <w:marRight w:val="0"/>
      <w:marTop w:val="0"/>
      <w:marBottom w:val="0"/>
      <w:divBdr>
        <w:top w:val="none" w:sz="0" w:space="0" w:color="auto"/>
        <w:left w:val="none" w:sz="0" w:space="0" w:color="auto"/>
        <w:bottom w:val="none" w:sz="0" w:space="0" w:color="auto"/>
        <w:right w:val="none" w:sz="0" w:space="0" w:color="auto"/>
      </w:divBdr>
    </w:div>
    <w:div w:id="1181893755">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 w:id="1347945411">
      <w:bodyDiv w:val="1"/>
      <w:marLeft w:val="0"/>
      <w:marRight w:val="0"/>
      <w:marTop w:val="0"/>
      <w:marBottom w:val="0"/>
      <w:divBdr>
        <w:top w:val="none" w:sz="0" w:space="0" w:color="auto"/>
        <w:left w:val="none" w:sz="0" w:space="0" w:color="auto"/>
        <w:bottom w:val="none" w:sz="0" w:space="0" w:color="auto"/>
        <w:right w:val="none" w:sz="0" w:space="0" w:color="auto"/>
      </w:divBdr>
    </w:div>
    <w:div w:id="1370446440">
      <w:bodyDiv w:val="1"/>
      <w:marLeft w:val="0"/>
      <w:marRight w:val="0"/>
      <w:marTop w:val="0"/>
      <w:marBottom w:val="0"/>
      <w:divBdr>
        <w:top w:val="none" w:sz="0" w:space="0" w:color="auto"/>
        <w:left w:val="none" w:sz="0" w:space="0" w:color="auto"/>
        <w:bottom w:val="none" w:sz="0" w:space="0" w:color="auto"/>
        <w:right w:val="none" w:sz="0" w:space="0" w:color="auto"/>
      </w:divBdr>
    </w:div>
    <w:div w:id="1393773424">
      <w:bodyDiv w:val="1"/>
      <w:marLeft w:val="0"/>
      <w:marRight w:val="0"/>
      <w:marTop w:val="0"/>
      <w:marBottom w:val="0"/>
      <w:divBdr>
        <w:top w:val="none" w:sz="0" w:space="0" w:color="auto"/>
        <w:left w:val="none" w:sz="0" w:space="0" w:color="auto"/>
        <w:bottom w:val="none" w:sz="0" w:space="0" w:color="auto"/>
        <w:right w:val="none" w:sz="0" w:space="0" w:color="auto"/>
      </w:divBdr>
    </w:div>
    <w:div w:id="1696079387">
      <w:bodyDiv w:val="1"/>
      <w:marLeft w:val="0"/>
      <w:marRight w:val="0"/>
      <w:marTop w:val="0"/>
      <w:marBottom w:val="0"/>
      <w:divBdr>
        <w:top w:val="none" w:sz="0" w:space="0" w:color="auto"/>
        <w:left w:val="none" w:sz="0" w:space="0" w:color="auto"/>
        <w:bottom w:val="none" w:sz="0" w:space="0" w:color="auto"/>
        <w:right w:val="none" w:sz="0" w:space="0" w:color="auto"/>
      </w:divBdr>
    </w:div>
    <w:div w:id="1782727647">
      <w:bodyDiv w:val="1"/>
      <w:marLeft w:val="0"/>
      <w:marRight w:val="0"/>
      <w:marTop w:val="0"/>
      <w:marBottom w:val="0"/>
      <w:divBdr>
        <w:top w:val="none" w:sz="0" w:space="0" w:color="auto"/>
        <w:left w:val="none" w:sz="0" w:space="0" w:color="auto"/>
        <w:bottom w:val="none" w:sz="0" w:space="0" w:color="auto"/>
        <w:right w:val="none" w:sz="0" w:space="0" w:color="auto"/>
      </w:divBdr>
    </w:div>
    <w:div w:id="1799375864">
      <w:bodyDiv w:val="1"/>
      <w:marLeft w:val="0"/>
      <w:marRight w:val="0"/>
      <w:marTop w:val="0"/>
      <w:marBottom w:val="0"/>
      <w:divBdr>
        <w:top w:val="none" w:sz="0" w:space="0" w:color="auto"/>
        <w:left w:val="none" w:sz="0" w:space="0" w:color="auto"/>
        <w:bottom w:val="none" w:sz="0" w:space="0" w:color="auto"/>
        <w:right w:val="none" w:sz="0" w:space="0" w:color="auto"/>
      </w:divBdr>
    </w:div>
    <w:div w:id="1941792288">
      <w:bodyDiv w:val="1"/>
      <w:marLeft w:val="0"/>
      <w:marRight w:val="0"/>
      <w:marTop w:val="0"/>
      <w:marBottom w:val="0"/>
      <w:divBdr>
        <w:top w:val="none" w:sz="0" w:space="0" w:color="auto"/>
        <w:left w:val="none" w:sz="0" w:space="0" w:color="auto"/>
        <w:bottom w:val="none" w:sz="0" w:space="0" w:color="auto"/>
        <w:right w:val="none" w:sz="0" w:space="0" w:color="auto"/>
      </w:divBdr>
    </w:div>
    <w:div w:id="21371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04C0-47EA-491F-8565-889DEA7C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12027</Words>
  <Characters>68555</Characters>
  <Application>Microsoft Office Word</Application>
  <DocSecurity>0</DocSecurity>
  <Lines>571</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Frank</dc:creator>
  <cp:lastModifiedBy>Janin</cp:lastModifiedBy>
  <cp:revision>2</cp:revision>
  <dcterms:created xsi:type="dcterms:W3CDTF">2018-10-12T14:43:00Z</dcterms:created>
  <dcterms:modified xsi:type="dcterms:W3CDTF">2018-10-12T14:43:00Z</dcterms:modified>
</cp:coreProperties>
</file>