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F70F0">
        <w:trPr>
          <w:cantSplit/>
        </w:trPr>
        <w:tc>
          <w:tcPr>
            <w:tcW w:w="6912" w:type="dxa"/>
          </w:tcPr>
          <w:p w:rsidR="00520F36" w:rsidRPr="008F70F0" w:rsidRDefault="00520F36" w:rsidP="006928DA">
            <w:pPr>
              <w:spacing w:before="360"/>
              <w:rPr>
                <w:lang w:val="fr-CH"/>
              </w:rPr>
            </w:pPr>
            <w:bookmarkStart w:id="0" w:name="dc06"/>
            <w:bookmarkEnd w:id="0"/>
            <w:r w:rsidRPr="008F70F0">
              <w:rPr>
                <w:b/>
                <w:bCs/>
                <w:sz w:val="30"/>
                <w:szCs w:val="30"/>
                <w:lang w:val="fr-CH"/>
              </w:rPr>
              <w:t>Conseil 201</w:t>
            </w:r>
            <w:r w:rsidR="003C3FAE" w:rsidRPr="008F70F0">
              <w:rPr>
                <w:b/>
                <w:bCs/>
                <w:sz w:val="30"/>
                <w:szCs w:val="30"/>
                <w:lang w:val="fr-CH"/>
              </w:rPr>
              <w:t>8</w:t>
            </w:r>
            <w:r w:rsidRPr="008F70F0">
              <w:rPr>
                <w:rFonts w:ascii="Verdana" w:hAnsi="Verdana"/>
                <w:b/>
                <w:bCs/>
                <w:sz w:val="26"/>
                <w:szCs w:val="26"/>
                <w:lang w:val="fr-CH"/>
              </w:rPr>
              <w:br/>
            </w:r>
            <w:r w:rsidR="00FB0D64" w:rsidRPr="008F70F0">
              <w:rPr>
                <w:b/>
                <w:bCs/>
                <w:szCs w:val="24"/>
                <w:lang w:val="fr-CH"/>
              </w:rPr>
              <w:t xml:space="preserve">Séance finale, </w:t>
            </w:r>
            <w:r w:rsidR="00FB0D64" w:rsidRPr="008F70F0">
              <w:rPr>
                <w:rFonts w:cs="Times New Roman Bold"/>
                <w:b/>
                <w:bCs/>
                <w:szCs w:val="24"/>
                <w:lang w:val="fr-CH"/>
              </w:rPr>
              <w:t>Dubaï, 27 octobre</w:t>
            </w:r>
            <w:r w:rsidR="0074270B" w:rsidRPr="008F70F0">
              <w:rPr>
                <w:rFonts w:cs="Times New Roman Bold"/>
                <w:b/>
                <w:bCs/>
                <w:szCs w:val="24"/>
                <w:lang w:val="fr-CH"/>
              </w:rPr>
              <w:t xml:space="preserve"> 2018</w:t>
            </w:r>
          </w:p>
        </w:tc>
        <w:tc>
          <w:tcPr>
            <w:tcW w:w="3261" w:type="dxa"/>
          </w:tcPr>
          <w:p w:rsidR="00520F36" w:rsidRPr="008F70F0" w:rsidRDefault="00520F36" w:rsidP="006928DA">
            <w:pPr>
              <w:spacing w:before="0"/>
              <w:jc w:val="right"/>
              <w:rPr>
                <w:lang w:val="fr-CH"/>
              </w:rPr>
            </w:pPr>
            <w:bookmarkStart w:id="1" w:name="ditulogo"/>
            <w:bookmarkEnd w:id="1"/>
            <w:r w:rsidRPr="008F70F0">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8F70F0" w:rsidTr="00EF41DD">
        <w:trPr>
          <w:cantSplit/>
          <w:trHeight w:val="20"/>
        </w:trPr>
        <w:tc>
          <w:tcPr>
            <w:tcW w:w="6912" w:type="dxa"/>
            <w:tcBorders>
              <w:bottom w:val="single" w:sz="12" w:space="0" w:color="auto"/>
            </w:tcBorders>
            <w:vAlign w:val="center"/>
          </w:tcPr>
          <w:p w:rsidR="00520F36" w:rsidRPr="008F70F0" w:rsidRDefault="00520F36" w:rsidP="006928DA">
            <w:pPr>
              <w:spacing w:before="0"/>
              <w:rPr>
                <w:b/>
                <w:bCs/>
                <w:sz w:val="26"/>
                <w:szCs w:val="26"/>
                <w:lang w:val="fr-CH"/>
              </w:rPr>
            </w:pPr>
          </w:p>
        </w:tc>
        <w:tc>
          <w:tcPr>
            <w:tcW w:w="3261" w:type="dxa"/>
            <w:tcBorders>
              <w:bottom w:val="single" w:sz="12" w:space="0" w:color="auto"/>
            </w:tcBorders>
          </w:tcPr>
          <w:p w:rsidR="00520F36" w:rsidRPr="008F70F0" w:rsidRDefault="00520F36" w:rsidP="006928DA">
            <w:pPr>
              <w:spacing w:before="0"/>
              <w:rPr>
                <w:b/>
                <w:bCs/>
                <w:lang w:val="fr-CH"/>
              </w:rPr>
            </w:pPr>
          </w:p>
        </w:tc>
      </w:tr>
      <w:tr w:rsidR="00520F36" w:rsidRPr="008F70F0">
        <w:trPr>
          <w:cantSplit/>
          <w:trHeight w:val="20"/>
        </w:trPr>
        <w:tc>
          <w:tcPr>
            <w:tcW w:w="6912" w:type="dxa"/>
            <w:tcBorders>
              <w:top w:val="single" w:sz="12" w:space="0" w:color="auto"/>
            </w:tcBorders>
          </w:tcPr>
          <w:p w:rsidR="00520F36" w:rsidRPr="008F70F0" w:rsidRDefault="00520F36" w:rsidP="006928DA">
            <w:pPr>
              <w:spacing w:before="0"/>
              <w:rPr>
                <w:smallCaps/>
                <w:sz w:val="22"/>
                <w:lang w:val="fr-CH"/>
              </w:rPr>
            </w:pPr>
          </w:p>
        </w:tc>
        <w:tc>
          <w:tcPr>
            <w:tcW w:w="3261" w:type="dxa"/>
            <w:tcBorders>
              <w:top w:val="single" w:sz="12" w:space="0" w:color="auto"/>
            </w:tcBorders>
          </w:tcPr>
          <w:p w:rsidR="00520F36" w:rsidRPr="008F70F0" w:rsidRDefault="00520F36" w:rsidP="006928DA">
            <w:pPr>
              <w:spacing w:before="0"/>
              <w:rPr>
                <w:b/>
                <w:bCs/>
                <w:lang w:val="fr-CH"/>
              </w:rPr>
            </w:pPr>
          </w:p>
        </w:tc>
      </w:tr>
      <w:tr w:rsidR="00520F36" w:rsidRPr="008F70F0">
        <w:trPr>
          <w:cantSplit/>
          <w:trHeight w:val="20"/>
        </w:trPr>
        <w:tc>
          <w:tcPr>
            <w:tcW w:w="6912" w:type="dxa"/>
            <w:vMerge w:val="restart"/>
          </w:tcPr>
          <w:p w:rsidR="00520F36" w:rsidRPr="008F70F0" w:rsidRDefault="00520F36" w:rsidP="006928DA">
            <w:pPr>
              <w:spacing w:before="0"/>
              <w:rPr>
                <w:rFonts w:cs="Times"/>
                <w:b/>
                <w:bCs/>
                <w:szCs w:val="24"/>
                <w:lang w:val="fr-CH"/>
              </w:rPr>
            </w:pPr>
            <w:bookmarkStart w:id="2" w:name="dnum" w:colFirst="1" w:colLast="1"/>
            <w:bookmarkStart w:id="3" w:name="dmeeting" w:colFirst="0" w:colLast="0"/>
          </w:p>
        </w:tc>
        <w:tc>
          <w:tcPr>
            <w:tcW w:w="3261" w:type="dxa"/>
          </w:tcPr>
          <w:p w:rsidR="00520F36" w:rsidRPr="008F70F0" w:rsidRDefault="00520F36" w:rsidP="006928DA">
            <w:pPr>
              <w:spacing w:before="0"/>
              <w:rPr>
                <w:b/>
                <w:bCs/>
                <w:lang w:val="fr-CH"/>
              </w:rPr>
            </w:pPr>
            <w:r w:rsidRPr="008F70F0">
              <w:rPr>
                <w:b/>
                <w:bCs/>
                <w:lang w:val="fr-CH"/>
              </w:rPr>
              <w:t>Document C1</w:t>
            </w:r>
            <w:r w:rsidR="003C3FAE" w:rsidRPr="008F70F0">
              <w:rPr>
                <w:b/>
                <w:bCs/>
                <w:lang w:val="fr-CH"/>
              </w:rPr>
              <w:t>8</w:t>
            </w:r>
            <w:r w:rsidRPr="008F70F0">
              <w:rPr>
                <w:b/>
                <w:bCs/>
                <w:lang w:val="fr-CH"/>
              </w:rPr>
              <w:t>/</w:t>
            </w:r>
            <w:r w:rsidR="00D82B9D" w:rsidRPr="008F70F0">
              <w:rPr>
                <w:b/>
                <w:bCs/>
                <w:lang w:val="fr-CH"/>
              </w:rPr>
              <w:t>129</w:t>
            </w:r>
            <w:r w:rsidRPr="008F70F0">
              <w:rPr>
                <w:b/>
                <w:bCs/>
                <w:lang w:val="fr-CH"/>
              </w:rPr>
              <w:t>-F</w:t>
            </w:r>
          </w:p>
        </w:tc>
      </w:tr>
      <w:tr w:rsidR="00520F36" w:rsidRPr="008F70F0">
        <w:trPr>
          <w:cantSplit/>
          <w:trHeight w:val="20"/>
        </w:trPr>
        <w:tc>
          <w:tcPr>
            <w:tcW w:w="6912" w:type="dxa"/>
            <w:vMerge/>
          </w:tcPr>
          <w:p w:rsidR="00520F36" w:rsidRPr="008F70F0" w:rsidRDefault="00520F36" w:rsidP="006928DA">
            <w:pPr>
              <w:shd w:val="solid" w:color="FFFFFF" w:fill="FFFFFF"/>
              <w:spacing w:before="180"/>
              <w:rPr>
                <w:smallCaps/>
                <w:lang w:val="fr-CH"/>
              </w:rPr>
            </w:pPr>
            <w:bookmarkStart w:id="4" w:name="ddate" w:colFirst="1" w:colLast="1"/>
            <w:bookmarkEnd w:id="2"/>
            <w:bookmarkEnd w:id="3"/>
          </w:p>
        </w:tc>
        <w:tc>
          <w:tcPr>
            <w:tcW w:w="3261" w:type="dxa"/>
          </w:tcPr>
          <w:p w:rsidR="00520F36" w:rsidRPr="008F70F0" w:rsidRDefault="006928DA" w:rsidP="00A63484">
            <w:pPr>
              <w:spacing w:before="0"/>
              <w:rPr>
                <w:b/>
                <w:bCs/>
                <w:lang w:val="fr-CH"/>
              </w:rPr>
            </w:pPr>
            <w:r w:rsidRPr="008F70F0">
              <w:rPr>
                <w:b/>
                <w:bCs/>
                <w:lang w:val="fr-CH"/>
              </w:rPr>
              <w:t>2</w:t>
            </w:r>
            <w:r w:rsidR="00A63484">
              <w:rPr>
                <w:b/>
                <w:bCs/>
                <w:lang w:val="fr-CH"/>
              </w:rPr>
              <w:t>1 décembre</w:t>
            </w:r>
            <w:r w:rsidR="00230D92">
              <w:rPr>
                <w:b/>
                <w:bCs/>
                <w:lang w:val="fr-CH"/>
              </w:rPr>
              <w:t xml:space="preserve"> </w:t>
            </w:r>
            <w:r w:rsidR="00520F36" w:rsidRPr="008F70F0">
              <w:rPr>
                <w:b/>
                <w:bCs/>
                <w:lang w:val="fr-CH"/>
              </w:rPr>
              <w:t>201</w:t>
            </w:r>
            <w:r w:rsidR="003C3FAE" w:rsidRPr="008F70F0">
              <w:rPr>
                <w:b/>
                <w:bCs/>
                <w:lang w:val="fr-CH"/>
              </w:rPr>
              <w:t>8</w:t>
            </w:r>
          </w:p>
        </w:tc>
      </w:tr>
      <w:tr w:rsidR="00520F36" w:rsidRPr="008F70F0">
        <w:trPr>
          <w:cantSplit/>
          <w:trHeight w:val="20"/>
        </w:trPr>
        <w:tc>
          <w:tcPr>
            <w:tcW w:w="6912" w:type="dxa"/>
            <w:vMerge/>
          </w:tcPr>
          <w:p w:rsidR="00520F36" w:rsidRPr="008F70F0" w:rsidRDefault="00520F36" w:rsidP="006928DA">
            <w:pPr>
              <w:shd w:val="solid" w:color="FFFFFF" w:fill="FFFFFF"/>
              <w:spacing w:before="180"/>
              <w:rPr>
                <w:smallCaps/>
                <w:lang w:val="fr-CH"/>
              </w:rPr>
            </w:pPr>
            <w:bookmarkStart w:id="5" w:name="dorlang" w:colFirst="1" w:colLast="1"/>
            <w:bookmarkEnd w:id="4"/>
          </w:p>
        </w:tc>
        <w:tc>
          <w:tcPr>
            <w:tcW w:w="3261" w:type="dxa"/>
          </w:tcPr>
          <w:p w:rsidR="00520F36" w:rsidRPr="008F70F0" w:rsidRDefault="00520F36" w:rsidP="006928DA">
            <w:pPr>
              <w:spacing w:before="0"/>
              <w:rPr>
                <w:b/>
                <w:bCs/>
                <w:lang w:val="fr-CH"/>
              </w:rPr>
            </w:pPr>
            <w:r w:rsidRPr="008F70F0">
              <w:rPr>
                <w:b/>
                <w:bCs/>
                <w:lang w:val="fr-CH"/>
              </w:rPr>
              <w:t>Original: anglais</w:t>
            </w:r>
          </w:p>
        </w:tc>
      </w:tr>
      <w:tr w:rsidR="00520F36" w:rsidRPr="008F70F0">
        <w:trPr>
          <w:cantSplit/>
        </w:trPr>
        <w:tc>
          <w:tcPr>
            <w:tcW w:w="10173" w:type="dxa"/>
            <w:gridSpan w:val="2"/>
          </w:tcPr>
          <w:p w:rsidR="006928DA" w:rsidRPr="008F70F0" w:rsidRDefault="006928DA" w:rsidP="006928DA">
            <w:pPr>
              <w:pStyle w:val="Title1"/>
              <w:spacing w:before="720"/>
              <w:rPr>
                <w:lang w:val="fr-CH"/>
              </w:rPr>
            </w:pPr>
            <w:bookmarkStart w:id="6" w:name="dsource" w:colFirst="0" w:colLast="0"/>
            <w:bookmarkEnd w:id="5"/>
            <w:r w:rsidRPr="008F70F0">
              <w:rPr>
                <w:lang w:val="fr-CH"/>
              </w:rPr>
              <w:t>compte rendu</w:t>
            </w:r>
          </w:p>
          <w:p w:rsidR="006928DA" w:rsidRPr="008F70F0" w:rsidRDefault="006928DA" w:rsidP="006928DA">
            <w:pPr>
              <w:pStyle w:val="Title1"/>
              <w:rPr>
                <w:lang w:val="fr-CH"/>
              </w:rPr>
            </w:pPr>
            <w:r w:rsidRPr="008F70F0">
              <w:rPr>
                <w:lang w:val="fr-CH"/>
              </w:rPr>
              <w:t xml:space="preserve">de la </w:t>
            </w:r>
          </w:p>
          <w:p w:rsidR="00520F36" w:rsidRPr="008F70F0" w:rsidRDefault="006928DA" w:rsidP="006928DA">
            <w:pPr>
              <w:pStyle w:val="Title2"/>
              <w:rPr>
                <w:lang w:val="fr-CH"/>
              </w:rPr>
            </w:pPr>
            <w:r w:rsidRPr="008F70F0">
              <w:rPr>
                <w:lang w:val="fr-CH"/>
              </w:rPr>
              <w:t>séance finale de la session de 2018 du conseil</w:t>
            </w:r>
          </w:p>
        </w:tc>
      </w:tr>
      <w:tr w:rsidR="00520F36" w:rsidRPr="008F70F0">
        <w:trPr>
          <w:cantSplit/>
        </w:trPr>
        <w:tc>
          <w:tcPr>
            <w:tcW w:w="10173" w:type="dxa"/>
            <w:gridSpan w:val="2"/>
          </w:tcPr>
          <w:p w:rsidR="00520F36" w:rsidRPr="008F70F0" w:rsidRDefault="006928DA" w:rsidP="006928DA">
            <w:pPr>
              <w:pStyle w:val="Title3"/>
              <w:rPr>
                <w:sz w:val="24"/>
                <w:szCs w:val="24"/>
                <w:lang w:val="fr-CH"/>
              </w:rPr>
            </w:pPr>
            <w:bookmarkStart w:id="7" w:name="dtitle1" w:colFirst="0" w:colLast="0"/>
            <w:bookmarkEnd w:id="6"/>
            <w:r w:rsidRPr="008F70F0">
              <w:rPr>
                <w:sz w:val="24"/>
                <w:szCs w:val="24"/>
                <w:lang w:val="fr-CH"/>
              </w:rPr>
              <w:t>Samedi 27 octobre 2018, de 9</w:t>
            </w:r>
            <w:r w:rsidR="003F627B" w:rsidRPr="008F70F0">
              <w:rPr>
                <w:sz w:val="24"/>
                <w:szCs w:val="24"/>
                <w:lang w:val="fr-CH"/>
              </w:rPr>
              <w:t xml:space="preserve"> </w:t>
            </w:r>
            <w:r w:rsidRPr="008F70F0">
              <w:rPr>
                <w:sz w:val="24"/>
                <w:szCs w:val="24"/>
                <w:lang w:val="fr-CH"/>
              </w:rPr>
              <w:t>h</w:t>
            </w:r>
            <w:r w:rsidR="003F627B" w:rsidRPr="008F70F0">
              <w:rPr>
                <w:sz w:val="24"/>
                <w:szCs w:val="24"/>
                <w:lang w:val="fr-CH"/>
              </w:rPr>
              <w:t xml:space="preserve"> </w:t>
            </w:r>
            <w:r w:rsidRPr="008F70F0">
              <w:rPr>
                <w:sz w:val="24"/>
                <w:szCs w:val="24"/>
                <w:lang w:val="fr-CH"/>
              </w:rPr>
              <w:t>35 à 13</w:t>
            </w:r>
            <w:r w:rsidR="003F627B" w:rsidRPr="008F70F0">
              <w:rPr>
                <w:sz w:val="24"/>
                <w:szCs w:val="24"/>
                <w:lang w:val="fr-CH"/>
              </w:rPr>
              <w:t xml:space="preserve"> </w:t>
            </w:r>
            <w:r w:rsidRPr="008F70F0">
              <w:rPr>
                <w:sz w:val="24"/>
                <w:szCs w:val="24"/>
                <w:lang w:val="fr-CH"/>
              </w:rPr>
              <w:t>h</w:t>
            </w:r>
            <w:r w:rsidR="003F627B" w:rsidRPr="008F70F0">
              <w:rPr>
                <w:sz w:val="24"/>
                <w:szCs w:val="24"/>
                <w:lang w:val="fr-CH"/>
              </w:rPr>
              <w:t xml:space="preserve"> </w:t>
            </w:r>
            <w:r w:rsidRPr="008F70F0">
              <w:rPr>
                <w:sz w:val="24"/>
                <w:szCs w:val="24"/>
                <w:lang w:val="fr-CH"/>
              </w:rPr>
              <w:t>25</w:t>
            </w:r>
          </w:p>
        </w:tc>
      </w:tr>
      <w:tr w:rsidR="006928DA" w:rsidRPr="008F70F0">
        <w:trPr>
          <w:cantSplit/>
        </w:trPr>
        <w:tc>
          <w:tcPr>
            <w:tcW w:w="10173" w:type="dxa"/>
            <w:gridSpan w:val="2"/>
          </w:tcPr>
          <w:p w:rsidR="006928DA" w:rsidRPr="008F70F0" w:rsidRDefault="006928DA" w:rsidP="006928DA">
            <w:pPr>
              <w:pStyle w:val="Title3"/>
              <w:rPr>
                <w:sz w:val="24"/>
                <w:szCs w:val="24"/>
                <w:lang w:val="fr-CH"/>
              </w:rPr>
            </w:pPr>
            <w:r w:rsidRPr="008F70F0">
              <w:rPr>
                <w:b/>
                <w:sz w:val="24"/>
                <w:szCs w:val="24"/>
                <w:lang w:val="fr-CH"/>
              </w:rPr>
              <w:t xml:space="preserve">Président: </w:t>
            </w:r>
            <w:r w:rsidRPr="008F70F0">
              <w:rPr>
                <w:sz w:val="24"/>
                <w:szCs w:val="24"/>
                <w:lang w:val="fr-CH"/>
              </w:rPr>
              <w:t>M. R. ISMAILOV (Fédération de Russie)</w:t>
            </w:r>
          </w:p>
        </w:tc>
      </w:tr>
      <w:bookmarkEnd w:id="7"/>
    </w:tbl>
    <w:p w:rsidR="00571EEA" w:rsidRPr="008F70F0" w:rsidRDefault="00571EEA" w:rsidP="006928DA">
      <w:pPr>
        <w:rPr>
          <w:lang w:val="fr-CH"/>
        </w:rPr>
      </w:pPr>
    </w:p>
    <w:tbl>
      <w:tblPr>
        <w:tblW w:w="5233" w:type="pct"/>
        <w:tblLook w:val="0000" w:firstRow="0" w:lastRow="0" w:firstColumn="0" w:lastColumn="0" w:noHBand="0" w:noVBand="0"/>
      </w:tblPr>
      <w:tblGrid>
        <w:gridCol w:w="521"/>
        <w:gridCol w:w="6795"/>
        <w:gridCol w:w="2772"/>
      </w:tblGrid>
      <w:tr w:rsidR="006928DA" w:rsidRPr="008F70F0" w:rsidTr="00F867C6">
        <w:tc>
          <w:tcPr>
            <w:tcW w:w="258" w:type="pct"/>
          </w:tcPr>
          <w:p w:rsidR="006928DA" w:rsidRPr="008F70F0" w:rsidRDefault="006928DA" w:rsidP="006928DA">
            <w:pPr>
              <w:pStyle w:val="toc0"/>
              <w:rPr>
                <w:rFonts w:asciiTheme="majorBidi" w:hAnsiTheme="majorBidi" w:cstheme="majorBidi"/>
                <w:szCs w:val="24"/>
                <w:lang w:val="fr-CH"/>
              </w:rPr>
            </w:pPr>
          </w:p>
        </w:tc>
        <w:tc>
          <w:tcPr>
            <w:tcW w:w="3368" w:type="pct"/>
          </w:tcPr>
          <w:p w:rsidR="006928DA" w:rsidRPr="008F70F0" w:rsidRDefault="006928DA" w:rsidP="006928DA">
            <w:pPr>
              <w:rPr>
                <w:b/>
                <w:bCs/>
                <w:lang w:val="fr-CH"/>
              </w:rPr>
            </w:pPr>
            <w:r w:rsidRPr="008F70F0">
              <w:rPr>
                <w:b/>
                <w:bCs/>
                <w:lang w:val="fr-CH"/>
              </w:rPr>
              <w:t>Sujets traités</w:t>
            </w:r>
          </w:p>
        </w:tc>
        <w:tc>
          <w:tcPr>
            <w:tcW w:w="1374" w:type="pct"/>
          </w:tcPr>
          <w:p w:rsidR="006928DA" w:rsidRPr="008F70F0" w:rsidRDefault="006928DA" w:rsidP="006928DA">
            <w:pPr>
              <w:jc w:val="center"/>
              <w:rPr>
                <w:b/>
                <w:bCs/>
                <w:lang w:val="fr-CH"/>
              </w:rPr>
            </w:pPr>
            <w:r w:rsidRPr="008F70F0">
              <w:rPr>
                <w:b/>
                <w:bCs/>
                <w:lang w:val="fr-CH"/>
              </w:rPr>
              <w:t>Documents</w:t>
            </w:r>
          </w:p>
        </w:tc>
      </w:tr>
      <w:tr w:rsidR="006928DA" w:rsidRPr="008F70F0" w:rsidTr="00F867C6">
        <w:tc>
          <w:tcPr>
            <w:tcW w:w="258" w:type="pct"/>
          </w:tcPr>
          <w:p w:rsidR="006928DA" w:rsidRPr="008F70F0" w:rsidRDefault="006928DA" w:rsidP="006928DA">
            <w:pPr>
              <w:rPr>
                <w:lang w:val="fr-CH"/>
              </w:rPr>
            </w:pPr>
            <w:r w:rsidRPr="008F70F0">
              <w:rPr>
                <w:lang w:val="fr-CH"/>
              </w:rPr>
              <w:t>1</w:t>
            </w:r>
          </w:p>
        </w:tc>
        <w:tc>
          <w:tcPr>
            <w:tcW w:w="3368" w:type="pct"/>
          </w:tcPr>
          <w:p w:rsidR="006928DA" w:rsidRPr="008F70F0" w:rsidRDefault="006928DA" w:rsidP="006928DA">
            <w:pPr>
              <w:rPr>
                <w:lang w:val="fr-CH"/>
              </w:rPr>
            </w:pPr>
            <w:r w:rsidRPr="008F70F0">
              <w:rPr>
                <w:lang w:val="fr-CH"/>
              </w:rPr>
              <w:t xml:space="preserve">Ouverture de la séance finale de la session de 2018 du Conseil </w:t>
            </w:r>
          </w:p>
        </w:tc>
        <w:tc>
          <w:tcPr>
            <w:tcW w:w="1374" w:type="pct"/>
          </w:tcPr>
          <w:p w:rsidR="006928DA" w:rsidRPr="008F70F0" w:rsidRDefault="00230D92" w:rsidP="006928DA">
            <w:pPr>
              <w:jc w:val="center"/>
              <w:rPr>
                <w:lang w:val="fr-CH"/>
              </w:rPr>
            </w:pPr>
            <w:r>
              <w:rPr>
                <w:lang w:val="fr-CH"/>
              </w:rPr>
              <w:t>–</w:t>
            </w:r>
          </w:p>
        </w:tc>
      </w:tr>
      <w:tr w:rsidR="006928DA" w:rsidRPr="008F70F0" w:rsidTr="00F867C6">
        <w:tc>
          <w:tcPr>
            <w:tcW w:w="258" w:type="pct"/>
          </w:tcPr>
          <w:p w:rsidR="006928DA" w:rsidRPr="008F70F0" w:rsidRDefault="006928DA" w:rsidP="006928DA">
            <w:pPr>
              <w:rPr>
                <w:lang w:val="fr-CH"/>
              </w:rPr>
            </w:pPr>
            <w:r w:rsidRPr="008F70F0">
              <w:rPr>
                <w:lang w:val="fr-CH"/>
              </w:rPr>
              <w:t>2</w:t>
            </w:r>
          </w:p>
        </w:tc>
        <w:tc>
          <w:tcPr>
            <w:tcW w:w="3368" w:type="pct"/>
          </w:tcPr>
          <w:p w:rsidR="006928DA" w:rsidRPr="008F70F0" w:rsidRDefault="006928DA" w:rsidP="006928DA">
            <w:pPr>
              <w:rPr>
                <w:lang w:val="fr-CH"/>
              </w:rPr>
            </w:pPr>
            <w:r w:rsidRPr="008F70F0">
              <w:rPr>
                <w:lang w:val="fr-CH"/>
              </w:rPr>
              <w:t>Rapport de gestion financière vérifié pour 2017 et rapports du Vérificateur extérieur des comptes</w:t>
            </w:r>
          </w:p>
        </w:tc>
        <w:tc>
          <w:tcPr>
            <w:tcW w:w="1374" w:type="pct"/>
          </w:tcPr>
          <w:p w:rsidR="006928DA" w:rsidRPr="008F70F0" w:rsidRDefault="00230D92" w:rsidP="006928DA">
            <w:pPr>
              <w:jc w:val="center"/>
              <w:rPr>
                <w:lang w:val="fr-CH"/>
              </w:rPr>
            </w:pPr>
            <w:hyperlink r:id="rId8" w:history="1">
              <w:r w:rsidR="006928DA" w:rsidRPr="008F70F0">
                <w:rPr>
                  <w:rStyle w:val="Hyperlink"/>
                  <w:lang w:val="fr-CH"/>
                </w:rPr>
                <w:t>C18/40</w:t>
              </w:r>
            </w:hyperlink>
            <w:r w:rsidR="006928DA" w:rsidRPr="008F70F0">
              <w:rPr>
                <w:lang w:val="fr-CH"/>
              </w:rPr>
              <w:t xml:space="preserve">, </w:t>
            </w:r>
            <w:hyperlink r:id="rId9" w:history="1">
              <w:r w:rsidR="006928DA" w:rsidRPr="008F70F0">
                <w:rPr>
                  <w:rStyle w:val="Hyperlink"/>
                  <w:lang w:val="fr-CH"/>
                </w:rPr>
                <w:t>C18/41</w:t>
              </w:r>
            </w:hyperlink>
            <w:r w:rsidR="006928DA" w:rsidRPr="008F70F0">
              <w:rPr>
                <w:lang w:val="fr-CH"/>
              </w:rPr>
              <w:t xml:space="preserve">, </w:t>
            </w:r>
            <w:hyperlink r:id="rId10" w:history="1">
              <w:r w:rsidR="006928DA" w:rsidRPr="008F70F0">
                <w:rPr>
                  <w:rStyle w:val="Hyperlink"/>
                  <w:lang w:val="fr-CH"/>
                </w:rPr>
                <w:t>C18/43</w:t>
              </w:r>
            </w:hyperlink>
            <w:r w:rsidR="006928DA" w:rsidRPr="008F70F0">
              <w:rPr>
                <w:lang w:val="fr-CH"/>
              </w:rPr>
              <w:t xml:space="preserve">, </w:t>
            </w:r>
            <w:hyperlink r:id="rId11" w:history="1">
              <w:r w:rsidR="006928DA" w:rsidRPr="008F70F0">
                <w:rPr>
                  <w:rStyle w:val="Hyperlink"/>
                  <w:lang w:val="fr-CH"/>
                </w:rPr>
                <w:t>C18/125</w:t>
              </w:r>
            </w:hyperlink>
          </w:p>
        </w:tc>
      </w:tr>
      <w:tr w:rsidR="006928DA" w:rsidRPr="008F70F0" w:rsidTr="00F867C6">
        <w:tc>
          <w:tcPr>
            <w:tcW w:w="258" w:type="pct"/>
          </w:tcPr>
          <w:p w:rsidR="006928DA" w:rsidRPr="008F70F0" w:rsidRDefault="006928DA" w:rsidP="006928DA">
            <w:pPr>
              <w:rPr>
                <w:lang w:val="fr-CH"/>
              </w:rPr>
            </w:pPr>
            <w:r w:rsidRPr="008F70F0">
              <w:rPr>
                <w:lang w:val="fr-CH"/>
              </w:rPr>
              <w:t>3</w:t>
            </w:r>
          </w:p>
        </w:tc>
        <w:tc>
          <w:tcPr>
            <w:tcW w:w="3368" w:type="pct"/>
          </w:tcPr>
          <w:p w:rsidR="006928DA" w:rsidRPr="008F70F0" w:rsidRDefault="006928DA" w:rsidP="006928DA">
            <w:pPr>
              <w:rPr>
                <w:lang w:val="fr-CH"/>
              </w:rPr>
            </w:pPr>
            <w:r w:rsidRPr="008F70F0">
              <w:rPr>
                <w:lang w:val="fr-CH"/>
              </w:rPr>
              <w:t>Rapport supplémentaire du Comité consultatif indépendant pour les questions de gestion</w:t>
            </w:r>
          </w:p>
        </w:tc>
        <w:tc>
          <w:tcPr>
            <w:tcW w:w="1374" w:type="pct"/>
          </w:tcPr>
          <w:p w:rsidR="006928DA" w:rsidRPr="008F70F0" w:rsidRDefault="00230D92" w:rsidP="006928DA">
            <w:pPr>
              <w:jc w:val="center"/>
              <w:rPr>
                <w:lang w:val="fr-CH"/>
              </w:rPr>
            </w:pPr>
            <w:hyperlink r:id="rId12" w:history="1">
              <w:r w:rsidR="006928DA" w:rsidRPr="008F70F0">
                <w:rPr>
                  <w:rStyle w:val="Hyperlink"/>
                  <w:lang w:val="fr-CH"/>
                </w:rPr>
                <w:t>C18/22(Add.1)</w:t>
              </w:r>
            </w:hyperlink>
          </w:p>
        </w:tc>
      </w:tr>
      <w:tr w:rsidR="006928DA" w:rsidRPr="008F70F0" w:rsidTr="00F867C6">
        <w:tc>
          <w:tcPr>
            <w:tcW w:w="258" w:type="pct"/>
          </w:tcPr>
          <w:p w:rsidR="006928DA" w:rsidRPr="008F70F0" w:rsidRDefault="006928DA" w:rsidP="006928DA">
            <w:pPr>
              <w:rPr>
                <w:lang w:val="fr-CH"/>
              </w:rPr>
            </w:pPr>
            <w:r w:rsidRPr="008F70F0">
              <w:rPr>
                <w:lang w:val="fr-CH"/>
              </w:rPr>
              <w:t>4</w:t>
            </w:r>
          </w:p>
        </w:tc>
        <w:tc>
          <w:tcPr>
            <w:tcW w:w="3368" w:type="pct"/>
          </w:tcPr>
          <w:p w:rsidR="006928DA" w:rsidRPr="008F70F0" w:rsidRDefault="006928DA" w:rsidP="006928DA">
            <w:pPr>
              <w:rPr>
                <w:lang w:val="fr-CH"/>
              </w:rPr>
            </w:pPr>
            <w:r w:rsidRPr="008F70F0">
              <w:rPr>
                <w:lang w:val="fr-CH"/>
              </w:rPr>
              <w:t>Etablissement d'un bureau de zone de l'UIT pour l'Asie du Sud</w:t>
            </w:r>
          </w:p>
        </w:tc>
        <w:tc>
          <w:tcPr>
            <w:tcW w:w="1374" w:type="pct"/>
          </w:tcPr>
          <w:p w:rsidR="006928DA" w:rsidRPr="008F70F0" w:rsidRDefault="00230D92" w:rsidP="006928DA">
            <w:pPr>
              <w:jc w:val="center"/>
              <w:rPr>
                <w:lang w:val="fr-CH"/>
              </w:rPr>
            </w:pPr>
            <w:hyperlink r:id="rId13" w:history="1">
              <w:r w:rsidR="006928DA" w:rsidRPr="008F70F0">
                <w:rPr>
                  <w:rStyle w:val="Hyperlink"/>
                  <w:lang w:val="fr-CH"/>
                </w:rPr>
                <w:t>C18/122</w:t>
              </w:r>
            </w:hyperlink>
          </w:p>
        </w:tc>
      </w:tr>
      <w:tr w:rsidR="006928DA" w:rsidRPr="00230D92" w:rsidTr="00F867C6">
        <w:tc>
          <w:tcPr>
            <w:tcW w:w="258" w:type="pct"/>
          </w:tcPr>
          <w:p w:rsidR="006928DA" w:rsidRPr="008F70F0" w:rsidRDefault="006928DA" w:rsidP="006928DA">
            <w:pPr>
              <w:rPr>
                <w:lang w:val="fr-CH"/>
              </w:rPr>
            </w:pPr>
            <w:r w:rsidRPr="008F70F0">
              <w:rPr>
                <w:lang w:val="fr-CH"/>
              </w:rPr>
              <w:t>5</w:t>
            </w:r>
          </w:p>
        </w:tc>
        <w:tc>
          <w:tcPr>
            <w:tcW w:w="3368" w:type="pct"/>
          </w:tcPr>
          <w:p w:rsidR="006928DA" w:rsidRPr="008F70F0" w:rsidRDefault="006928DA" w:rsidP="006928DA">
            <w:pPr>
              <w:rPr>
                <w:lang w:val="fr-CH"/>
              </w:rPr>
            </w:pPr>
            <w:r w:rsidRPr="008F70F0">
              <w:rPr>
                <w:lang w:val="fr-CH"/>
              </w:rPr>
              <w:t>Rapport sur les progrès réalisés concernant le projet de locaux du siège de l'Union</w:t>
            </w:r>
          </w:p>
        </w:tc>
        <w:tc>
          <w:tcPr>
            <w:tcW w:w="1374" w:type="pct"/>
          </w:tcPr>
          <w:p w:rsidR="006928DA" w:rsidRPr="00E24CAC" w:rsidRDefault="00230D92" w:rsidP="006928DA">
            <w:pPr>
              <w:jc w:val="center"/>
              <w:rPr>
                <w:lang w:val="en-US"/>
              </w:rPr>
            </w:pPr>
            <w:hyperlink r:id="rId14" w:history="1">
              <w:r w:rsidR="006928DA" w:rsidRPr="00E24CAC">
                <w:rPr>
                  <w:rStyle w:val="Hyperlink"/>
                  <w:lang w:val="en-US"/>
                </w:rPr>
                <w:t>C18/123 + Add.1</w:t>
              </w:r>
            </w:hyperlink>
            <w:r w:rsidR="006928DA" w:rsidRPr="00E24CAC">
              <w:rPr>
                <w:lang w:val="en-US"/>
              </w:rPr>
              <w:t xml:space="preserve">, </w:t>
            </w:r>
            <w:hyperlink r:id="rId15" w:history="1">
              <w:r w:rsidR="006928DA" w:rsidRPr="00E24CAC">
                <w:rPr>
                  <w:rStyle w:val="Hyperlink"/>
                  <w:lang w:val="en-US"/>
                </w:rPr>
                <w:t>C18/124</w:t>
              </w:r>
            </w:hyperlink>
            <w:r w:rsidR="006928DA" w:rsidRPr="00E24CAC">
              <w:rPr>
                <w:lang w:val="en-US"/>
              </w:rPr>
              <w:t xml:space="preserve">, </w:t>
            </w:r>
            <w:hyperlink r:id="rId16" w:history="1">
              <w:r w:rsidR="006928DA" w:rsidRPr="00E24CAC">
                <w:rPr>
                  <w:rStyle w:val="Hyperlink"/>
                  <w:lang w:val="en-US"/>
                </w:rPr>
                <w:t>C18/126</w:t>
              </w:r>
            </w:hyperlink>
            <w:r w:rsidR="006928DA" w:rsidRPr="00E24CAC">
              <w:rPr>
                <w:lang w:val="en-US"/>
              </w:rPr>
              <w:t xml:space="preserve">, </w:t>
            </w:r>
            <w:hyperlink r:id="rId17" w:history="1">
              <w:r w:rsidR="006928DA" w:rsidRPr="00E24CAC">
                <w:rPr>
                  <w:rStyle w:val="Hyperlink"/>
                  <w:lang w:val="en-US"/>
                </w:rPr>
                <w:t>C18/INF/18</w:t>
              </w:r>
            </w:hyperlink>
            <w:r w:rsidR="006928DA" w:rsidRPr="00E24CAC">
              <w:rPr>
                <w:lang w:val="en-US"/>
              </w:rPr>
              <w:t xml:space="preserve">, </w:t>
            </w:r>
            <w:hyperlink r:id="rId18" w:history="1">
              <w:r w:rsidR="006928DA" w:rsidRPr="00E24CAC">
                <w:rPr>
                  <w:rStyle w:val="Hyperlink"/>
                  <w:lang w:val="en-US"/>
                </w:rPr>
                <w:t>C18/INF/19</w:t>
              </w:r>
            </w:hyperlink>
          </w:p>
        </w:tc>
      </w:tr>
      <w:tr w:rsidR="006928DA" w:rsidRPr="008F70F0" w:rsidTr="00F867C6">
        <w:tc>
          <w:tcPr>
            <w:tcW w:w="258" w:type="pct"/>
          </w:tcPr>
          <w:p w:rsidR="006928DA" w:rsidRPr="008F70F0" w:rsidRDefault="006928DA" w:rsidP="006928DA">
            <w:pPr>
              <w:rPr>
                <w:lang w:val="fr-CH"/>
              </w:rPr>
            </w:pPr>
            <w:r w:rsidRPr="008F70F0">
              <w:rPr>
                <w:lang w:val="fr-CH"/>
              </w:rPr>
              <w:t>6</w:t>
            </w:r>
          </w:p>
        </w:tc>
        <w:tc>
          <w:tcPr>
            <w:tcW w:w="3368" w:type="pct"/>
          </w:tcPr>
          <w:p w:rsidR="006928DA" w:rsidRPr="008F70F0" w:rsidRDefault="006928DA" w:rsidP="006928DA">
            <w:pPr>
              <w:rPr>
                <w:lang w:val="fr-CH"/>
              </w:rPr>
            </w:pPr>
            <w:r w:rsidRPr="008F70F0">
              <w:rPr>
                <w:lang w:val="fr-CH"/>
              </w:rPr>
              <w:t>Clôture de la session de 2018 du Conseil</w:t>
            </w:r>
          </w:p>
        </w:tc>
        <w:tc>
          <w:tcPr>
            <w:tcW w:w="1374" w:type="pct"/>
          </w:tcPr>
          <w:p w:rsidR="006928DA" w:rsidRPr="008F70F0" w:rsidRDefault="006928DA" w:rsidP="006928DA">
            <w:pPr>
              <w:jc w:val="center"/>
              <w:rPr>
                <w:lang w:val="fr-CH"/>
              </w:rPr>
            </w:pPr>
            <w:r w:rsidRPr="008F70F0">
              <w:rPr>
                <w:lang w:val="fr-CH"/>
              </w:rPr>
              <w:t>-</w:t>
            </w:r>
          </w:p>
        </w:tc>
      </w:tr>
    </w:tbl>
    <w:p w:rsidR="006928DA" w:rsidRPr="008F70F0" w:rsidRDefault="006928DA" w:rsidP="006928DA">
      <w:pPr>
        <w:rPr>
          <w:lang w:val="fr-CH"/>
        </w:rPr>
      </w:pPr>
    </w:p>
    <w:p w:rsidR="006928DA" w:rsidRPr="008F70F0" w:rsidRDefault="006928DA" w:rsidP="006928DA">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F70F0">
        <w:rPr>
          <w:lang w:val="fr-CH"/>
        </w:rPr>
        <w:br w:type="page"/>
      </w:r>
    </w:p>
    <w:p w:rsidR="006928DA" w:rsidRPr="008F70F0" w:rsidRDefault="006928DA" w:rsidP="0007112A">
      <w:pPr>
        <w:pStyle w:val="Heading1"/>
        <w:rPr>
          <w:rFonts w:asciiTheme="minorHAnsi" w:hAnsiTheme="minorHAnsi"/>
          <w:sz w:val="26"/>
          <w:szCs w:val="26"/>
          <w:lang w:val="fr-CH"/>
        </w:rPr>
      </w:pPr>
      <w:r w:rsidRPr="008F70F0">
        <w:rPr>
          <w:rFonts w:asciiTheme="minorHAnsi" w:hAnsiTheme="minorHAnsi"/>
          <w:sz w:val="26"/>
          <w:szCs w:val="26"/>
          <w:lang w:val="fr-CH"/>
        </w:rPr>
        <w:lastRenderedPageBreak/>
        <w:t>1</w:t>
      </w:r>
      <w:r w:rsidRPr="008F70F0">
        <w:rPr>
          <w:rFonts w:asciiTheme="minorHAnsi" w:hAnsiTheme="minorHAnsi"/>
          <w:sz w:val="26"/>
          <w:szCs w:val="26"/>
          <w:lang w:val="fr-CH"/>
        </w:rPr>
        <w:tab/>
      </w:r>
      <w:r w:rsidRPr="008F70F0">
        <w:rPr>
          <w:lang w:val="fr-CH"/>
        </w:rPr>
        <w:t>Ouverture de la séance finale de la session de 2018 du Conseil</w:t>
      </w:r>
    </w:p>
    <w:p w:rsidR="006928DA" w:rsidRPr="008F70F0" w:rsidRDefault="006928DA" w:rsidP="0007112A">
      <w:pPr>
        <w:rPr>
          <w:lang w:val="fr-CH"/>
        </w:rPr>
      </w:pPr>
      <w:r w:rsidRPr="008F70F0">
        <w:rPr>
          <w:lang w:val="fr-CH"/>
        </w:rPr>
        <w:t>1.1</w:t>
      </w:r>
      <w:r w:rsidRPr="008F70F0">
        <w:rPr>
          <w:lang w:val="fr-CH"/>
        </w:rPr>
        <w:tab/>
        <w:t xml:space="preserve">Le Secrétaire général ouvre la séance, souhaite la bienvenue à Dubaï aux participants et félicite le pays hôte pour le cadre exceptionnel de la manifestation. Il demande </w:t>
      </w:r>
      <w:r w:rsidR="00501AB1" w:rsidRPr="008F70F0">
        <w:rPr>
          <w:lang w:val="fr-CH"/>
        </w:rPr>
        <w:t>aux participants d'observer une minute de silence à la</w:t>
      </w:r>
      <w:r w:rsidRPr="008F70F0">
        <w:rPr>
          <w:lang w:val="fr-CH"/>
        </w:rPr>
        <w:t xml:space="preserve"> mémoire de M. Francisco Molina Negro (Espagne), de M.</w:t>
      </w:r>
      <w:r w:rsidR="00501AB1" w:rsidRPr="008F70F0">
        <w:rPr>
          <w:lang w:val="fr-CH"/>
        </w:rPr>
        <w:t> </w:t>
      </w:r>
      <w:r w:rsidRPr="008F70F0">
        <w:rPr>
          <w:lang w:val="fr-CH"/>
        </w:rPr>
        <w:t>Mark Krivocheev (Fédération de Russie) et de tous les autres collaborateurs de l'UIT qui sont décédés depuis la PP-14.</w:t>
      </w:r>
    </w:p>
    <w:p w:rsidR="006928DA" w:rsidRPr="008F70F0" w:rsidRDefault="006928DA" w:rsidP="006928DA">
      <w:pPr>
        <w:snapToGrid w:val="0"/>
        <w:spacing w:after="120"/>
        <w:rPr>
          <w:rFonts w:asciiTheme="minorHAnsi" w:hAnsiTheme="minorHAnsi"/>
          <w:szCs w:val="24"/>
          <w:lang w:val="fr-CH"/>
        </w:rPr>
      </w:pPr>
      <w:r w:rsidRPr="008F70F0">
        <w:rPr>
          <w:rFonts w:asciiTheme="minorHAnsi" w:hAnsiTheme="minorHAnsi"/>
          <w:szCs w:val="24"/>
          <w:lang w:val="fr-CH"/>
        </w:rPr>
        <w:t>1.2</w:t>
      </w:r>
      <w:r w:rsidRPr="008F70F0">
        <w:rPr>
          <w:rFonts w:asciiTheme="minorHAnsi" w:hAnsiTheme="minorHAnsi"/>
          <w:szCs w:val="24"/>
          <w:lang w:val="fr-CH"/>
        </w:rPr>
        <w:tab/>
      </w:r>
      <w:r w:rsidRPr="008F70F0">
        <w:rPr>
          <w:rFonts w:asciiTheme="minorHAnsi" w:hAnsiTheme="minorHAnsi"/>
          <w:b/>
          <w:bCs/>
          <w:szCs w:val="24"/>
          <w:lang w:val="fr-CH"/>
        </w:rPr>
        <w:t>Une minute de silence est observée.</w:t>
      </w:r>
    </w:p>
    <w:p w:rsidR="006928DA" w:rsidRPr="008F70F0" w:rsidRDefault="006928DA" w:rsidP="006928DA">
      <w:pPr>
        <w:snapToGrid w:val="0"/>
        <w:spacing w:after="120"/>
        <w:rPr>
          <w:rFonts w:asciiTheme="minorHAnsi" w:hAnsiTheme="minorHAnsi"/>
          <w:szCs w:val="24"/>
          <w:lang w:val="fr-CH"/>
        </w:rPr>
      </w:pPr>
      <w:r w:rsidRPr="008F70F0">
        <w:rPr>
          <w:rFonts w:asciiTheme="minorHAnsi" w:hAnsiTheme="minorHAnsi"/>
          <w:szCs w:val="24"/>
          <w:lang w:val="fr-CH"/>
        </w:rPr>
        <w:t>1.3</w:t>
      </w:r>
      <w:r w:rsidRPr="008F70F0">
        <w:rPr>
          <w:rFonts w:asciiTheme="minorHAnsi" w:hAnsiTheme="minorHAnsi"/>
          <w:szCs w:val="24"/>
          <w:lang w:val="fr-CH"/>
        </w:rPr>
        <w:tab/>
        <w:t>Le Président souhaite la bienvenue à Dubaï aux participants. Il invite les conseillers à travailler avec efficacité</w:t>
      </w:r>
      <w:r w:rsidR="00501AB1" w:rsidRPr="008F70F0">
        <w:rPr>
          <w:rFonts w:asciiTheme="minorHAnsi" w:hAnsiTheme="minorHAnsi"/>
          <w:szCs w:val="24"/>
          <w:lang w:val="fr-CH"/>
        </w:rPr>
        <w:t>,</w:t>
      </w:r>
      <w:r w:rsidRPr="008F70F0">
        <w:rPr>
          <w:rFonts w:asciiTheme="minorHAnsi" w:hAnsiTheme="minorHAnsi"/>
          <w:szCs w:val="24"/>
          <w:lang w:val="fr-CH"/>
        </w:rPr>
        <w:t xml:space="preserve"> pour que le Conseil puisse traiter tous les points inscrits à son ordre du jour très chargé.</w:t>
      </w:r>
    </w:p>
    <w:p w:rsidR="006928DA" w:rsidRPr="008F70F0" w:rsidRDefault="006928DA" w:rsidP="006928DA">
      <w:pPr>
        <w:snapToGrid w:val="0"/>
        <w:spacing w:after="120"/>
        <w:rPr>
          <w:rFonts w:asciiTheme="minorHAnsi" w:hAnsiTheme="minorHAnsi"/>
          <w:szCs w:val="24"/>
          <w:lang w:val="fr-CH"/>
        </w:rPr>
      </w:pPr>
      <w:r w:rsidRPr="008F70F0">
        <w:rPr>
          <w:rFonts w:asciiTheme="minorHAnsi" w:hAnsiTheme="minorHAnsi"/>
          <w:szCs w:val="24"/>
          <w:lang w:val="fr-CH"/>
        </w:rPr>
        <w:t>1.4</w:t>
      </w:r>
      <w:r w:rsidRPr="008F70F0">
        <w:rPr>
          <w:rFonts w:asciiTheme="minorHAnsi" w:hAnsiTheme="minorHAnsi"/>
          <w:szCs w:val="24"/>
          <w:lang w:val="fr-CH"/>
        </w:rPr>
        <w:tab/>
        <w:t>Le conseiller des Emirats arabes unis souhaite également la bienvenue à Dubaï aux participants et souhaite plein succès au Conseil et à la Conférence de plénipotentiaires.</w:t>
      </w:r>
    </w:p>
    <w:p w:rsidR="006928DA" w:rsidRPr="008F70F0" w:rsidRDefault="006928DA" w:rsidP="0007112A">
      <w:pPr>
        <w:rPr>
          <w:lang w:val="fr-CH"/>
        </w:rPr>
      </w:pPr>
      <w:r w:rsidRPr="008F70F0">
        <w:rPr>
          <w:lang w:val="fr-CH"/>
        </w:rPr>
        <w:t>1.5</w:t>
      </w:r>
      <w:r w:rsidRPr="008F70F0">
        <w:rPr>
          <w:lang w:val="fr-CH"/>
        </w:rPr>
        <w:tab/>
        <w:t xml:space="preserve">De nombreux autres conseillers prennent </w:t>
      </w:r>
      <w:r w:rsidR="00501AB1" w:rsidRPr="008F70F0">
        <w:rPr>
          <w:lang w:val="fr-CH"/>
        </w:rPr>
        <w:t>ensuite</w:t>
      </w:r>
      <w:r w:rsidRPr="008F70F0">
        <w:rPr>
          <w:lang w:val="fr-CH"/>
        </w:rPr>
        <w:t xml:space="preserve"> la parole</w:t>
      </w:r>
      <w:r w:rsidR="00501AB1" w:rsidRPr="008F70F0">
        <w:rPr>
          <w:lang w:val="fr-CH"/>
        </w:rPr>
        <w:t>,</w:t>
      </w:r>
      <w:r w:rsidRPr="008F70F0">
        <w:rPr>
          <w:lang w:val="fr-CH"/>
        </w:rPr>
        <w:t xml:space="preserve"> afin de remercier le </w:t>
      </w:r>
      <w:r w:rsidR="00501AB1" w:rsidRPr="008F70F0">
        <w:rPr>
          <w:lang w:val="fr-CH"/>
        </w:rPr>
        <w:t>G</w:t>
      </w:r>
      <w:r w:rsidRPr="008F70F0">
        <w:rPr>
          <w:lang w:val="fr-CH"/>
        </w:rPr>
        <w:t>ouvernement et l'</w:t>
      </w:r>
      <w:r w:rsidR="00501AB1" w:rsidRPr="008F70F0">
        <w:rPr>
          <w:lang w:val="fr-CH"/>
        </w:rPr>
        <w:t>A</w:t>
      </w:r>
      <w:r w:rsidRPr="008F70F0">
        <w:rPr>
          <w:lang w:val="fr-CH"/>
        </w:rPr>
        <w:t>dministration des Emirats arabes unis pour les installations exceptionnelles qu'ils ont mises à disposition.</w:t>
      </w:r>
    </w:p>
    <w:p w:rsidR="006928DA" w:rsidRPr="008F70F0" w:rsidRDefault="006928DA" w:rsidP="0007112A">
      <w:pPr>
        <w:pStyle w:val="Heading1"/>
        <w:rPr>
          <w:lang w:val="fr-CH"/>
        </w:rPr>
      </w:pPr>
      <w:r w:rsidRPr="008F70F0">
        <w:rPr>
          <w:lang w:val="fr-CH"/>
        </w:rPr>
        <w:t>2</w:t>
      </w:r>
      <w:r w:rsidRPr="008F70F0">
        <w:rPr>
          <w:lang w:val="fr-CH"/>
        </w:rPr>
        <w:tab/>
        <w:t xml:space="preserve">Rapport de gestion financière vérifié pour 2017 et rapports du Vérificateur extérieur des comptes (Documents </w:t>
      </w:r>
      <w:hyperlink r:id="rId19" w:history="1">
        <w:r w:rsidRPr="00072684">
          <w:rPr>
            <w:rStyle w:val="Hyperlink"/>
            <w:rFonts w:asciiTheme="minorHAnsi" w:hAnsiTheme="minorHAnsi"/>
            <w:szCs w:val="28"/>
            <w:lang w:val="fr-CH"/>
          </w:rPr>
          <w:t>C18/40</w:t>
        </w:r>
      </w:hyperlink>
      <w:r w:rsidRPr="00072684">
        <w:rPr>
          <w:szCs w:val="28"/>
          <w:lang w:val="fr-CH"/>
        </w:rPr>
        <w:t xml:space="preserve">, </w:t>
      </w:r>
      <w:hyperlink r:id="rId20" w:history="1">
        <w:r w:rsidRPr="00072684">
          <w:rPr>
            <w:rStyle w:val="Hyperlink"/>
            <w:rFonts w:asciiTheme="minorHAnsi" w:hAnsiTheme="minorHAnsi"/>
            <w:szCs w:val="28"/>
            <w:lang w:val="fr-CH"/>
          </w:rPr>
          <w:t>C18/41</w:t>
        </w:r>
      </w:hyperlink>
      <w:r w:rsidRPr="00072684">
        <w:rPr>
          <w:szCs w:val="28"/>
          <w:lang w:val="fr-CH"/>
        </w:rPr>
        <w:t xml:space="preserve">, </w:t>
      </w:r>
      <w:hyperlink r:id="rId21" w:history="1">
        <w:r w:rsidRPr="00072684">
          <w:rPr>
            <w:rStyle w:val="Hyperlink"/>
            <w:rFonts w:asciiTheme="minorHAnsi" w:hAnsiTheme="minorHAnsi"/>
            <w:szCs w:val="28"/>
            <w:lang w:val="fr-CH"/>
          </w:rPr>
          <w:t>C18/43</w:t>
        </w:r>
      </w:hyperlink>
      <w:r w:rsidRPr="00072684">
        <w:rPr>
          <w:szCs w:val="28"/>
          <w:lang w:val="fr-CH"/>
        </w:rPr>
        <w:t xml:space="preserve"> et </w:t>
      </w:r>
      <w:hyperlink r:id="rId22" w:history="1">
        <w:r w:rsidRPr="00072684">
          <w:rPr>
            <w:rStyle w:val="Hyperlink"/>
            <w:rFonts w:asciiTheme="minorHAnsi" w:hAnsiTheme="minorHAnsi"/>
            <w:szCs w:val="28"/>
            <w:lang w:val="fr-CH"/>
          </w:rPr>
          <w:t>C18/125</w:t>
        </w:r>
      </w:hyperlink>
      <w:r w:rsidRPr="008F70F0">
        <w:rPr>
          <w:lang w:val="fr-CH"/>
        </w:rPr>
        <w:t xml:space="preserve">) </w:t>
      </w:r>
    </w:p>
    <w:p w:rsidR="006928DA" w:rsidRPr="008F70F0" w:rsidRDefault="006928DA" w:rsidP="00E24CAC">
      <w:pPr>
        <w:rPr>
          <w:lang w:val="fr-CH"/>
        </w:rPr>
      </w:pPr>
      <w:r w:rsidRPr="008F70F0">
        <w:rPr>
          <w:lang w:val="fr-CH"/>
        </w:rPr>
        <w:t>2.1</w:t>
      </w:r>
      <w:r w:rsidRPr="008F70F0">
        <w:rPr>
          <w:lang w:val="fr-CH"/>
        </w:rPr>
        <w:tab/>
        <w:t xml:space="preserve">La représentante du secrétariat présente le Document C18/43, qui contient le Rapport de gestion financière vérifié pour l'exercice </w:t>
      </w:r>
      <w:r w:rsidR="00501AB1" w:rsidRPr="008F70F0">
        <w:rPr>
          <w:lang w:val="fr-CH"/>
        </w:rPr>
        <w:t>financier</w:t>
      </w:r>
      <w:r w:rsidRPr="008F70F0">
        <w:rPr>
          <w:lang w:val="fr-CH"/>
        </w:rPr>
        <w:t xml:space="preserve"> 2017</w:t>
      </w:r>
      <w:r w:rsidR="00501AB1" w:rsidRPr="008F70F0">
        <w:rPr>
          <w:lang w:val="fr-CH"/>
        </w:rPr>
        <w:t>. Elle indique</w:t>
      </w:r>
      <w:r w:rsidRPr="008F70F0">
        <w:rPr>
          <w:lang w:val="fr-CH"/>
        </w:rPr>
        <w:t xml:space="preserve"> </w:t>
      </w:r>
      <w:r w:rsidR="00501AB1" w:rsidRPr="008F70F0">
        <w:rPr>
          <w:lang w:val="fr-CH"/>
        </w:rPr>
        <w:t>notamment</w:t>
      </w:r>
      <w:r w:rsidRPr="008F70F0">
        <w:rPr>
          <w:lang w:val="fr-CH"/>
        </w:rPr>
        <w:t xml:space="preserve"> que la situation financière immédiate de l'Union est saine, malgré le niveau des arriérés, des comptes spéciaux d'arriérés et des comptes spéciaux d'arriérés supprimés. Grâce </w:t>
      </w:r>
      <w:r w:rsidR="00E24CAC">
        <w:rPr>
          <w:lang w:val="fr-CH"/>
        </w:rPr>
        <w:t xml:space="preserve">à </w:t>
      </w:r>
      <w:r w:rsidRPr="008F70F0">
        <w:rPr>
          <w:lang w:val="fr-CH"/>
        </w:rPr>
        <w:t xml:space="preserve">l'appui régulier fourni par les administrations pour le recouvrement des créances, le niveau de créances à recouvrer a diminué pour la septième année consécutive, enregistrant une nouvelle </w:t>
      </w:r>
      <w:r w:rsidR="00501AB1" w:rsidRPr="008F70F0">
        <w:rPr>
          <w:lang w:val="fr-CH"/>
        </w:rPr>
        <w:t>baisse de 4,5</w:t>
      </w:r>
      <w:r w:rsidRPr="008F70F0">
        <w:rPr>
          <w:lang w:val="fr-CH"/>
        </w:rPr>
        <w:t>%.</w:t>
      </w:r>
    </w:p>
    <w:p w:rsidR="006928DA" w:rsidRPr="008F70F0" w:rsidRDefault="006928DA" w:rsidP="00E24CAC">
      <w:pPr>
        <w:rPr>
          <w:lang w:val="fr-CH"/>
        </w:rPr>
      </w:pPr>
      <w:r w:rsidRPr="008F70F0">
        <w:rPr>
          <w:lang w:val="fr-CH"/>
        </w:rPr>
        <w:t>2.2</w:t>
      </w:r>
      <w:r w:rsidRPr="008F70F0">
        <w:rPr>
          <w:lang w:val="fr-CH"/>
        </w:rPr>
        <w:tab/>
        <w:t>Le Vérificateur extérieur des comptes présente le Document C18/40 relatif à la vérification exté</w:t>
      </w:r>
      <w:r w:rsidR="00D91307" w:rsidRPr="008F70F0">
        <w:rPr>
          <w:lang w:val="fr-CH"/>
        </w:rPr>
        <w:t>rieure des comptes pour 2017 et</w:t>
      </w:r>
      <w:r w:rsidRPr="008F70F0">
        <w:rPr>
          <w:lang w:val="fr-CH"/>
        </w:rPr>
        <w:t xml:space="preserve"> appel</w:t>
      </w:r>
      <w:r w:rsidR="00D91307" w:rsidRPr="008F70F0">
        <w:rPr>
          <w:lang w:val="fr-CH"/>
        </w:rPr>
        <w:t>le</w:t>
      </w:r>
      <w:r w:rsidRPr="008F70F0">
        <w:rPr>
          <w:lang w:val="fr-CH"/>
        </w:rPr>
        <w:t xml:space="preserve"> </w:t>
      </w:r>
      <w:r w:rsidR="00D91307" w:rsidRPr="008F70F0">
        <w:rPr>
          <w:lang w:val="fr-CH"/>
        </w:rPr>
        <w:t xml:space="preserve">en </w:t>
      </w:r>
      <w:r w:rsidRPr="008F70F0">
        <w:rPr>
          <w:lang w:val="fr-CH"/>
        </w:rPr>
        <w:t>particuli</w:t>
      </w:r>
      <w:r w:rsidR="00D91307" w:rsidRPr="008F70F0">
        <w:rPr>
          <w:lang w:val="fr-CH"/>
        </w:rPr>
        <w:t xml:space="preserve">er </w:t>
      </w:r>
      <w:r w:rsidRPr="008F70F0">
        <w:rPr>
          <w:lang w:val="fr-CH"/>
        </w:rPr>
        <w:t xml:space="preserve">l'attention sur la nécessité de suivre et de gérer les passifs actuariels, d'élaborer une politique de gestion prévisionnelle des besoins en personnel, de concevoir les nouveaux locaux en tenant compte des besoins à long terme </w:t>
      </w:r>
      <w:r w:rsidR="00D91307" w:rsidRPr="008F70F0">
        <w:rPr>
          <w:lang w:val="fr-CH"/>
        </w:rPr>
        <w:t xml:space="preserve">de l'Union </w:t>
      </w:r>
      <w:r w:rsidRPr="008F70F0">
        <w:rPr>
          <w:lang w:val="fr-CH"/>
        </w:rPr>
        <w:t xml:space="preserve">et </w:t>
      </w:r>
      <w:r w:rsidR="00D91307" w:rsidRPr="008F70F0">
        <w:rPr>
          <w:lang w:val="fr-CH"/>
        </w:rPr>
        <w:t>d'assurer un suivi concernant le personnel intervenant dans le processus de passation des marchés</w:t>
      </w:r>
      <w:r w:rsidRPr="008F70F0">
        <w:rPr>
          <w:lang w:val="fr-CH"/>
        </w:rPr>
        <w:t xml:space="preserve"> dans les bureaux </w:t>
      </w:r>
      <w:r w:rsidR="00D91307" w:rsidRPr="008F70F0">
        <w:rPr>
          <w:lang w:val="fr-CH"/>
        </w:rPr>
        <w:t>hors siège</w:t>
      </w:r>
      <w:r w:rsidRPr="008F70F0">
        <w:rPr>
          <w:lang w:val="fr-CH"/>
        </w:rPr>
        <w:t xml:space="preserve">. Il présente également le Document C18/41, qui contient le rapport du Vérificateur extérieur des comptes de l'Union concernant l'édition de 2017 d'ITU TELECOM World ainsi que des recommandations visant à améliorer le processus d'appel d'offres pour </w:t>
      </w:r>
      <w:r w:rsidR="00D91307" w:rsidRPr="008F70F0">
        <w:rPr>
          <w:lang w:val="fr-CH"/>
        </w:rPr>
        <w:t>le choix</w:t>
      </w:r>
      <w:r w:rsidRPr="008F70F0">
        <w:rPr>
          <w:lang w:val="fr-CH"/>
        </w:rPr>
        <w:t xml:space="preserve"> du lieu des manifestations TELECOM</w:t>
      </w:r>
      <w:r w:rsidR="00D91307" w:rsidRPr="008F70F0">
        <w:rPr>
          <w:lang w:val="fr-CH"/>
        </w:rPr>
        <w:t xml:space="preserve"> et la gestion de l'espace d'exposition</w:t>
      </w:r>
      <w:r w:rsidRPr="008F70F0">
        <w:rPr>
          <w:lang w:val="fr-CH"/>
        </w:rPr>
        <w:t xml:space="preserve"> et à garantir </w:t>
      </w:r>
      <w:r w:rsidR="00D91307" w:rsidRPr="008F70F0">
        <w:rPr>
          <w:lang w:val="fr-CH"/>
        </w:rPr>
        <w:t>l'équilibr</w:t>
      </w:r>
      <w:r w:rsidRPr="008F70F0">
        <w:rPr>
          <w:lang w:val="fr-CH"/>
        </w:rPr>
        <w:t xml:space="preserve">e </w:t>
      </w:r>
      <w:r w:rsidR="00D91307" w:rsidRPr="008F70F0">
        <w:rPr>
          <w:lang w:val="fr-CH"/>
        </w:rPr>
        <w:t>hommes/</w:t>
      </w:r>
      <w:r w:rsidRPr="008F70F0">
        <w:rPr>
          <w:lang w:val="fr-CH"/>
        </w:rPr>
        <w:t>femmes parmi les participants. Enfin, il présente le Document</w:t>
      </w:r>
      <w:r w:rsidR="00D223BD">
        <w:rPr>
          <w:lang w:val="fr-CH"/>
        </w:rPr>
        <w:t> </w:t>
      </w:r>
      <w:r w:rsidRPr="008F70F0">
        <w:rPr>
          <w:lang w:val="fr-CH"/>
        </w:rPr>
        <w:t>C18/125, qui contient un rapport spécial concernant deux bureaux régionaux et deux bureaux de zone, examiné au regard des objectifs définis dans la Résolution 25 (Rév.</w:t>
      </w:r>
      <w:r w:rsidR="00202146">
        <w:rPr>
          <w:lang w:val="fr-CH"/>
        </w:rPr>
        <w:t> </w:t>
      </w:r>
      <w:r w:rsidRPr="008F70F0">
        <w:rPr>
          <w:lang w:val="fr-CH"/>
        </w:rPr>
        <w:t>Busan,</w:t>
      </w:r>
      <w:r w:rsidR="00202146">
        <w:rPr>
          <w:lang w:val="fr-CH"/>
        </w:rPr>
        <w:t> </w:t>
      </w:r>
      <w:r w:rsidRPr="008F70F0">
        <w:rPr>
          <w:lang w:val="fr-CH"/>
        </w:rPr>
        <w:t>2014).</w:t>
      </w:r>
    </w:p>
    <w:p w:rsidR="006928DA" w:rsidRPr="008F70F0" w:rsidRDefault="006928DA" w:rsidP="0007112A">
      <w:pPr>
        <w:rPr>
          <w:lang w:val="fr-CH"/>
        </w:rPr>
      </w:pPr>
      <w:r w:rsidRPr="008F70F0">
        <w:rPr>
          <w:lang w:val="fr-CH"/>
        </w:rPr>
        <w:t>2.3</w:t>
      </w:r>
      <w:r w:rsidRPr="008F70F0">
        <w:rPr>
          <w:lang w:val="fr-CH"/>
        </w:rPr>
        <w:tab/>
        <w:t xml:space="preserve">S'agissant du Document C18/43, un conseiller propose qu'une partie de l'excédent de l'exercice 2017 soit attribuée au fonds provisoire pour le nouveau bâtiment. </w:t>
      </w:r>
    </w:p>
    <w:p w:rsidR="006928DA" w:rsidRPr="008F70F0" w:rsidRDefault="006928DA" w:rsidP="00F82D3A">
      <w:pPr>
        <w:keepNext/>
        <w:keepLines/>
        <w:rPr>
          <w:lang w:val="fr-CH"/>
        </w:rPr>
      </w:pPr>
      <w:r w:rsidRPr="008F70F0">
        <w:rPr>
          <w:lang w:val="fr-CH"/>
        </w:rPr>
        <w:lastRenderedPageBreak/>
        <w:t>2.4</w:t>
      </w:r>
      <w:r w:rsidRPr="008F70F0">
        <w:rPr>
          <w:lang w:val="fr-CH"/>
        </w:rPr>
        <w:tab/>
        <w:t>A propos de l'introduction du rapport figurant dans le Document C18/40, un conseiller sollicite davantage d'informations sur les mesures additionnelles qui ont été prises par le secrétariat au sujet du cas de fraude signalé en mars 2018 et demande si le Vérificateur extérieur des comptes en a analysé l'efficacité</w:t>
      </w:r>
      <w:r w:rsidR="00D91307" w:rsidRPr="008F70F0">
        <w:rPr>
          <w:lang w:val="fr-CH"/>
        </w:rPr>
        <w:t>.</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2.5</w:t>
      </w:r>
      <w:r w:rsidRPr="008F70F0">
        <w:rPr>
          <w:rFonts w:asciiTheme="minorHAnsi" w:hAnsiTheme="minorHAnsi"/>
          <w:szCs w:val="24"/>
          <w:lang w:val="fr-CH"/>
        </w:rPr>
        <w:tab/>
        <w:t xml:space="preserve">S'agissant du Document C18/43, une autre conseillère fait part de ses préoccupations </w:t>
      </w:r>
      <w:r w:rsidR="00D91307" w:rsidRPr="008F70F0">
        <w:rPr>
          <w:rFonts w:asciiTheme="minorHAnsi" w:hAnsiTheme="minorHAnsi"/>
          <w:szCs w:val="24"/>
          <w:lang w:val="fr-CH"/>
        </w:rPr>
        <w:t xml:space="preserve">au sujet de </w:t>
      </w:r>
      <w:r w:rsidRPr="008F70F0">
        <w:rPr>
          <w:rFonts w:asciiTheme="minorHAnsi" w:hAnsiTheme="minorHAnsi"/>
          <w:szCs w:val="24"/>
          <w:lang w:val="fr-CH"/>
        </w:rPr>
        <w:t xml:space="preserve">l'actif net négatif mis en évidence par le Vérificateur extérieur des comptes et </w:t>
      </w:r>
      <w:r w:rsidR="00D91307" w:rsidRPr="008F70F0">
        <w:rPr>
          <w:rFonts w:asciiTheme="minorHAnsi" w:hAnsiTheme="minorHAnsi"/>
          <w:szCs w:val="24"/>
          <w:lang w:val="fr-CH"/>
        </w:rPr>
        <w:t>du</w:t>
      </w:r>
      <w:r w:rsidRPr="008F70F0">
        <w:rPr>
          <w:rFonts w:asciiTheme="minorHAnsi" w:hAnsiTheme="minorHAnsi"/>
          <w:szCs w:val="24"/>
          <w:lang w:val="fr-CH"/>
        </w:rPr>
        <w:t xml:space="preserve"> passif à long terme croissant lié à l'Assurance maladie après la cessation de service (ASHI). En ce qui concerne le Document C18/40, elle se dit favorable à l'élaboration d'un manuel sur la passation des marchés, qui permettrait de mieux contrôler les procédures de passation de marchés et de réduire les </w:t>
      </w:r>
      <w:r w:rsidR="00D91307" w:rsidRPr="008F70F0">
        <w:rPr>
          <w:rFonts w:asciiTheme="minorHAnsi" w:hAnsiTheme="minorHAnsi"/>
          <w:szCs w:val="24"/>
          <w:lang w:val="fr-CH"/>
        </w:rPr>
        <w:t>risques</w:t>
      </w:r>
      <w:r w:rsidRPr="008F70F0">
        <w:rPr>
          <w:rFonts w:asciiTheme="minorHAnsi" w:hAnsiTheme="minorHAnsi"/>
          <w:szCs w:val="24"/>
          <w:lang w:val="fr-CH"/>
        </w:rPr>
        <w:t xml:space="preserve"> de fraude, et au recrutement, dans les </w:t>
      </w:r>
      <w:r w:rsidR="00D91307" w:rsidRPr="008F70F0">
        <w:rPr>
          <w:rFonts w:asciiTheme="minorHAnsi" w:hAnsiTheme="minorHAnsi"/>
          <w:szCs w:val="24"/>
          <w:lang w:val="fr-CH"/>
        </w:rPr>
        <w:t>meilleurs</w:t>
      </w:r>
      <w:r w:rsidRPr="008F70F0">
        <w:rPr>
          <w:rFonts w:asciiTheme="minorHAnsi" w:hAnsiTheme="minorHAnsi"/>
          <w:szCs w:val="24"/>
          <w:lang w:val="fr-CH"/>
        </w:rPr>
        <w:t xml:space="preserve"> délais, d'un responsable de l'éthique chargé de mener à bien l'examen du cadre juridique. Enfin, tout en approuvant le Document C18/41, elle recommande au Conseil d'examiner avec soin les raisons pour lesquelles la manifestation ITU Telecom World 2017 n'a pas été à la hauteur des </w:t>
      </w:r>
      <w:r w:rsidR="00D91307" w:rsidRPr="008F70F0">
        <w:rPr>
          <w:rFonts w:asciiTheme="minorHAnsi" w:hAnsiTheme="minorHAnsi"/>
          <w:szCs w:val="24"/>
          <w:lang w:val="fr-CH"/>
        </w:rPr>
        <w:t>prévisions</w:t>
      </w:r>
      <w:r w:rsidRPr="008F70F0">
        <w:rPr>
          <w:rFonts w:asciiTheme="minorHAnsi" w:hAnsiTheme="minorHAnsi"/>
          <w:szCs w:val="24"/>
          <w:lang w:val="fr-CH"/>
        </w:rPr>
        <w:t xml:space="preserve"> financières.</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2.6</w:t>
      </w:r>
      <w:r w:rsidRPr="008F70F0">
        <w:rPr>
          <w:rFonts w:asciiTheme="minorHAnsi" w:hAnsiTheme="minorHAnsi"/>
          <w:szCs w:val="24"/>
          <w:lang w:val="fr-CH"/>
        </w:rPr>
        <w:tab/>
        <w:t xml:space="preserve">Le Vérificateur extérieur des comptes indique qu'il a </w:t>
      </w:r>
      <w:r w:rsidR="00D91307" w:rsidRPr="008F70F0">
        <w:rPr>
          <w:rFonts w:asciiTheme="minorHAnsi" w:hAnsiTheme="minorHAnsi"/>
          <w:szCs w:val="24"/>
          <w:lang w:val="fr-CH"/>
        </w:rPr>
        <w:t>formulé</w:t>
      </w:r>
      <w:r w:rsidRPr="008F70F0">
        <w:rPr>
          <w:rFonts w:asciiTheme="minorHAnsi" w:hAnsiTheme="minorHAnsi"/>
          <w:szCs w:val="24"/>
          <w:lang w:val="fr-CH"/>
        </w:rPr>
        <w:t xml:space="preserve"> un avis sans réserve malgré les préoccupations soulevées</w:t>
      </w:r>
      <w:r w:rsidR="00D91307" w:rsidRPr="008F70F0">
        <w:rPr>
          <w:rFonts w:asciiTheme="minorHAnsi" w:hAnsiTheme="minorHAnsi"/>
          <w:szCs w:val="24"/>
          <w:lang w:val="fr-CH"/>
        </w:rPr>
        <w:t>,</w:t>
      </w:r>
      <w:r w:rsidRPr="008F70F0">
        <w:rPr>
          <w:rFonts w:asciiTheme="minorHAnsi" w:hAnsiTheme="minorHAnsi"/>
          <w:szCs w:val="24"/>
          <w:lang w:val="fr-CH"/>
        </w:rPr>
        <w:t xml:space="preserve"> </w:t>
      </w:r>
      <w:r w:rsidR="00D91307" w:rsidRPr="008F70F0">
        <w:rPr>
          <w:rFonts w:asciiTheme="minorHAnsi" w:hAnsiTheme="minorHAnsi"/>
          <w:szCs w:val="24"/>
          <w:lang w:val="fr-CH"/>
        </w:rPr>
        <w:t xml:space="preserve">étant donné que </w:t>
      </w:r>
      <w:r w:rsidRPr="008F70F0">
        <w:rPr>
          <w:rFonts w:asciiTheme="minorHAnsi" w:hAnsiTheme="minorHAnsi"/>
          <w:szCs w:val="24"/>
          <w:lang w:val="fr-CH"/>
        </w:rPr>
        <w:t xml:space="preserve">le secrétariat a tenu le Conseil informé de la situation de manière systématique et transparente. S'agissant de l'actif net négatif, le secrétariat </w:t>
      </w:r>
      <w:r w:rsidR="00D91307" w:rsidRPr="008F70F0">
        <w:rPr>
          <w:rFonts w:asciiTheme="minorHAnsi" w:hAnsiTheme="minorHAnsi"/>
          <w:szCs w:val="24"/>
          <w:lang w:val="fr-CH"/>
        </w:rPr>
        <w:t>procède</w:t>
      </w:r>
      <w:r w:rsidRPr="008F70F0">
        <w:rPr>
          <w:rFonts w:asciiTheme="minorHAnsi" w:hAnsiTheme="minorHAnsi"/>
          <w:szCs w:val="24"/>
          <w:lang w:val="fr-CH"/>
        </w:rPr>
        <w:t xml:space="preserve"> actuellement </w:t>
      </w:r>
      <w:r w:rsidR="00D91307" w:rsidRPr="008F70F0">
        <w:rPr>
          <w:rFonts w:asciiTheme="minorHAnsi" w:hAnsiTheme="minorHAnsi"/>
          <w:szCs w:val="24"/>
          <w:lang w:val="fr-CH"/>
        </w:rPr>
        <w:t xml:space="preserve">à </w:t>
      </w:r>
      <w:r w:rsidRPr="008F70F0">
        <w:rPr>
          <w:rFonts w:asciiTheme="minorHAnsi" w:hAnsiTheme="minorHAnsi"/>
          <w:szCs w:val="24"/>
          <w:lang w:val="fr-CH"/>
        </w:rPr>
        <w:t>une étude actuarielle complète, qui sera par la suite analysée par le Vérificateur extérieur des comptes. Le secrétariat élabore également de nouvelles lignes directrices relatives à la passation de</w:t>
      </w:r>
      <w:r w:rsidR="00D91307" w:rsidRPr="008F70F0">
        <w:rPr>
          <w:rFonts w:asciiTheme="minorHAnsi" w:hAnsiTheme="minorHAnsi"/>
          <w:szCs w:val="24"/>
          <w:lang w:val="fr-CH"/>
        </w:rPr>
        <w:t>s</w:t>
      </w:r>
      <w:r w:rsidRPr="008F70F0">
        <w:rPr>
          <w:rFonts w:asciiTheme="minorHAnsi" w:hAnsiTheme="minorHAnsi"/>
          <w:szCs w:val="24"/>
          <w:lang w:val="fr-CH"/>
        </w:rPr>
        <w:t xml:space="preserve"> marchés.</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2.7</w:t>
      </w:r>
      <w:r w:rsidRPr="008F70F0">
        <w:rPr>
          <w:rFonts w:asciiTheme="minorHAnsi" w:hAnsiTheme="minorHAnsi"/>
          <w:szCs w:val="24"/>
          <w:lang w:val="fr-CH"/>
        </w:rPr>
        <w:tab/>
        <w:t xml:space="preserve">Le Chef du Département de la gestion des ressources financières (FRMD) déclare que le secrétariat </w:t>
      </w:r>
      <w:r w:rsidR="00D91307" w:rsidRPr="008F70F0">
        <w:rPr>
          <w:rFonts w:asciiTheme="minorHAnsi" w:hAnsiTheme="minorHAnsi"/>
          <w:szCs w:val="24"/>
          <w:lang w:val="fr-CH"/>
        </w:rPr>
        <w:t>s'emploie</w:t>
      </w:r>
      <w:r w:rsidRPr="008F70F0">
        <w:rPr>
          <w:rFonts w:asciiTheme="minorHAnsi" w:hAnsiTheme="minorHAnsi"/>
          <w:szCs w:val="24"/>
          <w:lang w:val="fr-CH"/>
        </w:rPr>
        <w:t xml:space="preserve">, en collaboration avec d'autres organisations et </w:t>
      </w:r>
      <w:r w:rsidR="00D91307" w:rsidRPr="008F70F0">
        <w:rPr>
          <w:rFonts w:asciiTheme="minorHAnsi" w:hAnsiTheme="minorHAnsi"/>
          <w:szCs w:val="24"/>
          <w:lang w:val="fr-CH"/>
        </w:rPr>
        <w:t>en</w:t>
      </w:r>
      <w:r w:rsidRPr="008F70F0">
        <w:rPr>
          <w:rFonts w:asciiTheme="minorHAnsi" w:hAnsiTheme="minorHAnsi"/>
          <w:szCs w:val="24"/>
          <w:lang w:val="fr-CH"/>
        </w:rPr>
        <w:t xml:space="preserve"> interne, à remédier au déficit lié à l'ASHI, notammen</w:t>
      </w:r>
      <w:r w:rsidR="00D91307" w:rsidRPr="008F70F0">
        <w:rPr>
          <w:rFonts w:asciiTheme="minorHAnsi" w:hAnsiTheme="minorHAnsi"/>
          <w:szCs w:val="24"/>
          <w:lang w:val="fr-CH"/>
        </w:rPr>
        <w:t xml:space="preserve">t en attribuant une partie de tout </w:t>
      </w:r>
      <w:r w:rsidRPr="008F70F0">
        <w:rPr>
          <w:rFonts w:asciiTheme="minorHAnsi" w:hAnsiTheme="minorHAnsi"/>
          <w:szCs w:val="24"/>
          <w:lang w:val="fr-CH"/>
        </w:rPr>
        <w:t xml:space="preserve">excédent en fin d'exercice à la réserve du Fonds ASHI, en </w:t>
      </w:r>
      <w:r w:rsidR="00D91307" w:rsidRPr="008F70F0">
        <w:rPr>
          <w:rFonts w:asciiTheme="minorHAnsi" w:hAnsiTheme="minorHAnsi"/>
          <w:szCs w:val="24"/>
          <w:lang w:val="fr-CH"/>
        </w:rPr>
        <w:t>relevant</w:t>
      </w:r>
      <w:r w:rsidRPr="008F70F0">
        <w:rPr>
          <w:rFonts w:asciiTheme="minorHAnsi" w:hAnsiTheme="minorHAnsi"/>
          <w:szCs w:val="24"/>
          <w:lang w:val="fr-CH"/>
        </w:rPr>
        <w:t xml:space="preserve"> le niveau des contributions et en créant un nouveau comité chargé de l'assurance maladie</w:t>
      </w:r>
      <w:r w:rsidR="00D91307" w:rsidRPr="008F70F0">
        <w:rPr>
          <w:rFonts w:asciiTheme="minorHAnsi" w:hAnsiTheme="minorHAnsi"/>
          <w:szCs w:val="24"/>
          <w:lang w:val="fr-CH"/>
        </w:rPr>
        <w:t>,</w:t>
      </w:r>
      <w:r w:rsidRPr="008F70F0">
        <w:rPr>
          <w:rFonts w:asciiTheme="minorHAnsi" w:hAnsiTheme="minorHAnsi"/>
          <w:szCs w:val="24"/>
          <w:lang w:val="fr-CH"/>
        </w:rPr>
        <w:t xml:space="preserve"> </w:t>
      </w:r>
      <w:r w:rsidR="00D91307" w:rsidRPr="008F70F0">
        <w:rPr>
          <w:rFonts w:asciiTheme="minorHAnsi" w:hAnsiTheme="minorHAnsi"/>
          <w:szCs w:val="24"/>
          <w:lang w:val="fr-CH"/>
        </w:rPr>
        <w:t>qui s'efforcera</w:t>
      </w:r>
      <w:r w:rsidRPr="008F70F0">
        <w:rPr>
          <w:rFonts w:asciiTheme="minorHAnsi" w:hAnsiTheme="minorHAnsi"/>
          <w:szCs w:val="24"/>
          <w:lang w:val="fr-CH"/>
        </w:rPr>
        <w:t xml:space="preserve"> de réduire les dépenses de santé. Ce problème </w:t>
      </w:r>
      <w:r w:rsidR="00D91307" w:rsidRPr="008F70F0">
        <w:rPr>
          <w:rFonts w:asciiTheme="minorHAnsi" w:hAnsiTheme="minorHAnsi"/>
          <w:szCs w:val="24"/>
          <w:lang w:val="fr-CH"/>
        </w:rPr>
        <w:t xml:space="preserve">n'est </w:t>
      </w:r>
      <w:r w:rsidRPr="008F70F0">
        <w:rPr>
          <w:rFonts w:asciiTheme="minorHAnsi" w:hAnsiTheme="minorHAnsi"/>
          <w:szCs w:val="24"/>
          <w:lang w:val="fr-CH"/>
        </w:rPr>
        <w:t xml:space="preserve">pas </w:t>
      </w:r>
      <w:r w:rsidR="00D91307" w:rsidRPr="008F70F0">
        <w:rPr>
          <w:rFonts w:asciiTheme="minorHAnsi" w:hAnsiTheme="minorHAnsi"/>
          <w:szCs w:val="24"/>
          <w:lang w:val="fr-CH"/>
        </w:rPr>
        <w:t xml:space="preserve">propre </w:t>
      </w:r>
      <w:r w:rsidRPr="008F70F0">
        <w:rPr>
          <w:rFonts w:asciiTheme="minorHAnsi" w:hAnsiTheme="minorHAnsi"/>
          <w:szCs w:val="24"/>
          <w:lang w:val="fr-CH"/>
        </w:rPr>
        <w:t xml:space="preserve">à l'UIT. En ce qui concerne le financement des nouveaux locaux, l'intervenant rappelle au Conseil que le fonds provisoire pour le nouveau bâtiment a été créé par le Conseil à sa session de 2018, après la clôture des comptes de l'exercice 2017. Il n'a donc pas été possible d'attribuer </w:t>
      </w:r>
      <w:r w:rsidR="00112E1B" w:rsidRPr="008F70F0">
        <w:rPr>
          <w:rFonts w:asciiTheme="minorHAnsi" w:hAnsiTheme="minorHAnsi"/>
          <w:szCs w:val="24"/>
          <w:lang w:val="fr-CH"/>
        </w:rPr>
        <w:t>une</w:t>
      </w:r>
      <w:r w:rsidRPr="008F70F0">
        <w:rPr>
          <w:rFonts w:asciiTheme="minorHAnsi" w:hAnsiTheme="minorHAnsi"/>
          <w:szCs w:val="24"/>
          <w:lang w:val="fr-CH"/>
        </w:rPr>
        <w:t xml:space="preserve"> partie de l'excédent de </w:t>
      </w:r>
      <w:r w:rsidR="00112E1B" w:rsidRPr="008F70F0">
        <w:rPr>
          <w:rFonts w:asciiTheme="minorHAnsi" w:hAnsiTheme="minorHAnsi"/>
          <w:szCs w:val="24"/>
          <w:lang w:val="fr-CH"/>
        </w:rPr>
        <w:t xml:space="preserve">l'exercice </w:t>
      </w:r>
      <w:r w:rsidRPr="008F70F0">
        <w:rPr>
          <w:rFonts w:asciiTheme="minorHAnsi" w:hAnsiTheme="minorHAnsi"/>
          <w:szCs w:val="24"/>
          <w:lang w:val="fr-CH"/>
        </w:rPr>
        <w:t xml:space="preserve">2017 à ce fonds. Dorénavant, le Secrétaire général attribuera une partie de l'excédent éventuel à ce fonds, afin de financer les </w:t>
      </w:r>
      <w:r w:rsidR="00112E1B" w:rsidRPr="008F70F0">
        <w:rPr>
          <w:rFonts w:asciiTheme="minorHAnsi" w:hAnsiTheme="minorHAnsi"/>
          <w:szCs w:val="24"/>
          <w:lang w:val="fr-CH"/>
        </w:rPr>
        <w:t>charges liées au bâtiment</w:t>
      </w:r>
      <w:r w:rsidRPr="008F70F0">
        <w:rPr>
          <w:rFonts w:asciiTheme="minorHAnsi" w:hAnsiTheme="minorHAnsi"/>
          <w:szCs w:val="24"/>
          <w:lang w:val="fr-CH"/>
        </w:rPr>
        <w:t xml:space="preserve"> qui ne sont </w:t>
      </w:r>
      <w:r w:rsidR="00112E1B" w:rsidRPr="008F70F0">
        <w:rPr>
          <w:rFonts w:asciiTheme="minorHAnsi" w:hAnsiTheme="minorHAnsi"/>
          <w:szCs w:val="24"/>
          <w:lang w:val="fr-CH"/>
        </w:rPr>
        <w:t xml:space="preserve">toujours </w:t>
      </w:r>
      <w:r w:rsidRPr="008F70F0">
        <w:rPr>
          <w:rFonts w:asciiTheme="minorHAnsi" w:hAnsiTheme="minorHAnsi"/>
          <w:szCs w:val="24"/>
          <w:lang w:val="fr-CH"/>
        </w:rPr>
        <w:t>pas couvertes par les crédits actuels.</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2.8</w:t>
      </w:r>
      <w:r w:rsidRPr="008F70F0">
        <w:rPr>
          <w:rFonts w:asciiTheme="minorHAnsi" w:hAnsiTheme="minorHAnsi"/>
          <w:szCs w:val="24"/>
          <w:lang w:val="fr-CH"/>
        </w:rPr>
        <w:tab/>
        <w:t xml:space="preserve">Le Secrétaire général </w:t>
      </w:r>
      <w:r w:rsidR="00112E1B" w:rsidRPr="008F70F0">
        <w:rPr>
          <w:rFonts w:asciiTheme="minorHAnsi" w:hAnsiTheme="minorHAnsi"/>
          <w:szCs w:val="24"/>
          <w:lang w:val="fr-CH"/>
        </w:rPr>
        <w:t>souligne</w:t>
      </w:r>
      <w:r w:rsidRPr="008F70F0">
        <w:rPr>
          <w:rFonts w:asciiTheme="minorHAnsi" w:hAnsiTheme="minorHAnsi"/>
          <w:szCs w:val="24"/>
          <w:lang w:val="fr-CH"/>
        </w:rPr>
        <w:t xml:space="preserve"> que, malgré des résultats glo</w:t>
      </w:r>
      <w:r w:rsidR="00E24CAC">
        <w:rPr>
          <w:rFonts w:asciiTheme="minorHAnsi" w:hAnsiTheme="minorHAnsi"/>
          <w:szCs w:val="24"/>
          <w:lang w:val="fr-CH"/>
        </w:rPr>
        <w:t>balement positifs, l'édition de </w:t>
      </w:r>
      <w:r w:rsidRPr="008F70F0">
        <w:rPr>
          <w:rFonts w:asciiTheme="minorHAnsi" w:hAnsiTheme="minorHAnsi"/>
          <w:szCs w:val="24"/>
          <w:lang w:val="fr-CH"/>
        </w:rPr>
        <w:t xml:space="preserve">2017 d'ITU TELECOM World n'a pas été à la hauteur des </w:t>
      </w:r>
      <w:r w:rsidR="00112E1B" w:rsidRPr="008F70F0">
        <w:rPr>
          <w:rFonts w:asciiTheme="minorHAnsi" w:hAnsiTheme="minorHAnsi"/>
          <w:szCs w:val="24"/>
          <w:lang w:val="fr-CH"/>
        </w:rPr>
        <w:t>prévisions</w:t>
      </w:r>
      <w:r w:rsidRPr="008F70F0">
        <w:rPr>
          <w:rFonts w:asciiTheme="minorHAnsi" w:hAnsiTheme="minorHAnsi"/>
          <w:szCs w:val="24"/>
          <w:lang w:val="fr-CH"/>
        </w:rPr>
        <w:t xml:space="preserve"> financières </w:t>
      </w:r>
      <w:r w:rsidR="00112E1B" w:rsidRPr="008F70F0">
        <w:rPr>
          <w:rFonts w:asciiTheme="minorHAnsi" w:hAnsiTheme="minorHAnsi"/>
          <w:szCs w:val="24"/>
          <w:lang w:val="fr-CH"/>
        </w:rPr>
        <w:t>en raison</w:t>
      </w:r>
      <w:r w:rsidRPr="008F70F0">
        <w:rPr>
          <w:rFonts w:asciiTheme="minorHAnsi" w:hAnsiTheme="minorHAnsi"/>
          <w:szCs w:val="24"/>
          <w:lang w:val="fr-CH"/>
        </w:rPr>
        <w:t xml:space="preserve"> des changements d'ordre politique et juridique qui se sont produits dans le pays hôte et qu'il était impossible de prévoir. En ce qui concerne le cas de fraude, il </w:t>
      </w:r>
      <w:r w:rsidR="00112E1B" w:rsidRPr="008F70F0">
        <w:rPr>
          <w:rFonts w:asciiTheme="minorHAnsi" w:hAnsiTheme="minorHAnsi"/>
          <w:szCs w:val="24"/>
          <w:lang w:val="fr-CH"/>
        </w:rPr>
        <w:t>insiste sur le fait</w:t>
      </w:r>
      <w:r w:rsidRPr="008F70F0">
        <w:rPr>
          <w:rFonts w:asciiTheme="minorHAnsi" w:hAnsiTheme="minorHAnsi"/>
          <w:szCs w:val="24"/>
          <w:lang w:val="fr-CH"/>
        </w:rPr>
        <w:t xml:space="preserve"> que le secrétariat a réagi immédiatement et fera tout ce qui est en son pouvoir pour s'assurer que de telles pratiques</w:t>
      </w:r>
      <w:r w:rsidR="00112E1B" w:rsidRPr="008F70F0">
        <w:rPr>
          <w:rFonts w:asciiTheme="minorHAnsi" w:hAnsiTheme="minorHAnsi"/>
          <w:szCs w:val="24"/>
          <w:lang w:val="fr-CH"/>
        </w:rPr>
        <w:t>, qui sont</w:t>
      </w:r>
      <w:r w:rsidRPr="008F70F0">
        <w:rPr>
          <w:rFonts w:asciiTheme="minorHAnsi" w:hAnsiTheme="minorHAnsi"/>
          <w:szCs w:val="24"/>
          <w:lang w:val="fr-CH"/>
        </w:rPr>
        <w:t xml:space="preserve"> inadmissibles</w:t>
      </w:r>
      <w:r w:rsidR="00112E1B" w:rsidRPr="008F70F0">
        <w:rPr>
          <w:rFonts w:asciiTheme="minorHAnsi" w:hAnsiTheme="minorHAnsi"/>
          <w:szCs w:val="24"/>
          <w:lang w:val="fr-CH"/>
        </w:rPr>
        <w:t>,</w:t>
      </w:r>
      <w:r w:rsidRPr="008F70F0">
        <w:rPr>
          <w:rFonts w:asciiTheme="minorHAnsi" w:hAnsiTheme="minorHAnsi"/>
          <w:szCs w:val="24"/>
          <w:lang w:val="fr-CH"/>
        </w:rPr>
        <w:t xml:space="preserve"> ne se reproduisent pas.</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2.9</w:t>
      </w:r>
      <w:r w:rsidRPr="008F70F0">
        <w:rPr>
          <w:rFonts w:asciiTheme="minorHAnsi" w:hAnsiTheme="minorHAnsi"/>
          <w:szCs w:val="24"/>
          <w:lang w:val="fr-CH"/>
        </w:rPr>
        <w:tab/>
        <w:t>S'agissant du Document C18/125, un conseiller demande que les futures propositions de budget comprennent des informations complètes sur le coût des 13 bureaux régionaux et bureaux de zone et des 59 fonctionnaires hors siège.</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2.10</w:t>
      </w:r>
      <w:r w:rsidRPr="008F70F0">
        <w:rPr>
          <w:rFonts w:asciiTheme="minorHAnsi" w:hAnsiTheme="minorHAnsi"/>
          <w:szCs w:val="24"/>
          <w:lang w:val="fr-CH"/>
        </w:rPr>
        <w:tab/>
        <w:t xml:space="preserve">Le Vérificateur extérieur des comptes </w:t>
      </w:r>
      <w:r w:rsidR="004E179E">
        <w:rPr>
          <w:rFonts w:asciiTheme="minorHAnsi" w:hAnsiTheme="minorHAnsi"/>
          <w:szCs w:val="24"/>
          <w:lang w:val="fr-CH"/>
        </w:rPr>
        <w:t>souligne qu'une</w:t>
      </w:r>
      <w:r w:rsidRPr="008F70F0">
        <w:rPr>
          <w:rFonts w:asciiTheme="minorHAnsi" w:hAnsiTheme="minorHAnsi"/>
          <w:szCs w:val="24"/>
          <w:lang w:val="fr-CH"/>
        </w:rPr>
        <w:t xml:space="preserve"> analyse des coûts doit également tenir compte des activités </w:t>
      </w:r>
      <w:r w:rsidR="004E179E">
        <w:rPr>
          <w:rFonts w:asciiTheme="minorHAnsi" w:hAnsiTheme="minorHAnsi"/>
          <w:szCs w:val="24"/>
          <w:lang w:val="fr-CH"/>
        </w:rPr>
        <w:t>menées à bien</w:t>
      </w:r>
      <w:r w:rsidRPr="008F70F0">
        <w:rPr>
          <w:rFonts w:asciiTheme="minorHAnsi" w:hAnsiTheme="minorHAnsi"/>
          <w:szCs w:val="24"/>
          <w:lang w:val="fr-CH"/>
        </w:rPr>
        <w:t xml:space="preserve">. </w:t>
      </w:r>
    </w:p>
    <w:p w:rsidR="006928DA" w:rsidRPr="008F70F0" w:rsidRDefault="006928DA" w:rsidP="00F82D3A">
      <w:pPr>
        <w:keepNext/>
        <w:keepLines/>
        <w:rPr>
          <w:rFonts w:asciiTheme="minorHAnsi" w:hAnsiTheme="minorHAnsi"/>
          <w:szCs w:val="24"/>
          <w:lang w:val="fr-CH"/>
        </w:rPr>
      </w:pPr>
      <w:r w:rsidRPr="008F70F0">
        <w:rPr>
          <w:rFonts w:asciiTheme="minorHAnsi" w:hAnsiTheme="minorHAnsi"/>
          <w:szCs w:val="24"/>
          <w:lang w:val="fr-CH"/>
        </w:rPr>
        <w:lastRenderedPageBreak/>
        <w:t>2.11</w:t>
      </w:r>
      <w:r w:rsidRPr="008F70F0">
        <w:rPr>
          <w:rFonts w:asciiTheme="minorHAnsi" w:hAnsiTheme="minorHAnsi"/>
          <w:szCs w:val="24"/>
          <w:lang w:val="fr-CH"/>
        </w:rPr>
        <w:tab/>
        <w:t xml:space="preserve">Un autre conseiller </w:t>
      </w:r>
      <w:r w:rsidR="004E179E">
        <w:rPr>
          <w:rFonts w:asciiTheme="minorHAnsi" w:hAnsiTheme="minorHAnsi"/>
          <w:szCs w:val="24"/>
          <w:lang w:val="fr-CH"/>
        </w:rPr>
        <w:t>insiste sur</w:t>
      </w:r>
      <w:r w:rsidRPr="008F70F0">
        <w:rPr>
          <w:rFonts w:asciiTheme="minorHAnsi" w:hAnsiTheme="minorHAnsi"/>
          <w:szCs w:val="24"/>
          <w:lang w:val="fr-CH"/>
        </w:rPr>
        <w:t xml:space="preserve"> l'importance de la Recommandation 3 (Document C18/125) relative aux objectifs et aux indicateurs fondamentaux de performance </w:t>
      </w:r>
      <w:r w:rsidR="004E179E">
        <w:rPr>
          <w:rFonts w:asciiTheme="minorHAnsi" w:hAnsiTheme="minorHAnsi"/>
          <w:szCs w:val="24"/>
          <w:lang w:val="fr-CH"/>
        </w:rPr>
        <w:t>connexes</w:t>
      </w:r>
      <w:r w:rsidRPr="008F70F0">
        <w:rPr>
          <w:rFonts w:asciiTheme="minorHAnsi" w:hAnsiTheme="minorHAnsi"/>
          <w:szCs w:val="24"/>
          <w:lang w:val="fr-CH"/>
        </w:rPr>
        <w:t xml:space="preserve"> identifiés pour les bureaux hors siège et à la nécessité de renforcer la coordination entre les Secteurs de l'UIT dans le domaine de la présence régionale.</w:t>
      </w:r>
    </w:p>
    <w:p w:rsidR="006928DA" w:rsidRPr="008F70F0" w:rsidRDefault="006928DA" w:rsidP="0007112A">
      <w:pPr>
        <w:rPr>
          <w:lang w:val="fr-CH"/>
        </w:rPr>
      </w:pPr>
      <w:r w:rsidRPr="008F70F0">
        <w:rPr>
          <w:lang w:val="fr-CH"/>
        </w:rPr>
        <w:t>2.12</w:t>
      </w:r>
      <w:r w:rsidRPr="008F70F0">
        <w:rPr>
          <w:lang w:val="fr-CH"/>
        </w:rPr>
        <w:tab/>
        <w:t xml:space="preserve">Le Rapport de gestion financière sur les comptes vérifiés de l'Union (Document C18/43) est </w:t>
      </w:r>
      <w:r w:rsidRPr="008F70F0">
        <w:rPr>
          <w:b/>
          <w:bCs/>
          <w:lang w:val="fr-CH"/>
        </w:rPr>
        <w:t>approuvé</w:t>
      </w:r>
      <w:r w:rsidRPr="008F70F0">
        <w:rPr>
          <w:lang w:val="fr-CH"/>
        </w:rPr>
        <w:t>, et le projet de Résolution figurant dans l'Annexe A de ce document est</w:t>
      </w:r>
      <w:r w:rsidRPr="008F70F0">
        <w:rPr>
          <w:b/>
          <w:bCs/>
          <w:lang w:val="fr-CH"/>
        </w:rPr>
        <w:t xml:space="preserve"> adopté</w:t>
      </w:r>
      <w:r w:rsidRPr="008F70F0">
        <w:rPr>
          <w:lang w:val="fr-CH"/>
        </w:rPr>
        <w:t>.</w:t>
      </w:r>
    </w:p>
    <w:p w:rsidR="006928DA" w:rsidRPr="008F70F0" w:rsidRDefault="006928DA" w:rsidP="0007112A">
      <w:pPr>
        <w:rPr>
          <w:lang w:val="fr-CH"/>
        </w:rPr>
      </w:pPr>
      <w:r w:rsidRPr="008F70F0">
        <w:rPr>
          <w:lang w:val="fr-CH"/>
        </w:rPr>
        <w:t>2.13</w:t>
      </w:r>
      <w:r w:rsidRPr="008F70F0">
        <w:rPr>
          <w:lang w:val="fr-CH"/>
        </w:rPr>
        <w:tab/>
        <w:t>Les rapports du Vérificateur extérieur des comptes concernant les comptes de l'Union pour</w:t>
      </w:r>
      <w:r w:rsidR="00112E1B" w:rsidRPr="008F70F0">
        <w:rPr>
          <w:lang w:val="fr-CH"/>
        </w:rPr>
        <w:t> </w:t>
      </w:r>
      <w:r w:rsidRPr="008F70F0">
        <w:rPr>
          <w:lang w:val="fr-CH"/>
        </w:rPr>
        <w:t xml:space="preserve">2017 (Document C18/40) et la manifestation ITU TELECOM World 2017 (Document C18/41) sont </w:t>
      </w:r>
      <w:r w:rsidRPr="008F70F0">
        <w:rPr>
          <w:b/>
          <w:bCs/>
          <w:lang w:val="fr-CH"/>
        </w:rPr>
        <w:t>approuvés</w:t>
      </w:r>
      <w:r w:rsidRPr="008F70F0">
        <w:rPr>
          <w:lang w:val="fr-CH"/>
        </w:rPr>
        <w:t>.</w:t>
      </w:r>
    </w:p>
    <w:p w:rsidR="006928DA" w:rsidRPr="008F70F0" w:rsidRDefault="006928DA" w:rsidP="0007112A">
      <w:pPr>
        <w:rPr>
          <w:lang w:val="fr-CH"/>
        </w:rPr>
      </w:pPr>
      <w:r w:rsidRPr="008F70F0">
        <w:rPr>
          <w:lang w:val="fr-CH"/>
        </w:rPr>
        <w:t>2.14</w:t>
      </w:r>
      <w:r w:rsidRPr="008F70F0">
        <w:rPr>
          <w:lang w:val="fr-CH"/>
        </w:rPr>
        <w:tab/>
        <w:t xml:space="preserve">Il est pris </w:t>
      </w:r>
      <w:r w:rsidRPr="008F70F0">
        <w:rPr>
          <w:b/>
          <w:bCs/>
          <w:lang w:val="fr-CH"/>
        </w:rPr>
        <w:t>note</w:t>
      </w:r>
      <w:r w:rsidRPr="008F70F0">
        <w:rPr>
          <w:lang w:val="fr-CH"/>
        </w:rPr>
        <w:t xml:space="preserve"> du Document C18/125.</w:t>
      </w:r>
    </w:p>
    <w:p w:rsidR="006928DA" w:rsidRPr="008F70F0" w:rsidRDefault="006928DA" w:rsidP="0007112A">
      <w:pPr>
        <w:pStyle w:val="Heading1"/>
        <w:rPr>
          <w:lang w:val="fr-CH"/>
        </w:rPr>
      </w:pPr>
      <w:r w:rsidRPr="008F70F0">
        <w:rPr>
          <w:lang w:val="fr-CH"/>
        </w:rPr>
        <w:t>3</w:t>
      </w:r>
      <w:r w:rsidRPr="008F70F0">
        <w:rPr>
          <w:lang w:val="fr-CH"/>
        </w:rPr>
        <w:tab/>
        <w:t xml:space="preserve">Rapport supplémentaire du Comité consultatif indépendant pour les questions de gestion (Document </w:t>
      </w:r>
      <w:hyperlink r:id="rId23" w:history="1">
        <w:r w:rsidRPr="00072684">
          <w:rPr>
            <w:rStyle w:val="Hyperlink"/>
            <w:rFonts w:asciiTheme="minorHAnsi" w:hAnsiTheme="minorHAnsi"/>
            <w:bCs/>
            <w:szCs w:val="28"/>
            <w:lang w:val="fr-CH"/>
          </w:rPr>
          <w:t>C18/22(Add.1)</w:t>
        </w:r>
      </w:hyperlink>
      <w:r w:rsidRPr="008F70F0">
        <w:rPr>
          <w:lang w:val="fr-CH"/>
        </w:rPr>
        <w:t>)</w:t>
      </w:r>
    </w:p>
    <w:p w:rsidR="006928DA" w:rsidRPr="008F70F0" w:rsidRDefault="006928DA" w:rsidP="0007112A">
      <w:pPr>
        <w:rPr>
          <w:lang w:val="fr-CH"/>
        </w:rPr>
      </w:pPr>
      <w:r w:rsidRPr="008F70F0">
        <w:rPr>
          <w:lang w:val="fr-CH"/>
        </w:rPr>
        <w:t>3.1</w:t>
      </w:r>
      <w:r w:rsidRPr="008F70F0">
        <w:rPr>
          <w:lang w:val="fr-CH"/>
        </w:rPr>
        <w:tab/>
        <w:t xml:space="preserve">M. Kamlesh Vikamsey (membre du Comité consultatif indépendant pour les questions de gestion (CCIG)) présente l'Addendum 1 au Document C18/22, qui vient compléter le septième rapport annuel du CCIG et </w:t>
      </w:r>
      <w:r w:rsidR="00FF7FBF" w:rsidRPr="008F70F0">
        <w:rPr>
          <w:lang w:val="fr-CH"/>
        </w:rPr>
        <w:t>s'inscrit dans le cadre de la responsabilité de</w:t>
      </w:r>
      <w:r w:rsidRPr="008F70F0">
        <w:rPr>
          <w:lang w:val="fr-CH"/>
        </w:rPr>
        <w:t xml:space="preserve"> ce dernier</w:t>
      </w:r>
      <w:r w:rsidR="00FF7FBF" w:rsidRPr="008F70F0">
        <w:rPr>
          <w:lang w:val="fr-CH"/>
        </w:rPr>
        <w:t>,</w:t>
      </w:r>
      <w:r w:rsidRPr="008F70F0">
        <w:rPr>
          <w:lang w:val="fr-CH"/>
        </w:rPr>
        <w:t xml:space="preserve"> à savoir donner au Conseil des avis sur les états financiers vérifiés de l'UIT et les rapports établis par le Vérificateur extérieur des comptes pour 2017. Cet Addendum </w:t>
      </w:r>
      <w:r w:rsidR="00FF7FBF" w:rsidRPr="008F70F0">
        <w:rPr>
          <w:lang w:val="fr-CH"/>
        </w:rPr>
        <w:t>contient</w:t>
      </w:r>
      <w:r w:rsidRPr="008F70F0">
        <w:rPr>
          <w:lang w:val="fr-CH"/>
        </w:rPr>
        <w:t xml:space="preserve"> également des avis concernant les questions qui se sont fait jour depuis que la version finale du septième rapport annuel du CCIG a été établie. L'intervenant appelle l'attention sur certaines des suggestions et recommandations figurant dans le Document C18/22</w:t>
      </w:r>
      <w:r w:rsidR="00FF7FBF" w:rsidRPr="008F70F0">
        <w:rPr>
          <w:lang w:val="fr-CH"/>
        </w:rPr>
        <w:t>,</w:t>
      </w:r>
      <w:r w:rsidRPr="008F70F0">
        <w:rPr>
          <w:lang w:val="fr-CH"/>
        </w:rPr>
        <w:t xml:space="preserve"> </w:t>
      </w:r>
      <w:r w:rsidR="00FF7FBF" w:rsidRPr="008F70F0">
        <w:rPr>
          <w:lang w:val="fr-CH"/>
        </w:rPr>
        <w:t>ainsi que</w:t>
      </w:r>
      <w:r w:rsidRPr="008F70F0">
        <w:rPr>
          <w:lang w:val="fr-CH"/>
        </w:rPr>
        <w:t xml:space="preserve"> sur les propositions visant à améliorer le mandat du CCIG qui sont exposées dans l'Annexe 3 de ce document.</w:t>
      </w:r>
    </w:p>
    <w:p w:rsidR="006928DA" w:rsidRPr="008F70F0" w:rsidRDefault="006928DA" w:rsidP="0007112A">
      <w:pPr>
        <w:rPr>
          <w:lang w:val="fr-CH"/>
        </w:rPr>
      </w:pPr>
      <w:r w:rsidRPr="008F70F0">
        <w:rPr>
          <w:lang w:val="fr-CH"/>
        </w:rPr>
        <w:t>3.2</w:t>
      </w:r>
      <w:r w:rsidRPr="008F70F0">
        <w:rPr>
          <w:lang w:val="fr-CH"/>
        </w:rPr>
        <w:tab/>
        <w:t xml:space="preserve">Les conseillers </w:t>
      </w:r>
      <w:r w:rsidR="00FF7FBF" w:rsidRPr="008F70F0">
        <w:rPr>
          <w:lang w:val="fr-CH"/>
        </w:rPr>
        <w:t>entérinent les travaux accomplis par le</w:t>
      </w:r>
      <w:r w:rsidRPr="008F70F0">
        <w:rPr>
          <w:lang w:val="fr-CH"/>
        </w:rPr>
        <w:t xml:space="preserve"> CCIG et encouragent le secrétaria</w:t>
      </w:r>
      <w:r w:rsidR="00FF7FBF" w:rsidRPr="008F70F0">
        <w:rPr>
          <w:lang w:val="fr-CH"/>
        </w:rPr>
        <w:t>t de l'UIT à appliquer l</w:t>
      </w:r>
      <w:r w:rsidRPr="008F70F0">
        <w:rPr>
          <w:lang w:val="fr-CH"/>
        </w:rPr>
        <w:t>es recommandations</w:t>
      </w:r>
      <w:r w:rsidR="00FF7FBF" w:rsidRPr="008F70F0">
        <w:rPr>
          <w:lang w:val="fr-CH"/>
        </w:rPr>
        <w:t xml:space="preserve"> qu'il a formulées</w:t>
      </w:r>
      <w:r w:rsidRPr="008F70F0">
        <w:rPr>
          <w:lang w:val="fr-CH"/>
        </w:rPr>
        <w:t xml:space="preserve">. Un conseiller </w:t>
      </w:r>
      <w:r w:rsidR="00FF7FBF" w:rsidRPr="008F70F0">
        <w:rPr>
          <w:lang w:val="fr-CH"/>
        </w:rPr>
        <w:t>estime</w:t>
      </w:r>
      <w:r w:rsidRPr="008F70F0">
        <w:rPr>
          <w:lang w:val="fr-CH"/>
        </w:rPr>
        <w:t xml:space="preserve"> qu'il n'est pas nécessaire d'élargir </w:t>
      </w:r>
      <w:r w:rsidR="00FF7FBF" w:rsidRPr="008F70F0">
        <w:rPr>
          <w:lang w:val="fr-CH"/>
        </w:rPr>
        <w:t>la portée des travaux du CCIG, tandis</w:t>
      </w:r>
      <w:r w:rsidRPr="008F70F0">
        <w:rPr>
          <w:lang w:val="fr-CH"/>
        </w:rPr>
        <w:t xml:space="preserve"> </w:t>
      </w:r>
      <w:r w:rsidR="00FF7FBF" w:rsidRPr="008F70F0">
        <w:rPr>
          <w:lang w:val="fr-CH"/>
        </w:rPr>
        <w:t>qu'</w:t>
      </w:r>
      <w:r w:rsidRPr="008F70F0">
        <w:rPr>
          <w:lang w:val="fr-CH"/>
        </w:rPr>
        <w:t>un autre se dit favorable aux modifications qu'il est proposé d'apporter à son mandat.</w:t>
      </w:r>
    </w:p>
    <w:p w:rsidR="006928DA" w:rsidRPr="008F70F0" w:rsidRDefault="006928DA" w:rsidP="0007112A">
      <w:pPr>
        <w:rPr>
          <w:rFonts w:cstheme="minorHAnsi"/>
          <w:lang w:val="fr-CH"/>
        </w:rPr>
      </w:pPr>
      <w:r w:rsidRPr="008F70F0">
        <w:rPr>
          <w:lang w:val="fr-CH"/>
        </w:rPr>
        <w:t>3.3</w:t>
      </w:r>
      <w:r w:rsidRPr="008F70F0">
        <w:rPr>
          <w:lang w:val="fr-CH"/>
        </w:rPr>
        <w:tab/>
        <w:t xml:space="preserve">Un conseiller appuie </w:t>
      </w:r>
      <w:r w:rsidR="00FF7FBF" w:rsidRPr="008F70F0">
        <w:rPr>
          <w:lang w:val="fr-CH"/>
        </w:rPr>
        <w:t>tout particulièrement</w:t>
      </w:r>
      <w:r w:rsidRPr="008F70F0">
        <w:rPr>
          <w:lang w:val="fr-CH"/>
        </w:rPr>
        <w:t xml:space="preserve"> la </w:t>
      </w:r>
      <w:r w:rsidR="00370683" w:rsidRPr="008F70F0">
        <w:rPr>
          <w:lang w:val="fr-CH"/>
        </w:rPr>
        <w:t>R</w:t>
      </w:r>
      <w:r w:rsidRPr="008F70F0">
        <w:rPr>
          <w:lang w:val="fr-CH"/>
        </w:rPr>
        <w:t xml:space="preserve">ecommandation 4/2018 et les suggestions figurant </w:t>
      </w:r>
      <w:r w:rsidR="00FF7FBF" w:rsidRPr="008F70F0">
        <w:rPr>
          <w:lang w:val="fr-CH"/>
        </w:rPr>
        <w:t>aux §</w:t>
      </w:r>
      <w:r w:rsidRPr="008F70F0">
        <w:rPr>
          <w:lang w:val="fr-CH"/>
        </w:rPr>
        <w:t xml:space="preserve"> 4.1 et 4.2 du</w:t>
      </w:r>
      <w:r w:rsidRPr="008F70F0">
        <w:rPr>
          <w:rFonts w:cstheme="minorHAnsi"/>
          <w:lang w:val="fr-CH"/>
        </w:rPr>
        <w:t xml:space="preserve"> Document C18/22(Add.1). D'autres conseillers </w:t>
      </w:r>
      <w:r w:rsidR="00FF7FBF" w:rsidRPr="008F70F0">
        <w:rPr>
          <w:rFonts w:cstheme="minorHAnsi"/>
          <w:lang w:val="fr-CH"/>
        </w:rPr>
        <w:t>se disent</w:t>
      </w:r>
      <w:r w:rsidRPr="008F70F0">
        <w:rPr>
          <w:rFonts w:cstheme="minorHAnsi"/>
          <w:lang w:val="fr-CH"/>
        </w:rPr>
        <w:t xml:space="preserve"> préoccup</w:t>
      </w:r>
      <w:r w:rsidR="00FF7FBF" w:rsidRPr="008F70F0">
        <w:rPr>
          <w:rFonts w:cstheme="minorHAnsi"/>
          <w:lang w:val="fr-CH"/>
        </w:rPr>
        <w:t>é</w:t>
      </w:r>
      <w:r w:rsidRPr="008F70F0">
        <w:rPr>
          <w:rFonts w:cstheme="minorHAnsi"/>
          <w:lang w:val="fr-CH"/>
        </w:rPr>
        <w:t xml:space="preserve">s </w:t>
      </w:r>
      <w:r w:rsidR="00FF7FBF" w:rsidRPr="008F70F0">
        <w:rPr>
          <w:rFonts w:cstheme="minorHAnsi"/>
          <w:lang w:val="fr-CH"/>
        </w:rPr>
        <w:t>par les</w:t>
      </w:r>
      <w:r w:rsidRPr="008F70F0">
        <w:rPr>
          <w:rFonts w:cstheme="minorHAnsi"/>
          <w:lang w:val="fr-CH"/>
        </w:rPr>
        <w:t xml:space="preserve"> fonds supplémentaires </w:t>
      </w:r>
      <w:r w:rsidR="00FF7FBF" w:rsidRPr="008F70F0">
        <w:rPr>
          <w:rFonts w:cstheme="minorHAnsi"/>
          <w:lang w:val="fr-CH"/>
        </w:rPr>
        <w:t>dont il est question</w:t>
      </w:r>
      <w:r w:rsidRPr="008F70F0">
        <w:rPr>
          <w:rFonts w:cstheme="minorHAnsi"/>
          <w:lang w:val="fr-CH"/>
        </w:rPr>
        <w:t xml:space="preserve"> au § 4.1 et </w:t>
      </w:r>
      <w:r w:rsidR="00FF7FBF" w:rsidRPr="008F70F0">
        <w:rPr>
          <w:rFonts w:cstheme="minorHAnsi"/>
          <w:lang w:val="fr-CH"/>
        </w:rPr>
        <w:t>par</w:t>
      </w:r>
      <w:r w:rsidRPr="008F70F0">
        <w:rPr>
          <w:rFonts w:cstheme="minorHAnsi"/>
          <w:lang w:val="fr-CH"/>
        </w:rPr>
        <w:t xml:space="preserve"> certains éléments de la </w:t>
      </w:r>
      <w:r w:rsidR="00370683" w:rsidRPr="008F70F0">
        <w:rPr>
          <w:rFonts w:cstheme="minorHAnsi"/>
          <w:lang w:val="fr-CH"/>
        </w:rPr>
        <w:t>R</w:t>
      </w:r>
      <w:r w:rsidRPr="008F70F0">
        <w:rPr>
          <w:rFonts w:cstheme="minorHAnsi"/>
          <w:lang w:val="fr-CH"/>
        </w:rPr>
        <w:t>ecommandation 4/2018. En principe, les capitaux supplémentaires nécessaires devraient couvrir uniquement les coûts qui, pour des raisons juri</w:t>
      </w:r>
      <w:r w:rsidR="00E24CAC">
        <w:rPr>
          <w:rFonts w:cstheme="minorHAnsi"/>
          <w:lang w:val="fr-CH"/>
        </w:rPr>
        <w:t>diques, ne peuvent être financé</w:t>
      </w:r>
      <w:r w:rsidRPr="008F70F0">
        <w:rPr>
          <w:rFonts w:cstheme="minorHAnsi"/>
          <w:lang w:val="fr-CH"/>
        </w:rPr>
        <w:t>s par le prêt du pays hôte.</w:t>
      </w:r>
    </w:p>
    <w:p w:rsidR="006928DA" w:rsidRPr="008F70F0" w:rsidRDefault="006928DA" w:rsidP="0007112A">
      <w:pPr>
        <w:rPr>
          <w:rFonts w:cstheme="minorHAnsi"/>
          <w:lang w:val="fr-CH"/>
        </w:rPr>
      </w:pPr>
      <w:r w:rsidRPr="008F70F0">
        <w:rPr>
          <w:rFonts w:cstheme="minorHAnsi"/>
          <w:lang w:val="fr-CH"/>
        </w:rPr>
        <w:t>3.4</w:t>
      </w:r>
      <w:r w:rsidRPr="008F70F0">
        <w:rPr>
          <w:rFonts w:cstheme="minorHAnsi"/>
          <w:lang w:val="fr-CH"/>
        </w:rPr>
        <w:tab/>
        <w:t xml:space="preserve">En réponse à une question qui lui est adressée, le Vérificateur extérieur des comptes </w:t>
      </w:r>
      <w:r w:rsidR="00FF7FBF" w:rsidRPr="008F70F0">
        <w:rPr>
          <w:rFonts w:cstheme="minorHAnsi"/>
          <w:lang w:val="fr-CH"/>
        </w:rPr>
        <w:t>explique</w:t>
      </w:r>
      <w:r w:rsidRPr="008F70F0">
        <w:rPr>
          <w:rFonts w:cstheme="minorHAnsi"/>
          <w:lang w:val="fr-CH"/>
        </w:rPr>
        <w:t xml:space="preserve"> que le Comité d'évaluation créé par le Conseil à sa session de 2018 afin de </w:t>
      </w:r>
      <w:r w:rsidR="00FF7FBF" w:rsidRPr="008F70F0">
        <w:rPr>
          <w:rFonts w:cstheme="minorHAnsi"/>
          <w:lang w:val="fr-CH"/>
        </w:rPr>
        <w:t>diriger</w:t>
      </w:r>
      <w:r w:rsidRPr="008F70F0">
        <w:rPr>
          <w:rFonts w:cstheme="minorHAnsi"/>
          <w:lang w:val="fr-CH"/>
        </w:rPr>
        <w:t xml:space="preserve"> le processus de sélection du Vérificateur extérieur des comptes est composé de six membres représentant chacune des régions de l'UIT, qu'il </w:t>
      </w:r>
      <w:r w:rsidR="00FF7FBF" w:rsidRPr="008F70F0">
        <w:rPr>
          <w:rFonts w:cstheme="minorHAnsi"/>
          <w:lang w:val="fr-CH"/>
        </w:rPr>
        <w:t>a un caractère</w:t>
      </w:r>
      <w:r w:rsidRPr="008F70F0">
        <w:rPr>
          <w:rFonts w:cstheme="minorHAnsi"/>
          <w:lang w:val="fr-CH"/>
        </w:rPr>
        <w:t xml:space="preserve"> provisoire et qu'il recommandera un candidat adéquat au Conseil à sa session de 2019.</w:t>
      </w:r>
    </w:p>
    <w:p w:rsidR="006928DA" w:rsidRPr="008F70F0" w:rsidRDefault="006928DA" w:rsidP="0007112A">
      <w:pPr>
        <w:rPr>
          <w:rFonts w:cstheme="minorHAnsi"/>
          <w:lang w:val="fr-CH"/>
        </w:rPr>
      </w:pPr>
      <w:r w:rsidRPr="008F70F0">
        <w:rPr>
          <w:rFonts w:cstheme="minorHAnsi"/>
          <w:lang w:val="fr-CH"/>
        </w:rPr>
        <w:t>3.5</w:t>
      </w:r>
      <w:r w:rsidRPr="008F70F0">
        <w:rPr>
          <w:rFonts w:cstheme="minorHAnsi"/>
          <w:lang w:val="fr-CH"/>
        </w:rPr>
        <w:tab/>
        <w:t xml:space="preserve">Le Vice-Secrétaire général </w:t>
      </w:r>
      <w:r w:rsidR="00FF7FBF" w:rsidRPr="008F70F0">
        <w:rPr>
          <w:rFonts w:cstheme="minorHAnsi"/>
          <w:lang w:val="fr-CH"/>
        </w:rPr>
        <w:t>précise</w:t>
      </w:r>
      <w:r w:rsidRPr="008F70F0">
        <w:rPr>
          <w:rFonts w:cstheme="minorHAnsi"/>
          <w:lang w:val="fr-CH"/>
        </w:rPr>
        <w:t xml:space="preserve"> que, conformément à une recommandation formulée par le CCIG en 2016, un contrat a été conclu avec un cabinet de conseil dans le domaine de la gestion de projet. La structure de gouvernance formelle adoptée par le Conseil à sa session de 2016 fonctionne bien. L'établissement de la commission de direction visée au § 4.3 </w:t>
      </w:r>
      <w:r w:rsidR="00FF7FBF" w:rsidRPr="008F70F0">
        <w:rPr>
          <w:rFonts w:cstheme="minorHAnsi"/>
          <w:lang w:val="fr-CH"/>
        </w:rPr>
        <w:t xml:space="preserve">devra être examiné de manière </w:t>
      </w:r>
      <w:r w:rsidR="004B7D96">
        <w:rPr>
          <w:rFonts w:cstheme="minorHAnsi"/>
          <w:lang w:val="fr-CH"/>
        </w:rPr>
        <w:t>plus approfondie</w:t>
      </w:r>
      <w:r w:rsidRPr="008F70F0">
        <w:rPr>
          <w:rFonts w:cstheme="minorHAnsi"/>
          <w:lang w:val="fr-CH"/>
        </w:rPr>
        <w:t xml:space="preserve"> avec le CCIG.</w:t>
      </w:r>
    </w:p>
    <w:p w:rsidR="006928DA" w:rsidRPr="008F70F0" w:rsidRDefault="006928DA" w:rsidP="00F82D3A">
      <w:pPr>
        <w:keepNext/>
        <w:keepLines/>
        <w:rPr>
          <w:rFonts w:cstheme="minorHAnsi"/>
          <w:lang w:val="fr-CH"/>
        </w:rPr>
      </w:pPr>
      <w:r w:rsidRPr="008F70F0">
        <w:rPr>
          <w:rFonts w:cstheme="minorHAnsi"/>
          <w:lang w:val="fr-CH"/>
        </w:rPr>
        <w:lastRenderedPageBreak/>
        <w:t>3.6</w:t>
      </w:r>
      <w:r w:rsidRPr="008F70F0">
        <w:rPr>
          <w:rFonts w:cstheme="minorHAnsi"/>
          <w:lang w:val="fr-CH"/>
        </w:rPr>
        <w:tab/>
        <w:t>Le Secrétaire général exprime sa reconnaissance au CCIG pour ses travaux.</w:t>
      </w:r>
    </w:p>
    <w:p w:rsidR="006928DA" w:rsidRPr="008F70F0" w:rsidRDefault="006928DA" w:rsidP="00F82D3A">
      <w:pPr>
        <w:keepNext/>
        <w:keepLines/>
        <w:rPr>
          <w:rFonts w:cstheme="minorHAnsi"/>
          <w:lang w:val="fr-CH"/>
        </w:rPr>
      </w:pPr>
      <w:r w:rsidRPr="008F70F0">
        <w:rPr>
          <w:rFonts w:cstheme="minorHAnsi"/>
          <w:lang w:val="fr-CH"/>
        </w:rPr>
        <w:t>3.7</w:t>
      </w:r>
      <w:r w:rsidRPr="008F70F0">
        <w:rPr>
          <w:rFonts w:cstheme="minorHAnsi"/>
          <w:lang w:val="fr-CH"/>
        </w:rPr>
        <w:tab/>
        <w:t xml:space="preserve">Le Document C18/22(Add.1) est </w:t>
      </w:r>
      <w:r w:rsidRPr="008F70F0">
        <w:rPr>
          <w:rFonts w:cstheme="minorHAnsi"/>
          <w:b/>
          <w:lang w:val="fr-CH"/>
        </w:rPr>
        <w:t>approuvé</w:t>
      </w:r>
      <w:r w:rsidRPr="008F70F0">
        <w:rPr>
          <w:rFonts w:cstheme="minorHAnsi"/>
          <w:lang w:val="fr-CH"/>
        </w:rPr>
        <w:t>.</w:t>
      </w:r>
    </w:p>
    <w:p w:rsidR="006928DA" w:rsidRPr="008F70F0" w:rsidRDefault="006928DA" w:rsidP="0007112A">
      <w:pPr>
        <w:pStyle w:val="Heading1"/>
        <w:rPr>
          <w:lang w:val="fr-CH"/>
        </w:rPr>
      </w:pPr>
      <w:r w:rsidRPr="008F70F0">
        <w:rPr>
          <w:lang w:val="fr-CH"/>
        </w:rPr>
        <w:t>4</w:t>
      </w:r>
      <w:r w:rsidRPr="008F70F0">
        <w:rPr>
          <w:lang w:val="fr-CH"/>
        </w:rPr>
        <w:tab/>
        <w:t>Etablissement d'un bureau de zone de l'UIT pour l'Asie du Sud (Document</w:t>
      </w:r>
      <w:r w:rsidR="0007112A">
        <w:rPr>
          <w:lang w:val="fr-CH"/>
        </w:rPr>
        <w:t> </w:t>
      </w:r>
      <w:hyperlink r:id="rId24" w:history="1">
        <w:r w:rsidRPr="00072684">
          <w:rPr>
            <w:rStyle w:val="Hyperlink"/>
            <w:rFonts w:asciiTheme="minorHAnsi" w:hAnsiTheme="minorHAnsi"/>
            <w:szCs w:val="28"/>
            <w:lang w:val="fr-CH"/>
          </w:rPr>
          <w:t>C18/122</w:t>
        </w:r>
      </w:hyperlink>
      <w:r w:rsidRPr="008F70F0">
        <w:rPr>
          <w:lang w:val="fr-CH"/>
        </w:rPr>
        <w:t>)</w:t>
      </w:r>
    </w:p>
    <w:p w:rsidR="006928DA" w:rsidRPr="008F70F0" w:rsidRDefault="006928DA" w:rsidP="0007112A">
      <w:pPr>
        <w:rPr>
          <w:lang w:val="fr-CH"/>
        </w:rPr>
      </w:pPr>
      <w:r w:rsidRPr="008F70F0">
        <w:rPr>
          <w:lang w:val="fr-CH"/>
        </w:rPr>
        <w:t>4.1</w:t>
      </w:r>
      <w:r w:rsidRPr="008F70F0">
        <w:rPr>
          <w:lang w:val="fr-CH"/>
        </w:rPr>
        <w:tab/>
        <w:t xml:space="preserve">Le Directeur adjoint du BDT présente le Document C18/122, qui expose les conclusions du secrétariat concernant l'établissement d'un bureau de zone de l'UIT pour l'Asie du Sud. Il fait observer en particulier que les pays situés à proximité </w:t>
      </w:r>
      <w:r w:rsidR="00FF7FBF" w:rsidRPr="008F70F0">
        <w:rPr>
          <w:lang w:val="fr-CH"/>
        </w:rPr>
        <w:t>de ce bureau de zone tireraient parti de s</w:t>
      </w:r>
      <w:r w:rsidRPr="008F70F0">
        <w:rPr>
          <w:lang w:val="fr-CH"/>
        </w:rPr>
        <w:t>a création, en ce qu'ils bénéficieraient notamment de meilleurs services et de frais de voyage moins élevés.</w:t>
      </w:r>
    </w:p>
    <w:p w:rsidR="006928DA" w:rsidRPr="008F70F0" w:rsidRDefault="006928DA" w:rsidP="0007112A">
      <w:pPr>
        <w:rPr>
          <w:lang w:val="fr-CH"/>
        </w:rPr>
      </w:pPr>
      <w:r w:rsidRPr="008F70F0">
        <w:rPr>
          <w:lang w:val="fr-CH"/>
        </w:rPr>
        <w:t>4.2</w:t>
      </w:r>
      <w:r w:rsidRPr="008F70F0">
        <w:rPr>
          <w:lang w:val="fr-CH"/>
        </w:rPr>
        <w:tab/>
        <w:t>De nombreux conseillers se disent favorables à l'établissement</w:t>
      </w:r>
      <w:r w:rsidR="00FF7FBF" w:rsidRPr="008F70F0">
        <w:rPr>
          <w:lang w:val="fr-CH"/>
        </w:rPr>
        <w:t xml:space="preserve"> de ce bureau et note</w:t>
      </w:r>
      <w:r w:rsidRPr="008F70F0">
        <w:rPr>
          <w:lang w:val="fr-CH"/>
        </w:rPr>
        <w:t xml:space="preserve">nt que </w:t>
      </w:r>
      <w:r w:rsidR="00FF7FBF" w:rsidRPr="008F70F0">
        <w:rPr>
          <w:lang w:val="fr-CH"/>
        </w:rPr>
        <w:t>sur les</w:t>
      </w:r>
      <w:r w:rsidRPr="008F70F0">
        <w:rPr>
          <w:lang w:val="fr-CH"/>
        </w:rPr>
        <w:t xml:space="preserve"> huit pays consultés par l'UIT</w:t>
      </w:r>
      <w:r w:rsidR="00FF7FBF" w:rsidRPr="008F70F0">
        <w:rPr>
          <w:lang w:val="fr-CH"/>
        </w:rPr>
        <w:t>, cinq</w:t>
      </w:r>
      <w:r w:rsidRPr="008F70F0">
        <w:rPr>
          <w:lang w:val="fr-CH"/>
        </w:rPr>
        <w:t xml:space="preserve"> ont c</w:t>
      </w:r>
      <w:r w:rsidR="00FF7FBF" w:rsidRPr="008F70F0">
        <w:rPr>
          <w:lang w:val="fr-CH"/>
        </w:rPr>
        <w:t>onfirmé par écrit leur accord dans</w:t>
      </w:r>
      <w:r w:rsidRPr="008F70F0">
        <w:rPr>
          <w:lang w:val="fr-CH"/>
        </w:rPr>
        <w:t xml:space="preserve"> ce sens.</w:t>
      </w:r>
    </w:p>
    <w:p w:rsidR="006928DA" w:rsidRPr="008F70F0" w:rsidRDefault="006928DA" w:rsidP="004B7D96">
      <w:pPr>
        <w:rPr>
          <w:lang w:val="fr-CH"/>
        </w:rPr>
      </w:pPr>
      <w:r w:rsidRPr="008F70F0">
        <w:rPr>
          <w:lang w:val="fr-CH"/>
        </w:rPr>
        <w:t>4.3</w:t>
      </w:r>
      <w:r w:rsidRPr="008F70F0">
        <w:rPr>
          <w:lang w:val="fr-CH"/>
        </w:rPr>
        <w:tab/>
        <w:t xml:space="preserve">Plusieurs conseillers </w:t>
      </w:r>
      <w:r w:rsidR="00FF7FBF" w:rsidRPr="008F70F0">
        <w:rPr>
          <w:lang w:val="fr-CH"/>
        </w:rPr>
        <w:t>sont d'avis</w:t>
      </w:r>
      <w:r w:rsidRPr="008F70F0">
        <w:rPr>
          <w:lang w:val="fr-CH"/>
        </w:rPr>
        <w:t xml:space="preserve"> qu'il serait utile d'avoir des indications </w:t>
      </w:r>
      <w:r w:rsidR="00FF7FBF" w:rsidRPr="008F70F0">
        <w:rPr>
          <w:lang w:val="fr-CH"/>
        </w:rPr>
        <w:t>précise</w:t>
      </w:r>
      <w:r w:rsidR="004B7D96">
        <w:rPr>
          <w:lang w:val="fr-CH"/>
        </w:rPr>
        <w:t>s</w:t>
      </w:r>
      <w:r w:rsidRPr="008F70F0">
        <w:rPr>
          <w:lang w:val="fr-CH"/>
        </w:rPr>
        <w:t xml:space="preserve"> quant aux fonctions des bureaux régionaux et des bureaux de zone et aux avantages qu'ils présentent. Il serait également prudent d'établir des critères précis et normalisés pour l'établissement et l'exploitation de ces bureaux avant de prendre une décision. D'autres conseillers font remarquer que l'absence de critères de cette nature n'a pas empêché l'établissement des bureaux de zo</w:t>
      </w:r>
      <w:r w:rsidR="00FF7FBF" w:rsidRPr="008F70F0">
        <w:rPr>
          <w:lang w:val="fr-CH"/>
        </w:rPr>
        <w:t xml:space="preserve">ne existants. Il est suggéré de constituer </w:t>
      </w:r>
      <w:r w:rsidRPr="008F70F0">
        <w:rPr>
          <w:lang w:val="fr-CH"/>
        </w:rPr>
        <w:t xml:space="preserve">un groupe </w:t>
      </w:r>
      <w:r w:rsidR="00FF7FBF" w:rsidRPr="008F70F0">
        <w:rPr>
          <w:lang w:val="fr-CH"/>
        </w:rPr>
        <w:t>qu</w:t>
      </w:r>
      <w:r w:rsidR="004B7D96">
        <w:rPr>
          <w:lang w:val="fr-CH"/>
        </w:rPr>
        <w:t xml:space="preserve">i </w:t>
      </w:r>
      <w:r w:rsidR="00FF7FBF" w:rsidRPr="008F70F0">
        <w:rPr>
          <w:lang w:val="fr-CH"/>
        </w:rPr>
        <w:t>examinera la</w:t>
      </w:r>
      <w:r w:rsidRPr="008F70F0">
        <w:rPr>
          <w:lang w:val="fr-CH"/>
        </w:rPr>
        <w:t xml:space="preserve"> question </w:t>
      </w:r>
      <w:r w:rsidR="00FF7FBF" w:rsidRPr="008F70F0">
        <w:rPr>
          <w:lang w:val="fr-CH"/>
        </w:rPr>
        <w:t>des critères et</w:t>
      </w:r>
      <w:r w:rsidRPr="008F70F0">
        <w:rPr>
          <w:lang w:val="fr-CH"/>
        </w:rPr>
        <w:t xml:space="preserve"> présenter</w:t>
      </w:r>
      <w:r w:rsidR="00FF7FBF" w:rsidRPr="008F70F0">
        <w:rPr>
          <w:lang w:val="fr-CH"/>
        </w:rPr>
        <w:t>a</w:t>
      </w:r>
      <w:r w:rsidRPr="008F70F0">
        <w:rPr>
          <w:lang w:val="fr-CH"/>
        </w:rPr>
        <w:t xml:space="preserve"> </w:t>
      </w:r>
      <w:r w:rsidR="00FF7FBF" w:rsidRPr="008F70F0">
        <w:rPr>
          <w:lang w:val="fr-CH"/>
        </w:rPr>
        <w:t>s</w:t>
      </w:r>
      <w:r w:rsidRPr="008F70F0">
        <w:rPr>
          <w:lang w:val="fr-CH"/>
        </w:rPr>
        <w:t>es conclusions au Conseil à sa session de 2019.</w:t>
      </w:r>
    </w:p>
    <w:p w:rsidR="006928DA" w:rsidRPr="008F70F0" w:rsidRDefault="006928DA" w:rsidP="0007112A">
      <w:pPr>
        <w:rPr>
          <w:lang w:val="fr-CH"/>
        </w:rPr>
      </w:pPr>
      <w:r w:rsidRPr="008F70F0">
        <w:rPr>
          <w:lang w:val="fr-CH"/>
        </w:rPr>
        <w:t>4.4</w:t>
      </w:r>
      <w:r w:rsidRPr="008F70F0">
        <w:rPr>
          <w:lang w:val="fr-CH"/>
        </w:rPr>
        <w:tab/>
      </w:r>
      <w:r w:rsidR="00FF7FBF" w:rsidRPr="008F70F0">
        <w:rPr>
          <w:lang w:val="fr-CH"/>
        </w:rPr>
        <w:t xml:space="preserve">De l'avis de certains conseillers, il conviendrait de </w:t>
      </w:r>
      <w:r w:rsidRPr="008F70F0">
        <w:rPr>
          <w:lang w:val="fr-CH"/>
        </w:rPr>
        <w:t xml:space="preserve">donner suite aux recommandations du Vérificateur extérieur des comptes concernant la présence régionale et traiter les points pertinents soulevés à la PP-18 avant de prendre une décision. D'autres </w:t>
      </w:r>
      <w:r w:rsidR="00FF7FBF" w:rsidRPr="008F70F0">
        <w:rPr>
          <w:lang w:val="fr-CH"/>
        </w:rPr>
        <w:t xml:space="preserve">conseillers </w:t>
      </w:r>
      <w:r w:rsidRPr="008F70F0">
        <w:rPr>
          <w:lang w:val="fr-CH"/>
        </w:rPr>
        <w:t>se disent</w:t>
      </w:r>
      <w:r w:rsidR="00FF7FBF" w:rsidRPr="008F70F0">
        <w:rPr>
          <w:lang w:val="fr-CH"/>
        </w:rPr>
        <w:t xml:space="preserve"> favorables à la poursuite des</w:t>
      </w:r>
      <w:r w:rsidRPr="008F70F0">
        <w:rPr>
          <w:lang w:val="fr-CH"/>
        </w:rPr>
        <w:t xml:space="preserve"> consultations </w:t>
      </w:r>
      <w:r w:rsidR="00FF7FBF" w:rsidRPr="008F70F0">
        <w:rPr>
          <w:lang w:val="fr-CH"/>
        </w:rPr>
        <w:t>entre les</w:t>
      </w:r>
      <w:r w:rsidRPr="008F70F0">
        <w:rPr>
          <w:lang w:val="fr-CH"/>
        </w:rPr>
        <w:t xml:space="preserve"> pays concernés au sujet de l'emplacement précis du bureau et </w:t>
      </w:r>
      <w:r w:rsidR="00FF7FBF" w:rsidRPr="008F70F0">
        <w:rPr>
          <w:lang w:val="fr-CH"/>
        </w:rPr>
        <w:t>préconisent que</w:t>
      </w:r>
      <w:r w:rsidRPr="008F70F0">
        <w:rPr>
          <w:lang w:val="fr-CH"/>
        </w:rPr>
        <w:t xml:space="preserve"> des consultations plus détaillées soient menées lors de la session de 2019 du Conseil. </w:t>
      </w:r>
    </w:p>
    <w:p w:rsidR="006928DA" w:rsidRPr="008F70F0" w:rsidRDefault="006928DA" w:rsidP="0007112A">
      <w:pPr>
        <w:rPr>
          <w:lang w:val="fr-CH"/>
        </w:rPr>
      </w:pPr>
      <w:r w:rsidRPr="008F70F0">
        <w:rPr>
          <w:lang w:val="fr-CH"/>
        </w:rPr>
        <w:t>4.5</w:t>
      </w:r>
      <w:r w:rsidRPr="008F70F0">
        <w:rPr>
          <w:lang w:val="fr-CH"/>
        </w:rPr>
        <w:tab/>
        <w:t xml:space="preserve">Le Président fait observer que le Conseil a déjà approuvé le principe de l'établissement d'un bureau de zone de l'UIT en Asie du Sud. Plus de la moitié des huit pays consultés depuis avril 2018 ont </w:t>
      </w:r>
      <w:r w:rsidR="00FF7FBF" w:rsidRPr="008F70F0">
        <w:rPr>
          <w:lang w:val="fr-CH"/>
        </w:rPr>
        <w:t>fait part de</w:t>
      </w:r>
      <w:r w:rsidRPr="008F70F0">
        <w:rPr>
          <w:lang w:val="fr-CH"/>
        </w:rPr>
        <w:t xml:space="preserve"> leur accord. La décision finale ne </w:t>
      </w:r>
      <w:r w:rsidR="00FF7FBF" w:rsidRPr="008F70F0">
        <w:rPr>
          <w:lang w:val="fr-CH"/>
        </w:rPr>
        <w:t>saurait</w:t>
      </w:r>
      <w:r w:rsidRPr="008F70F0">
        <w:rPr>
          <w:lang w:val="fr-CH"/>
        </w:rPr>
        <w:t xml:space="preserve"> être repoussée</w:t>
      </w:r>
      <w:r w:rsidR="00FF7FBF" w:rsidRPr="008F70F0">
        <w:rPr>
          <w:lang w:val="fr-CH"/>
        </w:rPr>
        <w:t xml:space="preserve"> davantage</w:t>
      </w:r>
      <w:r w:rsidRPr="008F70F0">
        <w:rPr>
          <w:lang w:val="fr-CH"/>
        </w:rPr>
        <w:t xml:space="preserve">. Toutes les questions seront traitées dans le cadre des négociations avec l'Inde. </w:t>
      </w:r>
    </w:p>
    <w:p w:rsidR="006928DA" w:rsidRPr="008F70F0" w:rsidRDefault="006928DA" w:rsidP="0007112A">
      <w:pPr>
        <w:rPr>
          <w:lang w:val="fr-CH"/>
        </w:rPr>
      </w:pPr>
      <w:r w:rsidRPr="008F70F0">
        <w:rPr>
          <w:lang w:val="fr-CH"/>
        </w:rPr>
        <w:t>4.6</w:t>
      </w:r>
      <w:r w:rsidRPr="008F70F0">
        <w:rPr>
          <w:lang w:val="fr-CH"/>
        </w:rPr>
        <w:tab/>
        <w:t xml:space="preserve">Un conseiller rappelle que l'Inde a accepté de prendre à sa charge les coûts </w:t>
      </w:r>
      <w:r w:rsidR="00FF7FBF" w:rsidRPr="008F70F0">
        <w:rPr>
          <w:lang w:val="fr-CH"/>
        </w:rPr>
        <w:t>liés à la</w:t>
      </w:r>
      <w:r w:rsidRPr="008F70F0">
        <w:rPr>
          <w:lang w:val="fr-CH"/>
        </w:rPr>
        <w:t xml:space="preserve"> logistique et </w:t>
      </w:r>
      <w:r w:rsidR="00FF7FBF" w:rsidRPr="008F70F0">
        <w:rPr>
          <w:lang w:val="fr-CH"/>
        </w:rPr>
        <w:t>aux ressources humaines</w:t>
      </w:r>
      <w:r w:rsidRPr="008F70F0">
        <w:rPr>
          <w:lang w:val="fr-CH"/>
        </w:rPr>
        <w:t xml:space="preserve"> pendant les quatre premières années d'existence du bureau de zone. Dans un souci d'efficacité, il serait imprudent de reporter la décision à la session de 2019 du Conseil</w:t>
      </w:r>
      <w:r w:rsidR="00FF7FBF" w:rsidRPr="008F70F0">
        <w:rPr>
          <w:lang w:val="fr-CH"/>
        </w:rPr>
        <w:t>.</w:t>
      </w:r>
    </w:p>
    <w:p w:rsidR="006928DA" w:rsidRPr="008F70F0" w:rsidRDefault="006928DA" w:rsidP="0007112A">
      <w:pPr>
        <w:rPr>
          <w:lang w:val="fr-CH"/>
        </w:rPr>
      </w:pPr>
      <w:r w:rsidRPr="008F70F0">
        <w:rPr>
          <w:lang w:val="fr-CH"/>
        </w:rPr>
        <w:t>4.7</w:t>
      </w:r>
      <w:r w:rsidRPr="008F70F0">
        <w:rPr>
          <w:lang w:val="fr-CH"/>
        </w:rPr>
        <w:tab/>
        <w:t xml:space="preserve">Le conseiller de la Thaïlande </w:t>
      </w:r>
      <w:r w:rsidR="00FF7FBF" w:rsidRPr="008F70F0">
        <w:rPr>
          <w:lang w:val="fr-CH"/>
        </w:rPr>
        <w:t>indique</w:t>
      </w:r>
      <w:r w:rsidRPr="008F70F0">
        <w:rPr>
          <w:lang w:val="fr-CH"/>
        </w:rPr>
        <w:t xml:space="preserve"> que le bureau régional de Bangkok serait heureux de partager </w:t>
      </w:r>
      <w:r w:rsidR="00FF7FBF" w:rsidRPr="008F70F0">
        <w:rPr>
          <w:lang w:val="fr-CH"/>
        </w:rPr>
        <w:t>les tâches menées à bien</w:t>
      </w:r>
      <w:r w:rsidRPr="008F70F0">
        <w:rPr>
          <w:lang w:val="fr-CH"/>
        </w:rPr>
        <w:t xml:space="preserve"> dans la région avec un bureau de zone en Inde.</w:t>
      </w:r>
    </w:p>
    <w:p w:rsidR="006928DA" w:rsidRPr="008F70F0" w:rsidRDefault="006928DA" w:rsidP="0007112A">
      <w:pPr>
        <w:rPr>
          <w:lang w:val="fr-CH"/>
        </w:rPr>
      </w:pPr>
      <w:r w:rsidRPr="008F70F0">
        <w:rPr>
          <w:lang w:val="fr-CH"/>
        </w:rPr>
        <w:t>4.8</w:t>
      </w:r>
      <w:r w:rsidRPr="008F70F0">
        <w:rPr>
          <w:lang w:val="fr-CH"/>
        </w:rPr>
        <w:tab/>
        <w:t xml:space="preserve">Le conseiller de l'Inde </w:t>
      </w:r>
      <w:r w:rsidR="00FF7FBF" w:rsidRPr="008F70F0">
        <w:rPr>
          <w:lang w:val="fr-CH"/>
        </w:rPr>
        <w:t>note</w:t>
      </w:r>
      <w:r w:rsidRPr="008F70F0">
        <w:rPr>
          <w:lang w:val="fr-CH"/>
        </w:rPr>
        <w:t xml:space="preserve"> que son pays est prêt à </w:t>
      </w:r>
      <w:r w:rsidR="00FF7FBF" w:rsidRPr="008F70F0">
        <w:rPr>
          <w:lang w:val="fr-CH"/>
        </w:rPr>
        <w:t xml:space="preserve">apporter une aide financière </w:t>
      </w:r>
      <w:r w:rsidRPr="008F70F0">
        <w:rPr>
          <w:lang w:val="fr-CH"/>
        </w:rPr>
        <w:t>au bureau d</w:t>
      </w:r>
      <w:r w:rsidR="00FF7FBF" w:rsidRPr="008F70F0">
        <w:rPr>
          <w:lang w:val="fr-CH"/>
        </w:rPr>
        <w:t xml:space="preserve">e zone après les </w:t>
      </w:r>
      <w:r w:rsidRPr="008F70F0">
        <w:rPr>
          <w:lang w:val="fr-CH"/>
        </w:rPr>
        <w:t xml:space="preserve">quatre premières années, tant qu'il existera </w:t>
      </w:r>
      <w:r w:rsidR="00FF7FBF" w:rsidRPr="008F70F0">
        <w:rPr>
          <w:lang w:val="fr-CH"/>
        </w:rPr>
        <w:t>des</w:t>
      </w:r>
      <w:r w:rsidRPr="008F70F0">
        <w:rPr>
          <w:lang w:val="fr-CH"/>
        </w:rPr>
        <w:t xml:space="preserve"> besoin</w:t>
      </w:r>
      <w:r w:rsidR="00FF7FBF" w:rsidRPr="008F70F0">
        <w:rPr>
          <w:lang w:val="fr-CH"/>
        </w:rPr>
        <w:t>s dans</w:t>
      </w:r>
      <w:r w:rsidRPr="008F70F0">
        <w:rPr>
          <w:lang w:val="fr-CH"/>
        </w:rPr>
        <w:t xml:space="preserve"> ce sens</w:t>
      </w:r>
      <w:r w:rsidR="00FF7FBF" w:rsidRPr="008F70F0">
        <w:rPr>
          <w:lang w:val="fr-CH"/>
        </w:rPr>
        <w:t xml:space="preserve"> à l'UIT</w:t>
      </w:r>
      <w:r w:rsidRPr="008F70F0">
        <w:rPr>
          <w:lang w:val="fr-CH"/>
        </w:rPr>
        <w:t xml:space="preserve">. La </w:t>
      </w:r>
      <w:r w:rsidR="005A5AC2" w:rsidRPr="008F70F0">
        <w:rPr>
          <w:lang w:val="fr-CH"/>
        </w:rPr>
        <w:t>taille</w:t>
      </w:r>
      <w:r w:rsidRPr="008F70F0">
        <w:rPr>
          <w:lang w:val="fr-CH"/>
        </w:rPr>
        <w:t xml:space="preserve"> de </w:t>
      </w:r>
      <w:r w:rsidR="005A5AC2" w:rsidRPr="008F70F0">
        <w:rPr>
          <w:lang w:val="fr-CH"/>
        </w:rPr>
        <w:t xml:space="preserve">la </w:t>
      </w:r>
      <w:r w:rsidRPr="008F70F0">
        <w:rPr>
          <w:lang w:val="fr-CH"/>
        </w:rPr>
        <w:t xml:space="preserve">population desservie est un critère important. Le bureau de zone, qui facilitera la participation aux politiques </w:t>
      </w:r>
      <w:r w:rsidR="005A5AC2" w:rsidRPr="008F70F0">
        <w:rPr>
          <w:lang w:val="fr-CH"/>
        </w:rPr>
        <w:t xml:space="preserve">générales </w:t>
      </w:r>
      <w:r w:rsidRPr="008F70F0">
        <w:rPr>
          <w:lang w:val="fr-CH"/>
        </w:rPr>
        <w:t xml:space="preserve">et aux programmes de l'UIT, appliquera les procédures opérationnelles normalisées de l'UIT et ses fonctionnaires bénéficieront de privilèges analogues à ceux qui sont déjà accordés au personnel des Nations Unies en Inde. L'Inde </w:t>
      </w:r>
      <w:r w:rsidR="005A5AC2" w:rsidRPr="008F70F0">
        <w:rPr>
          <w:lang w:val="fr-CH"/>
        </w:rPr>
        <w:t>sera heureuse</w:t>
      </w:r>
      <w:r w:rsidRPr="008F70F0">
        <w:rPr>
          <w:lang w:val="fr-CH"/>
        </w:rPr>
        <w:t xml:space="preserve"> </w:t>
      </w:r>
      <w:r w:rsidR="005A5AC2" w:rsidRPr="008F70F0">
        <w:rPr>
          <w:lang w:val="fr-CH"/>
        </w:rPr>
        <w:t xml:space="preserve">de répondre aux préoccupations </w:t>
      </w:r>
      <w:r w:rsidRPr="008F70F0">
        <w:rPr>
          <w:lang w:val="fr-CH"/>
        </w:rPr>
        <w:t>des trois pays qui ne se sont pas encore exprimés dans le cadre des consultations.</w:t>
      </w:r>
    </w:p>
    <w:p w:rsidR="006928DA" w:rsidRPr="008F70F0" w:rsidRDefault="006928DA" w:rsidP="0007112A">
      <w:pPr>
        <w:rPr>
          <w:lang w:val="fr-CH"/>
        </w:rPr>
      </w:pPr>
      <w:r w:rsidRPr="008F70F0">
        <w:rPr>
          <w:lang w:val="fr-CH"/>
        </w:rPr>
        <w:lastRenderedPageBreak/>
        <w:t>4.9</w:t>
      </w:r>
      <w:r w:rsidRPr="008F70F0">
        <w:rPr>
          <w:lang w:val="fr-CH"/>
        </w:rPr>
        <w:tab/>
        <w:t xml:space="preserve">Le Secrétaire général déclare qu'il semble n'y avoir aucune objection à l'établissement d'un bureau de zone de l'UIT dans une région </w:t>
      </w:r>
      <w:r w:rsidR="00AB68E0" w:rsidRPr="008F70F0">
        <w:rPr>
          <w:lang w:val="fr-CH"/>
        </w:rPr>
        <w:t>où vivent</w:t>
      </w:r>
      <w:r w:rsidRPr="008F70F0">
        <w:rPr>
          <w:lang w:val="fr-CH"/>
        </w:rPr>
        <w:t xml:space="preserve"> 24 pour cent de la population mondiale, et que des fonds ont déjà été affectés par l'Inde. Les négociations avec le pays hôte </w:t>
      </w:r>
      <w:r w:rsidR="00AB68E0" w:rsidRPr="008F70F0">
        <w:rPr>
          <w:lang w:val="fr-CH"/>
        </w:rPr>
        <w:t>apporteront une</w:t>
      </w:r>
      <w:r w:rsidRPr="008F70F0">
        <w:rPr>
          <w:lang w:val="fr-CH"/>
        </w:rPr>
        <w:t xml:space="preserve"> </w:t>
      </w:r>
      <w:r w:rsidR="00AB68E0" w:rsidRPr="008F70F0">
        <w:rPr>
          <w:lang w:val="fr-CH"/>
        </w:rPr>
        <w:t>contribution utile</w:t>
      </w:r>
      <w:r w:rsidRPr="008F70F0">
        <w:rPr>
          <w:lang w:val="fr-CH"/>
        </w:rPr>
        <w:t xml:space="preserve"> </w:t>
      </w:r>
      <w:r w:rsidR="00AB68E0" w:rsidRPr="008F70F0">
        <w:rPr>
          <w:lang w:val="fr-CH"/>
        </w:rPr>
        <w:t xml:space="preserve">aux nouvelles </w:t>
      </w:r>
      <w:r w:rsidRPr="008F70F0">
        <w:rPr>
          <w:lang w:val="fr-CH"/>
        </w:rPr>
        <w:t xml:space="preserve">discussions </w:t>
      </w:r>
      <w:r w:rsidR="00AB68E0" w:rsidRPr="008F70F0">
        <w:rPr>
          <w:lang w:val="fr-CH"/>
        </w:rPr>
        <w:t>du</w:t>
      </w:r>
      <w:r w:rsidRPr="008F70F0">
        <w:rPr>
          <w:lang w:val="fr-CH"/>
        </w:rPr>
        <w:t xml:space="preserve"> Conseil </w:t>
      </w:r>
      <w:r w:rsidR="00AB68E0" w:rsidRPr="008F70F0">
        <w:rPr>
          <w:lang w:val="fr-CH"/>
        </w:rPr>
        <w:t xml:space="preserve">sur les </w:t>
      </w:r>
      <w:r w:rsidRPr="008F70F0">
        <w:rPr>
          <w:lang w:val="fr-CH"/>
        </w:rPr>
        <w:t>critères applicables aux bureaux de zone et aux bureaux régionaux.</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4.10</w:t>
      </w:r>
      <w:r w:rsidRPr="008F70F0">
        <w:rPr>
          <w:rFonts w:asciiTheme="minorHAnsi" w:hAnsiTheme="minorHAnsi"/>
          <w:szCs w:val="24"/>
          <w:lang w:val="fr-CH"/>
        </w:rPr>
        <w:tab/>
        <w:t>Un conseiller encourage le Secrétaire général à renforcer l'efficacité des bureaux régionaux, conformément aux recommandations du Vérificateur extérieur des comptes.</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4.11</w:t>
      </w:r>
      <w:r w:rsidRPr="008F70F0">
        <w:rPr>
          <w:rFonts w:asciiTheme="minorHAnsi" w:hAnsiTheme="minorHAnsi"/>
          <w:szCs w:val="24"/>
          <w:lang w:val="fr-CH"/>
        </w:rPr>
        <w:tab/>
        <w:t xml:space="preserve">Le Président considère que le Conseil peut </w:t>
      </w:r>
      <w:r w:rsidR="00AB68E0" w:rsidRPr="008F70F0">
        <w:rPr>
          <w:rFonts w:asciiTheme="minorHAnsi" w:hAnsiTheme="minorHAnsi"/>
          <w:szCs w:val="24"/>
          <w:lang w:val="fr-CH"/>
        </w:rPr>
        <w:t>décider de confirmer</w:t>
      </w:r>
      <w:r w:rsidRPr="008F70F0">
        <w:rPr>
          <w:rFonts w:asciiTheme="minorHAnsi" w:hAnsiTheme="minorHAnsi"/>
          <w:szCs w:val="24"/>
          <w:lang w:val="fr-CH"/>
        </w:rPr>
        <w:t xml:space="preserve"> l'établissement d'un bureau de zone et d'inviter le</w:t>
      </w:r>
      <w:r w:rsidR="00AB68E0" w:rsidRPr="008F70F0">
        <w:rPr>
          <w:rFonts w:asciiTheme="minorHAnsi" w:hAnsiTheme="minorHAnsi"/>
          <w:szCs w:val="24"/>
          <w:lang w:val="fr-CH"/>
        </w:rPr>
        <w:t xml:space="preserve"> Secrétaire général à entamer les</w:t>
      </w:r>
      <w:r w:rsidRPr="008F70F0">
        <w:rPr>
          <w:rFonts w:asciiTheme="minorHAnsi" w:hAnsiTheme="minorHAnsi"/>
          <w:szCs w:val="24"/>
          <w:lang w:val="fr-CH"/>
        </w:rPr>
        <w:t xml:space="preserve"> négociation</w:t>
      </w:r>
      <w:r w:rsidR="00AB68E0" w:rsidRPr="008F70F0">
        <w:rPr>
          <w:rFonts w:asciiTheme="minorHAnsi" w:hAnsiTheme="minorHAnsi"/>
          <w:szCs w:val="24"/>
          <w:lang w:val="fr-CH"/>
        </w:rPr>
        <w:t xml:space="preserve">s sur </w:t>
      </w:r>
      <w:r w:rsidRPr="008F70F0">
        <w:rPr>
          <w:rFonts w:asciiTheme="minorHAnsi" w:hAnsiTheme="minorHAnsi"/>
          <w:szCs w:val="24"/>
          <w:lang w:val="fr-CH"/>
        </w:rPr>
        <w:t xml:space="preserve">un accord </w:t>
      </w:r>
      <w:r w:rsidR="00AB68E0" w:rsidRPr="008F70F0">
        <w:rPr>
          <w:rFonts w:asciiTheme="minorHAnsi" w:hAnsiTheme="minorHAnsi"/>
          <w:szCs w:val="24"/>
          <w:lang w:val="fr-CH"/>
        </w:rPr>
        <w:t>de</w:t>
      </w:r>
      <w:r w:rsidRPr="008F70F0">
        <w:rPr>
          <w:rFonts w:asciiTheme="minorHAnsi" w:hAnsiTheme="minorHAnsi"/>
          <w:szCs w:val="24"/>
          <w:lang w:val="fr-CH"/>
        </w:rPr>
        <w:t xml:space="preserve"> pays hôte, </w:t>
      </w:r>
      <w:r w:rsidR="00AB68E0" w:rsidRPr="008F70F0">
        <w:rPr>
          <w:rFonts w:asciiTheme="minorHAnsi" w:hAnsiTheme="minorHAnsi"/>
          <w:szCs w:val="24"/>
          <w:lang w:val="fr-CH"/>
        </w:rPr>
        <w:t xml:space="preserve">portant notamment sur </w:t>
      </w:r>
      <w:r w:rsidRPr="008F70F0">
        <w:rPr>
          <w:rFonts w:asciiTheme="minorHAnsi" w:hAnsiTheme="minorHAnsi"/>
          <w:szCs w:val="24"/>
          <w:lang w:val="fr-CH"/>
        </w:rPr>
        <w:t>les dispositions financières. En outre, le secrétariat devrait proposer des critères précis applicables à la création d'un bureau de zone, pour examen par le Conseil à une prochaine session, compte tenu des points de vue exprimés lors des discussions.</w:t>
      </w:r>
    </w:p>
    <w:p w:rsidR="006928DA" w:rsidRPr="008F70F0" w:rsidRDefault="006928DA" w:rsidP="0007112A">
      <w:pPr>
        <w:rPr>
          <w:rFonts w:asciiTheme="minorHAnsi" w:hAnsiTheme="minorHAnsi"/>
          <w:szCs w:val="24"/>
          <w:lang w:val="fr-CH"/>
        </w:rPr>
      </w:pPr>
      <w:r w:rsidRPr="008F70F0">
        <w:rPr>
          <w:rFonts w:asciiTheme="minorHAnsi" w:hAnsiTheme="minorHAnsi"/>
          <w:szCs w:val="24"/>
          <w:lang w:val="fr-CH"/>
        </w:rPr>
        <w:t>4.12</w:t>
      </w:r>
      <w:r w:rsidRPr="008F70F0">
        <w:rPr>
          <w:rFonts w:asciiTheme="minorHAnsi" w:hAnsiTheme="minorHAnsi"/>
          <w:szCs w:val="24"/>
          <w:lang w:val="fr-CH"/>
        </w:rPr>
        <w:tab/>
        <w:t xml:space="preserve">Il en est ainsi </w:t>
      </w:r>
      <w:r w:rsidRPr="008F70F0">
        <w:rPr>
          <w:rFonts w:asciiTheme="minorHAnsi" w:hAnsiTheme="minorHAnsi"/>
          <w:b/>
          <w:bCs/>
          <w:szCs w:val="24"/>
          <w:lang w:val="fr-CH"/>
        </w:rPr>
        <w:t>décidé</w:t>
      </w:r>
      <w:r w:rsidRPr="008F70F0">
        <w:rPr>
          <w:rFonts w:asciiTheme="minorHAnsi" w:hAnsiTheme="minorHAnsi"/>
          <w:szCs w:val="24"/>
          <w:lang w:val="fr-CH"/>
        </w:rPr>
        <w:t xml:space="preserve">. </w:t>
      </w:r>
    </w:p>
    <w:p w:rsidR="006928DA" w:rsidRPr="008F70F0" w:rsidRDefault="006928DA" w:rsidP="0007112A">
      <w:pPr>
        <w:pStyle w:val="Heading1"/>
        <w:rPr>
          <w:lang w:val="fr-CH"/>
        </w:rPr>
      </w:pPr>
      <w:r w:rsidRPr="008F70F0">
        <w:rPr>
          <w:lang w:val="fr-CH"/>
        </w:rPr>
        <w:t>5</w:t>
      </w:r>
      <w:r w:rsidRPr="008F70F0">
        <w:rPr>
          <w:lang w:val="fr-CH"/>
        </w:rPr>
        <w:tab/>
        <w:t xml:space="preserve">Rapport sur les progrès réalisés concernant le projet de locaux du siège de l'Union (Documents </w:t>
      </w:r>
      <w:hyperlink r:id="rId25" w:history="1">
        <w:r w:rsidRPr="00072684">
          <w:rPr>
            <w:rStyle w:val="Hyperlink"/>
            <w:rFonts w:asciiTheme="minorHAnsi" w:hAnsiTheme="minorHAnsi"/>
            <w:bCs/>
            <w:szCs w:val="28"/>
            <w:lang w:val="fr-CH"/>
          </w:rPr>
          <w:t>C18/123 + Add.1</w:t>
        </w:r>
      </w:hyperlink>
      <w:r w:rsidRPr="00072684">
        <w:rPr>
          <w:szCs w:val="28"/>
          <w:lang w:val="fr-CH"/>
        </w:rPr>
        <w:t xml:space="preserve">, </w:t>
      </w:r>
      <w:hyperlink r:id="rId26" w:history="1">
        <w:r w:rsidRPr="00072684">
          <w:rPr>
            <w:rStyle w:val="Hyperlink"/>
            <w:rFonts w:asciiTheme="minorHAnsi" w:hAnsiTheme="minorHAnsi"/>
            <w:bCs/>
            <w:szCs w:val="28"/>
            <w:lang w:val="fr-CH"/>
          </w:rPr>
          <w:t>C18/124</w:t>
        </w:r>
      </w:hyperlink>
      <w:r w:rsidRPr="00072684">
        <w:rPr>
          <w:szCs w:val="28"/>
          <w:lang w:val="fr-CH"/>
        </w:rPr>
        <w:t xml:space="preserve">, </w:t>
      </w:r>
      <w:hyperlink r:id="rId27" w:history="1">
        <w:r w:rsidRPr="00072684">
          <w:rPr>
            <w:rStyle w:val="Hyperlink"/>
            <w:rFonts w:asciiTheme="minorHAnsi" w:hAnsiTheme="minorHAnsi"/>
            <w:bCs/>
            <w:szCs w:val="28"/>
            <w:lang w:val="fr-CH"/>
          </w:rPr>
          <w:t>C18/126</w:t>
        </w:r>
      </w:hyperlink>
      <w:r w:rsidRPr="00072684">
        <w:rPr>
          <w:szCs w:val="28"/>
          <w:lang w:val="fr-CH"/>
        </w:rPr>
        <w:t xml:space="preserve">, </w:t>
      </w:r>
      <w:hyperlink r:id="rId28" w:history="1">
        <w:r w:rsidRPr="00072684">
          <w:rPr>
            <w:rStyle w:val="Hyperlink"/>
            <w:rFonts w:asciiTheme="minorHAnsi" w:hAnsiTheme="minorHAnsi"/>
            <w:bCs/>
            <w:szCs w:val="28"/>
            <w:lang w:val="fr-CH"/>
          </w:rPr>
          <w:t>C18/INF/18</w:t>
        </w:r>
      </w:hyperlink>
      <w:r w:rsidRPr="00072684">
        <w:rPr>
          <w:szCs w:val="28"/>
          <w:lang w:val="fr-CH"/>
        </w:rPr>
        <w:t xml:space="preserve"> et</w:t>
      </w:r>
      <w:r w:rsidR="004B7D96" w:rsidRPr="00072684">
        <w:rPr>
          <w:szCs w:val="28"/>
          <w:lang w:val="fr-CH"/>
        </w:rPr>
        <w:t> </w:t>
      </w:r>
      <w:hyperlink r:id="rId29" w:history="1">
        <w:r w:rsidRPr="00072684">
          <w:rPr>
            <w:rStyle w:val="Hyperlink"/>
            <w:rFonts w:asciiTheme="minorHAnsi" w:hAnsiTheme="minorHAnsi"/>
            <w:bCs/>
            <w:szCs w:val="28"/>
            <w:lang w:val="fr-CH"/>
          </w:rPr>
          <w:t>C18/INF/19</w:t>
        </w:r>
      </w:hyperlink>
      <w:r w:rsidRPr="008F70F0">
        <w:rPr>
          <w:lang w:val="fr-CH"/>
        </w:rPr>
        <w:t>)</w:t>
      </w:r>
    </w:p>
    <w:p w:rsidR="006928DA" w:rsidRPr="008F70F0" w:rsidRDefault="006928DA" w:rsidP="0007112A">
      <w:pPr>
        <w:rPr>
          <w:lang w:val="fr-CH"/>
        </w:rPr>
      </w:pPr>
      <w:r w:rsidRPr="008F70F0">
        <w:rPr>
          <w:lang w:val="fr-CH"/>
        </w:rPr>
        <w:t>5.1</w:t>
      </w:r>
      <w:r w:rsidRPr="008F70F0">
        <w:rPr>
          <w:lang w:val="fr-CH"/>
        </w:rPr>
        <w:tab/>
        <w:t>Le Vice-Secrétaire général présente le Document C18/123, qui contient un rapport sur les progrès réalisés concernant le projet de locaux du siège de l'Union, et son Addendum 1, dans lequel figurent des précisions complémentaires. La décision du pays hôte d'étendre la période de disponibilité de la première tranche du prêt jusqu'à fin 2020 permettra au se</w:t>
      </w:r>
      <w:r w:rsidR="00145E53" w:rsidRPr="008F70F0">
        <w:rPr>
          <w:lang w:val="fr-CH"/>
        </w:rPr>
        <w:t>crétariat de fournir au Conseil</w:t>
      </w:r>
      <w:r w:rsidRPr="008F70F0">
        <w:rPr>
          <w:lang w:val="fr-CH"/>
        </w:rPr>
        <w:t xml:space="preserve"> à sa session de 2019 des estimations plus précise</w:t>
      </w:r>
      <w:r w:rsidR="00145E53" w:rsidRPr="008F70F0">
        <w:rPr>
          <w:lang w:val="fr-CH"/>
        </w:rPr>
        <w:t>s</w:t>
      </w:r>
      <w:r w:rsidRPr="008F70F0">
        <w:rPr>
          <w:lang w:val="fr-CH"/>
        </w:rPr>
        <w:t xml:space="preserve"> du coût total du projet, y compris en ce qui concerne les exigences </w:t>
      </w:r>
      <w:r w:rsidR="00145E53" w:rsidRPr="008F70F0">
        <w:rPr>
          <w:lang w:val="fr-CH"/>
        </w:rPr>
        <w:t>additionnelles</w:t>
      </w:r>
      <w:r w:rsidRPr="008F70F0">
        <w:rPr>
          <w:lang w:val="fr-CH"/>
        </w:rPr>
        <w:t xml:space="preserve"> visées au §</w:t>
      </w:r>
      <w:r w:rsidR="00145E53" w:rsidRPr="008F70F0">
        <w:rPr>
          <w:lang w:val="fr-CH"/>
        </w:rPr>
        <w:t xml:space="preserve"> </w:t>
      </w:r>
      <w:r w:rsidRPr="008F70F0">
        <w:rPr>
          <w:lang w:val="fr-CH"/>
        </w:rPr>
        <w:t xml:space="preserve">4.13 du Document C18/123(Add.1), et de confirmer le calendrier. A ce jour, aucune demande de financement supplémentaire ou de réexamen de la Décision 588 du Conseil n'a été formulée, et tous les coûts </w:t>
      </w:r>
      <w:r w:rsidR="00145E53" w:rsidRPr="008F70F0">
        <w:rPr>
          <w:lang w:val="fr-CH"/>
        </w:rPr>
        <w:t>devraient pouvoir</w:t>
      </w:r>
      <w:r w:rsidRPr="008F70F0">
        <w:rPr>
          <w:lang w:val="fr-CH"/>
        </w:rPr>
        <w:t xml:space="preserve"> être financés par le prêt actuel, par des parrainages, par des dons et par une partie de l'excédent en fin d'exercice. Le projet de parti architectural est exposé dans le Document </w:t>
      </w:r>
      <w:r w:rsidRPr="008F70F0">
        <w:rPr>
          <w:bCs/>
          <w:lang w:val="fr-CH"/>
        </w:rPr>
        <w:t>C18/INF/19.</w:t>
      </w:r>
    </w:p>
    <w:p w:rsidR="006928DA" w:rsidRPr="008F70F0" w:rsidRDefault="006928DA" w:rsidP="0007112A">
      <w:pPr>
        <w:rPr>
          <w:lang w:val="fr-CH"/>
        </w:rPr>
      </w:pPr>
      <w:r w:rsidRPr="008F70F0">
        <w:rPr>
          <w:lang w:val="fr-CH"/>
        </w:rPr>
        <w:t>5.2</w:t>
      </w:r>
      <w:r w:rsidRPr="008F70F0">
        <w:rPr>
          <w:lang w:val="fr-CH"/>
        </w:rPr>
        <w:tab/>
        <w:t xml:space="preserve">Le conseiller de l'Allemagne présente le Document C18/124, </w:t>
      </w:r>
      <w:r w:rsidR="00145E53" w:rsidRPr="008F70F0">
        <w:rPr>
          <w:lang w:val="fr-CH"/>
        </w:rPr>
        <w:t>dans lequel</w:t>
      </w:r>
      <w:r w:rsidRPr="008F70F0">
        <w:rPr>
          <w:lang w:val="fr-CH"/>
        </w:rPr>
        <w:t xml:space="preserve"> le Secrétaire général </w:t>
      </w:r>
      <w:r w:rsidR="00145E53" w:rsidRPr="008F70F0">
        <w:rPr>
          <w:lang w:val="fr-CH"/>
        </w:rPr>
        <w:t xml:space="preserve">est invité </w:t>
      </w:r>
      <w:r w:rsidRPr="008F70F0">
        <w:rPr>
          <w:lang w:val="fr-CH"/>
        </w:rPr>
        <w:t xml:space="preserve">à adopter une approche de conception en fonction des coûts et à faire en sorte que l'enveloppe budgétaire prévue pour le projet de nouveau bâtiment ne dépasse pas le montant de 147 millions </w:t>
      </w:r>
      <w:r w:rsidR="00145E53" w:rsidRPr="008F70F0">
        <w:rPr>
          <w:lang w:val="fr-CH"/>
        </w:rPr>
        <w:t xml:space="preserve">CHF </w:t>
      </w:r>
      <w:r w:rsidRPr="008F70F0">
        <w:rPr>
          <w:lang w:val="fr-CH"/>
        </w:rPr>
        <w:t xml:space="preserve">prévu dans la Décision 588 du Conseil. Certaines des exigences </w:t>
      </w:r>
      <w:r w:rsidR="00145E53" w:rsidRPr="008F70F0">
        <w:rPr>
          <w:lang w:val="fr-CH"/>
        </w:rPr>
        <w:t>additionnelles</w:t>
      </w:r>
      <w:r w:rsidRPr="008F70F0">
        <w:rPr>
          <w:lang w:val="fr-CH"/>
        </w:rPr>
        <w:t xml:space="preserve">, comme le coût des services de </w:t>
      </w:r>
      <w:r w:rsidR="00145E53" w:rsidRPr="008F70F0">
        <w:rPr>
          <w:lang w:val="fr-CH"/>
        </w:rPr>
        <w:t>consultants</w:t>
      </w:r>
      <w:r w:rsidRPr="008F70F0">
        <w:rPr>
          <w:lang w:val="fr-CH"/>
        </w:rPr>
        <w:t>, auraient dû être connues en 2016 et pourraient être financées par le prêt du pays hôte.</w:t>
      </w:r>
    </w:p>
    <w:p w:rsidR="006928DA" w:rsidRPr="008F70F0" w:rsidRDefault="006928DA" w:rsidP="0007112A">
      <w:pPr>
        <w:rPr>
          <w:lang w:val="fr-CH"/>
        </w:rPr>
      </w:pPr>
      <w:r w:rsidRPr="008F70F0">
        <w:rPr>
          <w:lang w:val="fr-CH"/>
        </w:rPr>
        <w:t>5.3</w:t>
      </w:r>
      <w:r w:rsidRPr="008F70F0">
        <w:rPr>
          <w:lang w:val="fr-CH"/>
        </w:rPr>
        <w:tab/>
      </w:r>
      <w:r w:rsidR="00145E53" w:rsidRPr="008F70F0">
        <w:rPr>
          <w:lang w:val="fr-CH"/>
        </w:rPr>
        <w:t xml:space="preserve">Le conseiller des Etats-Unis présente le Document C18/126 et relève </w:t>
      </w:r>
      <w:r w:rsidRPr="008F70F0">
        <w:rPr>
          <w:lang w:val="fr-CH"/>
        </w:rPr>
        <w:t xml:space="preserve">que l'enveloppe </w:t>
      </w:r>
      <w:r w:rsidR="00145E53" w:rsidRPr="008F70F0">
        <w:rPr>
          <w:lang w:val="fr-CH"/>
        </w:rPr>
        <w:t xml:space="preserve">budgétaire </w:t>
      </w:r>
      <w:r w:rsidRPr="008F70F0">
        <w:rPr>
          <w:lang w:val="fr-CH"/>
        </w:rPr>
        <w:t xml:space="preserve">maximale prévue dans la Décision 588 devrait </w:t>
      </w:r>
      <w:r w:rsidR="00145E53" w:rsidRPr="008F70F0">
        <w:rPr>
          <w:lang w:val="fr-CH"/>
        </w:rPr>
        <w:t xml:space="preserve">certes </w:t>
      </w:r>
      <w:r w:rsidRPr="008F70F0">
        <w:rPr>
          <w:lang w:val="fr-CH"/>
        </w:rPr>
        <w:t xml:space="preserve">être respectée, </w:t>
      </w:r>
      <w:r w:rsidR="00145E53" w:rsidRPr="008F70F0">
        <w:rPr>
          <w:lang w:val="fr-CH"/>
        </w:rPr>
        <w:t xml:space="preserve">mais que </w:t>
      </w:r>
      <w:r w:rsidRPr="008F70F0">
        <w:rPr>
          <w:lang w:val="fr-CH"/>
        </w:rPr>
        <w:t>les efforts visant à réduire le coût global du projet ne devraient pas nuire à la fonctionnalité du bâtiment.</w:t>
      </w:r>
    </w:p>
    <w:p w:rsidR="006928DA" w:rsidRPr="008F70F0" w:rsidRDefault="006928DA" w:rsidP="0007112A">
      <w:pPr>
        <w:rPr>
          <w:lang w:val="fr-CH"/>
        </w:rPr>
      </w:pPr>
      <w:r w:rsidRPr="008F70F0">
        <w:rPr>
          <w:lang w:val="fr-CH"/>
        </w:rPr>
        <w:t>5.4</w:t>
      </w:r>
      <w:r w:rsidRPr="008F70F0">
        <w:rPr>
          <w:lang w:val="fr-CH"/>
        </w:rPr>
        <w:tab/>
        <w:t>La conseillère de la République tchèque présent</w:t>
      </w:r>
      <w:r w:rsidR="00145E53" w:rsidRPr="008F70F0">
        <w:rPr>
          <w:lang w:val="fr-CH"/>
        </w:rPr>
        <w:t>e</w:t>
      </w:r>
      <w:r w:rsidRPr="008F70F0">
        <w:rPr>
          <w:lang w:val="fr-CH"/>
        </w:rPr>
        <w:t xml:space="preserve"> le</w:t>
      </w:r>
      <w:r w:rsidR="00145E53" w:rsidRPr="008F70F0">
        <w:rPr>
          <w:lang w:val="fr-CH"/>
        </w:rPr>
        <w:t xml:space="preserve"> Document C18/INF/18 et</w:t>
      </w:r>
      <w:r w:rsidRPr="008F70F0">
        <w:rPr>
          <w:lang w:val="fr-CH"/>
        </w:rPr>
        <w:t xml:space="preserve"> encourage d'autres pays à suivre l'exemple de la République tchèque </w:t>
      </w:r>
      <w:r w:rsidR="00145E53" w:rsidRPr="008F70F0">
        <w:rPr>
          <w:lang w:val="fr-CH"/>
        </w:rPr>
        <w:t>en faisant</w:t>
      </w:r>
      <w:r w:rsidRPr="008F70F0">
        <w:rPr>
          <w:lang w:val="fr-CH"/>
        </w:rPr>
        <w:t xml:space="preserve"> un don pour la construction d</w:t>
      </w:r>
      <w:r w:rsidR="00145E53" w:rsidRPr="008F70F0">
        <w:rPr>
          <w:lang w:val="fr-CH"/>
        </w:rPr>
        <w:t>u</w:t>
      </w:r>
      <w:r w:rsidRPr="008F70F0">
        <w:rPr>
          <w:lang w:val="fr-CH"/>
        </w:rPr>
        <w:t xml:space="preserve"> nouveau </w:t>
      </w:r>
      <w:r w:rsidR="00145E53" w:rsidRPr="008F70F0">
        <w:rPr>
          <w:lang w:val="fr-CH"/>
        </w:rPr>
        <w:t>bâtiment</w:t>
      </w:r>
      <w:r w:rsidRPr="008F70F0">
        <w:rPr>
          <w:lang w:val="fr-CH"/>
        </w:rPr>
        <w:t xml:space="preserve">. </w:t>
      </w:r>
    </w:p>
    <w:p w:rsidR="006928DA" w:rsidRPr="008F70F0" w:rsidRDefault="006928DA" w:rsidP="00A63484">
      <w:pPr>
        <w:rPr>
          <w:lang w:val="fr-CH"/>
        </w:rPr>
      </w:pPr>
      <w:r w:rsidRPr="008F70F0">
        <w:rPr>
          <w:lang w:val="fr-CH"/>
        </w:rPr>
        <w:t>5.5</w:t>
      </w:r>
      <w:r w:rsidRPr="008F70F0">
        <w:rPr>
          <w:lang w:val="fr-CH"/>
        </w:rPr>
        <w:tab/>
        <w:t xml:space="preserve">Les conseillers </w:t>
      </w:r>
      <w:r w:rsidR="00A63484">
        <w:rPr>
          <w:lang w:val="fr-CH"/>
        </w:rPr>
        <w:t>remercient le secrétariat pour les</w:t>
      </w:r>
      <w:r w:rsidRPr="008F70F0">
        <w:rPr>
          <w:lang w:val="fr-CH"/>
        </w:rPr>
        <w:t xml:space="preserve"> informations sur le projet de locaux du siège et soulignent que toutes les informations pertinentes devraient être mises à la disposition du Conseil. </w:t>
      </w:r>
      <w:r w:rsidR="00A10C92" w:rsidRPr="008F70F0">
        <w:rPr>
          <w:lang w:val="fr-CH"/>
        </w:rPr>
        <w:t>Plusieurs d'entre eux estiment</w:t>
      </w:r>
      <w:r w:rsidRPr="008F70F0">
        <w:rPr>
          <w:lang w:val="fr-CH"/>
        </w:rPr>
        <w:t xml:space="preserve"> que le Fonds de réserve ne devrait pas être utilisé </w:t>
      </w:r>
      <w:r w:rsidR="00A10C92" w:rsidRPr="008F70F0">
        <w:rPr>
          <w:lang w:val="fr-CH"/>
        </w:rPr>
        <w:t>pour le</w:t>
      </w:r>
      <w:r w:rsidRPr="008F70F0">
        <w:rPr>
          <w:lang w:val="fr-CH"/>
        </w:rPr>
        <w:t xml:space="preserve"> </w:t>
      </w:r>
      <w:r w:rsidRPr="008F70F0">
        <w:rPr>
          <w:lang w:val="fr-CH"/>
        </w:rPr>
        <w:lastRenderedPageBreak/>
        <w:t>projet et que celui</w:t>
      </w:r>
      <w:r w:rsidR="00A10C92" w:rsidRPr="008F70F0">
        <w:rPr>
          <w:lang w:val="fr-CH"/>
        </w:rPr>
        <w:noBreakHyphen/>
      </w:r>
      <w:r w:rsidRPr="008F70F0">
        <w:rPr>
          <w:lang w:val="fr-CH"/>
        </w:rPr>
        <w:t>ci ne devrait pas avoir d'incidences négatives sur le Plan financier de l'Union pour la période</w:t>
      </w:r>
      <w:r w:rsidR="00A10C92" w:rsidRPr="008F70F0">
        <w:rPr>
          <w:lang w:val="fr-CH"/>
        </w:rPr>
        <w:t> </w:t>
      </w:r>
      <w:r w:rsidRPr="008F70F0">
        <w:rPr>
          <w:lang w:val="fr-CH"/>
        </w:rPr>
        <w:t xml:space="preserve">2020-2023. Dans </w:t>
      </w:r>
      <w:r w:rsidR="00A10C92" w:rsidRPr="008F70F0">
        <w:rPr>
          <w:lang w:val="fr-CH"/>
        </w:rPr>
        <w:t>cette optique</w:t>
      </w:r>
      <w:r w:rsidRPr="008F70F0">
        <w:rPr>
          <w:lang w:val="fr-CH"/>
        </w:rPr>
        <w:t xml:space="preserve">, les participants se disent favorables à l'adoption d'une approche de conception en fonction des coûts et à l'élaboration de procédures transparentes et concurrentielles pour </w:t>
      </w:r>
      <w:r w:rsidR="00A10C92" w:rsidRPr="008F70F0">
        <w:rPr>
          <w:lang w:val="fr-CH"/>
        </w:rPr>
        <w:t>le choix</w:t>
      </w:r>
      <w:r w:rsidRPr="008F70F0">
        <w:rPr>
          <w:lang w:val="fr-CH"/>
        </w:rPr>
        <w:t xml:space="preserve"> des prestataires de services. </w:t>
      </w:r>
      <w:r w:rsidR="00A10C92" w:rsidRPr="008F70F0">
        <w:rPr>
          <w:lang w:val="fr-CH"/>
        </w:rPr>
        <w:t>Il serait certes</w:t>
      </w:r>
      <w:r w:rsidRPr="008F70F0">
        <w:rPr>
          <w:lang w:val="fr-CH"/>
        </w:rPr>
        <w:t xml:space="preserve"> utile de renforcer la fonction de contrôle du Conseil, </w:t>
      </w:r>
      <w:r w:rsidR="00A10C92" w:rsidRPr="008F70F0">
        <w:rPr>
          <w:lang w:val="fr-CH"/>
        </w:rPr>
        <w:t>mais il n'y a</w:t>
      </w:r>
      <w:r w:rsidRPr="008F70F0">
        <w:rPr>
          <w:lang w:val="fr-CH"/>
        </w:rPr>
        <w:t xml:space="preserve"> pas </w:t>
      </w:r>
      <w:r w:rsidR="00A10C92" w:rsidRPr="008F70F0">
        <w:rPr>
          <w:lang w:val="fr-CH"/>
        </w:rPr>
        <w:t>lieu</w:t>
      </w:r>
      <w:r w:rsidRPr="008F70F0">
        <w:rPr>
          <w:lang w:val="fr-CH"/>
        </w:rPr>
        <w:t xml:space="preserve"> de créer de nouveaux org</w:t>
      </w:r>
      <w:bookmarkStart w:id="8" w:name="_GoBack"/>
      <w:bookmarkEnd w:id="8"/>
      <w:r w:rsidRPr="008F70F0">
        <w:rPr>
          <w:lang w:val="fr-CH"/>
        </w:rPr>
        <w:t>anes de contrôle. Un conseiller considère que la réussite d'un projet d'une telle complexité tient à la désignation d'une ressource externe chargée de la gestion du projet et des risques</w:t>
      </w:r>
      <w:r w:rsidR="00A63484">
        <w:rPr>
          <w:lang w:val="fr-CH"/>
        </w:rPr>
        <w:t>, dont les coûts pourraient être financés par</w:t>
      </w:r>
      <w:r w:rsidRPr="008F70F0">
        <w:rPr>
          <w:lang w:val="fr-CH"/>
        </w:rPr>
        <w:t xml:space="preserve"> le prêt du pays hôte.</w:t>
      </w:r>
    </w:p>
    <w:p w:rsidR="006928DA" w:rsidRPr="008F70F0" w:rsidRDefault="006928DA" w:rsidP="0007112A">
      <w:pPr>
        <w:rPr>
          <w:lang w:val="fr-CH"/>
        </w:rPr>
      </w:pPr>
      <w:r w:rsidRPr="008F70F0">
        <w:rPr>
          <w:lang w:val="fr-CH"/>
        </w:rPr>
        <w:t>5.6</w:t>
      </w:r>
      <w:r w:rsidRPr="008F70F0">
        <w:rPr>
          <w:lang w:val="fr-CH"/>
        </w:rPr>
        <w:tab/>
        <w:t xml:space="preserve">La représentante du secrétariat </w:t>
      </w:r>
      <w:r w:rsidR="00A10C92" w:rsidRPr="008F70F0">
        <w:rPr>
          <w:lang w:val="fr-CH"/>
        </w:rPr>
        <w:t>précise</w:t>
      </w:r>
      <w:r w:rsidRPr="008F70F0">
        <w:rPr>
          <w:lang w:val="fr-CH"/>
        </w:rPr>
        <w:t xml:space="preserve"> que les derniers documents en date du Consortium CDTK, </w:t>
      </w:r>
      <w:r w:rsidR="00A10C92" w:rsidRPr="008F70F0">
        <w:rPr>
          <w:lang w:val="fr-CH"/>
        </w:rPr>
        <w:t xml:space="preserve">qui </w:t>
      </w:r>
      <w:r w:rsidRPr="008F70F0">
        <w:rPr>
          <w:lang w:val="fr-CH"/>
        </w:rPr>
        <w:t>compren</w:t>
      </w:r>
      <w:r w:rsidR="00A10C92" w:rsidRPr="008F70F0">
        <w:rPr>
          <w:lang w:val="fr-CH"/>
        </w:rPr>
        <w:t>ne</w:t>
      </w:r>
      <w:r w:rsidRPr="008F70F0">
        <w:rPr>
          <w:lang w:val="fr-CH"/>
        </w:rPr>
        <w:t xml:space="preserve">nt notamment les estimations les plus récentes des coûts de construction, </w:t>
      </w:r>
      <w:r w:rsidR="00A10C92" w:rsidRPr="008F70F0">
        <w:rPr>
          <w:lang w:val="fr-CH"/>
        </w:rPr>
        <w:t>ventilés en fonction des</w:t>
      </w:r>
      <w:r w:rsidRPr="008F70F0">
        <w:rPr>
          <w:lang w:val="fr-CH"/>
        </w:rPr>
        <w:t xml:space="preserve"> éléments qu'il est possible ou </w:t>
      </w:r>
      <w:r w:rsidR="00A10C92" w:rsidRPr="008F70F0">
        <w:rPr>
          <w:lang w:val="fr-CH"/>
        </w:rPr>
        <w:t>non</w:t>
      </w:r>
      <w:r w:rsidRPr="008F70F0">
        <w:rPr>
          <w:lang w:val="fr-CH"/>
        </w:rPr>
        <w:t xml:space="preserve"> de financer </w:t>
      </w:r>
      <w:r w:rsidR="00A10C92" w:rsidRPr="008F70F0">
        <w:rPr>
          <w:lang w:val="fr-CH"/>
        </w:rPr>
        <w:t>à l'aide du</w:t>
      </w:r>
      <w:r w:rsidRPr="008F70F0">
        <w:rPr>
          <w:lang w:val="fr-CH"/>
        </w:rPr>
        <w:t xml:space="preserve"> prêt du pays hôte, ont été mis à la disposition du Groupe consultatif d'Etats Membres pour le projet de locaux du siège de l'Union (Groupe MSAG). Des informations actualisées sur les coûts seront présentées au Conseil à sa session de 2019. </w:t>
      </w:r>
    </w:p>
    <w:p w:rsidR="006928DA" w:rsidRPr="008F70F0" w:rsidRDefault="006928DA" w:rsidP="004B7D96">
      <w:pPr>
        <w:rPr>
          <w:lang w:val="fr-CH"/>
        </w:rPr>
      </w:pPr>
      <w:r w:rsidRPr="008F70F0">
        <w:rPr>
          <w:lang w:val="fr-CH"/>
        </w:rPr>
        <w:t>5.7</w:t>
      </w:r>
      <w:r w:rsidRPr="008F70F0">
        <w:rPr>
          <w:lang w:val="fr-CH"/>
        </w:rPr>
        <w:tab/>
        <w:t xml:space="preserve">Le Vice-Secrétaire général </w:t>
      </w:r>
      <w:r w:rsidR="00A10C92" w:rsidRPr="008F70F0">
        <w:rPr>
          <w:lang w:val="fr-CH"/>
        </w:rPr>
        <w:t>souligne</w:t>
      </w:r>
      <w:r w:rsidRPr="008F70F0">
        <w:rPr>
          <w:lang w:val="fr-CH"/>
        </w:rPr>
        <w:t xml:space="preserve"> que le secrétariat, qui est dans l'obligation de se conformer à la Décision 588 du Conseil, met tout en oeuvre pour garantir une conception à coût objectif et </w:t>
      </w:r>
      <w:r w:rsidR="00A10C92" w:rsidRPr="008F70F0">
        <w:rPr>
          <w:lang w:val="fr-CH"/>
        </w:rPr>
        <w:t>ramener</w:t>
      </w:r>
      <w:r w:rsidRPr="008F70F0">
        <w:rPr>
          <w:lang w:val="fr-CH"/>
        </w:rPr>
        <w:t xml:space="preserve"> les coûts connexes </w:t>
      </w:r>
      <w:r w:rsidR="00A10C92" w:rsidRPr="008F70F0">
        <w:rPr>
          <w:lang w:val="fr-CH"/>
        </w:rPr>
        <w:t>au niveau du budget prévu dans cette D</w:t>
      </w:r>
      <w:r w:rsidRPr="008F70F0">
        <w:rPr>
          <w:lang w:val="fr-CH"/>
        </w:rPr>
        <w:t xml:space="preserve">écision. </w:t>
      </w:r>
      <w:r w:rsidR="00A10C92" w:rsidRPr="008F70F0">
        <w:rPr>
          <w:lang w:val="fr-CH"/>
        </w:rPr>
        <w:t>Il appartien</w:t>
      </w:r>
      <w:r w:rsidR="004B7D96">
        <w:rPr>
          <w:lang w:val="fr-CH"/>
        </w:rPr>
        <w:t>dra</w:t>
      </w:r>
      <w:r w:rsidRPr="008F70F0">
        <w:rPr>
          <w:lang w:val="fr-CH"/>
        </w:rPr>
        <w:t xml:space="preserve"> au Conseil à sa session de 2019</w:t>
      </w:r>
      <w:r w:rsidR="0099767E" w:rsidRPr="008F70F0">
        <w:rPr>
          <w:lang w:val="fr-CH"/>
        </w:rPr>
        <w:t xml:space="preserve"> de décider,</w:t>
      </w:r>
      <w:r w:rsidRPr="008F70F0">
        <w:rPr>
          <w:lang w:val="fr-CH"/>
        </w:rPr>
        <w:t xml:space="preserve"> sur la base des estimations </w:t>
      </w:r>
      <w:r w:rsidR="0099767E" w:rsidRPr="008F70F0">
        <w:rPr>
          <w:lang w:val="fr-CH"/>
        </w:rPr>
        <w:t xml:space="preserve">de coûts </w:t>
      </w:r>
      <w:r w:rsidRPr="008F70F0">
        <w:rPr>
          <w:lang w:val="fr-CH"/>
        </w:rPr>
        <w:t xml:space="preserve">actualisées, y compris en ce qui concerne les exigences </w:t>
      </w:r>
      <w:r w:rsidR="0099767E" w:rsidRPr="008F70F0">
        <w:rPr>
          <w:lang w:val="fr-CH"/>
        </w:rPr>
        <w:t>additionnelles</w:t>
      </w:r>
      <w:r w:rsidRPr="008F70F0">
        <w:rPr>
          <w:lang w:val="fr-CH"/>
        </w:rPr>
        <w:t>, s'il convient ou non de modifier le budget prévu dans la Décision 588.</w:t>
      </w:r>
    </w:p>
    <w:p w:rsidR="006928DA" w:rsidRPr="008F70F0" w:rsidRDefault="006928DA" w:rsidP="0007112A">
      <w:pPr>
        <w:rPr>
          <w:lang w:val="fr-CH"/>
        </w:rPr>
      </w:pPr>
      <w:r w:rsidRPr="008F70F0">
        <w:rPr>
          <w:lang w:val="fr-CH"/>
        </w:rPr>
        <w:t>5.8</w:t>
      </w:r>
      <w:r w:rsidRPr="008F70F0">
        <w:rPr>
          <w:lang w:val="fr-CH"/>
        </w:rPr>
        <w:tab/>
        <w:t xml:space="preserve">Le Président considère que le Conseil peut </w:t>
      </w:r>
      <w:r w:rsidR="0099767E" w:rsidRPr="008F70F0">
        <w:rPr>
          <w:lang w:val="fr-CH"/>
        </w:rPr>
        <w:t>décider</w:t>
      </w:r>
      <w:r w:rsidRPr="008F70F0">
        <w:rPr>
          <w:lang w:val="fr-CH"/>
        </w:rPr>
        <w:t xml:space="preserve"> de prendre note des Documents</w:t>
      </w:r>
      <w:r w:rsidR="0099767E" w:rsidRPr="008F70F0">
        <w:rPr>
          <w:lang w:val="fr-CH"/>
        </w:rPr>
        <w:t> </w:t>
      </w:r>
      <w:r w:rsidRPr="008F70F0">
        <w:rPr>
          <w:lang w:val="fr-CH"/>
        </w:rPr>
        <w:t>C18/123</w:t>
      </w:r>
      <w:r w:rsidR="0099767E" w:rsidRPr="008F70F0">
        <w:rPr>
          <w:lang w:val="fr-CH"/>
        </w:rPr>
        <w:t> </w:t>
      </w:r>
      <w:r w:rsidRPr="008F70F0">
        <w:rPr>
          <w:lang w:val="fr-CH"/>
        </w:rPr>
        <w:t xml:space="preserve">+ Add.1, C18/124, C18/126, C18/INF/18 et C18/INF/19, remercie l'Arabie saoudite et les Emirats arabes unis pour leurs </w:t>
      </w:r>
      <w:r w:rsidR="0099767E" w:rsidRPr="008F70F0">
        <w:rPr>
          <w:lang w:val="fr-CH"/>
        </w:rPr>
        <w:t xml:space="preserve">généreux </w:t>
      </w:r>
      <w:r w:rsidRPr="008F70F0">
        <w:rPr>
          <w:lang w:val="fr-CH"/>
        </w:rPr>
        <w:t xml:space="preserve">parrainages, ainsi que la République tchèque pour </w:t>
      </w:r>
      <w:r w:rsidR="0099767E" w:rsidRPr="008F70F0">
        <w:rPr>
          <w:lang w:val="fr-CH"/>
        </w:rPr>
        <w:t>le</w:t>
      </w:r>
      <w:r w:rsidRPr="008F70F0">
        <w:rPr>
          <w:lang w:val="fr-CH"/>
        </w:rPr>
        <w:t xml:space="preserve"> don</w:t>
      </w:r>
      <w:r w:rsidR="0099767E" w:rsidRPr="008F70F0">
        <w:rPr>
          <w:lang w:val="fr-CH"/>
        </w:rPr>
        <w:t xml:space="preserve"> qu'elle a généreusement offert</w:t>
      </w:r>
      <w:r w:rsidRPr="008F70F0">
        <w:rPr>
          <w:lang w:val="fr-CH"/>
        </w:rPr>
        <w:t>, et encourage les autres pays à suivre leur exemple. Il considère également que le Conseil encourage le secrétariat à poursuivre ses efforts en vue de se conformer à la Décision 588 du Conseil, de réduire les coûts et de présenter des estimations actualisées au Conseil à sa session de 2019.</w:t>
      </w:r>
    </w:p>
    <w:p w:rsidR="006928DA" w:rsidRPr="008F70F0" w:rsidRDefault="006928DA" w:rsidP="0007112A">
      <w:pPr>
        <w:rPr>
          <w:lang w:val="fr-CH"/>
        </w:rPr>
      </w:pPr>
      <w:r w:rsidRPr="008F70F0">
        <w:rPr>
          <w:bCs/>
          <w:lang w:val="fr-CH"/>
        </w:rPr>
        <w:t>5.9</w:t>
      </w:r>
      <w:r w:rsidRPr="008F70F0">
        <w:rPr>
          <w:bCs/>
          <w:lang w:val="fr-CH"/>
        </w:rPr>
        <w:tab/>
        <w:t xml:space="preserve">Il en est ainsi </w:t>
      </w:r>
      <w:r w:rsidRPr="008F70F0">
        <w:rPr>
          <w:b/>
          <w:lang w:val="fr-CH"/>
        </w:rPr>
        <w:t>décidé</w:t>
      </w:r>
      <w:r w:rsidRPr="008F70F0">
        <w:rPr>
          <w:bCs/>
          <w:lang w:val="fr-CH"/>
        </w:rPr>
        <w:t>.</w:t>
      </w:r>
    </w:p>
    <w:p w:rsidR="006928DA" w:rsidRPr="008F70F0" w:rsidRDefault="006928DA" w:rsidP="0007112A">
      <w:pPr>
        <w:pStyle w:val="Heading1"/>
        <w:rPr>
          <w:lang w:val="fr-CH"/>
        </w:rPr>
      </w:pPr>
      <w:r w:rsidRPr="008F70F0">
        <w:rPr>
          <w:lang w:val="fr-CH"/>
        </w:rPr>
        <w:t>6</w:t>
      </w:r>
      <w:r w:rsidRPr="008F70F0">
        <w:rPr>
          <w:lang w:val="fr-CH"/>
        </w:rPr>
        <w:tab/>
        <w:t>Clôture de la session de 2018 du Conseil</w:t>
      </w:r>
    </w:p>
    <w:p w:rsidR="006928DA" w:rsidRPr="008F70F0" w:rsidRDefault="006928DA" w:rsidP="0007112A">
      <w:pPr>
        <w:rPr>
          <w:lang w:val="fr-CH"/>
        </w:rPr>
      </w:pPr>
      <w:r w:rsidRPr="008F70F0">
        <w:rPr>
          <w:lang w:val="fr-CH"/>
        </w:rPr>
        <w:t>6.1</w:t>
      </w:r>
      <w:r w:rsidRPr="008F70F0">
        <w:rPr>
          <w:lang w:val="fr-CH"/>
        </w:rPr>
        <w:tab/>
        <w:t xml:space="preserve">Le Secrétaire général remercie les conseillers pour leur coopération et salue les efforts qu'ils ont déployés pour faire en sorte que les activités, </w:t>
      </w:r>
      <w:r w:rsidR="00FD581B" w:rsidRPr="008F70F0">
        <w:rPr>
          <w:lang w:val="fr-CH"/>
        </w:rPr>
        <w:t xml:space="preserve">les </w:t>
      </w:r>
      <w:r w:rsidRPr="008F70F0">
        <w:rPr>
          <w:lang w:val="fr-CH"/>
        </w:rPr>
        <w:t xml:space="preserve">politiques et </w:t>
      </w:r>
      <w:r w:rsidR="00FD581B" w:rsidRPr="008F70F0">
        <w:rPr>
          <w:lang w:val="fr-CH"/>
        </w:rPr>
        <w:t xml:space="preserve">les </w:t>
      </w:r>
      <w:r w:rsidRPr="008F70F0">
        <w:rPr>
          <w:lang w:val="fr-CH"/>
        </w:rPr>
        <w:t xml:space="preserve">stratégies de l'UIT soient </w:t>
      </w:r>
      <w:r w:rsidR="00FD581B" w:rsidRPr="008F70F0">
        <w:rPr>
          <w:lang w:val="fr-CH"/>
        </w:rPr>
        <w:t>parfaitement</w:t>
      </w:r>
      <w:r w:rsidRPr="008F70F0">
        <w:rPr>
          <w:lang w:val="fr-CH"/>
        </w:rPr>
        <w:t xml:space="preserve"> adaptées à </w:t>
      </w:r>
      <w:r w:rsidR="00FD581B" w:rsidRPr="008F70F0">
        <w:rPr>
          <w:lang w:val="fr-CH"/>
        </w:rPr>
        <w:t xml:space="preserve">l'évolution de </w:t>
      </w:r>
      <w:r w:rsidRPr="008F70F0">
        <w:rPr>
          <w:lang w:val="fr-CH"/>
        </w:rPr>
        <w:t xml:space="preserve">l'environnement. Il remercie le Président pour </w:t>
      </w:r>
      <w:r w:rsidR="00FD581B" w:rsidRPr="008F70F0">
        <w:rPr>
          <w:lang w:val="fr-CH"/>
        </w:rPr>
        <w:t>la sagacité</w:t>
      </w:r>
      <w:r w:rsidRPr="008F70F0">
        <w:rPr>
          <w:lang w:val="fr-CH"/>
        </w:rPr>
        <w:t xml:space="preserve"> et </w:t>
      </w:r>
      <w:r w:rsidR="00FD581B" w:rsidRPr="008F70F0">
        <w:rPr>
          <w:lang w:val="fr-CH"/>
        </w:rPr>
        <w:t>le</w:t>
      </w:r>
      <w:r w:rsidRPr="008F70F0">
        <w:rPr>
          <w:lang w:val="fr-CH"/>
        </w:rPr>
        <w:t xml:space="preserve"> professionnalisme </w:t>
      </w:r>
      <w:r w:rsidR="00FD581B" w:rsidRPr="008F70F0">
        <w:rPr>
          <w:lang w:val="fr-CH"/>
        </w:rPr>
        <w:t xml:space="preserve">dont il a fait preuve </w:t>
      </w:r>
      <w:r w:rsidRPr="008F70F0">
        <w:rPr>
          <w:lang w:val="fr-CH"/>
        </w:rPr>
        <w:t xml:space="preserve">et lui remet la </w:t>
      </w:r>
      <w:r w:rsidR="00FD581B" w:rsidRPr="008F70F0">
        <w:rPr>
          <w:lang w:val="fr-CH"/>
        </w:rPr>
        <w:t>M</w:t>
      </w:r>
      <w:r w:rsidRPr="008F70F0">
        <w:rPr>
          <w:lang w:val="fr-CH"/>
        </w:rPr>
        <w:t>édaille d'or de l'UIT.</w:t>
      </w:r>
    </w:p>
    <w:p w:rsidR="006928DA" w:rsidRPr="008F70F0" w:rsidRDefault="006928DA" w:rsidP="0007112A">
      <w:pPr>
        <w:rPr>
          <w:lang w:val="fr-CH"/>
        </w:rPr>
      </w:pPr>
      <w:r w:rsidRPr="008F70F0">
        <w:rPr>
          <w:lang w:val="fr-CH"/>
        </w:rPr>
        <w:t>6.2</w:t>
      </w:r>
      <w:r w:rsidRPr="008F70F0">
        <w:rPr>
          <w:lang w:val="fr-CH"/>
        </w:rPr>
        <w:tab/>
        <w:t>Le Président remercie les fonctionnaires élus et le personnel de l'UIT pour le travail qu'ils ont accompli et exprime ses remerciements aux conseillers et au Vice-Président du Conseil, M.</w:t>
      </w:r>
      <w:r w:rsidR="00FD581B" w:rsidRPr="008F70F0">
        <w:rPr>
          <w:lang w:val="fr-CH"/>
        </w:rPr>
        <w:t> </w:t>
      </w:r>
      <w:r w:rsidRPr="008F70F0">
        <w:rPr>
          <w:lang w:val="fr-CH"/>
        </w:rPr>
        <w:t>Elsayed</w:t>
      </w:r>
      <w:r w:rsidR="00FD581B" w:rsidRPr="008F70F0">
        <w:rPr>
          <w:lang w:val="fr-CH"/>
        </w:rPr>
        <w:t> </w:t>
      </w:r>
      <w:r w:rsidRPr="008F70F0">
        <w:rPr>
          <w:lang w:val="fr-CH"/>
        </w:rPr>
        <w:t>Azzouz, pour l'appui qu'ils lui ont apporté. Il adresse tous ses voeux de succès à</w:t>
      </w:r>
      <w:r w:rsidR="00FD581B" w:rsidRPr="008F70F0">
        <w:rPr>
          <w:lang w:val="fr-CH"/>
        </w:rPr>
        <w:t> </w:t>
      </w:r>
      <w:r w:rsidRPr="008F70F0">
        <w:rPr>
          <w:lang w:val="fr-CH"/>
        </w:rPr>
        <w:t>S.</w:t>
      </w:r>
      <w:r w:rsidR="00EC49DC">
        <w:rPr>
          <w:lang w:val="fr-CH"/>
        </w:rPr>
        <w:t> </w:t>
      </w:r>
      <w:r w:rsidRPr="008F70F0">
        <w:rPr>
          <w:lang w:val="fr-CH"/>
        </w:rPr>
        <w:t>E.</w:t>
      </w:r>
      <w:r w:rsidR="00FD581B" w:rsidRPr="008F70F0">
        <w:rPr>
          <w:lang w:val="fr-CH"/>
        </w:rPr>
        <w:t> </w:t>
      </w:r>
      <w:r w:rsidRPr="008F70F0">
        <w:rPr>
          <w:lang w:val="fr-CH"/>
        </w:rPr>
        <w:t>M.</w:t>
      </w:r>
      <w:r w:rsidR="00FD581B" w:rsidRPr="008F70F0">
        <w:rPr>
          <w:lang w:val="fr-CH"/>
        </w:rPr>
        <w:t> </w:t>
      </w:r>
      <w:r w:rsidRPr="008F70F0">
        <w:rPr>
          <w:lang w:val="fr-CH"/>
        </w:rPr>
        <w:t xml:space="preserve">Majed Almesmar, Président de la PP-18. Il déclare </w:t>
      </w:r>
      <w:r w:rsidR="00FD581B" w:rsidRPr="008F70F0">
        <w:rPr>
          <w:lang w:val="fr-CH"/>
        </w:rPr>
        <w:t xml:space="preserve">close </w:t>
      </w:r>
      <w:r w:rsidRPr="008F70F0">
        <w:rPr>
          <w:lang w:val="fr-CH"/>
        </w:rPr>
        <w:t xml:space="preserve">la session de 2018 du Conseil. </w:t>
      </w:r>
    </w:p>
    <w:p w:rsidR="006928DA" w:rsidRPr="008F70F0" w:rsidRDefault="006928DA" w:rsidP="00842FAB">
      <w:pPr>
        <w:tabs>
          <w:tab w:val="clear" w:pos="567"/>
          <w:tab w:val="clear" w:pos="1134"/>
          <w:tab w:val="clear" w:pos="1701"/>
          <w:tab w:val="clear" w:pos="2268"/>
          <w:tab w:val="clear" w:pos="2835"/>
          <w:tab w:val="left" w:pos="7371"/>
        </w:tabs>
        <w:spacing w:before="840"/>
        <w:rPr>
          <w:lang w:val="fr-CH"/>
        </w:rPr>
      </w:pPr>
      <w:r w:rsidRPr="008F70F0">
        <w:rPr>
          <w:lang w:val="fr-CH"/>
        </w:rPr>
        <w:t>Le Secrétaire général:</w:t>
      </w:r>
      <w:r w:rsidRPr="008F70F0">
        <w:rPr>
          <w:lang w:val="fr-CH"/>
        </w:rPr>
        <w:tab/>
        <w:t>Le Président:</w:t>
      </w:r>
    </w:p>
    <w:p w:rsidR="006928DA" w:rsidRPr="008F70F0" w:rsidRDefault="006928DA" w:rsidP="0099767E">
      <w:pPr>
        <w:tabs>
          <w:tab w:val="clear" w:pos="567"/>
          <w:tab w:val="clear" w:pos="1134"/>
          <w:tab w:val="clear" w:pos="1701"/>
          <w:tab w:val="clear" w:pos="2268"/>
          <w:tab w:val="clear" w:pos="2835"/>
          <w:tab w:val="left" w:pos="7371"/>
        </w:tabs>
        <w:spacing w:before="0"/>
        <w:rPr>
          <w:lang w:val="fr-CH"/>
        </w:rPr>
      </w:pPr>
      <w:r w:rsidRPr="008F70F0">
        <w:rPr>
          <w:lang w:val="fr-CH"/>
        </w:rPr>
        <w:t>H. ZHAO</w:t>
      </w:r>
      <w:r w:rsidRPr="008F70F0">
        <w:rPr>
          <w:lang w:val="fr-CH"/>
        </w:rPr>
        <w:tab/>
        <w:t>R. ISMAILOV</w:t>
      </w:r>
    </w:p>
    <w:sectPr w:rsidR="006928DA" w:rsidRPr="008F70F0" w:rsidSect="005C3890">
      <w:headerReference w:type="even" r:id="rId30"/>
      <w:headerReference w:type="default" r:id="rId31"/>
      <w:footerReference w:type="even" r:id="rId32"/>
      <w:footerReference w:type="default" r:id="rId33"/>
      <w:footerReference w:type="first" r:id="rId3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9D" w:rsidRDefault="00D82B9D">
      <w:r>
        <w:separator/>
      </w:r>
    </w:p>
  </w:endnote>
  <w:endnote w:type="continuationSeparator" w:id="0">
    <w:p w:rsidR="00D82B9D" w:rsidRDefault="00D8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30D92">
    <w:pPr>
      <w:pStyle w:val="Footer"/>
    </w:pPr>
    <w:r>
      <w:fldChar w:fldCharType="begin"/>
    </w:r>
    <w:r>
      <w:instrText xml:space="preserve"> FILENAME \p \* MERGEFORMAT </w:instrText>
    </w:r>
    <w:r>
      <w:fldChar w:fldCharType="separate"/>
    </w:r>
    <w:r w:rsidR="00D223BD">
      <w:t>P:\FRA\SG\CONSEIL\C18\100\129F.docx</w:t>
    </w:r>
    <w:r>
      <w:fldChar w:fldCharType="end"/>
    </w:r>
    <w:r w:rsidR="00732045">
      <w:tab/>
    </w:r>
    <w:r w:rsidR="002F1B76">
      <w:fldChar w:fldCharType="begin"/>
    </w:r>
    <w:r w:rsidR="00732045">
      <w:instrText xml:space="preserve"> savedate \@ dd.MM.yy </w:instrText>
    </w:r>
    <w:r w:rsidR="002F1B76">
      <w:fldChar w:fldCharType="separate"/>
    </w:r>
    <w:r w:rsidR="00266656">
      <w:t>15.01.19</w:t>
    </w:r>
    <w:r w:rsidR="002F1B76">
      <w:fldChar w:fldCharType="end"/>
    </w:r>
    <w:r w:rsidR="00732045">
      <w:tab/>
    </w:r>
    <w:r w:rsidR="002F1B76">
      <w:fldChar w:fldCharType="begin"/>
    </w:r>
    <w:r w:rsidR="00732045">
      <w:instrText xml:space="preserve"> printdate \@ dd.MM.yy </w:instrText>
    </w:r>
    <w:r w:rsidR="002F1B76">
      <w:fldChar w:fldCharType="separate"/>
    </w:r>
    <w:r w:rsidR="00D223BD">
      <w:t>29.11.18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30D92" w:rsidP="006928DA">
    <w:pPr>
      <w:pStyle w:val="Footer"/>
    </w:pPr>
    <w:r>
      <w:fldChar w:fldCharType="begin"/>
    </w:r>
    <w:r>
      <w:instrText xml:space="preserve"> FILENAME \p \* MERGEFORMAT </w:instrText>
    </w:r>
    <w:r>
      <w:fldChar w:fldCharType="separate"/>
    </w:r>
    <w:r>
      <w:t>P:\FRA\SG\CONSEIL\C18\100\129V2F.DOCX</w:t>
    </w:r>
    <w:r>
      <w:fldChar w:fldCharType="end"/>
    </w:r>
    <w:r w:rsidR="006928DA">
      <w:t xml:space="preserve"> (446518)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9D" w:rsidRDefault="00D82B9D">
      <w:r>
        <w:t>____________________</w:t>
      </w:r>
    </w:p>
  </w:footnote>
  <w:footnote w:type="continuationSeparator" w:id="0">
    <w:p w:rsidR="00D82B9D" w:rsidRDefault="00D82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30D92">
      <w:rPr>
        <w:noProof/>
      </w:rPr>
      <w:t>6</w:t>
    </w:r>
    <w:r>
      <w:rPr>
        <w:noProof/>
      </w:rPr>
      <w:fldChar w:fldCharType="end"/>
    </w:r>
  </w:p>
  <w:p w:rsidR="00732045" w:rsidRDefault="00732045" w:rsidP="003C3FAE">
    <w:pPr>
      <w:pStyle w:val="Header"/>
    </w:pPr>
    <w:r>
      <w:t>C1</w:t>
    </w:r>
    <w:r w:rsidR="003C3FAE">
      <w:t>8</w:t>
    </w:r>
    <w:r w:rsidR="006928DA">
      <w:t>/129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F0B6FC2-081C-41C3-9975-B1D36FC19FC2}"/>
    <w:docVar w:name="dgnword-eventsink" w:val="480384096"/>
  </w:docVars>
  <w:rsids>
    <w:rsidRoot w:val="00D82B9D"/>
    <w:rsid w:val="000141F3"/>
    <w:rsid w:val="0007112A"/>
    <w:rsid w:val="00072684"/>
    <w:rsid w:val="000D0D0A"/>
    <w:rsid w:val="000E7F87"/>
    <w:rsid w:val="00103163"/>
    <w:rsid w:val="00112E1B"/>
    <w:rsid w:val="00115D93"/>
    <w:rsid w:val="001247A8"/>
    <w:rsid w:val="001378C0"/>
    <w:rsid w:val="00145E53"/>
    <w:rsid w:val="0018694A"/>
    <w:rsid w:val="001A3287"/>
    <w:rsid w:val="001A6508"/>
    <w:rsid w:val="001D4C31"/>
    <w:rsid w:val="001E4D21"/>
    <w:rsid w:val="00202146"/>
    <w:rsid w:val="00207CD1"/>
    <w:rsid w:val="00230D92"/>
    <w:rsid w:val="002477A2"/>
    <w:rsid w:val="00263A51"/>
    <w:rsid w:val="00266656"/>
    <w:rsid w:val="00267E02"/>
    <w:rsid w:val="002A5D44"/>
    <w:rsid w:val="002E0BC4"/>
    <w:rsid w:val="002E4906"/>
    <w:rsid w:val="002F1B76"/>
    <w:rsid w:val="0033568E"/>
    <w:rsid w:val="00355FF5"/>
    <w:rsid w:val="00361350"/>
    <w:rsid w:val="00370683"/>
    <w:rsid w:val="003C04C7"/>
    <w:rsid w:val="003C3FAE"/>
    <w:rsid w:val="003F627B"/>
    <w:rsid w:val="004038CB"/>
    <w:rsid w:val="0040546F"/>
    <w:rsid w:val="0042404A"/>
    <w:rsid w:val="0044618F"/>
    <w:rsid w:val="0046769A"/>
    <w:rsid w:val="00475FB3"/>
    <w:rsid w:val="004B7D96"/>
    <w:rsid w:val="004C37A9"/>
    <w:rsid w:val="004E179E"/>
    <w:rsid w:val="004F259E"/>
    <w:rsid w:val="00501AB1"/>
    <w:rsid w:val="00511F1D"/>
    <w:rsid w:val="00520F36"/>
    <w:rsid w:val="00540615"/>
    <w:rsid w:val="00540A6D"/>
    <w:rsid w:val="00571EEA"/>
    <w:rsid w:val="00575417"/>
    <w:rsid w:val="005768E1"/>
    <w:rsid w:val="005A5AC2"/>
    <w:rsid w:val="005B1938"/>
    <w:rsid w:val="005C3890"/>
    <w:rsid w:val="005F7BFE"/>
    <w:rsid w:val="00600017"/>
    <w:rsid w:val="006235CA"/>
    <w:rsid w:val="006643AB"/>
    <w:rsid w:val="006928DA"/>
    <w:rsid w:val="007210CD"/>
    <w:rsid w:val="00732045"/>
    <w:rsid w:val="007369DB"/>
    <w:rsid w:val="0074270B"/>
    <w:rsid w:val="007956C2"/>
    <w:rsid w:val="007A187E"/>
    <w:rsid w:val="007C72C2"/>
    <w:rsid w:val="007D4436"/>
    <w:rsid w:val="007F257A"/>
    <w:rsid w:val="007F3665"/>
    <w:rsid w:val="00800037"/>
    <w:rsid w:val="00842FAB"/>
    <w:rsid w:val="00861D73"/>
    <w:rsid w:val="008A4E87"/>
    <w:rsid w:val="008D76E6"/>
    <w:rsid w:val="008F70F0"/>
    <w:rsid w:val="0092392D"/>
    <w:rsid w:val="0093234A"/>
    <w:rsid w:val="0099767E"/>
    <w:rsid w:val="009C307F"/>
    <w:rsid w:val="00A10C92"/>
    <w:rsid w:val="00A2113E"/>
    <w:rsid w:val="00A23A51"/>
    <w:rsid w:val="00A24607"/>
    <w:rsid w:val="00A25CD3"/>
    <w:rsid w:val="00A63484"/>
    <w:rsid w:val="00A82767"/>
    <w:rsid w:val="00AA332F"/>
    <w:rsid w:val="00AA7BBB"/>
    <w:rsid w:val="00AB64A8"/>
    <w:rsid w:val="00AB68E0"/>
    <w:rsid w:val="00AC0266"/>
    <w:rsid w:val="00AD24EC"/>
    <w:rsid w:val="00B309F9"/>
    <w:rsid w:val="00B32B60"/>
    <w:rsid w:val="00B61619"/>
    <w:rsid w:val="00BB4545"/>
    <w:rsid w:val="00BD5873"/>
    <w:rsid w:val="00C04BE3"/>
    <w:rsid w:val="00C25D29"/>
    <w:rsid w:val="00C27A7C"/>
    <w:rsid w:val="00CA08ED"/>
    <w:rsid w:val="00CF183B"/>
    <w:rsid w:val="00D223BD"/>
    <w:rsid w:val="00D375CD"/>
    <w:rsid w:val="00D553A2"/>
    <w:rsid w:val="00D774D3"/>
    <w:rsid w:val="00D82B9D"/>
    <w:rsid w:val="00D904E8"/>
    <w:rsid w:val="00D91307"/>
    <w:rsid w:val="00DA08C3"/>
    <w:rsid w:val="00DB5A3E"/>
    <w:rsid w:val="00DC22AA"/>
    <w:rsid w:val="00DF74DD"/>
    <w:rsid w:val="00E24CAC"/>
    <w:rsid w:val="00E25AD0"/>
    <w:rsid w:val="00EB6350"/>
    <w:rsid w:val="00EC49DC"/>
    <w:rsid w:val="00EE011E"/>
    <w:rsid w:val="00F15B57"/>
    <w:rsid w:val="00F427DB"/>
    <w:rsid w:val="00F82D3A"/>
    <w:rsid w:val="00FA5EB1"/>
    <w:rsid w:val="00FA7439"/>
    <w:rsid w:val="00FB0D64"/>
    <w:rsid w:val="00FC4EC0"/>
    <w:rsid w:val="00FD581B"/>
    <w:rsid w:val="00FF0181"/>
    <w:rsid w:val="00FF7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BC5A64B-67D7-48FD-B333-1BE141B5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40/en" TargetMode="External"/><Relationship Id="rId13" Type="http://schemas.openxmlformats.org/officeDocument/2006/relationships/hyperlink" Target="https://www.itu.int/md/S18-CL-C-0122/en" TargetMode="External"/><Relationship Id="rId18" Type="http://schemas.openxmlformats.org/officeDocument/2006/relationships/hyperlink" Target="https://www.itu.int/md/S18-CL-INF-0019/en" TargetMode="External"/><Relationship Id="rId26" Type="http://schemas.openxmlformats.org/officeDocument/2006/relationships/hyperlink" Target="https://www.itu.int/md/S18-CL-C-0124/en" TargetMode="External"/><Relationship Id="rId3" Type="http://schemas.openxmlformats.org/officeDocument/2006/relationships/settings" Target="settings.xml"/><Relationship Id="rId21" Type="http://schemas.openxmlformats.org/officeDocument/2006/relationships/hyperlink" Target="https://www.itu.int/md/S18-CL-C-0043/en"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md/S18-CL-C-0022/en" TargetMode="External"/><Relationship Id="rId17" Type="http://schemas.openxmlformats.org/officeDocument/2006/relationships/hyperlink" Target="https://www.itu.int/md/S18-CL-INF-0018/en" TargetMode="External"/><Relationship Id="rId25" Type="http://schemas.openxmlformats.org/officeDocument/2006/relationships/hyperlink" Target="https://www.itu.int/md/S18-CL-C-0123/e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8-CL-C-0126/en" TargetMode="External"/><Relationship Id="rId20" Type="http://schemas.openxmlformats.org/officeDocument/2006/relationships/hyperlink" Target="https://www.itu.int/md/S18-CL-C-0041/en" TargetMode="External"/><Relationship Id="rId29" Type="http://schemas.openxmlformats.org/officeDocument/2006/relationships/hyperlink" Target="https://www.itu.int/md/S18-CL-INF-0019/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125/en" TargetMode="External"/><Relationship Id="rId24" Type="http://schemas.openxmlformats.org/officeDocument/2006/relationships/hyperlink" Target="https://www.itu.int/md/S18-CL-C-0122/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18-CL-C-0124/en" TargetMode="External"/><Relationship Id="rId23" Type="http://schemas.openxmlformats.org/officeDocument/2006/relationships/hyperlink" Target="https://www.itu.int/md/S18-CL-C-0022/en" TargetMode="External"/><Relationship Id="rId28" Type="http://schemas.openxmlformats.org/officeDocument/2006/relationships/hyperlink" Target="https://www.itu.int/md/S18-CL-INF-0018/en" TargetMode="External"/><Relationship Id="rId36" Type="http://schemas.openxmlformats.org/officeDocument/2006/relationships/theme" Target="theme/theme1.xml"/><Relationship Id="rId10" Type="http://schemas.openxmlformats.org/officeDocument/2006/relationships/hyperlink" Target="https://www.itu.int/md/S18-CL-C-0043/en" TargetMode="External"/><Relationship Id="rId19" Type="http://schemas.openxmlformats.org/officeDocument/2006/relationships/hyperlink" Target="https://www.itu.int/md/S18-CL-C-0040/e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18-CL-C-0041/en" TargetMode="External"/><Relationship Id="rId14" Type="http://schemas.openxmlformats.org/officeDocument/2006/relationships/hyperlink" Target="https://www.itu.int/md/S18-CL-C-0123/en" TargetMode="External"/><Relationship Id="rId22" Type="http://schemas.openxmlformats.org/officeDocument/2006/relationships/hyperlink" Target="https://www.itu.int/md/S18-CL-C-0125/en" TargetMode="External"/><Relationship Id="rId27" Type="http://schemas.openxmlformats.org/officeDocument/2006/relationships/hyperlink" Target="https://www.itu.int/md/S18-CL-C-0126/en"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B88F-77C3-4185-9E21-C0CA98D4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PF_C18FINAL.dotx</Template>
  <TotalTime>6</TotalTime>
  <Pages>7</Pages>
  <Words>3343</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22349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3</cp:revision>
  <cp:lastPrinted>2018-11-29T08:04:00Z</cp:lastPrinted>
  <dcterms:created xsi:type="dcterms:W3CDTF">2019-01-15T13:47:00Z</dcterms:created>
  <dcterms:modified xsi:type="dcterms:W3CDTF">2019-01-15T13:53:00Z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