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horzAnchor="margin" w:tblpY="-674"/>
        <w:tblW w:w="10314" w:type="dxa"/>
        <w:tblLayout w:type="fixed"/>
        <w:tblLook w:val="0000" w:firstRow="0" w:lastRow="0" w:firstColumn="0" w:lastColumn="0" w:noHBand="0" w:noVBand="0"/>
      </w:tblPr>
      <w:tblGrid>
        <w:gridCol w:w="6521"/>
        <w:gridCol w:w="3793"/>
      </w:tblGrid>
      <w:tr w:rsidR="006F4832" w:rsidRPr="006F4832" w14:paraId="0C9ACF1D" w14:textId="77777777" w:rsidTr="00500F04">
        <w:trPr>
          <w:cantSplit/>
        </w:trPr>
        <w:tc>
          <w:tcPr>
            <w:tcW w:w="6521" w:type="dxa"/>
          </w:tcPr>
          <w:p w14:paraId="27C66AB6" w14:textId="77777777" w:rsidR="006F4832" w:rsidRPr="006F4832" w:rsidRDefault="006F4832" w:rsidP="006F4832">
            <w:pPr>
              <w:tabs>
                <w:tab w:val="clear" w:pos="567"/>
                <w:tab w:val="clear" w:pos="1134"/>
                <w:tab w:val="clear" w:pos="1701"/>
                <w:tab w:val="clear" w:pos="2268"/>
                <w:tab w:val="clear" w:pos="2835"/>
              </w:tabs>
              <w:overflowPunct/>
              <w:autoSpaceDE/>
              <w:autoSpaceDN/>
              <w:adjustRightInd/>
              <w:spacing w:before="240" w:after="48"/>
              <w:textAlignment w:val="auto"/>
              <w:rPr>
                <w:rFonts w:eastAsia="SimSun"/>
                <w:b/>
                <w:position w:val="6"/>
                <w:sz w:val="30"/>
                <w:szCs w:val="30"/>
                <w:lang w:val="en-US" w:eastAsia="zh-CN"/>
              </w:rPr>
            </w:pPr>
            <w:r w:rsidRPr="006F4832">
              <w:rPr>
                <w:rFonts w:eastAsia="SimSun"/>
                <w:b/>
                <w:position w:val="6"/>
                <w:sz w:val="30"/>
                <w:szCs w:val="30"/>
                <w:lang w:val="en-US" w:eastAsia="zh-CN"/>
              </w:rPr>
              <w:t xml:space="preserve">Council Working Group on </w:t>
            </w:r>
            <w:r w:rsidRPr="006F4832">
              <w:rPr>
                <w:rFonts w:eastAsia="SimSun"/>
                <w:b/>
                <w:position w:val="6"/>
                <w:sz w:val="30"/>
                <w:szCs w:val="30"/>
                <w:lang w:val="en-US" w:eastAsia="zh-CN"/>
              </w:rPr>
              <w:br/>
              <w:t>Financial and Human Resources</w:t>
            </w:r>
          </w:p>
          <w:p w14:paraId="01F89C91" w14:textId="77777777" w:rsidR="006F4832" w:rsidRPr="006F4832" w:rsidRDefault="006F4832" w:rsidP="006F4832">
            <w:pPr>
              <w:tabs>
                <w:tab w:val="clear" w:pos="567"/>
                <w:tab w:val="clear" w:pos="1134"/>
                <w:tab w:val="clear" w:pos="1701"/>
                <w:tab w:val="clear" w:pos="2268"/>
                <w:tab w:val="clear" w:pos="2835"/>
              </w:tabs>
              <w:overflowPunct/>
              <w:autoSpaceDE/>
              <w:autoSpaceDN/>
              <w:adjustRightInd/>
              <w:spacing w:before="0" w:after="120"/>
              <w:textAlignment w:val="auto"/>
              <w:rPr>
                <w:rFonts w:eastAsia="SimSun"/>
                <w:b/>
                <w:position w:val="6"/>
                <w:sz w:val="26"/>
                <w:szCs w:val="26"/>
                <w:lang w:val="en-US" w:eastAsia="zh-CN"/>
              </w:rPr>
            </w:pPr>
            <w:r w:rsidRPr="006F4832">
              <w:rPr>
                <w:rFonts w:eastAsia="SimSun" w:cs="Times New Roman Bold"/>
                <w:b/>
                <w:szCs w:val="24"/>
                <w:lang w:val="en-US" w:eastAsia="zh-CN"/>
              </w:rPr>
              <w:t xml:space="preserve">Eighth meeting </w:t>
            </w:r>
            <w:r w:rsidRPr="006F4832">
              <w:rPr>
                <w:rFonts w:eastAsia="Calibri" w:cs="Calibri"/>
                <w:b/>
                <w:color w:val="000000"/>
                <w:szCs w:val="24"/>
                <w:lang w:val="en-US" w:eastAsia="zh-CN"/>
              </w:rPr>
              <w:t>–</w:t>
            </w:r>
            <w:r w:rsidRPr="006F4832">
              <w:rPr>
                <w:rFonts w:eastAsia="SimSun" w:cs="Times New Roman Bold"/>
                <w:b/>
                <w:szCs w:val="24"/>
                <w:lang w:val="en-US" w:eastAsia="zh-CN"/>
              </w:rPr>
              <w:t xml:space="preserve"> Geneva, 22-23 January 2018</w:t>
            </w:r>
          </w:p>
        </w:tc>
        <w:tc>
          <w:tcPr>
            <w:tcW w:w="3793" w:type="dxa"/>
          </w:tcPr>
          <w:p w14:paraId="399B0EFD" w14:textId="77777777" w:rsidR="006F4832" w:rsidRPr="006F4832" w:rsidRDefault="006F4832" w:rsidP="006F4832">
            <w:pPr>
              <w:tabs>
                <w:tab w:val="clear" w:pos="567"/>
                <w:tab w:val="clear" w:pos="1134"/>
                <w:tab w:val="clear" w:pos="1701"/>
                <w:tab w:val="clear" w:pos="2268"/>
                <w:tab w:val="clear" w:pos="2835"/>
              </w:tabs>
              <w:overflowPunct/>
              <w:autoSpaceDE/>
              <w:autoSpaceDN/>
              <w:adjustRightInd/>
              <w:spacing w:line="240" w:lineRule="atLeast"/>
              <w:textAlignment w:val="auto"/>
              <w:rPr>
                <w:rFonts w:ascii="Arial" w:eastAsia="SimSun" w:hAnsi="Arial"/>
                <w:sz w:val="22"/>
                <w:szCs w:val="24"/>
                <w:lang w:val="en-US" w:eastAsia="zh-CN"/>
              </w:rPr>
            </w:pPr>
            <w:r w:rsidRPr="006F4832">
              <w:rPr>
                <w:rFonts w:ascii="Arial" w:eastAsia="SimSun" w:hAnsi="Arial"/>
                <w:noProof/>
                <w:sz w:val="22"/>
                <w:szCs w:val="24"/>
                <w:lang w:val="en-US" w:eastAsia="zh-CN"/>
              </w:rPr>
              <w:drawing>
                <wp:inline distT="0" distB="0" distL="0" distR="0" wp14:anchorId="11128ABF" wp14:editId="0F61820E">
                  <wp:extent cx="1765300" cy="74422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5300" cy="744220"/>
                          </a:xfrm>
                          <a:prstGeom prst="rect">
                            <a:avLst/>
                          </a:prstGeom>
                          <a:noFill/>
                          <a:ln>
                            <a:noFill/>
                          </a:ln>
                        </pic:spPr>
                      </pic:pic>
                    </a:graphicData>
                  </a:graphic>
                </wp:inline>
              </w:drawing>
            </w:r>
          </w:p>
        </w:tc>
      </w:tr>
      <w:tr w:rsidR="006F4832" w:rsidRPr="006F4832" w14:paraId="72ADFBFD" w14:textId="77777777" w:rsidTr="00500F04">
        <w:trPr>
          <w:cantSplit/>
        </w:trPr>
        <w:tc>
          <w:tcPr>
            <w:tcW w:w="6521" w:type="dxa"/>
            <w:tcBorders>
              <w:top w:val="single" w:sz="12" w:space="0" w:color="auto"/>
            </w:tcBorders>
          </w:tcPr>
          <w:p w14:paraId="2A0855CA" w14:textId="77777777" w:rsidR="006F4832" w:rsidRPr="006F4832" w:rsidRDefault="006F4832" w:rsidP="006F4832">
            <w:pPr>
              <w:tabs>
                <w:tab w:val="clear" w:pos="567"/>
                <w:tab w:val="clear" w:pos="1134"/>
                <w:tab w:val="clear" w:pos="1701"/>
                <w:tab w:val="clear" w:pos="2268"/>
                <w:tab w:val="clear" w:pos="2835"/>
              </w:tabs>
              <w:overflowPunct/>
              <w:autoSpaceDE/>
              <w:autoSpaceDN/>
              <w:adjustRightInd/>
              <w:snapToGrid w:val="0"/>
              <w:spacing w:before="0"/>
              <w:textAlignment w:val="auto"/>
              <w:rPr>
                <w:rFonts w:ascii="Arial" w:eastAsia="SimSun" w:hAnsi="Arial"/>
                <w:b/>
                <w:smallCaps/>
                <w:sz w:val="22"/>
                <w:szCs w:val="24"/>
                <w:lang w:val="en-US" w:eastAsia="zh-CN"/>
              </w:rPr>
            </w:pPr>
          </w:p>
        </w:tc>
        <w:tc>
          <w:tcPr>
            <w:tcW w:w="3793" w:type="dxa"/>
            <w:tcBorders>
              <w:top w:val="single" w:sz="12" w:space="0" w:color="auto"/>
            </w:tcBorders>
          </w:tcPr>
          <w:p w14:paraId="1CD00073" w14:textId="77777777" w:rsidR="006F4832" w:rsidRPr="006F4832" w:rsidRDefault="006F4832" w:rsidP="006F4832">
            <w:pPr>
              <w:tabs>
                <w:tab w:val="clear" w:pos="567"/>
                <w:tab w:val="clear" w:pos="1134"/>
                <w:tab w:val="clear" w:pos="1701"/>
                <w:tab w:val="clear" w:pos="2268"/>
                <w:tab w:val="clear" w:pos="2835"/>
              </w:tabs>
              <w:overflowPunct/>
              <w:autoSpaceDE/>
              <w:autoSpaceDN/>
              <w:adjustRightInd/>
              <w:snapToGrid w:val="0"/>
              <w:spacing w:before="0"/>
              <w:ind w:left="209"/>
              <w:textAlignment w:val="auto"/>
              <w:rPr>
                <w:rFonts w:ascii="Verdana" w:eastAsia="SimSun" w:hAnsi="Verdana"/>
                <w:sz w:val="22"/>
                <w:szCs w:val="24"/>
                <w:lang w:val="en-US" w:eastAsia="zh-CN"/>
              </w:rPr>
            </w:pPr>
          </w:p>
        </w:tc>
      </w:tr>
      <w:tr w:rsidR="006F4832" w:rsidRPr="006F4832" w14:paraId="65BDF257" w14:textId="77777777" w:rsidTr="00500F04">
        <w:trPr>
          <w:cantSplit/>
          <w:trHeight w:val="23"/>
        </w:trPr>
        <w:tc>
          <w:tcPr>
            <w:tcW w:w="6521" w:type="dxa"/>
            <w:vMerge w:val="restart"/>
          </w:tcPr>
          <w:p w14:paraId="17A90C4D" w14:textId="77777777" w:rsidR="006F4832" w:rsidRPr="006F4832" w:rsidRDefault="006F4832" w:rsidP="006F4832">
            <w:pPr>
              <w:tabs>
                <w:tab w:val="clear" w:pos="567"/>
                <w:tab w:val="clear" w:pos="1134"/>
                <w:tab w:val="clear" w:pos="1701"/>
                <w:tab w:val="clear" w:pos="2268"/>
                <w:tab w:val="clear" w:pos="2835"/>
              </w:tabs>
              <w:overflowPunct/>
              <w:autoSpaceDE/>
              <w:autoSpaceDN/>
              <w:adjustRightInd/>
              <w:snapToGrid w:val="0"/>
              <w:spacing w:before="0"/>
              <w:textAlignment w:val="auto"/>
              <w:rPr>
                <w:rFonts w:eastAsia="SimSun"/>
                <w:b/>
                <w:sz w:val="22"/>
                <w:szCs w:val="24"/>
                <w:lang w:val="en-US" w:eastAsia="zh-CN"/>
              </w:rPr>
            </w:pPr>
          </w:p>
        </w:tc>
        <w:tc>
          <w:tcPr>
            <w:tcW w:w="3793" w:type="dxa"/>
          </w:tcPr>
          <w:p w14:paraId="4B49B552" w14:textId="7DEB7122" w:rsidR="006F4832" w:rsidRPr="006F4832" w:rsidRDefault="006F4832" w:rsidP="006F4832">
            <w:pPr>
              <w:tabs>
                <w:tab w:val="clear" w:pos="567"/>
                <w:tab w:val="clear" w:pos="1134"/>
                <w:tab w:val="clear" w:pos="1701"/>
                <w:tab w:val="clear" w:pos="2268"/>
                <w:tab w:val="clear" w:pos="2835"/>
              </w:tabs>
              <w:overflowPunct/>
              <w:autoSpaceDE/>
              <w:autoSpaceDN/>
              <w:adjustRightInd/>
              <w:snapToGrid w:val="0"/>
              <w:spacing w:before="0"/>
              <w:ind w:left="57"/>
              <w:textAlignment w:val="auto"/>
              <w:rPr>
                <w:rFonts w:eastAsia="SimSun" w:cs="Times New Roman Bold"/>
                <w:b/>
                <w:spacing w:val="-4"/>
                <w:szCs w:val="24"/>
                <w:lang w:val="de-CH" w:eastAsia="zh-CN"/>
              </w:rPr>
            </w:pPr>
            <w:r w:rsidRPr="006F4832">
              <w:rPr>
                <w:rFonts w:eastAsia="SimSun" w:cs="Times New Roman Bold"/>
                <w:b/>
                <w:spacing w:val="-4"/>
                <w:szCs w:val="24"/>
                <w:lang w:val="de-CH" w:eastAsia="zh-CN"/>
              </w:rPr>
              <w:t>Document CWG-FHR-8/</w:t>
            </w:r>
            <w:r>
              <w:rPr>
                <w:rFonts w:eastAsia="SimSun" w:cs="Times New Roman Bold"/>
                <w:b/>
                <w:spacing w:val="-4"/>
                <w:szCs w:val="24"/>
                <w:lang w:val="de-CH" w:eastAsia="zh-CN"/>
              </w:rPr>
              <w:t>3</w:t>
            </w:r>
          </w:p>
        </w:tc>
      </w:tr>
      <w:tr w:rsidR="006F4832" w:rsidRPr="006F4832" w14:paraId="05C0CFDB" w14:textId="77777777" w:rsidTr="00500F04">
        <w:trPr>
          <w:cantSplit/>
          <w:trHeight w:val="23"/>
        </w:trPr>
        <w:tc>
          <w:tcPr>
            <w:tcW w:w="6521" w:type="dxa"/>
            <w:vMerge/>
          </w:tcPr>
          <w:p w14:paraId="4306CE7E" w14:textId="77777777" w:rsidR="006F4832" w:rsidRPr="006F4832" w:rsidRDefault="006F4832" w:rsidP="006F4832">
            <w:pPr>
              <w:tabs>
                <w:tab w:val="clear" w:pos="567"/>
                <w:tab w:val="clear" w:pos="1134"/>
                <w:tab w:val="clear" w:pos="1701"/>
                <w:tab w:val="clear" w:pos="2268"/>
                <w:tab w:val="clear" w:pos="2835"/>
              </w:tabs>
              <w:overflowPunct/>
              <w:autoSpaceDE/>
              <w:autoSpaceDN/>
              <w:adjustRightInd/>
              <w:snapToGrid w:val="0"/>
              <w:spacing w:before="0"/>
              <w:textAlignment w:val="auto"/>
              <w:rPr>
                <w:rFonts w:eastAsia="SimSun"/>
                <w:b/>
                <w:sz w:val="22"/>
                <w:szCs w:val="24"/>
                <w:lang w:val="de-CH" w:eastAsia="zh-CN"/>
              </w:rPr>
            </w:pPr>
          </w:p>
        </w:tc>
        <w:tc>
          <w:tcPr>
            <w:tcW w:w="3793" w:type="dxa"/>
          </w:tcPr>
          <w:p w14:paraId="772C9E46" w14:textId="36EEC685" w:rsidR="006F4832" w:rsidRPr="006F4832" w:rsidRDefault="009713A2" w:rsidP="009713A2">
            <w:pPr>
              <w:tabs>
                <w:tab w:val="clear" w:pos="567"/>
                <w:tab w:val="clear" w:pos="1134"/>
                <w:tab w:val="clear" w:pos="1701"/>
                <w:tab w:val="clear" w:pos="2268"/>
                <w:tab w:val="clear" w:pos="2835"/>
              </w:tabs>
              <w:overflowPunct/>
              <w:autoSpaceDE/>
              <w:autoSpaceDN/>
              <w:adjustRightInd/>
              <w:snapToGrid w:val="0"/>
              <w:spacing w:before="0"/>
              <w:ind w:left="57"/>
              <w:textAlignment w:val="auto"/>
              <w:rPr>
                <w:rFonts w:eastAsia="SimSun"/>
                <w:b/>
                <w:szCs w:val="24"/>
                <w:lang w:val="en-US" w:eastAsia="zh-CN"/>
              </w:rPr>
            </w:pPr>
            <w:r>
              <w:rPr>
                <w:rFonts w:eastAsia="SimSun"/>
                <w:b/>
                <w:szCs w:val="24"/>
                <w:lang w:val="en-US" w:eastAsia="zh-CN"/>
              </w:rPr>
              <w:t>4</w:t>
            </w:r>
            <w:bookmarkStart w:id="0" w:name="_GoBack"/>
            <w:bookmarkEnd w:id="0"/>
            <w:r w:rsidR="006F4832" w:rsidRPr="006F4832">
              <w:rPr>
                <w:rFonts w:eastAsia="SimSun"/>
                <w:b/>
                <w:szCs w:val="24"/>
                <w:lang w:val="en-US" w:eastAsia="zh-CN"/>
              </w:rPr>
              <w:t xml:space="preserve"> </w:t>
            </w:r>
            <w:r w:rsidR="006F4832">
              <w:rPr>
                <w:rFonts w:eastAsia="SimSun"/>
                <w:b/>
                <w:szCs w:val="24"/>
                <w:lang w:val="en-US" w:eastAsia="zh-CN"/>
              </w:rPr>
              <w:t xml:space="preserve">December </w:t>
            </w:r>
            <w:r w:rsidR="006F4832" w:rsidRPr="006F4832">
              <w:rPr>
                <w:rFonts w:eastAsia="SimSun"/>
                <w:b/>
                <w:szCs w:val="24"/>
                <w:lang w:val="en-US" w:eastAsia="zh-CN"/>
              </w:rPr>
              <w:t>201</w:t>
            </w:r>
            <w:r w:rsidR="001A63D0">
              <w:rPr>
                <w:rFonts w:eastAsia="SimSun"/>
                <w:b/>
                <w:szCs w:val="24"/>
                <w:lang w:val="en-US" w:eastAsia="zh-CN"/>
              </w:rPr>
              <w:t>7</w:t>
            </w:r>
          </w:p>
        </w:tc>
      </w:tr>
      <w:tr w:rsidR="006F4832" w:rsidRPr="006F4832" w14:paraId="62E1F21F" w14:textId="77777777" w:rsidTr="00500F04">
        <w:trPr>
          <w:cantSplit/>
          <w:trHeight w:val="80"/>
        </w:trPr>
        <w:tc>
          <w:tcPr>
            <w:tcW w:w="6521" w:type="dxa"/>
            <w:vMerge/>
          </w:tcPr>
          <w:p w14:paraId="50F2B1BD" w14:textId="77777777" w:rsidR="006F4832" w:rsidRPr="006F4832" w:rsidRDefault="006F4832" w:rsidP="006F4832">
            <w:pPr>
              <w:tabs>
                <w:tab w:val="clear" w:pos="567"/>
                <w:tab w:val="clear" w:pos="1134"/>
                <w:tab w:val="clear" w:pos="1701"/>
                <w:tab w:val="clear" w:pos="2268"/>
                <w:tab w:val="clear" w:pos="2835"/>
              </w:tabs>
              <w:overflowPunct/>
              <w:autoSpaceDE/>
              <w:autoSpaceDN/>
              <w:adjustRightInd/>
              <w:snapToGrid w:val="0"/>
              <w:spacing w:before="0"/>
              <w:textAlignment w:val="auto"/>
              <w:rPr>
                <w:rFonts w:eastAsia="SimSun"/>
                <w:b/>
                <w:sz w:val="22"/>
                <w:szCs w:val="24"/>
                <w:lang w:val="en-US" w:eastAsia="zh-CN"/>
              </w:rPr>
            </w:pPr>
          </w:p>
        </w:tc>
        <w:tc>
          <w:tcPr>
            <w:tcW w:w="3793" w:type="dxa"/>
          </w:tcPr>
          <w:p w14:paraId="09998DCF" w14:textId="77777777" w:rsidR="006F4832" w:rsidRPr="006F4832" w:rsidRDefault="006F4832" w:rsidP="006F4832">
            <w:pPr>
              <w:tabs>
                <w:tab w:val="clear" w:pos="567"/>
                <w:tab w:val="clear" w:pos="1134"/>
                <w:tab w:val="clear" w:pos="1701"/>
                <w:tab w:val="clear" w:pos="2268"/>
                <w:tab w:val="clear" w:pos="2835"/>
              </w:tabs>
              <w:overflowPunct/>
              <w:autoSpaceDE/>
              <w:autoSpaceDN/>
              <w:adjustRightInd/>
              <w:snapToGrid w:val="0"/>
              <w:spacing w:before="0"/>
              <w:ind w:left="57"/>
              <w:textAlignment w:val="auto"/>
              <w:rPr>
                <w:rFonts w:eastAsia="SimSun"/>
                <w:b/>
                <w:szCs w:val="24"/>
                <w:lang w:val="en-US" w:eastAsia="zh-CN"/>
              </w:rPr>
            </w:pPr>
            <w:r w:rsidRPr="006F4832">
              <w:rPr>
                <w:rFonts w:eastAsia="SimSun"/>
                <w:b/>
                <w:szCs w:val="24"/>
                <w:lang w:val="en-US" w:eastAsia="zh-CN"/>
              </w:rPr>
              <w:t>English only</w:t>
            </w:r>
          </w:p>
        </w:tc>
      </w:tr>
    </w:tbl>
    <w:p w14:paraId="2B5B7164" w14:textId="77777777" w:rsidR="00195F93" w:rsidRDefault="00195F93" w:rsidP="006F4832">
      <w:pPr>
        <w:tabs>
          <w:tab w:val="clear" w:pos="567"/>
          <w:tab w:val="clear" w:pos="1134"/>
          <w:tab w:val="clear" w:pos="1701"/>
          <w:tab w:val="clear" w:pos="2268"/>
          <w:tab w:val="clear" w:pos="2835"/>
          <w:tab w:val="left" w:pos="794"/>
          <w:tab w:val="left" w:pos="1191"/>
          <w:tab w:val="left" w:pos="1588"/>
          <w:tab w:val="left" w:pos="1985"/>
        </w:tabs>
        <w:rPr>
          <w:b/>
        </w:rPr>
      </w:pPr>
    </w:p>
    <w:p w14:paraId="76A81290" w14:textId="77777777" w:rsidR="002538F9" w:rsidRDefault="002538F9" w:rsidP="006F4832">
      <w:pPr>
        <w:tabs>
          <w:tab w:val="clear" w:pos="567"/>
          <w:tab w:val="clear" w:pos="1134"/>
          <w:tab w:val="clear" w:pos="1701"/>
          <w:tab w:val="clear" w:pos="2268"/>
          <w:tab w:val="clear" w:pos="2835"/>
          <w:tab w:val="left" w:pos="794"/>
          <w:tab w:val="left" w:pos="1191"/>
          <w:tab w:val="left" w:pos="1588"/>
          <w:tab w:val="left" w:pos="1985"/>
        </w:tabs>
        <w:rPr>
          <w:b/>
        </w:rPr>
      </w:pPr>
    </w:p>
    <w:p w14:paraId="28DD0E1B" w14:textId="77777777" w:rsidR="002538F9" w:rsidRPr="00195F93" w:rsidRDefault="002538F9" w:rsidP="006F4832">
      <w:pPr>
        <w:tabs>
          <w:tab w:val="clear" w:pos="567"/>
          <w:tab w:val="clear" w:pos="1134"/>
          <w:tab w:val="clear" w:pos="1701"/>
          <w:tab w:val="clear" w:pos="2268"/>
          <w:tab w:val="clear" w:pos="2835"/>
          <w:tab w:val="left" w:pos="794"/>
          <w:tab w:val="left" w:pos="1191"/>
          <w:tab w:val="left" w:pos="1588"/>
          <w:tab w:val="left" w:pos="1985"/>
        </w:tabs>
        <w:rPr>
          <w:b/>
        </w:rPr>
      </w:pPr>
    </w:p>
    <w:p w14:paraId="6E19D767" w14:textId="7E24173C" w:rsidR="00195F93" w:rsidRPr="002538F9" w:rsidRDefault="00195F93" w:rsidP="00E6273D">
      <w:pPr>
        <w:tabs>
          <w:tab w:val="clear" w:pos="567"/>
          <w:tab w:val="clear" w:pos="1134"/>
          <w:tab w:val="clear" w:pos="1701"/>
          <w:tab w:val="clear" w:pos="2268"/>
          <w:tab w:val="clear" w:pos="2835"/>
          <w:tab w:val="left" w:pos="794"/>
          <w:tab w:val="left" w:pos="1191"/>
          <w:tab w:val="left" w:pos="1588"/>
          <w:tab w:val="left" w:pos="1985"/>
        </w:tabs>
        <w:jc w:val="center"/>
        <w:rPr>
          <w:rFonts w:cs="Calibri"/>
          <w:b/>
          <w:sz w:val="28"/>
          <w:szCs w:val="28"/>
          <w:lang w:eastAsia="zh-CN"/>
        </w:rPr>
      </w:pPr>
      <w:r w:rsidRPr="002538F9">
        <w:rPr>
          <w:rFonts w:cs="Calibri"/>
          <w:b/>
          <w:sz w:val="28"/>
          <w:szCs w:val="28"/>
          <w:lang w:val="en-US"/>
        </w:rPr>
        <w:t>C</w:t>
      </w:r>
      <w:r w:rsidR="00E6273D" w:rsidRPr="002538F9">
        <w:rPr>
          <w:rFonts w:cs="Calibri"/>
          <w:b/>
          <w:sz w:val="28"/>
          <w:szCs w:val="28"/>
          <w:lang w:val="en-US"/>
        </w:rPr>
        <w:t>ontribution by the Federative Republic of Brazil</w:t>
      </w:r>
    </w:p>
    <w:p w14:paraId="17C4B7E1" w14:textId="6A603004" w:rsidR="00195F93" w:rsidRPr="00E6273D" w:rsidRDefault="00195F93" w:rsidP="00195F93">
      <w:pPr>
        <w:tabs>
          <w:tab w:val="clear" w:pos="567"/>
          <w:tab w:val="clear" w:pos="1134"/>
          <w:tab w:val="clear" w:pos="1701"/>
          <w:tab w:val="clear" w:pos="2268"/>
          <w:tab w:val="clear" w:pos="2835"/>
          <w:tab w:val="left" w:pos="794"/>
          <w:tab w:val="left" w:pos="1191"/>
          <w:tab w:val="left" w:pos="1588"/>
          <w:tab w:val="left" w:pos="1985"/>
        </w:tabs>
        <w:snapToGrid w:val="0"/>
        <w:jc w:val="center"/>
        <w:rPr>
          <w:rFonts w:cs="Calibri"/>
          <w:bCs/>
          <w:caps/>
          <w:sz w:val="28"/>
          <w:szCs w:val="28"/>
          <w:lang w:eastAsia="zh-CN"/>
        </w:rPr>
      </w:pPr>
      <w:r w:rsidRPr="00E6273D">
        <w:rPr>
          <w:rFonts w:cs="Calibri"/>
          <w:bCs/>
          <w:caps/>
          <w:sz w:val="28"/>
          <w:szCs w:val="28"/>
          <w:lang w:eastAsia="zh-CN"/>
        </w:rPr>
        <w:t>Enhancing the participation of non-State Members in the work of ITU</w:t>
      </w:r>
    </w:p>
    <w:p w14:paraId="70CEF38C" w14:textId="77777777" w:rsidR="00195F93" w:rsidRPr="00195F93" w:rsidRDefault="00195F93" w:rsidP="00195F93">
      <w:pPr>
        <w:tabs>
          <w:tab w:val="clear" w:pos="567"/>
          <w:tab w:val="clear" w:pos="1134"/>
          <w:tab w:val="clear" w:pos="1701"/>
          <w:tab w:val="clear" w:pos="2268"/>
          <w:tab w:val="clear" w:pos="2835"/>
          <w:tab w:val="left" w:pos="794"/>
          <w:tab w:val="left" w:pos="1191"/>
          <w:tab w:val="left" w:pos="1588"/>
          <w:tab w:val="left" w:pos="1985"/>
        </w:tabs>
        <w:snapToGrid w:val="0"/>
        <w:spacing w:before="0"/>
      </w:pPr>
    </w:p>
    <w:p w14:paraId="32DCDA05" w14:textId="77777777" w:rsidR="006C6C2E" w:rsidRPr="007E026A" w:rsidRDefault="006C6C2E" w:rsidP="006C6C2E">
      <w:pPr>
        <w:snapToGrid w:val="0"/>
        <w:spacing w:before="0"/>
      </w:pPr>
    </w:p>
    <w:p w14:paraId="4763257F" w14:textId="615D17DB" w:rsidR="006C6C2E" w:rsidRPr="007E026A" w:rsidRDefault="006C6C2E" w:rsidP="006C6C2E">
      <w:pPr>
        <w:snapToGrid w:val="0"/>
        <w:spacing w:before="0"/>
      </w:pPr>
    </w:p>
    <w:p w14:paraId="0CFE1463" w14:textId="1A71D1B2" w:rsidR="007E026A" w:rsidRPr="007E026A" w:rsidRDefault="007E026A" w:rsidP="00C53ABC">
      <w:pPr>
        <w:snapToGrid w:val="0"/>
        <w:spacing w:before="0"/>
      </w:pPr>
      <w:r>
        <w:tab/>
        <w:t xml:space="preserve">Attached is a document on enhancing the participation of non-State Members in the work of ITU which was discussed at the Council session </w:t>
      </w:r>
      <w:r w:rsidR="006E0B5A">
        <w:t xml:space="preserve">in 2017 </w:t>
      </w:r>
      <w:r>
        <w:t>where it was decided that the discussion should continue at the next meeting of the Council Working Group on Financial and Human Resources.</w:t>
      </w:r>
    </w:p>
    <w:p w14:paraId="0A60C67A" w14:textId="77777777" w:rsidR="007E026A" w:rsidRPr="007E026A" w:rsidRDefault="007E026A" w:rsidP="006C6C2E">
      <w:pPr>
        <w:snapToGrid w:val="0"/>
        <w:spacing w:before="0"/>
      </w:pPr>
    </w:p>
    <w:p w14:paraId="3DAAFCBE" w14:textId="77777777" w:rsidR="007E026A" w:rsidRPr="007E026A" w:rsidRDefault="007E026A" w:rsidP="006C6C2E">
      <w:pPr>
        <w:snapToGrid w:val="0"/>
        <w:spacing w:before="0"/>
      </w:pPr>
    </w:p>
    <w:p w14:paraId="63AEEC13" w14:textId="77777777" w:rsidR="007E026A" w:rsidRPr="007E026A" w:rsidRDefault="007E026A" w:rsidP="006C6C2E">
      <w:pPr>
        <w:snapToGrid w:val="0"/>
        <w:spacing w:before="0"/>
      </w:pPr>
    </w:p>
    <w:p w14:paraId="48A39328" w14:textId="77777777" w:rsidR="007E026A" w:rsidRPr="007E026A" w:rsidRDefault="007E026A" w:rsidP="006C6C2E">
      <w:pPr>
        <w:snapToGrid w:val="0"/>
        <w:spacing w:before="0"/>
      </w:pPr>
    </w:p>
    <w:p w14:paraId="465141D8" w14:textId="77777777" w:rsidR="007E026A" w:rsidRPr="007E026A" w:rsidRDefault="007E026A" w:rsidP="006C6C2E">
      <w:pPr>
        <w:snapToGrid w:val="0"/>
        <w:spacing w:before="0"/>
      </w:pPr>
    </w:p>
    <w:p w14:paraId="41A2475D" w14:textId="77777777" w:rsidR="006C6C2E" w:rsidRPr="007E026A" w:rsidRDefault="006C6C2E" w:rsidP="006C6C2E">
      <w:pPr>
        <w:snapToGrid w:val="0"/>
        <w:spacing w:before="0"/>
      </w:pPr>
    </w:p>
    <w:p w14:paraId="0998868B" w14:textId="77777777" w:rsidR="006C6C2E" w:rsidRPr="007E026A" w:rsidRDefault="006C6C2E" w:rsidP="006C6C2E">
      <w:pPr>
        <w:snapToGrid w:val="0"/>
        <w:spacing w:before="0"/>
      </w:pPr>
    </w:p>
    <w:p w14:paraId="5DA4B10E" w14:textId="77777777" w:rsidR="006C6C2E" w:rsidRPr="007E026A" w:rsidRDefault="006C6C2E" w:rsidP="006C6C2E">
      <w:pPr>
        <w:snapToGrid w:val="0"/>
        <w:spacing w:before="0"/>
      </w:pPr>
    </w:p>
    <w:p w14:paraId="12294B9E" w14:textId="77777777" w:rsidR="006C6C2E" w:rsidRPr="007E026A" w:rsidRDefault="006C6C2E" w:rsidP="006C6C2E">
      <w:pPr>
        <w:snapToGrid w:val="0"/>
        <w:spacing w:before="0"/>
      </w:pPr>
    </w:p>
    <w:p w14:paraId="5546A498" w14:textId="77777777" w:rsidR="006C6C2E" w:rsidRPr="007E026A" w:rsidRDefault="006C6C2E" w:rsidP="006C6C2E">
      <w:pPr>
        <w:snapToGrid w:val="0"/>
        <w:spacing w:before="0"/>
      </w:pPr>
    </w:p>
    <w:p w14:paraId="12253DE7" w14:textId="77777777" w:rsidR="006C6C2E" w:rsidRDefault="006C6C2E" w:rsidP="006C6C2E">
      <w:pPr>
        <w:snapToGrid w:val="0"/>
        <w:spacing w:before="0"/>
      </w:pPr>
    </w:p>
    <w:p w14:paraId="36E4F4D2" w14:textId="77777777" w:rsidR="006C6C2E" w:rsidRDefault="006C6C2E">
      <w:pPr>
        <w:sectPr w:rsidR="006C6C2E" w:rsidSect="004D1851">
          <w:headerReference w:type="default" r:id="rId12"/>
          <w:footerReference w:type="first" r:id="rId13"/>
          <w:pgSz w:w="11907" w:h="16834"/>
          <w:pgMar w:top="1418" w:right="1134" w:bottom="1418" w:left="1134" w:header="720" w:footer="720" w:gutter="0"/>
          <w:paperSrc w:first="15" w:other="15"/>
          <w:cols w:space="720"/>
          <w:titlePg/>
        </w:sectPr>
      </w:pPr>
    </w:p>
    <w:p w14:paraId="4C4C514B" w14:textId="0890EE7D" w:rsidR="006C6C2E" w:rsidRDefault="006C6C2E"/>
    <w:p w14:paraId="22585C62" w14:textId="3B19EEDA" w:rsidR="006C6C2E" w:rsidRDefault="006C6C2E">
      <w:pPr>
        <w:tabs>
          <w:tab w:val="clear" w:pos="567"/>
          <w:tab w:val="clear" w:pos="1134"/>
          <w:tab w:val="clear" w:pos="1701"/>
          <w:tab w:val="clear" w:pos="2268"/>
          <w:tab w:val="clear" w:pos="2835"/>
        </w:tabs>
        <w:overflowPunct/>
        <w:autoSpaceDE/>
        <w:autoSpaceDN/>
        <w:adjustRightInd/>
        <w:spacing w:before="0"/>
        <w:textAlignment w:val="auto"/>
      </w:pPr>
    </w:p>
    <w:p w14:paraId="34BF53FE" w14:textId="77777777" w:rsidR="006C6C2E" w:rsidRDefault="006C6C2E"/>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4B3E22" w:rsidRPr="00AC71F5" w14:paraId="25AECD67" w14:textId="77777777">
        <w:trPr>
          <w:cantSplit/>
        </w:trPr>
        <w:tc>
          <w:tcPr>
            <w:tcW w:w="6911" w:type="dxa"/>
          </w:tcPr>
          <w:p w14:paraId="0DA28312" w14:textId="04B91AF8" w:rsidR="004B3E22" w:rsidRPr="00AC71F5" w:rsidRDefault="004B3E22" w:rsidP="004B3E22">
            <w:pPr>
              <w:spacing w:before="360" w:after="48" w:line="240" w:lineRule="atLeast"/>
              <w:rPr>
                <w:position w:val="6"/>
                <w:lang w:val="en-US"/>
              </w:rPr>
            </w:pPr>
            <w:r w:rsidRPr="00AC71F5">
              <w:rPr>
                <w:b/>
                <w:bCs/>
                <w:position w:val="6"/>
                <w:sz w:val="30"/>
                <w:szCs w:val="30"/>
                <w:lang w:val="en-US"/>
              </w:rPr>
              <w:t>Council 2017</w:t>
            </w:r>
            <w:r w:rsidRPr="00AC71F5">
              <w:rPr>
                <w:rFonts w:cs="Times"/>
                <w:b/>
                <w:position w:val="6"/>
                <w:sz w:val="26"/>
                <w:szCs w:val="26"/>
                <w:lang w:val="en-US"/>
              </w:rPr>
              <w:br/>
            </w:r>
            <w:r w:rsidRPr="00AC71F5">
              <w:rPr>
                <w:b/>
                <w:bCs/>
                <w:position w:val="6"/>
                <w:szCs w:val="24"/>
                <w:lang w:val="en-US"/>
              </w:rPr>
              <w:t>Geneva, 15-25 May 2017</w:t>
            </w:r>
          </w:p>
        </w:tc>
        <w:tc>
          <w:tcPr>
            <w:tcW w:w="3120" w:type="dxa"/>
          </w:tcPr>
          <w:p w14:paraId="2E8B00EA" w14:textId="77777777" w:rsidR="004B3E22" w:rsidRPr="00AC71F5" w:rsidRDefault="004B3E22" w:rsidP="004B3E22">
            <w:pPr>
              <w:spacing w:before="0" w:line="240" w:lineRule="atLeast"/>
              <w:jc w:val="right"/>
              <w:rPr>
                <w:lang w:val="en-US"/>
              </w:rPr>
            </w:pPr>
            <w:bookmarkStart w:id="1" w:name="ditulogo"/>
            <w:bookmarkEnd w:id="1"/>
            <w:r w:rsidRPr="00AC71F5">
              <w:rPr>
                <w:rFonts w:ascii="Verdana" w:hAnsi="Verdana"/>
                <w:noProof/>
                <w:color w:val="FFFFFF"/>
                <w:sz w:val="26"/>
                <w:szCs w:val="26"/>
                <w:lang w:val="en-US" w:eastAsia="zh-CN"/>
              </w:rPr>
              <w:drawing>
                <wp:inline distT="0" distB="0" distL="0" distR="0" wp14:anchorId="259C68EA" wp14:editId="7C71A8F4">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4B3E22" w:rsidRPr="00AC71F5" w14:paraId="66C53A26" w14:textId="77777777">
        <w:trPr>
          <w:cantSplit/>
        </w:trPr>
        <w:tc>
          <w:tcPr>
            <w:tcW w:w="6911" w:type="dxa"/>
            <w:tcBorders>
              <w:bottom w:val="single" w:sz="12" w:space="0" w:color="auto"/>
            </w:tcBorders>
          </w:tcPr>
          <w:p w14:paraId="3E0AAB54" w14:textId="77777777" w:rsidR="004B3E22" w:rsidRPr="00AC71F5" w:rsidRDefault="004B3E22">
            <w:pPr>
              <w:spacing w:before="0" w:after="48" w:line="240" w:lineRule="atLeast"/>
              <w:rPr>
                <w:b/>
                <w:smallCaps/>
                <w:szCs w:val="24"/>
                <w:lang w:val="en-US"/>
              </w:rPr>
            </w:pPr>
          </w:p>
        </w:tc>
        <w:tc>
          <w:tcPr>
            <w:tcW w:w="3120" w:type="dxa"/>
            <w:tcBorders>
              <w:bottom w:val="single" w:sz="12" w:space="0" w:color="auto"/>
            </w:tcBorders>
          </w:tcPr>
          <w:p w14:paraId="3A5B9739" w14:textId="77777777" w:rsidR="004B3E22" w:rsidRPr="00AC71F5" w:rsidRDefault="004B3E22">
            <w:pPr>
              <w:spacing w:before="0" w:line="240" w:lineRule="atLeast"/>
              <w:rPr>
                <w:szCs w:val="24"/>
                <w:lang w:val="en-US"/>
              </w:rPr>
            </w:pPr>
          </w:p>
        </w:tc>
      </w:tr>
      <w:tr w:rsidR="004B3E22" w:rsidRPr="00AC71F5" w14:paraId="749A4ABC" w14:textId="77777777">
        <w:trPr>
          <w:cantSplit/>
        </w:trPr>
        <w:tc>
          <w:tcPr>
            <w:tcW w:w="6911" w:type="dxa"/>
            <w:tcBorders>
              <w:top w:val="single" w:sz="12" w:space="0" w:color="auto"/>
            </w:tcBorders>
          </w:tcPr>
          <w:p w14:paraId="3754B8D8" w14:textId="77777777" w:rsidR="004B3E22" w:rsidRPr="00AC71F5" w:rsidRDefault="004B3E22">
            <w:pPr>
              <w:spacing w:before="0" w:after="48" w:line="240" w:lineRule="atLeast"/>
              <w:rPr>
                <w:b/>
                <w:smallCaps/>
                <w:szCs w:val="24"/>
                <w:lang w:val="en-US"/>
              </w:rPr>
            </w:pPr>
          </w:p>
        </w:tc>
        <w:tc>
          <w:tcPr>
            <w:tcW w:w="3120" w:type="dxa"/>
            <w:tcBorders>
              <w:top w:val="single" w:sz="12" w:space="0" w:color="auto"/>
            </w:tcBorders>
          </w:tcPr>
          <w:p w14:paraId="484405AB" w14:textId="77777777" w:rsidR="004B3E22" w:rsidRPr="00AC71F5" w:rsidRDefault="004B3E22">
            <w:pPr>
              <w:spacing w:before="0" w:line="240" w:lineRule="atLeast"/>
              <w:rPr>
                <w:szCs w:val="24"/>
                <w:lang w:val="en-US"/>
              </w:rPr>
            </w:pPr>
          </w:p>
        </w:tc>
      </w:tr>
      <w:tr w:rsidR="004B3E22" w:rsidRPr="00AC71F5" w14:paraId="6EA0D1AA" w14:textId="77777777">
        <w:trPr>
          <w:cantSplit/>
          <w:trHeight w:val="23"/>
        </w:trPr>
        <w:tc>
          <w:tcPr>
            <w:tcW w:w="6911" w:type="dxa"/>
            <w:vMerge w:val="restart"/>
          </w:tcPr>
          <w:p w14:paraId="5E31F16D" w14:textId="5F1967B5" w:rsidR="004B3E22" w:rsidRPr="00AC71F5" w:rsidRDefault="004B3E22" w:rsidP="00EF5A9E">
            <w:pPr>
              <w:tabs>
                <w:tab w:val="left" w:pos="851"/>
              </w:tabs>
              <w:spacing w:before="0" w:line="240" w:lineRule="atLeast"/>
              <w:rPr>
                <w:b/>
                <w:lang w:val="en-US"/>
              </w:rPr>
            </w:pPr>
            <w:bookmarkStart w:id="2" w:name="dmeeting" w:colFirst="0" w:colLast="0"/>
            <w:bookmarkStart w:id="3" w:name="dnum" w:colFirst="1" w:colLast="1"/>
            <w:r w:rsidRPr="00AC71F5">
              <w:rPr>
                <w:b/>
                <w:lang w:val="en-US"/>
              </w:rPr>
              <w:t xml:space="preserve">Agenda item: </w:t>
            </w:r>
            <w:r w:rsidR="00EF5A9E">
              <w:rPr>
                <w:b/>
                <w:lang w:val="en-US"/>
              </w:rPr>
              <w:t>ADM 3</w:t>
            </w:r>
          </w:p>
        </w:tc>
        <w:tc>
          <w:tcPr>
            <w:tcW w:w="3120" w:type="dxa"/>
          </w:tcPr>
          <w:p w14:paraId="3D07C86D" w14:textId="15BB2DD9" w:rsidR="004B3E22" w:rsidRPr="00AC71F5" w:rsidRDefault="004B3E22" w:rsidP="00EF5A9E">
            <w:pPr>
              <w:tabs>
                <w:tab w:val="left" w:pos="851"/>
              </w:tabs>
              <w:spacing w:before="0" w:line="240" w:lineRule="atLeast"/>
              <w:rPr>
                <w:b/>
                <w:lang w:val="en-US"/>
              </w:rPr>
            </w:pPr>
            <w:r w:rsidRPr="00AC71F5">
              <w:rPr>
                <w:b/>
                <w:lang w:val="en-US"/>
              </w:rPr>
              <w:t>Document C17/</w:t>
            </w:r>
            <w:r w:rsidR="00E979CE">
              <w:rPr>
                <w:b/>
                <w:lang w:val="en-US"/>
              </w:rPr>
              <w:t>9</w:t>
            </w:r>
            <w:r w:rsidR="00EF5A9E">
              <w:rPr>
                <w:b/>
                <w:lang w:val="en-US"/>
              </w:rPr>
              <w:t>7</w:t>
            </w:r>
            <w:r w:rsidRPr="00AC71F5">
              <w:rPr>
                <w:b/>
                <w:lang w:val="en-US"/>
              </w:rPr>
              <w:t>-E</w:t>
            </w:r>
          </w:p>
        </w:tc>
      </w:tr>
      <w:tr w:rsidR="004B3E22" w:rsidRPr="00AC71F5" w14:paraId="7AFFB10B" w14:textId="77777777">
        <w:trPr>
          <w:cantSplit/>
          <w:trHeight w:val="23"/>
        </w:trPr>
        <w:tc>
          <w:tcPr>
            <w:tcW w:w="6911" w:type="dxa"/>
            <w:vMerge/>
          </w:tcPr>
          <w:p w14:paraId="2A985F52" w14:textId="77777777" w:rsidR="004B3E22" w:rsidRPr="00AC71F5" w:rsidRDefault="004B3E22">
            <w:pPr>
              <w:tabs>
                <w:tab w:val="left" w:pos="851"/>
              </w:tabs>
              <w:spacing w:line="240" w:lineRule="atLeast"/>
              <w:rPr>
                <w:b/>
                <w:lang w:val="en-US"/>
              </w:rPr>
            </w:pPr>
            <w:bookmarkStart w:id="4" w:name="ddate" w:colFirst="1" w:colLast="1"/>
            <w:bookmarkEnd w:id="2"/>
            <w:bookmarkEnd w:id="3"/>
          </w:p>
        </w:tc>
        <w:tc>
          <w:tcPr>
            <w:tcW w:w="3120" w:type="dxa"/>
          </w:tcPr>
          <w:p w14:paraId="328D8A4E" w14:textId="1D9ABE30" w:rsidR="004B3E22" w:rsidRPr="00AC71F5" w:rsidRDefault="00E979CE" w:rsidP="00E979CE">
            <w:pPr>
              <w:tabs>
                <w:tab w:val="left" w:pos="993"/>
              </w:tabs>
              <w:spacing w:before="0"/>
              <w:rPr>
                <w:b/>
                <w:lang w:val="en-US"/>
              </w:rPr>
            </w:pPr>
            <w:r>
              <w:rPr>
                <w:b/>
                <w:lang w:val="en-US"/>
              </w:rPr>
              <w:t>1 May</w:t>
            </w:r>
            <w:r w:rsidR="004B3E22" w:rsidRPr="00AC71F5">
              <w:rPr>
                <w:b/>
                <w:lang w:val="en-US"/>
              </w:rPr>
              <w:t xml:space="preserve"> 2017</w:t>
            </w:r>
          </w:p>
        </w:tc>
      </w:tr>
      <w:tr w:rsidR="004B3E22" w:rsidRPr="00AC71F5" w14:paraId="5728FD87" w14:textId="77777777">
        <w:trPr>
          <w:cantSplit/>
          <w:trHeight w:val="23"/>
        </w:trPr>
        <w:tc>
          <w:tcPr>
            <w:tcW w:w="6911" w:type="dxa"/>
            <w:vMerge/>
          </w:tcPr>
          <w:p w14:paraId="3E37E39D" w14:textId="77777777" w:rsidR="004B3E22" w:rsidRPr="00AC71F5" w:rsidRDefault="004B3E22">
            <w:pPr>
              <w:tabs>
                <w:tab w:val="left" w:pos="851"/>
              </w:tabs>
              <w:spacing w:line="240" w:lineRule="atLeast"/>
              <w:rPr>
                <w:b/>
                <w:lang w:val="en-US"/>
              </w:rPr>
            </w:pPr>
            <w:bookmarkStart w:id="5" w:name="dorlang" w:colFirst="1" w:colLast="1"/>
            <w:bookmarkEnd w:id="4"/>
          </w:p>
        </w:tc>
        <w:tc>
          <w:tcPr>
            <w:tcW w:w="3120" w:type="dxa"/>
          </w:tcPr>
          <w:p w14:paraId="0123D82E" w14:textId="77777777" w:rsidR="004B3E22" w:rsidRPr="00AC71F5" w:rsidRDefault="004B3E22" w:rsidP="004B3E22">
            <w:pPr>
              <w:tabs>
                <w:tab w:val="left" w:pos="993"/>
              </w:tabs>
              <w:spacing w:before="0"/>
              <w:rPr>
                <w:b/>
                <w:lang w:val="en-US"/>
              </w:rPr>
            </w:pPr>
            <w:r w:rsidRPr="00AC71F5">
              <w:rPr>
                <w:b/>
                <w:lang w:val="en-US"/>
              </w:rPr>
              <w:t>Original: English</w:t>
            </w:r>
          </w:p>
        </w:tc>
      </w:tr>
      <w:tr w:rsidR="004B3E22" w:rsidRPr="00AC71F5" w14:paraId="5758BF40" w14:textId="77777777">
        <w:trPr>
          <w:cantSplit/>
        </w:trPr>
        <w:tc>
          <w:tcPr>
            <w:tcW w:w="10031" w:type="dxa"/>
            <w:gridSpan w:val="2"/>
          </w:tcPr>
          <w:p w14:paraId="5A931350" w14:textId="0506365B" w:rsidR="004B3E22" w:rsidRPr="00AC71F5" w:rsidRDefault="00E979CE">
            <w:pPr>
              <w:pStyle w:val="Source"/>
              <w:rPr>
                <w:lang w:val="en-US"/>
              </w:rPr>
            </w:pPr>
            <w:bookmarkStart w:id="6" w:name="dsource" w:colFirst="0" w:colLast="0"/>
            <w:bookmarkEnd w:id="5"/>
            <w:r w:rsidRPr="002F1511">
              <w:t>Note by the Secretary-General</w:t>
            </w:r>
          </w:p>
        </w:tc>
      </w:tr>
      <w:tr w:rsidR="004B3E22" w:rsidRPr="00AC71F5" w14:paraId="6201A446" w14:textId="77777777">
        <w:trPr>
          <w:cantSplit/>
        </w:trPr>
        <w:tc>
          <w:tcPr>
            <w:tcW w:w="10031" w:type="dxa"/>
            <w:gridSpan w:val="2"/>
          </w:tcPr>
          <w:p w14:paraId="02ADD644" w14:textId="625995B9" w:rsidR="004B3E22" w:rsidRPr="00AC71F5" w:rsidRDefault="00E979CE" w:rsidP="00FD0D83">
            <w:pPr>
              <w:pStyle w:val="Title1"/>
              <w:rPr>
                <w:lang w:val="en-US"/>
              </w:rPr>
            </w:pPr>
            <w:bookmarkStart w:id="7" w:name="dtitle1" w:colFirst="0" w:colLast="0"/>
            <w:bookmarkEnd w:id="6"/>
            <w:r>
              <w:rPr>
                <w:lang w:val="en-US"/>
              </w:rPr>
              <w:t>contribution from the federative republic of brazil</w:t>
            </w:r>
          </w:p>
        </w:tc>
      </w:tr>
      <w:tr w:rsidR="00E979CE" w:rsidRPr="00AC71F5" w14:paraId="42CDAFC2" w14:textId="77777777">
        <w:trPr>
          <w:cantSplit/>
        </w:trPr>
        <w:tc>
          <w:tcPr>
            <w:tcW w:w="10031" w:type="dxa"/>
            <w:gridSpan w:val="2"/>
          </w:tcPr>
          <w:p w14:paraId="4F5D2127" w14:textId="2705A250" w:rsidR="00E979CE" w:rsidRDefault="00EF5A9E" w:rsidP="00E979CE">
            <w:pPr>
              <w:pStyle w:val="Title1"/>
              <w:rPr>
                <w:lang w:val="en-US"/>
              </w:rPr>
            </w:pPr>
            <w:r w:rsidRPr="00EF5A9E">
              <w:rPr>
                <w:lang w:val="en-US"/>
              </w:rPr>
              <w:t>ENHANCING THE PARTICIPATION OF NON</w:t>
            </w:r>
            <w:r w:rsidR="00E1200D">
              <w:rPr>
                <w:lang w:val="en-US"/>
              </w:rPr>
              <w:t>-</w:t>
            </w:r>
            <w:r w:rsidRPr="00EF5A9E">
              <w:rPr>
                <w:lang w:val="en-US"/>
              </w:rPr>
              <w:t>STATE MEMBERS IN THE WORK OF ITU</w:t>
            </w:r>
          </w:p>
        </w:tc>
      </w:tr>
    </w:tbl>
    <w:p w14:paraId="4422322A" w14:textId="46A7D8A6" w:rsidR="00E979CE" w:rsidRPr="00403482" w:rsidRDefault="00E979CE" w:rsidP="00E979CE">
      <w:pPr>
        <w:spacing w:before="600"/>
        <w:jc w:val="both"/>
        <w:rPr>
          <w:rFonts w:asciiTheme="minorHAnsi" w:hAnsiTheme="minorHAnsi"/>
          <w:szCs w:val="24"/>
        </w:rPr>
      </w:pPr>
      <w:bookmarkStart w:id="8" w:name="dstart"/>
      <w:bookmarkStart w:id="9" w:name="dbreak"/>
      <w:bookmarkEnd w:id="7"/>
      <w:bookmarkEnd w:id="8"/>
      <w:bookmarkEnd w:id="9"/>
      <w:r w:rsidRPr="00403482">
        <w:rPr>
          <w:rFonts w:asciiTheme="minorHAnsi" w:hAnsiTheme="minorHAnsi"/>
          <w:szCs w:val="24"/>
        </w:rPr>
        <w:t xml:space="preserve">I have the honour to transmit to the Member States of the Council a contribution submitted by </w:t>
      </w:r>
      <w:r w:rsidRPr="000E0778">
        <w:rPr>
          <w:rFonts w:asciiTheme="minorHAnsi" w:hAnsiTheme="minorHAnsi"/>
          <w:b/>
          <w:bCs/>
          <w:szCs w:val="24"/>
        </w:rPr>
        <w:t xml:space="preserve">the </w:t>
      </w:r>
      <w:r>
        <w:rPr>
          <w:rFonts w:asciiTheme="minorHAnsi" w:hAnsiTheme="minorHAnsi"/>
          <w:b/>
          <w:bCs/>
          <w:szCs w:val="24"/>
        </w:rPr>
        <w:t>Federative Republic of Brazil</w:t>
      </w:r>
      <w:r>
        <w:rPr>
          <w:rFonts w:asciiTheme="minorHAnsi" w:hAnsiTheme="minorHAnsi"/>
          <w:szCs w:val="24"/>
        </w:rPr>
        <w:t>.</w:t>
      </w:r>
    </w:p>
    <w:p w14:paraId="6EEB4414" w14:textId="77777777" w:rsidR="00E979CE" w:rsidRPr="00403482" w:rsidRDefault="00E979CE" w:rsidP="0001486F">
      <w:pPr>
        <w:spacing w:before="840"/>
        <w:jc w:val="both"/>
        <w:rPr>
          <w:rFonts w:asciiTheme="minorHAnsi" w:hAnsiTheme="minorHAnsi"/>
          <w:szCs w:val="24"/>
        </w:rPr>
      </w:pPr>
    </w:p>
    <w:p w14:paraId="529FB6C4" w14:textId="77777777" w:rsidR="00E979CE" w:rsidRPr="00403482" w:rsidRDefault="00E979CE" w:rsidP="00E979CE">
      <w:pPr>
        <w:tabs>
          <w:tab w:val="clear" w:pos="2268"/>
          <w:tab w:val="clear" w:pos="2835"/>
          <w:tab w:val="center" w:pos="7088"/>
        </w:tabs>
      </w:pPr>
      <w:r w:rsidRPr="00403482">
        <w:tab/>
      </w:r>
      <w:r w:rsidRPr="00403482">
        <w:tab/>
      </w:r>
      <w:r w:rsidRPr="00403482">
        <w:tab/>
      </w:r>
      <w:r w:rsidRPr="00403482">
        <w:tab/>
        <w:t>Houlin ZHAO</w:t>
      </w:r>
      <w:r w:rsidRPr="00403482">
        <w:br/>
      </w:r>
      <w:r w:rsidRPr="00403482">
        <w:tab/>
      </w:r>
      <w:r w:rsidRPr="00403482">
        <w:tab/>
      </w:r>
      <w:r w:rsidRPr="00403482">
        <w:tab/>
      </w:r>
      <w:r w:rsidRPr="00403482">
        <w:tab/>
        <w:t>Secretary-General</w:t>
      </w:r>
    </w:p>
    <w:p w14:paraId="73DE84EE" w14:textId="77777777" w:rsidR="004B3E22" w:rsidRPr="00AC71F5" w:rsidRDefault="004B3E22">
      <w:pPr>
        <w:tabs>
          <w:tab w:val="clear" w:pos="567"/>
          <w:tab w:val="clear" w:pos="1134"/>
          <w:tab w:val="clear" w:pos="1701"/>
          <w:tab w:val="clear" w:pos="2268"/>
          <w:tab w:val="clear" w:pos="2835"/>
        </w:tabs>
        <w:overflowPunct/>
        <w:autoSpaceDE/>
        <w:autoSpaceDN/>
        <w:adjustRightInd/>
        <w:spacing w:before="0"/>
        <w:textAlignment w:val="auto"/>
        <w:rPr>
          <w:lang w:val="en-US"/>
        </w:rPr>
      </w:pPr>
      <w:r w:rsidRPr="00AC71F5">
        <w:rPr>
          <w:lang w:val="en-US"/>
        </w:rPr>
        <w:br w:type="page"/>
      </w:r>
    </w:p>
    <w:p w14:paraId="39A0F9B1" w14:textId="6F97D48A" w:rsidR="00E979CE" w:rsidRDefault="00E979CE" w:rsidP="00E979CE">
      <w:pPr>
        <w:pStyle w:val="Source"/>
        <w:rPr>
          <w:lang w:val="en-US"/>
        </w:rPr>
      </w:pPr>
      <w:r w:rsidRPr="00AC71F5">
        <w:rPr>
          <w:lang w:val="en-US"/>
        </w:rPr>
        <w:t>Brazil (Federative Republic of)</w:t>
      </w:r>
    </w:p>
    <w:p w14:paraId="34E2CF60" w14:textId="3A4C54D2" w:rsidR="00EF5A9E" w:rsidRDefault="00EF5A9E" w:rsidP="004A3D93">
      <w:pPr>
        <w:tabs>
          <w:tab w:val="clear" w:pos="567"/>
          <w:tab w:val="clear" w:pos="1134"/>
          <w:tab w:val="clear" w:pos="1701"/>
          <w:tab w:val="clear" w:pos="2268"/>
          <w:tab w:val="clear" w:pos="2835"/>
        </w:tabs>
        <w:snapToGrid w:val="0"/>
        <w:spacing w:before="360" w:after="120"/>
        <w:rPr>
          <w:caps/>
          <w:sz w:val="28"/>
          <w:lang w:val="en-US"/>
        </w:rPr>
      </w:pPr>
      <w:r w:rsidRPr="00EF5A9E">
        <w:rPr>
          <w:caps/>
          <w:sz w:val="28"/>
          <w:lang w:val="en-US"/>
        </w:rPr>
        <w:t>ENHANCING THE PARTICIPATION OF NON</w:t>
      </w:r>
      <w:r w:rsidR="004D7775">
        <w:rPr>
          <w:caps/>
          <w:sz w:val="28"/>
          <w:lang w:val="en-US"/>
        </w:rPr>
        <w:t>-</w:t>
      </w:r>
      <w:r w:rsidRPr="00EF5A9E">
        <w:rPr>
          <w:caps/>
          <w:sz w:val="28"/>
          <w:lang w:val="en-US"/>
        </w:rPr>
        <w:t xml:space="preserve">STATE MEMBERS IN THE WORK OF ITU </w:t>
      </w:r>
    </w:p>
    <w:p w14:paraId="221CD833" w14:textId="264ED597" w:rsidR="00EF5A9E" w:rsidRDefault="00EF5A9E" w:rsidP="00EF5A9E">
      <w:pPr>
        <w:pStyle w:val="Default"/>
        <w:snapToGrid w:val="0"/>
        <w:spacing w:before="120" w:after="120"/>
      </w:pPr>
      <w:r>
        <w:t xml:space="preserve">Article 1, item </w:t>
      </w:r>
      <w:r w:rsidRPr="00684D03">
        <w:rPr>
          <w:i/>
        </w:rPr>
        <w:t>a</w:t>
      </w:r>
      <w:r>
        <w:rPr>
          <w:i/>
        </w:rPr>
        <w:t xml:space="preserve">) </w:t>
      </w:r>
      <w:proofErr w:type="spellStart"/>
      <w:r w:rsidRPr="00684D03">
        <w:rPr>
          <w:i/>
        </w:rPr>
        <w:t>bis</w:t>
      </w:r>
      <w:proofErr w:type="spellEnd"/>
      <w:r>
        <w:t xml:space="preserve"> of the ITU Constitution defines as one of the core purposes of the Union the promotion and enhancement of the participation of non-state members (i.e., Sector </w:t>
      </w:r>
      <w:r w:rsidR="004D7775">
        <w:t>M</w:t>
      </w:r>
      <w:r>
        <w:t xml:space="preserve">embers, Associates, Academia) in the activities of ITU. Non-state members’ technical, intellectual, and financial contributions to the development of global telecommunication/ICTs and to the ITU are invaluable, thus the ITU should continuously seek to foster and increase their participation. </w:t>
      </w:r>
    </w:p>
    <w:p w14:paraId="379ACE9E" w14:textId="77777777" w:rsidR="00EF5A9E" w:rsidRDefault="00EF5A9E" w:rsidP="00EF5A9E">
      <w:pPr>
        <w:pStyle w:val="Default"/>
        <w:snapToGrid w:val="0"/>
        <w:spacing w:before="120" w:after="120"/>
      </w:pPr>
      <w:r>
        <w:t>This presents a difficult challenge. As a UN agency, the ITU is a Member States-driven organization. States also have the sovereign right to determine public policy. The development of telecommunication/ICTs, however, is driven by research, investment and technical innovation provided by the private sector and academia. These roles are well defined in para. 35 of the Tunis Agenda for the Information Society, and should be reflected in the work of ITU.</w:t>
      </w:r>
    </w:p>
    <w:p w14:paraId="03F62DA7" w14:textId="7820B6F6" w:rsidR="00EF5A9E" w:rsidRDefault="00EF5A9E" w:rsidP="00EF5A9E">
      <w:pPr>
        <w:pStyle w:val="Default"/>
        <w:snapToGrid w:val="0"/>
        <w:spacing w:before="120" w:after="120"/>
      </w:pPr>
      <w:r>
        <w:t>This contribution proposes principles to enhance the participation of non-state members in the work of ITU, and consequently retain current members and attract new members.</w:t>
      </w:r>
    </w:p>
    <w:p w14:paraId="7F2D4C63" w14:textId="77777777" w:rsidR="00EF5A9E" w:rsidRPr="004B5FF1" w:rsidRDefault="00EF5A9E" w:rsidP="00EF5A9E">
      <w:pPr>
        <w:pStyle w:val="Default"/>
        <w:snapToGrid w:val="0"/>
        <w:spacing w:before="120" w:after="120"/>
        <w:rPr>
          <w:b/>
          <w:bCs/>
        </w:rPr>
      </w:pPr>
      <w:r w:rsidRPr="004B5FF1">
        <w:rPr>
          <w:b/>
          <w:bCs/>
        </w:rPr>
        <w:t>Principle #1 – Providing more value for ITU membership</w:t>
      </w:r>
    </w:p>
    <w:p w14:paraId="14D7766C" w14:textId="22C21CE4" w:rsidR="00EF5A9E" w:rsidRPr="004B5FF1" w:rsidRDefault="00EF5A9E" w:rsidP="00EF5A9E">
      <w:pPr>
        <w:pStyle w:val="Default"/>
        <w:snapToGrid w:val="0"/>
        <w:spacing w:before="120" w:after="120"/>
        <w:rPr>
          <w:bCs/>
        </w:rPr>
      </w:pPr>
      <w:r w:rsidRPr="004B5FF1">
        <w:rPr>
          <w:bCs/>
        </w:rPr>
        <w:t>Non</w:t>
      </w:r>
      <w:r>
        <w:rPr>
          <w:bCs/>
        </w:rPr>
        <w:t>-</w:t>
      </w:r>
      <w:r w:rsidRPr="004B5FF1">
        <w:rPr>
          <w:bCs/>
        </w:rPr>
        <w:t>state members should participate in all activities of the ITU, with varying degrees of participation depending on the level of technical discussions taking place. The more technical are the discussions (i.e., Study Groups and their variants); the less restrictions for non</w:t>
      </w:r>
      <w:r>
        <w:rPr>
          <w:bCs/>
        </w:rPr>
        <w:t>-</w:t>
      </w:r>
      <w:r w:rsidRPr="004B5FF1">
        <w:rPr>
          <w:bCs/>
        </w:rPr>
        <w:t>state members’ participation.</w:t>
      </w:r>
    </w:p>
    <w:p w14:paraId="3B728A23" w14:textId="3964CE48" w:rsidR="00EF5A9E" w:rsidRPr="004B5FF1" w:rsidRDefault="00EF5A9E" w:rsidP="00EF5A9E">
      <w:pPr>
        <w:pStyle w:val="Default"/>
        <w:snapToGrid w:val="0"/>
        <w:spacing w:before="120" w:after="120"/>
        <w:rPr>
          <w:bCs/>
        </w:rPr>
      </w:pPr>
      <w:r w:rsidRPr="004B5FF1">
        <w:rPr>
          <w:bCs/>
        </w:rPr>
        <w:t>Taking into account Resolution 54 (</w:t>
      </w:r>
      <w:proofErr w:type="spellStart"/>
      <w:r w:rsidRPr="004B5FF1">
        <w:rPr>
          <w:bCs/>
        </w:rPr>
        <w:t>Hammamet</w:t>
      </w:r>
      <w:proofErr w:type="spellEnd"/>
      <w:r w:rsidRPr="004B5FF1">
        <w:rPr>
          <w:bCs/>
        </w:rPr>
        <w:t xml:space="preserve">, 2016), Sector </w:t>
      </w:r>
      <w:r w:rsidR="004D7775">
        <w:rPr>
          <w:bCs/>
        </w:rPr>
        <w:t>M</w:t>
      </w:r>
      <w:r w:rsidRPr="004B5FF1">
        <w:rPr>
          <w:bCs/>
        </w:rPr>
        <w:t>embers shall be entitled to participate fully in all activities of the sector of which they are members (CS, Art. 4, 3</w:t>
      </w:r>
      <w:r w:rsidRPr="00504F31">
        <w:rPr>
          <w:bCs/>
        </w:rPr>
        <w:t>), including their respective regional ITU-T study groups.</w:t>
      </w:r>
      <w:r w:rsidRPr="004B5FF1">
        <w:rPr>
          <w:bCs/>
        </w:rPr>
        <w:t xml:space="preserve"> Associates shall be permitted to participate in the work of their study group, without taking part in any decision-making or liaison activity of that study group (CV, Art. 20, 7</w:t>
      </w:r>
      <w:r w:rsidRPr="004B5FF1">
        <w:rPr>
          <w:bCs/>
          <w:i/>
        </w:rPr>
        <w:t>ter</w:t>
      </w:r>
      <w:r w:rsidRPr="004B5FF1">
        <w:rPr>
          <w:bCs/>
        </w:rPr>
        <w:t>), and shall be permitted to participate in the regional group. Academia shall be allowed to participate in the works of the three sectors, without any role in decision-making (Res. 169, Busan, 2014), and shall be allowed to participate in regional study groups.</w:t>
      </w:r>
    </w:p>
    <w:p w14:paraId="5379C6BB" w14:textId="71C48EDA" w:rsidR="00EF5A9E" w:rsidRDefault="00EF5A9E" w:rsidP="00EF5A9E">
      <w:pPr>
        <w:pStyle w:val="Default"/>
        <w:snapToGrid w:val="0"/>
        <w:spacing w:before="120" w:after="120"/>
        <w:rPr>
          <w:bCs/>
        </w:rPr>
      </w:pPr>
      <w:r w:rsidRPr="00F31BB6">
        <w:rPr>
          <w:bCs/>
        </w:rPr>
        <w:t>Member States should have the right to determine the modality of participation of non</w:t>
      </w:r>
      <w:r>
        <w:rPr>
          <w:bCs/>
        </w:rPr>
        <w:t>-</w:t>
      </w:r>
      <w:r w:rsidRPr="00F31BB6">
        <w:rPr>
          <w:bCs/>
        </w:rPr>
        <w:t>state members outside of study groups, but should strongly avoid limiting the participation of non</w:t>
      </w:r>
      <w:r>
        <w:rPr>
          <w:bCs/>
        </w:rPr>
        <w:t>-</w:t>
      </w:r>
      <w:r w:rsidRPr="00F31BB6">
        <w:rPr>
          <w:bCs/>
        </w:rPr>
        <w:t xml:space="preserve">state members in the activities of their sectors. </w:t>
      </w:r>
    </w:p>
    <w:p w14:paraId="37384779" w14:textId="24C96B34" w:rsidR="00EF5A9E" w:rsidRPr="004B5FF1" w:rsidRDefault="00EF5A9E" w:rsidP="00EF5A9E">
      <w:pPr>
        <w:pStyle w:val="Default"/>
        <w:snapToGrid w:val="0"/>
        <w:spacing w:before="120" w:after="120"/>
        <w:rPr>
          <w:bCs/>
        </w:rPr>
      </w:pPr>
      <w:r>
        <w:rPr>
          <w:bCs/>
        </w:rPr>
        <w:t xml:space="preserve">The </w:t>
      </w:r>
      <w:r w:rsidRPr="004B5FF1">
        <w:rPr>
          <w:bCs/>
        </w:rPr>
        <w:t>Council should continue studying measures to provide more value to non</w:t>
      </w:r>
      <w:r>
        <w:rPr>
          <w:bCs/>
        </w:rPr>
        <w:t>-</w:t>
      </w:r>
      <w:r w:rsidRPr="004B5FF1">
        <w:rPr>
          <w:bCs/>
        </w:rPr>
        <w:t xml:space="preserve">state members, such as the creation of new categories of membership for non-profit entities and small and medium enterprises (SMEs), and providing financial benefits for members of more than one sector, taking into account potential losses of revenue from these measures. </w:t>
      </w:r>
      <w:r>
        <w:rPr>
          <w:bCs/>
        </w:rPr>
        <w:t xml:space="preserve">The </w:t>
      </w:r>
      <w:r w:rsidRPr="004B5FF1">
        <w:rPr>
          <w:bCs/>
        </w:rPr>
        <w:t xml:space="preserve">Council should also discuss the fees, rights and modalities of participation of regional branches of global corporations as </w:t>
      </w:r>
      <w:r w:rsidR="004D7775">
        <w:rPr>
          <w:bCs/>
        </w:rPr>
        <w:t>S</w:t>
      </w:r>
      <w:r w:rsidRPr="004B5FF1">
        <w:rPr>
          <w:bCs/>
        </w:rPr>
        <w:t xml:space="preserve">ector </w:t>
      </w:r>
      <w:r w:rsidR="004D7775">
        <w:rPr>
          <w:bCs/>
        </w:rPr>
        <w:t>M</w:t>
      </w:r>
      <w:r w:rsidRPr="004B5FF1">
        <w:rPr>
          <w:bCs/>
        </w:rPr>
        <w:t>embers in study groups and regional groups (i.e., should regional branches pay another full fee, a discounted fee, or no fee to participate in regional groups?).</w:t>
      </w:r>
    </w:p>
    <w:p w14:paraId="6BF3AF31" w14:textId="77777777" w:rsidR="00EF5A9E" w:rsidRPr="004B5FF1" w:rsidRDefault="00EF5A9E" w:rsidP="00EF5A9E">
      <w:pPr>
        <w:pStyle w:val="Default"/>
        <w:snapToGrid w:val="0"/>
        <w:spacing w:before="120" w:after="120"/>
      </w:pPr>
      <w:r w:rsidRPr="004B5FF1">
        <w:rPr>
          <w:b/>
          <w:bCs/>
        </w:rPr>
        <w:t>Principle #2 – Fostering participation by avoiding duplication of work</w:t>
      </w:r>
    </w:p>
    <w:p w14:paraId="300E6DDF" w14:textId="5E2281EE" w:rsidR="00EF5A9E" w:rsidRPr="004B5FF1" w:rsidRDefault="00EF5A9E" w:rsidP="00EF5A9E">
      <w:pPr>
        <w:pStyle w:val="Default"/>
        <w:snapToGrid w:val="0"/>
        <w:spacing w:before="120" w:after="120"/>
        <w:rPr>
          <w:bCs/>
        </w:rPr>
      </w:pPr>
      <w:r w:rsidRPr="004B5FF1">
        <w:rPr>
          <w:bCs/>
        </w:rPr>
        <w:t xml:space="preserve">Sector conferences/assemblies and sector advisory groups, when deciding on the structure of the sector and study groups, should take a comprehensive look at the other ITU </w:t>
      </w:r>
      <w:r w:rsidR="004D7775">
        <w:rPr>
          <w:bCs/>
        </w:rPr>
        <w:t>S</w:t>
      </w:r>
      <w:r w:rsidRPr="004B5FF1">
        <w:rPr>
          <w:bCs/>
        </w:rPr>
        <w:t>ectors and other international organizations and avoid duplication of work.</w:t>
      </w:r>
    </w:p>
    <w:p w14:paraId="0E53C0B3" w14:textId="21EBF428" w:rsidR="00EF5A9E" w:rsidRPr="004B5FF1" w:rsidRDefault="00EF5A9E" w:rsidP="00EF5A9E">
      <w:pPr>
        <w:pStyle w:val="Default"/>
        <w:snapToGrid w:val="0"/>
        <w:spacing w:before="120" w:after="120"/>
        <w:rPr>
          <w:bCs/>
        </w:rPr>
      </w:pPr>
      <w:r w:rsidRPr="004B5FF1">
        <w:rPr>
          <w:bCs/>
        </w:rPr>
        <w:t>As an example, regional ITU-T study groups (RSGs) present a high potential for duplication of work. While we should be mindful of the objectives of Resolution 54 (Hammamet, 2016) and Resolution</w:t>
      </w:r>
      <w:r>
        <w:rPr>
          <w:bCs/>
        </w:rPr>
        <w:t> </w:t>
      </w:r>
      <w:r w:rsidRPr="004B5FF1">
        <w:rPr>
          <w:bCs/>
        </w:rPr>
        <w:t>123 (Busan, 2014) to increase the participation of developing countries in the work of ITU, we also need to consider that the creation of RSGs may in fact have a reverse effect. More RSG meetings to attend demand more budget, which may discourage all members, but particularly developing countries and non</w:t>
      </w:r>
      <w:r>
        <w:rPr>
          <w:bCs/>
        </w:rPr>
        <w:t>-</w:t>
      </w:r>
      <w:r w:rsidRPr="004B5FF1">
        <w:rPr>
          <w:bCs/>
        </w:rPr>
        <w:t xml:space="preserve">state members, </w:t>
      </w:r>
      <w:r w:rsidRPr="008E4203">
        <w:rPr>
          <w:bCs/>
        </w:rPr>
        <w:t>from participating in the regional organizations’ meetings and in the main study groups’ meetings. Furthermore, decisions in a RSG still need to be discussed and approved at the main study group.</w:t>
      </w:r>
    </w:p>
    <w:p w14:paraId="291B68F8" w14:textId="4FFCF6F4" w:rsidR="00EF5A9E" w:rsidRPr="004B5FF1" w:rsidRDefault="00EF5A9E" w:rsidP="00EF5A9E">
      <w:pPr>
        <w:pStyle w:val="Default"/>
        <w:snapToGrid w:val="0"/>
        <w:spacing w:before="120" w:after="120"/>
        <w:rPr>
          <w:bCs/>
        </w:rPr>
      </w:pPr>
      <w:r w:rsidRPr="004B5FF1">
        <w:rPr>
          <w:bCs/>
        </w:rPr>
        <w:t xml:space="preserve">Document </w:t>
      </w:r>
      <w:hyperlink r:id="rId14" w:history="1">
        <w:r w:rsidRPr="00EF5A9E">
          <w:rPr>
            <w:rStyle w:val="Hyperlink"/>
            <w:bCs/>
          </w:rPr>
          <w:t>C17/72</w:t>
        </w:r>
      </w:hyperlink>
      <w:r w:rsidRPr="004B5FF1">
        <w:rPr>
          <w:bCs/>
        </w:rPr>
        <w:t xml:space="preserve"> provides an overview of regional groups and informs that there are currently 23</w:t>
      </w:r>
      <w:r>
        <w:rPr>
          <w:bCs/>
        </w:rPr>
        <w:t> </w:t>
      </w:r>
      <w:r w:rsidRPr="004B5FF1">
        <w:rPr>
          <w:bCs/>
        </w:rPr>
        <w:t xml:space="preserve">regional groups in ITU-T. Brazil does not oppose the creation of regional groups; however, Brazil is concerned with the effects </w:t>
      </w:r>
      <w:r w:rsidRPr="00504F31">
        <w:rPr>
          <w:bCs/>
        </w:rPr>
        <w:t>of some regional</w:t>
      </w:r>
      <w:r w:rsidRPr="004B5FF1">
        <w:rPr>
          <w:bCs/>
        </w:rPr>
        <w:t xml:space="preserve"> groups in the</w:t>
      </w:r>
      <w:r>
        <w:rPr>
          <w:bCs/>
        </w:rPr>
        <w:t xml:space="preserve"> efficiency of the</w:t>
      </w:r>
      <w:r w:rsidRPr="004B5FF1">
        <w:rPr>
          <w:bCs/>
        </w:rPr>
        <w:t xml:space="preserve"> technical work at main SGs and regional organizations, and the budgetary effects on ITU members and on the ITU itself. Avoiding unnecessary duplication and overlap of work is essential to increase the efficiency and inclusiveness of the work of ITU and to minimize the costs of participation in, and organization of, meetings.</w:t>
      </w:r>
    </w:p>
    <w:p w14:paraId="02E0E416" w14:textId="5446DF09" w:rsidR="00EF5A9E" w:rsidRPr="004B5FF1" w:rsidRDefault="00EF5A9E" w:rsidP="00EF5A9E">
      <w:pPr>
        <w:pStyle w:val="Default"/>
        <w:snapToGrid w:val="0"/>
        <w:spacing w:before="120" w:after="120"/>
        <w:rPr>
          <w:b/>
          <w:bCs/>
        </w:rPr>
      </w:pPr>
      <w:r w:rsidRPr="004B5FF1">
        <w:rPr>
          <w:b/>
          <w:bCs/>
        </w:rPr>
        <w:t>Principle #3 – Respecting non</w:t>
      </w:r>
      <w:r>
        <w:rPr>
          <w:b/>
          <w:bCs/>
        </w:rPr>
        <w:t>-</w:t>
      </w:r>
      <w:r w:rsidRPr="004B5FF1">
        <w:rPr>
          <w:b/>
          <w:bCs/>
        </w:rPr>
        <w:t>state members’ competencies, expertise and inputs</w:t>
      </w:r>
    </w:p>
    <w:p w14:paraId="3778AB37" w14:textId="77777777" w:rsidR="00EF5A9E" w:rsidRPr="004B5FF1" w:rsidRDefault="00EF5A9E" w:rsidP="00EF5A9E">
      <w:pPr>
        <w:pStyle w:val="Default"/>
        <w:snapToGrid w:val="0"/>
        <w:spacing w:before="120" w:after="120"/>
      </w:pPr>
      <w:r w:rsidRPr="004B5FF1">
        <w:t>Some Sector Members have expressed a perception that their expertise, information and data provided, particularly in ITU-T study groups, are often discounted without discussion, leading to decision-making based on geopolitical reasons rather than on empirical evidence and technical expertise. Such a situation discourages industry participation and membership, and weakens the robustness and legitimacy of ITU Recommendations. Considering that most ITU Recommendations are technical standards to be adopted by the industry; technical robustness and legitimacy are crucial elements in their elaboration and approval.</w:t>
      </w:r>
    </w:p>
    <w:p w14:paraId="4CA1276C" w14:textId="77777777" w:rsidR="00EF5A9E" w:rsidRPr="004B5FF1" w:rsidRDefault="00EF5A9E" w:rsidP="00EF5A9E">
      <w:pPr>
        <w:pStyle w:val="Default"/>
        <w:snapToGrid w:val="0"/>
        <w:spacing w:before="120" w:after="120"/>
      </w:pPr>
      <w:r w:rsidRPr="004B5FF1">
        <w:t>Study group and working party chairs should treat Sector Member and Member State inputs equitably, recognizing the value that both the private sector and the public sector bring to the discussions. Multi-stakeholder collaboration is key for the development of ICTs and policy, and Member States should always be mindful of the role of the private sector and academia in the economic and technical development of ICTs. Their contributions should always be encouraged and valued.</w:t>
      </w:r>
    </w:p>
    <w:p w14:paraId="02446311" w14:textId="0B9A6EF6" w:rsidR="00EF5A9E" w:rsidRPr="00331D9C" w:rsidRDefault="00EF5A9E" w:rsidP="00EF5A9E">
      <w:pPr>
        <w:pStyle w:val="Default"/>
        <w:snapToGrid w:val="0"/>
        <w:spacing w:before="120" w:after="120"/>
      </w:pPr>
      <w:r w:rsidRPr="004B5FF1">
        <w:rPr>
          <w:bCs/>
        </w:rPr>
        <w:t>Furthermore, t</w:t>
      </w:r>
      <w:r w:rsidRPr="004B5FF1">
        <w:t>here should be complete adherence to documented ITU processes and procedures, particularly in relation to document introduction, consensus determination, pre-determined outcomes and accurate meeting reporting, and especially in Study Groups. This would foster a more collegial and collaborative environment and strengthen relations</w:t>
      </w:r>
      <w:r w:rsidR="00C87E73">
        <w:t>hips and trust between the ITU s</w:t>
      </w:r>
      <w:r w:rsidRPr="004B5FF1">
        <w:t>ecretariat, as a neutral party, Member States and Sector Members.</w:t>
      </w:r>
    </w:p>
    <w:p w14:paraId="6F517D9D" w14:textId="3A88DC7A" w:rsidR="00E979CE" w:rsidRPr="00E979CE" w:rsidRDefault="004A3D93" w:rsidP="004A3D93">
      <w:pPr>
        <w:tabs>
          <w:tab w:val="clear" w:pos="567"/>
          <w:tab w:val="clear" w:pos="1134"/>
          <w:tab w:val="clear" w:pos="1701"/>
          <w:tab w:val="clear" w:pos="2268"/>
          <w:tab w:val="clear" w:pos="2835"/>
        </w:tabs>
        <w:snapToGrid w:val="0"/>
        <w:spacing w:before="840"/>
        <w:jc w:val="center"/>
        <w:rPr>
          <w:u w:val="single"/>
          <w:lang w:val="en-US"/>
        </w:rPr>
      </w:pPr>
      <w:r>
        <w:rPr>
          <w:szCs w:val="24"/>
          <w:lang w:val="en-US"/>
        </w:rPr>
        <w:t>_______________</w:t>
      </w:r>
    </w:p>
    <w:sectPr w:rsidR="00E979CE" w:rsidRPr="00E979CE" w:rsidSect="00D83B08">
      <w:pgSz w:w="11907" w:h="16834"/>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5204BA" w14:textId="77777777" w:rsidR="006A7C68" w:rsidRDefault="006A7C68">
      <w:r>
        <w:separator/>
      </w:r>
    </w:p>
  </w:endnote>
  <w:endnote w:type="continuationSeparator" w:id="0">
    <w:p w14:paraId="1DF29610" w14:textId="77777777" w:rsidR="006A7C68" w:rsidRDefault="006A7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4439D" w14:textId="77777777" w:rsidR="006A7C68" w:rsidRDefault="006A7C68">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6B9194" w14:textId="77777777" w:rsidR="006A7C68" w:rsidRDefault="006A7C68">
      <w:r>
        <w:t>____________________</w:t>
      </w:r>
    </w:p>
  </w:footnote>
  <w:footnote w:type="continuationSeparator" w:id="0">
    <w:p w14:paraId="79A6A6D0" w14:textId="77777777" w:rsidR="006A7C68" w:rsidRDefault="006A7C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14318" w14:textId="77777777" w:rsidR="006A7C68" w:rsidRDefault="006A7C68" w:rsidP="00CE433C">
    <w:pPr>
      <w:pStyle w:val="Header"/>
    </w:pPr>
    <w:r>
      <w:fldChar w:fldCharType="begin"/>
    </w:r>
    <w:r>
      <w:instrText>PAGE</w:instrText>
    </w:r>
    <w:r>
      <w:fldChar w:fldCharType="separate"/>
    </w:r>
    <w:r w:rsidR="009713A2">
      <w:rPr>
        <w:noProof/>
      </w:rPr>
      <w:t>3</w:t>
    </w:r>
    <w:r>
      <w:rPr>
        <w:noProof/>
      </w:rPr>
      <w:fldChar w:fldCharType="end"/>
    </w:r>
  </w:p>
  <w:p w14:paraId="6687CA9B" w14:textId="3DEA7BE4" w:rsidR="006A7C68" w:rsidRDefault="006A7C68" w:rsidP="00E979CE">
    <w:pPr>
      <w:pStyle w:val="Header"/>
    </w:pPr>
    <w:r>
      <w:t>C17/</w:t>
    </w:r>
    <w:r w:rsidR="00EF5A9E">
      <w:t>97</w:t>
    </w:r>
    <w: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FDCFD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CE4E11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D863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261A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CFE842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DC18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2B093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82A0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74BE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5CA9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141B2A"/>
    <w:multiLevelType w:val="hybridMultilevel"/>
    <w:tmpl w:val="8A7AFE3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119E1A97"/>
    <w:multiLevelType w:val="hybridMultilevel"/>
    <w:tmpl w:val="8444861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EC429B"/>
    <w:multiLevelType w:val="hybridMultilevel"/>
    <w:tmpl w:val="EA92A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92043D"/>
    <w:multiLevelType w:val="hybridMultilevel"/>
    <w:tmpl w:val="76088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7A58D1"/>
    <w:multiLevelType w:val="multilevel"/>
    <w:tmpl w:val="1C94C2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4"/>
  </w:num>
  <w:num w:numId="3">
    <w:abstractNumId w:val="13"/>
  </w:num>
  <w:num w:numId="4">
    <w:abstractNumId w:val="12"/>
  </w:num>
  <w:num w:numId="5">
    <w:abstractNumId w:val="11"/>
  </w:num>
  <w:num w:numId="6">
    <w:abstractNumId w:val="10"/>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E22"/>
    <w:rsid w:val="0001486F"/>
    <w:rsid w:val="000210D4"/>
    <w:rsid w:val="0004009A"/>
    <w:rsid w:val="000615F4"/>
    <w:rsid w:val="00063016"/>
    <w:rsid w:val="00066795"/>
    <w:rsid w:val="00076AF6"/>
    <w:rsid w:val="00085A19"/>
    <w:rsid w:val="00085CF2"/>
    <w:rsid w:val="000B1705"/>
    <w:rsid w:val="000C39A2"/>
    <w:rsid w:val="000D75B2"/>
    <w:rsid w:val="000E4C86"/>
    <w:rsid w:val="001121F5"/>
    <w:rsid w:val="0011431B"/>
    <w:rsid w:val="001400DC"/>
    <w:rsid w:val="00140CE1"/>
    <w:rsid w:val="001522C2"/>
    <w:rsid w:val="00152925"/>
    <w:rsid w:val="0017539C"/>
    <w:rsid w:val="001758B2"/>
    <w:rsid w:val="00175AC2"/>
    <w:rsid w:val="0017609F"/>
    <w:rsid w:val="00195F93"/>
    <w:rsid w:val="001A63D0"/>
    <w:rsid w:val="001C1650"/>
    <w:rsid w:val="001C3670"/>
    <w:rsid w:val="001C628E"/>
    <w:rsid w:val="001E0F7B"/>
    <w:rsid w:val="001F37B2"/>
    <w:rsid w:val="002119FD"/>
    <w:rsid w:val="0021230E"/>
    <w:rsid w:val="002130E0"/>
    <w:rsid w:val="00215361"/>
    <w:rsid w:val="002538F9"/>
    <w:rsid w:val="00260DA9"/>
    <w:rsid w:val="00264425"/>
    <w:rsid w:val="00265875"/>
    <w:rsid w:val="0027303B"/>
    <w:rsid w:val="0028109B"/>
    <w:rsid w:val="00285BE7"/>
    <w:rsid w:val="002B050D"/>
    <w:rsid w:val="002B1F58"/>
    <w:rsid w:val="002C1C7A"/>
    <w:rsid w:val="002E6170"/>
    <w:rsid w:val="0030160F"/>
    <w:rsid w:val="00322D0D"/>
    <w:rsid w:val="00362578"/>
    <w:rsid w:val="00374AA6"/>
    <w:rsid w:val="003942D4"/>
    <w:rsid w:val="003958A8"/>
    <w:rsid w:val="00396273"/>
    <w:rsid w:val="00396A7E"/>
    <w:rsid w:val="003C2533"/>
    <w:rsid w:val="003E2A9C"/>
    <w:rsid w:val="0040435A"/>
    <w:rsid w:val="00413E43"/>
    <w:rsid w:val="00416A24"/>
    <w:rsid w:val="00431D9E"/>
    <w:rsid w:val="00433CE8"/>
    <w:rsid w:val="00434A5C"/>
    <w:rsid w:val="004517DD"/>
    <w:rsid w:val="004544D9"/>
    <w:rsid w:val="00455FC5"/>
    <w:rsid w:val="00490E72"/>
    <w:rsid w:val="00491157"/>
    <w:rsid w:val="004921C8"/>
    <w:rsid w:val="004A196C"/>
    <w:rsid w:val="004A3D93"/>
    <w:rsid w:val="004B3E22"/>
    <w:rsid w:val="004D1851"/>
    <w:rsid w:val="004D599D"/>
    <w:rsid w:val="004D7775"/>
    <w:rsid w:val="004E2EA5"/>
    <w:rsid w:val="004E3AEB"/>
    <w:rsid w:val="004F30C1"/>
    <w:rsid w:val="004F6E03"/>
    <w:rsid w:val="0050223C"/>
    <w:rsid w:val="0050398E"/>
    <w:rsid w:val="005140D2"/>
    <w:rsid w:val="005218CA"/>
    <w:rsid w:val="005243FF"/>
    <w:rsid w:val="005277D9"/>
    <w:rsid w:val="00564FBC"/>
    <w:rsid w:val="00573284"/>
    <w:rsid w:val="00575785"/>
    <w:rsid w:val="00581EB8"/>
    <w:rsid w:val="00582442"/>
    <w:rsid w:val="005A44C9"/>
    <w:rsid w:val="005B1AD8"/>
    <w:rsid w:val="005B4395"/>
    <w:rsid w:val="005D47A1"/>
    <w:rsid w:val="00613834"/>
    <w:rsid w:val="00623B92"/>
    <w:rsid w:val="0064737F"/>
    <w:rsid w:val="006535F1"/>
    <w:rsid w:val="0065557D"/>
    <w:rsid w:val="00662984"/>
    <w:rsid w:val="00667123"/>
    <w:rsid w:val="006716BB"/>
    <w:rsid w:val="0068542D"/>
    <w:rsid w:val="006A7C68"/>
    <w:rsid w:val="006B6680"/>
    <w:rsid w:val="006B6DCC"/>
    <w:rsid w:val="006C6C2E"/>
    <w:rsid w:val="006E0B5A"/>
    <w:rsid w:val="006F4832"/>
    <w:rsid w:val="00700912"/>
    <w:rsid w:val="00702DEF"/>
    <w:rsid w:val="00706861"/>
    <w:rsid w:val="0075051B"/>
    <w:rsid w:val="00794D34"/>
    <w:rsid w:val="007B128A"/>
    <w:rsid w:val="007B3942"/>
    <w:rsid w:val="007E026A"/>
    <w:rsid w:val="007F09A7"/>
    <w:rsid w:val="007F3184"/>
    <w:rsid w:val="00813E5E"/>
    <w:rsid w:val="00821688"/>
    <w:rsid w:val="0083581B"/>
    <w:rsid w:val="00835844"/>
    <w:rsid w:val="0083790F"/>
    <w:rsid w:val="00861C93"/>
    <w:rsid w:val="00864AFF"/>
    <w:rsid w:val="00870601"/>
    <w:rsid w:val="00881396"/>
    <w:rsid w:val="008B4A6A"/>
    <w:rsid w:val="008B4FA3"/>
    <w:rsid w:val="008C7E27"/>
    <w:rsid w:val="009173EF"/>
    <w:rsid w:val="00920D7E"/>
    <w:rsid w:val="00925386"/>
    <w:rsid w:val="00932906"/>
    <w:rsid w:val="00953419"/>
    <w:rsid w:val="00961B0B"/>
    <w:rsid w:val="009713A2"/>
    <w:rsid w:val="0098730C"/>
    <w:rsid w:val="009A752C"/>
    <w:rsid w:val="009B38C3"/>
    <w:rsid w:val="009E17BD"/>
    <w:rsid w:val="00A02FFF"/>
    <w:rsid w:val="00A04CEC"/>
    <w:rsid w:val="00A105C3"/>
    <w:rsid w:val="00A20B2F"/>
    <w:rsid w:val="00A27F92"/>
    <w:rsid w:val="00A32257"/>
    <w:rsid w:val="00A36D20"/>
    <w:rsid w:val="00A5119E"/>
    <w:rsid w:val="00A55622"/>
    <w:rsid w:val="00A55D6D"/>
    <w:rsid w:val="00A76384"/>
    <w:rsid w:val="00A83502"/>
    <w:rsid w:val="00A84165"/>
    <w:rsid w:val="00A90C8D"/>
    <w:rsid w:val="00A96B11"/>
    <w:rsid w:val="00AB15DB"/>
    <w:rsid w:val="00AC71F5"/>
    <w:rsid w:val="00AD15B3"/>
    <w:rsid w:val="00AD3AEF"/>
    <w:rsid w:val="00AF1D60"/>
    <w:rsid w:val="00AF6E49"/>
    <w:rsid w:val="00B017B6"/>
    <w:rsid w:val="00B04A67"/>
    <w:rsid w:val="00B0583C"/>
    <w:rsid w:val="00B13059"/>
    <w:rsid w:val="00B141B5"/>
    <w:rsid w:val="00B40A81"/>
    <w:rsid w:val="00B44910"/>
    <w:rsid w:val="00B72267"/>
    <w:rsid w:val="00B76EB6"/>
    <w:rsid w:val="00B7737B"/>
    <w:rsid w:val="00B824C8"/>
    <w:rsid w:val="00BB0D7E"/>
    <w:rsid w:val="00BB6F50"/>
    <w:rsid w:val="00BC251A"/>
    <w:rsid w:val="00BC6BF4"/>
    <w:rsid w:val="00BD032B"/>
    <w:rsid w:val="00BE2640"/>
    <w:rsid w:val="00BE7359"/>
    <w:rsid w:val="00C01189"/>
    <w:rsid w:val="00C374DE"/>
    <w:rsid w:val="00C47AD4"/>
    <w:rsid w:val="00C52D81"/>
    <w:rsid w:val="00C53ABC"/>
    <w:rsid w:val="00C55198"/>
    <w:rsid w:val="00C66F08"/>
    <w:rsid w:val="00C74916"/>
    <w:rsid w:val="00C81750"/>
    <w:rsid w:val="00C840E7"/>
    <w:rsid w:val="00C87E73"/>
    <w:rsid w:val="00CA0C52"/>
    <w:rsid w:val="00CA6393"/>
    <w:rsid w:val="00CB161A"/>
    <w:rsid w:val="00CB18FF"/>
    <w:rsid w:val="00CD0C08"/>
    <w:rsid w:val="00CE03FB"/>
    <w:rsid w:val="00CE0C99"/>
    <w:rsid w:val="00CE433C"/>
    <w:rsid w:val="00CF33F3"/>
    <w:rsid w:val="00D06183"/>
    <w:rsid w:val="00D14568"/>
    <w:rsid w:val="00D22C42"/>
    <w:rsid w:val="00D5763E"/>
    <w:rsid w:val="00D65041"/>
    <w:rsid w:val="00D714E3"/>
    <w:rsid w:val="00D83B08"/>
    <w:rsid w:val="00DB384B"/>
    <w:rsid w:val="00DB56FF"/>
    <w:rsid w:val="00DC600D"/>
    <w:rsid w:val="00E10E80"/>
    <w:rsid w:val="00E1200D"/>
    <w:rsid w:val="00E124F0"/>
    <w:rsid w:val="00E131EC"/>
    <w:rsid w:val="00E4039E"/>
    <w:rsid w:val="00E60F04"/>
    <w:rsid w:val="00E6273D"/>
    <w:rsid w:val="00E660E1"/>
    <w:rsid w:val="00E854E4"/>
    <w:rsid w:val="00E87105"/>
    <w:rsid w:val="00E940D1"/>
    <w:rsid w:val="00E979CE"/>
    <w:rsid w:val="00EB0D6F"/>
    <w:rsid w:val="00EB2232"/>
    <w:rsid w:val="00EC5337"/>
    <w:rsid w:val="00EF2D05"/>
    <w:rsid w:val="00EF5A9E"/>
    <w:rsid w:val="00F2150A"/>
    <w:rsid w:val="00F231D8"/>
    <w:rsid w:val="00F37667"/>
    <w:rsid w:val="00F46C5F"/>
    <w:rsid w:val="00F94A63"/>
    <w:rsid w:val="00F969CD"/>
    <w:rsid w:val="00FA1C28"/>
    <w:rsid w:val="00FB2D69"/>
    <w:rsid w:val="00FB7596"/>
    <w:rsid w:val="00FD0D83"/>
    <w:rsid w:val="00FE4077"/>
    <w:rsid w:val="00FE77D2"/>
    <w:rsid w:val="00FF6EA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5225126F"/>
  <w15:docId w15:val="{DCEC7FF6-5DD7-49C8-8238-2B3A93279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1">
    <w:name w:val="Data1"/>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4B3E22"/>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customStyle="1" w:styleId="tabelatextoalinhadoesquerda">
    <w:name w:val="tabela_texto_alinhado_esquerda"/>
    <w:basedOn w:val="Normal"/>
    <w:rsid w:val="00B13059"/>
    <w:pPr>
      <w:tabs>
        <w:tab w:val="clear" w:pos="567"/>
        <w:tab w:val="clear" w:pos="1134"/>
        <w:tab w:val="clear" w:pos="1701"/>
        <w:tab w:val="clear" w:pos="2268"/>
        <w:tab w:val="clear" w:pos="2835"/>
      </w:tabs>
      <w:overflowPunct/>
      <w:autoSpaceDE/>
      <w:autoSpaceDN/>
      <w:adjustRightInd/>
      <w:spacing w:before="0"/>
      <w:ind w:left="60" w:right="60"/>
      <w:textAlignment w:val="auto"/>
    </w:pPr>
    <w:rPr>
      <w:sz w:val="22"/>
      <w:szCs w:val="22"/>
      <w:lang w:val="en-US"/>
    </w:rPr>
  </w:style>
  <w:style w:type="paragraph" w:customStyle="1" w:styleId="textoalinhadoesquerda">
    <w:name w:val="texto_alinhado_esquerda"/>
    <w:basedOn w:val="Normal"/>
    <w:rsid w:val="00B13059"/>
    <w:pPr>
      <w:tabs>
        <w:tab w:val="clear" w:pos="567"/>
        <w:tab w:val="clear" w:pos="1134"/>
        <w:tab w:val="clear" w:pos="1701"/>
        <w:tab w:val="clear" w:pos="2268"/>
        <w:tab w:val="clear" w:pos="2835"/>
      </w:tabs>
      <w:overflowPunct/>
      <w:autoSpaceDE/>
      <w:autoSpaceDN/>
      <w:adjustRightInd/>
      <w:spacing w:after="120"/>
      <w:ind w:left="120" w:right="120"/>
      <w:textAlignment w:val="auto"/>
    </w:pPr>
    <w:rPr>
      <w:szCs w:val="24"/>
      <w:lang w:val="en-US"/>
    </w:rPr>
  </w:style>
  <w:style w:type="paragraph" w:styleId="ListParagraph">
    <w:name w:val="List Paragraph"/>
    <w:basedOn w:val="Normal"/>
    <w:uiPriority w:val="34"/>
    <w:qFormat/>
    <w:rsid w:val="00AC71F5"/>
    <w:pPr>
      <w:ind w:left="720"/>
      <w:contextualSpacing/>
    </w:pPr>
  </w:style>
  <w:style w:type="paragraph" w:customStyle="1" w:styleId="Default">
    <w:name w:val="Default"/>
    <w:rsid w:val="00EF5A9E"/>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75980">
      <w:bodyDiv w:val="1"/>
      <w:marLeft w:val="0"/>
      <w:marRight w:val="0"/>
      <w:marTop w:val="0"/>
      <w:marBottom w:val="0"/>
      <w:divBdr>
        <w:top w:val="none" w:sz="0" w:space="0" w:color="auto"/>
        <w:left w:val="none" w:sz="0" w:space="0" w:color="auto"/>
        <w:bottom w:val="none" w:sz="0" w:space="0" w:color="auto"/>
        <w:right w:val="none" w:sz="0" w:space="0" w:color="auto"/>
      </w:divBdr>
    </w:div>
    <w:div w:id="189577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17-CL-C-0072/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6CA1940285FA4B8968D10C90C562AB" ma:contentTypeVersion="1" ma:contentTypeDescription="Create a new document." ma:contentTypeScope="" ma:versionID="491f71dc82a58c31975a971577459c3d">
  <xsd:schema xmlns:xsd="http://www.w3.org/2001/XMLSchema" xmlns:xs="http://www.w3.org/2001/XMLSchema" xmlns:p="http://schemas.microsoft.com/office/2006/metadata/properties" xmlns:ns1="http://schemas.microsoft.com/sharepoint/v3" targetNamespace="http://schemas.microsoft.com/office/2006/metadata/properties" ma:root="true" ma:fieldsID="60f628a522287dae6cffdf536492cfa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0DB76-9628-414A-8830-38871FC9F9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A0585B-6961-412F-8732-C10668526D3E}">
  <ds:schemaRefs>
    <ds:schemaRef ds:uri="http://schemas.microsoft.com/sharepoint/v3/contenttype/forms"/>
  </ds:schemaRefs>
</ds:datastoreItem>
</file>

<file path=customXml/itemProps3.xml><?xml version="1.0" encoding="utf-8"?>
<ds:datastoreItem xmlns:ds="http://schemas.openxmlformats.org/officeDocument/2006/customXml" ds:itemID="{4BDD1CE8-DD43-4266-B5D3-0E936B56F130}">
  <ds:schemaRefs>
    <ds:schemaRef ds:uri="http://schemas.microsoft.com/office/infopath/2007/PartnerControls"/>
    <ds:schemaRef ds:uri="http://purl.org/dc/terms/"/>
    <ds:schemaRef ds:uri="http://schemas.openxmlformats.org/package/2006/metadata/core-properties"/>
    <ds:schemaRef ds:uri="http://purl.org/dc/elements/1.1/"/>
    <ds:schemaRef ds:uri="http://www.w3.org/XML/1998/namespace"/>
    <ds:schemaRef ds:uri="http://schemas.microsoft.com/office/2006/metadata/properties"/>
    <ds:schemaRef ds:uri="http://schemas.microsoft.com/office/2006/documentManagement/types"/>
    <ds:schemaRef ds:uri="http://purl.org/dc/dcmitype/"/>
    <ds:schemaRef ds:uri="http://schemas.microsoft.com/sharepoint/v3"/>
  </ds:schemaRefs>
</ds:datastoreItem>
</file>

<file path=customXml/itemProps4.xml><?xml version="1.0" encoding="utf-8"?>
<ds:datastoreItem xmlns:ds="http://schemas.openxmlformats.org/officeDocument/2006/customXml" ds:itemID="{354687F3-5DDA-4831-99D1-0C6D6D887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1104</Words>
  <Characters>6372</Characters>
  <Application>Microsoft Office Word</Application>
  <DocSecurity>0</DocSecurity>
  <Lines>53</Lines>
  <Paragraphs>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Review of the International Telecommunication Regulations</vt:lpstr>
      <vt:lpstr/>
    </vt:vector>
  </TitlesOfParts>
  <Manager>General Secretariat - Pool</Manager>
  <Company>International Telecommunication Union (ITU)</Company>
  <LinksUpToDate>false</LinksUpToDate>
  <CharactersWithSpaces>7462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Enhancing the participation of non-state members in the work of ITU</dc:title>
  <dc:subject>Council 2017</dc:subject>
  <dc:creator>Brouard, Ricarda</dc:creator>
  <cp:keywords>C2017, C17</cp:keywords>
  <cp:lastModifiedBy>Fabry-Fredriksen, Marianne</cp:lastModifiedBy>
  <cp:revision>18</cp:revision>
  <cp:lastPrinted>2000-07-18T13:30:00Z</cp:lastPrinted>
  <dcterms:created xsi:type="dcterms:W3CDTF">2017-05-01T09:38:00Z</dcterms:created>
  <dcterms:modified xsi:type="dcterms:W3CDTF">2017-12-04T08:45:00Z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0x0101000C6CA1940285FA4B8968D10C90C562AB</vt:lpwstr>
  </property>
</Properties>
</file>