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F67992" w:rsidRPr="0020628E" w:rsidTr="00956AF2">
        <w:trPr>
          <w:cantSplit/>
        </w:trPr>
        <w:tc>
          <w:tcPr>
            <w:tcW w:w="6629" w:type="dxa"/>
          </w:tcPr>
          <w:p w:rsidR="00F67992" w:rsidRPr="00E544AC" w:rsidRDefault="00F67992" w:rsidP="003C289E">
            <w:pPr>
              <w:spacing w:before="360" w:after="48"/>
              <w:rPr>
                <w:rFonts w:asciiTheme="minorHAnsi" w:hAnsiTheme="minorHAnsi"/>
                <w:b/>
                <w:position w:val="6"/>
                <w:sz w:val="26"/>
                <w:szCs w:val="26"/>
              </w:rPr>
            </w:pPr>
            <w:bookmarkStart w:id="0" w:name="dc06"/>
            <w:bookmarkEnd w:id="0"/>
            <w:r w:rsidRPr="003C289E">
              <w:rPr>
                <w:rFonts w:asciiTheme="minorHAnsi" w:hAnsiTheme="minorHAnsi"/>
                <w:b/>
                <w:position w:val="6"/>
                <w:sz w:val="30"/>
                <w:szCs w:val="30"/>
                <w:lang w:val="en-US"/>
              </w:rPr>
              <w:t>C</w:t>
            </w:r>
            <w:r w:rsidR="003C289E">
              <w:rPr>
                <w:rFonts w:asciiTheme="minorHAnsi" w:hAnsiTheme="minorHAnsi"/>
                <w:b/>
                <w:position w:val="6"/>
                <w:sz w:val="30"/>
                <w:szCs w:val="30"/>
                <w:lang w:val="en-US"/>
              </w:rPr>
              <w:t>ouncil Working Group on</w:t>
            </w:r>
            <w:r w:rsidRPr="003C289E">
              <w:rPr>
                <w:rFonts w:asciiTheme="minorHAnsi" w:hAnsiTheme="minorHAnsi"/>
                <w:b/>
                <w:position w:val="6"/>
                <w:sz w:val="30"/>
                <w:szCs w:val="30"/>
                <w:lang w:val="en-US"/>
              </w:rPr>
              <w:br/>
              <w:t>F</w:t>
            </w:r>
            <w:r w:rsidR="003C289E">
              <w:rPr>
                <w:rFonts w:asciiTheme="minorHAnsi" w:hAnsiTheme="minorHAnsi"/>
                <w:b/>
                <w:position w:val="6"/>
                <w:sz w:val="30"/>
                <w:szCs w:val="30"/>
                <w:lang w:val="en-US"/>
              </w:rPr>
              <w:t>inancial and Human Resources</w:t>
            </w:r>
            <w:r w:rsidRPr="00FF6A76">
              <w:rPr>
                <w:rFonts w:asciiTheme="minorHAnsi" w:hAnsiTheme="minorHAnsi"/>
                <w:b/>
                <w:position w:val="6"/>
                <w:sz w:val="26"/>
                <w:szCs w:val="26"/>
                <w:lang w:val="en-US"/>
              </w:rPr>
              <w:br/>
            </w:r>
            <w:r w:rsidR="00ED223D" w:rsidRPr="003C289E">
              <w:rPr>
                <w:rFonts w:asciiTheme="minorHAnsi" w:hAnsiTheme="minorHAnsi" w:cs="Times New Roman Bold"/>
                <w:b/>
              </w:rPr>
              <w:t>Eighth</w:t>
            </w:r>
            <w:r w:rsidRPr="003C289E">
              <w:rPr>
                <w:rFonts w:asciiTheme="minorHAnsi" w:hAnsiTheme="minorHAnsi" w:cs="Times New Roman Bold"/>
                <w:b/>
              </w:rPr>
              <w:t xml:space="preserve"> meeting, Geneva, </w:t>
            </w:r>
            <w:r w:rsidR="004319DE" w:rsidRPr="003C289E">
              <w:rPr>
                <w:rFonts w:asciiTheme="minorHAnsi" w:hAnsiTheme="minorHAnsi" w:cs="Times New Roman Bold"/>
                <w:b/>
              </w:rPr>
              <w:t xml:space="preserve">22-23 </w:t>
            </w:r>
            <w:r w:rsidRPr="003C289E">
              <w:rPr>
                <w:rFonts w:asciiTheme="minorHAnsi" w:hAnsiTheme="minorHAnsi" w:cs="Times New Roman Bold"/>
                <w:b/>
              </w:rPr>
              <w:t>January 201</w:t>
            </w:r>
            <w:r w:rsidR="004319DE" w:rsidRPr="003C289E">
              <w:rPr>
                <w:rFonts w:asciiTheme="minorHAnsi" w:hAnsiTheme="minorHAnsi" w:cs="Times New Roman Bold"/>
                <w:b/>
              </w:rPr>
              <w:t>8</w:t>
            </w:r>
          </w:p>
        </w:tc>
        <w:tc>
          <w:tcPr>
            <w:tcW w:w="3685" w:type="dxa"/>
          </w:tcPr>
          <w:p w:rsidR="00F67992" w:rsidRPr="0020628E" w:rsidRDefault="00F67992" w:rsidP="00F67992">
            <w:pPr>
              <w:spacing w:before="0" w:line="240" w:lineRule="atLeast"/>
            </w:pPr>
            <w:bookmarkStart w:id="1" w:name="ditulogo"/>
            <w:bookmarkEnd w:id="1"/>
            <w:r w:rsidRPr="003E757E">
              <w:rPr>
                <w:rFonts w:eastAsia="SimSun" w:cs="Calibri"/>
                <w:noProof/>
                <w:szCs w:val="24"/>
                <w:lang w:val="en-US" w:eastAsia="zh-CN"/>
              </w:rPr>
              <w:drawing>
                <wp:inline distT="0" distB="0" distL="0" distR="0" wp14:anchorId="6ACA36FF" wp14:editId="6AACBCEF">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F67992" w:rsidRPr="00617BE4" w:rsidTr="00956AF2">
        <w:trPr>
          <w:cantSplit/>
        </w:trPr>
        <w:tc>
          <w:tcPr>
            <w:tcW w:w="6629" w:type="dxa"/>
            <w:tcBorders>
              <w:bottom w:val="single" w:sz="12" w:space="0" w:color="auto"/>
            </w:tcBorders>
          </w:tcPr>
          <w:p w:rsidR="00F67992" w:rsidRPr="00E544AC" w:rsidRDefault="00F67992" w:rsidP="00ED05A3">
            <w:pPr>
              <w:spacing w:before="0" w:line="240" w:lineRule="atLeast"/>
              <w:rPr>
                <w:rFonts w:asciiTheme="minorHAnsi" w:hAnsiTheme="minorHAnsi"/>
                <w:b/>
                <w:smallCaps/>
                <w:szCs w:val="24"/>
              </w:rPr>
            </w:pPr>
          </w:p>
        </w:tc>
        <w:tc>
          <w:tcPr>
            <w:tcW w:w="3685" w:type="dxa"/>
            <w:tcBorders>
              <w:bottom w:val="single" w:sz="12" w:space="0" w:color="auto"/>
            </w:tcBorders>
          </w:tcPr>
          <w:p w:rsidR="00F67992" w:rsidRPr="00617BE4" w:rsidRDefault="00F67992" w:rsidP="00ED05A3">
            <w:pPr>
              <w:spacing w:before="0" w:line="240" w:lineRule="atLeast"/>
              <w:rPr>
                <w:rFonts w:ascii="Verdana" w:hAnsi="Verdana"/>
                <w:szCs w:val="24"/>
              </w:rPr>
            </w:pPr>
          </w:p>
        </w:tc>
      </w:tr>
      <w:tr w:rsidR="00591DF7" w:rsidRPr="00617BE4" w:rsidTr="00956AF2">
        <w:trPr>
          <w:cantSplit/>
        </w:trPr>
        <w:tc>
          <w:tcPr>
            <w:tcW w:w="6629" w:type="dxa"/>
            <w:tcBorders>
              <w:top w:val="single" w:sz="12" w:space="0" w:color="auto"/>
            </w:tcBorders>
          </w:tcPr>
          <w:p w:rsidR="00591DF7" w:rsidRPr="00617BE4" w:rsidRDefault="00591DF7" w:rsidP="00ED05A3">
            <w:pPr>
              <w:spacing w:before="0" w:line="240" w:lineRule="atLeast"/>
              <w:rPr>
                <w:b/>
                <w:smallCaps/>
                <w:szCs w:val="24"/>
              </w:rPr>
            </w:pPr>
          </w:p>
        </w:tc>
        <w:tc>
          <w:tcPr>
            <w:tcW w:w="3685" w:type="dxa"/>
            <w:tcBorders>
              <w:top w:val="single" w:sz="12" w:space="0" w:color="auto"/>
            </w:tcBorders>
          </w:tcPr>
          <w:p w:rsidR="00591DF7" w:rsidRPr="00617BE4" w:rsidRDefault="00591DF7" w:rsidP="00ED05A3">
            <w:pPr>
              <w:spacing w:before="0" w:line="240" w:lineRule="atLeast"/>
              <w:rPr>
                <w:rFonts w:ascii="Verdana" w:hAnsi="Verdana"/>
                <w:szCs w:val="24"/>
              </w:rPr>
            </w:pPr>
          </w:p>
        </w:tc>
      </w:tr>
      <w:tr w:rsidR="00591DF7" w:rsidRPr="0010302C" w:rsidTr="00956AF2">
        <w:trPr>
          <w:cantSplit/>
          <w:trHeight w:val="23"/>
        </w:trPr>
        <w:tc>
          <w:tcPr>
            <w:tcW w:w="6629" w:type="dxa"/>
            <w:vMerge w:val="restart"/>
          </w:tcPr>
          <w:p w:rsidR="00591DF7" w:rsidRPr="00E544AC" w:rsidRDefault="00591DF7" w:rsidP="00ED05A3">
            <w:pPr>
              <w:tabs>
                <w:tab w:val="left" w:pos="851"/>
              </w:tabs>
              <w:spacing w:before="0" w:line="240" w:lineRule="atLeast"/>
              <w:rPr>
                <w:rFonts w:asciiTheme="minorHAnsi" w:hAnsiTheme="minorHAnsi"/>
                <w:b/>
                <w:szCs w:val="24"/>
              </w:rPr>
            </w:pPr>
          </w:p>
        </w:tc>
        <w:tc>
          <w:tcPr>
            <w:tcW w:w="3685" w:type="dxa"/>
          </w:tcPr>
          <w:p w:rsidR="00591DF7" w:rsidRPr="0010302C" w:rsidRDefault="00591DF7" w:rsidP="00ED05A3">
            <w:pPr>
              <w:tabs>
                <w:tab w:val="left" w:pos="851"/>
              </w:tabs>
              <w:spacing w:before="0" w:line="240" w:lineRule="atLeast"/>
              <w:rPr>
                <w:rFonts w:asciiTheme="minorHAnsi" w:hAnsiTheme="minorHAnsi"/>
                <w:b/>
                <w:szCs w:val="24"/>
                <w:lang w:val="en-US"/>
              </w:rPr>
            </w:pPr>
            <w:r w:rsidRPr="0010302C">
              <w:rPr>
                <w:rFonts w:asciiTheme="minorHAnsi" w:hAnsiTheme="minorHAnsi"/>
                <w:b/>
                <w:szCs w:val="24"/>
                <w:lang w:val="en-US"/>
              </w:rPr>
              <w:t>Document CWG-FHR</w:t>
            </w:r>
            <w:r w:rsidR="003C289E">
              <w:rPr>
                <w:rFonts w:asciiTheme="minorHAnsi" w:hAnsiTheme="minorHAnsi"/>
                <w:b/>
                <w:szCs w:val="24"/>
                <w:lang w:val="en-US"/>
              </w:rPr>
              <w:t>-8/</w:t>
            </w:r>
            <w:r w:rsidR="00D34E1F">
              <w:rPr>
                <w:rFonts w:asciiTheme="minorHAnsi" w:hAnsiTheme="minorHAnsi"/>
                <w:b/>
                <w:szCs w:val="24"/>
                <w:lang w:val="en-US"/>
              </w:rPr>
              <w:t>7</w:t>
            </w:r>
          </w:p>
        </w:tc>
      </w:tr>
      <w:tr w:rsidR="00591DF7" w:rsidRPr="00B27A9E" w:rsidTr="00956AF2">
        <w:trPr>
          <w:cantSplit/>
          <w:trHeight w:val="23"/>
        </w:trPr>
        <w:tc>
          <w:tcPr>
            <w:tcW w:w="6629" w:type="dxa"/>
            <w:vMerge/>
          </w:tcPr>
          <w:p w:rsidR="00591DF7" w:rsidRPr="0010302C" w:rsidRDefault="00591DF7" w:rsidP="00ED05A3">
            <w:pPr>
              <w:tabs>
                <w:tab w:val="left" w:pos="851"/>
              </w:tabs>
              <w:spacing w:before="0" w:line="240" w:lineRule="atLeast"/>
              <w:rPr>
                <w:rFonts w:asciiTheme="minorHAnsi" w:hAnsiTheme="minorHAnsi"/>
                <w:b/>
                <w:szCs w:val="24"/>
                <w:lang w:val="en-US"/>
              </w:rPr>
            </w:pPr>
          </w:p>
        </w:tc>
        <w:tc>
          <w:tcPr>
            <w:tcW w:w="3685" w:type="dxa"/>
          </w:tcPr>
          <w:p w:rsidR="00591DF7" w:rsidRPr="00B27A9E" w:rsidRDefault="00235BD3" w:rsidP="00ED05A3">
            <w:pPr>
              <w:tabs>
                <w:tab w:val="left" w:pos="993"/>
              </w:tabs>
              <w:spacing w:before="0"/>
              <w:rPr>
                <w:rFonts w:asciiTheme="minorHAnsi" w:hAnsiTheme="minorHAnsi"/>
                <w:b/>
                <w:szCs w:val="24"/>
              </w:rPr>
            </w:pPr>
            <w:r>
              <w:rPr>
                <w:rFonts w:asciiTheme="minorHAnsi" w:hAnsiTheme="minorHAnsi"/>
                <w:b/>
                <w:szCs w:val="24"/>
              </w:rPr>
              <w:t>6</w:t>
            </w:r>
            <w:r w:rsidR="004319DE">
              <w:rPr>
                <w:rFonts w:asciiTheme="minorHAnsi" w:hAnsiTheme="minorHAnsi"/>
                <w:b/>
                <w:szCs w:val="24"/>
              </w:rPr>
              <w:t xml:space="preserve"> December</w:t>
            </w:r>
            <w:r w:rsidR="005C4493">
              <w:rPr>
                <w:rFonts w:asciiTheme="minorHAnsi" w:hAnsiTheme="minorHAnsi"/>
                <w:b/>
                <w:szCs w:val="24"/>
              </w:rPr>
              <w:t xml:space="preserve"> 2017</w:t>
            </w:r>
          </w:p>
        </w:tc>
      </w:tr>
      <w:tr w:rsidR="00591DF7" w:rsidRPr="00E544AC" w:rsidTr="00956AF2">
        <w:trPr>
          <w:cantSplit/>
          <w:trHeight w:val="80"/>
        </w:trPr>
        <w:tc>
          <w:tcPr>
            <w:tcW w:w="6629" w:type="dxa"/>
            <w:vMerge/>
          </w:tcPr>
          <w:p w:rsidR="00591DF7" w:rsidRPr="00E544AC" w:rsidRDefault="00591DF7" w:rsidP="00ED05A3">
            <w:pPr>
              <w:tabs>
                <w:tab w:val="left" w:pos="851"/>
              </w:tabs>
              <w:spacing w:before="0" w:line="240" w:lineRule="atLeast"/>
              <w:rPr>
                <w:rFonts w:asciiTheme="minorHAnsi" w:hAnsiTheme="minorHAnsi"/>
                <w:b/>
                <w:szCs w:val="24"/>
              </w:rPr>
            </w:pPr>
          </w:p>
        </w:tc>
        <w:tc>
          <w:tcPr>
            <w:tcW w:w="3685" w:type="dxa"/>
          </w:tcPr>
          <w:p w:rsidR="00591DF7" w:rsidRPr="00E544AC" w:rsidRDefault="00591DF7" w:rsidP="00ED05A3">
            <w:pPr>
              <w:tabs>
                <w:tab w:val="left" w:pos="993"/>
              </w:tabs>
              <w:spacing w:before="0"/>
              <w:rPr>
                <w:rFonts w:asciiTheme="minorHAnsi" w:hAnsiTheme="minorHAnsi"/>
                <w:b/>
                <w:szCs w:val="24"/>
              </w:rPr>
            </w:pPr>
            <w:r w:rsidRPr="00E544AC">
              <w:rPr>
                <w:rFonts w:asciiTheme="minorHAnsi" w:hAnsiTheme="minorHAnsi"/>
                <w:b/>
                <w:szCs w:val="24"/>
              </w:rPr>
              <w:t>English only</w:t>
            </w:r>
          </w:p>
        </w:tc>
      </w:tr>
    </w:tbl>
    <w:p w:rsidR="003C289E" w:rsidRDefault="003C289E" w:rsidP="00ED05A3">
      <w:pPr>
        <w:snapToGrid w:val="0"/>
        <w:spacing w:before="840" w:after="240"/>
        <w:jc w:val="center"/>
        <w:rPr>
          <w:rFonts w:asciiTheme="minorHAnsi" w:hAnsiTheme="minorHAnsi"/>
          <w:b/>
          <w:bCs/>
          <w:sz w:val="28"/>
          <w:szCs w:val="28"/>
        </w:rPr>
      </w:pPr>
      <w:r>
        <w:rPr>
          <w:rFonts w:asciiTheme="minorHAnsi" w:hAnsiTheme="minorHAnsi"/>
          <w:b/>
          <w:sz w:val="28"/>
          <w:szCs w:val="32"/>
        </w:rPr>
        <w:t>Contribution by the Secretariat</w:t>
      </w:r>
    </w:p>
    <w:p w:rsidR="002E69D7" w:rsidRPr="003C289E" w:rsidRDefault="002E69D7" w:rsidP="003C289E">
      <w:pPr>
        <w:snapToGrid w:val="0"/>
        <w:jc w:val="center"/>
        <w:rPr>
          <w:rFonts w:asciiTheme="minorHAnsi" w:hAnsiTheme="minorHAnsi"/>
          <w:sz w:val="28"/>
          <w:szCs w:val="28"/>
        </w:rPr>
      </w:pPr>
      <w:r w:rsidRPr="003C289E">
        <w:rPr>
          <w:rFonts w:asciiTheme="minorHAnsi" w:hAnsiTheme="minorHAnsi"/>
          <w:sz w:val="28"/>
          <w:szCs w:val="28"/>
        </w:rPr>
        <w:t>F</w:t>
      </w:r>
      <w:r w:rsidR="003C289E" w:rsidRPr="003C289E">
        <w:rPr>
          <w:rFonts w:asciiTheme="minorHAnsi" w:hAnsiTheme="minorHAnsi"/>
          <w:sz w:val="28"/>
          <w:szCs w:val="28"/>
        </w:rPr>
        <w:t>OLLOW-UP ON THE RECOMMENDATIONS OF THE EXTERNAL AUDITOR</w:t>
      </w:r>
    </w:p>
    <w:p w:rsidR="002E69D7" w:rsidRDefault="002E69D7" w:rsidP="00ED05A3">
      <w:pPr>
        <w:pStyle w:val="BodyText"/>
        <w:spacing w:before="840"/>
        <w:rPr>
          <w:rFonts w:asciiTheme="minorHAnsi" w:hAnsiTheme="minorHAnsi" w:cs="Calibri"/>
          <w:sz w:val="24"/>
          <w:lang w:val="en-GB"/>
        </w:rPr>
      </w:pPr>
      <w:bookmarkStart w:id="2" w:name="dstart"/>
      <w:bookmarkStart w:id="3" w:name="dbreak"/>
      <w:bookmarkEnd w:id="2"/>
      <w:bookmarkEnd w:id="3"/>
      <w:r>
        <w:rPr>
          <w:rFonts w:asciiTheme="minorHAnsi" w:hAnsiTheme="minorHAnsi" w:cs="Calibri"/>
          <w:sz w:val="24"/>
          <w:lang w:val="en-GB"/>
        </w:rPr>
        <w:t>The follow-up on the recommendations of the External Auditor includes:</w:t>
      </w:r>
    </w:p>
    <w:p w:rsidR="002E69D7" w:rsidRDefault="002E69D7" w:rsidP="005C4493">
      <w:pPr>
        <w:pStyle w:val="BodyText"/>
        <w:tabs>
          <w:tab w:val="left" w:pos="1134"/>
        </w:tabs>
        <w:ind w:left="1134" w:hanging="425"/>
        <w:rPr>
          <w:rFonts w:asciiTheme="minorHAnsi" w:hAnsiTheme="minorHAnsi" w:cs="Calibri"/>
          <w:sz w:val="24"/>
          <w:lang w:val="en-GB"/>
        </w:rPr>
      </w:pPr>
      <w:r>
        <w:rPr>
          <w:rFonts w:asciiTheme="minorHAnsi" w:hAnsiTheme="minorHAnsi" w:cs="Calibri"/>
          <w:sz w:val="24"/>
          <w:lang w:val="en-GB"/>
        </w:rPr>
        <w:t>-</w:t>
      </w:r>
      <w:r>
        <w:rPr>
          <w:rFonts w:asciiTheme="minorHAnsi" w:hAnsiTheme="minorHAnsi" w:cs="Calibri"/>
          <w:sz w:val="24"/>
          <w:lang w:val="en-GB"/>
        </w:rPr>
        <w:tab/>
      </w:r>
      <w:proofErr w:type="gramStart"/>
      <w:r>
        <w:rPr>
          <w:rFonts w:asciiTheme="minorHAnsi" w:hAnsiTheme="minorHAnsi" w:cs="Calibri"/>
          <w:sz w:val="24"/>
          <w:lang w:val="en-GB"/>
        </w:rPr>
        <w:t>the</w:t>
      </w:r>
      <w:proofErr w:type="gramEnd"/>
      <w:r>
        <w:rPr>
          <w:rFonts w:asciiTheme="minorHAnsi" w:hAnsiTheme="minorHAnsi" w:cs="Calibri"/>
          <w:sz w:val="24"/>
          <w:lang w:val="en-GB"/>
        </w:rPr>
        <w:t xml:space="preserve"> recommendations made in the External Auditor’s Report on the audit of the financial statements for 201</w:t>
      </w:r>
      <w:r w:rsidR="005C4493">
        <w:rPr>
          <w:rFonts w:asciiTheme="minorHAnsi" w:hAnsiTheme="minorHAnsi" w:cs="Calibri"/>
          <w:sz w:val="24"/>
          <w:lang w:val="en-GB"/>
        </w:rPr>
        <w:t>6</w:t>
      </w:r>
      <w:r>
        <w:rPr>
          <w:rFonts w:asciiTheme="minorHAnsi" w:hAnsiTheme="minorHAnsi" w:cs="Calibri"/>
          <w:sz w:val="24"/>
          <w:lang w:val="en-GB"/>
        </w:rPr>
        <w:t>;</w:t>
      </w:r>
    </w:p>
    <w:p w:rsidR="002E69D7" w:rsidRDefault="002E69D7" w:rsidP="005C4493">
      <w:pPr>
        <w:pStyle w:val="BodyText"/>
        <w:tabs>
          <w:tab w:val="left" w:pos="1134"/>
        </w:tabs>
        <w:ind w:left="1134" w:hanging="425"/>
        <w:rPr>
          <w:rFonts w:asciiTheme="minorHAnsi" w:hAnsiTheme="minorHAnsi" w:cs="Calibri"/>
          <w:sz w:val="24"/>
          <w:lang w:val="en-GB"/>
        </w:rPr>
      </w:pPr>
      <w:r>
        <w:rPr>
          <w:rFonts w:asciiTheme="minorHAnsi" w:hAnsiTheme="minorHAnsi" w:cs="Calibri"/>
          <w:sz w:val="24"/>
          <w:lang w:val="en-GB"/>
        </w:rPr>
        <w:t>-</w:t>
      </w:r>
      <w:r>
        <w:rPr>
          <w:rFonts w:asciiTheme="minorHAnsi" w:hAnsiTheme="minorHAnsi" w:cs="Calibri"/>
          <w:sz w:val="24"/>
          <w:lang w:val="en-GB"/>
        </w:rPr>
        <w:tab/>
      </w:r>
      <w:proofErr w:type="gramStart"/>
      <w:r>
        <w:rPr>
          <w:rFonts w:asciiTheme="minorHAnsi" w:hAnsiTheme="minorHAnsi" w:cs="Calibri"/>
          <w:sz w:val="24"/>
          <w:lang w:val="en-GB"/>
        </w:rPr>
        <w:t>the</w:t>
      </w:r>
      <w:proofErr w:type="gramEnd"/>
      <w:r>
        <w:rPr>
          <w:rFonts w:asciiTheme="minorHAnsi" w:hAnsiTheme="minorHAnsi" w:cs="Calibri"/>
          <w:sz w:val="24"/>
          <w:lang w:val="en-GB"/>
        </w:rPr>
        <w:t xml:space="preserve"> recommendations made in the External Auditor’s Report on the Audit of the Union’s accounts on ITU Telecom World 201</w:t>
      </w:r>
      <w:r w:rsidR="005C4493">
        <w:rPr>
          <w:rFonts w:asciiTheme="minorHAnsi" w:hAnsiTheme="minorHAnsi" w:cs="Calibri"/>
          <w:sz w:val="24"/>
          <w:lang w:val="en-GB"/>
        </w:rPr>
        <w:t>6</w:t>
      </w:r>
      <w:r w:rsidR="009F3E07">
        <w:rPr>
          <w:rFonts w:asciiTheme="minorHAnsi" w:hAnsiTheme="minorHAnsi" w:cs="Calibri"/>
          <w:sz w:val="24"/>
          <w:lang w:val="en-GB"/>
        </w:rPr>
        <w:t>.</w:t>
      </w:r>
    </w:p>
    <w:p w:rsidR="00824EB0" w:rsidRDefault="00824EB0" w:rsidP="00FA2B65">
      <w:pPr>
        <w:snapToGrid w:val="0"/>
        <w:spacing w:before="0"/>
        <w:jc w:val="center"/>
        <w:rPr>
          <w:rFonts w:ascii="Calibri" w:hAnsi="Calibri"/>
          <w:u w:val="single"/>
        </w:rPr>
      </w:pPr>
    </w:p>
    <w:p w:rsidR="001652AD" w:rsidRDefault="001652AD" w:rsidP="002E69D7">
      <w:pPr>
        <w:pStyle w:val="Heading2"/>
        <w:spacing w:before="0"/>
        <w:rPr>
          <w:rFonts w:ascii="Calibri" w:hAnsi="Calibri"/>
          <w:lang w:eastAsia="it-IT"/>
        </w:rPr>
        <w:sectPr w:rsidR="001652AD" w:rsidSect="000851BF">
          <w:headerReference w:type="default" r:id="rId9"/>
          <w:pgSz w:w="11907" w:h="16834"/>
          <w:pgMar w:top="1418" w:right="1134" w:bottom="1134" w:left="1134" w:header="567" w:footer="567" w:gutter="0"/>
          <w:paperSrc w:first="15" w:other="15"/>
          <w:cols w:space="720"/>
          <w:titlePg/>
        </w:sectPr>
      </w:pPr>
    </w:p>
    <w:p w:rsidR="002E69D7" w:rsidRDefault="002E69D7" w:rsidP="00ED05A3">
      <w:pPr>
        <w:pStyle w:val="Heading2"/>
        <w:numPr>
          <w:ilvl w:val="0"/>
          <w:numId w:val="5"/>
        </w:numPr>
        <w:tabs>
          <w:tab w:val="clear" w:pos="794"/>
          <w:tab w:val="clear" w:pos="1191"/>
          <w:tab w:val="clear" w:pos="1588"/>
          <w:tab w:val="clear" w:pos="1985"/>
        </w:tabs>
        <w:spacing w:before="0"/>
        <w:ind w:left="714" w:hanging="714"/>
        <w:rPr>
          <w:rFonts w:ascii="Calibri" w:hAnsi="Calibri"/>
          <w:lang w:eastAsia="it-IT"/>
        </w:rPr>
      </w:pPr>
      <w:r w:rsidRPr="002536D5">
        <w:rPr>
          <w:rFonts w:ascii="Calibri" w:hAnsi="Calibri"/>
          <w:lang w:eastAsia="it-IT"/>
        </w:rPr>
        <w:lastRenderedPageBreak/>
        <w:t xml:space="preserve">Follow-up on the </w:t>
      </w:r>
      <w:r>
        <w:rPr>
          <w:rFonts w:ascii="Calibri" w:hAnsi="Calibri"/>
          <w:lang w:eastAsia="it-IT"/>
        </w:rPr>
        <w:t xml:space="preserve">External Auditor’s </w:t>
      </w:r>
      <w:r w:rsidRPr="002536D5">
        <w:rPr>
          <w:rFonts w:ascii="Calibri" w:hAnsi="Calibri"/>
          <w:lang w:eastAsia="it-IT"/>
        </w:rPr>
        <w:t>recommendations relat</w:t>
      </w:r>
      <w:r>
        <w:rPr>
          <w:rFonts w:ascii="Calibri" w:hAnsi="Calibri"/>
          <w:lang w:eastAsia="it-IT"/>
        </w:rPr>
        <w:t>ing</w:t>
      </w:r>
      <w:r w:rsidRPr="002536D5">
        <w:rPr>
          <w:rFonts w:ascii="Calibri" w:hAnsi="Calibri"/>
          <w:lang w:eastAsia="it-IT"/>
        </w:rPr>
        <w:t xml:space="preserve"> to </w:t>
      </w:r>
      <w:r w:rsidR="00FD0704">
        <w:rPr>
          <w:rFonts w:ascii="Calibri" w:hAnsi="Calibri"/>
          <w:lang w:eastAsia="it-IT"/>
        </w:rPr>
        <w:t xml:space="preserve">the </w:t>
      </w:r>
      <w:r>
        <w:rPr>
          <w:rFonts w:ascii="Calibri" w:hAnsi="Calibri"/>
          <w:lang w:eastAsia="it-IT"/>
        </w:rPr>
        <w:t xml:space="preserve">ITU Financial Operating </w:t>
      </w:r>
      <w:r w:rsidR="00FD0704">
        <w:rPr>
          <w:rFonts w:ascii="Calibri" w:hAnsi="Calibri"/>
          <w:lang w:eastAsia="it-IT"/>
        </w:rPr>
        <w:t>R</w:t>
      </w:r>
      <w:r>
        <w:rPr>
          <w:rFonts w:ascii="Calibri" w:hAnsi="Calibri"/>
          <w:lang w:eastAsia="it-IT"/>
        </w:rPr>
        <w:t>eport at 31.12.201</w:t>
      </w:r>
      <w:r w:rsidR="005C4493">
        <w:rPr>
          <w:rFonts w:ascii="Calibri" w:hAnsi="Calibri"/>
          <w:lang w:eastAsia="it-IT"/>
        </w:rPr>
        <w:t>6</w:t>
      </w:r>
    </w:p>
    <w:p w:rsidR="002E69D7" w:rsidRPr="00394AD5" w:rsidRDefault="002E69D7" w:rsidP="002E69D7">
      <w:pPr>
        <w:rPr>
          <w:lang w:eastAsia="it-IT"/>
        </w:rPr>
      </w:pPr>
    </w:p>
    <w:tbl>
      <w:tblPr>
        <w:tblW w:w="4811" w:type="pct"/>
        <w:tblLayout w:type="fixed"/>
        <w:tblCellMar>
          <w:left w:w="0" w:type="dxa"/>
          <w:right w:w="0" w:type="dxa"/>
        </w:tblCellMar>
        <w:tblLook w:val="0000" w:firstRow="0" w:lastRow="0" w:firstColumn="0" w:lastColumn="0" w:noHBand="0" w:noVBand="0"/>
      </w:tblPr>
      <w:tblGrid>
        <w:gridCol w:w="1266"/>
        <w:gridCol w:w="3922"/>
        <w:gridCol w:w="4164"/>
        <w:gridCol w:w="4381"/>
      </w:tblGrid>
      <w:tr w:rsidR="002E69D7" w:rsidRPr="00BD506C" w:rsidTr="00D6054C">
        <w:trPr>
          <w:trHeight w:hRule="exact" w:val="1148"/>
        </w:trPr>
        <w:tc>
          <w:tcPr>
            <w:tcW w:w="461" w:type="pct"/>
            <w:tcBorders>
              <w:top w:val="single" w:sz="4" w:space="0" w:color="auto"/>
              <w:left w:val="single" w:sz="4" w:space="0" w:color="auto"/>
              <w:bottom w:val="single" w:sz="4" w:space="0" w:color="auto"/>
              <w:right w:val="single" w:sz="4" w:space="0" w:color="auto"/>
            </w:tcBorders>
          </w:tcPr>
          <w:p w:rsidR="002E69D7" w:rsidRPr="00BD506C" w:rsidRDefault="002E69D7" w:rsidP="00B90E87">
            <w:pPr>
              <w:rPr>
                <w:rFonts w:ascii="Calibri" w:hAnsi="Calibri"/>
                <w:b/>
                <w:bCs/>
                <w:sz w:val="20"/>
              </w:rPr>
            </w:pPr>
          </w:p>
        </w:tc>
        <w:tc>
          <w:tcPr>
            <w:tcW w:w="1428" w:type="pct"/>
            <w:tcBorders>
              <w:top w:val="single" w:sz="4" w:space="0" w:color="auto"/>
              <w:left w:val="single" w:sz="4" w:space="0" w:color="auto"/>
              <w:bottom w:val="single" w:sz="4" w:space="0" w:color="auto"/>
              <w:right w:val="single" w:sz="4" w:space="0" w:color="auto"/>
            </w:tcBorders>
          </w:tcPr>
          <w:p w:rsidR="002E69D7" w:rsidRPr="00BD506C" w:rsidRDefault="002E69D7" w:rsidP="00B90E87">
            <w:pPr>
              <w:widowControl w:val="0"/>
              <w:kinsoku w:val="0"/>
              <w:adjustRightInd/>
              <w:jc w:val="center"/>
              <w:rPr>
                <w:rFonts w:ascii="Calibri" w:hAnsi="Calibri"/>
                <w:b/>
                <w:bCs/>
                <w:spacing w:val="-1"/>
                <w:sz w:val="20"/>
                <w:lang w:eastAsia="it-IT"/>
              </w:rPr>
            </w:pPr>
            <w:r w:rsidRPr="00BD506C">
              <w:rPr>
                <w:rFonts w:ascii="Calibri" w:hAnsi="Calibri"/>
                <w:b/>
                <w:bCs/>
                <w:spacing w:val="-1"/>
                <w:sz w:val="20"/>
                <w:lang w:eastAsia="it-IT"/>
              </w:rPr>
              <w:t>Recommendation made</w:t>
            </w:r>
            <w:r w:rsidRPr="00BD506C">
              <w:rPr>
                <w:rFonts w:ascii="Calibri" w:hAnsi="Calibri"/>
                <w:b/>
                <w:bCs/>
                <w:spacing w:val="-1"/>
                <w:sz w:val="20"/>
                <w:lang w:eastAsia="it-IT"/>
              </w:rPr>
              <w:br/>
              <w:t xml:space="preserve">by </w:t>
            </w:r>
            <w:r w:rsidR="00FE51A7">
              <w:rPr>
                <w:rFonts w:ascii="Calibri" w:hAnsi="Calibri"/>
                <w:b/>
                <w:bCs/>
                <w:spacing w:val="-1"/>
                <w:sz w:val="20"/>
                <w:lang w:eastAsia="it-IT"/>
              </w:rPr>
              <w:t xml:space="preserve">the </w:t>
            </w:r>
            <w:r w:rsidRPr="00BD506C">
              <w:rPr>
                <w:rFonts w:ascii="Calibri" w:hAnsi="Calibri"/>
                <w:b/>
                <w:bCs/>
                <w:spacing w:val="-1"/>
                <w:sz w:val="20"/>
                <w:lang w:eastAsia="it-IT"/>
              </w:rPr>
              <w:t>External Auditor</w:t>
            </w:r>
          </w:p>
          <w:p w:rsidR="002E69D7" w:rsidRPr="00BD506C" w:rsidRDefault="002E69D7" w:rsidP="00B90E87">
            <w:pPr>
              <w:widowControl w:val="0"/>
              <w:kinsoku w:val="0"/>
              <w:adjustRightInd/>
              <w:jc w:val="center"/>
              <w:rPr>
                <w:rFonts w:ascii="Calibri" w:hAnsi="Calibri"/>
                <w:b/>
                <w:bCs/>
                <w:spacing w:val="-1"/>
                <w:sz w:val="20"/>
                <w:lang w:eastAsia="it-IT"/>
              </w:rPr>
            </w:pPr>
            <w:r w:rsidRPr="00BD506C">
              <w:rPr>
                <w:rFonts w:ascii="Calibri" w:hAnsi="Calibri"/>
                <w:b/>
                <w:bCs/>
                <w:spacing w:val="-1"/>
                <w:sz w:val="20"/>
                <w:lang w:eastAsia="it-IT"/>
              </w:rPr>
              <w:t xml:space="preserve">(Corte </w:t>
            </w:r>
            <w:proofErr w:type="spellStart"/>
            <w:r w:rsidRPr="00BD506C">
              <w:rPr>
                <w:rFonts w:ascii="Calibri" w:hAnsi="Calibri"/>
                <w:b/>
                <w:bCs/>
                <w:spacing w:val="-1"/>
                <w:sz w:val="20"/>
                <w:lang w:eastAsia="it-IT"/>
              </w:rPr>
              <w:t>dei</w:t>
            </w:r>
            <w:proofErr w:type="spellEnd"/>
            <w:r w:rsidRPr="00BD506C">
              <w:rPr>
                <w:rFonts w:ascii="Calibri" w:hAnsi="Calibri"/>
                <w:b/>
                <w:bCs/>
                <w:spacing w:val="-1"/>
                <w:sz w:val="20"/>
                <w:lang w:eastAsia="it-IT"/>
              </w:rPr>
              <w:t xml:space="preserve"> </w:t>
            </w:r>
            <w:proofErr w:type="spellStart"/>
            <w:r w:rsidRPr="00BD506C">
              <w:rPr>
                <w:rFonts w:ascii="Calibri" w:hAnsi="Calibri"/>
                <w:b/>
                <w:bCs/>
                <w:spacing w:val="-1"/>
                <w:sz w:val="20"/>
                <w:lang w:eastAsia="it-IT"/>
              </w:rPr>
              <w:t>conti</w:t>
            </w:r>
            <w:proofErr w:type="spellEnd"/>
            <w:r w:rsidRPr="00BD506C">
              <w:rPr>
                <w:rFonts w:ascii="Calibri" w:hAnsi="Calibri"/>
                <w:b/>
                <w:bCs/>
                <w:spacing w:val="-1"/>
                <w:sz w:val="20"/>
                <w:lang w:eastAsia="it-IT"/>
              </w:rPr>
              <w:t>)</w:t>
            </w:r>
          </w:p>
          <w:p w:rsidR="002E69D7" w:rsidRPr="00BD506C" w:rsidRDefault="002E69D7" w:rsidP="00B90E87">
            <w:pPr>
              <w:widowControl w:val="0"/>
              <w:kinsoku w:val="0"/>
              <w:adjustRightInd/>
              <w:jc w:val="center"/>
              <w:rPr>
                <w:rFonts w:ascii="Calibri" w:hAnsi="Calibri"/>
                <w:b/>
                <w:bCs/>
                <w:spacing w:val="-1"/>
                <w:sz w:val="20"/>
                <w:lang w:eastAsia="it-IT"/>
              </w:rPr>
            </w:pPr>
          </w:p>
        </w:tc>
        <w:tc>
          <w:tcPr>
            <w:tcW w:w="1516" w:type="pct"/>
            <w:tcBorders>
              <w:top w:val="single" w:sz="4" w:space="0" w:color="auto"/>
              <w:left w:val="single" w:sz="4" w:space="0" w:color="auto"/>
              <w:bottom w:val="single" w:sz="4" w:space="0" w:color="auto"/>
              <w:right w:val="single" w:sz="4" w:space="0" w:color="auto"/>
            </w:tcBorders>
          </w:tcPr>
          <w:p w:rsidR="002E69D7" w:rsidRPr="00BD506C" w:rsidRDefault="002E69D7" w:rsidP="00B90E87">
            <w:pPr>
              <w:widowControl w:val="0"/>
              <w:kinsoku w:val="0"/>
              <w:adjustRightInd/>
              <w:jc w:val="center"/>
              <w:rPr>
                <w:rFonts w:ascii="Calibri" w:hAnsi="Calibri"/>
                <w:b/>
                <w:bCs/>
                <w:spacing w:val="-1"/>
                <w:sz w:val="20"/>
                <w:lang w:eastAsia="it-IT"/>
              </w:rPr>
            </w:pPr>
            <w:r w:rsidRPr="00BD506C">
              <w:rPr>
                <w:rFonts w:ascii="Calibri" w:hAnsi="Calibri"/>
                <w:b/>
                <w:bCs/>
                <w:spacing w:val="-1"/>
                <w:sz w:val="20"/>
                <w:lang w:eastAsia="it-IT"/>
              </w:rPr>
              <w:t>Comments received from</w:t>
            </w:r>
            <w:r w:rsidRPr="00BD506C">
              <w:rPr>
                <w:rFonts w:ascii="Calibri" w:hAnsi="Calibri"/>
                <w:b/>
                <w:bCs/>
                <w:spacing w:val="-1"/>
                <w:sz w:val="20"/>
                <w:lang w:eastAsia="it-IT"/>
              </w:rPr>
              <w:br/>
              <w:t>the Secretary-General at the time of issuance of the External Auditor’s Report</w:t>
            </w:r>
          </w:p>
        </w:tc>
        <w:tc>
          <w:tcPr>
            <w:tcW w:w="1595" w:type="pct"/>
            <w:tcBorders>
              <w:top w:val="single" w:sz="4" w:space="0" w:color="auto"/>
              <w:left w:val="single" w:sz="4" w:space="0" w:color="auto"/>
              <w:bottom w:val="single" w:sz="4" w:space="0" w:color="auto"/>
              <w:right w:val="single" w:sz="4" w:space="0" w:color="auto"/>
            </w:tcBorders>
          </w:tcPr>
          <w:p w:rsidR="002E69D7" w:rsidRPr="00BD506C" w:rsidRDefault="002E69D7" w:rsidP="00B90E87">
            <w:pPr>
              <w:widowControl w:val="0"/>
              <w:kinsoku w:val="0"/>
              <w:adjustRightInd/>
              <w:jc w:val="center"/>
              <w:rPr>
                <w:rFonts w:ascii="Calibri" w:hAnsi="Calibri"/>
                <w:b/>
                <w:bCs/>
                <w:spacing w:val="-1"/>
                <w:sz w:val="20"/>
                <w:lang w:eastAsia="it-IT"/>
              </w:rPr>
            </w:pPr>
            <w:r w:rsidRPr="00BD506C">
              <w:rPr>
                <w:rFonts w:ascii="Calibri" w:hAnsi="Calibri"/>
                <w:b/>
                <w:bCs/>
                <w:spacing w:val="-1"/>
                <w:sz w:val="20"/>
                <w:lang w:eastAsia="it-IT"/>
              </w:rPr>
              <w:t>Status as</w:t>
            </w:r>
            <w:r w:rsidRPr="00BD506C">
              <w:rPr>
                <w:rFonts w:ascii="Calibri" w:hAnsi="Calibri"/>
                <w:b/>
                <w:bCs/>
                <w:spacing w:val="-1"/>
                <w:sz w:val="20"/>
                <w:lang w:eastAsia="it-IT"/>
              </w:rPr>
              <w:br/>
              <w:t>reported by ITU Management</w:t>
            </w:r>
          </w:p>
        </w:tc>
      </w:tr>
      <w:tr w:rsidR="006A737D" w:rsidRPr="00DD52D7" w:rsidTr="00D6054C">
        <w:trPr>
          <w:cantSplit/>
          <w:trHeight w:val="1530"/>
        </w:trPr>
        <w:tc>
          <w:tcPr>
            <w:tcW w:w="461" w:type="pct"/>
            <w:tcBorders>
              <w:top w:val="single" w:sz="4" w:space="0" w:color="auto"/>
              <w:left w:val="single" w:sz="4" w:space="0" w:color="auto"/>
              <w:bottom w:val="single" w:sz="4" w:space="0" w:color="auto"/>
              <w:right w:val="single" w:sz="4" w:space="0" w:color="auto"/>
            </w:tcBorders>
          </w:tcPr>
          <w:p w:rsidR="006A737D" w:rsidRDefault="006A737D" w:rsidP="002E69D7">
            <w:pPr>
              <w:widowControl w:val="0"/>
              <w:kinsoku w:val="0"/>
              <w:adjustRightInd/>
              <w:jc w:val="center"/>
              <w:rPr>
                <w:rFonts w:ascii="Calibri" w:hAnsi="Calibri"/>
                <w:b/>
                <w:bCs/>
                <w:sz w:val="20"/>
                <w:lang w:eastAsia="it-IT"/>
              </w:rPr>
            </w:pPr>
            <w:r>
              <w:rPr>
                <w:rFonts w:ascii="Calibri" w:hAnsi="Calibri"/>
                <w:b/>
                <w:bCs/>
                <w:sz w:val="20"/>
                <w:lang w:eastAsia="it-IT"/>
              </w:rPr>
              <w:t>Rec 1/2016</w:t>
            </w:r>
          </w:p>
        </w:tc>
        <w:tc>
          <w:tcPr>
            <w:tcW w:w="1428" w:type="pct"/>
            <w:tcBorders>
              <w:top w:val="single" w:sz="4" w:space="0" w:color="auto"/>
              <w:left w:val="single" w:sz="4" w:space="0" w:color="auto"/>
              <w:bottom w:val="single" w:sz="4" w:space="0" w:color="auto"/>
              <w:right w:val="single" w:sz="4" w:space="0" w:color="auto"/>
            </w:tcBorders>
          </w:tcPr>
          <w:p w:rsidR="006A737D" w:rsidRPr="00EE7172" w:rsidRDefault="006A737D" w:rsidP="00ED05A3">
            <w:pPr>
              <w:widowControl w:val="0"/>
              <w:kinsoku w:val="0"/>
              <w:spacing w:after="120"/>
              <w:ind w:left="167" w:right="57"/>
              <w:rPr>
                <w:rFonts w:asciiTheme="majorHAnsi" w:hAnsiTheme="majorHAnsi"/>
                <w:sz w:val="20"/>
                <w:lang w:eastAsia="it-IT"/>
              </w:rPr>
            </w:pPr>
            <w:r w:rsidRPr="00EE7172">
              <w:rPr>
                <w:rFonts w:asciiTheme="majorHAnsi" w:hAnsiTheme="majorHAnsi"/>
                <w:sz w:val="20"/>
                <w:lang w:eastAsia="it-IT"/>
              </w:rPr>
              <w:t>Considering the retirement projection for the next ten years and the risk of discontinuity potentially involved, we recommend that Management should adopt a formal succession planning strategy, to be integrated in the HR Strategic Plan. This strategy should specify critical roles and positions against ITU objectives and needs, and set out plans for the immediate future (transfer of knowledge) and for the longer term (based, amongst other things, on the inventory of skills provided in the recent Competency framework to identify the internal potential to take over).</w:t>
            </w:r>
          </w:p>
        </w:tc>
        <w:tc>
          <w:tcPr>
            <w:tcW w:w="1516" w:type="pct"/>
            <w:tcBorders>
              <w:top w:val="single" w:sz="4" w:space="0" w:color="auto"/>
              <w:left w:val="single" w:sz="4" w:space="0" w:color="auto"/>
              <w:bottom w:val="single" w:sz="4" w:space="0" w:color="auto"/>
              <w:right w:val="single" w:sz="4" w:space="0" w:color="auto"/>
            </w:tcBorders>
          </w:tcPr>
          <w:p w:rsidR="006A737D" w:rsidRPr="00EE7172" w:rsidRDefault="006A737D" w:rsidP="00CF69AA">
            <w:pPr>
              <w:widowControl w:val="0"/>
              <w:kinsoku w:val="0"/>
              <w:ind w:left="167" w:right="57"/>
              <w:rPr>
                <w:rFonts w:asciiTheme="majorHAnsi" w:hAnsiTheme="majorHAnsi"/>
                <w:sz w:val="20"/>
                <w:lang w:eastAsia="it-IT"/>
              </w:rPr>
            </w:pPr>
            <w:r w:rsidRPr="00EE7172">
              <w:rPr>
                <w:rFonts w:asciiTheme="majorHAnsi" w:hAnsiTheme="majorHAnsi"/>
                <w:sz w:val="20"/>
                <w:lang w:eastAsia="it-IT"/>
              </w:rPr>
              <w:t>HRMD will consult the Bureau and GS Departments to develop a succession planning strategy aimed at preserving institutional knowledge and ensuring continuity in the delivery of the mandate of the Union</w:t>
            </w:r>
          </w:p>
        </w:tc>
        <w:tc>
          <w:tcPr>
            <w:tcW w:w="1595" w:type="pct"/>
            <w:tcBorders>
              <w:top w:val="single" w:sz="4" w:space="0" w:color="auto"/>
              <w:left w:val="single" w:sz="4" w:space="0" w:color="auto"/>
              <w:bottom w:val="single" w:sz="4" w:space="0" w:color="auto"/>
              <w:right w:val="single" w:sz="4" w:space="0" w:color="auto"/>
            </w:tcBorders>
          </w:tcPr>
          <w:p w:rsidR="006A737D" w:rsidRPr="00EE7172" w:rsidRDefault="00461033" w:rsidP="00EE7172">
            <w:pPr>
              <w:ind w:left="167" w:right="57"/>
              <w:rPr>
                <w:rFonts w:asciiTheme="majorHAnsi" w:hAnsiTheme="majorHAnsi"/>
                <w:sz w:val="20"/>
                <w:lang w:eastAsia="it-IT"/>
              </w:rPr>
            </w:pPr>
            <w:r w:rsidRPr="00EE7172">
              <w:rPr>
                <w:rFonts w:asciiTheme="majorHAnsi" w:hAnsiTheme="majorHAnsi"/>
                <w:b/>
                <w:bCs/>
                <w:sz w:val="20"/>
                <w:lang w:eastAsia="it-IT"/>
              </w:rPr>
              <w:t>Update as of December 2017:</w:t>
            </w:r>
            <w:r w:rsidR="00794883" w:rsidRPr="00EE7172">
              <w:rPr>
                <w:rFonts w:asciiTheme="majorHAnsi" w:hAnsiTheme="majorHAnsi"/>
                <w:b/>
                <w:bCs/>
                <w:sz w:val="20"/>
                <w:lang w:eastAsia="it-IT"/>
              </w:rPr>
              <w:t xml:space="preserve"> </w:t>
            </w:r>
            <w:r w:rsidR="00235BD3" w:rsidRPr="00EE7172">
              <w:rPr>
                <w:rFonts w:asciiTheme="majorHAnsi" w:hAnsiTheme="majorHAnsi"/>
                <w:b/>
                <w:bCs/>
                <w:sz w:val="20"/>
                <w:lang w:eastAsia="it-IT"/>
              </w:rPr>
              <w:t xml:space="preserve"> </w:t>
            </w:r>
            <w:r w:rsidR="0048054A" w:rsidRPr="00EE7172">
              <w:rPr>
                <w:rFonts w:asciiTheme="majorHAnsi" w:hAnsiTheme="majorHAnsi"/>
                <w:sz w:val="20"/>
                <w:lang w:eastAsia="it-IT"/>
              </w:rPr>
              <w:t>The HRMD service responsible for th</w:t>
            </w:r>
            <w:r w:rsidR="00235BD3" w:rsidRPr="00EE7172">
              <w:rPr>
                <w:rFonts w:asciiTheme="majorHAnsi" w:hAnsiTheme="majorHAnsi"/>
                <w:sz w:val="20"/>
                <w:lang w:eastAsia="it-IT"/>
              </w:rPr>
              <w:t>is</w:t>
            </w:r>
            <w:r w:rsidR="0048054A" w:rsidRPr="00EE7172">
              <w:rPr>
                <w:rFonts w:asciiTheme="majorHAnsi" w:hAnsiTheme="majorHAnsi"/>
                <w:sz w:val="20"/>
                <w:lang w:eastAsia="it-IT"/>
              </w:rPr>
              <w:t xml:space="preserve"> action being deeply involved in the implementation of the new e-PMDS (performance management and development system), confirms that </w:t>
            </w:r>
            <w:r w:rsidR="00235BD3" w:rsidRPr="00EE7172">
              <w:rPr>
                <w:rFonts w:asciiTheme="majorHAnsi" w:hAnsiTheme="majorHAnsi"/>
                <w:sz w:val="20"/>
                <w:lang w:eastAsia="it-IT"/>
              </w:rPr>
              <w:t xml:space="preserve">the </w:t>
            </w:r>
            <w:r w:rsidR="0048054A" w:rsidRPr="00EE7172">
              <w:rPr>
                <w:rFonts w:asciiTheme="majorHAnsi" w:hAnsiTheme="majorHAnsi"/>
                <w:sz w:val="20"/>
                <w:lang w:eastAsia="it-IT"/>
              </w:rPr>
              <w:t xml:space="preserve">recommendation </w:t>
            </w:r>
            <w:proofErr w:type="gramStart"/>
            <w:r w:rsidR="0048054A" w:rsidRPr="00EE7172">
              <w:rPr>
                <w:rFonts w:asciiTheme="majorHAnsi" w:hAnsiTheme="majorHAnsi"/>
                <w:sz w:val="20"/>
                <w:lang w:eastAsia="it-IT"/>
              </w:rPr>
              <w:t>will be implemented</w:t>
            </w:r>
            <w:proofErr w:type="gramEnd"/>
            <w:r w:rsidR="0048054A" w:rsidRPr="00EE7172">
              <w:rPr>
                <w:rFonts w:asciiTheme="majorHAnsi" w:hAnsiTheme="majorHAnsi"/>
                <w:sz w:val="20"/>
                <w:lang w:eastAsia="it-IT"/>
              </w:rPr>
              <w:t xml:space="preserve"> in the first </w:t>
            </w:r>
            <w:r w:rsidR="00235BD3" w:rsidRPr="00EE7172">
              <w:rPr>
                <w:rFonts w:asciiTheme="majorHAnsi" w:hAnsiTheme="majorHAnsi"/>
                <w:sz w:val="20"/>
                <w:lang w:eastAsia="it-IT"/>
              </w:rPr>
              <w:t>quarter of</w:t>
            </w:r>
            <w:r w:rsidR="0048054A" w:rsidRPr="00EE7172">
              <w:rPr>
                <w:rFonts w:asciiTheme="majorHAnsi" w:hAnsiTheme="majorHAnsi"/>
                <w:sz w:val="20"/>
                <w:lang w:eastAsia="it-IT"/>
              </w:rPr>
              <w:t xml:space="preserve"> 2018</w:t>
            </w:r>
            <w:r w:rsidR="006833F6" w:rsidRPr="00EE7172">
              <w:rPr>
                <w:rFonts w:asciiTheme="majorHAnsi" w:hAnsiTheme="majorHAnsi"/>
                <w:sz w:val="20"/>
                <w:lang w:eastAsia="it-IT"/>
              </w:rPr>
              <w:t>.</w:t>
            </w:r>
          </w:p>
        </w:tc>
      </w:tr>
      <w:tr w:rsidR="006A737D" w:rsidRPr="00DD52D7" w:rsidTr="00D6054C">
        <w:trPr>
          <w:cantSplit/>
          <w:trHeight w:val="1530"/>
        </w:trPr>
        <w:tc>
          <w:tcPr>
            <w:tcW w:w="461" w:type="pct"/>
            <w:tcBorders>
              <w:top w:val="single" w:sz="4" w:space="0" w:color="auto"/>
              <w:left w:val="single" w:sz="4" w:space="0" w:color="auto"/>
              <w:bottom w:val="single" w:sz="4" w:space="0" w:color="auto"/>
              <w:right w:val="single" w:sz="4" w:space="0" w:color="auto"/>
            </w:tcBorders>
          </w:tcPr>
          <w:p w:rsidR="006A737D" w:rsidRDefault="006A737D" w:rsidP="002E69D7">
            <w:pPr>
              <w:widowControl w:val="0"/>
              <w:kinsoku w:val="0"/>
              <w:adjustRightInd/>
              <w:jc w:val="center"/>
              <w:rPr>
                <w:rFonts w:ascii="Calibri" w:hAnsi="Calibri"/>
                <w:b/>
                <w:bCs/>
                <w:sz w:val="20"/>
                <w:lang w:eastAsia="it-IT"/>
              </w:rPr>
            </w:pPr>
            <w:r>
              <w:rPr>
                <w:rFonts w:ascii="Calibri" w:hAnsi="Calibri"/>
                <w:b/>
                <w:bCs/>
                <w:sz w:val="20"/>
                <w:lang w:eastAsia="it-IT"/>
              </w:rPr>
              <w:t>Rec 2/2016</w:t>
            </w:r>
          </w:p>
        </w:tc>
        <w:tc>
          <w:tcPr>
            <w:tcW w:w="1428" w:type="pct"/>
            <w:tcBorders>
              <w:top w:val="single" w:sz="4" w:space="0" w:color="auto"/>
              <w:left w:val="single" w:sz="4" w:space="0" w:color="auto"/>
              <w:bottom w:val="single" w:sz="4" w:space="0" w:color="auto"/>
              <w:right w:val="single" w:sz="4" w:space="0" w:color="auto"/>
            </w:tcBorders>
          </w:tcPr>
          <w:p w:rsidR="006A737D" w:rsidRPr="00EE7172" w:rsidRDefault="006A737D" w:rsidP="00EE7172">
            <w:pPr>
              <w:widowControl w:val="0"/>
              <w:kinsoku w:val="0"/>
              <w:spacing w:after="120"/>
              <w:ind w:left="170" w:right="57"/>
              <w:rPr>
                <w:rFonts w:ascii="Calibri Light" w:hAnsi="Calibri Light"/>
                <w:sz w:val="20"/>
                <w:lang w:eastAsia="it-IT"/>
              </w:rPr>
            </w:pPr>
            <w:r w:rsidRPr="00EE7172">
              <w:rPr>
                <w:rFonts w:ascii="Calibri Light" w:hAnsi="Calibri Light"/>
                <w:sz w:val="20"/>
                <w:lang w:eastAsia="it-IT"/>
              </w:rPr>
              <w:t>We therefore recommend that Management should submit to the Council a proposal for amending the Financial Regulations and Financial Rules in order to be consistent with the procurement principles found in Service Order</w:t>
            </w:r>
            <w:r w:rsidR="00235BD3" w:rsidRPr="00EE7172">
              <w:rPr>
                <w:rFonts w:ascii="Calibri Light" w:hAnsi="Calibri Light"/>
                <w:sz w:val="20"/>
                <w:lang w:eastAsia="it-IT"/>
              </w:rPr>
              <w:t xml:space="preserve"> No. 14/06</w:t>
            </w:r>
            <w:r w:rsidRPr="00EE7172">
              <w:rPr>
                <w:rFonts w:ascii="Calibri Light" w:hAnsi="Calibri Light"/>
                <w:sz w:val="20"/>
                <w:lang w:eastAsia="it-IT"/>
              </w:rPr>
              <w:t xml:space="preserve"> which shall be aligned</w:t>
            </w:r>
            <w:r w:rsidR="00235BD3" w:rsidRPr="00EE7172">
              <w:rPr>
                <w:rFonts w:ascii="Calibri Light" w:hAnsi="Calibri Light"/>
                <w:sz w:val="20"/>
                <w:lang w:eastAsia="it-IT"/>
              </w:rPr>
              <w:t>.</w:t>
            </w:r>
          </w:p>
        </w:tc>
        <w:tc>
          <w:tcPr>
            <w:tcW w:w="1516" w:type="pct"/>
            <w:tcBorders>
              <w:top w:val="single" w:sz="4" w:space="0" w:color="auto"/>
              <w:left w:val="single" w:sz="4" w:space="0" w:color="auto"/>
              <w:bottom w:val="single" w:sz="4" w:space="0" w:color="auto"/>
              <w:right w:val="single" w:sz="4" w:space="0" w:color="auto"/>
            </w:tcBorders>
          </w:tcPr>
          <w:p w:rsidR="006A737D" w:rsidRPr="00EE7172" w:rsidRDefault="006A737D" w:rsidP="00ED05A3">
            <w:pPr>
              <w:widowControl w:val="0"/>
              <w:kinsoku w:val="0"/>
              <w:ind w:left="167" w:right="57"/>
              <w:rPr>
                <w:rFonts w:ascii="Calibri Light" w:hAnsi="Calibri Light"/>
                <w:sz w:val="20"/>
                <w:lang w:eastAsia="it-IT"/>
              </w:rPr>
            </w:pPr>
            <w:r w:rsidRPr="00EE7172">
              <w:rPr>
                <w:rFonts w:ascii="Calibri Light" w:hAnsi="Calibri Light"/>
                <w:sz w:val="20"/>
                <w:lang w:eastAsia="it-IT"/>
              </w:rPr>
              <w:t xml:space="preserve">ITU takes note of this recommendation and shall consider preparing a proposal </w:t>
            </w:r>
            <w:r w:rsidR="00235BD3" w:rsidRPr="00EE7172">
              <w:rPr>
                <w:rFonts w:ascii="Calibri Light" w:hAnsi="Calibri Light"/>
                <w:sz w:val="20"/>
                <w:lang w:eastAsia="it-IT"/>
              </w:rPr>
              <w:t>to</w:t>
            </w:r>
            <w:r w:rsidRPr="00EE7172">
              <w:rPr>
                <w:rFonts w:ascii="Calibri Light" w:hAnsi="Calibri Light"/>
                <w:sz w:val="20"/>
                <w:lang w:eastAsia="it-IT"/>
              </w:rPr>
              <w:t xml:space="preserve"> Council.</w:t>
            </w:r>
          </w:p>
        </w:tc>
        <w:tc>
          <w:tcPr>
            <w:tcW w:w="1595" w:type="pct"/>
            <w:tcBorders>
              <w:top w:val="single" w:sz="4" w:space="0" w:color="auto"/>
              <w:left w:val="single" w:sz="4" w:space="0" w:color="auto"/>
              <w:bottom w:val="single" w:sz="4" w:space="0" w:color="auto"/>
              <w:right w:val="single" w:sz="4" w:space="0" w:color="auto"/>
            </w:tcBorders>
          </w:tcPr>
          <w:p w:rsidR="006A737D" w:rsidRPr="00EE7172" w:rsidRDefault="00461033" w:rsidP="00EE7172">
            <w:pPr>
              <w:ind w:left="167" w:right="57"/>
              <w:rPr>
                <w:rFonts w:ascii="Calibri Light" w:hAnsi="Calibri Light"/>
                <w:sz w:val="20"/>
                <w:lang w:eastAsia="it-IT"/>
              </w:rPr>
            </w:pPr>
            <w:r w:rsidRPr="00EE7172">
              <w:rPr>
                <w:rFonts w:ascii="Calibri Light" w:hAnsi="Calibri Light"/>
                <w:b/>
                <w:bCs/>
                <w:sz w:val="20"/>
                <w:lang w:eastAsia="it-IT"/>
              </w:rPr>
              <w:t>Update as of December 2017:</w:t>
            </w:r>
            <w:r w:rsidR="00235BD3" w:rsidRPr="00EE7172">
              <w:rPr>
                <w:rFonts w:ascii="Calibri Light" w:hAnsi="Calibri Light"/>
                <w:b/>
                <w:bCs/>
                <w:sz w:val="20"/>
                <w:lang w:eastAsia="it-IT"/>
              </w:rPr>
              <w:t xml:space="preserve">  </w:t>
            </w:r>
            <w:r w:rsidR="006833F6" w:rsidRPr="00EE7172">
              <w:rPr>
                <w:rFonts w:ascii="Calibri Light" w:hAnsi="Calibri Light"/>
                <w:sz w:val="20"/>
                <w:lang w:eastAsia="it-IT"/>
              </w:rPr>
              <w:t xml:space="preserve">An amendment </w:t>
            </w:r>
            <w:r w:rsidR="00235BD3" w:rsidRPr="00EE7172">
              <w:rPr>
                <w:rFonts w:ascii="Calibri Light" w:hAnsi="Calibri Light"/>
                <w:sz w:val="20"/>
                <w:lang w:eastAsia="it-IT"/>
              </w:rPr>
              <w:t>to</w:t>
            </w:r>
            <w:r w:rsidR="006833F6" w:rsidRPr="00EE7172">
              <w:rPr>
                <w:rFonts w:ascii="Calibri Light" w:hAnsi="Calibri Light"/>
                <w:sz w:val="20"/>
                <w:lang w:eastAsia="it-IT"/>
              </w:rPr>
              <w:t xml:space="preserve"> </w:t>
            </w:r>
            <w:r w:rsidR="00235BD3" w:rsidRPr="00EE7172">
              <w:rPr>
                <w:rFonts w:ascii="Calibri Light" w:hAnsi="Calibri Light"/>
                <w:sz w:val="20"/>
                <w:lang w:eastAsia="it-IT"/>
              </w:rPr>
              <w:t>t</w:t>
            </w:r>
            <w:r w:rsidR="000B663B" w:rsidRPr="00EE7172">
              <w:rPr>
                <w:rFonts w:ascii="Calibri Light" w:hAnsi="Calibri Light"/>
                <w:sz w:val="20"/>
                <w:lang w:eastAsia="it-IT"/>
              </w:rPr>
              <w:t xml:space="preserve">he Financial </w:t>
            </w:r>
            <w:r w:rsidR="00235BD3" w:rsidRPr="00EE7172">
              <w:rPr>
                <w:rFonts w:ascii="Calibri Light" w:hAnsi="Calibri Light"/>
                <w:sz w:val="20"/>
                <w:lang w:eastAsia="it-IT"/>
              </w:rPr>
              <w:t xml:space="preserve">Regulations and Financial </w:t>
            </w:r>
            <w:r w:rsidR="000B663B" w:rsidRPr="00EE7172">
              <w:rPr>
                <w:rFonts w:ascii="Calibri Light" w:hAnsi="Calibri Light"/>
                <w:sz w:val="20"/>
                <w:lang w:eastAsia="it-IT"/>
              </w:rPr>
              <w:t xml:space="preserve">Rules </w:t>
            </w:r>
            <w:proofErr w:type="gramStart"/>
            <w:r w:rsidR="006833F6" w:rsidRPr="00EE7172">
              <w:rPr>
                <w:rFonts w:ascii="Calibri Light" w:hAnsi="Calibri Light"/>
                <w:sz w:val="20"/>
                <w:lang w:eastAsia="it-IT"/>
              </w:rPr>
              <w:t>is presented</w:t>
            </w:r>
            <w:proofErr w:type="gramEnd"/>
            <w:r w:rsidR="006833F6" w:rsidRPr="00EE7172">
              <w:rPr>
                <w:rFonts w:ascii="Calibri Light" w:hAnsi="Calibri Light"/>
                <w:sz w:val="20"/>
                <w:lang w:eastAsia="it-IT"/>
              </w:rPr>
              <w:t xml:space="preserve"> to this session of the CW</w:t>
            </w:r>
            <w:r w:rsidR="00235BD3" w:rsidRPr="00EE7172">
              <w:rPr>
                <w:rFonts w:ascii="Calibri Light" w:hAnsi="Calibri Light"/>
                <w:sz w:val="20"/>
                <w:lang w:eastAsia="it-IT"/>
              </w:rPr>
              <w:t>G-</w:t>
            </w:r>
            <w:r w:rsidR="006833F6" w:rsidRPr="00EE7172">
              <w:rPr>
                <w:rFonts w:ascii="Calibri Light" w:hAnsi="Calibri Light"/>
                <w:sz w:val="20"/>
                <w:lang w:eastAsia="it-IT"/>
              </w:rPr>
              <w:t>FHR to reflect this recommendation.</w:t>
            </w:r>
          </w:p>
        </w:tc>
      </w:tr>
      <w:tr w:rsidR="006A737D" w:rsidRPr="00DD52D7" w:rsidTr="00D6054C">
        <w:trPr>
          <w:cantSplit/>
          <w:trHeight w:val="1530"/>
        </w:trPr>
        <w:tc>
          <w:tcPr>
            <w:tcW w:w="461" w:type="pct"/>
            <w:tcBorders>
              <w:top w:val="single" w:sz="4" w:space="0" w:color="auto"/>
              <w:left w:val="single" w:sz="4" w:space="0" w:color="auto"/>
              <w:bottom w:val="single" w:sz="4" w:space="0" w:color="auto"/>
              <w:right w:val="single" w:sz="4" w:space="0" w:color="auto"/>
            </w:tcBorders>
          </w:tcPr>
          <w:p w:rsidR="006A737D" w:rsidRDefault="006A737D" w:rsidP="002E69D7">
            <w:pPr>
              <w:widowControl w:val="0"/>
              <w:kinsoku w:val="0"/>
              <w:adjustRightInd/>
              <w:jc w:val="center"/>
              <w:rPr>
                <w:rFonts w:ascii="Calibri" w:hAnsi="Calibri"/>
                <w:b/>
                <w:bCs/>
                <w:sz w:val="20"/>
                <w:lang w:eastAsia="it-IT"/>
              </w:rPr>
            </w:pPr>
            <w:r>
              <w:rPr>
                <w:rFonts w:ascii="Calibri" w:hAnsi="Calibri"/>
                <w:b/>
                <w:bCs/>
                <w:sz w:val="20"/>
                <w:lang w:eastAsia="it-IT"/>
              </w:rPr>
              <w:lastRenderedPageBreak/>
              <w:t>Rec 3/2016</w:t>
            </w:r>
          </w:p>
        </w:tc>
        <w:tc>
          <w:tcPr>
            <w:tcW w:w="1428" w:type="pct"/>
            <w:tcBorders>
              <w:top w:val="single" w:sz="4" w:space="0" w:color="auto"/>
              <w:left w:val="single" w:sz="4" w:space="0" w:color="auto"/>
              <w:bottom w:val="single" w:sz="4" w:space="0" w:color="auto"/>
              <w:right w:val="single" w:sz="4" w:space="0" w:color="auto"/>
            </w:tcBorders>
          </w:tcPr>
          <w:p w:rsidR="006A737D" w:rsidRPr="00EE7172" w:rsidRDefault="006A737D" w:rsidP="00EE7172">
            <w:pPr>
              <w:widowControl w:val="0"/>
              <w:kinsoku w:val="0"/>
              <w:ind w:left="170" w:right="57"/>
              <w:rPr>
                <w:rFonts w:asciiTheme="majorHAnsi" w:hAnsiTheme="majorHAnsi"/>
                <w:sz w:val="20"/>
                <w:lang w:eastAsia="it-IT"/>
              </w:rPr>
            </w:pPr>
            <w:r w:rsidRPr="00EE7172">
              <w:rPr>
                <w:rFonts w:asciiTheme="majorHAnsi" w:hAnsiTheme="majorHAnsi"/>
                <w:sz w:val="20"/>
                <w:lang w:eastAsia="it-IT"/>
              </w:rPr>
              <w:t>We acknowledge that ITU regularly publishes all the tenders above CHF 50’000 on UNGM, however, in order to enhance the level of transparency of the procurement process, and, overall, in order to achieve the objective envisaged by the mandate of the United Nations General Assembly, we recommend that it should also regularly publish all the tenders (for goods and services) below CHF</w:t>
            </w:r>
            <w:r w:rsidR="00ED05A3" w:rsidRPr="00EE7172">
              <w:rPr>
                <w:rFonts w:asciiTheme="majorHAnsi" w:hAnsiTheme="majorHAnsi"/>
                <w:sz w:val="20"/>
                <w:lang w:eastAsia="it-IT"/>
              </w:rPr>
              <w:t> </w:t>
            </w:r>
            <w:r w:rsidRPr="00EE7172">
              <w:rPr>
                <w:rFonts w:asciiTheme="majorHAnsi" w:hAnsiTheme="majorHAnsi"/>
                <w:sz w:val="20"/>
                <w:lang w:eastAsia="it-IT"/>
              </w:rPr>
              <w:t>50’000</w:t>
            </w:r>
          </w:p>
        </w:tc>
        <w:tc>
          <w:tcPr>
            <w:tcW w:w="1516" w:type="pct"/>
            <w:tcBorders>
              <w:top w:val="single" w:sz="4" w:space="0" w:color="auto"/>
              <w:left w:val="single" w:sz="4" w:space="0" w:color="auto"/>
              <w:bottom w:val="single" w:sz="4" w:space="0" w:color="auto"/>
              <w:right w:val="single" w:sz="4" w:space="0" w:color="auto"/>
            </w:tcBorders>
          </w:tcPr>
          <w:p w:rsidR="006A737D" w:rsidRPr="00EE7172" w:rsidRDefault="006A737D" w:rsidP="00ED05A3">
            <w:pPr>
              <w:widowControl w:val="0"/>
              <w:kinsoku w:val="0"/>
              <w:spacing w:after="120"/>
              <w:ind w:left="167" w:right="57"/>
              <w:rPr>
                <w:rFonts w:asciiTheme="majorHAnsi" w:hAnsiTheme="majorHAnsi"/>
                <w:sz w:val="20"/>
                <w:lang w:eastAsia="it-IT"/>
              </w:rPr>
            </w:pPr>
            <w:r w:rsidRPr="00EE7172">
              <w:rPr>
                <w:rFonts w:asciiTheme="majorHAnsi" w:hAnsiTheme="majorHAnsi"/>
                <w:sz w:val="20"/>
                <w:lang w:eastAsia="it-IT"/>
              </w:rPr>
              <w:t>ITU takes notes of this recommendation and affirms that the purpose of publishing on the UNGM is to allow for international competition, which is a requirement for tenders above CHF</w:t>
            </w:r>
            <w:r w:rsidR="00235BD3" w:rsidRPr="00EE7172">
              <w:rPr>
                <w:rFonts w:asciiTheme="majorHAnsi" w:hAnsiTheme="majorHAnsi"/>
                <w:sz w:val="20"/>
                <w:lang w:eastAsia="it-IT"/>
              </w:rPr>
              <w:t> </w:t>
            </w:r>
            <w:r w:rsidRPr="00EE7172">
              <w:rPr>
                <w:rFonts w:asciiTheme="majorHAnsi" w:hAnsiTheme="majorHAnsi"/>
                <w:sz w:val="20"/>
                <w:lang w:eastAsia="it-IT"/>
              </w:rPr>
              <w:t xml:space="preserve">100’000 as per the current Service Order. It is the current practice to also publish tenders above CHF 50’000 (and below CHF 100’000) on UNGM. At times when the circumstances so require, international competition may also be sought for lower value tenders. </w:t>
            </w:r>
          </w:p>
        </w:tc>
        <w:tc>
          <w:tcPr>
            <w:tcW w:w="1595" w:type="pct"/>
            <w:tcBorders>
              <w:top w:val="single" w:sz="4" w:space="0" w:color="auto"/>
              <w:left w:val="single" w:sz="4" w:space="0" w:color="auto"/>
              <w:bottom w:val="single" w:sz="4" w:space="0" w:color="auto"/>
              <w:right w:val="single" w:sz="4" w:space="0" w:color="auto"/>
            </w:tcBorders>
          </w:tcPr>
          <w:p w:rsidR="006833F6" w:rsidRPr="00EE7172" w:rsidRDefault="00461033" w:rsidP="00EE7172">
            <w:pPr>
              <w:ind w:left="167" w:right="57"/>
              <w:rPr>
                <w:rFonts w:asciiTheme="majorHAnsi" w:hAnsiTheme="majorHAnsi"/>
                <w:sz w:val="20"/>
                <w:lang w:eastAsia="it-IT"/>
              </w:rPr>
            </w:pPr>
            <w:r w:rsidRPr="00EE7172">
              <w:rPr>
                <w:rFonts w:asciiTheme="majorHAnsi" w:hAnsiTheme="majorHAnsi"/>
                <w:b/>
                <w:bCs/>
                <w:sz w:val="20"/>
                <w:lang w:eastAsia="it-IT"/>
              </w:rPr>
              <w:t>Update as of December 2017</w:t>
            </w:r>
            <w:r w:rsidRPr="00EE7172">
              <w:rPr>
                <w:rFonts w:asciiTheme="majorHAnsi" w:hAnsiTheme="majorHAnsi"/>
                <w:sz w:val="20"/>
                <w:lang w:eastAsia="it-IT"/>
              </w:rPr>
              <w:t>:</w:t>
            </w:r>
            <w:r w:rsidR="008F41B8" w:rsidRPr="00EE7172">
              <w:rPr>
                <w:rFonts w:asciiTheme="majorHAnsi" w:hAnsiTheme="majorHAnsi"/>
                <w:sz w:val="20"/>
                <w:lang w:eastAsia="it-IT"/>
              </w:rPr>
              <w:t xml:space="preserve"> </w:t>
            </w:r>
          </w:p>
          <w:p w:rsidR="000C47E2" w:rsidRPr="00EE7172" w:rsidRDefault="000C47E2" w:rsidP="00EE7172">
            <w:pPr>
              <w:ind w:left="167" w:right="57"/>
              <w:rPr>
                <w:rFonts w:asciiTheme="majorHAnsi" w:hAnsiTheme="majorHAnsi"/>
                <w:sz w:val="20"/>
                <w:lang w:eastAsia="it-IT"/>
              </w:rPr>
            </w:pPr>
            <w:r w:rsidRPr="00EE7172">
              <w:rPr>
                <w:rFonts w:asciiTheme="majorHAnsi" w:hAnsiTheme="majorHAnsi"/>
                <w:sz w:val="20"/>
                <w:lang w:eastAsia="it-IT"/>
              </w:rPr>
              <w:t>In progress</w:t>
            </w:r>
            <w:r w:rsidR="00235BD3" w:rsidRPr="00EE7172">
              <w:rPr>
                <w:rFonts w:asciiTheme="majorHAnsi" w:hAnsiTheme="majorHAnsi"/>
                <w:sz w:val="20"/>
                <w:lang w:eastAsia="it-IT"/>
              </w:rPr>
              <w:t>.</w:t>
            </w:r>
          </w:p>
          <w:p w:rsidR="006A737D" w:rsidRPr="00EE7172" w:rsidRDefault="000C47E2" w:rsidP="00EE7172">
            <w:pPr>
              <w:ind w:left="167" w:right="57"/>
              <w:rPr>
                <w:rFonts w:asciiTheme="majorHAnsi" w:hAnsiTheme="majorHAnsi"/>
                <w:sz w:val="20"/>
                <w:lang w:eastAsia="it-IT"/>
              </w:rPr>
            </w:pPr>
            <w:r w:rsidRPr="00EE7172">
              <w:rPr>
                <w:rFonts w:asciiTheme="majorHAnsi" w:hAnsiTheme="majorHAnsi"/>
                <w:sz w:val="20"/>
                <w:lang w:eastAsia="it-IT"/>
              </w:rPr>
              <w:t>T</w:t>
            </w:r>
            <w:r w:rsidR="006833F6" w:rsidRPr="00EE7172">
              <w:rPr>
                <w:rFonts w:asciiTheme="majorHAnsi" w:hAnsiTheme="majorHAnsi"/>
                <w:sz w:val="20"/>
                <w:lang w:eastAsia="it-IT"/>
              </w:rPr>
              <w:t>he Procurement Manual</w:t>
            </w:r>
            <w:r w:rsidRPr="00EE7172">
              <w:rPr>
                <w:rFonts w:asciiTheme="majorHAnsi" w:hAnsiTheme="majorHAnsi"/>
                <w:sz w:val="20"/>
                <w:lang w:eastAsia="it-IT"/>
              </w:rPr>
              <w:t xml:space="preserve"> is </w:t>
            </w:r>
            <w:r w:rsidR="006833F6" w:rsidRPr="00EE7172">
              <w:rPr>
                <w:rFonts w:asciiTheme="majorHAnsi" w:hAnsiTheme="majorHAnsi"/>
                <w:sz w:val="20"/>
                <w:lang w:eastAsia="it-IT"/>
              </w:rPr>
              <w:t xml:space="preserve">in progress of </w:t>
            </w:r>
            <w:proofErr w:type="gramStart"/>
            <w:r w:rsidR="006833F6" w:rsidRPr="00EE7172">
              <w:rPr>
                <w:rFonts w:asciiTheme="majorHAnsi" w:hAnsiTheme="majorHAnsi"/>
                <w:sz w:val="20"/>
                <w:lang w:eastAsia="it-IT"/>
              </w:rPr>
              <w:t>being drafted</w:t>
            </w:r>
            <w:proofErr w:type="gramEnd"/>
            <w:r w:rsidR="00235BD3" w:rsidRPr="00EE7172">
              <w:rPr>
                <w:rFonts w:asciiTheme="majorHAnsi" w:hAnsiTheme="majorHAnsi"/>
                <w:sz w:val="20"/>
                <w:lang w:eastAsia="it-IT"/>
              </w:rPr>
              <w:t>.</w:t>
            </w:r>
          </w:p>
        </w:tc>
      </w:tr>
      <w:tr w:rsidR="006A737D" w:rsidRPr="00DD52D7" w:rsidTr="00D6054C">
        <w:trPr>
          <w:cantSplit/>
          <w:trHeight w:val="1530"/>
        </w:trPr>
        <w:tc>
          <w:tcPr>
            <w:tcW w:w="461" w:type="pct"/>
            <w:tcBorders>
              <w:top w:val="single" w:sz="4" w:space="0" w:color="auto"/>
              <w:left w:val="single" w:sz="4" w:space="0" w:color="auto"/>
              <w:bottom w:val="single" w:sz="4" w:space="0" w:color="auto"/>
              <w:right w:val="single" w:sz="4" w:space="0" w:color="auto"/>
            </w:tcBorders>
          </w:tcPr>
          <w:p w:rsidR="006A737D" w:rsidRDefault="006A737D" w:rsidP="002E69D7">
            <w:pPr>
              <w:widowControl w:val="0"/>
              <w:kinsoku w:val="0"/>
              <w:adjustRightInd/>
              <w:jc w:val="center"/>
              <w:rPr>
                <w:rFonts w:ascii="Calibri" w:hAnsi="Calibri"/>
                <w:b/>
                <w:bCs/>
                <w:sz w:val="20"/>
                <w:lang w:eastAsia="it-IT"/>
              </w:rPr>
            </w:pPr>
            <w:r>
              <w:rPr>
                <w:rFonts w:ascii="Calibri" w:hAnsi="Calibri"/>
                <w:b/>
                <w:bCs/>
                <w:sz w:val="20"/>
                <w:lang w:eastAsia="it-IT"/>
              </w:rPr>
              <w:t>Rec 4/2016</w:t>
            </w:r>
          </w:p>
        </w:tc>
        <w:tc>
          <w:tcPr>
            <w:tcW w:w="1428" w:type="pct"/>
            <w:tcBorders>
              <w:top w:val="single" w:sz="4" w:space="0" w:color="auto"/>
              <w:left w:val="single" w:sz="4" w:space="0" w:color="auto"/>
              <w:bottom w:val="single" w:sz="4" w:space="0" w:color="auto"/>
              <w:right w:val="single" w:sz="4" w:space="0" w:color="auto"/>
            </w:tcBorders>
          </w:tcPr>
          <w:p w:rsidR="006A737D" w:rsidRPr="00EE7172" w:rsidRDefault="006A737D" w:rsidP="00EE7172">
            <w:pPr>
              <w:widowControl w:val="0"/>
              <w:kinsoku w:val="0"/>
              <w:spacing w:after="120"/>
              <w:ind w:left="170" w:right="57"/>
              <w:rPr>
                <w:rFonts w:asciiTheme="majorHAnsi" w:hAnsiTheme="majorHAnsi"/>
                <w:sz w:val="20"/>
                <w:lang w:eastAsia="it-IT"/>
              </w:rPr>
            </w:pPr>
            <w:r w:rsidRPr="00EE7172">
              <w:rPr>
                <w:rFonts w:asciiTheme="majorHAnsi" w:hAnsiTheme="majorHAnsi"/>
                <w:sz w:val="20"/>
                <w:lang w:eastAsia="it-IT"/>
              </w:rPr>
              <w:t>We share the Internal Auditor’s view and recommend the adoption of: A) a Procurement manual covering all the steps of the procurement process according to the UN best practices on the subject and, also; B) implementation measures with policies and procedures that should serve as guidance to all staff members involved in the various stage of the procurement process.</w:t>
            </w:r>
          </w:p>
        </w:tc>
        <w:tc>
          <w:tcPr>
            <w:tcW w:w="1516" w:type="pct"/>
            <w:tcBorders>
              <w:top w:val="single" w:sz="4" w:space="0" w:color="auto"/>
              <w:left w:val="single" w:sz="4" w:space="0" w:color="auto"/>
              <w:bottom w:val="single" w:sz="4" w:space="0" w:color="auto"/>
              <w:right w:val="single" w:sz="4" w:space="0" w:color="auto"/>
            </w:tcBorders>
          </w:tcPr>
          <w:p w:rsidR="006A737D" w:rsidRPr="00EE7172" w:rsidRDefault="006A737D" w:rsidP="00CF69AA">
            <w:pPr>
              <w:widowControl w:val="0"/>
              <w:kinsoku w:val="0"/>
              <w:ind w:left="167" w:right="57"/>
              <w:rPr>
                <w:rFonts w:asciiTheme="majorHAnsi" w:hAnsiTheme="majorHAnsi"/>
                <w:sz w:val="20"/>
                <w:lang w:eastAsia="it-IT"/>
              </w:rPr>
            </w:pPr>
            <w:r w:rsidRPr="00EE7172">
              <w:rPr>
                <w:rFonts w:asciiTheme="majorHAnsi" w:hAnsiTheme="majorHAnsi"/>
                <w:sz w:val="20"/>
                <w:lang w:eastAsia="it-IT"/>
              </w:rPr>
              <w:t>ITU accepts this recommendation. A Procurement Manual is currently being prepared which will cover all steps of the procurement process and provide guidance on policies and procedures to all staff involved in the various steps of the procurement process</w:t>
            </w:r>
            <w:r w:rsidR="00F80374" w:rsidRPr="00EE7172">
              <w:rPr>
                <w:rFonts w:asciiTheme="majorHAnsi" w:hAnsiTheme="majorHAnsi"/>
                <w:sz w:val="20"/>
                <w:lang w:eastAsia="it-IT"/>
              </w:rPr>
              <w:t>.</w:t>
            </w:r>
          </w:p>
        </w:tc>
        <w:tc>
          <w:tcPr>
            <w:tcW w:w="1595" w:type="pct"/>
            <w:tcBorders>
              <w:top w:val="single" w:sz="4" w:space="0" w:color="auto"/>
              <w:left w:val="single" w:sz="4" w:space="0" w:color="auto"/>
              <w:bottom w:val="single" w:sz="4" w:space="0" w:color="auto"/>
              <w:right w:val="single" w:sz="4" w:space="0" w:color="auto"/>
            </w:tcBorders>
          </w:tcPr>
          <w:p w:rsidR="00461033" w:rsidRPr="00EE7172" w:rsidRDefault="00461033" w:rsidP="00EE7172">
            <w:pPr>
              <w:ind w:left="167" w:right="57"/>
              <w:rPr>
                <w:rFonts w:asciiTheme="majorHAnsi" w:hAnsiTheme="majorHAnsi"/>
                <w:b/>
                <w:bCs/>
                <w:sz w:val="20"/>
                <w:lang w:eastAsia="it-IT"/>
              </w:rPr>
            </w:pPr>
            <w:r w:rsidRPr="00EE7172">
              <w:rPr>
                <w:rFonts w:asciiTheme="majorHAnsi" w:hAnsiTheme="majorHAnsi"/>
                <w:b/>
                <w:bCs/>
                <w:sz w:val="20"/>
                <w:lang w:eastAsia="it-IT"/>
              </w:rPr>
              <w:t>Update as of December 2017:</w:t>
            </w:r>
            <w:r w:rsidR="00794883" w:rsidRPr="00EE7172">
              <w:rPr>
                <w:rFonts w:asciiTheme="majorHAnsi" w:hAnsiTheme="majorHAnsi"/>
                <w:b/>
                <w:bCs/>
                <w:sz w:val="20"/>
                <w:lang w:eastAsia="it-IT"/>
              </w:rPr>
              <w:t xml:space="preserve"> </w:t>
            </w:r>
          </w:p>
          <w:p w:rsidR="000C47E2" w:rsidRPr="00EE7172" w:rsidRDefault="000C47E2" w:rsidP="00EE7172">
            <w:pPr>
              <w:ind w:left="167" w:right="57"/>
              <w:rPr>
                <w:rFonts w:asciiTheme="majorHAnsi" w:hAnsiTheme="majorHAnsi"/>
                <w:sz w:val="20"/>
                <w:lang w:eastAsia="it-IT"/>
              </w:rPr>
            </w:pPr>
            <w:r w:rsidRPr="00EE7172">
              <w:rPr>
                <w:rFonts w:asciiTheme="majorHAnsi" w:hAnsiTheme="majorHAnsi"/>
                <w:sz w:val="20"/>
                <w:lang w:eastAsia="it-IT"/>
              </w:rPr>
              <w:t>In progress</w:t>
            </w:r>
            <w:r w:rsidR="00F80374" w:rsidRPr="00EE7172">
              <w:rPr>
                <w:rFonts w:asciiTheme="majorHAnsi" w:hAnsiTheme="majorHAnsi"/>
                <w:sz w:val="20"/>
                <w:lang w:eastAsia="it-IT"/>
              </w:rPr>
              <w:t>.</w:t>
            </w:r>
          </w:p>
          <w:p w:rsidR="006A737D" w:rsidRPr="00EE7172" w:rsidRDefault="000C47E2" w:rsidP="00EE7172">
            <w:pPr>
              <w:ind w:left="167" w:right="57"/>
              <w:rPr>
                <w:rFonts w:asciiTheme="majorHAnsi" w:hAnsiTheme="majorHAnsi"/>
                <w:sz w:val="20"/>
                <w:lang w:eastAsia="it-IT"/>
              </w:rPr>
            </w:pPr>
            <w:r w:rsidRPr="00EE7172">
              <w:rPr>
                <w:rFonts w:asciiTheme="majorHAnsi" w:hAnsiTheme="majorHAnsi"/>
                <w:sz w:val="20"/>
                <w:lang w:eastAsia="it-IT"/>
              </w:rPr>
              <w:t xml:space="preserve">The Procurement Manual is in progress of </w:t>
            </w:r>
            <w:proofErr w:type="gramStart"/>
            <w:r w:rsidRPr="00EE7172">
              <w:rPr>
                <w:rFonts w:asciiTheme="majorHAnsi" w:hAnsiTheme="majorHAnsi"/>
                <w:sz w:val="20"/>
                <w:lang w:eastAsia="it-IT"/>
              </w:rPr>
              <w:t>being drafted</w:t>
            </w:r>
            <w:proofErr w:type="gramEnd"/>
            <w:r w:rsidR="00F80374" w:rsidRPr="00EE7172">
              <w:rPr>
                <w:rFonts w:asciiTheme="majorHAnsi" w:hAnsiTheme="majorHAnsi"/>
                <w:sz w:val="20"/>
                <w:lang w:eastAsia="it-IT"/>
              </w:rPr>
              <w:t>.</w:t>
            </w:r>
          </w:p>
        </w:tc>
      </w:tr>
      <w:tr w:rsidR="006A737D" w:rsidRPr="00DD52D7" w:rsidTr="00D6054C">
        <w:trPr>
          <w:cantSplit/>
          <w:trHeight w:val="1530"/>
        </w:trPr>
        <w:tc>
          <w:tcPr>
            <w:tcW w:w="461" w:type="pct"/>
            <w:tcBorders>
              <w:top w:val="single" w:sz="4" w:space="0" w:color="auto"/>
              <w:left w:val="single" w:sz="4" w:space="0" w:color="auto"/>
              <w:bottom w:val="single" w:sz="4" w:space="0" w:color="auto"/>
              <w:right w:val="single" w:sz="4" w:space="0" w:color="auto"/>
            </w:tcBorders>
          </w:tcPr>
          <w:p w:rsidR="006A737D" w:rsidRDefault="006A737D" w:rsidP="002E69D7">
            <w:pPr>
              <w:widowControl w:val="0"/>
              <w:kinsoku w:val="0"/>
              <w:adjustRightInd/>
              <w:jc w:val="center"/>
              <w:rPr>
                <w:rFonts w:ascii="Calibri" w:hAnsi="Calibri"/>
                <w:b/>
                <w:bCs/>
                <w:sz w:val="20"/>
                <w:lang w:eastAsia="it-IT"/>
              </w:rPr>
            </w:pPr>
            <w:r>
              <w:rPr>
                <w:rFonts w:ascii="Calibri" w:hAnsi="Calibri"/>
                <w:b/>
                <w:bCs/>
                <w:sz w:val="20"/>
                <w:lang w:eastAsia="it-IT"/>
              </w:rPr>
              <w:t>Rec 5/2016</w:t>
            </w:r>
          </w:p>
        </w:tc>
        <w:tc>
          <w:tcPr>
            <w:tcW w:w="1428" w:type="pct"/>
            <w:tcBorders>
              <w:top w:val="single" w:sz="4" w:space="0" w:color="auto"/>
              <w:left w:val="single" w:sz="4" w:space="0" w:color="auto"/>
              <w:bottom w:val="single" w:sz="4" w:space="0" w:color="auto"/>
              <w:right w:val="single" w:sz="4" w:space="0" w:color="auto"/>
            </w:tcBorders>
          </w:tcPr>
          <w:p w:rsidR="006A737D" w:rsidRPr="00EE7172" w:rsidRDefault="006A737D" w:rsidP="00EE7172">
            <w:pPr>
              <w:widowControl w:val="0"/>
              <w:kinsoku w:val="0"/>
              <w:ind w:left="170" w:right="57"/>
              <w:rPr>
                <w:rFonts w:asciiTheme="majorHAnsi" w:hAnsiTheme="majorHAnsi"/>
                <w:sz w:val="20"/>
                <w:lang w:eastAsia="it-IT"/>
              </w:rPr>
            </w:pPr>
            <w:r w:rsidRPr="00EE7172">
              <w:rPr>
                <w:rFonts w:asciiTheme="majorHAnsi" w:hAnsiTheme="majorHAnsi"/>
                <w:sz w:val="20"/>
                <w:lang w:eastAsia="it-IT"/>
              </w:rPr>
              <w:t xml:space="preserve">We therefore recommend that ITU introduce a written procedure to </w:t>
            </w:r>
            <w:proofErr w:type="gramStart"/>
            <w:r w:rsidRPr="00EE7172">
              <w:rPr>
                <w:rFonts w:asciiTheme="majorHAnsi" w:hAnsiTheme="majorHAnsi"/>
                <w:sz w:val="20"/>
                <w:lang w:eastAsia="it-IT"/>
              </w:rPr>
              <w:t>be followed</w:t>
            </w:r>
            <w:proofErr w:type="gramEnd"/>
            <w:r w:rsidRPr="00EE7172">
              <w:rPr>
                <w:rFonts w:asciiTheme="majorHAnsi" w:hAnsiTheme="majorHAnsi"/>
                <w:sz w:val="20"/>
                <w:lang w:eastAsia="it-IT"/>
              </w:rPr>
              <w:t xml:space="preserve"> by ITU’s staff for procurement cases below CHF</w:t>
            </w:r>
            <w:r w:rsidR="00ED05A3" w:rsidRPr="00EE7172">
              <w:rPr>
                <w:rFonts w:asciiTheme="majorHAnsi" w:hAnsiTheme="majorHAnsi"/>
                <w:sz w:val="20"/>
                <w:lang w:eastAsia="it-IT"/>
              </w:rPr>
              <w:t> </w:t>
            </w:r>
            <w:r w:rsidRPr="00EE7172">
              <w:rPr>
                <w:rFonts w:asciiTheme="majorHAnsi" w:hAnsiTheme="majorHAnsi"/>
                <w:sz w:val="20"/>
                <w:lang w:eastAsia="it-IT"/>
              </w:rPr>
              <w:t xml:space="preserve">20.000. </w:t>
            </w:r>
          </w:p>
        </w:tc>
        <w:tc>
          <w:tcPr>
            <w:tcW w:w="1516" w:type="pct"/>
            <w:tcBorders>
              <w:top w:val="single" w:sz="4" w:space="0" w:color="auto"/>
              <w:left w:val="single" w:sz="4" w:space="0" w:color="auto"/>
              <w:bottom w:val="single" w:sz="4" w:space="0" w:color="auto"/>
              <w:right w:val="single" w:sz="4" w:space="0" w:color="auto"/>
            </w:tcBorders>
          </w:tcPr>
          <w:p w:rsidR="006A737D" w:rsidRPr="00EE7172" w:rsidRDefault="006A737D" w:rsidP="00CF69AA">
            <w:pPr>
              <w:widowControl w:val="0"/>
              <w:kinsoku w:val="0"/>
              <w:ind w:left="167" w:right="57"/>
              <w:rPr>
                <w:rFonts w:asciiTheme="majorHAnsi" w:hAnsiTheme="majorHAnsi"/>
                <w:sz w:val="20"/>
                <w:lang w:eastAsia="it-IT"/>
              </w:rPr>
            </w:pPr>
            <w:r w:rsidRPr="00EE7172">
              <w:rPr>
                <w:rFonts w:asciiTheme="majorHAnsi" w:hAnsiTheme="majorHAnsi"/>
                <w:sz w:val="20"/>
                <w:lang w:eastAsia="it-IT"/>
              </w:rPr>
              <w:t>ITU accepts this recommendation. This will be included in the new Procurement Manual</w:t>
            </w:r>
          </w:p>
        </w:tc>
        <w:tc>
          <w:tcPr>
            <w:tcW w:w="1595" w:type="pct"/>
            <w:tcBorders>
              <w:top w:val="single" w:sz="4" w:space="0" w:color="auto"/>
              <w:left w:val="single" w:sz="4" w:space="0" w:color="auto"/>
              <w:bottom w:val="single" w:sz="4" w:space="0" w:color="auto"/>
              <w:right w:val="single" w:sz="4" w:space="0" w:color="auto"/>
            </w:tcBorders>
          </w:tcPr>
          <w:p w:rsidR="00461033" w:rsidRPr="00EE7172" w:rsidRDefault="00461033" w:rsidP="00EE7172">
            <w:pPr>
              <w:ind w:left="167" w:right="57"/>
              <w:rPr>
                <w:rFonts w:asciiTheme="majorHAnsi" w:hAnsiTheme="majorHAnsi"/>
                <w:b/>
                <w:bCs/>
                <w:sz w:val="20"/>
                <w:lang w:eastAsia="it-IT"/>
              </w:rPr>
            </w:pPr>
            <w:r w:rsidRPr="00EE7172">
              <w:rPr>
                <w:rFonts w:asciiTheme="majorHAnsi" w:hAnsiTheme="majorHAnsi"/>
                <w:b/>
                <w:bCs/>
                <w:sz w:val="20"/>
                <w:lang w:eastAsia="it-IT"/>
              </w:rPr>
              <w:t>Update as of December 2017:</w:t>
            </w:r>
            <w:r w:rsidR="008F41B8" w:rsidRPr="00EE7172">
              <w:rPr>
                <w:rFonts w:asciiTheme="majorHAnsi" w:hAnsiTheme="majorHAnsi"/>
                <w:b/>
                <w:bCs/>
                <w:sz w:val="20"/>
                <w:lang w:eastAsia="it-IT"/>
              </w:rPr>
              <w:t xml:space="preserve"> </w:t>
            </w:r>
          </w:p>
          <w:p w:rsidR="000C47E2" w:rsidRPr="00EE7172" w:rsidRDefault="000C47E2" w:rsidP="00EE7172">
            <w:pPr>
              <w:ind w:left="167" w:right="57"/>
              <w:rPr>
                <w:rFonts w:asciiTheme="majorHAnsi" w:hAnsiTheme="majorHAnsi"/>
                <w:sz w:val="20"/>
                <w:lang w:eastAsia="it-IT"/>
              </w:rPr>
            </w:pPr>
            <w:r w:rsidRPr="00EE7172">
              <w:rPr>
                <w:rFonts w:asciiTheme="majorHAnsi" w:hAnsiTheme="majorHAnsi"/>
                <w:sz w:val="20"/>
                <w:lang w:eastAsia="it-IT"/>
              </w:rPr>
              <w:t>In progress</w:t>
            </w:r>
            <w:r w:rsidR="00F80374" w:rsidRPr="00EE7172">
              <w:rPr>
                <w:rFonts w:asciiTheme="majorHAnsi" w:hAnsiTheme="majorHAnsi"/>
                <w:sz w:val="20"/>
                <w:lang w:eastAsia="it-IT"/>
              </w:rPr>
              <w:t>.</w:t>
            </w:r>
          </w:p>
          <w:p w:rsidR="006A737D" w:rsidRPr="00EE7172" w:rsidRDefault="000C47E2" w:rsidP="00EE7172">
            <w:pPr>
              <w:ind w:left="167" w:right="57"/>
              <w:rPr>
                <w:rFonts w:asciiTheme="majorHAnsi" w:hAnsiTheme="majorHAnsi"/>
                <w:sz w:val="20"/>
                <w:lang w:eastAsia="it-IT"/>
              </w:rPr>
            </w:pPr>
            <w:r w:rsidRPr="00EE7172">
              <w:rPr>
                <w:rFonts w:asciiTheme="majorHAnsi" w:hAnsiTheme="majorHAnsi"/>
                <w:sz w:val="20"/>
                <w:lang w:eastAsia="it-IT"/>
              </w:rPr>
              <w:t xml:space="preserve">The Procurement Manual is in progress of </w:t>
            </w:r>
            <w:proofErr w:type="gramStart"/>
            <w:r w:rsidRPr="00EE7172">
              <w:rPr>
                <w:rFonts w:asciiTheme="majorHAnsi" w:hAnsiTheme="majorHAnsi"/>
                <w:sz w:val="20"/>
                <w:lang w:eastAsia="it-IT"/>
              </w:rPr>
              <w:t>being drafted</w:t>
            </w:r>
            <w:proofErr w:type="gramEnd"/>
            <w:r w:rsidR="00F80374" w:rsidRPr="00EE7172">
              <w:rPr>
                <w:rFonts w:asciiTheme="majorHAnsi" w:hAnsiTheme="majorHAnsi"/>
                <w:sz w:val="20"/>
                <w:lang w:eastAsia="it-IT"/>
              </w:rPr>
              <w:t>.</w:t>
            </w:r>
          </w:p>
        </w:tc>
      </w:tr>
      <w:tr w:rsidR="006A737D" w:rsidRPr="00DD52D7" w:rsidTr="00D6054C">
        <w:trPr>
          <w:cantSplit/>
          <w:trHeight w:val="1530"/>
        </w:trPr>
        <w:tc>
          <w:tcPr>
            <w:tcW w:w="461" w:type="pct"/>
            <w:tcBorders>
              <w:top w:val="single" w:sz="4" w:space="0" w:color="auto"/>
              <w:left w:val="single" w:sz="4" w:space="0" w:color="auto"/>
              <w:bottom w:val="single" w:sz="4" w:space="0" w:color="auto"/>
              <w:right w:val="single" w:sz="4" w:space="0" w:color="auto"/>
            </w:tcBorders>
          </w:tcPr>
          <w:p w:rsidR="006A737D" w:rsidRDefault="006A737D" w:rsidP="002E69D7">
            <w:pPr>
              <w:widowControl w:val="0"/>
              <w:kinsoku w:val="0"/>
              <w:adjustRightInd/>
              <w:jc w:val="center"/>
              <w:rPr>
                <w:rFonts w:ascii="Calibri" w:hAnsi="Calibri"/>
                <w:b/>
                <w:bCs/>
                <w:sz w:val="20"/>
                <w:lang w:eastAsia="it-IT"/>
              </w:rPr>
            </w:pPr>
            <w:r>
              <w:rPr>
                <w:rFonts w:ascii="Calibri" w:hAnsi="Calibri"/>
                <w:b/>
                <w:bCs/>
                <w:sz w:val="20"/>
                <w:lang w:eastAsia="it-IT"/>
              </w:rPr>
              <w:lastRenderedPageBreak/>
              <w:t>Rec 6/2016</w:t>
            </w:r>
          </w:p>
        </w:tc>
        <w:tc>
          <w:tcPr>
            <w:tcW w:w="1428" w:type="pct"/>
            <w:tcBorders>
              <w:top w:val="single" w:sz="4" w:space="0" w:color="auto"/>
              <w:left w:val="single" w:sz="4" w:space="0" w:color="auto"/>
              <w:bottom w:val="single" w:sz="4" w:space="0" w:color="auto"/>
              <w:right w:val="single" w:sz="4" w:space="0" w:color="auto"/>
            </w:tcBorders>
          </w:tcPr>
          <w:p w:rsidR="006A737D" w:rsidRPr="00EE7172" w:rsidRDefault="004D148E" w:rsidP="00EE7172">
            <w:pPr>
              <w:widowControl w:val="0"/>
              <w:kinsoku w:val="0"/>
              <w:spacing w:after="120"/>
              <w:ind w:left="167" w:right="57"/>
              <w:rPr>
                <w:rFonts w:asciiTheme="majorHAnsi" w:hAnsiTheme="majorHAnsi"/>
                <w:sz w:val="20"/>
                <w:lang w:eastAsia="it-IT"/>
              </w:rPr>
            </w:pPr>
            <w:proofErr w:type="gramStart"/>
            <w:r w:rsidRPr="00EE7172">
              <w:rPr>
                <w:rFonts w:asciiTheme="majorHAnsi" w:hAnsiTheme="majorHAnsi"/>
                <w:sz w:val="20"/>
                <w:lang w:eastAsia="it-IT"/>
              </w:rPr>
              <w:t>We acknowledge that ITU Procurement Management publishes regularly all the contract award notices on UNGM, however, in order to enhance the level of transparency of the procurement process, we recommend that ITU should: A) inform individually all participating bidders as soon as the procurement process has been concluded or cancelled; B) arrange, if requested, a briefing with the unsuccessful/excluded bidders that participated in the procurement process, in order to give them the possibility to better compete for future solicitations; C) inform, during the briefing, vendors that were unsuccessful, on the reasons of why their bid was not successful.</w:t>
            </w:r>
            <w:proofErr w:type="gramEnd"/>
            <w:r w:rsidRPr="00EE7172">
              <w:rPr>
                <w:rFonts w:asciiTheme="majorHAnsi" w:hAnsiTheme="majorHAnsi"/>
                <w:sz w:val="20"/>
                <w:lang w:eastAsia="it-IT"/>
              </w:rPr>
              <w:t xml:space="preserve"> </w:t>
            </w:r>
          </w:p>
        </w:tc>
        <w:tc>
          <w:tcPr>
            <w:tcW w:w="1516" w:type="pct"/>
            <w:tcBorders>
              <w:top w:val="single" w:sz="4" w:space="0" w:color="auto"/>
              <w:left w:val="single" w:sz="4" w:space="0" w:color="auto"/>
              <w:bottom w:val="single" w:sz="4" w:space="0" w:color="auto"/>
              <w:right w:val="single" w:sz="4" w:space="0" w:color="auto"/>
            </w:tcBorders>
          </w:tcPr>
          <w:p w:rsidR="006A737D" w:rsidRPr="00EE7172" w:rsidRDefault="004D148E" w:rsidP="00EE7172">
            <w:pPr>
              <w:widowControl w:val="0"/>
              <w:kinsoku w:val="0"/>
              <w:ind w:left="167" w:right="57"/>
              <w:rPr>
                <w:rFonts w:asciiTheme="majorHAnsi" w:hAnsiTheme="majorHAnsi"/>
                <w:sz w:val="20"/>
                <w:lang w:eastAsia="it-IT"/>
              </w:rPr>
            </w:pPr>
            <w:r w:rsidRPr="00EE7172">
              <w:rPr>
                <w:rFonts w:asciiTheme="majorHAnsi" w:hAnsiTheme="majorHAnsi"/>
                <w:sz w:val="20"/>
                <w:lang w:eastAsia="it-IT"/>
              </w:rPr>
              <w:t xml:space="preserve">It is the current practice of ITU to send letters of regrets (e-mail for below CHF 50’000) to all unsuccessful vendors informing that their bid </w:t>
            </w:r>
            <w:proofErr w:type="gramStart"/>
            <w:r w:rsidRPr="00EE7172">
              <w:rPr>
                <w:rFonts w:asciiTheme="majorHAnsi" w:hAnsiTheme="majorHAnsi"/>
                <w:sz w:val="20"/>
                <w:lang w:eastAsia="it-IT"/>
              </w:rPr>
              <w:t>has not been retained</w:t>
            </w:r>
            <w:proofErr w:type="gramEnd"/>
            <w:r w:rsidRPr="00EE7172">
              <w:rPr>
                <w:rFonts w:asciiTheme="majorHAnsi" w:hAnsiTheme="majorHAnsi"/>
                <w:sz w:val="20"/>
                <w:lang w:eastAsia="it-IT"/>
              </w:rPr>
              <w:t xml:space="preserve">. The bid document invites vendors to request information about the assessment of their bid. ITU accepts the recommendation </w:t>
            </w:r>
            <w:proofErr w:type="gramStart"/>
            <w:r w:rsidRPr="00EE7172">
              <w:rPr>
                <w:rFonts w:asciiTheme="majorHAnsi" w:hAnsiTheme="majorHAnsi"/>
                <w:sz w:val="20"/>
                <w:lang w:eastAsia="it-IT"/>
              </w:rPr>
              <w:t>to also inform</w:t>
            </w:r>
            <w:proofErr w:type="gramEnd"/>
            <w:r w:rsidRPr="00EE7172">
              <w:rPr>
                <w:rFonts w:asciiTheme="majorHAnsi" w:hAnsiTheme="majorHAnsi"/>
                <w:sz w:val="20"/>
                <w:lang w:eastAsia="it-IT"/>
              </w:rPr>
              <w:t xml:space="preserve"> vendors in the letter of regret that they may request for information about the assessment of their bid and that this shall be included in the new Procurement Manual. </w:t>
            </w:r>
          </w:p>
        </w:tc>
        <w:tc>
          <w:tcPr>
            <w:tcW w:w="1595" w:type="pct"/>
            <w:tcBorders>
              <w:top w:val="single" w:sz="4" w:space="0" w:color="auto"/>
              <w:left w:val="single" w:sz="4" w:space="0" w:color="auto"/>
              <w:bottom w:val="single" w:sz="4" w:space="0" w:color="auto"/>
              <w:right w:val="single" w:sz="4" w:space="0" w:color="auto"/>
            </w:tcBorders>
          </w:tcPr>
          <w:p w:rsidR="008F41B8" w:rsidRPr="00EE7172" w:rsidRDefault="00461033" w:rsidP="00EE7172">
            <w:pPr>
              <w:ind w:left="167" w:right="57"/>
              <w:rPr>
                <w:rFonts w:asciiTheme="majorHAnsi" w:hAnsiTheme="majorHAnsi"/>
                <w:b/>
                <w:bCs/>
                <w:sz w:val="20"/>
                <w:lang w:eastAsia="it-IT"/>
              </w:rPr>
            </w:pPr>
            <w:r w:rsidRPr="00EE7172">
              <w:rPr>
                <w:rFonts w:asciiTheme="majorHAnsi" w:hAnsiTheme="majorHAnsi"/>
                <w:b/>
                <w:bCs/>
                <w:sz w:val="20"/>
                <w:lang w:eastAsia="it-IT"/>
              </w:rPr>
              <w:t>Update as of December 2017:</w:t>
            </w:r>
            <w:r w:rsidR="008F41B8" w:rsidRPr="00EE7172">
              <w:rPr>
                <w:rFonts w:asciiTheme="majorHAnsi" w:hAnsiTheme="majorHAnsi"/>
                <w:b/>
                <w:bCs/>
                <w:sz w:val="20"/>
                <w:lang w:eastAsia="it-IT"/>
              </w:rPr>
              <w:t xml:space="preserve"> </w:t>
            </w:r>
          </w:p>
          <w:p w:rsidR="000C47E2" w:rsidRPr="00EE7172" w:rsidRDefault="000C47E2" w:rsidP="00EE7172">
            <w:pPr>
              <w:ind w:left="167" w:right="57"/>
              <w:rPr>
                <w:rFonts w:asciiTheme="majorHAnsi" w:hAnsiTheme="majorHAnsi"/>
                <w:sz w:val="20"/>
                <w:lang w:eastAsia="it-IT"/>
              </w:rPr>
            </w:pPr>
            <w:r w:rsidRPr="00EE7172">
              <w:rPr>
                <w:rFonts w:asciiTheme="majorHAnsi" w:hAnsiTheme="majorHAnsi"/>
                <w:sz w:val="20"/>
                <w:lang w:eastAsia="it-IT"/>
              </w:rPr>
              <w:t>In progress</w:t>
            </w:r>
            <w:r w:rsidR="00F80374" w:rsidRPr="00EE7172">
              <w:rPr>
                <w:rFonts w:asciiTheme="majorHAnsi" w:hAnsiTheme="majorHAnsi"/>
                <w:sz w:val="20"/>
                <w:lang w:eastAsia="it-IT"/>
              </w:rPr>
              <w:t>.</w:t>
            </w:r>
          </w:p>
          <w:p w:rsidR="006A737D" w:rsidRPr="00EE7172" w:rsidRDefault="000C47E2" w:rsidP="00EE7172">
            <w:pPr>
              <w:ind w:left="167" w:right="57"/>
              <w:rPr>
                <w:rFonts w:asciiTheme="majorHAnsi" w:hAnsiTheme="majorHAnsi"/>
                <w:sz w:val="20"/>
                <w:lang w:eastAsia="it-IT"/>
              </w:rPr>
            </w:pPr>
            <w:r w:rsidRPr="00EE7172">
              <w:rPr>
                <w:rFonts w:asciiTheme="majorHAnsi" w:hAnsiTheme="majorHAnsi"/>
                <w:sz w:val="20"/>
                <w:lang w:eastAsia="it-IT"/>
              </w:rPr>
              <w:t xml:space="preserve">The Procurement Manual is in progress of </w:t>
            </w:r>
            <w:proofErr w:type="gramStart"/>
            <w:r w:rsidRPr="00EE7172">
              <w:rPr>
                <w:rFonts w:asciiTheme="majorHAnsi" w:hAnsiTheme="majorHAnsi"/>
                <w:sz w:val="20"/>
                <w:lang w:eastAsia="it-IT"/>
              </w:rPr>
              <w:t>being drafted</w:t>
            </w:r>
            <w:proofErr w:type="gramEnd"/>
            <w:r w:rsidR="00F80374" w:rsidRPr="00EE7172">
              <w:rPr>
                <w:rFonts w:asciiTheme="majorHAnsi" w:hAnsiTheme="majorHAnsi"/>
                <w:sz w:val="20"/>
                <w:lang w:eastAsia="it-IT"/>
              </w:rPr>
              <w:t>.</w:t>
            </w:r>
          </w:p>
        </w:tc>
      </w:tr>
      <w:tr w:rsidR="006A737D" w:rsidRPr="00DD52D7" w:rsidTr="00D6054C">
        <w:trPr>
          <w:cantSplit/>
          <w:trHeight w:val="1530"/>
        </w:trPr>
        <w:tc>
          <w:tcPr>
            <w:tcW w:w="461" w:type="pct"/>
            <w:tcBorders>
              <w:top w:val="single" w:sz="4" w:space="0" w:color="auto"/>
              <w:left w:val="single" w:sz="4" w:space="0" w:color="auto"/>
              <w:bottom w:val="single" w:sz="4" w:space="0" w:color="auto"/>
              <w:right w:val="single" w:sz="4" w:space="0" w:color="auto"/>
            </w:tcBorders>
          </w:tcPr>
          <w:p w:rsidR="006A737D" w:rsidRDefault="004D148E" w:rsidP="002E69D7">
            <w:pPr>
              <w:widowControl w:val="0"/>
              <w:kinsoku w:val="0"/>
              <w:adjustRightInd/>
              <w:jc w:val="center"/>
              <w:rPr>
                <w:rFonts w:ascii="Calibri" w:hAnsi="Calibri"/>
                <w:b/>
                <w:bCs/>
                <w:sz w:val="20"/>
                <w:lang w:eastAsia="it-IT"/>
              </w:rPr>
            </w:pPr>
            <w:r>
              <w:rPr>
                <w:rFonts w:ascii="Calibri" w:hAnsi="Calibri"/>
                <w:b/>
                <w:bCs/>
                <w:sz w:val="20"/>
                <w:lang w:eastAsia="it-IT"/>
              </w:rPr>
              <w:t>Rec 7/2016</w:t>
            </w:r>
          </w:p>
        </w:tc>
        <w:tc>
          <w:tcPr>
            <w:tcW w:w="1428" w:type="pct"/>
            <w:tcBorders>
              <w:top w:val="single" w:sz="4" w:space="0" w:color="auto"/>
              <w:left w:val="single" w:sz="4" w:space="0" w:color="auto"/>
              <w:bottom w:val="single" w:sz="4" w:space="0" w:color="auto"/>
              <w:right w:val="single" w:sz="4" w:space="0" w:color="auto"/>
            </w:tcBorders>
          </w:tcPr>
          <w:p w:rsidR="006A737D" w:rsidRPr="00EE7172" w:rsidRDefault="004D148E" w:rsidP="00EE7172">
            <w:pPr>
              <w:widowControl w:val="0"/>
              <w:kinsoku w:val="0"/>
              <w:ind w:left="167" w:right="57"/>
              <w:rPr>
                <w:rFonts w:asciiTheme="majorHAnsi" w:hAnsiTheme="majorHAnsi"/>
                <w:sz w:val="20"/>
                <w:lang w:eastAsia="it-IT"/>
              </w:rPr>
            </w:pPr>
            <w:r w:rsidRPr="00EE7172">
              <w:rPr>
                <w:rFonts w:asciiTheme="majorHAnsi" w:hAnsiTheme="majorHAnsi"/>
                <w:sz w:val="20"/>
                <w:lang w:eastAsia="it-IT"/>
              </w:rPr>
              <w:t xml:space="preserve">We recommend that ITU should ensure that clear pass/fail (or compliant/non-compliant) criteria </w:t>
            </w:r>
            <w:proofErr w:type="gramStart"/>
            <w:r w:rsidRPr="00EE7172">
              <w:rPr>
                <w:rFonts w:asciiTheme="majorHAnsi" w:hAnsiTheme="majorHAnsi"/>
                <w:sz w:val="20"/>
                <w:lang w:eastAsia="it-IT"/>
              </w:rPr>
              <w:t>are applied</w:t>
            </w:r>
            <w:proofErr w:type="gramEnd"/>
            <w:r w:rsidRPr="00EE7172">
              <w:rPr>
                <w:rFonts w:asciiTheme="majorHAnsi" w:hAnsiTheme="majorHAnsi"/>
                <w:sz w:val="20"/>
                <w:lang w:eastAsia="it-IT"/>
              </w:rPr>
              <w:t xml:space="preserve"> consistently for all ITBs.</w:t>
            </w:r>
          </w:p>
        </w:tc>
        <w:tc>
          <w:tcPr>
            <w:tcW w:w="1516" w:type="pct"/>
            <w:tcBorders>
              <w:top w:val="single" w:sz="4" w:space="0" w:color="auto"/>
              <w:left w:val="single" w:sz="4" w:space="0" w:color="auto"/>
              <w:bottom w:val="single" w:sz="4" w:space="0" w:color="auto"/>
              <w:right w:val="single" w:sz="4" w:space="0" w:color="auto"/>
            </w:tcBorders>
          </w:tcPr>
          <w:p w:rsidR="006A737D" w:rsidRPr="00EE7172" w:rsidRDefault="004D148E" w:rsidP="00EE7172">
            <w:pPr>
              <w:widowControl w:val="0"/>
              <w:kinsoku w:val="0"/>
              <w:ind w:left="167" w:right="57"/>
              <w:rPr>
                <w:rFonts w:asciiTheme="majorHAnsi" w:hAnsiTheme="majorHAnsi"/>
                <w:sz w:val="20"/>
                <w:lang w:eastAsia="it-IT"/>
              </w:rPr>
            </w:pPr>
            <w:r w:rsidRPr="00EE7172">
              <w:rPr>
                <w:rFonts w:asciiTheme="majorHAnsi" w:hAnsiTheme="majorHAnsi"/>
                <w:sz w:val="20"/>
                <w:lang w:eastAsia="it-IT"/>
              </w:rPr>
              <w:t>It is the current practice of ITU to apply clear pass/pass fail criteria for all ITBs, which are determined prior to the issuance of the ITB. This practice shall be included in the new Procurement Manual.</w:t>
            </w:r>
          </w:p>
        </w:tc>
        <w:tc>
          <w:tcPr>
            <w:tcW w:w="1595" w:type="pct"/>
            <w:tcBorders>
              <w:top w:val="single" w:sz="4" w:space="0" w:color="auto"/>
              <w:left w:val="single" w:sz="4" w:space="0" w:color="auto"/>
              <w:bottom w:val="single" w:sz="4" w:space="0" w:color="auto"/>
              <w:right w:val="single" w:sz="4" w:space="0" w:color="auto"/>
            </w:tcBorders>
          </w:tcPr>
          <w:p w:rsidR="008F41B8" w:rsidRPr="00EE7172" w:rsidRDefault="00461033" w:rsidP="00EE7172">
            <w:pPr>
              <w:ind w:left="167" w:right="57"/>
              <w:rPr>
                <w:rFonts w:asciiTheme="majorHAnsi" w:hAnsiTheme="majorHAnsi"/>
                <w:b/>
                <w:bCs/>
                <w:sz w:val="20"/>
                <w:lang w:eastAsia="it-IT"/>
              </w:rPr>
            </w:pPr>
            <w:r w:rsidRPr="00EE7172">
              <w:rPr>
                <w:rFonts w:asciiTheme="majorHAnsi" w:hAnsiTheme="majorHAnsi"/>
                <w:b/>
                <w:bCs/>
                <w:sz w:val="20"/>
                <w:lang w:eastAsia="it-IT"/>
              </w:rPr>
              <w:t>Update as of December 2017:</w:t>
            </w:r>
            <w:r w:rsidR="008F41B8" w:rsidRPr="00EE7172">
              <w:rPr>
                <w:rFonts w:asciiTheme="majorHAnsi" w:hAnsiTheme="majorHAnsi"/>
                <w:b/>
                <w:bCs/>
                <w:sz w:val="20"/>
                <w:lang w:eastAsia="it-IT"/>
              </w:rPr>
              <w:t xml:space="preserve"> </w:t>
            </w:r>
          </w:p>
          <w:p w:rsidR="000C47E2" w:rsidRPr="00EE7172" w:rsidRDefault="000C47E2" w:rsidP="00EE7172">
            <w:pPr>
              <w:ind w:left="167" w:right="57"/>
              <w:rPr>
                <w:rFonts w:asciiTheme="majorHAnsi" w:hAnsiTheme="majorHAnsi"/>
                <w:sz w:val="20"/>
                <w:lang w:eastAsia="it-IT"/>
              </w:rPr>
            </w:pPr>
            <w:r w:rsidRPr="00EE7172">
              <w:rPr>
                <w:rFonts w:asciiTheme="majorHAnsi" w:hAnsiTheme="majorHAnsi"/>
                <w:sz w:val="20"/>
                <w:lang w:eastAsia="it-IT"/>
              </w:rPr>
              <w:t>In progress</w:t>
            </w:r>
            <w:r w:rsidR="00F80374" w:rsidRPr="00EE7172">
              <w:rPr>
                <w:rFonts w:asciiTheme="majorHAnsi" w:hAnsiTheme="majorHAnsi"/>
                <w:sz w:val="20"/>
                <w:lang w:eastAsia="it-IT"/>
              </w:rPr>
              <w:t>.</w:t>
            </w:r>
          </w:p>
          <w:p w:rsidR="006A737D" w:rsidRPr="00EE7172" w:rsidRDefault="000C47E2" w:rsidP="00EE7172">
            <w:pPr>
              <w:ind w:left="167" w:right="57"/>
              <w:rPr>
                <w:rFonts w:asciiTheme="majorHAnsi" w:hAnsiTheme="majorHAnsi"/>
                <w:sz w:val="20"/>
                <w:lang w:eastAsia="it-IT"/>
              </w:rPr>
            </w:pPr>
            <w:r w:rsidRPr="00EE7172">
              <w:rPr>
                <w:rFonts w:asciiTheme="majorHAnsi" w:hAnsiTheme="majorHAnsi"/>
                <w:sz w:val="20"/>
                <w:lang w:eastAsia="it-IT"/>
              </w:rPr>
              <w:t xml:space="preserve">The Procurement Manual is in progress of </w:t>
            </w:r>
            <w:proofErr w:type="gramStart"/>
            <w:r w:rsidRPr="00EE7172">
              <w:rPr>
                <w:rFonts w:asciiTheme="majorHAnsi" w:hAnsiTheme="majorHAnsi"/>
                <w:sz w:val="20"/>
                <w:lang w:eastAsia="it-IT"/>
              </w:rPr>
              <w:t>being drafted</w:t>
            </w:r>
            <w:proofErr w:type="gramEnd"/>
            <w:r w:rsidR="00F80374" w:rsidRPr="00EE7172">
              <w:rPr>
                <w:rFonts w:asciiTheme="majorHAnsi" w:hAnsiTheme="majorHAnsi"/>
                <w:sz w:val="20"/>
                <w:lang w:eastAsia="it-IT"/>
              </w:rPr>
              <w:t>.</w:t>
            </w:r>
          </w:p>
        </w:tc>
      </w:tr>
      <w:tr w:rsidR="004D148E" w:rsidRPr="00DD52D7" w:rsidTr="00D6054C">
        <w:trPr>
          <w:cantSplit/>
          <w:trHeight w:val="1530"/>
        </w:trPr>
        <w:tc>
          <w:tcPr>
            <w:tcW w:w="461" w:type="pct"/>
            <w:tcBorders>
              <w:top w:val="single" w:sz="4" w:space="0" w:color="auto"/>
              <w:left w:val="single" w:sz="4" w:space="0" w:color="auto"/>
              <w:bottom w:val="single" w:sz="4" w:space="0" w:color="auto"/>
              <w:right w:val="single" w:sz="4" w:space="0" w:color="auto"/>
            </w:tcBorders>
          </w:tcPr>
          <w:p w:rsidR="004D148E" w:rsidRDefault="004D148E" w:rsidP="002E69D7">
            <w:pPr>
              <w:widowControl w:val="0"/>
              <w:kinsoku w:val="0"/>
              <w:adjustRightInd/>
              <w:jc w:val="center"/>
              <w:rPr>
                <w:rFonts w:ascii="Calibri" w:hAnsi="Calibri"/>
                <w:b/>
                <w:bCs/>
                <w:sz w:val="20"/>
                <w:lang w:eastAsia="it-IT"/>
              </w:rPr>
            </w:pPr>
            <w:r>
              <w:rPr>
                <w:rFonts w:ascii="Calibri" w:hAnsi="Calibri"/>
                <w:b/>
                <w:bCs/>
                <w:sz w:val="20"/>
                <w:lang w:eastAsia="it-IT"/>
              </w:rPr>
              <w:lastRenderedPageBreak/>
              <w:t>Rec 8/2016</w:t>
            </w:r>
          </w:p>
        </w:tc>
        <w:tc>
          <w:tcPr>
            <w:tcW w:w="1428" w:type="pct"/>
            <w:tcBorders>
              <w:top w:val="single" w:sz="4" w:space="0" w:color="auto"/>
              <w:left w:val="single" w:sz="4" w:space="0" w:color="auto"/>
              <w:bottom w:val="single" w:sz="4" w:space="0" w:color="auto"/>
              <w:right w:val="single" w:sz="4" w:space="0" w:color="auto"/>
            </w:tcBorders>
          </w:tcPr>
          <w:p w:rsidR="004D148E" w:rsidRPr="00EE7172" w:rsidRDefault="004D148E" w:rsidP="00EE7172">
            <w:pPr>
              <w:widowControl w:val="0"/>
              <w:kinsoku w:val="0"/>
              <w:spacing w:after="120"/>
              <w:ind w:left="167" w:right="57"/>
              <w:rPr>
                <w:rFonts w:asciiTheme="majorHAnsi" w:hAnsiTheme="majorHAnsi"/>
                <w:sz w:val="20"/>
                <w:lang w:eastAsia="it-IT"/>
              </w:rPr>
            </w:pPr>
            <w:r w:rsidRPr="00EE7172">
              <w:rPr>
                <w:rFonts w:asciiTheme="majorHAnsi" w:hAnsiTheme="majorHAnsi"/>
                <w:sz w:val="20"/>
                <w:lang w:eastAsia="it-IT"/>
              </w:rPr>
              <w:t xml:space="preserve">We recommend that, in order to conduct the procurement process in a fair and transparent manner and taking into consideration best value for money: A) the Appraisal Committee should, during the evaluation process, apply the evaluation criteria and method as pre-defined in the solicitation document/tender dossier. </w:t>
            </w:r>
            <w:proofErr w:type="gramStart"/>
            <w:r w:rsidRPr="00EE7172">
              <w:rPr>
                <w:rFonts w:asciiTheme="majorHAnsi" w:hAnsiTheme="majorHAnsi"/>
                <w:sz w:val="20"/>
                <w:lang w:eastAsia="it-IT"/>
              </w:rPr>
              <w:t xml:space="preserve">In addition, we consider inappropriate the criteria set out in the RFP that “bidders availability in </w:t>
            </w:r>
            <w:proofErr w:type="spellStart"/>
            <w:r w:rsidRPr="00EE7172">
              <w:rPr>
                <w:rFonts w:asciiTheme="majorHAnsi" w:hAnsiTheme="majorHAnsi"/>
                <w:sz w:val="20"/>
                <w:lang w:eastAsia="it-IT"/>
              </w:rPr>
              <w:t>mid November</w:t>
            </w:r>
            <w:proofErr w:type="spellEnd"/>
            <w:r w:rsidRPr="00EE7172">
              <w:rPr>
                <w:rFonts w:asciiTheme="majorHAnsi" w:hAnsiTheme="majorHAnsi"/>
                <w:sz w:val="20"/>
                <w:lang w:eastAsia="it-IT"/>
              </w:rPr>
              <w:t xml:space="preserve"> (2012) will be an important criteria of selection” because it could restrict competition by limiting the participation of other vendors in the procurement process (in fact, in the procurement audited, the contract was only signed in February 2013); B) the Appraisal Committee should prepare clear Evaluation reports summarizing technical and commercial points in the bids, in order to have a clear ranking of the bid recommended for the contract according to the criteria set out in the tender file; C) in the event of exceptions from the principle of automatical rejection of late offers received, SO 14/06 should clearly state in which cases these exceptions apply.</w:t>
            </w:r>
            <w:proofErr w:type="gramEnd"/>
          </w:p>
        </w:tc>
        <w:tc>
          <w:tcPr>
            <w:tcW w:w="1516" w:type="pct"/>
            <w:tcBorders>
              <w:top w:val="single" w:sz="4" w:space="0" w:color="auto"/>
              <w:left w:val="single" w:sz="4" w:space="0" w:color="auto"/>
              <w:bottom w:val="single" w:sz="4" w:space="0" w:color="auto"/>
              <w:right w:val="single" w:sz="4" w:space="0" w:color="auto"/>
            </w:tcBorders>
          </w:tcPr>
          <w:p w:rsidR="004D148E" w:rsidRPr="00EE7172" w:rsidRDefault="004D148E" w:rsidP="00EE7172">
            <w:pPr>
              <w:widowControl w:val="0"/>
              <w:kinsoku w:val="0"/>
              <w:ind w:left="167" w:right="57"/>
              <w:rPr>
                <w:rFonts w:asciiTheme="majorHAnsi" w:hAnsiTheme="majorHAnsi"/>
                <w:sz w:val="20"/>
                <w:lang w:eastAsia="it-IT"/>
              </w:rPr>
            </w:pPr>
            <w:r w:rsidRPr="00EE7172">
              <w:rPr>
                <w:rFonts w:asciiTheme="majorHAnsi" w:hAnsiTheme="majorHAnsi"/>
                <w:sz w:val="20"/>
                <w:lang w:eastAsia="it-IT"/>
              </w:rPr>
              <w:t>It is the current practice of ITU to establish the evaluation criteria and evaluation methodology prior to the issuance of any tender and that the resulting evaluation reports clearly present the points awarded to each bidder and their individual ranking. This practice shall be included in the new Procurement Manual.</w:t>
            </w:r>
          </w:p>
        </w:tc>
        <w:tc>
          <w:tcPr>
            <w:tcW w:w="1595" w:type="pct"/>
            <w:tcBorders>
              <w:top w:val="single" w:sz="4" w:space="0" w:color="auto"/>
              <w:left w:val="single" w:sz="4" w:space="0" w:color="auto"/>
              <w:bottom w:val="single" w:sz="4" w:space="0" w:color="auto"/>
              <w:right w:val="single" w:sz="4" w:space="0" w:color="auto"/>
            </w:tcBorders>
          </w:tcPr>
          <w:p w:rsidR="004D148E" w:rsidRPr="00EE7172" w:rsidRDefault="00461033" w:rsidP="00EE7172">
            <w:pPr>
              <w:ind w:left="167" w:right="57"/>
              <w:rPr>
                <w:rFonts w:asciiTheme="majorHAnsi" w:hAnsiTheme="majorHAnsi"/>
                <w:b/>
                <w:bCs/>
                <w:sz w:val="20"/>
                <w:lang w:eastAsia="it-IT"/>
              </w:rPr>
            </w:pPr>
            <w:r w:rsidRPr="00EE7172">
              <w:rPr>
                <w:rFonts w:asciiTheme="majorHAnsi" w:hAnsiTheme="majorHAnsi"/>
                <w:b/>
                <w:bCs/>
                <w:sz w:val="20"/>
                <w:lang w:eastAsia="it-IT"/>
              </w:rPr>
              <w:t>Update as of December 2017:</w:t>
            </w:r>
            <w:r w:rsidR="008F41B8" w:rsidRPr="00EE7172">
              <w:rPr>
                <w:rFonts w:asciiTheme="majorHAnsi" w:hAnsiTheme="majorHAnsi"/>
                <w:b/>
                <w:bCs/>
                <w:sz w:val="20"/>
                <w:lang w:eastAsia="it-IT"/>
              </w:rPr>
              <w:t xml:space="preserve"> </w:t>
            </w:r>
          </w:p>
          <w:p w:rsidR="000C47E2" w:rsidRPr="00EE7172" w:rsidRDefault="000C47E2" w:rsidP="00EE7172">
            <w:pPr>
              <w:ind w:left="167" w:right="57"/>
              <w:rPr>
                <w:rFonts w:asciiTheme="majorHAnsi" w:hAnsiTheme="majorHAnsi"/>
                <w:sz w:val="20"/>
                <w:lang w:eastAsia="it-IT"/>
              </w:rPr>
            </w:pPr>
            <w:r w:rsidRPr="00EE7172">
              <w:rPr>
                <w:rFonts w:asciiTheme="majorHAnsi" w:hAnsiTheme="majorHAnsi"/>
                <w:sz w:val="20"/>
                <w:lang w:eastAsia="it-IT"/>
              </w:rPr>
              <w:t>In progress</w:t>
            </w:r>
            <w:r w:rsidR="0061192A" w:rsidRPr="00EE7172">
              <w:rPr>
                <w:rFonts w:asciiTheme="majorHAnsi" w:hAnsiTheme="majorHAnsi"/>
                <w:sz w:val="20"/>
                <w:lang w:eastAsia="it-IT"/>
              </w:rPr>
              <w:t>.</w:t>
            </w:r>
          </w:p>
          <w:p w:rsidR="000C47E2" w:rsidRPr="00EE7172" w:rsidRDefault="000C47E2" w:rsidP="00EE7172">
            <w:pPr>
              <w:ind w:left="167" w:right="57"/>
              <w:rPr>
                <w:rFonts w:asciiTheme="majorHAnsi" w:hAnsiTheme="majorHAnsi"/>
                <w:sz w:val="20"/>
                <w:lang w:eastAsia="it-IT"/>
              </w:rPr>
            </w:pPr>
            <w:r w:rsidRPr="00EE7172">
              <w:rPr>
                <w:rFonts w:asciiTheme="majorHAnsi" w:hAnsiTheme="majorHAnsi"/>
                <w:sz w:val="20"/>
                <w:lang w:eastAsia="it-IT"/>
              </w:rPr>
              <w:t xml:space="preserve">The Procurement Manual is in progress of </w:t>
            </w:r>
            <w:proofErr w:type="gramStart"/>
            <w:r w:rsidRPr="00EE7172">
              <w:rPr>
                <w:rFonts w:asciiTheme="majorHAnsi" w:hAnsiTheme="majorHAnsi"/>
                <w:sz w:val="20"/>
                <w:lang w:eastAsia="it-IT"/>
              </w:rPr>
              <w:t>being drafted</w:t>
            </w:r>
            <w:proofErr w:type="gramEnd"/>
            <w:r w:rsidR="0061192A" w:rsidRPr="00EE7172">
              <w:rPr>
                <w:rFonts w:asciiTheme="majorHAnsi" w:hAnsiTheme="majorHAnsi"/>
                <w:sz w:val="20"/>
                <w:lang w:eastAsia="it-IT"/>
              </w:rPr>
              <w:t>.</w:t>
            </w:r>
          </w:p>
        </w:tc>
      </w:tr>
      <w:tr w:rsidR="004D148E" w:rsidRPr="00DD52D7" w:rsidTr="00D6054C">
        <w:trPr>
          <w:cantSplit/>
          <w:trHeight w:val="1530"/>
        </w:trPr>
        <w:tc>
          <w:tcPr>
            <w:tcW w:w="461" w:type="pct"/>
            <w:tcBorders>
              <w:top w:val="single" w:sz="4" w:space="0" w:color="auto"/>
              <w:left w:val="single" w:sz="4" w:space="0" w:color="auto"/>
              <w:bottom w:val="single" w:sz="4" w:space="0" w:color="auto"/>
              <w:right w:val="single" w:sz="4" w:space="0" w:color="auto"/>
            </w:tcBorders>
          </w:tcPr>
          <w:p w:rsidR="004D148E" w:rsidRDefault="004D148E" w:rsidP="002E69D7">
            <w:pPr>
              <w:widowControl w:val="0"/>
              <w:kinsoku w:val="0"/>
              <w:adjustRightInd/>
              <w:jc w:val="center"/>
              <w:rPr>
                <w:rFonts w:ascii="Calibri" w:hAnsi="Calibri"/>
                <w:b/>
                <w:bCs/>
                <w:sz w:val="20"/>
                <w:lang w:eastAsia="it-IT"/>
              </w:rPr>
            </w:pPr>
            <w:r>
              <w:rPr>
                <w:rFonts w:ascii="Calibri" w:hAnsi="Calibri"/>
                <w:b/>
                <w:bCs/>
                <w:sz w:val="20"/>
                <w:lang w:eastAsia="it-IT"/>
              </w:rPr>
              <w:t>Rec 9/2016</w:t>
            </w:r>
          </w:p>
        </w:tc>
        <w:tc>
          <w:tcPr>
            <w:tcW w:w="1428" w:type="pct"/>
            <w:tcBorders>
              <w:top w:val="single" w:sz="4" w:space="0" w:color="auto"/>
              <w:left w:val="single" w:sz="4" w:space="0" w:color="auto"/>
              <w:bottom w:val="single" w:sz="4" w:space="0" w:color="auto"/>
              <w:right w:val="single" w:sz="4" w:space="0" w:color="auto"/>
            </w:tcBorders>
          </w:tcPr>
          <w:p w:rsidR="004D148E" w:rsidRPr="00EE7172" w:rsidRDefault="004D148E" w:rsidP="00EE7172">
            <w:pPr>
              <w:widowControl w:val="0"/>
              <w:kinsoku w:val="0"/>
              <w:spacing w:after="120"/>
              <w:ind w:left="167" w:right="57"/>
              <w:rPr>
                <w:rFonts w:asciiTheme="majorHAnsi" w:hAnsiTheme="majorHAnsi"/>
                <w:sz w:val="20"/>
                <w:lang w:eastAsia="it-IT"/>
              </w:rPr>
            </w:pPr>
            <w:r w:rsidRPr="00EE7172">
              <w:rPr>
                <w:rFonts w:asciiTheme="majorHAnsi" w:hAnsiTheme="majorHAnsi"/>
                <w:sz w:val="20"/>
                <w:lang w:eastAsia="it-IT"/>
              </w:rPr>
              <w:t>We recommend, as envisaged in the UN best practices, that for RFPs, only proposals meeting the mandatory and minimum requirements (or points) should be considered for commercial evaluation and commercial bids from vendors considered not to be technically compliant with the tender specifications should not be evaluated</w:t>
            </w:r>
          </w:p>
        </w:tc>
        <w:tc>
          <w:tcPr>
            <w:tcW w:w="1516" w:type="pct"/>
            <w:tcBorders>
              <w:top w:val="single" w:sz="4" w:space="0" w:color="auto"/>
              <w:left w:val="single" w:sz="4" w:space="0" w:color="auto"/>
              <w:bottom w:val="single" w:sz="4" w:space="0" w:color="auto"/>
              <w:right w:val="single" w:sz="4" w:space="0" w:color="auto"/>
            </w:tcBorders>
          </w:tcPr>
          <w:p w:rsidR="004D148E" w:rsidRPr="00EE7172" w:rsidRDefault="004D148E" w:rsidP="00EE7172">
            <w:pPr>
              <w:widowControl w:val="0"/>
              <w:kinsoku w:val="0"/>
              <w:ind w:left="167" w:right="57"/>
              <w:rPr>
                <w:rFonts w:asciiTheme="majorHAnsi" w:hAnsiTheme="majorHAnsi"/>
                <w:sz w:val="20"/>
                <w:lang w:eastAsia="it-IT"/>
              </w:rPr>
            </w:pPr>
            <w:r w:rsidRPr="00EE7172">
              <w:rPr>
                <w:rFonts w:asciiTheme="majorHAnsi" w:hAnsiTheme="majorHAnsi"/>
                <w:sz w:val="20"/>
                <w:lang w:eastAsia="it-IT"/>
              </w:rPr>
              <w:t xml:space="preserve">It is the current practice of ITU to only evaluate the commercial proposals of </w:t>
            </w:r>
            <w:proofErr w:type="gramStart"/>
            <w:r w:rsidRPr="00EE7172">
              <w:rPr>
                <w:rFonts w:asciiTheme="majorHAnsi" w:hAnsiTheme="majorHAnsi"/>
                <w:sz w:val="20"/>
                <w:lang w:eastAsia="it-IT"/>
              </w:rPr>
              <w:t>vendors which</w:t>
            </w:r>
            <w:proofErr w:type="gramEnd"/>
            <w:r w:rsidRPr="00EE7172">
              <w:rPr>
                <w:rFonts w:asciiTheme="majorHAnsi" w:hAnsiTheme="majorHAnsi"/>
                <w:sz w:val="20"/>
                <w:lang w:eastAsia="it-IT"/>
              </w:rPr>
              <w:t xml:space="preserve"> are technically compliant. This practice shall be included in the new Procurement Manual.</w:t>
            </w:r>
          </w:p>
        </w:tc>
        <w:tc>
          <w:tcPr>
            <w:tcW w:w="1595" w:type="pct"/>
            <w:tcBorders>
              <w:top w:val="single" w:sz="4" w:space="0" w:color="auto"/>
              <w:left w:val="single" w:sz="4" w:space="0" w:color="auto"/>
              <w:bottom w:val="single" w:sz="4" w:space="0" w:color="auto"/>
              <w:right w:val="single" w:sz="4" w:space="0" w:color="auto"/>
            </w:tcBorders>
          </w:tcPr>
          <w:p w:rsidR="008F41B8" w:rsidRPr="00EE7172" w:rsidRDefault="00461033" w:rsidP="00EE7172">
            <w:pPr>
              <w:ind w:left="167" w:right="57"/>
              <w:rPr>
                <w:rFonts w:asciiTheme="majorHAnsi" w:hAnsiTheme="majorHAnsi"/>
                <w:b/>
                <w:bCs/>
                <w:sz w:val="20"/>
                <w:lang w:eastAsia="it-IT"/>
              </w:rPr>
            </w:pPr>
            <w:r w:rsidRPr="00EE7172">
              <w:rPr>
                <w:rFonts w:asciiTheme="majorHAnsi" w:hAnsiTheme="majorHAnsi"/>
                <w:b/>
                <w:bCs/>
                <w:sz w:val="20"/>
                <w:lang w:eastAsia="it-IT"/>
              </w:rPr>
              <w:t>Update as of December 2017:</w:t>
            </w:r>
            <w:r w:rsidR="008F41B8" w:rsidRPr="00EE7172">
              <w:rPr>
                <w:rFonts w:asciiTheme="majorHAnsi" w:hAnsiTheme="majorHAnsi"/>
                <w:b/>
                <w:bCs/>
                <w:sz w:val="20"/>
                <w:lang w:eastAsia="it-IT"/>
              </w:rPr>
              <w:t xml:space="preserve"> </w:t>
            </w:r>
          </w:p>
          <w:p w:rsidR="000C47E2" w:rsidRPr="00EE7172" w:rsidRDefault="000C47E2" w:rsidP="00EE7172">
            <w:pPr>
              <w:ind w:left="167" w:right="57"/>
              <w:rPr>
                <w:rFonts w:asciiTheme="majorHAnsi" w:hAnsiTheme="majorHAnsi"/>
                <w:sz w:val="20"/>
                <w:lang w:eastAsia="it-IT"/>
              </w:rPr>
            </w:pPr>
            <w:r w:rsidRPr="00EE7172">
              <w:rPr>
                <w:rFonts w:asciiTheme="majorHAnsi" w:hAnsiTheme="majorHAnsi"/>
                <w:sz w:val="20"/>
                <w:lang w:eastAsia="it-IT"/>
              </w:rPr>
              <w:t>In progress</w:t>
            </w:r>
            <w:r w:rsidR="0061192A" w:rsidRPr="00EE7172">
              <w:rPr>
                <w:rFonts w:asciiTheme="majorHAnsi" w:hAnsiTheme="majorHAnsi"/>
                <w:sz w:val="20"/>
                <w:lang w:eastAsia="it-IT"/>
              </w:rPr>
              <w:t>.</w:t>
            </w:r>
          </w:p>
          <w:p w:rsidR="004D148E" w:rsidRPr="00EE7172" w:rsidRDefault="000C47E2" w:rsidP="00EE7172">
            <w:pPr>
              <w:ind w:left="167" w:right="57"/>
              <w:rPr>
                <w:rFonts w:asciiTheme="majorHAnsi" w:hAnsiTheme="majorHAnsi"/>
                <w:sz w:val="20"/>
                <w:lang w:eastAsia="it-IT"/>
              </w:rPr>
            </w:pPr>
            <w:r w:rsidRPr="00EE7172">
              <w:rPr>
                <w:rFonts w:asciiTheme="majorHAnsi" w:hAnsiTheme="majorHAnsi"/>
                <w:sz w:val="20"/>
                <w:lang w:eastAsia="it-IT"/>
              </w:rPr>
              <w:t xml:space="preserve">The Procurement Manual is in progress of </w:t>
            </w:r>
            <w:proofErr w:type="gramStart"/>
            <w:r w:rsidRPr="00EE7172">
              <w:rPr>
                <w:rFonts w:asciiTheme="majorHAnsi" w:hAnsiTheme="majorHAnsi"/>
                <w:sz w:val="20"/>
                <w:lang w:eastAsia="it-IT"/>
              </w:rPr>
              <w:t>being drafted</w:t>
            </w:r>
            <w:proofErr w:type="gramEnd"/>
            <w:r w:rsidR="0061192A" w:rsidRPr="00EE7172">
              <w:rPr>
                <w:rFonts w:asciiTheme="majorHAnsi" w:hAnsiTheme="majorHAnsi"/>
                <w:sz w:val="20"/>
                <w:lang w:eastAsia="it-IT"/>
              </w:rPr>
              <w:t>.</w:t>
            </w:r>
          </w:p>
        </w:tc>
      </w:tr>
      <w:tr w:rsidR="004D148E" w:rsidRPr="00DD52D7" w:rsidTr="00D6054C">
        <w:trPr>
          <w:cantSplit/>
          <w:trHeight w:val="1530"/>
        </w:trPr>
        <w:tc>
          <w:tcPr>
            <w:tcW w:w="461" w:type="pct"/>
            <w:tcBorders>
              <w:top w:val="single" w:sz="4" w:space="0" w:color="auto"/>
              <w:left w:val="single" w:sz="4" w:space="0" w:color="auto"/>
              <w:bottom w:val="single" w:sz="4" w:space="0" w:color="auto"/>
              <w:right w:val="single" w:sz="4" w:space="0" w:color="auto"/>
            </w:tcBorders>
          </w:tcPr>
          <w:p w:rsidR="004D148E" w:rsidRDefault="004D148E" w:rsidP="002E69D7">
            <w:pPr>
              <w:widowControl w:val="0"/>
              <w:kinsoku w:val="0"/>
              <w:adjustRightInd/>
              <w:jc w:val="center"/>
              <w:rPr>
                <w:rFonts w:ascii="Calibri" w:hAnsi="Calibri"/>
                <w:b/>
                <w:bCs/>
                <w:sz w:val="20"/>
                <w:lang w:eastAsia="it-IT"/>
              </w:rPr>
            </w:pPr>
            <w:r>
              <w:rPr>
                <w:rFonts w:ascii="Calibri" w:hAnsi="Calibri"/>
                <w:b/>
                <w:bCs/>
                <w:sz w:val="20"/>
                <w:lang w:eastAsia="it-IT"/>
              </w:rPr>
              <w:lastRenderedPageBreak/>
              <w:t>Rec 10/2016</w:t>
            </w:r>
          </w:p>
        </w:tc>
        <w:tc>
          <w:tcPr>
            <w:tcW w:w="1428" w:type="pct"/>
            <w:tcBorders>
              <w:top w:val="single" w:sz="4" w:space="0" w:color="auto"/>
              <w:left w:val="single" w:sz="4" w:space="0" w:color="auto"/>
              <w:bottom w:val="single" w:sz="4" w:space="0" w:color="auto"/>
              <w:right w:val="single" w:sz="4" w:space="0" w:color="auto"/>
            </w:tcBorders>
          </w:tcPr>
          <w:p w:rsidR="004D148E" w:rsidRPr="00EE7172" w:rsidRDefault="004D148E" w:rsidP="00EE7172">
            <w:pPr>
              <w:widowControl w:val="0"/>
              <w:kinsoku w:val="0"/>
              <w:spacing w:after="120"/>
              <w:ind w:left="170" w:right="57"/>
              <w:rPr>
                <w:rFonts w:asciiTheme="majorHAnsi" w:hAnsiTheme="majorHAnsi"/>
                <w:sz w:val="20"/>
                <w:lang w:eastAsia="it-IT"/>
              </w:rPr>
            </w:pPr>
            <w:r w:rsidRPr="00EE7172">
              <w:rPr>
                <w:rFonts w:asciiTheme="majorHAnsi" w:hAnsiTheme="majorHAnsi"/>
                <w:sz w:val="20"/>
                <w:lang w:eastAsia="it-IT"/>
              </w:rPr>
              <w:t>We share the Internal Auditor’s view and we recommend setting up a vendor’s performance evaluation in order to monitor its performance and measures actual contract achievements with regards to quality, delivery, timeliness, cost control, compliance with terms of reference (TOR) or statement of work (SOW), as well as all other performance indicators established in the contract.</w:t>
            </w:r>
          </w:p>
        </w:tc>
        <w:tc>
          <w:tcPr>
            <w:tcW w:w="1516" w:type="pct"/>
            <w:tcBorders>
              <w:top w:val="single" w:sz="4" w:space="0" w:color="auto"/>
              <w:left w:val="single" w:sz="4" w:space="0" w:color="auto"/>
              <w:bottom w:val="single" w:sz="4" w:space="0" w:color="auto"/>
              <w:right w:val="single" w:sz="4" w:space="0" w:color="auto"/>
            </w:tcBorders>
          </w:tcPr>
          <w:p w:rsidR="004D148E" w:rsidRPr="00EE7172" w:rsidRDefault="004D148E" w:rsidP="00EE7172">
            <w:pPr>
              <w:widowControl w:val="0"/>
              <w:kinsoku w:val="0"/>
              <w:ind w:left="170" w:right="57"/>
              <w:rPr>
                <w:rFonts w:asciiTheme="majorHAnsi" w:hAnsiTheme="majorHAnsi"/>
                <w:sz w:val="20"/>
                <w:lang w:eastAsia="it-IT"/>
              </w:rPr>
            </w:pPr>
            <w:r w:rsidRPr="00EE7172">
              <w:rPr>
                <w:rFonts w:asciiTheme="majorHAnsi" w:hAnsiTheme="majorHAnsi"/>
                <w:sz w:val="20"/>
                <w:lang w:eastAsia="it-IT"/>
              </w:rPr>
              <w:t>ITU accepts this recommendation. A policy on vendor performance management shall be included in the new Procurement Manual</w:t>
            </w:r>
            <w:r w:rsidR="0061192A" w:rsidRPr="00EE7172">
              <w:rPr>
                <w:rFonts w:asciiTheme="majorHAnsi" w:hAnsiTheme="majorHAnsi"/>
                <w:sz w:val="20"/>
                <w:lang w:eastAsia="it-IT"/>
              </w:rPr>
              <w:t>.</w:t>
            </w:r>
          </w:p>
        </w:tc>
        <w:tc>
          <w:tcPr>
            <w:tcW w:w="1595" w:type="pct"/>
            <w:tcBorders>
              <w:top w:val="single" w:sz="4" w:space="0" w:color="auto"/>
              <w:left w:val="single" w:sz="4" w:space="0" w:color="auto"/>
              <w:bottom w:val="single" w:sz="4" w:space="0" w:color="auto"/>
              <w:right w:val="single" w:sz="4" w:space="0" w:color="auto"/>
            </w:tcBorders>
          </w:tcPr>
          <w:p w:rsidR="008F41B8" w:rsidRPr="00EE7172" w:rsidRDefault="00461033" w:rsidP="00EE7172">
            <w:pPr>
              <w:ind w:left="170" w:right="57"/>
              <w:rPr>
                <w:rFonts w:asciiTheme="majorHAnsi" w:hAnsiTheme="majorHAnsi"/>
                <w:b/>
                <w:bCs/>
                <w:sz w:val="20"/>
                <w:lang w:eastAsia="it-IT"/>
              </w:rPr>
            </w:pPr>
            <w:r w:rsidRPr="00EE7172">
              <w:rPr>
                <w:rFonts w:asciiTheme="majorHAnsi" w:hAnsiTheme="majorHAnsi"/>
                <w:b/>
                <w:bCs/>
                <w:sz w:val="20"/>
                <w:lang w:eastAsia="it-IT"/>
              </w:rPr>
              <w:t>Update as of December 2017:</w:t>
            </w:r>
            <w:r w:rsidR="008F41B8" w:rsidRPr="00EE7172">
              <w:rPr>
                <w:rFonts w:asciiTheme="majorHAnsi" w:hAnsiTheme="majorHAnsi"/>
                <w:b/>
                <w:bCs/>
                <w:sz w:val="20"/>
                <w:lang w:eastAsia="it-IT"/>
              </w:rPr>
              <w:t xml:space="preserve"> </w:t>
            </w:r>
          </w:p>
          <w:p w:rsidR="000C47E2" w:rsidRPr="00EE7172" w:rsidRDefault="000C47E2" w:rsidP="00EE7172">
            <w:pPr>
              <w:ind w:left="170" w:right="57"/>
              <w:rPr>
                <w:rFonts w:asciiTheme="majorHAnsi" w:hAnsiTheme="majorHAnsi"/>
                <w:sz w:val="20"/>
                <w:lang w:eastAsia="it-IT"/>
              </w:rPr>
            </w:pPr>
            <w:r w:rsidRPr="00EE7172">
              <w:rPr>
                <w:rFonts w:asciiTheme="majorHAnsi" w:hAnsiTheme="majorHAnsi"/>
                <w:sz w:val="20"/>
                <w:lang w:eastAsia="it-IT"/>
              </w:rPr>
              <w:t>In progress</w:t>
            </w:r>
            <w:r w:rsidR="0061192A" w:rsidRPr="00EE7172">
              <w:rPr>
                <w:rFonts w:asciiTheme="majorHAnsi" w:hAnsiTheme="majorHAnsi"/>
                <w:sz w:val="20"/>
                <w:lang w:eastAsia="it-IT"/>
              </w:rPr>
              <w:t>.</w:t>
            </w:r>
          </w:p>
          <w:p w:rsidR="004D148E" w:rsidRPr="00EE7172" w:rsidRDefault="000C47E2" w:rsidP="00EE7172">
            <w:pPr>
              <w:ind w:left="170" w:right="57"/>
              <w:rPr>
                <w:rFonts w:asciiTheme="majorHAnsi" w:hAnsiTheme="majorHAnsi"/>
                <w:sz w:val="20"/>
                <w:lang w:eastAsia="it-IT"/>
              </w:rPr>
            </w:pPr>
            <w:r w:rsidRPr="00EE7172">
              <w:rPr>
                <w:rFonts w:asciiTheme="majorHAnsi" w:hAnsiTheme="majorHAnsi"/>
                <w:sz w:val="20"/>
                <w:lang w:eastAsia="it-IT"/>
              </w:rPr>
              <w:t xml:space="preserve">The Procurement Manual is in progress of </w:t>
            </w:r>
            <w:proofErr w:type="gramStart"/>
            <w:r w:rsidRPr="00EE7172">
              <w:rPr>
                <w:rFonts w:asciiTheme="majorHAnsi" w:hAnsiTheme="majorHAnsi"/>
                <w:sz w:val="20"/>
                <w:lang w:eastAsia="it-IT"/>
              </w:rPr>
              <w:t>being drafted</w:t>
            </w:r>
            <w:proofErr w:type="gramEnd"/>
            <w:r w:rsidR="0061192A" w:rsidRPr="00EE7172">
              <w:rPr>
                <w:rFonts w:asciiTheme="majorHAnsi" w:hAnsiTheme="majorHAnsi"/>
                <w:sz w:val="20"/>
                <w:lang w:eastAsia="it-IT"/>
              </w:rPr>
              <w:t>.</w:t>
            </w:r>
          </w:p>
        </w:tc>
      </w:tr>
      <w:tr w:rsidR="004D148E" w:rsidRPr="00DD52D7" w:rsidTr="00D6054C">
        <w:trPr>
          <w:cantSplit/>
          <w:trHeight w:val="1530"/>
        </w:trPr>
        <w:tc>
          <w:tcPr>
            <w:tcW w:w="461" w:type="pct"/>
            <w:tcBorders>
              <w:top w:val="single" w:sz="4" w:space="0" w:color="auto"/>
              <w:left w:val="single" w:sz="4" w:space="0" w:color="auto"/>
              <w:bottom w:val="single" w:sz="4" w:space="0" w:color="auto"/>
              <w:right w:val="single" w:sz="4" w:space="0" w:color="auto"/>
            </w:tcBorders>
          </w:tcPr>
          <w:p w:rsidR="004D148E" w:rsidRDefault="00150FA8" w:rsidP="002E69D7">
            <w:pPr>
              <w:widowControl w:val="0"/>
              <w:kinsoku w:val="0"/>
              <w:adjustRightInd/>
              <w:jc w:val="center"/>
              <w:rPr>
                <w:rFonts w:ascii="Calibri" w:hAnsi="Calibri"/>
                <w:b/>
                <w:bCs/>
                <w:sz w:val="20"/>
                <w:lang w:eastAsia="it-IT"/>
              </w:rPr>
            </w:pPr>
            <w:r>
              <w:rPr>
                <w:rFonts w:ascii="Calibri" w:hAnsi="Calibri"/>
                <w:b/>
                <w:bCs/>
                <w:sz w:val="20"/>
                <w:lang w:eastAsia="it-IT"/>
              </w:rPr>
              <w:t>Rec 11/2016</w:t>
            </w:r>
          </w:p>
        </w:tc>
        <w:tc>
          <w:tcPr>
            <w:tcW w:w="1428" w:type="pct"/>
            <w:tcBorders>
              <w:top w:val="single" w:sz="4" w:space="0" w:color="auto"/>
              <w:left w:val="single" w:sz="4" w:space="0" w:color="auto"/>
              <w:bottom w:val="single" w:sz="4" w:space="0" w:color="auto"/>
              <w:right w:val="single" w:sz="4" w:space="0" w:color="auto"/>
            </w:tcBorders>
          </w:tcPr>
          <w:p w:rsidR="004D148E" w:rsidRPr="00EE7172" w:rsidRDefault="00150FA8" w:rsidP="00EE7172">
            <w:pPr>
              <w:widowControl w:val="0"/>
              <w:kinsoku w:val="0"/>
              <w:ind w:left="170" w:right="57"/>
              <w:rPr>
                <w:rFonts w:asciiTheme="majorHAnsi" w:hAnsiTheme="majorHAnsi"/>
                <w:sz w:val="20"/>
                <w:lang w:eastAsia="it-IT"/>
              </w:rPr>
            </w:pPr>
            <w:r w:rsidRPr="00EE7172">
              <w:rPr>
                <w:rFonts w:asciiTheme="majorHAnsi" w:hAnsiTheme="majorHAnsi"/>
                <w:sz w:val="20"/>
              </w:rPr>
              <w:t xml:space="preserve">We recommend that Management should adopt a policy on Procurement Ethics, Fraud and Corrupt Practices and that it should provide a definition of “conflict of interest” at </w:t>
            </w:r>
            <w:r w:rsidRPr="00EE7172">
              <w:rPr>
                <w:rFonts w:asciiTheme="majorHAnsi" w:hAnsiTheme="majorHAnsi"/>
                <w:sz w:val="20"/>
                <w:lang w:eastAsia="it-IT"/>
              </w:rPr>
              <w:t>ITU</w:t>
            </w:r>
            <w:r w:rsidRPr="00EE7172">
              <w:rPr>
                <w:rFonts w:asciiTheme="majorHAnsi" w:hAnsiTheme="majorHAnsi"/>
                <w:sz w:val="20"/>
              </w:rPr>
              <w:t>.</w:t>
            </w:r>
          </w:p>
        </w:tc>
        <w:tc>
          <w:tcPr>
            <w:tcW w:w="1516" w:type="pct"/>
            <w:tcBorders>
              <w:top w:val="single" w:sz="4" w:space="0" w:color="auto"/>
              <w:left w:val="single" w:sz="4" w:space="0" w:color="auto"/>
              <w:bottom w:val="single" w:sz="4" w:space="0" w:color="auto"/>
              <w:right w:val="single" w:sz="4" w:space="0" w:color="auto"/>
            </w:tcBorders>
          </w:tcPr>
          <w:p w:rsidR="004D148E" w:rsidRPr="00EE7172" w:rsidRDefault="00150FA8" w:rsidP="00EE7172">
            <w:pPr>
              <w:widowControl w:val="0"/>
              <w:kinsoku w:val="0"/>
              <w:ind w:left="170" w:right="57"/>
              <w:rPr>
                <w:rFonts w:asciiTheme="majorHAnsi" w:hAnsiTheme="majorHAnsi"/>
                <w:sz w:val="20"/>
                <w:lang w:eastAsia="it-IT"/>
              </w:rPr>
            </w:pPr>
            <w:proofErr w:type="gramStart"/>
            <w:r w:rsidRPr="00EE7172">
              <w:rPr>
                <w:rFonts w:asciiTheme="majorHAnsi" w:hAnsiTheme="majorHAnsi"/>
                <w:sz w:val="20"/>
                <w:lang w:eastAsia="it-IT"/>
              </w:rPr>
              <w:t>ITU accepts this recommendation and will prepare such a policy for adoption.</w:t>
            </w:r>
            <w:proofErr w:type="gramEnd"/>
          </w:p>
        </w:tc>
        <w:tc>
          <w:tcPr>
            <w:tcW w:w="1595" w:type="pct"/>
            <w:tcBorders>
              <w:top w:val="single" w:sz="4" w:space="0" w:color="auto"/>
              <w:left w:val="single" w:sz="4" w:space="0" w:color="auto"/>
              <w:bottom w:val="single" w:sz="4" w:space="0" w:color="auto"/>
              <w:right w:val="single" w:sz="4" w:space="0" w:color="auto"/>
            </w:tcBorders>
          </w:tcPr>
          <w:p w:rsidR="004D148E" w:rsidRPr="00EE7172" w:rsidRDefault="00461033" w:rsidP="00EE7172">
            <w:pPr>
              <w:spacing w:after="120"/>
              <w:ind w:left="170" w:right="57"/>
              <w:rPr>
                <w:rFonts w:asciiTheme="majorHAnsi" w:hAnsiTheme="majorHAnsi"/>
                <w:sz w:val="20"/>
                <w:lang w:eastAsia="it-IT"/>
              </w:rPr>
            </w:pPr>
            <w:r w:rsidRPr="00EE7172">
              <w:rPr>
                <w:rFonts w:asciiTheme="majorHAnsi" w:hAnsiTheme="majorHAnsi"/>
                <w:b/>
                <w:bCs/>
                <w:sz w:val="20"/>
                <w:lang w:eastAsia="it-IT"/>
              </w:rPr>
              <w:t>Update as of December 2017:</w:t>
            </w:r>
            <w:r w:rsidR="008F41B8" w:rsidRPr="00EE7172">
              <w:rPr>
                <w:rFonts w:asciiTheme="majorHAnsi" w:hAnsiTheme="majorHAnsi"/>
                <w:b/>
                <w:bCs/>
                <w:sz w:val="20"/>
                <w:lang w:eastAsia="it-IT"/>
              </w:rPr>
              <w:t xml:space="preserve"> </w:t>
            </w:r>
            <w:r w:rsidR="00E31F3E" w:rsidRPr="00EE7172">
              <w:rPr>
                <w:rFonts w:asciiTheme="majorHAnsi" w:hAnsiTheme="majorHAnsi"/>
                <w:b/>
                <w:bCs/>
                <w:sz w:val="20"/>
                <w:lang w:eastAsia="it-IT"/>
              </w:rPr>
              <w:t xml:space="preserve"> </w:t>
            </w:r>
            <w:r w:rsidR="00D031E5" w:rsidRPr="00EE7172">
              <w:rPr>
                <w:rFonts w:asciiTheme="majorHAnsi" w:hAnsiTheme="majorHAnsi"/>
                <w:sz w:val="20"/>
                <w:lang w:eastAsia="it-IT"/>
              </w:rPr>
              <w:t xml:space="preserve">Drafting has progressed on a policy against Fraud, Corruption and other Proscribed Practices.  This policy </w:t>
            </w:r>
            <w:proofErr w:type="gramStart"/>
            <w:r w:rsidR="00D031E5" w:rsidRPr="00EE7172">
              <w:rPr>
                <w:rFonts w:asciiTheme="majorHAnsi" w:hAnsiTheme="majorHAnsi"/>
                <w:sz w:val="20"/>
                <w:lang w:eastAsia="it-IT"/>
              </w:rPr>
              <w:t>is expected</w:t>
            </w:r>
            <w:proofErr w:type="gramEnd"/>
            <w:r w:rsidR="00D031E5" w:rsidRPr="00EE7172">
              <w:rPr>
                <w:rFonts w:asciiTheme="majorHAnsi" w:hAnsiTheme="majorHAnsi"/>
                <w:sz w:val="20"/>
                <w:lang w:eastAsia="it-IT"/>
              </w:rPr>
              <w:t xml:space="preserve"> to include a definition of conflict of interest. The draft policy is undergoing internal consultations. </w:t>
            </w:r>
          </w:p>
        </w:tc>
      </w:tr>
      <w:tr w:rsidR="00150FA8" w:rsidRPr="00DD52D7" w:rsidTr="00D6054C">
        <w:trPr>
          <w:cantSplit/>
          <w:trHeight w:val="1530"/>
        </w:trPr>
        <w:tc>
          <w:tcPr>
            <w:tcW w:w="461" w:type="pct"/>
            <w:tcBorders>
              <w:top w:val="single" w:sz="4" w:space="0" w:color="auto"/>
              <w:left w:val="single" w:sz="4" w:space="0" w:color="auto"/>
              <w:bottom w:val="single" w:sz="4" w:space="0" w:color="auto"/>
              <w:right w:val="single" w:sz="4" w:space="0" w:color="auto"/>
            </w:tcBorders>
          </w:tcPr>
          <w:p w:rsidR="00150FA8" w:rsidRDefault="00150FA8" w:rsidP="002E69D7">
            <w:pPr>
              <w:widowControl w:val="0"/>
              <w:kinsoku w:val="0"/>
              <w:adjustRightInd/>
              <w:jc w:val="center"/>
              <w:rPr>
                <w:rFonts w:ascii="Calibri" w:hAnsi="Calibri"/>
                <w:b/>
                <w:bCs/>
                <w:sz w:val="20"/>
                <w:lang w:eastAsia="it-IT"/>
              </w:rPr>
            </w:pPr>
            <w:r>
              <w:rPr>
                <w:rFonts w:ascii="Calibri" w:hAnsi="Calibri"/>
                <w:b/>
                <w:bCs/>
                <w:sz w:val="20"/>
                <w:lang w:eastAsia="it-IT"/>
              </w:rPr>
              <w:t>Rec 12/2016</w:t>
            </w:r>
          </w:p>
        </w:tc>
        <w:tc>
          <w:tcPr>
            <w:tcW w:w="1428" w:type="pct"/>
            <w:tcBorders>
              <w:top w:val="single" w:sz="4" w:space="0" w:color="auto"/>
              <w:left w:val="single" w:sz="4" w:space="0" w:color="auto"/>
              <w:bottom w:val="single" w:sz="4" w:space="0" w:color="auto"/>
              <w:right w:val="single" w:sz="4" w:space="0" w:color="auto"/>
            </w:tcBorders>
          </w:tcPr>
          <w:p w:rsidR="00150FA8" w:rsidRPr="00EE7172" w:rsidRDefault="00150FA8" w:rsidP="00EE7172">
            <w:pPr>
              <w:widowControl w:val="0"/>
              <w:kinsoku w:val="0"/>
              <w:ind w:left="170" w:right="57"/>
              <w:rPr>
                <w:rFonts w:asciiTheme="majorHAnsi" w:hAnsiTheme="majorHAnsi"/>
                <w:sz w:val="20"/>
                <w:lang w:eastAsia="it-IT"/>
              </w:rPr>
            </w:pPr>
            <w:r w:rsidRPr="00EE7172">
              <w:rPr>
                <w:rFonts w:asciiTheme="majorHAnsi" w:hAnsiTheme="majorHAnsi"/>
                <w:sz w:val="20"/>
                <w:lang w:eastAsia="it-IT"/>
              </w:rPr>
              <w:t xml:space="preserve">Through the Ethics Office, a comprehensive review of the ethics-related provisions in the legal framework is underway. Further to this review, we recommend that Management update, enhance and fully comply the legal provisions for ethics-related matters, particularly in key areas such as procurement and HR Recruitment (see also </w:t>
            </w:r>
            <w:r w:rsidRPr="00EE7172">
              <w:rPr>
                <w:rFonts w:asciiTheme="majorHAnsi" w:hAnsiTheme="majorHAnsi"/>
                <w:sz w:val="20"/>
                <w:lang w:eastAsia="it-IT"/>
              </w:rPr>
              <w:fldChar w:fldCharType="begin"/>
            </w:r>
            <w:r w:rsidRPr="00EE7172">
              <w:rPr>
                <w:rFonts w:asciiTheme="majorHAnsi" w:hAnsiTheme="majorHAnsi"/>
                <w:sz w:val="20"/>
                <w:lang w:eastAsia="it-IT"/>
              </w:rPr>
              <w:instrText xml:space="preserve"> REF _Ref481661848 \r \h  \* MERGEFORMAT </w:instrText>
            </w:r>
            <w:r w:rsidRPr="00EE7172">
              <w:rPr>
                <w:rFonts w:asciiTheme="majorHAnsi" w:hAnsiTheme="majorHAnsi"/>
                <w:sz w:val="20"/>
                <w:lang w:eastAsia="it-IT"/>
              </w:rPr>
            </w:r>
            <w:r w:rsidRPr="00EE7172">
              <w:rPr>
                <w:rFonts w:asciiTheme="majorHAnsi" w:hAnsiTheme="majorHAnsi"/>
                <w:sz w:val="20"/>
                <w:lang w:eastAsia="it-IT"/>
              </w:rPr>
              <w:fldChar w:fldCharType="separate"/>
            </w:r>
            <w:r w:rsidRPr="00EE7172">
              <w:rPr>
                <w:rFonts w:asciiTheme="majorHAnsi" w:hAnsiTheme="majorHAnsi"/>
                <w:sz w:val="20"/>
                <w:lang w:eastAsia="it-IT"/>
              </w:rPr>
              <w:t>Recommendation n. 11</w:t>
            </w:r>
            <w:r w:rsidRPr="00EE7172">
              <w:rPr>
                <w:rFonts w:asciiTheme="majorHAnsi" w:hAnsiTheme="majorHAnsi"/>
                <w:sz w:val="20"/>
                <w:lang w:eastAsia="it-IT"/>
              </w:rPr>
              <w:fldChar w:fldCharType="end"/>
            </w:r>
            <w:r w:rsidRPr="00EE7172">
              <w:rPr>
                <w:rFonts w:asciiTheme="majorHAnsi" w:hAnsiTheme="majorHAnsi"/>
                <w:sz w:val="20"/>
                <w:lang w:eastAsia="it-IT"/>
              </w:rPr>
              <w:t>). This should be informed by reference to best practices in the UN system as appropriate to the specific needs and circumstances of ITU</w:t>
            </w:r>
          </w:p>
        </w:tc>
        <w:tc>
          <w:tcPr>
            <w:tcW w:w="1516" w:type="pct"/>
            <w:tcBorders>
              <w:top w:val="single" w:sz="4" w:space="0" w:color="auto"/>
              <w:left w:val="single" w:sz="4" w:space="0" w:color="auto"/>
              <w:bottom w:val="single" w:sz="4" w:space="0" w:color="auto"/>
              <w:right w:val="single" w:sz="4" w:space="0" w:color="auto"/>
            </w:tcBorders>
          </w:tcPr>
          <w:p w:rsidR="00150FA8" w:rsidRPr="00EE7172" w:rsidRDefault="00150FA8" w:rsidP="00EE7172">
            <w:pPr>
              <w:widowControl w:val="0"/>
              <w:kinsoku w:val="0"/>
              <w:ind w:left="170" w:right="57"/>
              <w:rPr>
                <w:rFonts w:asciiTheme="majorHAnsi" w:hAnsiTheme="majorHAnsi"/>
                <w:sz w:val="20"/>
                <w:lang w:eastAsia="it-IT"/>
              </w:rPr>
            </w:pPr>
            <w:r w:rsidRPr="00EE7172">
              <w:rPr>
                <w:rFonts w:asciiTheme="majorHAnsi" w:hAnsiTheme="majorHAnsi"/>
                <w:sz w:val="20"/>
                <w:lang w:eastAsia="it-IT"/>
              </w:rPr>
              <w:t>ITU accepts this recommendation, which is consistent with the overall ethics strategy that is being pursued by Management and the Ethics Office</w:t>
            </w:r>
          </w:p>
        </w:tc>
        <w:tc>
          <w:tcPr>
            <w:tcW w:w="1595" w:type="pct"/>
            <w:tcBorders>
              <w:top w:val="single" w:sz="4" w:space="0" w:color="auto"/>
              <w:left w:val="single" w:sz="4" w:space="0" w:color="auto"/>
              <w:bottom w:val="single" w:sz="4" w:space="0" w:color="auto"/>
              <w:right w:val="single" w:sz="4" w:space="0" w:color="auto"/>
            </w:tcBorders>
          </w:tcPr>
          <w:p w:rsidR="00150FA8" w:rsidRPr="00EE7172" w:rsidRDefault="00461033" w:rsidP="00EE7172">
            <w:pPr>
              <w:spacing w:after="120"/>
              <w:ind w:left="170" w:right="57"/>
              <w:rPr>
                <w:rFonts w:asciiTheme="majorHAnsi" w:hAnsiTheme="majorHAnsi"/>
                <w:sz w:val="20"/>
                <w:lang w:eastAsia="it-IT"/>
              </w:rPr>
            </w:pPr>
            <w:r w:rsidRPr="00EE7172">
              <w:rPr>
                <w:rFonts w:asciiTheme="majorHAnsi" w:hAnsiTheme="majorHAnsi"/>
                <w:b/>
                <w:bCs/>
                <w:sz w:val="20"/>
                <w:lang w:eastAsia="it-IT"/>
              </w:rPr>
              <w:t>Update as of December 2017:</w:t>
            </w:r>
            <w:r w:rsidR="00E31F3E" w:rsidRPr="00EE7172">
              <w:rPr>
                <w:rFonts w:asciiTheme="majorHAnsi" w:hAnsiTheme="majorHAnsi"/>
                <w:b/>
                <w:bCs/>
                <w:sz w:val="20"/>
                <w:lang w:eastAsia="it-IT"/>
              </w:rPr>
              <w:t xml:space="preserve"> </w:t>
            </w:r>
            <w:r w:rsidR="00D031E5" w:rsidRPr="00EE7172">
              <w:rPr>
                <w:rFonts w:asciiTheme="majorHAnsi" w:hAnsiTheme="majorHAnsi"/>
                <w:sz w:val="20"/>
                <w:lang w:eastAsia="it-IT"/>
              </w:rPr>
              <w:t xml:space="preserve">The above-referenced draft policy against Fraud, Corruption and other Proscribed Practices </w:t>
            </w:r>
            <w:proofErr w:type="gramStart"/>
            <w:r w:rsidR="00D031E5" w:rsidRPr="00EE7172">
              <w:rPr>
                <w:rFonts w:asciiTheme="majorHAnsi" w:hAnsiTheme="majorHAnsi"/>
                <w:sz w:val="20"/>
                <w:lang w:eastAsia="it-IT"/>
              </w:rPr>
              <w:t>is expected</w:t>
            </w:r>
            <w:proofErr w:type="gramEnd"/>
            <w:r w:rsidR="00D031E5" w:rsidRPr="00EE7172">
              <w:rPr>
                <w:rFonts w:asciiTheme="majorHAnsi" w:hAnsiTheme="majorHAnsi"/>
                <w:sz w:val="20"/>
                <w:lang w:eastAsia="it-IT"/>
              </w:rPr>
              <w:t xml:space="preserve"> to address some of the elements identified in this recommendation. In addition, the Ethics Office has issued Guidance Notes to apply the existing legal framework to certain specific situations and has been working with other offices to finalize a mandatory ethics e-learning programme.  Other aspects of the legal framework on ethics-related issues </w:t>
            </w:r>
            <w:proofErr w:type="gramStart"/>
            <w:r w:rsidR="00D031E5" w:rsidRPr="00EE7172">
              <w:rPr>
                <w:rFonts w:asciiTheme="majorHAnsi" w:hAnsiTheme="majorHAnsi"/>
                <w:sz w:val="20"/>
                <w:lang w:eastAsia="it-IT"/>
              </w:rPr>
              <w:t>are also being considered</w:t>
            </w:r>
            <w:proofErr w:type="gramEnd"/>
            <w:r w:rsidR="00D031E5" w:rsidRPr="00EE7172">
              <w:rPr>
                <w:rFonts w:asciiTheme="majorHAnsi" w:hAnsiTheme="majorHAnsi"/>
                <w:sz w:val="20"/>
                <w:lang w:eastAsia="it-IT"/>
              </w:rPr>
              <w:t xml:space="preserve"> for enhancement, particularly once the aforementioned policy has been finalized</w:t>
            </w:r>
            <w:r w:rsidR="00D031E5" w:rsidRPr="00EE7172">
              <w:rPr>
                <w:rFonts w:asciiTheme="majorHAnsi" w:hAnsiTheme="majorHAnsi"/>
                <w:b/>
                <w:bCs/>
                <w:color w:val="1F497D"/>
                <w:sz w:val="20"/>
                <w:lang w:eastAsia="it-IT"/>
              </w:rPr>
              <w:t>.</w:t>
            </w:r>
          </w:p>
        </w:tc>
      </w:tr>
      <w:tr w:rsidR="00CF69AA" w:rsidRPr="00DD52D7" w:rsidTr="00D6054C">
        <w:trPr>
          <w:cantSplit/>
          <w:trHeight w:val="1530"/>
        </w:trPr>
        <w:tc>
          <w:tcPr>
            <w:tcW w:w="461" w:type="pct"/>
            <w:tcBorders>
              <w:top w:val="single" w:sz="4" w:space="0" w:color="auto"/>
              <w:left w:val="single" w:sz="4" w:space="0" w:color="auto"/>
              <w:bottom w:val="single" w:sz="4" w:space="0" w:color="auto"/>
              <w:right w:val="single" w:sz="4" w:space="0" w:color="auto"/>
            </w:tcBorders>
          </w:tcPr>
          <w:p w:rsidR="00CF69AA" w:rsidRPr="00BD506C" w:rsidRDefault="00CF69AA" w:rsidP="002E69D7">
            <w:pPr>
              <w:widowControl w:val="0"/>
              <w:kinsoku w:val="0"/>
              <w:adjustRightInd/>
              <w:jc w:val="center"/>
              <w:rPr>
                <w:rFonts w:ascii="Calibri" w:hAnsi="Calibri"/>
                <w:b/>
                <w:bCs/>
                <w:sz w:val="20"/>
                <w:lang w:eastAsia="it-IT"/>
              </w:rPr>
            </w:pPr>
            <w:r>
              <w:rPr>
                <w:rFonts w:ascii="Calibri" w:hAnsi="Calibri"/>
                <w:b/>
                <w:bCs/>
                <w:sz w:val="20"/>
                <w:lang w:eastAsia="it-IT"/>
              </w:rPr>
              <w:lastRenderedPageBreak/>
              <w:t>Rec 1/2015</w:t>
            </w:r>
          </w:p>
        </w:tc>
        <w:tc>
          <w:tcPr>
            <w:tcW w:w="1428" w:type="pct"/>
            <w:tcBorders>
              <w:top w:val="single" w:sz="4" w:space="0" w:color="auto"/>
              <w:left w:val="single" w:sz="4" w:space="0" w:color="auto"/>
              <w:bottom w:val="single" w:sz="4" w:space="0" w:color="auto"/>
              <w:right w:val="single" w:sz="4" w:space="0" w:color="auto"/>
            </w:tcBorders>
          </w:tcPr>
          <w:p w:rsidR="00CF69AA" w:rsidRPr="00EE7172" w:rsidRDefault="00CF69AA" w:rsidP="00EE7172">
            <w:pPr>
              <w:widowControl w:val="0"/>
              <w:kinsoku w:val="0"/>
              <w:ind w:left="167" w:right="57"/>
              <w:rPr>
                <w:rFonts w:asciiTheme="majorHAnsi" w:hAnsiTheme="majorHAnsi"/>
                <w:sz w:val="20"/>
                <w:lang w:eastAsia="it-IT"/>
              </w:rPr>
            </w:pPr>
            <w:r w:rsidRPr="00EE7172">
              <w:rPr>
                <w:rFonts w:asciiTheme="majorHAnsi" w:hAnsiTheme="majorHAnsi"/>
                <w:sz w:val="20"/>
                <w:lang w:eastAsia="it-IT"/>
              </w:rPr>
              <w:t>We recommend that Management increase its efforts to recognize, label and capitalize the fixed assets located at ITU, in order to have a more accurate record of assets, through procedures and processes that will bolster coordination between different Departments.</w:t>
            </w:r>
          </w:p>
        </w:tc>
        <w:tc>
          <w:tcPr>
            <w:tcW w:w="1516" w:type="pct"/>
            <w:tcBorders>
              <w:top w:val="single" w:sz="4" w:space="0" w:color="auto"/>
              <w:left w:val="single" w:sz="4" w:space="0" w:color="auto"/>
              <w:bottom w:val="single" w:sz="4" w:space="0" w:color="auto"/>
              <w:right w:val="single" w:sz="4" w:space="0" w:color="auto"/>
            </w:tcBorders>
          </w:tcPr>
          <w:p w:rsidR="00CF69AA" w:rsidRPr="00EE7172" w:rsidRDefault="00CF69AA" w:rsidP="00EE7172">
            <w:pPr>
              <w:widowControl w:val="0"/>
              <w:kinsoku w:val="0"/>
              <w:ind w:left="167" w:right="57"/>
              <w:rPr>
                <w:rFonts w:asciiTheme="majorHAnsi" w:hAnsiTheme="majorHAnsi"/>
                <w:sz w:val="20"/>
                <w:lang w:eastAsia="it-IT"/>
              </w:rPr>
            </w:pPr>
            <w:r w:rsidRPr="00EE7172">
              <w:rPr>
                <w:rFonts w:asciiTheme="majorHAnsi" w:hAnsiTheme="majorHAnsi"/>
                <w:sz w:val="20"/>
                <w:lang w:eastAsia="it-IT"/>
              </w:rPr>
              <w:t xml:space="preserve">The Secretariat will pursue the efforts already made to ensure that all assets </w:t>
            </w:r>
            <w:proofErr w:type="gramStart"/>
            <w:r w:rsidRPr="00EE7172">
              <w:rPr>
                <w:rFonts w:asciiTheme="majorHAnsi" w:hAnsiTheme="majorHAnsi"/>
                <w:sz w:val="20"/>
                <w:lang w:eastAsia="it-IT"/>
              </w:rPr>
              <w:t>are recorded</w:t>
            </w:r>
            <w:proofErr w:type="gramEnd"/>
            <w:r w:rsidRPr="00EE7172">
              <w:rPr>
                <w:rFonts w:asciiTheme="majorHAnsi" w:hAnsiTheme="majorHAnsi"/>
                <w:sz w:val="20"/>
                <w:lang w:eastAsia="it-IT"/>
              </w:rPr>
              <w:t xml:space="preserve"> in the respective databases.</w:t>
            </w:r>
          </w:p>
        </w:tc>
        <w:tc>
          <w:tcPr>
            <w:tcW w:w="1595" w:type="pct"/>
            <w:tcBorders>
              <w:top w:val="single" w:sz="4" w:space="0" w:color="auto"/>
              <w:left w:val="single" w:sz="4" w:space="0" w:color="auto"/>
              <w:bottom w:val="single" w:sz="4" w:space="0" w:color="auto"/>
              <w:right w:val="single" w:sz="4" w:space="0" w:color="auto"/>
            </w:tcBorders>
          </w:tcPr>
          <w:p w:rsidR="00CF69AA" w:rsidRPr="00EE7172" w:rsidRDefault="00D62267" w:rsidP="00EE7172">
            <w:pPr>
              <w:ind w:left="167" w:right="57"/>
              <w:rPr>
                <w:rFonts w:asciiTheme="majorHAnsi" w:hAnsiTheme="majorHAnsi"/>
                <w:sz w:val="20"/>
                <w:lang w:eastAsia="it-IT"/>
              </w:rPr>
            </w:pPr>
            <w:r w:rsidRPr="00EE7172">
              <w:rPr>
                <w:rFonts w:asciiTheme="majorHAnsi" w:hAnsiTheme="majorHAnsi"/>
                <w:b/>
                <w:bCs/>
                <w:sz w:val="20"/>
                <w:lang w:eastAsia="it-IT"/>
              </w:rPr>
              <w:t>Update as of end April 2017</w:t>
            </w:r>
            <w:r w:rsidR="00461033" w:rsidRPr="00EE7172">
              <w:rPr>
                <w:rFonts w:asciiTheme="majorHAnsi" w:hAnsiTheme="majorHAnsi"/>
                <w:b/>
                <w:bCs/>
                <w:sz w:val="20"/>
                <w:lang w:eastAsia="it-IT"/>
              </w:rPr>
              <w:t>:</w:t>
            </w:r>
            <w:r w:rsidR="00E31F3E" w:rsidRPr="00EE7172">
              <w:rPr>
                <w:rFonts w:asciiTheme="majorHAnsi" w:hAnsiTheme="majorHAnsi"/>
                <w:b/>
                <w:bCs/>
                <w:sz w:val="20"/>
                <w:lang w:eastAsia="it-IT"/>
              </w:rPr>
              <w:t xml:space="preserve">  </w:t>
            </w:r>
            <w:r w:rsidR="003707EC" w:rsidRPr="00EE7172">
              <w:rPr>
                <w:rFonts w:asciiTheme="majorHAnsi" w:hAnsiTheme="majorHAnsi"/>
                <w:sz w:val="20"/>
                <w:lang w:eastAsia="it-IT"/>
              </w:rPr>
              <w:t xml:space="preserve">Improvements </w:t>
            </w:r>
            <w:proofErr w:type="gramStart"/>
            <w:r w:rsidR="003707EC" w:rsidRPr="00EE7172">
              <w:rPr>
                <w:rFonts w:asciiTheme="majorHAnsi" w:hAnsiTheme="majorHAnsi"/>
                <w:sz w:val="20"/>
                <w:lang w:eastAsia="it-IT"/>
              </w:rPr>
              <w:t>were made</w:t>
            </w:r>
            <w:proofErr w:type="gramEnd"/>
            <w:r w:rsidR="003707EC" w:rsidRPr="00EE7172">
              <w:rPr>
                <w:rFonts w:asciiTheme="majorHAnsi" w:hAnsiTheme="majorHAnsi"/>
                <w:sz w:val="20"/>
                <w:lang w:eastAsia="it-IT"/>
              </w:rPr>
              <w:t xml:space="preserve"> </w:t>
            </w:r>
            <w:r w:rsidR="0018162C" w:rsidRPr="00EE7172">
              <w:rPr>
                <w:rFonts w:asciiTheme="majorHAnsi" w:hAnsiTheme="majorHAnsi"/>
                <w:sz w:val="20"/>
                <w:lang w:eastAsia="it-IT"/>
              </w:rPr>
              <w:t xml:space="preserve">by a </w:t>
            </w:r>
            <w:r w:rsidR="003707EC" w:rsidRPr="00EE7172">
              <w:rPr>
                <w:rFonts w:asciiTheme="majorHAnsi" w:hAnsiTheme="majorHAnsi"/>
                <w:sz w:val="20"/>
                <w:lang w:eastAsia="it-IT"/>
              </w:rPr>
              <w:t xml:space="preserve">close collaboration </w:t>
            </w:r>
            <w:r w:rsidR="0018162C" w:rsidRPr="00EE7172">
              <w:rPr>
                <w:rFonts w:asciiTheme="majorHAnsi" w:hAnsiTheme="majorHAnsi"/>
                <w:sz w:val="20"/>
                <w:lang w:eastAsia="it-IT"/>
              </w:rPr>
              <w:t xml:space="preserve">between the </w:t>
            </w:r>
            <w:r w:rsidR="003707EC" w:rsidRPr="00EE7172">
              <w:rPr>
                <w:rFonts w:asciiTheme="majorHAnsi" w:hAnsiTheme="majorHAnsi"/>
                <w:sz w:val="20"/>
                <w:lang w:eastAsia="it-IT"/>
              </w:rPr>
              <w:t xml:space="preserve">different Departments in terms of consistency of data in the two SAP modules intended for asset accounting and equipment management at headquarters and </w:t>
            </w:r>
            <w:r w:rsidR="00EE1696" w:rsidRPr="00EE7172">
              <w:rPr>
                <w:rFonts w:asciiTheme="majorHAnsi" w:hAnsiTheme="majorHAnsi"/>
                <w:sz w:val="20"/>
                <w:lang w:eastAsia="it-IT"/>
              </w:rPr>
              <w:t xml:space="preserve">the </w:t>
            </w:r>
            <w:r w:rsidR="003707EC" w:rsidRPr="00EE7172">
              <w:rPr>
                <w:rFonts w:asciiTheme="majorHAnsi" w:hAnsiTheme="majorHAnsi"/>
                <w:sz w:val="20"/>
                <w:lang w:eastAsia="it-IT"/>
              </w:rPr>
              <w:t xml:space="preserve">regional offices. In addition, a Service Order </w:t>
            </w:r>
            <w:r w:rsidR="008F22E5" w:rsidRPr="00EE7172">
              <w:rPr>
                <w:rFonts w:asciiTheme="majorHAnsi" w:hAnsiTheme="majorHAnsi"/>
                <w:sz w:val="20"/>
                <w:lang w:eastAsia="it-IT"/>
              </w:rPr>
              <w:t xml:space="preserve">on inventory and protection of ITU equipment </w:t>
            </w:r>
            <w:r w:rsidR="003707EC" w:rsidRPr="00EE7172">
              <w:rPr>
                <w:rFonts w:asciiTheme="majorHAnsi" w:hAnsiTheme="majorHAnsi"/>
                <w:sz w:val="20"/>
                <w:lang w:eastAsia="it-IT"/>
              </w:rPr>
              <w:t>has been issued.</w:t>
            </w:r>
          </w:p>
          <w:p w:rsidR="00D62267" w:rsidRPr="00EE7172" w:rsidRDefault="00D62267" w:rsidP="00EE7172">
            <w:pPr>
              <w:spacing w:after="120"/>
              <w:ind w:left="167" w:right="57"/>
              <w:rPr>
                <w:rFonts w:asciiTheme="majorHAnsi" w:hAnsiTheme="majorHAnsi"/>
                <w:sz w:val="20"/>
                <w:lang w:eastAsia="it-IT"/>
              </w:rPr>
            </w:pPr>
            <w:r w:rsidRPr="00EE7172">
              <w:rPr>
                <w:rFonts w:asciiTheme="majorHAnsi" w:hAnsiTheme="majorHAnsi"/>
                <w:b/>
                <w:bCs/>
                <w:sz w:val="20"/>
                <w:lang w:eastAsia="it-IT"/>
              </w:rPr>
              <w:t>Update as of December 2017</w:t>
            </w:r>
            <w:r w:rsidR="00461033" w:rsidRPr="00EE7172">
              <w:rPr>
                <w:rFonts w:asciiTheme="majorHAnsi" w:hAnsiTheme="majorHAnsi"/>
                <w:sz w:val="20"/>
                <w:lang w:eastAsia="it-IT"/>
              </w:rPr>
              <w:t>:</w:t>
            </w:r>
            <w:r w:rsidR="008F41B8" w:rsidRPr="00EE7172">
              <w:rPr>
                <w:rFonts w:asciiTheme="majorHAnsi" w:hAnsiTheme="majorHAnsi"/>
                <w:sz w:val="20"/>
                <w:lang w:eastAsia="it-IT"/>
              </w:rPr>
              <w:t xml:space="preserve"> </w:t>
            </w:r>
            <w:r w:rsidR="00E31F3E" w:rsidRPr="00EE7172">
              <w:rPr>
                <w:rFonts w:asciiTheme="majorHAnsi" w:hAnsiTheme="majorHAnsi"/>
                <w:sz w:val="20"/>
                <w:lang w:eastAsia="it-IT"/>
              </w:rPr>
              <w:t xml:space="preserve"> </w:t>
            </w:r>
            <w:r w:rsidR="00CB0C4B" w:rsidRPr="00EE7172">
              <w:rPr>
                <w:rFonts w:asciiTheme="majorHAnsi" w:hAnsiTheme="majorHAnsi"/>
                <w:sz w:val="20"/>
                <w:lang w:eastAsia="it-IT"/>
              </w:rPr>
              <w:t>The different data in SAP equipment system and the SAP module for asset management are now synchronized. However</w:t>
            </w:r>
            <w:r w:rsidR="0061192A" w:rsidRPr="00EE7172">
              <w:rPr>
                <w:rFonts w:asciiTheme="majorHAnsi" w:hAnsiTheme="majorHAnsi"/>
                <w:sz w:val="20"/>
                <w:lang w:eastAsia="it-IT"/>
              </w:rPr>
              <w:t>,</w:t>
            </w:r>
            <w:r w:rsidR="00CB0C4B" w:rsidRPr="00EE7172">
              <w:rPr>
                <w:rFonts w:asciiTheme="majorHAnsi" w:hAnsiTheme="majorHAnsi"/>
                <w:sz w:val="20"/>
                <w:lang w:eastAsia="it-IT"/>
              </w:rPr>
              <w:t xml:space="preserve"> the matching of data is a permanent and regular exercise that will continue to </w:t>
            </w:r>
            <w:proofErr w:type="gramStart"/>
            <w:r w:rsidR="00CB0C4B" w:rsidRPr="00EE7172">
              <w:rPr>
                <w:rFonts w:asciiTheme="majorHAnsi" w:hAnsiTheme="majorHAnsi"/>
                <w:sz w:val="20"/>
                <w:lang w:eastAsia="it-IT"/>
              </w:rPr>
              <w:t>be done</w:t>
            </w:r>
            <w:proofErr w:type="gramEnd"/>
            <w:r w:rsidR="00CB0C4B" w:rsidRPr="00EE7172">
              <w:rPr>
                <w:rFonts w:asciiTheme="majorHAnsi" w:hAnsiTheme="majorHAnsi"/>
                <w:sz w:val="20"/>
                <w:lang w:eastAsia="it-IT"/>
              </w:rPr>
              <w:t xml:space="preserve"> by the concerned departments.</w:t>
            </w:r>
          </w:p>
        </w:tc>
      </w:tr>
      <w:tr w:rsidR="00CF69AA" w:rsidRPr="00DD52D7" w:rsidTr="00D6054C">
        <w:trPr>
          <w:cantSplit/>
          <w:trHeight w:val="1530"/>
        </w:trPr>
        <w:tc>
          <w:tcPr>
            <w:tcW w:w="461" w:type="pct"/>
            <w:tcBorders>
              <w:top w:val="single" w:sz="4" w:space="0" w:color="auto"/>
              <w:left w:val="single" w:sz="4" w:space="0" w:color="auto"/>
              <w:bottom w:val="single" w:sz="4" w:space="0" w:color="auto"/>
              <w:right w:val="single" w:sz="4" w:space="0" w:color="auto"/>
            </w:tcBorders>
          </w:tcPr>
          <w:p w:rsidR="00CF69AA" w:rsidRPr="00B33398" w:rsidRDefault="00CF69AA" w:rsidP="00DA4CCA">
            <w:pPr>
              <w:widowControl w:val="0"/>
              <w:kinsoku w:val="0"/>
              <w:ind w:left="167" w:right="57"/>
              <w:rPr>
                <w:rFonts w:ascii="Calibri" w:hAnsi="Calibri"/>
                <w:b/>
                <w:bCs/>
                <w:sz w:val="20"/>
                <w:lang w:eastAsia="it-IT"/>
              </w:rPr>
            </w:pPr>
            <w:r w:rsidRPr="00B33398">
              <w:rPr>
                <w:rFonts w:ascii="Calibri" w:hAnsi="Calibri"/>
                <w:b/>
                <w:bCs/>
                <w:sz w:val="20"/>
                <w:lang w:eastAsia="it-IT"/>
              </w:rPr>
              <w:t>Rec 2/2015</w:t>
            </w:r>
          </w:p>
        </w:tc>
        <w:tc>
          <w:tcPr>
            <w:tcW w:w="1428" w:type="pct"/>
            <w:tcBorders>
              <w:top w:val="single" w:sz="4" w:space="0" w:color="auto"/>
              <w:left w:val="single" w:sz="4" w:space="0" w:color="auto"/>
              <w:bottom w:val="single" w:sz="4" w:space="0" w:color="auto"/>
              <w:right w:val="single" w:sz="4" w:space="0" w:color="auto"/>
            </w:tcBorders>
          </w:tcPr>
          <w:p w:rsidR="00CF69AA" w:rsidRPr="00EE7172" w:rsidRDefault="00CF69AA" w:rsidP="00EE7172">
            <w:pPr>
              <w:widowControl w:val="0"/>
              <w:kinsoku w:val="0"/>
              <w:ind w:left="167" w:right="57"/>
              <w:rPr>
                <w:rFonts w:asciiTheme="majorHAnsi" w:hAnsiTheme="majorHAnsi"/>
                <w:sz w:val="20"/>
                <w:lang w:eastAsia="it-IT"/>
              </w:rPr>
            </w:pPr>
            <w:r w:rsidRPr="00EE7172">
              <w:rPr>
                <w:rFonts w:asciiTheme="majorHAnsi" w:hAnsiTheme="majorHAnsi"/>
                <w:sz w:val="20"/>
                <w:lang w:eastAsia="it-IT"/>
              </w:rPr>
              <w:t xml:space="preserve">We recommend that Management should review the different categories’ lifetimes and their related depreciations according to UN practices. Where categories </w:t>
            </w:r>
            <w:proofErr w:type="gramStart"/>
            <w:r w:rsidRPr="00EE7172">
              <w:rPr>
                <w:rFonts w:asciiTheme="majorHAnsi" w:hAnsiTheme="majorHAnsi"/>
                <w:sz w:val="20"/>
                <w:lang w:eastAsia="it-IT"/>
              </w:rPr>
              <w:t>are updated</w:t>
            </w:r>
            <w:proofErr w:type="gramEnd"/>
            <w:r w:rsidRPr="00EE7172">
              <w:rPr>
                <w:rFonts w:asciiTheme="majorHAnsi" w:hAnsiTheme="majorHAnsi"/>
                <w:sz w:val="20"/>
                <w:lang w:eastAsia="it-IT"/>
              </w:rPr>
              <w:t>, an adjustment of net book value will be needed.</w:t>
            </w:r>
          </w:p>
        </w:tc>
        <w:tc>
          <w:tcPr>
            <w:tcW w:w="1516" w:type="pct"/>
            <w:tcBorders>
              <w:top w:val="single" w:sz="4" w:space="0" w:color="auto"/>
              <w:left w:val="single" w:sz="4" w:space="0" w:color="auto"/>
              <w:bottom w:val="single" w:sz="4" w:space="0" w:color="auto"/>
              <w:right w:val="single" w:sz="4" w:space="0" w:color="auto"/>
            </w:tcBorders>
          </w:tcPr>
          <w:p w:rsidR="00CF69AA" w:rsidRPr="00EE7172" w:rsidRDefault="00CF69AA" w:rsidP="00EE7172">
            <w:pPr>
              <w:widowControl w:val="0"/>
              <w:kinsoku w:val="0"/>
              <w:ind w:left="167" w:right="57"/>
              <w:rPr>
                <w:rFonts w:asciiTheme="majorHAnsi" w:hAnsiTheme="majorHAnsi"/>
                <w:sz w:val="20"/>
                <w:lang w:eastAsia="it-IT"/>
              </w:rPr>
            </w:pPr>
            <w:r w:rsidRPr="00EE7172">
              <w:rPr>
                <w:rFonts w:asciiTheme="majorHAnsi" w:hAnsiTheme="majorHAnsi"/>
                <w:sz w:val="20"/>
                <w:lang w:val="en-US" w:eastAsia="it-IT"/>
              </w:rPr>
              <w:t xml:space="preserve">The </w:t>
            </w:r>
            <w:r w:rsidR="001E6D6F" w:rsidRPr="00EE7172">
              <w:rPr>
                <w:rFonts w:asciiTheme="majorHAnsi" w:hAnsiTheme="majorHAnsi"/>
                <w:sz w:val="20"/>
                <w:lang w:val="en-US" w:eastAsia="it-IT"/>
              </w:rPr>
              <w:t>S</w:t>
            </w:r>
            <w:r w:rsidRPr="00EE7172">
              <w:rPr>
                <w:rFonts w:asciiTheme="majorHAnsi" w:hAnsiTheme="majorHAnsi"/>
                <w:sz w:val="20"/>
                <w:lang w:val="en-US" w:eastAsia="it-IT"/>
              </w:rPr>
              <w:t xml:space="preserve">ecretariat will further </w:t>
            </w:r>
            <w:proofErr w:type="spellStart"/>
            <w:r w:rsidRPr="00EE7172">
              <w:rPr>
                <w:rFonts w:asciiTheme="majorHAnsi" w:hAnsiTheme="majorHAnsi"/>
                <w:sz w:val="20"/>
                <w:lang w:val="en-US" w:eastAsia="it-IT"/>
              </w:rPr>
              <w:t>analyse</w:t>
            </w:r>
            <w:proofErr w:type="spellEnd"/>
            <w:r w:rsidRPr="00EE7172">
              <w:rPr>
                <w:rFonts w:asciiTheme="majorHAnsi" w:hAnsiTheme="majorHAnsi"/>
                <w:sz w:val="20"/>
                <w:lang w:val="en-US" w:eastAsia="it-IT"/>
              </w:rPr>
              <w:t xml:space="preserve"> this recommendation and its potential consequences</w:t>
            </w:r>
            <w:r w:rsidR="0061192A" w:rsidRPr="00EE7172">
              <w:rPr>
                <w:rFonts w:asciiTheme="majorHAnsi" w:hAnsiTheme="majorHAnsi"/>
                <w:sz w:val="20"/>
                <w:lang w:val="en-US" w:eastAsia="it-IT"/>
              </w:rPr>
              <w:t>.</w:t>
            </w:r>
          </w:p>
        </w:tc>
        <w:tc>
          <w:tcPr>
            <w:tcW w:w="1595" w:type="pct"/>
            <w:tcBorders>
              <w:top w:val="single" w:sz="4" w:space="0" w:color="auto"/>
              <w:left w:val="single" w:sz="4" w:space="0" w:color="auto"/>
              <w:bottom w:val="single" w:sz="4" w:space="0" w:color="auto"/>
              <w:right w:val="single" w:sz="4" w:space="0" w:color="auto"/>
            </w:tcBorders>
          </w:tcPr>
          <w:p w:rsidR="00CF69AA" w:rsidRPr="00EE7172" w:rsidRDefault="00D62267" w:rsidP="00EE7172">
            <w:pPr>
              <w:ind w:left="167" w:right="57"/>
              <w:rPr>
                <w:rFonts w:asciiTheme="majorHAnsi" w:hAnsiTheme="majorHAnsi"/>
                <w:sz w:val="20"/>
                <w:lang w:eastAsia="it-IT"/>
              </w:rPr>
            </w:pPr>
            <w:r w:rsidRPr="00EE7172">
              <w:rPr>
                <w:rFonts w:asciiTheme="majorHAnsi" w:hAnsiTheme="majorHAnsi"/>
                <w:b/>
                <w:bCs/>
                <w:sz w:val="20"/>
                <w:lang w:eastAsia="it-IT"/>
              </w:rPr>
              <w:t>Update as of end April 2017</w:t>
            </w:r>
            <w:r w:rsidR="00461033" w:rsidRPr="00EE7172">
              <w:rPr>
                <w:rFonts w:asciiTheme="majorHAnsi" w:hAnsiTheme="majorHAnsi"/>
                <w:b/>
                <w:bCs/>
                <w:sz w:val="20"/>
                <w:lang w:eastAsia="it-IT"/>
              </w:rPr>
              <w:t>:</w:t>
            </w:r>
            <w:r w:rsidR="00E31F3E" w:rsidRPr="00EE7172">
              <w:rPr>
                <w:rFonts w:asciiTheme="majorHAnsi" w:hAnsiTheme="majorHAnsi"/>
                <w:b/>
                <w:bCs/>
                <w:sz w:val="20"/>
                <w:lang w:eastAsia="it-IT"/>
              </w:rPr>
              <w:t xml:space="preserve">  </w:t>
            </w:r>
            <w:r w:rsidR="003707EC" w:rsidRPr="00EE7172">
              <w:rPr>
                <w:rFonts w:asciiTheme="majorHAnsi" w:hAnsiTheme="majorHAnsi"/>
                <w:sz w:val="20"/>
                <w:lang w:eastAsia="it-IT"/>
              </w:rPr>
              <w:t>A study on the useful life was carried out in relation to other international organizations based in Geneva. The possible change in some categories</w:t>
            </w:r>
            <w:r w:rsidR="001A358B" w:rsidRPr="00EE7172">
              <w:rPr>
                <w:rFonts w:asciiTheme="majorHAnsi" w:hAnsiTheme="majorHAnsi"/>
                <w:sz w:val="20"/>
                <w:lang w:eastAsia="it-IT"/>
              </w:rPr>
              <w:t>’</w:t>
            </w:r>
            <w:r w:rsidR="003707EC" w:rsidRPr="00EE7172">
              <w:rPr>
                <w:rFonts w:asciiTheme="majorHAnsi" w:hAnsiTheme="majorHAnsi"/>
                <w:sz w:val="20"/>
                <w:lang w:eastAsia="it-IT"/>
              </w:rPr>
              <w:t xml:space="preserve"> lifetime is under consideration and the decision to implement</w:t>
            </w:r>
            <w:r w:rsidR="0018162C" w:rsidRPr="00EE7172">
              <w:rPr>
                <w:rFonts w:asciiTheme="majorHAnsi" w:hAnsiTheme="majorHAnsi"/>
                <w:sz w:val="20"/>
                <w:lang w:eastAsia="it-IT"/>
              </w:rPr>
              <w:t xml:space="preserve"> this recommendation is related to </w:t>
            </w:r>
            <w:r w:rsidR="003707EC" w:rsidRPr="00EE7172">
              <w:rPr>
                <w:rFonts w:asciiTheme="majorHAnsi" w:hAnsiTheme="majorHAnsi"/>
                <w:sz w:val="20"/>
                <w:lang w:eastAsia="it-IT"/>
              </w:rPr>
              <w:t>the construction of the new ITU building.</w:t>
            </w:r>
          </w:p>
          <w:p w:rsidR="00D62267" w:rsidRPr="00EE7172" w:rsidRDefault="00D62267" w:rsidP="00EE7172">
            <w:pPr>
              <w:spacing w:after="120"/>
              <w:ind w:left="167" w:right="57"/>
              <w:rPr>
                <w:rFonts w:asciiTheme="majorHAnsi" w:hAnsiTheme="majorHAnsi"/>
                <w:sz w:val="20"/>
                <w:lang w:eastAsia="it-IT"/>
              </w:rPr>
            </w:pPr>
            <w:r w:rsidRPr="00EE7172">
              <w:rPr>
                <w:rFonts w:asciiTheme="majorHAnsi" w:hAnsiTheme="majorHAnsi"/>
                <w:b/>
                <w:bCs/>
                <w:sz w:val="20"/>
                <w:lang w:eastAsia="it-IT"/>
              </w:rPr>
              <w:t>Update as of December 2017</w:t>
            </w:r>
            <w:r w:rsidR="00461033" w:rsidRPr="00EE7172">
              <w:rPr>
                <w:rFonts w:asciiTheme="majorHAnsi" w:hAnsiTheme="majorHAnsi"/>
                <w:b/>
                <w:bCs/>
                <w:sz w:val="20"/>
                <w:lang w:eastAsia="it-IT"/>
              </w:rPr>
              <w:t>:</w:t>
            </w:r>
            <w:r w:rsidR="008F41B8" w:rsidRPr="00EE7172">
              <w:rPr>
                <w:rFonts w:asciiTheme="majorHAnsi" w:hAnsiTheme="majorHAnsi"/>
                <w:b/>
                <w:bCs/>
                <w:sz w:val="20"/>
                <w:lang w:eastAsia="it-IT"/>
              </w:rPr>
              <w:t xml:space="preserve"> </w:t>
            </w:r>
            <w:r w:rsidR="00E31F3E" w:rsidRPr="00EE7172">
              <w:rPr>
                <w:rFonts w:asciiTheme="majorHAnsi" w:hAnsiTheme="majorHAnsi"/>
                <w:b/>
                <w:bCs/>
                <w:sz w:val="20"/>
                <w:lang w:eastAsia="it-IT"/>
              </w:rPr>
              <w:t xml:space="preserve"> </w:t>
            </w:r>
            <w:r w:rsidR="00CB0C4B" w:rsidRPr="00EE7172">
              <w:rPr>
                <w:rFonts w:asciiTheme="majorHAnsi" w:hAnsiTheme="majorHAnsi"/>
                <w:sz w:val="20"/>
                <w:lang w:eastAsia="it-IT"/>
              </w:rPr>
              <w:t xml:space="preserve">A study on the useful life was carried out in relation to the other international organization based in Geneva. The possible change in some categories lifetime </w:t>
            </w:r>
            <w:r w:rsidR="0061192A" w:rsidRPr="00EE7172">
              <w:rPr>
                <w:rFonts w:asciiTheme="majorHAnsi" w:hAnsiTheme="majorHAnsi"/>
                <w:sz w:val="20"/>
                <w:lang w:eastAsia="it-IT"/>
              </w:rPr>
              <w:t>i</w:t>
            </w:r>
            <w:r w:rsidR="00CB0C4B" w:rsidRPr="00EE7172">
              <w:rPr>
                <w:rFonts w:asciiTheme="majorHAnsi" w:hAnsiTheme="majorHAnsi"/>
                <w:sz w:val="20"/>
                <w:lang w:eastAsia="it-IT"/>
              </w:rPr>
              <w:t>s under consideration. The decision to introduce this change will be taken in relation with the construction of the new ITU building.</w:t>
            </w:r>
          </w:p>
        </w:tc>
      </w:tr>
      <w:tr w:rsidR="00CF69AA" w:rsidRPr="00DD52D7" w:rsidTr="00D6054C">
        <w:trPr>
          <w:cantSplit/>
          <w:trHeight w:val="1530"/>
        </w:trPr>
        <w:tc>
          <w:tcPr>
            <w:tcW w:w="461" w:type="pct"/>
            <w:tcBorders>
              <w:top w:val="single" w:sz="4" w:space="0" w:color="auto"/>
              <w:left w:val="single" w:sz="4" w:space="0" w:color="auto"/>
              <w:bottom w:val="single" w:sz="4" w:space="0" w:color="auto"/>
              <w:right w:val="single" w:sz="4" w:space="0" w:color="auto"/>
            </w:tcBorders>
          </w:tcPr>
          <w:p w:rsidR="00CF69AA" w:rsidRPr="00BD506C" w:rsidRDefault="00CF69AA" w:rsidP="002E69D7">
            <w:pPr>
              <w:widowControl w:val="0"/>
              <w:kinsoku w:val="0"/>
              <w:adjustRightInd/>
              <w:jc w:val="center"/>
              <w:rPr>
                <w:rFonts w:ascii="Calibri" w:hAnsi="Calibri"/>
                <w:b/>
                <w:bCs/>
                <w:sz w:val="20"/>
                <w:lang w:eastAsia="it-IT"/>
              </w:rPr>
            </w:pPr>
            <w:r>
              <w:rPr>
                <w:rFonts w:ascii="Calibri" w:hAnsi="Calibri"/>
                <w:b/>
                <w:bCs/>
                <w:sz w:val="20"/>
                <w:lang w:eastAsia="it-IT"/>
              </w:rPr>
              <w:lastRenderedPageBreak/>
              <w:t>Rec 3/2015</w:t>
            </w:r>
          </w:p>
        </w:tc>
        <w:tc>
          <w:tcPr>
            <w:tcW w:w="1428" w:type="pct"/>
            <w:tcBorders>
              <w:top w:val="single" w:sz="4" w:space="0" w:color="auto"/>
              <w:left w:val="single" w:sz="4" w:space="0" w:color="auto"/>
              <w:bottom w:val="single" w:sz="4" w:space="0" w:color="auto"/>
              <w:right w:val="single" w:sz="4" w:space="0" w:color="auto"/>
            </w:tcBorders>
          </w:tcPr>
          <w:p w:rsidR="00CF69AA" w:rsidRPr="00EE7172" w:rsidRDefault="00CF69AA" w:rsidP="00EE7172">
            <w:pPr>
              <w:widowControl w:val="0"/>
              <w:kinsoku w:val="0"/>
              <w:ind w:left="167" w:right="57"/>
              <w:rPr>
                <w:rFonts w:asciiTheme="majorHAnsi" w:hAnsiTheme="majorHAnsi"/>
                <w:sz w:val="20"/>
                <w:lang w:eastAsia="it-IT"/>
              </w:rPr>
            </w:pPr>
            <w:r w:rsidRPr="00EE7172">
              <w:rPr>
                <w:rFonts w:asciiTheme="majorHAnsi" w:hAnsiTheme="majorHAnsi"/>
                <w:sz w:val="20"/>
                <w:lang w:eastAsia="it-IT"/>
              </w:rPr>
              <w:t xml:space="preserve">We consider that the asset management framework needs further improvement, therefore we recommend that Management should: </w:t>
            </w:r>
            <w:proofErr w:type="spellStart"/>
            <w:r w:rsidRPr="00EE7172">
              <w:rPr>
                <w:rFonts w:asciiTheme="majorHAnsi" w:hAnsiTheme="majorHAnsi"/>
                <w:sz w:val="20"/>
                <w:lang w:eastAsia="it-IT"/>
              </w:rPr>
              <w:t>i</w:t>
            </w:r>
            <w:proofErr w:type="spellEnd"/>
            <w:r w:rsidRPr="00EE7172">
              <w:rPr>
                <w:rFonts w:asciiTheme="majorHAnsi" w:hAnsiTheme="majorHAnsi"/>
                <w:sz w:val="20"/>
                <w:lang w:eastAsia="it-IT"/>
              </w:rPr>
              <w:t>) consider the feasibility of assessing the status and the level of utilization of assets; ii) monitor regularly the obsolescence of items, also with a view to assessing the accuracy of the Asset Register; iii) extend these processes and procedures to all ITU Departments and Regional offices</w:t>
            </w:r>
          </w:p>
        </w:tc>
        <w:tc>
          <w:tcPr>
            <w:tcW w:w="1516" w:type="pct"/>
            <w:tcBorders>
              <w:top w:val="single" w:sz="4" w:space="0" w:color="auto"/>
              <w:left w:val="single" w:sz="4" w:space="0" w:color="auto"/>
              <w:bottom w:val="single" w:sz="4" w:space="0" w:color="auto"/>
              <w:right w:val="single" w:sz="4" w:space="0" w:color="auto"/>
            </w:tcBorders>
          </w:tcPr>
          <w:p w:rsidR="00CF69AA" w:rsidRPr="00EE7172" w:rsidRDefault="00CF69AA" w:rsidP="00EE7172">
            <w:pPr>
              <w:widowControl w:val="0"/>
              <w:kinsoku w:val="0"/>
              <w:ind w:left="167" w:right="57"/>
              <w:rPr>
                <w:rFonts w:asciiTheme="majorHAnsi" w:hAnsiTheme="majorHAnsi"/>
                <w:sz w:val="20"/>
                <w:lang w:eastAsia="it-IT"/>
              </w:rPr>
            </w:pPr>
            <w:r w:rsidRPr="00EE7172">
              <w:rPr>
                <w:rFonts w:asciiTheme="majorHAnsi" w:hAnsiTheme="majorHAnsi"/>
                <w:sz w:val="20"/>
                <w:lang w:val="en-US" w:eastAsia="it-IT"/>
              </w:rPr>
              <w:t xml:space="preserve">The </w:t>
            </w:r>
            <w:r w:rsidR="001E6D6F" w:rsidRPr="00EE7172">
              <w:rPr>
                <w:rFonts w:asciiTheme="majorHAnsi" w:hAnsiTheme="majorHAnsi"/>
                <w:sz w:val="20"/>
                <w:lang w:val="en-US" w:eastAsia="it-IT"/>
              </w:rPr>
              <w:t>S</w:t>
            </w:r>
            <w:r w:rsidRPr="00EE7172">
              <w:rPr>
                <w:rFonts w:asciiTheme="majorHAnsi" w:hAnsiTheme="majorHAnsi"/>
                <w:sz w:val="20"/>
                <w:lang w:val="en-US" w:eastAsia="it-IT"/>
              </w:rPr>
              <w:t xml:space="preserve">ecretariat will further </w:t>
            </w:r>
            <w:proofErr w:type="spellStart"/>
            <w:r w:rsidRPr="00EE7172">
              <w:rPr>
                <w:rFonts w:asciiTheme="majorHAnsi" w:hAnsiTheme="majorHAnsi"/>
                <w:sz w:val="20"/>
                <w:lang w:val="en-US" w:eastAsia="it-IT"/>
              </w:rPr>
              <w:t>analyse</w:t>
            </w:r>
            <w:proofErr w:type="spellEnd"/>
            <w:r w:rsidRPr="00EE7172">
              <w:rPr>
                <w:rFonts w:asciiTheme="majorHAnsi" w:hAnsiTheme="majorHAnsi"/>
                <w:sz w:val="20"/>
                <w:lang w:val="en-US" w:eastAsia="it-IT"/>
              </w:rPr>
              <w:t xml:space="preserve"> this recommendation and report on the findings and conclusions to the </w:t>
            </w:r>
            <w:r w:rsidR="0061192A" w:rsidRPr="00EE7172">
              <w:rPr>
                <w:rFonts w:asciiTheme="majorHAnsi" w:hAnsiTheme="majorHAnsi"/>
                <w:sz w:val="20"/>
                <w:lang w:val="en-US" w:eastAsia="it-IT"/>
              </w:rPr>
              <w:t>E</w:t>
            </w:r>
            <w:r w:rsidRPr="00EE7172">
              <w:rPr>
                <w:rFonts w:asciiTheme="majorHAnsi" w:hAnsiTheme="majorHAnsi"/>
                <w:sz w:val="20"/>
                <w:lang w:val="en-US" w:eastAsia="it-IT"/>
              </w:rPr>
              <w:t xml:space="preserve">xternal </w:t>
            </w:r>
            <w:r w:rsidR="0061192A" w:rsidRPr="00EE7172">
              <w:rPr>
                <w:rFonts w:asciiTheme="majorHAnsi" w:hAnsiTheme="majorHAnsi"/>
                <w:sz w:val="20"/>
                <w:lang w:val="en-US" w:eastAsia="it-IT"/>
              </w:rPr>
              <w:t>A</w:t>
            </w:r>
            <w:r w:rsidRPr="00EE7172">
              <w:rPr>
                <w:rFonts w:asciiTheme="majorHAnsi" w:hAnsiTheme="majorHAnsi"/>
                <w:sz w:val="20"/>
                <w:lang w:val="en-US" w:eastAsia="it-IT"/>
              </w:rPr>
              <w:t>uditors</w:t>
            </w:r>
          </w:p>
        </w:tc>
        <w:tc>
          <w:tcPr>
            <w:tcW w:w="1595" w:type="pct"/>
            <w:tcBorders>
              <w:top w:val="single" w:sz="4" w:space="0" w:color="auto"/>
              <w:left w:val="single" w:sz="4" w:space="0" w:color="auto"/>
              <w:bottom w:val="single" w:sz="4" w:space="0" w:color="auto"/>
              <w:right w:val="single" w:sz="4" w:space="0" w:color="auto"/>
            </w:tcBorders>
          </w:tcPr>
          <w:p w:rsidR="00CF69AA" w:rsidRPr="00EE7172" w:rsidRDefault="00D62267" w:rsidP="00EE7172">
            <w:pPr>
              <w:ind w:left="167" w:right="57"/>
              <w:rPr>
                <w:rFonts w:asciiTheme="majorHAnsi" w:hAnsiTheme="majorHAnsi"/>
                <w:sz w:val="20"/>
                <w:lang w:eastAsia="it-IT"/>
              </w:rPr>
            </w:pPr>
            <w:r w:rsidRPr="00EE7172">
              <w:rPr>
                <w:rFonts w:asciiTheme="majorHAnsi" w:hAnsiTheme="majorHAnsi"/>
                <w:b/>
                <w:bCs/>
                <w:sz w:val="20"/>
                <w:lang w:eastAsia="it-IT"/>
              </w:rPr>
              <w:t>Update as of end April 2017</w:t>
            </w:r>
            <w:r w:rsidR="00461033" w:rsidRPr="00EE7172">
              <w:rPr>
                <w:rFonts w:asciiTheme="majorHAnsi" w:hAnsiTheme="majorHAnsi"/>
                <w:b/>
                <w:bCs/>
                <w:sz w:val="20"/>
                <w:lang w:eastAsia="it-IT"/>
              </w:rPr>
              <w:t>:</w:t>
            </w:r>
            <w:r w:rsidR="00E31F3E" w:rsidRPr="00EE7172">
              <w:rPr>
                <w:rFonts w:asciiTheme="majorHAnsi" w:hAnsiTheme="majorHAnsi"/>
                <w:b/>
                <w:bCs/>
                <w:sz w:val="20"/>
                <w:lang w:eastAsia="it-IT"/>
              </w:rPr>
              <w:t xml:space="preserve">  </w:t>
            </w:r>
            <w:r w:rsidR="003707EC" w:rsidRPr="00EE7172">
              <w:rPr>
                <w:rFonts w:asciiTheme="majorHAnsi" w:hAnsiTheme="majorHAnsi"/>
                <w:sz w:val="20"/>
                <w:lang w:eastAsia="it-IT"/>
              </w:rPr>
              <w:t xml:space="preserve">A detailed study was undertaken in 2016 concerning the </w:t>
            </w:r>
            <w:r w:rsidR="001A08BA" w:rsidRPr="00EE7172">
              <w:rPr>
                <w:rFonts w:asciiTheme="majorHAnsi" w:hAnsiTheme="majorHAnsi"/>
                <w:sz w:val="20"/>
                <w:lang w:eastAsia="it-IT"/>
              </w:rPr>
              <w:t xml:space="preserve">level of utilization of </w:t>
            </w:r>
            <w:r w:rsidR="003707EC" w:rsidRPr="00EE7172">
              <w:rPr>
                <w:rFonts w:asciiTheme="majorHAnsi" w:hAnsiTheme="majorHAnsi"/>
                <w:sz w:val="20"/>
                <w:lang w:eastAsia="it-IT"/>
              </w:rPr>
              <w:t>assets under the responsibility of the ITU staff, which made it possible to identify the obsolete equipment in a significant way in order to update the accounting records. New procedures are being prepared for the management of equipment and its protection at headquarters and regional offices</w:t>
            </w:r>
          </w:p>
          <w:p w:rsidR="00D62267" w:rsidRPr="00EE7172" w:rsidRDefault="00D62267" w:rsidP="00EE7172">
            <w:pPr>
              <w:spacing w:after="120"/>
              <w:ind w:left="167" w:right="57"/>
              <w:rPr>
                <w:rFonts w:asciiTheme="majorHAnsi" w:hAnsiTheme="majorHAnsi"/>
                <w:sz w:val="20"/>
                <w:lang w:eastAsia="it-IT"/>
              </w:rPr>
            </w:pPr>
            <w:r w:rsidRPr="00EE7172">
              <w:rPr>
                <w:rFonts w:asciiTheme="majorHAnsi" w:hAnsiTheme="majorHAnsi"/>
                <w:b/>
                <w:bCs/>
                <w:sz w:val="20"/>
                <w:lang w:eastAsia="it-IT"/>
              </w:rPr>
              <w:t>Update as of December 2017</w:t>
            </w:r>
            <w:r w:rsidR="00461033" w:rsidRPr="00EE7172">
              <w:rPr>
                <w:rFonts w:asciiTheme="majorHAnsi" w:hAnsiTheme="majorHAnsi"/>
                <w:sz w:val="20"/>
                <w:lang w:eastAsia="it-IT"/>
              </w:rPr>
              <w:t xml:space="preserve">: </w:t>
            </w:r>
            <w:r w:rsidR="008F41B8" w:rsidRPr="00EE7172">
              <w:rPr>
                <w:rFonts w:asciiTheme="majorHAnsi" w:hAnsiTheme="majorHAnsi"/>
                <w:sz w:val="20"/>
                <w:lang w:eastAsia="it-IT"/>
              </w:rPr>
              <w:t xml:space="preserve"> </w:t>
            </w:r>
            <w:r w:rsidR="00CB0C4B" w:rsidRPr="00EE7172">
              <w:rPr>
                <w:rFonts w:asciiTheme="majorHAnsi" w:hAnsiTheme="majorHAnsi"/>
                <w:sz w:val="20"/>
                <w:lang w:eastAsia="it-IT"/>
              </w:rPr>
              <w:t>A detailed study was finalized in 2017 concerning the asset under the responsibility of the ITU staff. A new Service Order</w:t>
            </w:r>
            <w:r w:rsidR="0061192A" w:rsidRPr="00EE7172">
              <w:rPr>
                <w:rFonts w:asciiTheme="majorHAnsi" w:hAnsiTheme="majorHAnsi"/>
                <w:sz w:val="20"/>
                <w:lang w:eastAsia="it-IT"/>
              </w:rPr>
              <w:t xml:space="preserve"> No.</w:t>
            </w:r>
            <w:r w:rsidR="00CB0C4B" w:rsidRPr="00EE7172">
              <w:rPr>
                <w:rFonts w:asciiTheme="majorHAnsi" w:hAnsiTheme="majorHAnsi"/>
                <w:sz w:val="20"/>
                <w:lang w:eastAsia="it-IT"/>
              </w:rPr>
              <w:t xml:space="preserve"> 17/10 </w:t>
            </w:r>
            <w:proofErr w:type="gramStart"/>
            <w:r w:rsidR="00CB0C4B" w:rsidRPr="00EE7172">
              <w:rPr>
                <w:rFonts w:asciiTheme="majorHAnsi" w:hAnsiTheme="majorHAnsi"/>
                <w:sz w:val="20"/>
                <w:lang w:eastAsia="it-IT"/>
              </w:rPr>
              <w:t>has been published</w:t>
            </w:r>
            <w:proofErr w:type="gramEnd"/>
            <w:r w:rsidR="00CB0C4B" w:rsidRPr="00EE7172">
              <w:rPr>
                <w:rFonts w:asciiTheme="majorHAnsi" w:hAnsiTheme="majorHAnsi"/>
                <w:sz w:val="20"/>
                <w:lang w:eastAsia="it-IT"/>
              </w:rPr>
              <w:t xml:space="preserve"> in September 2017 in order to define conditions of purchase, replacement and reassignment of IT equipment as well as the delivery and recovery process.</w:t>
            </w:r>
          </w:p>
        </w:tc>
      </w:tr>
      <w:tr w:rsidR="00CF69AA" w:rsidRPr="00BD506C" w:rsidTr="00C72835">
        <w:trPr>
          <w:cantSplit/>
          <w:trHeight w:val="1876"/>
        </w:trPr>
        <w:tc>
          <w:tcPr>
            <w:tcW w:w="461" w:type="pct"/>
            <w:tcBorders>
              <w:top w:val="single" w:sz="4" w:space="0" w:color="auto"/>
              <w:left w:val="single" w:sz="4" w:space="0" w:color="auto"/>
              <w:bottom w:val="single" w:sz="4" w:space="0" w:color="auto"/>
              <w:right w:val="single" w:sz="4" w:space="0" w:color="auto"/>
            </w:tcBorders>
          </w:tcPr>
          <w:p w:rsidR="00CF69AA" w:rsidRPr="00BD506C" w:rsidRDefault="00CF69AA" w:rsidP="002E69D7">
            <w:pPr>
              <w:widowControl w:val="0"/>
              <w:kinsoku w:val="0"/>
              <w:adjustRightInd/>
              <w:jc w:val="center"/>
              <w:rPr>
                <w:rFonts w:ascii="Calibri" w:hAnsi="Calibri"/>
                <w:b/>
                <w:bCs/>
                <w:sz w:val="20"/>
                <w:lang w:eastAsia="it-IT"/>
              </w:rPr>
            </w:pPr>
            <w:r>
              <w:rPr>
                <w:rFonts w:ascii="Calibri" w:hAnsi="Calibri"/>
                <w:b/>
                <w:bCs/>
                <w:sz w:val="20"/>
                <w:lang w:eastAsia="it-IT"/>
              </w:rPr>
              <w:t>Rec 4/2015</w:t>
            </w:r>
          </w:p>
        </w:tc>
        <w:tc>
          <w:tcPr>
            <w:tcW w:w="1428" w:type="pct"/>
            <w:tcBorders>
              <w:top w:val="single" w:sz="4" w:space="0" w:color="auto"/>
              <w:left w:val="single" w:sz="4" w:space="0" w:color="auto"/>
              <w:bottom w:val="single" w:sz="4" w:space="0" w:color="auto"/>
              <w:right w:val="single" w:sz="4" w:space="0" w:color="auto"/>
            </w:tcBorders>
          </w:tcPr>
          <w:p w:rsidR="00CF69AA" w:rsidRPr="00EE7172" w:rsidRDefault="00CF69AA" w:rsidP="00EE7172">
            <w:pPr>
              <w:widowControl w:val="0"/>
              <w:kinsoku w:val="0"/>
              <w:ind w:left="167" w:right="57"/>
              <w:rPr>
                <w:rFonts w:asciiTheme="majorHAnsi" w:hAnsiTheme="majorHAnsi"/>
                <w:sz w:val="20"/>
                <w:lang w:eastAsia="it-IT"/>
              </w:rPr>
            </w:pPr>
            <w:r w:rsidRPr="00EE7172">
              <w:rPr>
                <w:rFonts w:asciiTheme="majorHAnsi" w:hAnsiTheme="majorHAnsi"/>
                <w:sz w:val="20"/>
                <w:lang w:eastAsia="it-IT"/>
              </w:rPr>
              <w:t xml:space="preserve">Given the purpose of the valuation required by IPSAS 25 and the directions provided in paragraph 92 to 94 thereof, we recommend that, in the years to come, Management should ask the actuary to use a discount rate equal to the yield on long-term Swiss government bonds. </w:t>
            </w:r>
          </w:p>
        </w:tc>
        <w:tc>
          <w:tcPr>
            <w:tcW w:w="1516" w:type="pct"/>
            <w:tcBorders>
              <w:top w:val="single" w:sz="4" w:space="0" w:color="auto"/>
              <w:left w:val="single" w:sz="4" w:space="0" w:color="auto"/>
              <w:bottom w:val="single" w:sz="4" w:space="0" w:color="auto"/>
              <w:right w:val="single" w:sz="4" w:space="0" w:color="auto"/>
            </w:tcBorders>
          </w:tcPr>
          <w:p w:rsidR="00CF69AA" w:rsidRPr="00EE7172" w:rsidRDefault="00CF69AA" w:rsidP="00EE7172">
            <w:pPr>
              <w:widowControl w:val="0"/>
              <w:kinsoku w:val="0"/>
              <w:ind w:left="167" w:right="57"/>
              <w:rPr>
                <w:rFonts w:asciiTheme="majorHAnsi" w:hAnsiTheme="majorHAnsi"/>
                <w:sz w:val="20"/>
                <w:lang w:eastAsia="it-IT"/>
              </w:rPr>
            </w:pPr>
            <w:r w:rsidRPr="00EE7172">
              <w:rPr>
                <w:rFonts w:asciiTheme="majorHAnsi" w:hAnsiTheme="majorHAnsi"/>
                <w:sz w:val="20"/>
                <w:lang w:eastAsia="it-IT"/>
              </w:rPr>
              <w:t>Management notes this recommendation and will discuss the matter with the appointed actuary to determine the most appropriate approach, taking into consideration the best practices of the UN organisations</w:t>
            </w:r>
          </w:p>
        </w:tc>
        <w:tc>
          <w:tcPr>
            <w:tcW w:w="1595" w:type="pct"/>
            <w:tcBorders>
              <w:top w:val="single" w:sz="4" w:space="0" w:color="auto"/>
              <w:left w:val="single" w:sz="4" w:space="0" w:color="auto"/>
              <w:bottom w:val="single" w:sz="4" w:space="0" w:color="auto"/>
              <w:right w:val="single" w:sz="4" w:space="0" w:color="auto"/>
            </w:tcBorders>
          </w:tcPr>
          <w:p w:rsidR="00D62267" w:rsidRPr="00EE7172" w:rsidRDefault="00D62267" w:rsidP="00EE7172">
            <w:pPr>
              <w:ind w:left="167" w:right="57"/>
              <w:rPr>
                <w:rFonts w:asciiTheme="majorHAnsi" w:hAnsiTheme="majorHAnsi"/>
                <w:sz w:val="20"/>
                <w:lang w:eastAsia="it-IT"/>
              </w:rPr>
            </w:pPr>
            <w:r w:rsidRPr="00EE7172">
              <w:rPr>
                <w:rFonts w:asciiTheme="majorHAnsi" w:hAnsiTheme="majorHAnsi"/>
                <w:b/>
                <w:bCs/>
                <w:sz w:val="20"/>
                <w:lang w:eastAsia="it-IT"/>
              </w:rPr>
              <w:t>Update as of end April 2017</w:t>
            </w:r>
            <w:r w:rsidR="00E31F3E" w:rsidRPr="00EE7172">
              <w:rPr>
                <w:rFonts w:asciiTheme="majorHAnsi" w:hAnsiTheme="majorHAnsi"/>
                <w:b/>
                <w:bCs/>
                <w:sz w:val="20"/>
                <w:lang w:eastAsia="it-IT"/>
              </w:rPr>
              <w:t xml:space="preserve">:  </w:t>
            </w:r>
            <w:r w:rsidR="00F67992" w:rsidRPr="00EE7172">
              <w:rPr>
                <w:rFonts w:asciiTheme="majorHAnsi" w:hAnsiTheme="majorHAnsi"/>
                <w:sz w:val="20"/>
                <w:lang w:eastAsia="it-IT"/>
              </w:rPr>
              <w:t xml:space="preserve">A new actuary has been chosen further </w:t>
            </w:r>
            <w:r w:rsidR="001A358B" w:rsidRPr="00EE7172">
              <w:rPr>
                <w:rFonts w:asciiTheme="majorHAnsi" w:hAnsiTheme="majorHAnsi"/>
                <w:sz w:val="20"/>
                <w:lang w:eastAsia="it-IT"/>
              </w:rPr>
              <w:t xml:space="preserve">to </w:t>
            </w:r>
            <w:r w:rsidR="00F67992" w:rsidRPr="00EE7172">
              <w:rPr>
                <w:rFonts w:asciiTheme="majorHAnsi" w:hAnsiTheme="majorHAnsi"/>
                <w:sz w:val="20"/>
                <w:lang w:eastAsia="it-IT"/>
              </w:rPr>
              <w:t>a</w:t>
            </w:r>
            <w:r w:rsidR="002A057A" w:rsidRPr="00EE7172">
              <w:rPr>
                <w:rFonts w:asciiTheme="majorHAnsi" w:hAnsiTheme="majorHAnsi"/>
                <w:sz w:val="20"/>
                <w:lang w:eastAsia="it-IT"/>
              </w:rPr>
              <w:t xml:space="preserve"> </w:t>
            </w:r>
            <w:r w:rsidR="001A358B" w:rsidRPr="00EE7172">
              <w:rPr>
                <w:rFonts w:asciiTheme="majorHAnsi" w:hAnsiTheme="majorHAnsi"/>
                <w:sz w:val="20"/>
                <w:lang w:eastAsia="it-IT"/>
              </w:rPr>
              <w:t>C</w:t>
            </w:r>
            <w:r w:rsidR="00F67992" w:rsidRPr="00EE7172">
              <w:rPr>
                <w:rFonts w:asciiTheme="majorHAnsi" w:hAnsiTheme="majorHAnsi"/>
                <w:sz w:val="20"/>
                <w:lang w:eastAsia="it-IT"/>
              </w:rPr>
              <w:t>all for bid</w:t>
            </w:r>
            <w:r w:rsidR="001A358B" w:rsidRPr="00EE7172">
              <w:rPr>
                <w:rFonts w:asciiTheme="majorHAnsi" w:hAnsiTheme="majorHAnsi"/>
                <w:sz w:val="20"/>
                <w:lang w:eastAsia="it-IT"/>
              </w:rPr>
              <w:t>s</w:t>
            </w:r>
            <w:r w:rsidR="00F67992" w:rsidRPr="00EE7172">
              <w:rPr>
                <w:rFonts w:asciiTheme="majorHAnsi" w:hAnsiTheme="majorHAnsi"/>
                <w:sz w:val="20"/>
                <w:lang w:eastAsia="it-IT"/>
              </w:rPr>
              <w:t xml:space="preserve">. This topic was discussed with them taking into consideration the recommendation made by the UN ASHI working group and submitted to the General </w:t>
            </w:r>
            <w:r w:rsidR="00AD799E" w:rsidRPr="00EE7172">
              <w:rPr>
                <w:rFonts w:asciiTheme="majorHAnsi" w:hAnsiTheme="majorHAnsi"/>
                <w:sz w:val="20"/>
                <w:lang w:eastAsia="it-IT"/>
              </w:rPr>
              <w:t>Assembly</w:t>
            </w:r>
            <w:r w:rsidR="00F67992" w:rsidRPr="00EE7172">
              <w:rPr>
                <w:rFonts w:asciiTheme="majorHAnsi" w:hAnsiTheme="majorHAnsi"/>
                <w:sz w:val="20"/>
                <w:lang w:eastAsia="it-IT"/>
              </w:rPr>
              <w:t xml:space="preserve"> </w:t>
            </w:r>
            <w:r w:rsidR="00C72835" w:rsidRPr="00EE7172">
              <w:rPr>
                <w:rFonts w:asciiTheme="majorHAnsi" w:hAnsiTheme="majorHAnsi"/>
                <w:sz w:val="20"/>
                <w:lang w:eastAsia="it-IT"/>
              </w:rPr>
              <w:t>in December</w:t>
            </w:r>
            <w:r w:rsidR="00AD799E" w:rsidRPr="00EE7172">
              <w:rPr>
                <w:rFonts w:asciiTheme="majorHAnsi" w:hAnsiTheme="majorHAnsi"/>
                <w:sz w:val="20"/>
                <w:lang w:eastAsia="it-IT"/>
              </w:rPr>
              <w:t xml:space="preserve">. </w:t>
            </w:r>
            <w:r w:rsidR="000048B6" w:rsidRPr="00EE7172">
              <w:rPr>
                <w:rFonts w:asciiTheme="majorHAnsi" w:hAnsiTheme="majorHAnsi"/>
                <w:sz w:val="20"/>
                <w:lang w:eastAsia="it-IT"/>
              </w:rPr>
              <w:t xml:space="preserve"> This recommendation is based on the work of the UN IPSAS </w:t>
            </w:r>
            <w:r w:rsidR="00E31F3E" w:rsidRPr="00EE7172">
              <w:rPr>
                <w:rFonts w:asciiTheme="majorHAnsi" w:hAnsiTheme="majorHAnsi"/>
                <w:sz w:val="20"/>
                <w:lang w:eastAsia="it-IT"/>
              </w:rPr>
              <w:t>T</w:t>
            </w:r>
            <w:r w:rsidR="000048B6" w:rsidRPr="00EE7172">
              <w:rPr>
                <w:rFonts w:asciiTheme="majorHAnsi" w:hAnsiTheme="majorHAnsi"/>
                <w:sz w:val="20"/>
                <w:lang w:eastAsia="it-IT"/>
              </w:rPr>
              <w:t>ask Force, which agreed</w:t>
            </w:r>
            <w:r w:rsidR="001A358B" w:rsidRPr="00EE7172">
              <w:rPr>
                <w:rFonts w:asciiTheme="majorHAnsi" w:hAnsiTheme="majorHAnsi"/>
                <w:sz w:val="20"/>
                <w:lang w:eastAsia="it-IT"/>
              </w:rPr>
              <w:t xml:space="preserve">, in principle, </w:t>
            </w:r>
            <w:r w:rsidR="000048B6" w:rsidRPr="00EE7172">
              <w:rPr>
                <w:rFonts w:asciiTheme="majorHAnsi" w:hAnsiTheme="majorHAnsi"/>
                <w:sz w:val="20"/>
                <w:lang w:eastAsia="it-IT"/>
              </w:rPr>
              <w:t>that a thirty-year yield curve for high-quality corporate bonds would be identified each year for each of the three currencies in which health insurance benefits are most commonly paid: US Dollar; Euro; and Swiss Franc</w:t>
            </w:r>
            <w:r w:rsidR="00C72835" w:rsidRPr="00EE7172">
              <w:rPr>
                <w:rFonts w:asciiTheme="majorHAnsi" w:hAnsiTheme="majorHAnsi"/>
                <w:sz w:val="20"/>
                <w:lang w:eastAsia="it-IT"/>
              </w:rPr>
              <w:t>s</w:t>
            </w:r>
            <w:r w:rsidRPr="00EE7172">
              <w:rPr>
                <w:rFonts w:asciiTheme="majorHAnsi" w:hAnsiTheme="majorHAnsi"/>
                <w:sz w:val="20"/>
                <w:lang w:eastAsia="it-IT"/>
              </w:rPr>
              <w:t>.</w:t>
            </w:r>
          </w:p>
          <w:p w:rsidR="00CF69AA" w:rsidRPr="00EE7172" w:rsidRDefault="00D62267" w:rsidP="00EE7172">
            <w:pPr>
              <w:spacing w:after="120"/>
              <w:ind w:left="167" w:right="57"/>
              <w:rPr>
                <w:rFonts w:asciiTheme="majorHAnsi" w:hAnsiTheme="majorHAnsi"/>
                <w:sz w:val="20"/>
                <w:lang w:eastAsia="it-IT"/>
              </w:rPr>
            </w:pPr>
            <w:r w:rsidRPr="00EE7172">
              <w:rPr>
                <w:rFonts w:asciiTheme="majorHAnsi" w:hAnsiTheme="majorHAnsi"/>
                <w:b/>
                <w:bCs/>
                <w:sz w:val="20"/>
                <w:lang w:eastAsia="it-IT"/>
              </w:rPr>
              <w:t>Update as of December 2017</w:t>
            </w:r>
            <w:r w:rsidR="00461033" w:rsidRPr="00EE7172">
              <w:rPr>
                <w:rFonts w:asciiTheme="majorHAnsi" w:hAnsiTheme="majorHAnsi"/>
                <w:sz w:val="20"/>
                <w:lang w:eastAsia="it-IT"/>
              </w:rPr>
              <w:t xml:space="preserve">: </w:t>
            </w:r>
            <w:r w:rsidR="0061192A" w:rsidRPr="00EE7172">
              <w:rPr>
                <w:rFonts w:asciiTheme="majorHAnsi" w:hAnsiTheme="majorHAnsi"/>
                <w:sz w:val="20"/>
                <w:lang w:eastAsia="it-IT"/>
              </w:rPr>
              <w:t xml:space="preserve"> </w:t>
            </w:r>
            <w:r w:rsidR="00794883" w:rsidRPr="00EE7172">
              <w:rPr>
                <w:rFonts w:asciiTheme="majorHAnsi" w:hAnsiTheme="majorHAnsi"/>
                <w:sz w:val="20"/>
                <w:lang w:eastAsia="it-IT"/>
              </w:rPr>
              <w:t xml:space="preserve">In line with the recommendation of harmonization discussed among the UN IPSAS </w:t>
            </w:r>
            <w:r w:rsidR="0061192A" w:rsidRPr="00EE7172">
              <w:rPr>
                <w:rFonts w:asciiTheme="majorHAnsi" w:hAnsiTheme="majorHAnsi"/>
                <w:sz w:val="20"/>
                <w:lang w:eastAsia="it-IT"/>
              </w:rPr>
              <w:t>T</w:t>
            </w:r>
            <w:r w:rsidR="00794883" w:rsidRPr="00EE7172">
              <w:rPr>
                <w:rFonts w:asciiTheme="majorHAnsi" w:hAnsiTheme="majorHAnsi"/>
                <w:sz w:val="20"/>
                <w:lang w:eastAsia="it-IT"/>
              </w:rPr>
              <w:t xml:space="preserve">ask </w:t>
            </w:r>
            <w:r w:rsidR="0061192A" w:rsidRPr="00EE7172">
              <w:rPr>
                <w:rFonts w:asciiTheme="majorHAnsi" w:hAnsiTheme="majorHAnsi"/>
                <w:sz w:val="20"/>
                <w:lang w:eastAsia="it-IT"/>
              </w:rPr>
              <w:t>F</w:t>
            </w:r>
            <w:r w:rsidR="00794883" w:rsidRPr="00EE7172">
              <w:rPr>
                <w:rFonts w:asciiTheme="majorHAnsi" w:hAnsiTheme="majorHAnsi"/>
                <w:sz w:val="20"/>
                <w:lang w:eastAsia="it-IT"/>
              </w:rPr>
              <w:t>orce, the use of a thirty-year yield curve for high-quality corporate bonds in Swiss Francs will remain for the 2017 valuation.</w:t>
            </w:r>
          </w:p>
        </w:tc>
      </w:tr>
      <w:tr w:rsidR="002E69D7" w:rsidRPr="00BD506C" w:rsidTr="006558FE">
        <w:trPr>
          <w:cantSplit/>
          <w:trHeight w:val="2820"/>
        </w:trPr>
        <w:tc>
          <w:tcPr>
            <w:tcW w:w="461" w:type="pct"/>
            <w:tcBorders>
              <w:top w:val="single" w:sz="4" w:space="0" w:color="auto"/>
              <w:left w:val="single" w:sz="4" w:space="0" w:color="auto"/>
              <w:bottom w:val="single" w:sz="4" w:space="0" w:color="auto"/>
              <w:right w:val="single" w:sz="4" w:space="0" w:color="auto"/>
            </w:tcBorders>
          </w:tcPr>
          <w:p w:rsidR="002E69D7" w:rsidRPr="00BD506C" w:rsidRDefault="002E69D7" w:rsidP="002E69D7">
            <w:pPr>
              <w:widowControl w:val="0"/>
              <w:kinsoku w:val="0"/>
              <w:adjustRightInd/>
              <w:jc w:val="center"/>
              <w:rPr>
                <w:rFonts w:ascii="Calibri" w:hAnsi="Calibri"/>
                <w:b/>
                <w:bCs/>
                <w:sz w:val="20"/>
                <w:lang w:eastAsia="it-IT"/>
              </w:rPr>
            </w:pPr>
            <w:r w:rsidRPr="00BD506C">
              <w:rPr>
                <w:rFonts w:ascii="Calibri" w:hAnsi="Calibri"/>
                <w:b/>
                <w:bCs/>
                <w:sz w:val="20"/>
                <w:lang w:eastAsia="it-IT"/>
              </w:rPr>
              <w:lastRenderedPageBreak/>
              <w:t>Rec. 3</w:t>
            </w:r>
            <w:r>
              <w:rPr>
                <w:rFonts w:ascii="Calibri" w:hAnsi="Calibri"/>
                <w:b/>
                <w:bCs/>
                <w:sz w:val="20"/>
                <w:lang w:eastAsia="it-IT"/>
              </w:rPr>
              <w:t>/</w:t>
            </w:r>
            <w:r w:rsidRPr="00BD506C">
              <w:rPr>
                <w:rFonts w:ascii="Calibri" w:hAnsi="Calibri"/>
                <w:b/>
                <w:bCs/>
                <w:sz w:val="20"/>
                <w:lang w:eastAsia="it-IT"/>
              </w:rPr>
              <w:t>2014</w:t>
            </w:r>
          </w:p>
        </w:tc>
        <w:tc>
          <w:tcPr>
            <w:tcW w:w="1428" w:type="pct"/>
            <w:tcBorders>
              <w:top w:val="single" w:sz="4" w:space="0" w:color="auto"/>
              <w:left w:val="single" w:sz="4" w:space="0" w:color="auto"/>
              <w:bottom w:val="single" w:sz="4" w:space="0" w:color="auto"/>
              <w:right w:val="single" w:sz="4" w:space="0" w:color="auto"/>
            </w:tcBorders>
          </w:tcPr>
          <w:p w:rsidR="002E69D7" w:rsidRPr="00EE7172" w:rsidRDefault="002E69D7" w:rsidP="00EE7172">
            <w:pPr>
              <w:widowControl w:val="0"/>
              <w:kinsoku w:val="0"/>
              <w:ind w:left="170" w:right="57"/>
              <w:rPr>
                <w:rFonts w:ascii="Calibri Light" w:hAnsi="Calibri Light"/>
                <w:sz w:val="20"/>
                <w:lang w:eastAsia="it-IT"/>
              </w:rPr>
            </w:pPr>
            <w:r w:rsidRPr="00EE7172">
              <w:rPr>
                <w:rFonts w:ascii="Calibri Light" w:hAnsi="Calibri Light"/>
                <w:sz w:val="20"/>
                <w:lang w:eastAsia="it-IT"/>
              </w:rPr>
              <w:t xml:space="preserve">We recommend Management to perform a full actuarial review study, to evaluate when the ITU financial health, in the long-term scenario, might be compromised by the provisions of the Health Insurance Scheme. However, considering that the transition to the new scheme is still in progress, this study has to be performed after the separation from the SHIF and after sufficient data is available under the CMIP, not before the end of 2016. This recommendation replaces the previous n. 6/2012 and n. 3/2013, which are to </w:t>
            </w:r>
            <w:proofErr w:type="gramStart"/>
            <w:r w:rsidRPr="00EE7172">
              <w:rPr>
                <w:rFonts w:ascii="Calibri Light" w:hAnsi="Calibri Light"/>
                <w:sz w:val="20"/>
                <w:lang w:eastAsia="it-IT"/>
              </w:rPr>
              <w:t>be considered</w:t>
            </w:r>
            <w:proofErr w:type="gramEnd"/>
            <w:r w:rsidRPr="00EE7172">
              <w:rPr>
                <w:rFonts w:ascii="Calibri Light" w:hAnsi="Calibri Light"/>
                <w:sz w:val="20"/>
                <w:lang w:eastAsia="it-IT"/>
              </w:rPr>
              <w:t xml:space="preserve"> closed.</w:t>
            </w:r>
          </w:p>
        </w:tc>
        <w:tc>
          <w:tcPr>
            <w:tcW w:w="1516" w:type="pct"/>
            <w:tcBorders>
              <w:top w:val="single" w:sz="4" w:space="0" w:color="auto"/>
              <w:left w:val="single" w:sz="4" w:space="0" w:color="auto"/>
              <w:bottom w:val="single" w:sz="4" w:space="0" w:color="auto"/>
              <w:right w:val="single" w:sz="4" w:space="0" w:color="auto"/>
            </w:tcBorders>
          </w:tcPr>
          <w:p w:rsidR="002E69D7" w:rsidRPr="00EE7172" w:rsidRDefault="002E69D7" w:rsidP="00EE7172">
            <w:pPr>
              <w:widowControl w:val="0"/>
              <w:kinsoku w:val="0"/>
              <w:ind w:left="170" w:right="57"/>
              <w:rPr>
                <w:rFonts w:ascii="Calibri Light" w:hAnsi="Calibri Light"/>
                <w:sz w:val="20"/>
                <w:lang w:eastAsia="it-IT"/>
              </w:rPr>
            </w:pPr>
            <w:r w:rsidRPr="00EE7172">
              <w:rPr>
                <w:rFonts w:ascii="Calibri Light" w:hAnsi="Calibri Light"/>
                <w:sz w:val="20"/>
                <w:lang w:eastAsia="it-IT"/>
              </w:rPr>
              <w:t xml:space="preserve">It </w:t>
            </w:r>
            <w:proofErr w:type="gramStart"/>
            <w:r w:rsidRPr="00EE7172">
              <w:rPr>
                <w:rFonts w:ascii="Calibri Light" w:hAnsi="Calibri Light"/>
                <w:sz w:val="20"/>
                <w:lang w:eastAsia="it-IT"/>
              </w:rPr>
              <w:t>is taken</w:t>
            </w:r>
            <w:proofErr w:type="gramEnd"/>
            <w:r w:rsidRPr="00EE7172">
              <w:rPr>
                <w:rFonts w:ascii="Calibri Light" w:hAnsi="Calibri Light"/>
                <w:sz w:val="20"/>
                <w:lang w:eastAsia="it-IT"/>
              </w:rPr>
              <w:t xml:space="preserve"> note of this recommendation. A full actuarial study </w:t>
            </w:r>
            <w:proofErr w:type="gramStart"/>
            <w:r w:rsidRPr="00EE7172">
              <w:rPr>
                <w:rFonts w:ascii="Calibri Light" w:hAnsi="Calibri Light"/>
                <w:sz w:val="20"/>
                <w:lang w:eastAsia="it-IT"/>
              </w:rPr>
              <w:t>will be performed</w:t>
            </w:r>
            <w:proofErr w:type="gramEnd"/>
            <w:r w:rsidRPr="00EE7172">
              <w:rPr>
                <w:rFonts w:ascii="Calibri Light" w:hAnsi="Calibri Light"/>
                <w:sz w:val="20"/>
                <w:lang w:eastAsia="it-IT"/>
              </w:rPr>
              <w:t xml:space="preserve"> according to the recommendation.</w:t>
            </w:r>
          </w:p>
        </w:tc>
        <w:tc>
          <w:tcPr>
            <w:tcW w:w="1595" w:type="pct"/>
            <w:tcBorders>
              <w:top w:val="single" w:sz="4" w:space="0" w:color="auto"/>
              <w:left w:val="single" w:sz="4" w:space="0" w:color="auto"/>
              <w:bottom w:val="single" w:sz="4" w:space="0" w:color="auto"/>
              <w:right w:val="single" w:sz="4" w:space="0" w:color="auto"/>
            </w:tcBorders>
          </w:tcPr>
          <w:p w:rsidR="006558FE" w:rsidRPr="00EE7172" w:rsidRDefault="002E69D7" w:rsidP="00EE7172">
            <w:pPr>
              <w:widowControl w:val="0"/>
              <w:kinsoku w:val="0"/>
              <w:ind w:left="170" w:right="57"/>
              <w:rPr>
                <w:rFonts w:ascii="Calibri Light" w:hAnsi="Calibri Light"/>
                <w:sz w:val="20"/>
                <w:lang w:eastAsia="it-IT"/>
              </w:rPr>
            </w:pPr>
            <w:r w:rsidRPr="00EE7172">
              <w:rPr>
                <w:rFonts w:ascii="Calibri Light" w:hAnsi="Calibri Light"/>
                <w:sz w:val="20"/>
                <w:lang w:eastAsia="it-IT"/>
              </w:rPr>
              <w:t>As recommended</w:t>
            </w:r>
            <w:r w:rsidR="002A057A" w:rsidRPr="00EE7172">
              <w:rPr>
                <w:rFonts w:ascii="Calibri Light" w:hAnsi="Calibri Light"/>
                <w:sz w:val="20"/>
                <w:lang w:eastAsia="it-IT"/>
              </w:rPr>
              <w:t>,</w:t>
            </w:r>
            <w:r w:rsidRPr="00EE7172">
              <w:rPr>
                <w:rFonts w:ascii="Calibri Light" w:hAnsi="Calibri Light"/>
                <w:sz w:val="20"/>
                <w:lang w:eastAsia="it-IT"/>
              </w:rPr>
              <w:t xml:space="preserve"> a full actuarial study </w:t>
            </w:r>
            <w:proofErr w:type="gramStart"/>
            <w:r w:rsidRPr="00EE7172">
              <w:rPr>
                <w:rFonts w:ascii="Calibri Light" w:hAnsi="Calibri Light"/>
                <w:sz w:val="20"/>
                <w:lang w:eastAsia="it-IT"/>
              </w:rPr>
              <w:t>will be performed</w:t>
            </w:r>
            <w:proofErr w:type="gramEnd"/>
            <w:r w:rsidRPr="00EE7172">
              <w:rPr>
                <w:rFonts w:ascii="Calibri Light" w:hAnsi="Calibri Light"/>
                <w:sz w:val="20"/>
                <w:lang w:eastAsia="it-IT"/>
              </w:rPr>
              <w:t xml:space="preserve"> at the end of 2016 based on the data and results provided by the </w:t>
            </w:r>
            <w:r w:rsidR="00C81D54" w:rsidRPr="00EE7172">
              <w:rPr>
                <w:rFonts w:ascii="Calibri Light" w:hAnsi="Calibri Light"/>
                <w:sz w:val="20"/>
                <w:lang w:eastAsia="it-IT"/>
              </w:rPr>
              <w:t>Collective Medical Insurance Plan (</w:t>
            </w:r>
            <w:r w:rsidRPr="00EE7172">
              <w:rPr>
                <w:rFonts w:ascii="Calibri Light" w:hAnsi="Calibri Light"/>
                <w:sz w:val="20"/>
                <w:lang w:eastAsia="it-IT"/>
              </w:rPr>
              <w:t>CMIP</w:t>
            </w:r>
            <w:r w:rsidR="00C81D54" w:rsidRPr="00EE7172">
              <w:rPr>
                <w:rFonts w:ascii="Calibri Light" w:hAnsi="Calibri Light"/>
                <w:sz w:val="20"/>
                <w:lang w:eastAsia="it-IT"/>
              </w:rPr>
              <w:t>)</w:t>
            </w:r>
            <w:r w:rsidRPr="00EE7172">
              <w:rPr>
                <w:rFonts w:ascii="Calibri Light" w:hAnsi="Calibri Light"/>
                <w:sz w:val="20"/>
                <w:lang w:eastAsia="it-IT"/>
              </w:rPr>
              <w:t>.</w:t>
            </w:r>
          </w:p>
          <w:p w:rsidR="004E5F0E" w:rsidRPr="00EE7172" w:rsidRDefault="004E5F0E" w:rsidP="00EE7172">
            <w:pPr>
              <w:widowControl w:val="0"/>
              <w:kinsoku w:val="0"/>
              <w:ind w:left="170" w:right="57"/>
              <w:rPr>
                <w:rFonts w:ascii="Calibri Light" w:hAnsi="Calibri Light"/>
                <w:sz w:val="20"/>
                <w:lang w:eastAsia="it-IT"/>
              </w:rPr>
            </w:pPr>
            <w:r w:rsidRPr="00EE7172">
              <w:rPr>
                <w:rFonts w:ascii="Calibri Light" w:hAnsi="Calibri Light"/>
                <w:b/>
                <w:bCs/>
                <w:sz w:val="20"/>
                <w:lang w:eastAsia="it-IT"/>
              </w:rPr>
              <w:t xml:space="preserve">Update as of end-January 2016 : </w:t>
            </w:r>
            <w:r w:rsidRPr="00EE7172">
              <w:rPr>
                <w:rFonts w:ascii="Calibri Light" w:hAnsi="Calibri Light"/>
                <w:sz w:val="20"/>
                <w:lang w:eastAsia="it-IT"/>
              </w:rPr>
              <w:t>The requirement of this study will be included in the main actuary study related to IPSAS 25</w:t>
            </w:r>
            <w:r w:rsidR="00F02683" w:rsidRPr="00EE7172">
              <w:rPr>
                <w:rFonts w:ascii="Calibri Light" w:hAnsi="Calibri Light"/>
                <w:sz w:val="20"/>
                <w:lang w:eastAsia="it-IT"/>
              </w:rPr>
              <w:t xml:space="preserve"> (Rec 2/2014)</w:t>
            </w:r>
          </w:p>
          <w:p w:rsidR="007E4D7C" w:rsidRPr="00EE7172" w:rsidRDefault="00E244C1" w:rsidP="00EE7172">
            <w:pPr>
              <w:widowControl w:val="0"/>
              <w:kinsoku w:val="0"/>
              <w:ind w:left="170" w:right="57"/>
              <w:rPr>
                <w:rFonts w:ascii="Calibri Light" w:hAnsi="Calibri Light"/>
                <w:sz w:val="20"/>
                <w:lang w:eastAsia="it-IT"/>
              </w:rPr>
            </w:pPr>
            <w:r w:rsidRPr="00EE7172">
              <w:rPr>
                <w:rFonts w:ascii="Calibri Light" w:hAnsi="Calibri Light"/>
                <w:b/>
                <w:bCs/>
                <w:sz w:val="20"/>
                <w:lang w:eastAsia="it-IT"/>
              </w:rPr>
              <w:t xml:space="preserve">Update as of </w:t>
            </w:r>
            <w:r w:rsidR="00C809B4" w:rsidRPr="00EE7172">
              <w:rPr>
                <w:rFonts w:ascii="Calibri Light" w:hAnsi="Calibri Light"/>
                <w:b/>
                <w:bCs/>
                <w:sz w:val="20"/>
                <w:lang w:eastAsia="it-IT"/>
              </w:rPr>
              <w:t>December 2016</w:t>
            </w:r>
            <w:r w:rsidR="006558FE" w:rsidRPr="00EE7172">
              <w:rPr>
                <w:rFonts w:ascii="Calibri Light" w:hAnsi="Calibri Light"/>
                <w:b/>
                <w:bCs/>
                <w:sz w:val="20"/>
                <w:lang w:eastAsia="it-IT"/>
              </w:rPr>
              <w:t>:</w:t>
            </w:r>
            <w:r w:rsidR="006558FE" w:rsidRPr="00EE7172">
              <w:rPr>
                <w:rFonts w:ascii="Calibri Light" w:hAnsi="Calibri Light"/>
                <w:sz w:val="20"/>
                <w:lang w:eastAsia="it-IT"/>
              </w:rPr>
              <w:t xml:space="preserve"> New </w:t>
            </w:r>
            <w:r w:rsidR="007E4D7C" w:rsidRPr="00EE7172">
              <w:rPr>
                <w:rFonts w:ascii="Calibri Light" w:hAnsi="Calibri Light"/>
                <w:sz w:val="20"/>
                <w:lang w:eastAsia="it-IT"/>
              </w:rPr>
              <w:t xml:space="preserve">actuaries has been chosen to </w:t>
            </w:r>
            <w:r w:rsidR="006558FE" w:rsidRPr="00EE7172">
              <w:rPr>
                <w:rFonts w:ascii="Calibri Light" w:hAnsi="Calibri Light"/>
                <w:sz w:val="20"/>
                <w:lang w:eastAsia="it-IT"/>
              </w:rPr>
              <w:t>perform a full actuarial study of the Health Insurance Scheme</w:t>
            </w:r>
            <w:r w:rsidR="007E4D7C" w:rsidRPr="00EE7172">
              <w:rPr>
                <w:rFonts w:ascii="Calibri Light" w:hAnsi="Calibri Light"/>
                <w:sz w:val="20"/>
                <w:lang w:eastAsia="it-IT"/>
              </w:rPr>
              <w:t xml:space="preserve">. </w:t>
            </w:r>
          </w:p>
          <w:p w:rsidR="005D3018" w:rsidRPr="00EE7172" w:rsidRDefault="005D3018" w:rsidP="00EE7172">
            <w:pPr>
              <w:spacing w:after="120"/>
              <w:ind w:left="170" w:right="57"/>
              <w:rPr>
                <w:rFonts w:ascii="Calibri Light" w:hAnsi="Calibri Light"/>
                <w:sz w:val="20"/>
                <w:lang w:eastAsia="it-IT"/>
              </w:rPr>
            </w:pPr>
            <w:r w:rsidRPr="00EE7172">
              <w:rPr>
                <w:rFonts w:ascii="Calibri Light" w:hAnsi="Calibri Light"/>
                <w:b/>
                <w:bCs/>
                <w:sz w:val="20"/>
                <w:lang w:eastAsia="it-IT"/>
              </w:rPr>
              <w:t>Update as of December 2017</w:t>
            </w:r>
            <w:r w:rsidR="00461033" w:rsidRPr="00EE7172">
              <w:rPr>
                <w:rFonts w:ascii="Calibri Light" w:hAnsi="Calibri Light"/>
                <w:b/>
                <w:bCs/>
                <w:sz w:val="20"/>
                <w:lang w:eastAsia="it-IT"/>
              </w:rPr>
              <w:t>:</w:t>
            </w:r>
            <w:r w:rsidR="00794883" w:rsidRPr="00EE7172">
              <w:rPr>
                <w:rFonts w:ascii="Calibri Light" w:hAnsi="Calibri Light"/>
                <w:b/>
                <w:bCs/>
                <w:sz w:val="20"/>
                <w:lang w:eastAsia="it-IT"/>
              </w:rPr>
              <w:t xml:space="preserve"> </w:t>
            </w:r>
            <w:r w:rsidR="00E31F3E" w:rsidRPr="00EE7172">
              <w:rPr>
                <w:rFonts w:ascii="Calibri Light" w:hAnsi="Calibri Light"/>
                <w:b/>
                <w:bCs/>
                <w:sz w:val="20"/>
                <w:lang w:eastAsia="it-IT"/>
              </w:rPr>
              <w:t xml:space="preserve"> </w:t>
            </w:r>
            <w:r w:rsidR="00794883" w:rsidRPr="00EE7172">
              <w:rPr>
                <w:rFonts w:ascii="Calibri Light" w:hAnsi="Calibri Light"/>
                <w:sz w:val="20"/>
                <w:lang w:eastAsia="it-IT"/>
              </w:rPr>
              <w:t xml:space="preserve">Discussions with the actuary have already started, and the </w:t>
            </w:r>
            <w:proofErr w:type="gramStart"/>
            <w:r w:rsidR="00794883" w:rsidRPr="00EE7172">
              <w:rPr>
                <w:rFonts w:ascii="Calibri Light" w:hAnsi="Calibri Light"/>
                <w:sz w:val="20"/>
                <w:lang w:eastAsia="it-IT"/>
              </w:rPr>
              <w:t>final result</w:t>
            </w:r>
            <w:proofErr w:type="gramEnd"/>
            <w:r w:rsidR="00794883" w:rsidRPr="00EE7172">
              <w:rPr>
                <w:rFonts w:ascii="Calibri Light" w:hAnsi="Calibri Light"/>
                <w:sz w:val="20"/>
                <w:lang w:eastAsia="it-IT"/>
              </w:rPr>
              <w:t xml:space="preserve"> of the full actuarial study should be sent</w:t>
            </w:r>
            <w:r w:rsidR="00854268" w:rsidRPr="00EE7172">
              <w:rPr>
                <w:rFonts w:ascii="Calibri Light" w:hAnsi="Calibri Light"/>
                <w:sz w:val="20"/>
                <w:lang w:eastAsia="it-IT"/>
              </w:rPr>
              <w:t xml:space="preserve"> to ITU </w:t>
            </w:r>
            <w:r w:rsidR="00B613E4" w:rsidRPr="00EE7172">
              <w:rPr>
                <w:rFonts w:ascii="Calibri Light" w:hAnsi="Calibri Light"/>
                <w:sz w:val="20"/>
                <w:lang w:eastAsia="it-IT"/>
              </w:rPr>
              <w:t>beginning of next</w:t>
            </w:r>
            <w:r w:rsidR="0072242B" w:rsidRPr="00EE7172">
              <w:rPr>
                <w:rFonts w:ascii="Calibri Light" w:hAnsi="Calibri Light"/>
                <w:sz w:val="20"/>
                <w:lang w:eastAsia="it-IT"/>
              </w:rPr>
              <w:t xml:space="preserve"> year</w:t>
            </w:r>
            <w:r w:rsidR="00B613E4" w:rsidRPr="00EE7172">
              <w:rPr>
                <w:rFonts w:ascii="Calibri Light" w:hAnsi="Calibri Light"/>
                <w:sz w:val="20"/>
                <w:lang w:eastAsia="it-IT"/>
              </w:rPr>
              <w:t xml:space="preserve"> to be presented to the next </w:t>
            </w:r>
            <w:r w:rsidR="0061192A" w:rsidRPr="00EE7172">
              <w:rPr>
                <w:rFonts w:ascii="Calibri Light" w:hAnsi="Calibri Light"/>
                <w:sz w:val="20"/>
                <w:lang w:eastAsia="it-IT"/>
              </w:rPr>
              <w:t>C</w:t>
            </w:r>
            <w:r w:rsidR="00B613E4" w:rsidRPr="00EE7172">
              <w:rPr>
                <w:rFonts w:ascii="Calibri Light" w:hAnsi="Calibri Light"/>
                <w:sz w:val="20"/>
                <w:lang w:eastAsia="it-IT"/>
              </w:rPr>
              <w:t xml:space="preserve">ouncil through </w:t>
            </w:r>
            <w:r w:rsidR="0061192A" w:rsidRPr="00EE7172">
              <w:rPr>
                <w:rFonts w:ascii="Calibri Light" w:hAnsi="Calibri Light"/>
                <w:sz w:val="20"/>
                <w:lang w:eastAsia="it-IT"/>
              </w:rPr>
              <w:t>t</w:t>
            </w:r>
            <w:r w:rsidR="0072242B" w:rsidRPr="00EE7172">
              <w:rPr>
                <w:rFonts w:ascii="Calibri Light" w:hAnsi="Calibri Light"/>
                <w:sz w:val="20"/>
                <w:lang w:eastAsia="it-IT"/>
              </w:rPr>
              <w:t>he After-Service Health Insurance (ASHI) liability</w:t>
            </w:r>
            <w:r w:rsidR="0061192A" w:rsidRPr="00EE7172">
              <w:rPr>
                <w:rFonts w:ascii="Calibri Light" w:hAnsi="Calibri Light"/>
                <w:sz w:val="20"/>
                <w:lang w:eastAsia="it-IT"/>
              </w:rPr>
              <w:t xml:space="preserve"> </w:t>
            </w:r>
            <w:r w:rsidR="00B613E4" w:rsidRPr="00EE7172">
              <w:rPr>
                <w:rFonts w:ascii="Calibri Light" w:hAnsi="Calibri Light"/>
                <w:sz w:val="20"/>
                <w:lang w:eastAsia="it-IT"/>
              </w:rPr>
              <w:t>document.</w:t>
            </w:r>
          </w:p>
        </w:tc>
      </w:tr>
      <w:tr w:rsidR="002E69D7" w:rsidRPr="00871229" w:rsidTr="006558FE">
        <w:trPr>
          <w:cantSplit/>
          <w:trHeight w:val="1560"/>
        </w:trPr>
        <w:tc>
          <w:tcPr>
            <w:tcW w:w="461" w:type="pct"/>
            <w:tcBorders>
              <w:top w:val="single" w:sz="4" w:space="0" w:color="auto"/>
              <w:left w:val="single" w:sz="4" w:space="0" w:color="auto"/>
              <w:bottom w:val="single" w:sz="4" w:space="0" w:color="auto"/>
              <w:right w:val="single" w:sz="4" w:space="0" w:color="auto"/>
            </w:tcBorders>
          </w:tcPr>
          <w:p w:rsidR="002E69D7" w:rsidRPr="00BD506C" w:rsidRDefault="002E69D7" w:rsidP="002E69D7">
            <w:pPr>
              <w:widowControl w:val="0"/>
              <w:kinsoku w:val="0"/>
              <w:adjustRightInd/>
              <w:jc w:val="center"/>
              <w:rPr>
                <w:rFonts w:ascii="Calibri" w:hAnsi="Calibri"/>
                <w:b/>
                <w:bCs/>
                <w:sz w:val="20"/>
                <w:lang w:eastAsia="it-IT"/>
              </w:rPr>
            </w:pPr>
            <w:r w:rsidRPr="00BD506C">
              <w:rPr>
                <w:rFonts w:ascii="Calibri" w:hAnsi="Calibri"/>
                <w:b/>
                <w:bCs/>
                <w:sz w:val="20"/>
                <w:lang w:eastAsia="it-IT"/>
              </w:rPr>
              <w:lastRenderedPageBreak/>
              <w:t>Rec. 4</w:t>
            </w:r>
            <w:r>
              <w:rPr>
                <w:rFonts w:ascii="Calibri" w:hAnsi="Calibri"/>
                <w:b/>
                <w:bCs/>
                <w:sz w:val="20"/>
                <w:lang w:eastAsia="it-IT"/>
              </w:rPr>
              <w:t>/</w:t>
            </w:r>
            <w:r w:rsidRPr="00BD506C">
              <w:rPr>
                <w:rFonts w:ascii="Calibri" w:hAnsi="Calibri"/>
                <w:b/>
                <w:bCs/>
                <w:sz w:val="20"/>
                <w:lang w:eastAsia="it-IT"/>
              </w:rPr>
              <w:t>2014</w:t>
            </w:r>
          </w:p>
        </w:tc>
        <w:tc>
          <w:tcPr>
            <w:tcW w:w="1428" w:type="pct"/>
            <w:tcBorders>
              <w:top w:val="single" w:sz="4" w:space="0" w:color="auto"/>
              <w:left w:val="single" w:sz="4" w:space="0" w:color="auto"/>
              <w:bottom w:val="single" w:sz="4" w:space="0" w:color="auto"/>
              <w:right w:val="single" w:sz="4" w:space="0" w:color="auto"/>
            </w:tcBorders>
          </w:tcPr>
          <w:p w:rsidR="002E69D7" w:rsidRPr="00EE7172" w:rsidRDefault="002E69D7" w:rsidP="00EE7172">
            <w:pPr>
              <w:widowControl w:val="0"/>
              <w:kinsoku w:val="0"/>
              <w:ind w:left="170" w:right="57"/>
              <w:rPr>
                <w:rFonts w:asciiTheme="majorHAnsi" w:hAnsiTheme="majorHAnsi"/>
                <w:sz w:val="20"/>
                <w:lang w:eastAsia="it-IT"/>
              </w:rPr>
            </w:pPr>
            <w:r w:rsidRPr="00EE7172">
              <w:rPr>
                <w:rFonts w:asciiTheme="majorHAnsi" w:hAnsiTheme="majorHAnsi"/>
                <w:sz w:val="20"/>
                <w:lang w:eastAsia="it-IT"/>
              </w:rPr>
              <w:t>As remedial measures are needed, these drivers might be considered by the Council: we recommend Management, to monitor these drivers to ensure adequate pay-as-you-go and long-term funding</w:t>
            </w:r>
          </w:p>
        </w:tc>
        <w:tc>
          <w:tcPr>
            <w:tcW w:w="1516" w:type="pct"/>
            <w:tcBorders>
              <w:top w:val="single" w:sz="4" w:space="0" w:color="auto"/>
              <w:left w:val="single" w:sz="4" w:space="0" w:color="auto"/>
              <w:bottom w:val="single" w:sz="4" w:space="0" w:color="auto"/>
              <w:right w:val="single" w:sz="4" w:space="0" w:color="auto"/>
            </w:tcBorders>
          </w:tcPr>
          <w:p w:rsidR="002E69D7" w:rsidRPr="00EE7172" w:rsidRDefault="002E69D7" w:rsidP="00EE7172">
            <w:pPr>
              <w:widowControl w:val="0"/>
              <w:kinsoku w:val="0"/>
              <w:ind w:left="170" w:right="57"/>
              <w:rPr>
                <w:rFonts w:asciiTheme="majorHAnsi" w:hAnsiTheme="majorHAnsi"/>
                <w:sz w:val="20"/>
                <w:lang w:eastAsia="it-IT"/>
              </w:rPr>
            </w:pPr>
            <w:r w:rsidRPr="00EE7172">
              <w:rPr>
                <w:rFonts w:asciiTheme="majorHAnsi" w:hAnsiTheme="majorHAnsi"/>
                <w:sz w:val="20"/>
                <w:lang w:eastAsia="it-IT"/>
              </w:rPr>
              <w:t xml:space="preserve">The funding of the health Insurance on a pay-as-you-go basis as well as of the ASHI actuarial liability is of upmost concern for the Union and is carefully monitored. The drivers mentioned here above have been, among others, taken into account while planning the transition to the CMIP and producing the 2014-2015 budget, the 2016-2019 financial plan as well as the 2016-2017 budget, which will be presented during Council 2015. The continuous monitoring of the CMIP results with regular pro-active communication with all the stakeholders and timely proposed </w:t>
            </w:r>
            <w:r w:rsidR="00CC106C" w:rsidRPr="00EE7172">
              <w:rPr>
                <w:rFonts w:asciiTheme="majorHAnsi" w:hAnsiTheme="majorHAnsi"/>
                <w:sz w:val="20"/>
                <w:lang w:eastAsia="it-IT"/>
              </w:rPr>
              <w:t>adjustments</w:t>
            </w:r>
            <w:r w:rsidRPr="00EE7172">
              <w:rPr>
                <w:rFonts w:asciiTheme="majorHAnsi" w:hAnsiTheme="majorHAnsi"/>
                <w:sz w:val="20"/>
                <w:lang w:eastAsia="it-IT"/>
              </w:rPr>
              <w:t xml:space="preserve"> and decisions will enable the funding on a pay-as-you-go-basis.</w:t>
            </w:r>
          </w:p>
        </w:tc>
        <w:tc>
          <w:tcPr>
            <w:tcW w:w="1595" w:type="pct"/>
            <w:tcBorders>
              <w:top w:val="single" w:sz="4" w:space="0" w:color="auto"/>
              <w:left w:val="single" w:sz="4" w:space="0" w:color="auto"/>
              <w:bottom w:val="single" w:sz="4" w:space="0" w:color="auto"/>
              <w:right w:val="single" w:sz="4" w:space="0" w:color="auto"/>
            </w:tcBorders>
          </w:tcPr>
          <w:p w:rsidR="003E5F22" w:rsidRPr="00EE7172" w:rsidRDefault="002E69D7" w:rsidP="00EE7172">
            <w:pPr>
              <w:widowControl w:val="0"/>
              <w:kinsoku w:val="0"/>
              <w:ind w:left="170" w:right="57"/>
              <w:rPr>
                <w:rFonts w:asciiTheme="majorHAnsi" w:hAnsiTheme="majorHAnsi"/>
                <w:b/>
                <w:bCs/>
                <w:sz w:val="20"/>
                <w:lang w:eastAsia="it-IT"/>
              </w:rPr>
            </w:pPr>
            <w:r w:rsidRPr="00EE7172">
              <w:rPr>
                <w:rFonts w:asciiTheme="majorHAnsi" w:hAnsiTheme="majorHAnsi"/>
                <w:sz w:val="20"/>
                <w:lang w:eastAsia="it-IT"/>
              </w:rPr>
              <w:t xml:space="preserve">The </w:t>
            </w:r>
            <w:r w:rsidR="00CC106C" w:rsidRPr="00EE7172">
              <w:rPr>
                <w:rFonts w:asciiTheme="majorHAnsi" w:hAnsiTheme="majorHAnsi"/>
                <w:sz w:val="20"/>
                <w:lang w:eastAsia="it-IT"/>
              </w:rPr>
              <w:t>M</w:t>
            </w:r>
            <w:r w:rsidRPr="00EE7172">
              <w:rPr>
                <w:rFonts w:asciiTheme="majorHAnsi" w:hAnsiTheme="majorHAnsi"/>
                <w:sz w:val="20"/>
                <w:lang w:eastAsia="it-IT"/>
              </w:rPr>
              <w:t>anagement follows this recommendation</w:t>
            </w:r>
            <w:r w:rsidR="00DE0FB0" w:rsidRPr="00EE7172">
              <w:rPr>
                <w:rFonts w:asciiTheme="majorHAnsi" w:hAnsiTheme="majorHAnsi"/>
                <w:sz w:val="20"/>
                <w:lang w:eastAsia="it-IT"/>
              </w:rPr>
              <w:t xml:space="preserve"> </w:t>
            </w:r>
            <w:r w:rsidRPr="00EE7172">
              <w:rPr>
                <w:rFonts w:asciiTheme="majorHAnsi" w:hAnsiTheme="majorHAnsi"/>
                <w:sz w:val="20"/>
                <w:lang w:eastAsia="it-IT"/>
              </w:rPr>
              <w:t>and monitor</w:t>
            </w:r>
            <w:r w:rsidR="00CC106C" w:rsidRPr="00EE7172">
              <w:rPr>
                <w:rFonts w:asciiTheme="majorHAnsi" w:hAnsiTheme="majorHAnsi"/>
                <w:sz w:val="20"/>
                <w:lang w:eastAsia="it-IT"/>
              </w:rPr>
              <w:t>s</w:t>
            </w:r>
            <w:r w:rsidRPr="00EE7172">
              <w:rPr>
                <w:rFonts w:asciiTheme="majorHAnsi" w:hAnsiTheme="majorHAnsi"/>
                <w:sz w:val="20"/>
                <w:lang w:eastAsia="it-IT"/>
              </w:rPr>
              <w:t xml:space="preserve"> </w:t>
            </w:r>
            <w:r w:rsidR="003B63BB" w:rsidRPr="00EE7172">
              <w:rPr>
                <w:rFonts w:asciiTheme="majorHAnsi" w:hAnsiTheme="majorHAnsi"/>
                <w:sz w:val="20"/>
                <w:lang w:eastAsia="it-IT"/>
              </w:rPr>
              <w:t>carefully the</w:t>
            </w:r>
            <w:r w:rsidRPr="00EE7172">
              <w:rPr>
                <w:rFonts w:asciiTheme="majorHAnsi" w:hAnsiTheme="majorHAnsi"/>
                <w:sz w:val="20"/>
                <w:lang w:eastAsia="it-IT"/>
              </w:rPr>
              <w:t xml:space="preserve"> different drivers to ensure ITU</w:t>
            </w:r>
            <w:r w:rsidR="000F4B41" w:rsidRPr="00EE7172">
              <w:rPr>
                <w:rFonts w:asciiTheme="majorHAnsi" w:hAnsiTheme="majorHAnsi"/>
                <w:sz w:val="20"/>
                <w:lang w:eastAsia="it-IT"/>
              </w:rPr>
              <w:t>’s good</w:t>
            </w:r>
            <w:r w:rsidRPr="00EE7172">
              <w:rPr>
                <w:rFonts w:asciiTheme="majorHAnsi" w:hAnsiTheme="majorHAnsi"/>
                <w:sz w:val="20"/>
                <w:lang w:eastAsia="it-IT"/>
              </w:rPr>
              <w:t xml:space="preserve"> financial health.</w:t>
            </w:r>
          </w:p>
          <w:p w:rsidR="001C2244" w:rsidRPr="00EE7172" w:rsidRDefault="00E244C1" w:rsidP="00EE7172">
            <w:pPr>
              <w:widowControl w:val="0"/>
              <w:kinsoku w:val="0"/>
              <w:ind w:left="170" w:right="57"/>
              <w:rPr>
                <w:rFonts w:asciiTheme="majorHAnsi" w:hAnsiTheme="majorHAnsi"/>
                <w:sz w:val="20"/>
                <w:lang w:eastAsia="it-IT"/>
              </w:rPr>
            </w:pPr>
            <w:r w:rsidRPr="00EE7172">
              <w:rPr>
                <w:rFonts w:asciiTheme="majorHAnsi" w:hAnsiTheme="majorHAnsi"/>
                <w:b/>
                <w:bCs/>
                <w:sz w:val="20"/>
                <w:lang w:eastAsia="it-IT"/>
              </w:rPr>
              <w:t xml:space="preserve">Update as of </w:t>
            </w:r>
            <w:r w:rsidR="00C809B4" w:rsidRPr="00EE7172">
              <w:rPr>
                <w:rFonts w:asciiTheme="majorHAnsi" w:hAnsiTheme="majorHAnsi"/>
                <w:b/>
                <w:bCs/>
                <w:sz w:val="20"/>
                <w:lang w:eastAsia="it-IT"/>
              </w:rPr>
              <w:t>December 2016</w:t>
            </w:r>
            <w:r w:rsidR="006558FE" w:rsidRPr="00EE7172">
              <w:rPr>
                <w:rFonts w:asciiTheme="majorHAnsi" w:hAnsiTheme="majorHAnsi"/>
                <w:sz w:val="20"/>
                <w:lang w:eastAsia="it-IT"/>
              </w:rPr>
              <w:t xml:space="preserve">: The management </w:t>
            </w:r>
            <w:r w:rsidR="00E3611F" w:rsidRPr="00EE7172">
              <w:rPr>
                <w:rFonts w:asciiTheme="majorHAnsi" w:hAnsiTheme="majorHAnsi"/>
                <w:sz w:val="20"/>
                <w:lang w:eastAsia="it-IT"/>
              </w:rPr>
              <w:t xml:space="preserve">still monitors carefully </w:t>
            </w:r>
            <w:r w:rsidR="006558FE" w:rsidRPr="00EE7172">
              <w:rPr>
                <w:rFonts w:asciiTheme="majorHAnsi" w:hAnsiTheme="majorHAnsi"/>
                <w:sz w:val="20"/>
                <w:lang w:eastAsia="it-IT"/>
              </w:rPr>
              <w:t>the drivers</w:t>
            </w:r>
            <w:r w:rsidR="00E3611F" w:rsidRPr="00EE7172">
              <w:rPr>
                <w:rFonts w:asciiTheme="majorHAnsi" w:hAnsiTheme="majorHAnsi"/>
                <w:sz w:val="20"/>
                <w:lang w:eastAsia="it-IT"/>
              </w:rPr>
              <w:t xml:space="preserve"> and will review and adjust it based on the results of the global actuarial study performed at the end of 2016</w:t>
            </w:r>
            <w:r w:rsidR="00E93E3A" w:rsidRPr="00EE7172">
              <w:rPr>
                <w:rFonts w:asciiTheme="majorHAnsi" w:hAnsiTheme="majorHAnsi"/>
                <w:sz w:val="20"/>
                <w:lang w:eastAsia="it-IT"/>
              </w:rPr>
              <w:t>.</w:t>
            </w:r>
            <w:r w:rsidR="0099697C" w:rsidRPr="00EE7172">
              <w:rPr>
                <w:rFonts w:asciiTheme="majorHAnsi" w:hAnsiTheme="majorHAnsi"/>
                <w:sz w:val="20"/>
                <w:lang w:eastAsia="it-IT"/>
              </w:rPr>
              <w:t xml:space="preserve">Each year ITU Management presents the situation of the After-Service Health Insurance (ASHI) liability. ITU will continue to focus on cost containment with </w:t>
            </w:r>
            <w:r w:rsidR="003E5F22" w:rsidRPr="00EE7172">
              <w:rPr>
                <w:rFonts w:asciiTheme="majorHAnsi" w:hAnsiTheme="majorHAnsi"/>
                <w:sz w:val="20"/>
                <w:lang w:eastAsia="it-IT"/>
              </w:rPr>
              <w:t>the service</w:t>
            </w:r>
            <w:r w:rsidR="0099697C" w:rsidRPr="00EE7172">
              <w:rPr>
                <w:rFonts w:asciiTheme="majorHAnsi" w:hAnsiTheme="majorHAnsi"/>
                <w:sz w:val="20"/>
                <w:lang w:eastAsia="it-IT"/>
              </w:rPr>
              <w:t xml:space="preserve"> provider and has proposed an increase in the percentage of contributions for the CMIP members and for ITU in the 2016-2017 budget in order to ensure the financing of health insurance on a pay-as-you-go basis. Furthermore, ITU will continue to fund the ASHI reserve as far as possible according to the budgetary surpluses</w:t>
            </w:r>
            <w:r w:rsidR="003E5F22" w:rsidRPr="00EE7172">
              <w:rPr>
                <w:rFonts w:asciiTheme="majorHAnsi" w:hAnsiTheme="majorHAnsi"/>
                <w:sz w:val="20"/>
                <w:lang w:eastAsia="it-IT"/>
              </w:rPr>
              <w:t>.</w:t>
            </w:r>
          </w:p>
          <w:p w:rsidR="005D3018" w:rsidRPr="00EE7172" w:rsidRDefault="005D3018" w:rsidP="00EE7172">
            <w:pPr>
              <w:spacing w:after="120"/>
              <w:ind w:left="170" w:right="57"/>
              <w:rPr>
                <w:rFonts w:asciiTheme="majorHAnsi" w:hAnsiTheme="majorHAnsi"/>
                <w:b/>
                <w:bCs/>
                <w:sz w:val="20"/>
                <w:lang w:eastAsia="it-IT"/>
              </w:rPr>
            </w:pPr>
            <w:r w:rsidRPr="00EE7172">
              <w:rPr>
                <w:rFonts w:asciiTheme="majorHAnsi" w:hAnsiTheme="majorHAnsi"/>
                <w:b/>
                <w:bCs/>
                <w:sz w:val="20"/>
                <w:lang w:eastAsia="it-IT"/>
              </w:rPr>
              <w:t>Update as of December 2017</w:t>
            </w:r>
            <w:r w:rsidR="00461033" w:rsidRPr="00EE7172">
              <w:rPr>
                <w:rFonts w:asciiTheme="majorHAnsi" w:hAnsiTheme="majorHAnsi"/>
                <w:b/>
                <w:bCs/>
                <w:sz w:val="20"/>
                <w:lang w:eastAsia="it-IT"/>
              </w:rPr>
              <w:t>:</w:t>
            </w:r>
            <w:r w:rsidR="008F41B8" w:rsidRPr="00EE7172">
              <w:rPr>
                <w:rFonts w:asciiTheme="majorHAnsi" w:hAnsiTheme="majorHAnsi"/>
                <w:b/>
                <w:bCs/>
                <w:sz w:val="20"/>
                <w:lang w:eastAsia="it-IT"/>
              </w:rPr>
              <w:t xml:space="preserve"> </w:t>
            </w:r>
            <w:r w:rsidR="00B613E4" w:rsidRPr="00EE7172">
              <w:rPr>
                <w:rFonts w:asciiTheme="majorHAnsi" w:hAnsiTheme="majorHAnsi"/>
                <w:b/>
                <w:bCs/>
                <w:sz w:val="20"/>
                <w:lang w:eastAsia="it-IT"/>
              </w:rPr>
              <w:t xml:space="preserve"> </w:t>
            </w:r>
            <w:r w:rsidR="00B613E4" w:rsidRPr="00EE7172">
              <w:rPr>
                <w:rFonts w:asciiTheme="majorHAnsi" w:hAnsiTheme="majorHAnsi"/>
                <w:sz w:val="20"/>
                <w:lang w:eastAsia="it-IT"/>
              </w:rPr>
              <w:t>As part of the full actuarial study, all the drivers are carefully studied and monitored. Their long term impact will be calculated through the different assumptions. In addition</w:t>
            </w:r>
            <w:r w:rsidR="0061192A" w:rsidRPr="00EE7172">
              <w:rPr>
                <w:rFonts w:asciiTheme="majorHAnsi" w:hAnsiTheme="majorHAnsi"/>
                <w:sz w:val="20"/>
                <w:lang w:eastAsia="it-IT"/>
              </w:rPr>
              <w:t>,</w:t>
            </w:r>
            <w:r w:rsidR="00B613E4" w:rsidRPr="00EE7172">
              <w:rPr>
                <w:rFonts w:asciiTheme="majorHAnsi" w:hAnsiTheme="majorHAnsi"/>
                <w:sz w:val="20"/>
                <w:lang w:eastAsia="it-IT"/>
              </w:rPr>
              <w:t xml:space="preserve"> ITU will continue to fund the ASHI reserve depending on the budgetary results.</w:t>
            </w:r>
          </w:p>
        </w:tc>
      </w:tr>
      <w:tr w:rsidR="002E69D7" w:rsidRPr="0093428B" w:rsidTr="00150FA8">
        <w:trPr>
          <w:cantSplit/>
          <w:trHeight w:val="1560"/>
        </w:trPr>
        <w:tc>
          <w:tcPr>
            <w:tcW w:w="461" w:type="pct"/>
            <w:tcBorders>
              <w:top w:val="single" w:sz="4" w:space="0" w:color="auto"/>
              <w:left w:val="single" w:sz="4" w:space="0" w:color="auto"/>
              <w:bottom w:val="single" w:sz="4" w:space="0" w:color="auto"/>
              <w:right w:val="single" w:sz="4" w:space="0" w:color="auto"/>
            </w:tcBorders>
          </w:tcPr>
          <w:p w:rsidR="002E69D7" w:rsidRPr="00D6054C" w:rsidRDefault="002E69D7" w:rsidP="00B90E87">
            <w:pPr>
              <w:widowControl w:val="0"/>
              <w:kinsoku w:val="0"/>
              <w:adjustRightInd/>
              <w:jc w:val="center"/>
              <w:rPr>
                <w:rFonts w:asciiTheme="majorHAnsi" w:hAnsiTheme="majorHAnsi"/>
                <w:b/>
                <w:bCs/>
                <w:sz w:val="20"/>
                <w:lang w:val="fr-CH" w:eastAsia="it-IT"/>
              </w:rPr>
            </w:pPr>
            <w:r w:rsidRPr="00D6054C">
              <w:rPr>
                <w:rFonts w:asciiTheme="majorHAnsi" w:hAnsiTheme="majorHAnsi"/>
                <w:b/>
                <w:bCs/>
                <w:sz w:val="20"/>
                <w:lang w:val="fr-CH" w:eastAsia="it-IT"/>
              </w:rPr>
              <w:lastRenderedPageBreak/>
              <w:t>Rec. 3/2012</w:t>
            </w:r>
          </w:p>
          <w:p w:rsidR="002E69D7" w:rsidRPr="00D6054C" w:rsidRDefault="002E69D7" w:rsidP="00B90E87">
            <w:pPr>
              <w:widowControl w:val="0"/>
              <w:kinsoku w:val="0"/>
              <w:adjustRightInd/>
              <w:jc w:val="center"/>
              <w:rPr>
                <w:rFonts w:asciiTheme="majorHAnsi" w:hAnsiTheme="majorHAnsi"/>
                <w:sz w:val="20"/>
                <w:lang w:val="fr-CH" w:eastAsia="it-IT"/>
              </w:rPr>
            </w:pPr>
          </w:p>
        </w:tc>
        <w:tc>
          <w:tcPr>
            <w:tcW w:w="1428" w:type="pct"/>
            <w:tcBorders>
              <w:top w:val="single" w:sz="4" w:space="0" w:color="auto"/>
              <w:left w:val="single" w:sz="4" w:space="0" w:color="auto"/>
              <w:bottom w:val="single" w:sz="4" w:space="0" w:color="auto"/>
              <w:right w:val="single" w:sz="4" w:space="0" w:color="auto"/>
            </w:tcBorders>
          </w:tcPr>
          <w:p w:rsidR="002E69D7" w:rsidRPr="00EE7172" w:rsidRDefault="002E69D7" w:rsidP="00EE7172">
            <w:pPr>
              <w:widowControl w:val="0"/>
              <w:kinsoku w:val="0"/>
              <w:ind w:left="170" w:right="57"/>
              <w:rPr>
                <w:rFonts w:asciiTheme="majorHAnsi" w:hAnsiTheme="majorHAnsi"/>
                <w:sz w:val="20"/>
                <w:lang w:eastAsia="it-IT"/>
              </w:rPr>
            </w:pPr>
            <w:r w:rsidRPr="00EE7172">
              <w:rPr>
                <w:rFonts w:asciiTheme="majorHAnsi" w:hAnsiTheme="majorHAnsi"/>
                <w:sz w:val="20"/>
                <w:lang w:eastAsia="it-IT"/>
              </w:rPr>
              <w:t xml:space="preserve">“Droit de </w:t>
            </w:r>
            <w:proofErr w:type="spellStart"/>
            <w:r w:rsidRPr="00EE7172">
              <w:rPr>
                <w:rFonts w:asciiTheme="majorHAnsi" w:hAnsiTheme="majorHAnsi"/>
                <w:sz w:val="20"/>
                <w:lang w:eastAsia="it-IT"/>
              </w:rPr>
              <w:t>superficie</w:t>
            </w:r>
            <w:proofErr w:type="spellEnd"/>
            <w:r w:rsidRPr="00EE7172">
              <w:rPr>
                <w:rFonts w:asciiTheme="majorHAnsi" w:hAnsiTheme="majorHAnsi"/>
                <w:sz w:val="20"/>
                <w:lang w:eastAsia="it-IT"/>
              </w:rPr>
              <w:t>”</w:t>
            </w:r>
          </w:p>
          <w:p w:rsidR="006F74C5" w:rsidRPr="00EE7172" w:rsidRDefault="002E69D7" w:rsidP="00EE7172">
            <w:pPr>
              <w:widowControl w:val="0"/>
              <w:kinsoku w:val="0"/>
              <w:ind w:left="170" w:right="57"/>
              <w:rPr>
                <w:rFonts w:asciiTheme="majorHAnsi" w:hAnsiTheme="majorHAnsi"/>
                <w:sz w:val="20"/>
                <w:lang w:eastAsia="it-IT"/>
              </w:rPr>
            </w:pPr>
            <w:r w:rsidRPr="00EE7172">
              <w:rPr>
                <w:rFonts w:asciiTheme="majorHAnsi" w:hAnsiTheme="majorHAnsi"/>
                <w:sz w:val="20"/>
                <w:lang w:eastAsia="it-IT"/>
              </w:rPr>
              <w:t>Considering that it is important and in ITU</w:t>
            </w:r>
            <w:proofErr w:type="gramStart"/>
            <w:r w:rsidRPr="00EE7172">
              <w:rPr>
                <w:rFonts w:asciiTheme="majorHAnsi" w:hAnsiTheme="majorHAnsi"/>
                <w:sz w:val="20"/>
                <w:lang w:eastAsia="it-IT"/>
              </w:rPr>
              <w:t xml:space="preserve">’s interest to extend the “droit de </w:t>
            </w:r>
            <w:proofErr w:type="spellStart"/>
            <w:r w:rsidRPr="00EE7172">
              <w:rPr>
                <w:rFonts w:asciiTheme="majorHAnsi" w:hAnsiTheme="majorHAnsi"/>
                <w:sz w:val="20"/>
                <w:lang w:eastAsia="it-IT"/>
              </w:rPr>
              <w:t>superficie</w:t>
            </w:r>
            <w:proofErr w:type="spellEnd"/>
            <w:r w:rsidRPr="00EE7172">
              <w:rPr>
                <w:rFonts w:asciiTheme="majorHAnsi" w:hAnsiTheme="majorHAnsi"/>
                <w:sz w:val="20"/>
                <w:lang w:eastAsia="it-IT"/>
              </w:rPr>
              <w:t>” granted</w:t>
            </w:r>
            <w:proofErr w:type="gramEnd"/>
            <w:r w:rsidRPr="00EE7172">
              <w:rPr>
                <w:rFonts w:asciiTheme="majorHAnsi" w:hAnsiTheme="majorHAnsi"/>
                <w:sz w:val="20"/>
                <w:lang w:eastAsia="it-IT"/>
              </w:rPr>
              <w:t xml:space="preserve"> to ITU by the State of Geneva since 1967, we recommend Management to start, as soon as possible, the negotiations in this respect with the competent Host Country Authorities.</w:t>
            </w:r>
          </w:p>
        </w:tc>
        <w:tc>
          <w:tcPr>
            <w:tcW w:w="1516" w:type="pct"/>
            <w:tcBorders>
              <w:top w:val="single" w:sz="4" w:space="0" w:color="auto"/>
              <w:left w:val="single" w:sz="4" w:space="0" w:color="auto"/>
              <w:bottom w:val="single" w:sz="4" w:space="0" w:color="auto"/>
              <w:right w:val="single" w:sz="4" w:space="0" w:color="auto"/>
            </w:tcBorders>
          </w:tcPr>
          <w:p w:rsidR="006F74C5" w:rsidRPr="00EE7172" w:rsidRDefault="002E69D7" w:rsidP="00EE7172">
            <w:pPr>
              <w:widowControl w:val="0"/>
              <w:kinsoku w:val="0"/>
              <w:ind w:left="170" w:right="57"/>
              <w:rPr>
                <w:rFonts w:asciiTheme="majorHAnsi" w:hAnsiTheme="majorHAnsi"/>
                <w:sz w:val="20"/>
                <w:lang w:eastAsia="it-IT"/>
              </w:rPr>
            </w:pPr>
            <w:r w:rsidRPr="00EE7172">
              <w:rPr>
                <w:rFonts w:asciiTheme="majorHAnsi" w:hAnsiTheme="majorHAnsi"/>
                <w:sz w:val="20"/>
                <w:lang w:eastAsia="it-IT"/>
              </w:rPr>
              <w:t>In January 2013, the Legal Adviser has already successfully contacted the Host Country competent Authorities in order to initiate a negotiation process.</w:t>
            </w:r>
          </w:p>
        </w:tc>
        <w:tc>
          <w:tcPr>
            <w:tcW w:w="1595" w:type="pct"/>
            <w:tcBorders>
              <w:top w:val="single" w:sz="4" w:space="0" w:color="auto"/>
              <w:left w:val="single" w:sz="4" w:space="0" w:color="auto"/>
              <w:bottom w:val="single" w:sz="4" w:space="0" w:color="auto"/>
              <w:right w:val="single" w:sz="4" w:space="0" w:color="auto"/>
            </w:tcBorders>
          </w:tcPr>
          <w:p w:rsidR="002E69D7" w:rsidRPr="00EE7172" w:rsidRDefault="002E69D7" w:rsidP="00EE7172">
            <w:pPr>
              <w:widowControl w:val="0"/>
              <w:kinsoku w:val="0"/>
              <w:ind w:left="170" w:right="57"/>
              <w:rPr>
                <w:rFonts w:asciiTheme="majorHAnsi" w:hAnsiTheme="majorHAnsi"/>
                <w:sz w:val="20"/>
                <w:lang w:eastAsia="it-IT"/>
              </w:rPr>
            </w:pPr>
            <w:r w:rsidRPr="00EE7172">
              <w:rPr>
                <w:rFonts w:asciiTheme="majorHAnsi" w:hAnsiTheme="majorHAnsi"/>
                <w:sz w:val="20"/>
                <w:lang w:eastAsia="it-IT"/>
              </w:rPr>
              <w:t>PP-14 decided the creation of a Council Working Group. The CWG will, with the support of the Secretariat, examine the status of HQ premises of the Union and continue to analyse the options so far submitted and any other proposal by Member States, for prudent treatment of the premises in the long-term, in order to prepare a recommendation for Council. The first meeting of the CWG took place on 28 January 2015</w:t>
            </w:r>
            <w:r w:rsidR="000F4B41" w:rsidRPr="00EE7172">
              <w:rPr>
                <w:rFonts w:asciiTheme="majorHAnsi" w:hAnsiTheme="majorHAnsi"/>
                <w:sz w:val="20"/>
                <w:lang w:eastAsia="it-IT"/>
              </w:rPr>
              <w:t>.</w:t>
            </w:r>
          </w:p>
          <w:p w:rsidR="002E69D7" w:rsidRPr="00EE7172" w:rsidRDefault="00710493" w:rsidP="00EE7172">
            <w:pPr>
              <w:widowControl w:val="0"/>
              <w:kinsoku w:val="0"/>
              <w:ind w:left="170" w:right="57"/>
              <w:rPr>
                <w:rFonts w:asciiTheme="majorHAnsi" w:hAnsiTheme="majorHAnsi"/>
                <w:sz w:val="20"/>
                <w:lang w:eastAsia="it-IT"/>
              </w:rPr>
            </w:pPr>
            <w:r w:rsidRPr="00EE7172">
              <w:rPr>
                <w:rFonts w:asciiTheme="majorHAnsi" w:hAnsiTheme="majorHAnsi"/>
                <w:b/>
                <w:bCs/>
                <w:sz w:val="20"/>
                <w:lang w:eastAsia="it-IT"/>
              </w:rPr>
              <w:t>Update as of end-January 2016</w:t>
            </w:r>
            <w:r w:rsidR="003B63BB" w:rsidRPr="00EE7172">
              <w:rPr>
                <w:rFonts w:asciiTheme="majorHAnsi" w:hAnsiTheme="majorHAnsi"/>
                <w:b/>
                <w:bCs/>
                <w:sz w:val="20"/>
                <w:lang w:eastAsia="it-IT"/>
              </w:rPr>
              <w:t>:</w:t>
            </w:r>
            <w:r w:rsidR="002E69D7" w:rsidRPr="00EE7172">
              <w:rPr>
                <w:rFonts w:asciiTheme="majorHAnsi" w:hAnsiTheme="majorHAnsi"/>
                <w:sz w:val="20"/>
                <w:lang w:eastAsia="it-IT"/>
              </w:rPr>
              <w:t xml:space="preserve"> </w:t>
            </w:r>
            <w:r w:rsidR="005A7AC6" w:rsidRPr="00EE7172">
              <w:rPr>
                <w:rFonts w:asciiTheme="majorHAnsi" w:hAnsiTheme="majorHAnsi"/>
                <w:sz w:val="20"/>
                <w:lang w:eastAsia="it-IT"/>
              </w:rPr>
              <w:t xml:space="preserve">  </w:t>
            </w:r>
            <w:r w:rsidR="00213115" w:rsidRPr="00EE7172">
              <w:rPr>
                <w:rFonts w:asciiTheme="majorHAnsi" w:hAnsiTheme="majorHAnsi"/>
                <w:sz w:val="20"/>
                <w:lang w:eastAsia="it-IT"/>
              </w:rPr>
              <w:t>The work of the CWG on options for the Union's HQ premises over the long term is still on</w:t>
            </w:r>
            <w:r w:rsidR="000F4B41" w:rsidRPr="00EE7172">
              <w:rPr>
                <w:rFonts w:asciiTheme="majorHAnsi" w:hAnsiTheme="majorHAnsi"/>
                <w:sz w:val="20"/>
                <w:lang w:eastAsia="it-IT"/>
              </w:rPr>
              <w:t>-</w:t>
            </w:r>
            <w:r w:rsidR="002E69D7" w:rsidRPr="00EE7172">
              <w:rPr>
                <w:rFonts w:asciiTheme="majorHAnsi" w:hAnsiTheme="majorHAnsi"/>
                <w:sz w:val="20"/>
                <w:lang w:eastAsia="it-IT"/>
              </w:rPr>
              <w:t>going.</w:t>
            </w:r>
            <w:r w:rsidR="00213115" w:rsidRPr="00EE7172">
              <w:rPr>
                <w:rFonts w:asciiTheme="majorHAnsi" w:hAnsiTheme="majorHAnsi"/>
                <w:sz w:val="20"/>
                <w:lang w:eastAsia="it-IT"/>
              </w:rPr>
              <w:t xml:space="preserve"> A second meeting was held on 28 </w:t>
            </w:r>
            <w:r w:rsidR="00DE0FB0" w:rsidRPr="00EE7172">
              <w:rPr>
                <w:rFonts w:asciiTheme="majorHAnsi" w:hAnsiTheme="majorHAnsi"/>
                <w:sz w:val="20"/>
                <w:lang w:eastAsia="it-IT"/>
              </w:rPr>
              <w:t>September</w:t>
            </w:r>
            <w:r w:rsidR="002E2CEC" w:rsidRPr="00EE7172">
              <w:rPr>
                <w:rFonts w:asciiTheme="majorHAnsi" w:hAnsiTheme="majorHAnsi"/>
                <w:sz w:val="20"/>
                <w:lang w:eastAsia="it-IT"/>
              </w:rPr>
              <w:t xml:space="preserve"> 2015</w:t>
            </w:r>
            <w:r w:rsidR="00213115" w:rsidRPr="00EE7172">
              <w:rPr>
                <w:rFonts w:asciiTheme="majorHAnsi" w:hAnsiTheme="majorHAnsi"/>
                <w:sz w:val="20"/>
                <w:lang w:eastAsia="it-IT"/>
              </w:rPr>
              <w:t>.</w:t>
            </w:r>
          </w:p>
          <w:p w:rsidR="008B4A73" w:rsidRPr="00EE7172" w:rsidRDefault="00E244C1" w:rsidP="00EE7172">
            <w:pPr>
              <w:widowControl w:val="0"/>
              <w:kinsoku w:val="0"/>
              <w:ind w:left="170" w:right="57"/>
              <w:rPr>
                <w:rFonts w:asciiTheme="majorHAnsi" w:hAnsiTheme="majorHAnsi"/>
                <w:sz w:val="20"/>
                <w:lang w:eastAsia="it-IT"/>
              </w:rPr>
            </w:pPr>
            <w:r w:rsidRPr="00EE7172">
              <w:rPr>
                <w:rFonts w:asciiTheme="majorHAnsi" w:hAnsiTheme="majorHAnsi"/>
                <w:b/>
                <w:bCs/>
                <w:sz w:val="20"/>
                <w:lang w:eastAsia="it-IT"/>
              </w:rPr>
              <w:t xml:space="preserve">Update as of </w:t>
            </w:r>
            <w:r w:rsidR="00C809B4" w:rsidRPr="00EE7172">
              <w:rPr>
                <w:rFonts w:asciiTheme="majorHAnsi" w:hAnsiTheme="majorHAnsi"/>
                <w:b/>
                <w:bCs/>
                <w:sz w:val="20"/>
                <w:lang w:eastAsia="it-IT"/>
              </w:rPr>
              <w:t>December 2016</w:t>
            </w:r>
            <w:r w:rsidR="00461033" w:rsidRPr="00EE7172">
              <w:rPr>
                <w:rFonts w:asciiTheme="majorHAnsi" w:hAnsiTheme="majorHAnsi"/>
                <w:b/>
                <w:bCs/>
                <w:sz w:val="20"/>
                <w:lang w:eastAsia="it-IT"/>
              </w:rPr>
              <w:t>:</w:t>
            </w:r>
            <w:r w:rsidR="005A7AC6" w:rsidRPr="00EE7172">
              <w:rPr>
                <w:rFonts w:asciiTheme="majorHAnsi" w:hAnsiTheme="majorHAnsi"/>
                <w:b/>
                <w:bCs/>
                <w:sz w:val="20"/>
                <w:lang w:eastAsia="it-IT"/>
              </w:rPr>
              <w:t xml:space="preserve">  </w:t>
            </w:r>
            <w:r w:rsidR="0093428B" w:rsidRPr="00EE7172">
              <w:rPr>
                <w:rFonts w:asciiTheme="majorHAnsi" w:hAnsiTheme="majorHAnsi"/>
                <w:sz w:val="20"/>
                <w:lang w:eastAsia="it-IT"/>
              </w:rPr>
              <w:t xml:space="preserve">The Council, by its Decision 588, decided to replace ITU’s </w:t>
            </w:r>
            <w:proofErr w:type="spellStart"/>
            <w:r w:rsidR="0093428B" w:rsidRPr="00EE7172">
              <w:rPr>
                <w:rFonts w:asciiTheme="majorHAnsi" w:hAnsiTheme="majorHAnsi"/>
                <w:sz w:val="20"/>
                <w:lang w:eastAsia="it-IT"/>
              </w:rPr>
              <w:t>Varembé</w:t>
            </w:r>
            <w:proofErr w:type="spellEnd"/>
            <w:r w:rsidR="0093428B" w:rsidRPr="00EE7172">
              <w:rPr>
                <w:rFonts w:asciiTheme="majorHAnsi" w:hAnsiTheme="majorHAnsi"/>
                <w:sz w:val="20"/>
                <w:lang w:eastAsia="it-IT"/>
              </w:rPr>
              <w:t xml:space="preserve"> building by a new construction that would also include the offices and facilities of the Tower building and complement the </w:t>
            </w:r>
            <w:proofErr w:type="spellStart"/>
            <w:r w:rsidR="0093428B" w:rsidRPr="00EE7172">
              <w:rPr>
                <w:rFonts w:asciiTheme="majorHAnsi" w:hAnsiTheme="majorHAnsi"/>
                <w:sz w:val="20"/>
                <w:lang w:eastAsia="it-IT"/>
              </w:rPr>
              <w:t>Montbrillant</w:t>
            </w:r>
            <w:proofErr w:type="spellEnd"/>
            <w:r w:rsidR="0093428B" w:rsidRPr="00EE7172">
              <w:rPr>
                <w:rFonts w:asciiTheme="majorHAnsi" w:hAnsiTheme="majorHAnsi"/>
                <w:sz w:val="20"/>
                <w:lang w:eastAsia="it-IT"/>
              </w:rPr>
              <w:t xml:space="preserve"> Building. In this context, the </w:t>
            </w:r>
            <w:r w:rsidR="00F67992" w:rsidRPr="00EE7172">
              <w:rPr>
                <w:rFonts w:asciiTheme="majorHAnsi" w:hAnsiTheme="majorHAnsi"/>
                <w:sz w:val="20"/>
                <w:lang w:eastAsia="it-IT"/>
              </w:rPr>
              <w:t xml:space="preserve">“droit de </w:t>
            </w:r>
            <w:proofErr w:type="spellStart"/>
            <w:r w:rsidR="00F67992" w:rsidRPr="00EE7172">
              <w:rPr>
                <w:rFonts w:asciiTheme="majorHAnsi" w:hAnsiTheme="majorHAnsi"/>
                <w:sz w:val="20"/>
                <w:lang w:eastAsia="it-IT"/>
              </w:rPr>
              <w:t>superficie</w:t>
            </w:r>
            <w:proofErr w:type="spellEnd"/>
            <w:r w:rsidR="00F67992" w:rsidRPr="00EE7172">
              <w:rPr>
                <w:rFonts w:asciiTheme="majorHAnsi" w:hAnsiTheme="majorHAnsi"/>
                <w:sz w:val="20"/>
                <w:lang w:eastAsia="it-IT"/>
              </w:rPr>
              <w:t xml:space="preserve">” </w:t>
            </w:r>
            <w:r w:rsidR="0093428B" w:rsidRPr="00EE7172">
              <w:rPr>
                <w:rFonts w:asciiTheme="majorHAnsi" w:hAnsiTheme="majorHAnsi"/>
                <w:sz w:val="20"/>
                <w:lang w:eastAsia="it-IT"/>
              </w:rPr>
              <w:t xml:space="preserve">currently enjoyed by the ITU until 2079 for all of its buildings will have to be renegotiated with the Swiss authorities. However, the ITU has already obtained the insurances from the Swiss authorities that the conditions presently granted to the ITU cannot be revised downwards and that the 2079 deadline will not, in any event,  be questioned.  A working group composed of representatives from the ITU, the Canton of Geneva (landowner), the Swiss Confederation and FIPOI will be set up in early 2017 to discuss specifically the issue of the </w:t>
            </w:r>
            <w:r w:rsidR="00F67992" w:rsidRPr="00EE7172">
              <w:rPr>
                <w:rFonts w:asciiTheme="majorHAnsi" w:hAnsiTheme="majorHAnsi"/>
                <w:sz w:val="20"/>
                <w:lang w:eastAsia="it-IT"/>
              </w:rPr>
              <w:t xml:space="preserve">“droit de </w:t>
            </w:r>
            <w:proofErr w:type="spellStart"/>
            <w:r w:rsidR="00F67992" w:rsidRPr="00EE7172">
              <w:rPr>
                <w:rFonts w:asciiTheme="majorHAnsi" w:hAnsiTheme="majorHAnsi"/>
                <w:sz w:val="20"/>
                <w:lang w:eastAsia="it-IT"/>
              </w:rPr>
              <w:t>superficie</w:t>
            </w:r>
            <w:proofErr w:type="spellEnd"/>
            <w:r w:rsidR="00F67992" w:rsidRPr="00EE7172">
              <w:rPr>
                <w:rFonts w:asciiTheme="majorHAnsi" w:hAnsiTheme="majorHAnsi"/>
                <w:sz w:val="20"/>
                <w:lang w:eastAsia="it-IT"/>
              </w:rPr>
              <w:t>”</w:t>
            </w:r>
            <w:r w:rsidR="0093428B" w:rsidRPr="00EE7172">
              <w:rPr>
                <w:rFonts w:asciiTheme="majorHAnsi" w:hAnsiTheme="majorHAnsi"/>
                <w:sz w:val="20"/>
                <w:lang w:eastAsia="it-IT"/>
              </w:rPr>
              <w:t>.</w:t>
            </w:r>
          </w:p>
          <w:p w:rsidR="008B4A73" w:rsidRPr="00EE7172" w:rsidRDefault="008B4A73" w:rsidP="00EE7172">
            <w:pPr>
              <w:spacing w:after="120"/>
              <w:ind w:left="170" w:right="57"/>
              <w:rPr>
                <w:rFonts w:asciiTheme="majorHAnsi" w:hAnsiTheme="majorHAnsi"/>
                <w:sz w:val="20"/>
                <w:lang w:eastAsia="it-IT"/>
              </w:rPr>
            </w:pPr>
            <w:r w:rsidRPr="00EE7172">
              <w:rPr>
                <w:rFonts w:asciiTheme="majorHAnsi" w:hAnsiTheme="majorHAnsi"/>
                <w:b/>
                <w:bCs/>
                <w:sz w:val="20"/>
                <w:lang w:eastAsia="it-IT"/>
              </w:rPr>
              <w:t>Update as of December 2017</w:t>
            </w:r>
            <w:r w:rsidR="005A7AC6" w:rsidRPr="00EE7172">
              <w:rPr>
                <w:rFonts w:asciiTheme="majorHAnsi" w:hAnsiTheme="majorHAnsi"/>
                <w:b/>
                <w:bCs/>
                <w:sz w:val="20"/>
                <w:lang w:eastAsia="it-IT"/>
              </w:rPr>
              <w:t xml:space="preserve">:  </w:t>
            </w:r>
            <w:r w:rsidRPr="00EE7172">
              <w:rPr>
                <w:rFonts w:asciiTheme="majorHAnsi" w:hAnsiTheme="majorHAnsi"/>
                <w:sz w:val="20"/>
                <w:lang w:eastAsia="it-IT"/>
              </w:rPr>
              <w:t xml:space="preserve">The ITU/Host country Working Group on “Droit de </w:t>
            </w:r>
            <w:proofErr w:type="spellStart"/>
            <w:r w:rsidRPr="00EE7172">
              <w:rPr>
                <w:rFonts w:asciiTheme="majorHAnsi" w:hAnsiTheme="majorHAnsi"/>
                <w:sz w:val="20"/>
                <w:lang w:eastAsia="it-IT"/>
              </w:rPr>
              <w:t>superficie</w:t>
            </w:r>
            <w:proofErr w:type="spellEnd"/>
            <w:r w:rsidRPr="00EE7172">
              <w:rPr>
                <w:rFonts w:asciiTheme="majorHAnsi" w:hAnsiTheme="majorHAnsi"/>
                <w:sz w:val="20"/>
                <w:lang w:eastAsia="it-IT"/>
              </w:rPr>
              <w:t xml:space="preserve">” held its first meeting on 15 November 2017. Discussions focused on the following elements: </w:t>
            </w:r>
          </w:p>
          <w:p w:rsidR="008B4A73" w:rsidRPr="00EE7172" w:rsidRDefault="008B4A73" w:rsidP="00EE7172">
            <w:pPr>
              <w:ind w:left="170" w:right="57"/>
              <w:rPr>
                <w:rFonts w:asciiTheme="majorHAnsi" w:hAnsiTheme="majorHAnsi"/>
                <w:sz w:val="20"/>
                <w:lang w:eastAsia="it-IT"/>
              </w:rPr>
            </w:pPr>
            <w:r w:rsidRPr="00EE7172">
              <w:rPr>
                <w:rFonts w:asciiTheme="majorHAnsi" w:hAnsiTheme="majorHAnsi"/>
                <w:sz w:val="20"/>
                <w:lang w:eastAsia="it-IT"/>
              </w:rPr>
              <w:lastRenderedPageBreak/>
              <w:t>1) The parcel distribution, which upon agreement, should not be impacted by the construction of the new building;</w:t>
            </w:r>
          </w:p>
          <w:p w:rsidR="008B4A73" w:rsidRPr="00EE7172" w:rsidRDefault="008B4A73" w:rsidP="00EE7172">
            <w:pPr>
              <w:ind w:left="170" w:right="57"/>
              <w:rPr>
                <w:rFonts w:asciiTheme="majorHAnsi" w:hAnsiTheme="majorHAnsi"/>
                <w:sz w:val="20"/>
                <w:lang w:eastAsia="it-IT"/>
              </w:rPr>
            </w:pPr>
            <w:r w:rsidRPr="00EE7172">
              <w:rPr>
                <w:rFonts w:asciiTheme="majorHAnsi" w:hAnsiTheme="majorHAnsi"/>
                <w:sz w:val="20"/>
                <w:lang w:eastAsia="it-IT"/>
              </w:rPr>
              <w:t xml:space="preserve">2) A presentation by the representatives of the host Country of the “Droit de </w:t>
            </w:r>
            <w:proofErr w:type="spellStart"/>
            <w:r w:rsidRPr="00EE7172">
              <w:rPr>
                <w:rFonts w:asciiTheme="majorHAnsi" w:hAnsiTheme="majorHAnsi"/>
                <w:sz w:val="20"/>
                <w:lang w:eastAsia="it-IT"/>
              </w:rPr>
              <w:t>superficie</w:t>
            </w:r>
            <w:proofErr w:type="spellEnd"/>
            <w:r w:rsidRPr="00EE7172">
              <w:rPr>
                <w:rFonts w:asciiTheme="majorHAnsi" w:hAnsiTheme="majorHAnsi"/>
                <w:sz w:val="20"/>
                <w:lang w:eastAsia="it-IT"/>
              </w:rPr>
              <w:t xml:space="preserve">” applicable under the recent new Swiss legislation. </w:t>
            </w:r>
          </w:p>
          <w:p w:rsidR="008B4A73" w:rsidRPr="00EE7172" w:rsidRDefault="008B4A73" w:rsidP="00EE7172">
            <w:pPr>
              <w:ind w:left="170" w:right="57"/>
              <w:rPr>
                <w:rFonts w:asciiTheme="majorHAnsi" w:hAnsiTheme="majorHAnsi"/>
                <w:sz w:val="20"/>
                <w:lang w:eastAsia="it-IT"/>
              </w:rPr>
            </w:pPr>
            <w:r w:rsidRPr="00EE7172">
              <w:rPr>
                <w:rFonts w:asciiTheme="majorHAnsi" w:hAnsiTheme="majorHAnsi"/>
                <w:sz w:val="20"/>
                <w:lang w:eastAsia="it-IT"/>
              </w:rPr>
              <w:t xml:space="preserve">The ITU has already obtained the confirmation that the current duration of the “Droit de </w:t>
            </w:r>
            <w:proofErr w:type="spellStart"/>
            <w:r w:rsidRPr="00EE7172">
              <w:rPr>
                <w:rFonts w:asciiTheme="majorHAnsi" w:hAnsiTheme="majorHAnsi"/>
                <w:sz w:val="20"/>
                <w:lang w:eastAsia="it-IT"/>
              </w:rPr>
              <w:t>superficie</w:t>
            </w:r>
            <w:proofErr w:type="spellEnd"/>
            <w:r w:rsidRPr="00EE7172">
              <w:rPr>
                <w:rFonts w:asciiTheme="majorHAnsi" w:hAnsiTheme="majorHAnsi"/>
                <w:sz w:val="20"/>
                <w:lang w:eastAsia="it-IT"/>
              </w:rPr>
              <w:t>” would not be called into question (due in 2079) despite the new regulation which limits the duration of the right to a maximum of 50 years.</w:t>
            </w:r>
          </w:p>
          <w:p w:rsidR="008B4A73" w:rsidRPr="00EE7172" w:rsidRDefault="008B4A73" w:rsidP="00EE7172">
            <w:pPr>
              <w:ind w:left="170" w:right="57"/>
              <w:rPr>
                <w:rFonts w:asciiTheme="majorHAnsi" w:hAnsiTheme="majorHAnsi"/>
                <w:sz w:val="20"/>
                <w:lang w:eastAsia="it-IT"/>
              </w:rPr>
            </w:pPr>
            <w:r w:rsidRPr="00EE7172">
              <w:rPr>
                <w:rFonts w:asciiTheme="majorHAnsi" w:hAnsiTheme="majorHAnsi"/>
                <w:sz w:val="20"/>
                <w:lang w:eastAsia="it-IT"/>
              </w:rPr>
              <w:t>The ITU has also received confirmation that essential elements of the right, such as, for example, its free of charge rent would not be called into question.</w:t>
            </w:r>
          </w:p>
          <w:p w:rsidR="008B4A73" w:rsidRPr="00EE7172" w:rsidRDefault="008B4A73" w:rsidP="00EE7172">
            <w:pPr>
              <w:ind w:left="170" w:right="57"/>
              <w:rPr>
                <w:rFonts w:asciiTheme="majorHAnsi" w:hAnsiTheme="majorHAnsi"/>
                <w:sz w:val="20"/>
                <w:lang w:eastAsia="it-IT"/>
              </w:rPr>
            </w:pPr>
            <w:r w:rsidRPr="00EE7172">
              <w:rPr>
                <w:rFonts w:asciiTheme="majorHAnsi" w:hAnsiTheme="majorHAnsi"/>
                <w:sz w:val="20"/>
                <w:lang w:eastAsia="it-IT"/>
              </w:rPr>
              <w:t xml:space="preserve">3) A template for “Droit de </w:t>
            </w:r>
            <w:proofErr w:type="spellStart"/>
            <w:r w:rsidRPr="00EE7172">
              <w:rPr>
                <w:rFonts w:asciiTheme="majorHAnsi" w:hAnsiTheme="majorHAnsi"/>
                <w:sz w:val="20"/>
                <w:lang w:eastAsia="it-IT"/>
              </w:rPr>
              <w:t>superficie</w:t>
            </w:r>
            <w:proofErr w:type="spellEnd"/>
            <w:r w:rsidRPr="00EE7172">
              <w:rPr>
                <w:rFonts w:asciiTheme="majorHAnsi" w:hAnsiTheme="majorHAnsi"/>
                <w:sz w:val="20"/>
                <w:lang w:eastAsia="it-IT"/>
              </w:rPr>
              <w:t>” contract has been drawn up by the Host Country. This template will be sent quickly to the ITU for review and comments. The Host Country representatives confirmed that they were open to enter into discussions on the provisions of the template.</w:t>
            </w:r>
          </w:p>
          <w:p w:rsidR="00E244C1" w:rsidRPr="00EE7172" w:rsidRDefault="008B4A73" w:rsidP="00EE7172">
            <w:pPr>
              <w:spacing w:after="120"/>
              <w:ind w:left="170" w:right="57"/>
              <w:rPr>
                <w:rFonts w:asciiTheme="majorHAnsi" w:hAnsiTheme="majorHAnsi"/>
                <w:sz w:val="20"/>
                <w:lang w:eastAsia="it-IT"/>
              </w:rPr>
            </w:pPr>
            <w:r w:rsidRPr="00EE7172">
              <w:rPr>
                <w:rFonts w:asciiTheme="majorHAnsi" w:hAnsiTheme="majorHAnsi"/>
                <w:sz w:val="20"/>
                <w:lang w:eastAsia="it-IT"/>
              </w:rPr>
              <w:t xml:space="preserve">4) The draft of “Droit de </w:t>
            </w:r>
            <w:proofErr w:type="spellStart"/>
            <w:r w:rsidRPr="00EE7172">
              <w:rPr>
                <w:rFonts w:asciiTheme="majorHAnsi" w:hAnsiTheme="majorHAnsi"/>
                <w:sz w:val="20"/>
                <w:lang w:eastAsia="it-IT"/>
              </w:rPr>
              <w:t>superficie</w:t>
            </w:r>
            <w:proofErr w:type="spellEnd"/>
            <w:r w:rsidRPr="00EE7172">
              <w:rPr>
                <w:rFonts w:asciiTheme="majorHAnsi" w:hAnsiTheme="majorHAnsi"/>
                <w:sz w:val="20"/>
                <w:lang w:eastAsia="it-IT"/>
              </w:rPr>
              <w:t>”</w:t>
            </w:r>
            <w:proofErr w:type="gramStart"/>
            <w:r w:rsidRPr="00EE7172">
              <w:rPr>
                <w:rFonts w:asciiTheme="majorHAnsi" w:hAnsiTheme="majorHAnsi"/>
                <w:sz w:val="20"/>
                <w:lang w:eastAsia="it-IT"/>
              </w:rPr>
              <w:t>  contract</w:t>
            </w:r>
            <w:proofErr w:type="gramEnd"/>
            <w:r w:rsidRPr="00EE7172">
              <w:rPr>
                <w:rFonts w:asciiTheme="majorHAnsi" w:hAnsiTheme="majorHAnsi"/>
                <w:sz w:val="20"/>
                <w:lang w:eastAsia="it-IT"/>
              </w:rPr>
              <w:t xml:space="preserve"> should ideally be finalized by October 2018.</w:t>
            </w:r>
          </w:p>
        </w:tc>
      </w:tr>
      <w:tr w:rsidR="002E69D7" w:rsidRPr="00C81D54" w:rsidTr="00150FA8">
        <w:trPr>
          <w:cantSplit/>
          <w:trHeight w:val="1560"/>
        </w:trPr>
        <w:tc>
          <w:tcPr>
            <w:tcW w:w="461" w:type="pct"/>
            <w:tcBorders>
              <w:top w:val="single" w:sz="4" w:space="0" w:color="auto"/>
              <w:left w:val="single" w:sz="4" w:space="0" w:color="auto"/>
              <w:bottom w:val="single" w:sz="4" w:space="0" w:color="auto"/>
              <w:right w:val="single" w:sz="4" w:space="0" w:color="auto"/>
            </w:tcBorders>
          </w:tcPr>
          <w:p w:rsidR="002E69D7" w:rsidRPr="00C81D54" w:rsidRDefault="002E69D7" w:rsidP="00B90E87">
            <w:pPr>
              <w:widowControl w:val="0"/>
              <w:kinsoku w:val="0"/>
              <w:adjustRightInd/>
              <w:jc w:val="center"/>
              <w:rPr>
                <w:rFonts w:asciiTheme="majorHAnsi" w:hAnsiTheme="majorHAnsi"/>
                <w:b/>
                <w:bCs/>
                <w:sz w:val="20"/>
                <w:lang w:eastAsia="it-IT"/>
              </w:rPr>
            </w:pPr>
            <w:r w:rsidRPr="00C81D54">
              <w:rPr>
                <w:rFonts w:asciiTheme="majorHAnsi" w:hAnsiTheme="majorHAnsi"/>
                <w:b/>
                <w:bCs/>
                <w:sz w:val="20"/>
                <w:lang w:eastAsia="it-IT"/>
              </w:rPr>
              <w:lastRenderedPageBreak/>
              <w:t>Rec. 4/2012</w:t>
            </w:r>
          </w:p>
          <w:p w:rsidR="002E69D7" w:rsidRPr="00C81D54" w:rsidRDefault="002E69D7" w:rsidP="00B90E87">
            <w:pPr>
              <w:widowControl w:val="0"/>
              <w:kinsoku w:val="0"/>
              <w:adjustRightInd/>
              <w:jc w:val="center"/>
              <w:rPr>
                <w:rFonts w:asciiTheme="majorHAnsi" w:hAnsiTheme="majorHAnsi"/>
                <w:sz w:val="20"/>
                <w:lang w:eastAsia="it-IT"/>
              </w:rPr>
            </w:pPr>
          </w:p>
        </w:tc>
        <w:tc>
          <w:tcPr>
            <w:tcW w:w="1428" w:type="pct"/>
            <w:tcBorders>
              <w:top w:val="single" w:sz="4" w:space="0" w:color="auto"/>
              <w:left w:val="single" w:sz="4" w:space="0" w:color="auto"/>
              <w:bottom w:val="single" w:sz="4" w:space="0" w:color="auto"/>
              <w:right w:val="single" w:sz="4" w:space="0" w:color="auto"/>
            </w:tcBorders>
          </w:tcPr>
          <w:p w:rsidR="002E69D7" w:rsidRPr="00C81D54" w:rsidRDefault="002E69D7" w:rsidP="00EE7172">
            <w:pPr>
              <w:widowControl w:val="0"/>
              <w:kinsoku w:val="0"/>
              <w:ind w:left="170" w:right="57"/>
              <w:rPr>
                <w:rFonts w:asciiTheme="majorHAnsi" w:hAnsiTheme="majorHAnsi"/>
                <w:b/>
                <w:bCs/>
                <w:i/>
                <w:iCs/>
                <w:sz w:val="20"/>
                <w:lang w:eastAsia="it-IT"/>
              </w:rPr>
            </w:pPr>
            <w:r w:rsidRPr="00C81D54">
              <w:rPr>
                <w:rFonts w:asciiTheme="majorHAnsi" w:hAnsiTheme="majorHAnsi"/>
                <w:b/>
                <w:bCs/>
                <w:i/>
                <w:iCs/>
                <w:sz w:val="20"/>
                <w:lang w:eastAsia="it-IT"/>
              </w:rPr>
              <w:t>Assets’ recording in the register</w:t>
            </w:r>
          </w:p>
          <w:p w:rsidR="002E69D7" w:rsidRPr="00C81D54" w:rsidRDefault="002E69D7" w:rsidP="00EE7172">
            <w:pPr>
              <w:widowControl w:val="0"/>
              <w:kinsoku w:val="0"/>
              <w:ind w:left="170" w:right="57"/>
              <w:rPr>
                <w:rFonts w:asciiTheme="majorHAnsi" w:hAnsiTheme="majorHAnsi"/>
                <w:b/>
                <w:i/>
                <w:sz w:val="20"/>
                <w:lang w:eastAsia="it-IT"/>
              </w:rPr>
            </w:pPr>
            <w:r w:rsidRPr="00C81D54">
              <w:rPr>
                <w:rFonts w:asciiTheme="majorHAnsi" w:hAnsiTheme="majorHAnsi"/>
                <w:sz w:val="20"/>
                <w:lang w:eastAsia="it-IT"/>
              </w:rPr>
              <w:t>[…] we have performed a physical stock checking of some fixed assets categories, such as a sample of items of furniture and IT equipment and we have traced them into the accounts. We observed that the ITU responsible in Facilities Management Division (HRMD Department) have not found some of the assets during the physical stock checking at year end (around 0.73% of the acquisition value of the assets concerned). We are aware that controls have detected part of these assets not found at year end, however we recommend Management to continue its research and to write-off the item that will not be found during 2013.</w:t>
            </w:r>
          </w:p>
        </w:tc>
        <w:tc>
          <w:tcPr>
            <w:tcW w:w="1516" w:type="pct"/>
            <w:tcBorders>
              <w:top w:val="single" w:sz="4" w:space="0" w:color="auto"/>
              <w:left w:val="single" w:sz="4" w:space="0" w:color="auto"/>
              <w:bottom w:val="single" w:sz="4" w:space="0" w:color="auto"/>
              <w:right w:val="single" w:sz="4" w:space="0" w:color="auto"/>
            </w:tcBorders>
          </w:tcPr>
          <w:p w:rsidR="002E69D7" w:rsidRPr="00C81D54" w:rsidRDefault="002E69D7" w:rsidP="00EE7172">
            <w:pPr>
              <w:widowControl w:val="0"/>
              <w:kinsoku w:val="0"/>
              <w:ind w:left="170" w:right="57"/>
              <w:rPr>
                <w:rFonts w:asciiTheme="majorHAnsi" w:hAnsiTheme="majorHAnsi"/>
                <w:sz w:val="20"/>
                <w:lang w:eastAsia="it-IT"/>
              </w:rPr>
            </w:pPr>
            <w:r w:rsidRPr="00C81D54">
              <w:rPr>
                <w:rFonts w:asciiTheme="majorHAnsi" w:hAnsiTheme="majorHAnsi"/>
                <w:sz w:val="20"/>
                <w:lang w:eastAsia="it-IT"/>
              </w:rPr>
              <w:t>I will instruct FRMD to coordinate with the Facilities Management Division to ensure the continuation of efforts in 2013 and will clarify the existence and treatment of the items not captured in the stock checking.</w:t>
            </w:r>
          </w:p>
        </w:tc>
        <w:tc>
          <w:tcPr>
            <w:tcW w:w="1595" w:type="pct"/>
            <w:tcBorders>
              <w:top w:val="single" w:sz="4" w:space="0" w:color="auto"/>
              <w:left w:val="single" w:sz="4" w:space="0" w:color="auto"/>
              <w:bottom w:val="single" w:sz="4" w:space="0" w:color="auto"/>
              <w:right w:val="single" w:sz="4" w:space="0" w:color="auto"/>
            </w:tcBorders>
          </w:tcPr>
          <w:p w:rsidR="002E69D7" w:rsidRPr="00C81D54" w:rsidRDefault="002E69D7" w:rsidP="00EE7172">
            <w:pPr>
              <w:widowControl w:val="0"/>
              <w:kinsoku w:val="0"/>
              <w:ind w:left="170" w:right="57"/>
              <w:rPr>
                <w:rFonts w:asciiTheme="majorHAnsi" w:hAnsiTheme="majorHAnsi"/>
                <w:sz w:val="20"/>
                <w:lang w:eastAsia="it-IT"/>
              </w:rPr>
            </w:pPr>
            <w:r w:rsidRPr="00C81D54">
              <w:rPr>
                <w:rFonts w:asciiTheme="majorHAnsi" w:hAnsiTheme="majorHAnsi"/>
                <w:sz w:val="20"/>
                <w:lang w:eastAsia="it-IT"/>
              </w:rPr>
              <w:t>The process of the identification and localisation and/or write-off of the assets not found during the stock checking has been initiated in past years and is progressing according to plan.</w:t>
            </w:r>
          </w:p>
          <w:p w:rsidR="002E69D7" w:rsidRPr="00C81D54" w:rsidRDefault="002E69D7" w:rsidP="00EE7172">
            <w:pPr>
              <w:widowControl w:val="0"/>
              <w:kinsoku w:val="0"/>
              <w:ind w:left="170" w:right="57"/>
              <w:rPr>
                <w:rFonts w:asciiTheme="majorHAnsi" w:hAnsiTheme="majorHAnsi"/>
                <w:sz w:val="20"/>
                <w:lang w:eastAsia="it-IT"/>
              </w:rPr>
            </w:pPr>
            <w:r w:rsidRPr="00C81D54">
              <w:rPr>
                <w:rFonts w:asciiTheme="majorHAnsi" w:hAnsiTheme="majorHAnsi"/>
                <w:b/>
                <w:bCs/>
                <w:sz w:val="20"/>
                <w:lang w:eastAsia="it-IT"/>
              </w:rPr>
              <w:t>At the end of 2014</w:t>
            </w:r>
            <w:r w:rsidR="00D95C37">
              <w:rPr>
                <w:rFonts w:asciiTheme="majorHAnsi" w:hAnsiTheme="majorHAnsi"/>
                <w:b/>
                <w:bCs/>
                <w:sz w:val="20"/>
                <w:lang w:eastAsia="it-IT"/>
              </w:rPr>
              <w:t xml:space="preserve">: </w:t>
            </w:r>
            <w:r w:rsidRPr="00C81D54">
              <w:rPr>
                <w:rFonts w:asciiTheme="majorHAnsi" w:hAnsiTheme="majorHAnsi"/>
                <w:bCs/>
                <w:sz w:val="20"/>
                <w:lang w:eastAsia="it-IT"/>
              </w:rPr>
              <w:t xml:space="preserve"> the value of non</w:t>
            </w:r>
            <w:r w:rsidRPr="00C81D54">
              <w:rPr>
                <w:rFonts w:asciiTheme="majorHAnsi" w:hAnsiTheme="majorHAnsi"/>
                <w:sz w:val="20"/>
                <w:lang w:eastAsia="it-IT"/>
              </w:rPr>
              <w:t>-found assets has been significantly reduced by 83% of the 2012 value.</w:t>
            </w:r>
          </w:p>
          <w:p w:rsidR="002E69D7" w:rsidRDefault="00710493" w:rsidP="00EE7172">
            <w:pPr>
              <w:widowControl w:val="0"/>
              <w:kinsoku w:val="0"/>
              <w:ind w:left="170" w:right="57"/>
              <w:rPr>
                <w:rFonts w:asciiTheme="majorHAnsi" w:hAnsiTheme="majorHAnsi"/>
                <w:bCs/>
                <w:sz w:val="20"/>
                <w:lang w:eastAsia="it-IT"/>
              </w:rPr>
            </w:pPr>
            <w:r w:rsidRPr="00C81D54">
              <w:rPr>
                <w:rFonts w:asciiTheme="majorHAnsi" w:hAnsiTheme="majorHAnsi"/>
                <w:b/>
                <w:bCs/>
                <w:sz w:val="20"/>
                <w:lang w:eastAsia="it-IT"/>
              </w:rPr>
              <w:t>Update as of end-</w:t>
            </w:r>
            <w:r>
              <w:rPr>
                <w:rFonts w:asciiTheme="majorHAnsi" w:hAnsiTheme="majorHAnsi"/>
                <w:b/>
                <w:bCs/>
                <w:sz w:val="20"/>
                <w:lang w:eastAsia="it-IT"/>
              </w:rPr>
              <w:t xml:space="preserve">January </w:t>
            </w:r>
            <w:r w:rsidRPr="00C81D54">
              <w:rPr>
                <w:rFonts w:asciiTheme="majorHAnsi" w:hAnsiTheme="majorHAnsi"/>
                <w:b/>
                <w:bCs/>
                <w:sz w:val="20"/>
                <w:lang w:eastAsia="it-IT"/>
              </w:rPr>
              <w:t>201</w:t>
            </w:r>
            <w:r>
              <w:rPr>
                <w:rFonts w:asciiTheme="majorHAnsi" w:hAnsiTheme="majorHAnsi"/>
                <w:b/>
                <w:bCs/>
                <w:sz w:val="20"/>
                <w:lang w:eastAsia="it-IT"/>
              </w:rPr>
              <w:t>6</w:t>
            </w:r>
            <w:r w:rsidR="002E69D7" w:rsidRPr="00C81D54">
              <w:rPr>
                <w:rFonts w:asciiTheme="majorHAnsi" w:hAnsiTheme="majorHAnsi"/>
                <w:b/>
                <w:bCs/>
                <w:sz w:val="20"/>
                <w:lang w:eastAsia="it-IT"/>
              </w:rPr>
              <w:t xml:space="preserve">: </w:t>
            </w:r>
            <w:r w:rsidR="006A4705">
              <w:rPr>
                <w:rFonts w:asciiTheme="majorHAnsi" w:hAnsiTheme="majorHAnsi"/>
                <w:b/>
                <w:bCs/>
                <w:sz w:val="20"/>
                <w:lang w:eastAsia="it-IT"/>
              </w:rPr>
              <w:t xml:space="preserve"> </w:t>
            </w:r>
            <w:r w:rsidR="009B133B" w:rsidRPr="00C81D54">
              <w:rPr>
                <w:rFonts w:asciiTheme="majorHAnsi" w:hAnsiTheme="majorHAnsi"/>
                <w:bCs/>
                <w:sz w:val="20"/>
                <w:lang w:eastAsia="it-IT"/>
              </w:rPr>
              <w:t>The level of the identification of the assets</w:t>
            </w:r>
            <w:r w:rsidR="000F4B41" w:rsidRPr="00C81D54">
              <w:rPr>
                <w:rFonts w:asciiTheme="majorHAnsi" w:hAnsiTheme="majorHAnsi"/>
                <w:bCs/>
                <w:sz w:val="20"/>
                <w:lang w:eastAsia="it-IT"/>
              </w:rPr>
              <w:t xml:space="preserve"> which have </w:t>
            </w:r>
            <w:r w:rsidR="009B133B" w:rsidRPr="00C81D54">
              <w:rPr>
                <w:rFonts w:asciiTheme="majorHAnsi" w:hAnsiTheme="majorHAnsi"/>
                <w:bCs/>
                <w:sz w:val="20"/>
                <w:lang w:eastAsia="it-IT"/>
              </w:rPr>
              <w:t xml:space="preserve">not </w:t>
            </w:r>
            <w:r w:rsidR="000F4B41" w:rsidRPr="00C81D54">
              <w:rPr>
                <w:rFonts w:asciiTheme="majorHAnsi" w:hAnsiTheme="majorHAnsi"/>
                <w:bCs/>
                <w:sz w:val="20"/>
                <w:lang w:eastAsia="it-IT"/>
              </w:rPr>
              <w:t xml:space="preserve">been </w:t>
            </w:r>
            <w:r w:rsidR="009B133B" w:rsidRPr="00C81D54">
              <w:rPr>
                <w:rFonts w:asciiTheme="majorHAnsi" w:hAnsiTheme="majorHAnsi"/>
                <w:bCs/>
                <w:sz w:val="20"/>
                <w:lang w:eastAsia="it-IT"/>
              </w:rPr>
              <w:t xml:space="preserve">found will be known </w:t>
            </w:r>
            <w:r w:rsidR="000F4B41" w:rsidRPr="00C81D54">
              <w:rPr>
                <w:rFonts w:asciiTheme="majorHAnsi" w:hAnsiTheme="majorHAnsi"/>
                <w:bCs/>
                <w:sz w:val="20"/>
                <w:lang w:eastAsia="it-IT"/>
              </w:rPr>
              <w:t>by the</w:t>
            </w:r>
            <w:r w:rsidR="009B133B" w:rsidRPr="00C81D54">
              <w:rPr>
                <w:rFonts w:asciiTheme="majorHAnsi" w:hAnsiTheme="majorHAnsi"/>
                <w:bCs/>
                <w:sz w:val="20"/>
                <w:lang w:eastAsia="it-IT"/>
              </w:rPr>
              <w:t xml:space="preserve"> completion of the physical inventory </w:t>
            </w:r>
            <w:r w:rsidR="000F4B41" w:rsidRPr="00C81D54">
              <w:rPr>
                <w:rFonts w:asciiTheme="majorHAnsi" w:hAnsiTheme="majorHAnsi"/>
                <w:bCs/>
                <w:sz w:val="20"/>
                <w:lang w:eastAsia="it-IT"/>
              </w:rPr>
              <w:t>on</w:t>
            </w:r>
            <w:r w:rsidR="009B133B" w:rsidRPr="00C81D54">
              <w:rPr>
                <w:rFonts w:asciiTheme="majorHAnsi" w:hAnsiTheme="majorHAnsi"/>
                <w:bCs/>
                <w:sz w:val="20"/>
                <w:lang w:eastAsia="it-IT"/>
              </w:rPr>
              <w:t xml:space="preserve"> 31 December 2015.</w:t>
            </w:r>
          </w:p>
          <w:p w:rsidR="00E244C1" w:rsidRDefault="00E244C1" w:rsidP="00EE7172">
            <w:pPr>
              <w:widowControl w:val="0"/>
              <w:kinsoku w:val="0"/>
              <w:ind w:left="170" w:right="57"/>
              <w:rPr>
                <w:rFonts w:asciiTheme="majorHAnsi" w:hAnsiTheme="majorHAnsi"/>
                <w:bCs/>
                <w:sz w:val="20"/>
                <w:lang w:eastAsia="it-IT"/>
              </w:rPr>
            </w:pPr>
            <w:r w:rsidRPr="00C81D54">
              <w:rPr>
                <w:rFonts w:asciiTheme="majorHAnsi" w:hAnsiTheme="majorHAnsi"/>
                <w:b/>
                <w:bCs/>
                <w:sz w:val="20"/>
                <w:lang w:eastAsia="it-IT"/>
              </w:rPr>
              <w:t xml:space="preserve">Update as of </w:t>
            </w:r>
            <w:r w:rsidR="00C809B4">
              <w:rPr>
                <w:rFonts w:asciiTheme="majorHAnsi" w:hAnsiTheme="majorHAnsi"/>
                <w:b/>
                <w:bCs/>
                <w:sz w:val="20"/>
                <w:lang w:eastAsia="it-IT"/>
              </w:rPr>
              <w:t>December 2016</w:t>
            </w:r>
            <w:r w:rsidR="00345F30">
              <w:rPr>
                <w:rFonts w:asciiTheme="majorHAnsi" w:hAnsiTheme="majorHAnsi"/>
                <w:b/>
                <w:bCs/>
                <w:sz w:val="20"/>
                <w:lang w:eastAsia="it-IT"/>
              </w:rPr>
              <w:t xml:space="preserve">: </w:t>
            </w:r>
            <w:r w:rsidR="007D77D3" w:rsidRPr="007D77D3">
              <w:rPr>
                <w:rFonts w:asciiTheme="majorHAnsi" w:hAnsiTheme="majorHAnsi"/>
                <w:bCs/>
                <w:sz w:val="20"/>
                <w:lang w:eastAsia="it-IT"/>
              </w:rPr>
              <w:t>The situation of recovered assets had improved considerably as at 31</w:t>
            </w:r>
            <w:r w:rsidR="00D95C37">
              <w:rPr>
                <w:rFonts w:asciiTheme="majorHAnsi" w:hAnsiTheme="majorHAnsi"/>
                <w:bCs/>
                <w:sz w:val="20"/>
                <w:lang w:eastAsia="it-IT"/>
              </w:rPr>
              <w:t> </w:t>
            </w:r>
            <w:r w:rsidR="007D77D3" w:rsidRPr="007D77D3">
              <w:rPr>
                <w:rFonts w:asciiTheme="majorHAnsi" w:hAnsiTheme="majorHAnsi"/>
                <w:bCs/>
                <w:sz w:val="20"/>
                <w:lang w:eastAsia="it-IT"/>
              </w:rPr>
              <w:t>December 2015 compared to 2014 and previous years. The same effort was made during 2016 for which the final result will be known at the end of the financial year. By way of comparison, the value of the assets not found on 31 December 2012 was 392’744 CHF, compared to 31,348 CHF on 31</w:t>
            </w:r>
            <w:r w:rsidR="00D95C37">
              <w:rPr>
                <w:rFonts w:asciiTheme="majorHAnsi" w:hAnsiTheme="majorHAnsi"/>
                <w:bCs/>
                <w:sz w:val="20"/>
                <w:lang w:eastAsia="it-IT"/>
              </w:rPr>
              <w:t> </w:t>
            </w:r>
            <w:r w:rsidR="007D77D3" w:rsidRPr="007D77D3">
              <w:rPr>
                <w:rFonts w:asciiTheme="majorHAnsi" w:hAnsiTheme="majorHAnsi"/>
                <w:bCs/>
                <w:sz w:val="20"/>
                <w:lang w:eastAsia="it-IT"/>
              </w:rPr>
              <w:t>December 2015.</w:t>
            </w:r>
          </w:p>
          <w:p w:rsidR="005D3018" w:rsidRPr="00C81D54" w:rsidRDefault="005D3018" w:rsidP="00EE7172">
            <w:pPr>
              <w:spacing w:after="120"/>
              <w:ind w:left="170" w:right="57"/>
              <w:rPr>
                <w:rFonts w:asciiTheme="majorHAnsi" w:hAnsiTheme="majorHAnsi"/>
                <w:sz w:val="20"/>
                <w:lang w:eastAsia="it-IT"/>
              </w:rPr>
            </w:pPr>
            <w:r>
              <w:rPr>
                <w:rFonts w:asciiTheme="majorHAnsi" w:hAnsiTheme="majorHAnsi"/>
                <w:b/>
                <w:bCs/>
                <w:sz w:val="20"/>
                <w:lang w:eastAsia="it-IT"/>
              </w:rPr>
              <w:t xml:space="preserve"> </w:t>
            </w:r>
            <w:r w:rsidRPr="00D62267">
              <w:rPr>
                <w:rFonts w:asciiTheme="majorHAnsi" w:hAnsiTheme="majorHAnsi"/>
                <w:b/>
                <w:bCs/>
                <w:sz w:val="20"/>
                <w:lang w:eastAsia="it-IT"/>
              </w:rPr>
              <w:t xml:space="preserve">Update as of </w:t>
            </w:r>
            <w:r>
              <w:rPr>
                <w:rFonts w:asciiTheme="majorHAnsi" w:hAnsiTheme="majorHAnsi"/>
                <w:b/>
                <w:bCs/>
                <w:sz w:val="20"/>
                <w:lang w:eastAsia="it-IT"/>
              </w:rPr>
              <w:t xml:space="preserve">December </w:t>
            </w:r>
            <w:r w:rsidRPr="00D62267">
              <w:rPr>
                <w:rFonts w:asciiTheme="majorHAnsi" w:hAnsiTheme="majorHAnsi"/>
                <w:b/>
                <w:bCs/>
                <w:sz w:val="20"/>
                <w:lang w:eastAsia="it-IT"/>
              </w:rPr>
              <w:t>2017</w:t>
            </w:r>
            <w:r w:rsidRPr="002316B9">
              <w:rPr>
                <w:rFonts w:asciiTheme="majorHAnsi" w:hAnsiTheme="majorHAnsi"/>
                <w:bCs/>
                <w:sz w:val="20"/>
                <w:lang w:eastAsia="it-IT"/>
              </w:rPr>
              <w:t>:</w:t>
            </w:r>
            <w:r w:rsidR="008F41B8" w:rsidRPr="002316B9">
              <w:rPr>
                <w:rFonts w:asciiTheme="majorHAnsi" w:hAnsiTheme="majorHAnsi"/>
                <w:bCs/>
                <w:sz w:val="20"/>
                <w:lang w:eastAsia="it-IT"/>
              </w:rPr>
              <w:t xml:space="preserve"> </w:t>
            </w:r>
            <w:r w:rsidR="002316B9">
              <w:rPr>
                <w:rFonts w:asciiTheme="majorHAnsi" w:hAnsiTheme="majorHAnsi"/>
                <w:bCs/>
                <w:sz w:val="20"/>
                <w:lang w:eastAsia="it-IT"/>
              </w:rPr>
              <w:t xml:space="preserve">The level of the identification of </w:t>
            </w:r>
            <w:proofErr w:type="gramStart"/>
            <w:r w:rsidR="002316B9">
              <w:rPr>
                <w:rFonts w:asciiTheme="majorHAnsi" w:hAnsiTheme="majorHAnsi"/>
                <w:bCs/>
                <w:sz w:val="20"/>
                <w:lang w:eastAsia="it-IT"/>
              </w:rPr>
              <w:t>asset which</w:t>
            </w:r>
            <w:r w:rsidR="00607B1E">
              <w:rPr>
                <w:rFonts w:asciiTheme="majorHAnsi" w:hAnsiTheme="majorHAnsi"/>
                <w:bCs/>
                <w:sz w:val="20"/>
                <w:lang w:eastAsia="it-IT"/>
              </w:rPr>
              <w:t xml:space="preserve"> have not been found</w:t>
            </w:r>
            <w:proofErr w:type="gramEnd"/>
            <w:r w:rsidR="00607B1E">
              <w:rPr>
                <w:rFonts w:asciiTheme="majorHAnsi" w:hAnsiTheme="majorHAnsi"/>
                <w:bCs/>
                <w:sz w:val="20"/>
                <w:lang w:eastAsia="it-IT"/>
              </w:rPr>
              <w:t xml:space="preserve"> will be known by the completion of the physical inventory on 31 December 2017.</w:t>
            </w:r>
          </w:p>
        </w:tc>
      </w:tr>
      <w:tr w:rsidR="002E69D7" w:rsidRPr="00C81D54" w:rsidTr="00150FA8">
        <w:trPr>
          <w:cantSplit/>
          <w:trHeight w:val="7971"/>
        </w:trPr>
        <w:tc>
          <w:tcPr>
            <w:tcW w:w="461" w:type="pct"/>
            <w:tcBorders>
              <w:top w:val="single" w:sz="4" w:space="0" w:color="auto"/>
              <w:left w:val="single" w:sz="4" w:space="0" w:color="auto"/>
              <w:bottom w:val="single" w:sz="4" w:space="0" w:color="auto"/>
              <w:right w:val="single" w:sz="4" w:space="0" w:color="auto"/>
            </w:tcBorders>
          </w:tcPr>
          <w:p w:rsidR="002E69D7" w:rsidRPr="00C81D54" w:rsidRDefault="002E69D7" w:rsidP="00B90E87">
            <w:pPr>
              <w:widowControl w:val="0"/>
              <w:kinsoku w:val="0"/>
              <w:adjustRightInd/>
              <w:jc w:val="center"/>
              <w:rPr>
                <w:rFonts w:asciiTheme="majorHAnsi" w:hAnsiTheme="majorHAnsi"/>
                <w:b/>
                <w:bCs/>
                <w:sz w:val="20"/>
                <w:lang w:eastAsia="it-IT"/>
              </w:rPr>
            </w:pPr>
            <w:r w:rsidRPr="00C81D54">
              <w:rPr>
                <w:rFonts w:asciiTheme="majorHAnsi" w:hAnsiTheme="majorHAnsi"/>
                <w:b/>
                <w:bCs/>
                <w:sz w:val="20"/>
                <w:lang w:eastAsia="it-IT"/>
              </w:rPr>
              <w:lastRenderedPageBreak/>
              <w:t>Rec. 10/2012</w:t>
            </w:r>
          </w:p>
          <w:p w:rsidR="002E69D7" w:rsidRPr="00C81D54" w:rsidRDefault="002E69D7" w:rsidP="00B90E87">
            <w:pPr>
              <w:widowControl w:val="0"/>
              <w:kinsoku w:val="0"/>
              <w:adjustRightInd/>
              <w:jc w:val="center"/>
              <w:rPr>
                <w:rFonts w:asciiTheme="majorHAnsi" w:hAnsiTheme="majorHAnsi"/>
                <w:b/>
                <w:bCs/>
                <w:sz w:val="20"/>
                <w:lang w:eastAsia="it-IT"/>
              </w:rPr>
            </w:pPr>
          </w:p>
        </w:tc>
        <w:tc>
          <w:tcPr>
            <w:tcW w:w="1428" w:type="pct"/>
            <w:tcBorders>
              <w:top w:val="single" w:sz="4" w:space="0" w:color="auto"/>
              <w:left w:val="single" w:sz="4" w:space="0" w:color="auto"/>
              <w:bottom w:val="single" w:sz="4" w:space="0" w:color="auto"/>
              <w:right w:val="single" w:sz="4" w:space="0" w:color="auto"/>
            </w:tcBorders>
          </w:tcPr>
          <w:p w:rsidR="002E69D7" w:rsidRPr="00C81D54" w:rsidRDefault="002E69D7" w:rsidP="00EE7172">
            <w:pPr>
              <w:widowControl w:val="0"/>
              <w:kinsoku w:val="0"/>
              <w:ind w:left="170" w:right="57"/>
              <w:rPr>
                <w:rFonts w:asciiTheme="majorHAnsi" w:hAnsiTheme="majorHAnsi"/>
                <w:b/>
                <w:bCs/>
                <w:i/>
                <w:iCs/>
                <w:sz w:val="20"/>
                <w:lang w:eastAsia="it-IT"/>
              </w:rPr>
            </w:pPr>
            <w:r w:rsidRPr="00C81D54">
              <w:rPr>
                <w:rFonts w:asciiTheme="majorHAnsi" w:hAnsiTheme="majorHAnsi"/>
                <w:b/>
                <w:bCs/>
                <w:i/>
                <w:iCs/>
                <w:sz w:val="20"/>
                <w:lang w:eastAsia="it-IT"/>
              </w:rPr>
              <w:t>Digitalisation of personnel dossiers</w:t>
            </w:r>
          </w:p>
          <w:p w:rsidR="002E69D7" w:rsidRPr="00C81D54" w:rsidRDefault="002E69D7" w:rsidP="00EE7172">
            <w:pPr>
              <w:widowControl w:val="0"/>
              <w:kinsoku w:val="0"/>
              <w:ind w:left="170" w:right="57"/>
              <w:rPr>
                <w:rFonts w:asciiTheme="majorHAnsi" w:hAnsiTheme="majorHAnsi"/>
                <w:b/>
                <w:bCs/>
                <w:i/>
                <w:iCs/>
                <w:sz w:val="20"/>
                <w:lang w:eastAsia="it-IT"/>
              </w:rPr>
            </w:pPr>
            <w:r w:rsidRPr="00C81D54">
              <w:rPr>
                <w:rFonts w:asciiTheme="majorHAnsi" w:hAnsiTheme="majorHAnsi"/>
                <w:sz w:val="20"/>
                <w:lang w:eastAsia="it-IT"/>
              </w:rPr>
              <w:t>Although our analysis of the correspondence of the data inserted in the IT System with personnel dossiers did not revealed any major issue, we recommend the Management to start to evaluate the cost-effectiveness to digitalise personnel dossiers, not only in order to prevent that an accidental event might bring to loose fundamental data, but also to allow a direct interface of personnel dossiers with SAP HR.</w:t>
            </w:r>
          </w:p>
        </w:tc>
        <w:tc>
          <w:tcPr>
            <w:tcW w:w="1516" w:type="pct"/>
            <w:tcBorders>
              <w:top w:val="single" w:sz="4" w:space="0" w:color="auto"/>
              <w:left w:val="single" w:sz="4" w:space="0" w:color="auto"/>
              <w:bottom w:val="single" w:sz="4" w:space="0" w:color="auto"/>
              <w:right w:val="single" w:sz="4" w:space="0" w:color="auto"/>
            </w:tcBorders>
          </w:tcPr>
          <w:p w:rsidR="002E69D7" w:rsidRPr="00C81D54" w:rsidRDefault="002E69D7" w:rsidP="00EE7172">
            <w:pPr>
              <w:widowControl w:val="0"/>
              <w:kinsoku w:val="0"/>
              <w:ind w:left="170" w:right="57"/>
              <w:rPr>
                <w:rFonts w:asciiTheme="majorHAnsi" w:hAnsiTheme="majorHAnsi"/>
                <w:sz w:val="20"/>
                <w:lang w:eastAsia="it-IT"/>
              </w:rPr>
            </w:pPr>
            <w:r w:rsidRPr="00C81D54">
              <w:rPr>
                <w:rFonts w:asciiTheme="majorHAnsi" w:hAnsiTheme="majorHAnsi"/>
                <w:sz w:val="20"/>
                <w:lang w:eastAsia="it-IT"/>
              </w:rPr>
              <w:t>I take note of this recommendation and inform you that HRMD is exploring this possibility.</w:t>
            </w:r>
          </w:p>
        </w:tc>
        <w:tc>
          <w:tcPr>
            <w:tcW w:w="1595" w:type="pct"/>
            <w:tcBorders>
              <w:top w:val="single" w:sz="4" w:space="0" w:color="auto"/>
              <w:left w:val="single" w:sz="4" w:space="0" w:color="auto"/>
              <w:bottom w:val="single" w:sz="4" w:space="0" w:color="auto"/>
              <w:right w:val="single" w:sz="4" w:space="0" w:color="auto"/>
            </w:tcBorders>
          </w:tcPr>
          <w:p w:rsidR="002E69D7" w:rsidRPr="00C81D54" w:rsidRDefault="002E69D7" w:rsidP="00EE7172">
            <w:pPr>
              <w:widowControl w:val="0"/>
              <w:kinsoku w:val="0"/>
              <w:ind w:left="170" w:right="57"/>
              <w:rPr>
                <w:rFonts w:asciiTheme="majorHAnsi" w:hAnsiTheme="majorHAnsi"/>
                <w:sz w:val="20"/>
                <w:lang w:eastAsia="it-IT"/>
              </w:rPr>
            </w:pPr>
            <w:r w:rsidRPr="00C81D54">
              <w:rPr>
                <w:rFonts w:asciiTheme="majorHAnsi" w:hAnsiTheme="majorHAnsi"/>
                <w:sz w:val="20"/>
                <w:lang w:eastAsia="it-IT"/>
              </w:rPr>
              <w:t>The Detailed Blueprint (DBBP) of the e-Staff Personal File (digital filing) System was established on 19 April 2013.</w:t>
            </w:r>
          </w:p>
          <w:p w:rsidR="002E69D7" w:rsidRPr="00C81D54" w:rsidRDefault="002E69D7" w:rsidP="00EE7172">
            <w:pPr>
              <w:widowControl w:val="0"/>
              <w:kinsoku w:val="0"/>
              <w:ind w:left="170" w:right="57"/>
              <w:rPr>
                <w:rFonts w:asciiTheme="majorHAnsi" w:hAnsiTheme="majorHAnsi"/>
                <w:sz w:val="20"/>
                <w:lang w:eastAsia="it-IT"/>
              </w:rPr>
            </w:pPr>
            <w:r w:rsidRPr="00C81D54">
              <w:rPr>
                <w:rFonts w:asciiTheme="majorHAnsi" w:hAnsiTheme="majorHAnsi"/>
                <w:sz w:val="20"/>
                <w:lang w:eastAsia="it-IT"/>
              </w:rPr>
              <w:t>This DBBP comprises the HRAD (E&amp;B Service) business process and mapping of the structure of the staff member (hard) personal file. The system is linked to the SAP-ERP_HCM.</w:t>
            </w:r>
          </w:p>
          <w:p w:rsidR="002E69D7" w:rsidRPr="00C81D54" w:rsidRDefault="002E69D7" w:rsidP="00EE7172">
            <w:pPr>
              <w:widowControl w:val="0"/>
              <w:kinsoku w:val="0"/>
              <w:ind w:left="170" w:right="57"/>
              <w:rPr>
                <w:rFonts w:asciiTheme="majorHAnsi" w:hAnsiTheme="majorHAnsi"/>
                <w:sz w:val="20"/>
                <w:lang w:eastAsia="it-IT"/>
              </w:rPr>
            </w:pPr>
            <w:r w:rsidRPr="00C81D54">
              <w:rPr>
                <w:rFonts w:asciiTheme="majorHAnsi" w:hAnsiTheme="majorHAnsi"/>
                <w:b/>
                <w:bCs/>
                <w:sz w:val="20"/>
                <w:lang w:eastAsia="it-IT"/>
              </w:rPr>
              <w:t xml:space="preserve">Update as of </w:t>
            </w:r>
            <w:r w:rsidR="000F4B41" w:rsidRPr="00C81D54">
              <w:rPr>
                <w:rFonts w:asciiTheme="majorHAnsi" w:hAnsiTheme="majorHAnsi"/>
                <w:b/>
                <w:bCs/>
                <w:sz w:val="20"/>
                <w:lang w:eastAsia="it-IT"/>
              </w:rPr>
              <w:t>end-</w:t>
            </w:r>
            <w:r w:rsidRPr="00C81D54">
              <w:rPr>
                <w:rFonts w:asciiTheme="majorHAnsi" w:hAnsiTheme="majorHAnsi"/>
                <w:b/>
                <w:bCs/>
                <w:sz w:val="20"/>
                <w:lang w:eastAsia="it-IT"/>
              </w:rPr>
              <w:t xml:space="preserve">January 2015: </w:t>
            </w:r>
            <w:r w:rsidR="0058154F">
              <w:rPr>
                <w:rFonts w:asciiTheme="majorHAnsi" w:hAnsiTheme="majorHAnsi"/>
                <w:b/>
                <w:bCs/>
                <w:sz w:val="20"/>
                <w:lang w:eastAsia="it-IT"/>
              </w:rPr>
              <w:t xml:space="preserve"> </w:t>
            </w:r>
            <w:r w:rsidRPr="00C81D54">
              <w:rPr>
                <w:rFonts w:asciiTheme="majorHAnsi" w:hAnsiTheme="majorHAnsi"/>
                <w:sz w:val="20"/>
                <w:lang w:eastAsia="it-IT"/>
              </w:rPr>
              <w:t>The first phase of creating the tool is completed. The e-Staff Personal File (digital filing) System is now operational.</w:t>
            </w:r>
          </w:p>
          <w:p w:rsidR="002E69D7" w:rsidRPr="00C81D54" w:rsidRDefault="002E69D7" w:rsidP="00EE7172">
            <w:pPr>
              <w:widowControl w:val="0"/>
              <w:kinsoku w:val="0"/>
              <w:ind w:left="170" w:right="57"/>
              <w:rPr>
                <w:rFonts w:asciiTheme="majorHAnsi" w:hAnsiTheme="majorHAnsi"/>
                <w:sz w:val="20"/>
                <w:lang w:eastAsia="it-IT"/>
              </w:rPr>
            </w:pPr>
            <w:r w:rsidRPr="00C81D54">
              <w:rPr>
                <w:rFonts w:asciiTheme="majorHAnsi" w:hAnsiTheme="majorHAnsi"/>
                <w:sz w:val="20"/>
                <w:lang w:eastAsia="it-IT"/>
              </w:rPr>
              <w:t>The next phase of the exercise concerning HRAD (E&amp;B Service) focuses mainly on two different tendencies which are :</w:t>
            </w:r>
          </w:p>
          <w:p w:rsidR="002E69D7" w:rsidRPr="00C81D54" w:rsidRDefault="002E69D7" w:rsidP="00EE7172">
            <w:pPr>
              <w:widowControl w:val="0"/>
              <w:kinsoku w:val="0"/>
              <w:ind w:left="170" w:right="57"/>
              <w:rPr>
                <w:rFonts w:asciiTheme="majorHAnsi" w:hAnsiTheme="majorHAnsi"/>
                <w:sz w:val="20"/>
                <w:lang w:eastAsia="it-IT"/>
              </w:rPr>
            </w:pPr>
            <w:r w:rsidRPr="00C81D54">
              <w:rPr>
                <w:rFonts w:asciiTheme="majorHAnsi" w:hAnsiTheme="majorHAnsi"/>
                <w:sz w:val="20"/>
                <w:lang w:eastAsia="it-IT"/>
              </w:rPr>
              <w:t>1) Reduction of previous storage places (cupboards and computerized directories) to reorient Archive document flows toward the new e-filling system.</w:t>
            </w:r>
          </w:p>
          <w:p w:rsidR="002E69D7" w:rsidRPr="00C81D54" w:rsidRDefault="002E69D7" w:rsidP="00EE7172">
            <w:pPr>
              <w:widowControl w:val="0"/>
              <w:kinsoku w:val="0"/>
              <w:ind w:left="170" w:right="57"/>
              <w:rPr>
                <w:rFonts w:asciiTheme="majorHAnsi" w:hAnsiTheme="majorHAnsi"/>
                <w:sz w:val="20"/>
                <w:lang w:eastAsia="it-IT"/>
              </w:rPr>
            </w:pPr>
            <w:r w:rsidRPr="00C81D54">
              <w:rPr>
                <w:rFonts w:asciiTheme="majorHAnsi" w:hAnsiTheme="majorHAnsi"/>
                <w:sz w:val="20"/>
                <w:lang w:eastAsia="it-IT"/>
              </w:rPr>
              <w:t xml:space="preserve">2) Reduction of numbers of paper documents by revised working methods (repetition, overlap, unnecessary printing, </w:t>
            </w:r>
            <w:proofErr w:type="spellStart"/>
            <w:r w:rsidRPr="00C81D54">
              <w:rPr>
                <w:rFonts w:asciiTheme="majorHAnsi" w:hAnsiTheme="majorHAnsi"/>
                <w:sz w:val="20"/>
                <w:lang w:eastAsia="it-IT"/>
              </w:rPr>
              <w:t>etc</w:t>
            </w:r>
            <w:proofErr w:type="spellEnd"/>
            <w:r w:rsidRPr="00C81D54">
              <w:rPr>
                <w:rFonts w:asciiTheme="majorHAnsi" w:hAnsiTheme="majorHAnsi"/>
                <w:sz w:val="20"/>
                <w:lang w:eastAsia="it-IT"/>
              </w:rPr>
              <w:t>…). There will always be paper documents as the original signed documents must be kept for legal reasons and to certify the accuracy of information recorded in the SAP- ERP</w:t>
            </w:r>
            <w:r w:rsidR="0058154F">
              <w:rPr>
                <w:rFonts w:asciiTheme="majorHAnsi" w:hAnsiTheme="majorHAnsi"/>
                <w:sz w:val="20"/>
                <w:lang w:eastAsia="it-IT"/>
              </w:rPr>
              <w:t>_</w:t>
            </w:r>
            <w:r w:rsidRPr="00C81D54">
              <w:rPr>
                <w:rFonts w:asciiTheme="majorHAnsi" w:hAnsiTheme="majorHAnsi"/>
                <w:sz w:val="20"/>
                <w:lang w:eastAsia="it-IT"/>
              </w:rPr>
              <w:t>HCM.</w:t>
            </w:r>
          </w:p>
          <w:p w:rsidR="001654F0" w:rsidRPr="00C81D54" w:rsidRDefault="00710493" w:rsidP="00EE7172">
            <w:pPr>
              <w:ind w:left="170" w:right="57"/>
              <w:rPr>
                <w:rFonts w:asciiTheme="majorHAnsi" w:hAnsiTheme="majorHAnsi"/>
              </w:rPr>
            </w:pPr>
            <w:r w:rsidRPr="00C81D54">
              <w:rPr>
                <w:rFonts w:asciiTheme="majorHAnsi" w:hAnsiTheme="majorHAnsi"/>
                <w:b/>
                <w:bCs/>
                <w:sz w:val="20"/>
                <w:lang w:eastAsia="it-IT"/>
              </w:rPr>
              <w:t>Update as of end-</w:t>
            </w:r>
            <w:r>
              <w:rPr>
                <w:rFonts w:asciiTheme="majorHAnsi" w:hAnsiTheme="majorHAnsi"/>
                <w:b/>
                <w:bCs/>
                <w:sz w:val="20"/>
                <w:lang w:eastAsia="it-IT"/>
              </w:rPr>
              <w:t xml:space="preserve">January </w:t>
            </w:r>
            <w:r w:rsidRPr="00C81D54">
              <w:rPr>
                <w:rFonts w:asciiTheme="majorHAnsi" w:hAnsiTheme="majorHAnsi"/>
                <w:b/>
                <w:bCs/>
                <w:sz w:val="20"/>
                <w:lang w:eastAsia="it-IT"/>
              </w:rPr>
              <w:t>201</w:t>
            </w:r>
            <w:r>
              <w:rPr>
                <w:rFonts w:asciiTheme="majorHAnsi" w:hAnsiTheme="majorHAnsi"/>
                <w:b/>
                <w:bCs/>
                <w:sz w:val="20"/>
                <w:lang w:eastAsia="it-IT"/>
              </w:rPr>
              <w:t>6</w:t>
            </w:r>
            <w:r w:rsidR="0058154F">
              <w:rPr>
                <w:rFonts w:asciiTheme="majorHAnsi" w:hAnsiTheme="majorHAnsi"/>
                <w:b/>
                <w:bCs/>
                <w:sz w:val="20"/>
                <w:lang w:eastAsia="it-IT"/>
              </w:rPr>
              <w:t xml:space="preserve">:  </w:t>
            </w:r>
            <w:r w:rsidR="001654F0" w:rsidRPr="00C81D54">
              <w:rPr>
                <w:rFonts w:asciiTheme="majorHAnsi" w:hAnsiTheme="majorHAnsi"/>
                <w:sz w:val="20"/>
                <w:lang w:eastAsia="it-IT"/>
              </w:rPr>
              <w:t>The digitalization is ongoing.  HRMD is undertaking a fundamental review of all its procedures and document flow in v</w:t>
            </w:r>
            <w:r w:rsidR="0042757B" w:rsidRPr="00C81D54">
              <w:rPr>
                <w:rFonts w:asciiTheme="majorHAnsi" w:hAnsiTheme="majorHAnsi"/>
                <w:sz w:val="20"/>
                <w:lang w:eastAsia="it-IT"/>
              </w:rPr>
              <w:t xml:space="preserve">iew of creating a centralized, </w:t>
            </w:r>
            <w:r w:rsidR="001654F0" w:rsidRPr="00C81D54">
              <w:rPr>
                <w:rFonts w:asciiTheme="majorHAnsi" w:hAnsiTheme="majorHAnsi"/>
                <w:sz w:val="20"/>
                <w:lang w:eastAsia="it-IT"/>
              </w:rPr>
              <w:t>structured and secure electronic information management infrastructure to support the delivery of HR services.</w:t>
            </w:r>
          </w:p>
          <w:p w:rsidR="00920D03" w:rsidRDefault="00E244C1" w:rsidP="00EE7172">
            <w:pPr>
              <w:widowControl w:val="0"/>
              <w:kinsoku w:val="0"/>
              <w:spacing w:after="120"/>
              <w:ind w:left="170" w:right="57"/>
              <w:rPr>
                <w:rFonts w:asciiTheme="majorHAnsi" w:hAnsiTheme="majorHAnsi"/>
                <w:sz w:val="20"/>
                <w:lang w:eastAsia="it-IT"/>
              </w:rPr>
            </w:pPr>
            <w:r w:rsidRPr="00C81D54">
              <w:rPr>
                <w:rFonts w:asciiTheme="majorHAnsi" w:hAnsiTheme="majorHAnsi"/>
                <w:b/>
                <w:bCs/>
                <w:sz w:val="20"/>
                <w:lang w:eastAsia="it-IT"/>
              </w:rPr>
              <w:t xml:space="preserve">Update as of </w:t>
            </w:r>
            <w:r w:rsidR="00C809B4">
              <w:rPr>
                <w:rFonts w:asciiTheme="majorHAnsi" w:hAnsiTheme="majorHAnsi"/>
                <w:b/>
                <w:bCs/>
                <w:sz w:val="20"/>
                <w:lang w:eastAsia="it-IT"/>
              </w:rPr>
              <w:t>December 2016</w:t>
            </w:r>
            <w:r w:rsidR="00622832">
              <w:rPr>
                <w:rFonts w:asciiTheme="majorHAnsi" w:hAnsiTheme="majorHAnsi"/>
                <w:b/>
                <w:bCs/>
                <w:sz w:val="20"/>
                <w:lang w:eastAsia="it-IT"/>
              </w:rPr>
              <w:t xml:space="preserve">: </w:t>
            </w:r>
            <w:r w:rsidR="00622832" w:rsidRPr="00C72835">
              <w:rPr>
                <w:rFonts w:asciiTheme="majorHAnsi" w:hAnsiTheme="majorHAnsi"/>
                <w:sz w:val="20"/>
                <w:lang w:eastAsia="it-IT"/>
              </w:rPr>
              <w:t xml:space="preserve">The project is still underway.  One staff of the HRM </w:t>
            </w:r>
            <w:r w:rsidR="00C72835" w:rsidRPr="00C72835">
              <w:rPr>
                <w:rFonts w:asciiTheme="majorHAnsi" w:hAnsiTheme="majorHAnsi"/>
                <w:sz w:val="20"/>
                <w:lang w:eastAsia="it-IT"/>
              </w:rPr>
              <w:t>Dept.</w:t>
            </w:r>
            <w:r w:rsidR="00622832" w:rsidRPr="00C72835">
              <w:rPr>
                <w:rFonts w:asciiTheme="majorHAnsi" w:hAnsiTheme="majorHAnsi"/>
                <w:sz w:val="20"/>
                <w:lang w:eastAsia="it-IT"/>
              </w:rPr>
              <w:t xml:space="preserve"> </w:t>
            </w:r>
            <w:proofErr w:type="gramStart"/>
            <w:r w:rsidR="00622832" w:rsidRPr="00C72835">
              <w:rPr>
                <w:rFonts w:asciiTheme="majorHAnsi" w:hAnsiTheme="majorHAnsi"/>
                <w:sz w:val="20"/>
                <w:lang w:eastAsia="it-IT"/>
              </w:rPr>
              <w:t>will be assigned</w:t>
            </w:r>
            <w:proofErr w:type="gramEnd"/>
            <w:r w:rsidR="00622832" w:rsidRPr="00C72835">
              <w:rPr>
                <w:rFonts w:asciiTheme="majorHAnsi" w:hAnsiTheme="majorHAnsi"/>
                <w:sz w:val="20"/>
                <w:lang w:eastAsia="it-IT"/>
              </w:rPr>
              <w:t xml:space="preserve"> at 100% for six months as from January 2017</w:t>
            </w:r>
            <w:r w:rsidR="00BB16DF">
              <w:rPr>
                <w:rFonts w:asciiTheme="majorHAnsi" w:hAnsiTheme="majorHAnsi"/>
                <w:sz w:val="20"/>
                <w:lang w:eastAsia="it-IT"/>
              </w:rPr>
              <w:t>.</w:t>
            </w:r>
          </w:p>
          <w:p w:rsidR="00CC797C" w:rsidRPr="005A7AC6" w:rsidRDefault="00CC797C" w:rsidP="00EE7172">
            <w:pPr>
              <w:ind w:left="170" w:right="57"/>
              <w:rPr>
                <w:rFonts w:asciiTheme="majorHAnsi" w:hAnsiTheme="majorHAnsi"/>
                <w:sz w:val="20"/>
                <w:lang w:val="en-US" w:eastAsia="it-IT"/>
              </w:rPr>
            </w:pPr>
            <w:r w:rsidRPr="00D62267">
              <w:rPr>
                <w:rFonts w:asciiTheme="majorHAnsi" w:hAnsiTheme="majorHAnsi"/>
                <w:b/>
                <w:bCs/>
                <w:sz w:val="20"/>
                <w:lang w:eastAsia="it-IT"/>
              </w:rPr>
              <w:lastRenderedPageBreak/>
              <w:t xml:space="preserve">Update as of </w:t>
            </w:r>
            <w:r>
              <w:rPr>
                <w:rFonts w:asciiTheme="majorHAnsi" w:hAnsiTheme="majorHAnsi"/>
                <w:b/>
                <w:bCs/>
                <w:sz w:val="20"/>
                <w:lang w:eastAsia="it-IT"/>
              </w:rPr>
              <w:t xml:space="preserve">December </w:t>
            </w:r>
            <w:r w:rsidRPr="00D62267">
              <w:rPr>
                <w:rFonts w:asciiTheme="majorHAnsi" w:hAnsiTheme="majorHAnsi"/>
                <w:b/>
                <w:bCs/>
                <w:sz w:val="20"/>
                <w:lang w:eastAsia="it-IT"/>
              </w:rPr>
              <w:t>2017</w:t>
            </w:r>
            <w:r>
              <w:rPr>
                <w:rFonts w:asciiTheme="majorHAnsi" w:hAnsiTheme="majorHAnsi"/>
                <w:b/>
                <w:bCs/>
                <w:sz w:val="20"/>
                <w:lang w:eastAsia="it-IT"/>
              </w:rPr>
              <w:t>:</w:t>
            </w:r>
            <w:r w:rsidR="008F41B8">
              <w:rPr>
                <w:rFonts w:asciiTheme="majorHAnsi" w:hAnsiTheme="majorHAnsi"/>
                <w:b/>
                <w:bCs/>
                <w:sz w:val="20"/>
                <w:lang w:eastAsia="it-IT"/>
              </w:rPr>
              <w:t xml:space="preserve"> </w:t>
            </w:r>
            <w:r w:rsidR="005A7AC6">
              <w:rPr>
                <w:rFonts w:asciiTheme="majorHAnsi" w:hAnsiTheme="majorHAnsi"/>
                <w:b/>
                <w:bCs/>
                <w:sz w:val="20"/>
                <w:lang w:eastAsia="it-IT"/>
              </w:rPr>
              <w:t xml:space="preserve">  </w:t>
            </w:r>
            <w:r w:rsidR="00920D03" w:rsidRPr="00920D03">
              <w:rPr>
                <w:rFonts w:asciiTheme="majorHAnsi" w:hAnsiTheme="majorHAnsi"/>
                <w:sz w:val="20"/>
                <w:lang w:eastAsia="it-IT"/>
              </w:rPr>
              <w:t xml:space="preserve">Preparatory work for the migration of the data </w:t>
            </w:r>
            <w:proofErr w:type="gramStart"/>
            <w:r w:rsidR="00920D03" w:rsidRPr="00920D03">
              <w:rPr>
                <w:rFonts w:asciiTheme="majorHAnsi" w:hAnsiTheme="majorHAnsi"/>
                <w:sz w:val="20"/>
                <w:lang w:eastAsia="it-IT"/>
              </w:rPr>
              <w:t xml:space="preserve">has been </w:t>
            </w:r>
            <w:r w:rsidR="00920D03">
              <w:rPr>
                <w:rFonts w:asciiTheme="majorHAnsi" w:hAnsiTheme="majorHAnsi"/>
                <w:sz w:val="20"/>
                <w:lang w:eastAsia="it-IT"/>
              </w:rPr>
              <w:t>co</w:t>
            </w:r>
            <w:r w:rsidR="00920D03" w:rsidRPr="00920D03">
              <w:rPr>
                <w:rFonts w:asciiTheme="majorHAnsi" w:hAnsiTheme="majorHAnsi"/>
                <w:sz w:val="20"/>
                <w:lang w:eastAsia="it-IT"/>
              </w:rPr>
              <w:t>mpleted</w:t>
            </w:r>
            <w:proofErr w:type="gramEnd"/>
            <w:r w:rsidR="00920D03" w:rsidRPr="00920D03">
              <w:rPr>
                <w:rFonts w:asciiTheme="majorHAnsi" w:hAnsiTheme="majorHAnsi"/>
                <w:sz w:val="20"/>
                <w:lang w:eastAsia="it-IT"/>
              </w:rPr>
              <w:t>.</w:t>
            </w:r>
            <w:r w:rsidR="005A7AC6">
              <w:rPr>
                <w:rFonts w:asciiTheme="majorHAnsi" w:hAnsiTheme="majorHAnsi"/>
                <w:sz w:val="20"/>
                <w:lang w:eastAsia="it-IT"/>
              </w:rPr>
              <w:t xml:space="preserve"> </w:t>
            </w:r>
            <w:r w:rsidR="00920D03" w:rsidRPr="00920D03">
              <w:rPr>
                <w:rFonts w:asciiTheme="majorHAnsi" w:hAnsiTheme="majorHAnsi"/>
                <w:sz w:val="20"/>
                <w:lang w:eastAsia="it-IT"/>
              </w:rPr>
              <w:t>However, further discussions are needed with the IS Department for the implementation of a robust information management architecture and system, including the possibility of a linkage with the SAP-HR ERP system</w:t>
            </w:r>
            <w:r w:rsidR="00920D03">
              <w:rPr>
                <w:rFonts w:asciiTheme="majorHAnsi" w:hAnsiTheme="majorHAnsi"/>
                <w:sz w:val="20"/>
                <w:lang w:eastAsia="it-IT"/>
              </w:rPr>
              <w:t>.</w:t>
            </w:r>
          </w:p>
        </w:tc>
      </w:tr>
    </w:tbl>
    <w:p w:rsidR="002E69D7" w:rsidRPr="00C81D54" w:rsidRDefault="002E69D7">
      <w:pPr>
        <w:tabs>
          <w:tab w:val="clear" w:pos="794"/>
          <w:tab w:val="clear" w:pos="1191"/>
          <w:tab w:val="clear" w:pos="1588"/>
          <w:tab w:val="clear" w:pos="1985"/>
        </w:tabs>
        <w:overflowPunct/>
        <w:autoSpaceDE/>
        <w:autoSpaceDN/>
        <w:adjustRightInd/>
        <w:spacing w:before="0"/>
        <w:textAlignment w:val="auto"/>
        <w:rPr>
          <w:rFonts w:asciiTheme="majorHAnsi" w:hAnsiTheme="majorHAnsi"/>
          <w:b/>
          <w:sz w:val="22"/>
          <w:szCs w:val="22"/>
          <w:highlight w:val="yellow"/>
          <w:lang w:eastAsia="it-IT"/>
        </w:rPr>
      </w:pPr>
    </w:p>
    <w:p w:rsidR="002E69D7" w:rsidRPr="00C81D54" w:rsidRDefault="002E69D7">
      <w:pPr>
        <w:tabs>
          <w:tab w:val="clear" w:pos="794"/>
          <w:tab w:val="clear" w:pos="1191"/>
          <w:tab w:val="clear" w:pos="1588"/>
          <w:tab w:val="clear" w:pos="1985"/>
        </w:tabs>
        <w:overflowPunct/>
        <w:autoSpaceDE/>
        <w:autoSpaceDN/>
        <w:adjustRightInd/>
        <w:spacing w:before="0"/>
        <w:textAlignment w:val="auto"/>
        <w:rPr>
          <w:rFonts w:asciiTheme="majorHAnsi" w:hAnsiTheme="majorHAnsi"/>
          <w:b/>
          <w:sz w:val="22"/>
          <w:szCs w:val="22"/>
          <w:highlight w:val="yellow"/>
          <w:lang w:eastAsia="it-IT"/>
        </w:rPr>
      </w:pPr>
    </w:p>
    <w:p w:rsidR="002E69D7" w:rsidRPr="00C81D54" w:rsidRDefault="002E69D7">
      <w:pPr>
        <w:tabs>
          <w:tab w:val="clear" w:pos="794"/>
          <w:tab w:val="clear" w:pos="1191"/>
          <w:tab w:val="clear" w:pos="1588"/>
          <w:tab w:val="clear" w:pos="1985"/>
        </w:tabs>
        <w:overflowPunct/>
        <w:autoSpaceDE/>
        <w:autoSpaceDN/>
        <w:adjustRightInd/>
        <w:spacing w:before="0"/>
        <w:textAlignment w:val="auto"/>
        <w:rPr>
          <w:rFonts w:asciiTheme="majorHAnsi" w:hAnsiTheme="majorHAnsi"/>
          <w:b/>
          <w:sz w:val="22"/>
          <w:szCs w:val="22"/>
          <w:highlight w:val="yellow"/>
          <w:lang w:eastAsia="it-IT"/>
        </w:rPr>
      </w:pPr>
    </w:p>
    <w:p w:rsidR="002E69D7" w:rsidRPr="00C81D54" w:rsidRDefault="002E69D7">
      <w:pPr>
        <w:tabs>
          <w:tab w:val="clear" w:pos="794"/>
          <w:tab w:val="clear" w:pos="1191"/>
          <w:tab w:val="clear" w:pos="1588"/>
          <w:tab w:val="clear" w:pos="1985"/>
        </w:tabs>
        <w:overflowPunct/>
        <w:autoSpaceDE/>
        <w:autoSpaceDN/>
        <w:adjustRightInd/>
        <w:spacing w:before="0"/>
        <w:textAlignment w:val="auto"/>
        <w:rPr>
          <w:rFonts w:asciiTheme="majorHAnsi" w:hAnsiTheme="majorHAnsi"/>
          <w:b/>
          <w:sz w:val="22"/>
          <w:szCs w:val="22"/>
          <w:highlight w:val="yellow"/>
          <w:lang w:eastAsia="it-IT"/>
        </w:rPr>
      </w:pPr>
    </w:p>
    <w:p w:rsidR="002E69D7" w:rsidRPr="00C81D54" w:rsidRDefault="002E69D7" w:rsidP="00ED05A3">
      <w:pPr>
        <w:pStyle w:val="Heading2"/>
        <w:numPr>
          <w:ilvl w:val="0"/>
          <w:numId w:val="5"/>
        </w:numPr>
        <w:tabs>
          <w:tab w:val="clear" w:pos="794"/>
          <w:tab w:val="clear" w:pos="1191"/>
          <w:tab w:val="clear" w:pos="1588"/>
          <w:tab w:val="clear" w:pos="1985"/>
        </w:tabs>
        <w:spacing w:before="0"/>
        <w:ind w:left="714" w:hanging="714"/>
        <w:rPr>
          <w:rFonts w:asciiTheme="majorHAnsi" w:hAnsiTheme="majorHAnsi"/>
          <w:lang w:eastAsia="it-IT"/>
        </w:rPr>
      </w:pPr>
      <w:r w:rsidRPr="00C81D54">
        <w:rPr>
          <w:rFonts w:asciiTheme="majorHAnsi" w:hAnsiTheme="majorHAnsi"/>
          <w:lang w:eastAsia="it-IT"/>
        </w:rPr>
        <w:lastRenderedPageBreak/>
        <w:t>Follow-up on the External Auditor’s recommendations relating to ITU Telecom World Events</w:t>
      </w:r>
    </w:p>
    <w:p w:rsidR="002E69D7" w:rsidRPr="00C81D54" w:rsidRDefault="002E69D7" w:rsidP="002E69D7">
      <w:pPr>
        <w:rPr>
          <w:rFonts w:asciiTheme="majorHAnsi" w:hAnsiTheme="majorHAnsi"/>
          <w:lang w:eastAsia="it-IT"/>
        </w:rPr>
      </w:pPr>
    </w:p>
    <w:tbl>
      <w:tblPr>
        <w:tblW w:w="4809" w:type="pct"/>
        <w:tblInd w:w="5" w:type="dxa"/>
        <w:tblLayout w:type="fixed"/>
        <w:tblCellMar>
          <w:left w:w="0" w:type="dxa"/>
          <w:right w:w="0" w:type="dxa"/>
        </w:tblCellMar>
        <w:tblLook w:val="0000" w:firstRow="0" w:lastRow="0" w:firstColumn="0" w:lastColumn="0" w:noHBand="0" w:noVBand="0"/>
      </w:tblPr>
      <w:tblGrid>
        <w:gridCol w:w="1468"/>
        <w:gridCol w:w="3723"/>
        <w:gridCol w:w="4017"/>
        <w:gridCol w:w="4519"/>
      </w:tblGrid>
      <w:tr w:rsidR="002E69D7" w:rsidRPr="00C81D54" w:rsidTr="002E69D7">
        <w:trPr>
          <w:trHeight w:hRule="exact" w:val="1148"/>
        </w:trPr>
        <w:tc>
          <w:tcPr>
            <w:tcW w:w="535" w:type="pct"/>
            <w:tcBorders>
              <w:top w:val="single" w:sz="4" w:space="0" w:color="auto"/>
              <w:left w:val="single" w:sz="4" w:space="0" w:color="auto"/>
              <w:bottom w:val="single" w:sz="4" w:space="0" w:color="auto"/>
              <w:right w:val="single" w:sz="4" w:space="0" w:color="auto"/>
            </w:tcBorders>
          </w:tcPr>
          <w:p w:rsidR="002E69D7" w:rsidRPr="00C81D54" w:rsidRDefault="002E69D7" w:rsidP="00B90E87">
            <w:pPr>
              <w:rPr>
                <w:rFonts w:asciiTheme="majorHAnsi" w:hAnsiTheme="majorHAnsi"/>
                <w:b/>
                <w:bCs/>
                <w:sz w:val="22"/>
                <w:szCs w:val="22"/>
              </w:rPr>
            </w:pPr>
          </w:p>
        </w:tc>
        <w:tc>
          <w:tcPr>
            <w:tcW w:w="1356" w:type="pct"/>
            <w:tcBorders>
              <w:top w:val="single" w:sz="4" w:space="0" w:color="auto"/>
              <w:left w:val="single" w:sz="4" w:space="0" w:color="auto"/>
              <w:bottom w:val="single" w:sz="4" w:space="0" w:color="auto"/>
              <w:right w:val="single" w:sz="4" w:space="0" w:color="auto"/>
            </w:tcBorders>
          </w:tcPr>
          <w:p w:rsidR="002E69D7" w:rsidRPr="00C81D54" w:rsidRDefault="002E69D7" w:rsidP="00B90E87">
            <w:pPr>
              <w:widowControl w:val="0"/>
              <w:kinsoku w:val="0"/>
              <w:adjustRightInd/>
              <w:jc w:val="center"/>
              <w:rPr>
                <w:rFonts w:asciiTheme="majorHAnsi" w:hAnsiTheme="majorHAnsi"/>
                <w:b/>
                <w:bCs/>
                <w:spacing w:val="-1"/>
                <w:sz w:val="22"/>
                <w:szCs w:val="22"/>
                <w:lang w:eastAsia="it-IT"/>
              </w:rPr>
            </w:pPr>
            <w:r w:rsidRPr="00C81D54">
              <w:rPr>
                <w:rFonts w:asciiTheme="majorHAnsi" w:hAnsiTheme="majorHAnsi"/>
                <w:b/>
                <w:bCs/>
                <w:spacing w:val="-1"/>
                <w:sz w:val="22"/>
                <w:szCs w:val="22"/>
                <w:lang w:eastAsia="it-IT"/>
              </w:rPr>
              <w:t>Recommendation made</w:t>
            </w:r>
            <w:r w:rsidRPr="00C81D54">
              <w:rPr>
                <w:rFonts w:asciiTheme="majorHAnsi" w:hAnsiTheme="majorHAnsi"/>
                <w:b/>
                <w:bCs/>
                <w:spacing w:val="-1"/>
                <w:sz w:val="22"/>
                <w:szCs w:val="22"/>
                <w:lang w:eastAsia="it-IT"/>
              </w:rPr>
              <w:br/>
              <w:t>by External Auditor</w:t>
            </w:r>
          </w:p>
          <w:p w:rsidR="002E69D7" w:rsidRPr="00C81D54" w:rsidRDefault="002E69D7" w:rsidP="00B90E87">
            <w:pPr>
              <w:widowControl w:val="0"/>
              <w:kinsoku w:val="0"/>
              <w:adjustRightInd/>
              <w:jc w:val="center"/>
              <w:rPr>
                <w:rFonts w:asciiTheme="majorHAnsi" w:hAnsiTheme="majorHAnsi"/>
                <w:b/>
                <w:bCs/>
                <w:spacing w:val="-1"/>
                <w:sz w:val="22"/>
                <w:szCs w:val="22"/>
                <w:lang w:eastAsia="it-IT"/>
              </w:rPr>
            </w:pPr>
            <w:r w:rsidRPr="00C81D54">
              <w:rPr>
                <w:rFonts w:asciiTheme="majorHAnsi" w:hAnsiTheme="majorHAnsi"/>
                <w:b/>
                <w:bCs/>
                <w:spacing w:val="-1"/>
                <w:sz w:val="22"/>
                <w:szCs w:val="22"/>
                <w:lang w:eastAsia="it-IT"/>
              </w:rPr>
              <w:t xml:space="preserve">(Corte </w:t>
            </w:r>
            <w:proofErr w:type="spellStart"/>
            <w:r w:rsidRPr="00C81D54">
              <w:rPr>
                <w:rFonts w:asciiTheme="majorHAnsi" w:hAnsiTheme="majorHAnsi"/>
                <w:b/>
                <w:bCs/>
                <w:spacing w:val="-1"/>
                <w:sz w:val="22"/>
                <w:szCs w:val="22"/>
                <w:lang w:eastAsia="it-IT"/>
              </w:rPr>
              <w:t>dei</w:t>
            </w:r>
            <w:proofErr w:type="spellEnd"/>
            <w:r w:rsidRPr="00C81D54">
              <w:rPr>
                <w:rFonts w:asciiTheme="majorHAnsi" w:hAnsiTheme="majorHAnsi"/>
                <w:b/>
                <w:bCs/>
                <w:spacing w:val="-1"/>
                <w:sz w:val="22"/>
                <w:szCs w:val="22"/>
                <w:lang w:eastAsia="it-IT"/>
              </w:rPr>
              <w:t xml:space="preserve"> </w:t>
            </w:r>
            <w:proofErr w:type="spellStart"/>
            <w:r w:rsidRPr="00C81D54">
              <w:rPr>
                <w:rFonts w:asciiTheme="majorHAnsi" w:hAnsiTheme="majorHAnsi"/>
                <w:b/>
                <w:bCs/>
                <w:spacing w:val="-1"/>
                <w:sz w:val="22"/>
                <w:szCs w:val="22"/>
                <w:lang w:eastAsia="it-IT"/>
              </w:rPr>
              <w:t>conti</w:t>
            </w:r>
            <w:proofErr w:type="spellEnd"/>
            <w:r w:rsidRPr="00C81D54">
              <w:rPr>
                <w:rFonts w:asciiTheme="majorHAnsi" w:hAnsiTheme="majorHAnsi"/>
                <w:b/>
                <w:bCs/>
                <w:spacing w:val="-1"/>
                <w:sz w:val="22"/>
                <w:szCs w:val="22"/>
                <w:lang w:eastAsia="it-IT"/>
              </w:rPr>
              <w:t>)</w:t>
            </w:r>
          </w:p>
          <w:p w:rsidR="002E69D7" w:rsidRPr="00C81D54" w:rsidRDefault="002E69D7" w:rsidP="00B90E87">
            <w:pPr>
              <w:widowControl w:val="0"/>
              <w:kinsoku w:val="0"/>
              <w:adjustRightInd/>
              <w:jc w:val="center"/>
              <w:rPr>
                <w:rFonts w:asciiTheme="majorHAnsi" w:hAnsiTheme="majorHAnsi"/>
                <w:b/>
                <w:bCs/>
                <w:spacing w:val="-1"/>
                <w:sz w:val="22"/>
                <w:szCs w:val="22"/>
                <w:lang w:eastAsia="it-IT"/>
              </w:rPr>
            </w:pPr>
          </w:p>
        </w:tc>
        <w:tc>
          <w:tcPr>
            <w:tcW w:w="1463" w:type="pct"/>
            <w:tcBorders>
              <w:top w:val="single" w:sz="4" w:space="0" w:color="auto"/>
              <w:left w:val="single" w:sz="4" w:space="0" w:color="auto"/>
              <w:bottom w:val="single" w:sz="4" w:space="0" w:color="auto"/>
              <w:right w:val="single" w:sz="4" w:space="0" w:color="auto"/>
            </w:tcBorders>
          </w:tcPr>
          <w:p w:rsidR="002E69D7" w:rsidRPr="00C81D54" w:rsidRDefault="002E69D7" w:rsidP="00B90E87">
            <w:pPr>
              <w:widowControl w:val="0"/>
              <w:kinsoku w:val="0"/>
              <w:adjustRightInd/>
              <w:jc w:val="center"/>
              <w:rPr>
                <w:rFonts w:asciiTheme="majorHAnsi" w:hAnsiTheme="majorHAnsi"/>
                <w:b/>
                <w:bCs/>
                <w:spacing w:val="-1"/>
                <w:sz w:val="22"/>
                <w:szCs w:val="22"/>
                <w:lang w:eastAsia="it-IT"/>
              </w:rPr>
            </w:pPr>
            <w:r w:rsidRPr="00C81D54">
              <w:rPr>
                <w:rFonts w:asciiTheme="majorHAnsi" w:hAnsiTheme="majorHAnsi"/>
                <w:b/>
                <w:bCs/>
                <w:spacing w:val="-1"/>
                <w:sz w:val="22"/>
                <w:szCs w:val="22"/>
                <w:lang w:eastAsia="it-IT"/>
              </w:rPr>
              <w:t>Comments received from</w:t>
            </w:r>
            <w:r w:rsidRPr="00C81D54">
              <w:rPr>
                <w:rFonts w:asciiTheme="majorHAnsi" w:hAnsiTheme="majorHAnsi"/>
                <w:b/>
                <w:bCs/>
                <w:spacing w:val="-1"/>
                <w:sz w:val="22"/>
                <w:szCs w:val="22"/>
                <w:lang w:eastAsia="it-IT"/>
              </w:rPr>
              <w:br/>
              <w:t>the Secretary-General at the time of issuance of the External Auditor’s Report</w:t>
            </w:r>
          </w:p>
        </w:tc>
        <w:tc>
          <w:tcPr>
            <w:tcW w:w="1646" w:type="pct"/>
            <w:tcBorders>
              <w:top w:val="single" w:sz="4" w:space="0" w:color="auto"/>
              <w:left w:val="single" w:sz="4" w:space="0" w:color="auto"/>
              <w:bottom w:val="single" w:sz="4" w:space="0" w:color="auto"/>
              <w:right w:val="single" w:sz="4" w:space="0" w:color="auto"/>
            </w:tcBorders>
          </w:tcPr>
          <w:p w:rsidR="002E69D7" w:rsidRPr="00C81D54" w:rsidRDefault="002E69D7" w:rsidP="00B90E87">
            <w:pPr>
              <w:widowControl w:val="0"/>
              <w:kinsoku w:val="0"/>
              <w:adjustRightInd/>
              <w:jc w:val="center"/>
              <w:rPr>
                <w:rFonts w:asciiTheme="majorHAnsi" w:hAnsiTheme="majorHAnsi"/>
                <w:b/>
                <w:bCs/>
                <w:spacing w:val="-1"/>
                <w:sz w:val="22"/>
                <w:szCs w:val="22"/>
                <w:lang w:eastAsia="it-IT"/>
              </w:rPr>
            </w:pPr>
            <w:r w:rsidRPr="00C81D54">
              <w:rPr>
                <w:rFonts w:asciiTheme="majorHAnsi" w:hAnsiTheme="majorHAnsi"/>
                <w:b/>
                <w:bCs/>
                <w:spacing w:val="-1"/>
                <w:sz w:val="22"/>
                <w:szCs w:val="22"/>
                <w:lang w:eastAsia="it-IT"/>
              </w:rPr>
              <w:t>Status as</w:t>
            </w:r>
            <w:r w:rsidRPr="00C81D54">
              <w:rPr>
                <w:rFonts w:asciiTheme="majorHAnsi" w:hAnsiTheme="majorHAnsi"/>
                <w:b/>
                <w:bCs/>
                <w:spacing w:val="-1"/>
                <w:sz w:val="22"/>
                <w:szCs w:val="22"/>
                <w:lang w:eastAsia="it-IT"/>
              </w:rPr>
              <w:br/>
              <w:t>reported by ITU Management</w:t>
            </w:r>
          </w:p>
        </w:tc>
      </w:tr>
      <w:tr w:rsidR="00B33398" w:rsidRPr="00C81D54" w:rsidTr="002E69D7">
        <w:trPr>
          <w:cantSplit/>
          <w:trHeight w:val="1228"/>
        </w:trPr>
        <w:tc>
          <w:tcPr>
            <w:tcW w:w="535" w:type="pct"/>
            <w:tcBorders>
              <w:top w:val="single" w:sz="4" w:space="0" w:color="auto"/>
              <w:left w:val="single" w:sz="4" w:space="0" w:color="auto"/>
              <w:bottom w:val="single" w:sz="4" w:space="0" w:color="auto"/>
              <w:right w:val="single" w:sz="4" w:space="0" w:color="auto"/>
            </w:tcBorders>
          </w:tcPr>
          <w:p w:rsidR="00B33398" w:rsidRDefault="00B33398" w:rsidP="00FA6CD8">
            <w:pPr>
              <w:widowControl w:val="0"/>
              <w:kinsoku w:val="0"/>
              <w:adjustRightInd/>
              <w:jc w:val="center"/>
              <w:rPr>
                <w:rFonts w:asciiTheme="majorHAnsi" w:hAnsiTheme="majorHAnsi"/>
                <w:b/>
                <w:bCs/>
                <w:sz w:val="20"/>
                <w:lang w:eastAsia="it-IT"/>
              </w:rPr>
            </w:pPr>
            <w:r>
              <w:rPr>
                <w:rFonts w:asciiTheme="majorHAnsi" w:hAnsiTheme="majorHAnsi"/>
                <w:b/>
                <w:bCs/>
                <w:sz w:val="20"/>
                <w:lang w:eastAsia="it-IT"/>
              </w:rPr>
              <w:t>Rec 1/2016</w:t>
            </w:r>
          </w:p>
        </w:tc>
        <w:tc>
          <w:tcPr>
            <w:tcW w:w="1356" w:type="pct"/>
            <w:tcBorders>
              <w:top w:val="single" w:sz="4" w:space="0" w:color="auto"/>
              <w:left w:val="single" w:sz="4" w:space="0" w:color="auto"/>
              <w:bottom w:val="single" w:sz="4" w:space="0" w:color="auto"/>
              <w:right w:val="single" w:sz="4" w:space="0" w:color="auto"/>
            </w:tcBorders>
          </w:tcPr>
          <w:p w:rsidR="00B33398" w:rsidRPr="00EE7172" w:rsidRDefault="00B33398" w:rsidP="00EE7172">
            <w:pPr>
              <w:widowControl w:val="0"/>
              <w:kinsoku w:val="0"/>
              <w:spacing w:after="120"/>
              <w:ind w:left="170" w:right="57"/>
              <w:rPr>
                <w:rFonts w:ascii="Calibri Light" w:hAnsi="Calibri Light"/>
                <w:sz w:val="20"/>
                <w:lang w:eastAsia="it-IT"/>
              </w:rPr>
            </w:pPr>
            <w:r w:rsidRPr="00EE7172">
              <w:rPr>
                <w:rFonts w:ascii="Calibri Light" w:hAnsi="Calibri Light"/>
                <w:sz w:val="20"/>
                <w:lang w:eastAsia="it-IT"/>
              </w:rPr>
              <w:t xml:space="preserve">Since a clear and reliable comparison between revenue and expenses for each product is always needed, in budgeted and actual figures, we recommend </w:t>
            </w:r>
            <w:proofErr w:type="gramStart"/>
            <w:r w:rsidRPr="00EE7172">
              <w:rPr>
                <w:rFonts w:ascii="Calibri Light" w:hAnsi="Calibri Light"/>
                <w:sz w:val="20"/>
                <w:lang w:eastAsia="it-IT"/>
              </w:rPr>
              <w:t>to consider</w:t>
            </w:r>
            <w:proofErr w:type="gramEnd"/>
            <w:r w:rsidRPr="00EE7172">
              <w:rPr>
                <w:rFonts w:ascii="Calibri Light" w:hAnsi="Calibri Light"/>
                <w:sz w:val="20"/>
                <w:lang w:eastAsia="it-IT"/>
              </w:rPr>
              <w:t xml:space="preserve"> in future budgeting exercise to indicate as object of expense “meeting room rental/installation charges” in case of uncertainly as to whether there will be construction/set-up or business centre rental.</w:t>
            </w:r>
          </w:p>
        </w:tc>
        <w:tc>
          <w:tcPr>
            <w:tcW w:w="1463" w:type="pct"/>
            <w:tcBorders>
              <w:top w:val="single" w:sz="4" w:space="0" w:color="auto"/>
              <w:left w:val="single" w:sz="4" w:space="0" w:color="auto"/>
              <w:bottom w:val="single" w:sz="4" w:space="0" w:color="auto"/>
              <w:right w:val="single" w:sz="4" w:space="0" w:color="auto"/>
            </w:tcBorders>
          </w:tcPr>
          <w:p w:rsidR="00B33398" w:rsidRPr="00EE7172" w:rsidRDefault="00B33398" w:rsidP="00EE7172">
            <w:pPr>
              <w:widowControl w:val="0"/>
              <w:kinsoku w:val="0"/>
              <w:ind w:left="170" w:right="57"/>
              <w:rPr>
                <w:rFonts w:ascii="Calibri Light" w:hAnsi="Calibri Light"/>
                <w:sz w:val="20"/>
                <w:lang w:eastAsia="it-IT"/>
              </w:rPr>
            </w:pPr>
            <w:r w:rsidRPr="00EE7172">
              <w:rPr>
                <w:rFonts w:ascii="Calibri Light" w:hAnsi="Calibri Light"/>
                <w:sz w:val="20"/>
                <w:lang w:val="en-US" w:eastAsia="it-IT"/>
              </w:rPr>
              <w:t xml:space="preserve">For ITU Telecom World 2017, since there is no business </w:t>
            </w:r>
            <w:proofErr w:type="spellStart"/>
            <w:r w:rsidRPr="00EE7172">
              <w:rPr>
                <w:rFonts w:ascii="Calibri Light" w:hAnsi="Calibri Light"/>
                <w:sz w:val="20"/>
                <w:lang w:val="en-US" w:eastAsia="it-IT"/>
              </w:rPr>
              <w:t>centre</w:t>
            </w:r>
            <w:proofErr w:type="spellEnd"/>
            <w:r w:rsidRPr="00EE7172">
              <w:rPr>
                <w:rFonts w:ascii="Calibri Light" w:hAnsi="Calibri Light"/>
                <w:sz w:val="20"/>
                <w:lang w:val="en-US" w:eastAsia="it-IT"/>
              </w:rPr>
              <w:t xml:space="preserve"> to be rented at the venue, the budget line item indicates “Meeting room construction/set-up”.   Nevertheless, for future events when there is a possibility to either rent a business </w:t>
            </w:r>
            <w:proofErr w:type="spellStart"/>
            <w:r w:rsidRPr="00EE7172">
              <w:rPr>
                <w:rFonts w:ascii="Calibri Light" w:hAnsi="Calibri Light"/>
                <w:sz w:val="20"/>
                <w:lang w:val="en-US" w:eastAsia="it-IT"/>
              </w:rPr>
              <w:t>centre</w:t>
            </w:r>
            <w:proofErr w:type="spellEnd"/>
            <w:r w:rsidRPr="00EE7172">
              <w:rPr>
                <w:rFonts w:ascii="Calibri Light" w:hAnsi="Calibri Light"/>
                <w:sz w:val="20"/>
                <w:lang w:val="en-US" w:eastAsia="it-IT"/>
              </w:rPr>
              <w:t xml:space="preserve"> or construct/set-up a meeting room, “meeting room rental/installation charges” </w:t>
            </w:r>
            <w:proofErr w:type="gramStart"/>
            <w:r w:rsidRPr="00EE7172">
              <w:rPr>
                <w:rFonts w:ascii="Calibri Light" w:hAnsi="Calibri Light"/>
                <w:sz w:val="20"/>
                <w:lang w:val="en-US" w:eastAsia="it-IT"/>
              </w:rPr>
              <w:t>will be used</w:t>
            </w:r>
            <w:proofErr w:type="gramEnd"/>
            <w:r w:rsidRPr="00EE7172">
              <w:rPr>
                <w:rFonts w:ascii="Calibri Light" w:hAnsi="Calibri Light"/>
                <w:sz w:val="20"/>
                <w:lang w:val="en-US" w:eastAsia="it-IT"/>
              </w:rPr>
              <w:t xml:space="preserve"> as object of expense.</w:t>
            </w:r>
          </w:p>
        </w:tc>
        <w:tc>
          <w:tcPr>
            <w:tcW w:w="1646" w:type="pct"/>
            <w:tcBorders>
              <w:top w:val="single" w:sz="4" w:space="0" w:color="auto"/>
              <w:left w:val="single" w:sz="4" w:space="0" w:color="auto"/>
              <w:bottom w:val="single" w:sz="4" w:space="0" w:color="auto"/>
              <w:right w:val="single" w:sz="4" w:space="0" w:color="auto"/>
            </w:tcBorders>
          </w:tcPr>
          <w:p w:rsidR="00D031E5" w:rsidRPr="00EE7172" w:rsidRDefault="00B33398" w:rsidP="00EE7172">
            <w:pPr>
              <w:ind w:left="170" w:right="57"/>
              <w:rPr>
                <w:rFonts w:ascii="Calibri Light" w:hAnsi="Calibri Light"/>
                <w:sz w:val="20"/>
                <w:lang w:eastAsia="it-IT"/>
              </w:rPr>
            </w:pPr>
            <w:r w:rsidRPr="00EE7172">
              <w:rPr>
                <w:rFonts w:ascii="Calibri Light" w:hAnsi="Calibri Light"/>
                <w:b/>
                <w:bCs/>
                <w:sz w:val="20"/>
                <w:lang w:eastAsia="it-IT"/>
              </w:rPr>
              <w:t>Update as of December 2017:</w:t>
            </w:r>
            <w:r w:rsidR="008F41B8" w:rsidRPr="00EE7172">
              <w:rPr>
                <w:rFonts w:ascii="Calibri Light" w:hAnsi="Calibri Light"/>
                <w:b/>
                <w:bCs/>
                <w:sz w:val="20"/>
                <w:lang w:eastAsia="it-IT"/>
              </w:rPr>
              <w:t xml:space="preserve"> </w:t>
            </w:r>
            <w:r w:rsidR="005A7AC6" w:rsidRPr="00EE7172">
              <w:rPr>
                <w:rFonts w:ascii="Calibri Light" w:hAnsi="Calibri Light"/>
                <w:b/>
                <w:bCs/>
                <w:sz w:val="20"/>
                <w:lang w:eastAsia="it-IT"/>
              </w:rPr>
              <w:t xml:space="preserve"> </w:t>
            </w:r>
            <w:r w:rsidR="00D031E5" w:rsidRPr="00EE7172">
              <w:rPr>
                <w:rFonts w:ascii="Calibri Light" w:hAnsi="Calibri Light"/>
                <w:sz w:val="20"/>
                <w:lang w:val="en-US" w:eastAsia="it-IT"/>
              </w:rPr>
              <w:t xml:space="preserve">As in ITU Telecom World 2017, the recommended object of expense will continue to </w:t>
            </w:r>
            <w:proofErr w:type="gramStart"/>
            <w:r w:rsidR="00D031E5" w:rsidRPr="00EE7172">
              <w:rPr>
                <w:rFonts w:ascii="Calibri Light" w:hAnsi="Calibri Light"/>
                <w:sz w:val="20"/>
                <w:lang w:val="en-US" w:eastAsia="it-IT"/>
              </w:rPr>
              <w:t>be used</w:t>
            </w:r>
            <w:proofErr w:type="gramEnd"/>
            <w:r w:rsidR="00D031E5" w:rsidRPr="00EE7172">
              <w:rPr>
                <w:rFonts w:ascii="Calibri Light" w:hAnsi="Calibri Light"/>
                <w:sz w:val="20"/>
                <w:lang w:val="en-US" w:eastAsia="it-IT"/>
              </w:rPr>
              <w:t xml:space="preserve"> for all ITU Telecom future </w:t>
            </w:r>
            <w:bookmarkStart w:id="4" w:name="_GoBack"/>
            <w:bookmarkEnd w:id="4"/>
            <w:r w:rsidR="00D031E5" w:rsidRPr="00EE7172">
              <w:rPr>
                <w:rFonts w:ascii="Calibri Light" w:hAnsi="Calibri Light"/>
                <w:sz w:val="20"/>
                <w:lang w:val="en-US" w:eastAsia="it-IT"/>
              </w:rPr>
              <w:t>event budgets</w:t>
            </w:r>
            <w:r w:rsidR="005A7AC6" w:rsidRPr="00EE7172">
              <w:rPr>
                <w:rFonts w:ascii="Calibri Light" w:hAnsi="Calibri Light"/>
                <w:sz w:val="20"/>
                <w:lang w:val="en-US" w:eastAsia="it-IT"/>
              </w:rPr>
              <w:t>.</w:t>
            </w:r>
          </w:p>
        </w:tc>
      </w:tr>
    </w:tbl>
    <w:p w:rsidR="005E4D98" w:rsidRPr="00C81D54" w:rsidRDefault="005E4D98" w:rsidP="00ED05A3">
      <w:pPr>
        <w:snapToGrid w:val="0"/>
        <w:spacing w:before="840"/>
        <w:jc w:val="center"/>
        <w:rPr>
          <w:rFonts w:asciiTheme="majorHAnsi" w:hAnsiTheme="majorHAnsi"/>
          <w:u w:val="single"/>
          <w:lang w:val="it-IT"/>
        </w:rPr>
      </w:pPr>
      <w:r>
        <w:rPr>
          <w:rFonts w:asciiTheme="majorHAnsi" w:hAnsiTheme="majorHAnsi"/>
          <w:u w:val="single"/>
          <w:lang w:val="it-IT"/>
        </w:rPr>
        <w:t>_____________</w:t>
      </w:r>
    </w:p>
    <w:sectPr w:rsidR="005E4D98" w:rsidRPr="00C81D54" w:rsidSect="001652AD">
      <w:headerReference w:type="first" r:id="rId10"/>
      <w:pgSz w:w="16834" w:h="11907" w:orient="landscape" w:code="9"/>
      <w:pgMar w:top="1134" w:right="1418" w:bottom="1134" w:left="1134" w:header="567" w:footer="567" w:gutter="0"/>
      <w:paperSrc w:first="1271" w:other="127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7DE" w:rsidRDefault="00A637DE">
      <w:pPr>
        <w:spacing w:before="0"/>
      </w:pPr>
      <w:r>
        <w:separator/>
      </w:r>
    </w:p>
  </w:endnote>
  <w:endnote w:type="continuationSeparator" w:id="0">
    <w:p w:rsidR="00A637DE" w:rsidRDefault="00A637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7DE" w:rsidRDefault="00A637DE">
      <w:r>
        <w:t>____________________</w:t>
      </w:r>
    </w:p>
    <w:p w:rsidR="00A637DE" w:rsidRDefault="00A637DE"/>
  </w:footnote>
  <w:footnote w:type="continuationSeparator" w:id="0">
    <w:p w:rsidR="00A637DE" w:rsidRDefault="00A637D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32" w:rsidRPr="000851BF" w:rsidRDefault="001A397F">
    <w:pPr>
      <w:pStyle w:val="Header"/>
      <w:rPr>
        <w:rFonts w:asciiTheme="majorHAnsi" w:hAnsiTheme="majorHAnsi"/>
        <w:szCs w:val="22"/>
      </w:rPr>
    </w:pPr>
    <w:r w:rsidRPr="000851BF">
      <w:rPr>
        <w:rFonts w:asciiTheme="majorHAnsi" w:hAnsiTheme="majorHAnsi"/>
        <w:szCs w:val="22"/>
      </w:rPr>
      <w:t xml:space="preserve">- </w:t>
    </w:r>
    <w:r w:rsidRPr="000851BF">
      <w:rPr>
        <w:rFonts w:asciiTheme="majorHAnsi" w:hAnsiTheme="majorHAnsi"/>
        <w:szCs w:val="22"/>
      </w:rPr>
      <w:fldChar w:fldCharType="begin"/>
    </w:r>
    <w:r w:rsidRPr="000851BF">
      <w:rPr>
        <w:rFonts w:asciiTheme="majorHAnsi" w:hAnsiTheme="majorHAnsi"/>
        <w:szCs w:val="22"/>
      </w:rPr>
      <w:instrText>PAGE</w:instrText>
    </w:r>
    <w:r w:rsidRPr="000851BF">
      <w:rPr>
        <w:rFonts w:asciiTheme="majorHAnsi" w:hAnsiTheme="majorHAnsi"/>
        <w:szCs w:val="22"/>
      </w:rPr>
      <w:fldChar w:fldCharType="separate"/>
    </w:r>
    <w:r w:rsidR="00EE7172">
      <w:rPr>
        <w:rFonts w:asciiTheme="majorHAnsi" w:hAnsiTheme="majorHAnsi"/>
        <w:noProof/>
        <w:szCs w:val="22"/>
      </w:rPr>
      <w:t>16</w:t>
    </w:r>
    <w:r w:rsidRPr="000851BF">
      <w:rPr>
        <w:rFonts w:asciiTheme="majorHAnsi" w:hAnsiTheme="majorHAnsi"/>
        <w:szCs w:val="22"/>
      </w:rPr>
      <w:fldChar w:fldCharType="end"/>
    </w:r>
    <w:r w:rsidRPr="000851BF">
      <w:rPr>
        <w:rFonts w:asciiTheme="majorHAnsi" w:hAnsiTheme="majorHAnsi"/>
        <w:szCs w:val="22"/>
      </w:rPr>
      <w:t xml:space="preserve"> -</w:t>
    </w:r>
  </w:p>
  <w:p w:rsidR="00D62F32" w:rsidRPr="000851BF" w:rsidRDefault="00D62F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1709826977"/>
      <w:docPartObj>
        <w:docPartGallery w:val="Page Numbers (Top of Page)"/>
        <w:docPartUnique/>
      </w:docPartObj>
    </w:sdtPr>
    <w:sdtEndPr>
      <w:rPr>
        <w:noProof/>
      </w:rPr>
    </w:sdtEndPr>
    <w:sdtContent>
      <w:p w:rsidR="009631BC" w:rsidRPr="009631BC" w:rsidRDefault="009631BC">
        <w:pPr>
          <w:pStyle w:val="Header"/>
          <w:rPr>
            <w:rFonts w:ascii="Calibri" w:hAnsi="Calibri"/>
          </w:rPr>
        </w:pPr>
        <w:r w:rsidRPr="009631BC">
          <w:rPr>
            <w:rFonts w:ascii="Calibri" w:hAnsi="Calibri"/>
          </w:rPr>
          <w:t>- </w:t>
        </w:r>
        <w:r w:rsidRPr="009631BC">
          <w:rPr>
            <w:rFonts w:ascii="Calibri" w:hAnsi="Calibri"/>
          </w:rPr>
          <w:fldChar w:fldCharType="begin"/>
        </w:r>
        <w:r w:rsidRPr="009631BC">
          <w:rPr>
            <w:rFonts w:ascii="Calibri" w:hAnsi="Calibri"/>
          </w:rPr>
          <w:instrText xml:space="preserve"> PAGE   \* MERGEFORMAT </w:instrText>
        </w:r>
        <w:r w:rsidRPr="009631BC">
          <w:rPr>
            <w:rFonts w:ascii="Calibri" w:hAnsi="Calibri"/>
          </w:rPr>
          <w:fldChar w:fldCharType="separate"/>
        </w:r>
        <w:r w:rsidR="00EE7172">
          <w:rPr>
            <w:rFonts w:ascii="Calibri" w:hAnsi="Calibri"/>
            <w:noProof/>
          </w:rPr>
          <w:t>2</w:t>
        </w:r>
        <w:r w:rsidRPr="009631BC">
          <w:rPr>
            <w:rFonts w:ascii="Calibri" w:hAnsi="Calibri"/>
            <w:noProof/>
          </w:rPr>
          <w:fldChar w:fldCharType="end"/>
        </w:r>
        <w:r w:rsidRPr="009631BC">
          <w:rPr>
            <w:rFonts w:ascii="Calibri" w:hAnsi="Calibri"/>
            <w:noProof/>
          </w:rPr>
          <w:t> -</w:t>
        </w:r>
      </w:p>
    </w:sdtContent>
  </w:sdt>
  <w:p w:rsidR="009631BC" w:rsidRDefault="00963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pStyle w:val="recesugg"/>
      <w:lvlText w:val=""/>
      <w:lvlJc w:val="left"/>
      <w:pPr>
        <w:tabs>
          <w:tab w:val="num" w:pos="360"/>
        </w:tabs>
        <w:ind w:left="360" w:hanging="360"/>
      </w:pPr>
      <w:rPr>
        <w:rFonts w:ascii="Symbol" w:hAnsi="Symbol" w:hint="default"/>
      </w:rPr>
    </w:lvl>
  </w:abstractNum>
  <w:abstractNum w:abstractNumId="1" w15:restartNumberingAfterBreak="0">
    <w:nsid w:val="00AB57CD"/>
    <w:multiLevelType w:val="hybridMultilevel"/>
    <w:tmpl w:val="2C3EACCA"/>
    <w:lvl w:ilvl="0" w:tplc="6450E93E">
      <w:start w:val="1"/>
      <w:numFmt w:val="decimal"/>
      <w:pStyle w:val="testobase"/>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2E441A2D"/>
    <w:multiLevelType w:val="multilevel"/>
    <w:tmpl w:val="DE342A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3CE3D2D"/>
    <w:multiLevelType w:val="hybridMultilevel"/>
    <w:tmpl w:val="19F06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3E3DC9"/>
    <w:multiLevelType w:val="hybridMultilevel"/>
    <w:tmpl w:val="D04C7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F6"/>
    <w:rsid w:val="000048B6"/>
    <w:rsid w:val="00020075"/>
    <w:rsid w:val="00056C3E"/>
    <w:rsid w:val="0006360F"/>
    <w:rsid w:val="00073515"/>
    <w:rsid w:val="000851BF"/>
    <w:rsid w:val="000B663B"/>
    <w:rsid w:val="000C47E2"/>
    <w:rsid w:val="000E0EE3"/>
    <w:rsid w:val="000E717A"/>
    <w:rsid w:val="000F4B41"/>
    <w:rsid w:val="0010369C"/>
    <w:rsid w:val="001067A8"/>
    <w:rsid w:val="00111A58"/>
    <w:rsid w:val="00113C15"/>
    <w:rsid w:val="00150FA8"/>
    <w:rsid w:val="001652AD"/>
    <w:rsid w:val="001654F0"/>
    <w:rsid w:val="00167629"/>
    <w:rsid w:val="0018162C"/>
    <w:rsid w:val="00190CAA"/>
    <w:rsid w:val="001A08BA"/>
    <w:rsid w:val="001A358B"/>
    <w:rsid w:val="001A397F"/>
    <w:rsid w:val="001C2244"/>
    <w:rsid w:val="001C2F4B"/>
    <w:rsid w:val="001E089D"/>
    <w:rsid w:val="001E6D6F"/>
    <w:rsid w:val="001F6513"/>
    <w:rsid w:val="00213115"/>
    <w:rsid w:val="002316B9"/>
    <w:rsid w:val="002348FB"/>
    <w:rsid w:val="00235BD3"/>
    <w:rsid w:val="00272FAE"/>
    <w:rsid w:val="00280D48"/>
    <w:rsid w:val="002825FC"/>
    <w:rsid w:val="002A057A"/>
    <w:rsid w:val="002A4556"/>
    <w:rsid w:val="002D52BE"/>
    <w:rsid w:val="002E2CEC"/>
    <w:rsid w:val="002E69D7"/>
    <w:rsid w:val="002F45AA"/>
    <w:rsid w:val="00345F30"/>
    <w:rsid w:val="003707EC"/>
    <w:rsid w:val="003A518B"/>
    <w:rsid w:val="003B63BB"/>
    <w:rsid w:val="003C0491"/>
    <w:rsid w:val="003C289E"/>
    <w:rsid w:val="003D21AD"/>
    <w:rsid w:val="003E5F22"/>
    <w:rsid w:val="0042757B"/>
    <w:rsid w:val="00430955"/>
    <w:rsid w:val="004319DE"/>
    <w:rsid w:val="00432EF9"/>
    <w:rsid w:val="00461033"/>
    <w:rsid w:val="004626D5"/>
    <w:rsid w:val="00466B79"/>
    <w:rsid w:val="00475368"/>
    <w:rsid w:val="0048054A"/>
    <w:rsid w:val="0049374A"/>
    <w:rsid w:val="00493C1F"/>
    <w:rsid w:val="004B5FC8"/>
    <w:rsid w:val="004C0B9C"/>
    <w:rsid w:val="004C1EBC"/>
    <w:rsid w:val="004D148E"/>
    <w:rsid w:val="004E5F0E"/>
    <w:rsid w:val="004F5C87"/>
    <w:rsid w:val="00500CEA"/>
    <w:rsid w:val="00562AE5"/>
    <w:rsid w:val="0058154F"/>
    <w:rsid w:val="00582059"/>
    <w:rsid w:val="005821B7"/>
    <w:rsid w:val="00591DF7"/>
    <w:rsid w:val="005A7AC6"/>
    <w:rsid w:val="005C3834"/>
    <w:rsid w:val="005C4493"/>
    <w:rsid w:val="005D3018"/>
    <w:rsid w:val="005D37B3"/>
    <w:rsid w:val="005D7FEB"/>
    <w:rsid w:val="005E2E49"/>
    <w:rsid w:val="005E4D98"/>
    <w:rsid w:val="00607B1E"/>
    <w:rsid w:val="0061192A"/>
    <w:rsid w:val="00622832"/>
    <w:rsid w:val="006259B3"/>
    <w:rsid w:val="00632810"/>
    <w:rsid w:val="00640C75"/>
    <w:rsid w:val="0065217F"/>
    <w:rsid w:val="006558FE"/>
    <w:rsid w:val="006833F6"/>
    <w:rsid w:val="00693F46"/>
    <w:rsid w:val="006A4705"/>
    <w:rsid w:val="006A737D"/>
    <w:rsid w:val="006B62E6"/>
    <w:rsid w:val="006C73F6"/>
    <w:rsid w:val="006D6F41"/>
    <w:rsid w:val="006E2CAD"/>
    <w:rsid w:val="006E4D4E"/>
    <w:rsid w:val="006E638A"/>
    <w:rsid w:val="006E7724"/>
    <w:rsid w:val="006F74C5"/>
    <w:rsid w:val="00710493"/>
    <w:rsid w:val="0072242B"/>
    <w:rsid w:val="00725E40"/>
    <w:rsid w:val="00751795"/>
    <w:rsid w:val="00751B2B"/>
    <w:rsid w:val="00784434"/>
    <w:rsid w:val="00794883"/>
    <w:rsid w:val="007C57CB"/>
    <w:rsid w:val="007D576F"/>
    <w:rsid w:val="007D77D3"/>
    <w:rsid w:val="007E4D7C"/>
    <w:rsid w:val="007F6185"/>
    <w:rsid w:val="008107F5"/>
    <w:rsid w:val="00824EB0"/>
    <w:rsid w:val="0083666D"/>
    <w:rsid w:val="00851C12"/>
    <w:rsid w:val="00853EDC"/>
    <w:rsid w:val="00854268"/>
    <w:rsid w:val="0086550F"/>
    <w:rsid w:val="00871229"/>
    <w:rsid w:val="00895BCC"/>
    <w:rsid w:val="008B4A73"/>
    <w:rsid w:val="008C25DC"/>
    <w:rsid w:val="008C3792"/>
    <w:rsid w:val="008D0638"/>
    <w:rsid w:val="008F22E5"/>
    <w:rsid w:val="008F41B8"/>
    <w:rsid w:val="008F50C0"/>
    <w:rsid w:val="00907F57"/>
    <w:rsid w:val="00920D03"/>
    <w:rsid w:val="00922794"/>
    <w:rsid w:val="0093428B"/>
    <w:rsid w:val="009605F6"/>
    <w:rsid w:val="009631BC"/>
    <w:rsid w:val="009658AA"/>
    <w:rsid w:val="0099697C"/>
    <w:rsid w:val="009A323F"/>
    <w:rsid w:val="009B133B"/>
    <w:rsid w:val="009C0923"/>
    <w:rsid w:val="009D4B5F"/>
    <w:rsid w:val="009D5913"/>
    <w:rsid w:val="009E5445"/>
    <w:rsid w:val="009F2572"/>
    <w:rsid w:val="009F2A0B"/>
    <w:rsid w:val="009F3E07"/>
    <w:rsid w:val="009F4131"/>
    <w:rsid w:val="00A04138"/>
    <w:rsid w:val="00A10205"/>
    <w:rsid w:val="00A2653E"/>
    <w:rsid w:val="00A4069D"/>
    <w:rsid w:val="00A408C6"/>
    <w:rsid w:val="00A632F1"/>
    <w:rsid w:val="00A637DE"/>
    <w:rsid w:val="00A8251C"/>
    <w:rsid w:val="00AB1DD8"/>
    <w:rsid w:val="00AD799E"/>
    <w:rsid w:val="00AE0C3C"/>
    <w:rsid w:val="00AE1897"/>
    <w:rsid w:val="00AE6CCF"/>
    <w:rsid w:val="00B33398"/>
    <w:rsid w:val="00B613E4"/>
    <w:rsid w:val="00B6465C"/>
    <w:rsid w:val="00B97A9B"/>
    <w:rsid w:val="00BB16DF"/>
    <w:rsid w:val="00BB7C89"/>
    <w:rsid w:val="00BC4D5C"/>
    <w:rsid w:val="00BD2221"/>
    <w:rsid w:val="00C01852"/>
    <w:rsid w:val="00C13A66"/>
    <w:rsid w:val="00C27F5B"/>
    <w:rsid w:val="00C571DA"/>
    <w:rsid w:val="00C72835"/>
    <w:rsid w:val="00C77EF6"/>
    <w:rsid w:val="00C809B4"/>
    <w:rsid w:val="00C80D1B"/>
    <w:rsid w:val="00C81D54"/>
    <w:rsid w:val="00CB0C4B"/>
    <w:rsid w:val="00CB3F3A"/>
    <w:rsid w:val="00CC106C"/>
    <w:rsid w:val="00CC797C"/>
    <w:rsid w:val="00CF69AA"/>
    <w:rsid w:val="00D031E5"/>
    <w:rsid w:val="00D10EB6"/>
    <w:rsid w:val="00D270FA"/>
    <w:rsid w:val="00D34E1F"/>
    <w:rsid w:val="00D6054C"/>
    <w:rsid w:val="00D62267"/>
    <w:rsid w:val="00D62B1D"/>
    <w:rsid w:val="00D62F32"/>
    <w:rsid w:val="00D95C37"/>
    <w:rsid w:val="00DA4CCA"/>
    <w:rsid w:val="00DA5E22"/>
    <w:rsid w:val="00DB6A0C"/>
    <w:rsid w:val="00DD3190"/>
    <w:rsid w:val="00DD42E2"/>
    <w:rsid w:val="00DD52D7"/>
    <w:rsid w:val="00DE0FB0"/>
    <w:rsid w:val="00DE49A0"/>
    <w:rsid w:val="00DF12AB"/>
    <w:rsid w:val="00E1366C"/>
    <w:rsid w:val="00E209EB"/>
    <w:rsid w:val="00E244C1"/>
    <w:rsid w:val="00E31F3E"/>
    <w:rsid w:val="00E3611F"/>
    <w:rsid w:val="00E458D0"/>
    <w:rsid w:val="00E54AED"/>
    <w:rsid w:val="00E80D86"/>
    <w:rsid w:val="00E93E3A"/>
    <w:rsid w:val="00ED05A3"/>
    <w:rsid w:val="00ED223D"/>
    <w:rsid w:val="00EE1696"/>
    <w:rsid w:val="00EE7172"/>
    <w:rsid w:val="00EF1A08"/>
    <w:rsid w:val="00EF33A8"/>
    <w:rsid w:val="00EF4E88"/>
    <w:rsid w:val="00F02683"/>
    <w:rsid w:val="00F23916"/>
    <w:rsid w:val="00F56E7F"/>
    <w:rsid w:val="00F67992"/>
    <w:rsid w:val="00F738FB"/>
    <w:rsid w:val="00F80374"/>
    <w:rsid w:val="00FA2B65"/>
    <w:rsid w:val="00FA6CD8"/>
    <w:rsid w:val="00FC26F1"/>
    <w:rsid w:val="00FD0704"/>
    <w:rsid w:val="00FE51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7D413D-9B5A-4554-B3CB-4026908E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ind w:left="0" w:firstLine="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pPr>
      <w:spacing w:before="80"/>
    </w:pPr>
  </w:style>
  <w:style w:type="paragraph" w:styleId="TOC3">
    <w:name w:val="toc 3"/>
    <w:basedOn w:val="TOC2"/>
    <w:semiHidden/>
  </w:style>
  <w:style w:type="paragraph" w:styleId="TOC2">
    <w:name w:val="toc 2"/>
    <w:basedOn w:val="TOC1"/>
    <w:semiHidden/>
    <w:pPr>
      <w:spacing w:before="160"/>
    </w:pPr>
  </w:style>
  <w:style w:type="paragraph" w:styleId="TOC1">
    <w:name w:val="toc 1"/>
    <w:basedOn w:val="Normal"/>
    <w:semiHidden/>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left" w:pos="5954"/>
        <w:tab w:val="right" w:pos="9639"/>
      </w:tabs>
      <w:spacing w:before="0"/>
    </w:pPr>
    <w:rPr>
      <w:caps/>
      <w:noProof/>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style>
  <w:style w:type="paragraph" w:styleId="NormalIndent">
    <w:name w:val="Normal Indent"/>
    <w:basedOn w:val="Normal"/>
    <w:semiHidden/>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semiHidden/>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Print-FromToSubjectDate">
    <w:name w:val="Print- From: To: Subject: Date:"/>
    <w:basedOn w:val="Normal"/>
    <w:pPr>
      <w:pBdr>
        <w:left w:val="single" w:sz="18" w:space="1" w:color="auto"/>
      </w:pBdr>
      <w:tabs>
        <w:tab w:val="clear" w:pos="794"/>
        <w:tab w:val="clear" w:pos="1191"/>
        <w:tab w:val="clear" w:pos="1588"/>
        <w:tab w:val="clear" w:pos="1985"/>
      </w:tabs>
      <w:spacing w:before="0"/>
    </w:pPr>
    <w:rPr>
      <w:rFonts w:ascii="Arial" w:hAnsi="Arial"/>
      <w:sz w:val="20"/>
      <w:lang w:val="en-US"/>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character" w:styleId="Hyperlink">
    <w:name w:val="Hyperlink"/>
    <w:basedOn w:val="DefaultParagraphFont"/>
    <w:semiHidden/>
    <w:rPr>
      <w:color w:val="0000FF"/>
      <w:u w:val="single"/>
    </w:rPr>
  </w:style>
  <w:style w:type="paragraph" w:customStyle="1" w:styleId="FirstFooter">
    <w:name w:val="FirstFooter"/>
    <w:basedOn w:val="Footer"/>
    <w:pPr>
      <w:tabs>
        <w:tab w:val="left" w:pos="567"/>
        <w:tab w:val="left" w:pos="1134"/>
        <w:tab w:val="left" w:pos="1701"/>
        <w:tab w:val="left" w:pos="2268"/>
        <w:tab w:val="left" w:pos="2835"/>
        <w:tab w:val="left" w:pos="6237"/>
      </w:tabs>
    </w:p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emiHidden/>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semiHidden/>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emiHidden/>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Annex">
    <w:name w:val="Annex_#"/>
    <w:basedOn w:val="Normal"/>
    <w:next w:val="AnnexRef0"/>
    <w:rsid w:val="00824EB0"/>
    <w:pPr>
      <w:keepNext/>
      <w:keepLines/>
      <w:spacing w:before="480" w:after="80"/>
      <w:jc w:val="center"/>
    </w:pPr>
    <w:rPr>
      <w:caps/>
      <w:sz w:val="28"/>
      <w:szCs w:val="28"/>
      <w:lang w:eastAsia="zh-CN"/>
    </w:rPr>
  </w:style>
  <w:style w:type="paragraph" w:customStyle="1" w:styleId="AnnexRef0">
    <w:name w:val="Annex_Ref"/>
    <w:basedOn w:val="Normal"/>
    <w:next w:val="AnnexTitle0"/>
    <w:rsid w:val="00824EB0"/>
    <w:pPr>
      <w:keepNext/>
      <w:keepLines/>
      <w:jc w:val="center"/>
    </w:pPr>
    <w:rPr>
      <w:szCs w:val="24"/>
      <w:lang w:eastAsia="zh-CN"/>
    </w:rPr>
  </w:style>
  <w:style w:type="paragraph" w:customStyle="1" w:styleId="AnnexTitle0">
    <w:name w:val="Annex_Title"/>
    <w:basedOn w:val="Normal"/>
    <w:next w:val="Normalaftertitle"/>
    <w:rsid w:val="00824EB0"/>
    <w:pPr>
      <w:keepNext/>
      <w:keepLines/>
      <w:spacing w:before="240" w:after="280"/>
      <w:jc w:val="center"/>
    </w:pPr>
    <w:rPr>
      <w:b/>
      <w:bCs/>
      <w:sz w:val="28"/>
      <w:szCs w:val="28"/>
      <w:lang w:eastAsia="zh-CN"/>
    </w:rPr>
  </w:style>
  <w:style w:type="paragraph" w:customStyle="1" w:styleId="RecTitle0">
    <w:name w:val="Rec_Title"/>
    <w:basedOn w:val="Normal"/>
    <w:next w:val="Heading1"/>
    <w:rsid w:val="00824EB0"/>
    <w:pPr>
      <w:keepNext/>
      <w:keepLines/>
      <w:spacing w:before="240"/>
      <w:jc w:val="center"/>
    </w:pPr>
    <w:rPr>
      <w:b/>
      <w:bCs/>
      <w:caps/>
      <w:sz w:val="28"/>
      <w:szCs w:val="28"/>
      <w:lang w:eastAsia="zh-CN"/>
    </w:rPr>
  </w:style>
  <w:style w:type="paragraph" w:customStyle="1" w:styleId="call0">
    <w:name w:val="call"/>
    <w:basedOn w:val="Normal"/>
    <w:next w:val="Normal"/>
    <w:rsid w:val="00824EB0"/>
    <w:pPr>
      <w:keepNext/>
      <w:keepLines/>
      <w:spacing w:before="160"/>
      <w:ind w:left="794"/>
    </w:pPr>
    <w:rPr>
      <w:i/>
      <w:iCs/>
      <w:szCs w:val="24"/>
      <w:lang w:eastAsia="zh-CN"/>
    </w:rPr>
  </w:style>
  <w:style w:type="paragraph" w:customStyle="1" w:styleId="Rec">
    <w:name w:val="Rec_#"/>
    <w:basedOn w:val="Normal"/>
    <w:next w:val="RecTitle0"/>
    <w:rsid w:val="00824EB0"/>
    <w:pPr>
      <w:keepNext/>
      <w:keepLines/>
      <w:spacing w:before="480"/>
      <w:jc w:val="center"/>
    </w:pPr>
    <w:rPr>
      <w:caps/>
      <w:sz w:val="28"/>
      <w:szCs w:val="28"/>
      <w:lang w:eastAsia="zh-CN"/>
    </w:rPr>
  </w:style>
  <w:style w:type="paragraph" w:styleId="BalloonText">
    <w:name w:val="Balloon Text"/>
    <w:basedOn w:val="Normal"/>
    <w:link w:val="BalloonTextChar"/>
    <w:uiPriority w:val="99"/>
    <w:semiHidden/>
    <w:unhideWhenUsed/>
    <w:rsid w:val="002E69D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9D7"/>
    <w:rPr>
      <w:rFonts w:ascii="Tahoma" w:hAnsi="Tahoma" w:cs="Tahoma"/>
      <w:sz w:val="16"/>
      <w:szCs w:val="16"/>
      <w:lang w:val="en-GB" w:eastAsia="en-US"/>
    </w:rPr>
  </w:style>
  <w:style w:type="paragraph" w:styleId="BodyText">
    <w:name w:val="Body Text"/>
    <w:basedOn w:val="Normal"/>
    <w:link w:val="BodyTextChar"/>
    <w:semiHidden/>
    <w:unhideWhenUsed/>
    <w:rsid w:val="002E69D7"/>
    <w:pPr>
      <w:tabs>
        <w:tab w:val="clear" w:pos="794"/>
        <w:tab w:val="clear" w:pos="1191"/>
        <w:tab w:val="clear" w:pos="1588"/>
        <w:tab w:val="clear" w:pos="1985"/>
      </w:tabs>
      <w:overflowPunct/>
      <w:textAlignment w:val="auto"/>
    </w:pPr>
    <w:rPr>
      <w:rFonts w:ascii="Arial" w:hAnsi="Arial" w:cs="Arial"/>
      <w:sz w:val="20"/>
      <w:lang w:val="fr-CH"/>
    </w:rPr>
  </w:style>
  <w:style w:type="character" w:customStyle="1" w:styleId="BodyTextChar">
    <w:name w:val="Body Text Char"/>
    <w:basedOn w:val="DefaultParagraphFont"/>
    <w:link w:val="BodyText"/>
    <w:semiHidden/>
    <w:rsid w:val="002E69D7"/>
    <w:rPr>
      <w:rFonts w:ascii="Arial" w:hAnsi="Arial" w:cs="Arial"/>
      <w:lang w:val="fr-CH" w:eastAsia="en-US"/>
    </w:rPr>
  </w:style>
  <w:style w:type="character" w:customStyle="1" w:styleId="HeaderChar">
    <w:name w:val="Header Char"/>
    <w:basedOn w:val="DefaultParagraphFont"/>
    <w:link w:val="Header"/>
    <w:uiPriority w:val="99"/>
    <w:rsid w:val="009631BC"/>
    <w:rPr>
      <w:rFonts w:ascii="Times New Roman" w:hAnsi="Times New Roman"/>
      <w:sz w:val="22"/>
      <w:lang w:val="en-GB" w:eastAsia="en-US"/>
    </w:rPr>
  </w:style>
  <w:style w:type="paragraph" w:customStyle="1" w:styleId="testobase">
    <w:name w:val="testo base"/>
    <w:basedOn w:val="ListParagraph"/>
    <w:qFormat/>
    <w:rsid w:val="006A737D"/>
    <w:pPr>
      <w:numPr>
        <w:numId w:val="4"/>
      </w:numPr>
      <w:tabs>
        <w:tab w:val="clear" w:pos="794"/>
        <w:tab w:val="clear" w:pos="1191"/>
        <w:tab w:val="clear" w:pos="1588"/>
        <w:tab w:val="clear" w:pos="1985"/>
        <w:tab w:val="num" w:pos="360"/>
      </w:tabs>
      <w:overflowPunct/>
      <w:autoSpaceDE/>
      <w:autoSpaceDN/>
      <w:spacing w:line="319" w:lineRule="auto"/>
      <w:ind w:left="567" w:hanging="567"/>
      <w:contextualSpacing w:val="0"/>
      <w:jc w:val="both"/>
      <w:textAlignment w:val="auto"/>
    </w:pPr>
    <w:rPr>
      <w:rFonts w:ascii="Arial" w:eastAsiaTheme="minorHAnsi" w:hAnsi="Arial"/>
      <w:szCs w:val="24"/>
      <w:lang w:eastAsia="it-IT"/>
    </w:rPr>
  </w:style>
  <w:style w:type="paragraph" w:customStyle="1" w:styleId="recesug">
    <w:name w:val="rec e sug"/>
    <w:basedOn w:val="testobase"/>
    <w:next w:val="Normal"/>
    <w:qFormat/>
    <w:rsid w:val="006A737D"/>
    <w:pPr>
      <w:keepLines/>
      <w:pBdr>
        <w:top w:val="single" w:sz="4" w:space="1" w:color="auto"/>
        <w:left w:val="single" w:sz="4" w:space="4" w:color="auto"/>
        <w:bottom w:val="single" w:sz="4" w:space="1" w:color="auto"/>
        <w:right w:val="single" w:sz="4" w:space="4" w:color="auto"/>
      </w:pBdr>
    </w:pPr>
  </w:style>
  <w:style w:type="paragraph" w:styleId="ListParagraph">
    <w:name w:val="List Paragraph"/>
    <w:basedOn w:val="Normal"/>
    <w:uiPriority w:val="34"/>
    <w:qFormat/>
    <w:rsid w:val="006A737D"/>
    <w:pPr>
      <w:ind w:left="720"/>
      <w:contextualSpacing/>
    </w:pPr>
  </w:style>
  <w:style w:type="paragraph" w:customStyle="1" w:styleId="comments">
    <w:name w:val="comments"/>
    <w:basedOn w:val="Normal"/>
    <w:next w:val="Normal"/>
    <w:qFormat/>
    <w:rsid w:val="006A737D"/>
    <w:pPr>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Arial" w:eastAsiaTheme="minorHAnsi" w:hAnsi="Arial" w:cstheme="majorBidi"/>
      <w:szCs w:val="24"/>
    </w:rPr>
  </w:style>
  <w:style w:type="paragraph" w:customStyle="1" w:styleId="recesugg">
    <w:name w:val="rec e sugg"/>
    <w:basedOn w:val="testobase"/>
    <w:qFormat/>
    <w:rsid w:val="00B33398"/>
    <w:pPr>
      <w:numPr>
        <w:numId w:val="1"/>
      </w:numPr>
      <w:pBdr>
        <w:top w:val="single" w:sz="4" w:space="1" w:color="auto"/>
        <w:left w:val="single" w:sz="4" w:space="4" w:color="auto"/>
        <w:bottom w:val="single" w:sz="4" w:space="1" w:color="auto"/>
        <w:right w:val="single" w:sz="4" w:space="4" w:color="auto"/>
      </w:pBdr>
      <w:ind w:left="425" w:hanging="425"/>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56185">
      <w:bodyDiv w:val="1"/>
      <w:marLeft w:val="0"/>
      <w:marRight w:val="0"/>
      <w:marTop w:val="0"/>
      <w:marBottom w:val="0"/>
      <w:divBdr>
        <w:top w:val="none" w:sz="0" w:space="0" w:color="auto"/>
        <w:left w:val="none" w:sz="0" w:space="0" w:color="auto"/>
        <w:bottom w:val="none" w:sz="0" w:space="0" w:color="auto"/>
        <w:right w:val="none" w:sz="0" w:space="0" w:color="auto"/>
      </w:divBdr>
    </w:div>
    <w:div w:id="406347268">
      <w:bodyDiv w:val="1"/>
      <w:marLeft w:val="0"/>
      <w:marRight w:val="0"/>
      <w:marTop w:val="0"/>
      <w:marBottom w:val="0"/>
      <w:divBdr>
        <w:top w:val="none" w:sz="0" w:space="0" w:color="auto"/>
        <w:left w:val="none" w:sz="0" w:space="0" w:color="auto"/>
        <w:bottom w:val="none" w:sz="0" w:space="0" w:color="auto"/>
        <w:right w:val="none" w:sz="0" w:space="0" w:color="auto"/>
      </w:divBdr>
    </w:div>
    <w:div w:id="429666839">
      <w:bodyDiv w:val="1"/>
      <w:marLeft w:val="0"/>
      <w:marRight w:val="0"/>
      <w:marTop w:val="0"/>
      <w:marBottom w:val="0"/>
      <w:divBdr>
        <w:top w:val="none" w:sz="0" w:space="0" w:color="auto"/>
        <w:left w:val="none" w:sz="0" w:space="0" w:color="auto"/>
        <w:bottom w:val="none" w:sz="0" w:space="0" w:color="auto"/>
        <w:right w:val="none" w:sz="0" w:space="0" w:color="auto"/>
      </w:divBdr>
    </w:div>
    <w:div w:id="475493307">
      <w:bodyDiv w:val="1"/>
      <w:marLeft w:val="0"/>
      <w:marRight w:val="0"/>
      <w:marTop w:val="0"/>
      <w:marBottom w:val="0"/>
      <w:divBdr>
        <w:top w:val="none" w:sz="0" w:space="0" w:color="auto"/>
        <w:left w:val="none" w:sz="0" w:space="0" w:color="auto"/>
        <w:bottom w:val="none" w:sz="0" w:space="0" w:color="auto"/>
        <w:right w:val="none" w:sz="0" w:space="0" w:color="auto"/>
      </w:divBdr>
    </w:div>
    <w:div w:id="1153329137">
      <w:bodyDiv w:val="1"/>
      <w:marLeft w:val="0"/>
      <w:marRight w:val="0"/>
      <w:marTop w:val="0"/>
      <w:marBottom w:val="0"/>
      <w:divBdr>
        <w:top w:val="none" w:sz="0" w:space="0" w:color="auto"/>
        <w:left w:val="none" w:sz="0" w:space="0" w:color="auto"/>
        <w:bottom w:val="none" w:sz="0" w:space="0" w:color="auto"/>
        <w:right w:val="none" w:sz="0" w:space="0" w:color="auto"/>
      </w:divBdr>
    </w:div>
    <w:div w:id="1210192442">
      <w:bodyDiv w:val="1"/>
      <w:marLeft w:val="0"/>
      <w:marRight w:val="0"/>
      <w:marTop w:val="0"/>
      <w:marBottom w:val="0"/>
      <w:divBdr>
        <w:top w:val="none" w:sz="0" w:space="0" w:color="auto"/>
        <w:left w:val="none" w:sz="0" w:space="0" w:color="auto"/>
        <w:bottom w:val="none" w:sz="0" w:space="0" w:color="auto"/>
        <w:right w:val="none" w:sz="0" w:space="0" w:color="auto"/>
      </w:divBdr>
    </w:div>
    <w:div w:id="1388143086">
      <w:bodyDiv w:val="1"/>
      <w:marLeft w:val="0"/>
      <w:marRight w:val="0"/>
      <w:marTop w:val="0"/>
      <w:marBottom w:val="0"/>
      <w:divBdr>
        <w:top w:val="none" w:sz="0" w:space="0" w:color="auto"/>
        <w:left w:val="none" w:sz="0" w:space="0" w:color="auto"/>
        <w:bottom w:val="none" w:sz="0" w:space="0" w:color="auto"/>
        <w:right w:val="none" w:sz="0" w:space="0" w:color="auto"/>
      </w:divBdr>
    </w:div>
    <w:div w:id="16827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8E688-98C1-43ED-8D4C-464ACA99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4280</Words>
  <Characters>22840</Characters>
  <Application>Microsoft Office Word</Application>
  <DocSecurity>4</DocSecurity>
  <Lines>190</Lines>
  <Paragraphs>54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Janin, Patricia</dc:creator>
  <cp:keywords>C2018, C18</cp:keywords>
  <dc:description/>
  <cp:lastModifiedBy>Brouard, Ricarda</cp:lastModifiedBy>
  <cp:revision>2</cp:revision>
  <cp:lastPrinted>2015-09-11T12:14:00Z</cp:lastPrinted>
  <dcterms:created xsi:type="dcterms:W3CDTF">2017-12-06T14:47:00Z</dcterms:created>
  <dcterms:modified xsi:type="dcterms:W3CDTF">2017-12-06T14:47:00Z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C2000/89-E</vt:lpwstr>
  </property>
  <property fmtid="{D5CDD505-2E9C-101B-9397-08002B2CF9AE}" pid="3" name="Docdate">
    <vt:lpwstr>28 July 2000</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