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C30A04" w14:paraId="65E13872" w14:textId="77777777" w:rsidTr="00322105">
        <w:trPr>
          <w:cantSplit/>
        </w:trPr>
        <w:tc>
          <w:tcPr>
            <w:tcW w:w="6629" w:type="dxa"/>
          </w:tcPr>
          <w:p w14:paraId="10540C6F" w14:textId="77777777" w:rsidR="007D7068" w:rsidRPr="00BF4B40" w:rsidRDefault="007D7068" w:rsidP="007D7068">
            <w:pPr>
              <w:spacing w:before="240" w:after="48"/>
              <w:rPr>
                <w:rFonts w:ascii="Calibri" w:hAnsi="Calibri"/>
                <w:b/>
                <w:position w:val="6"/>
                <w:sz w:val="30"/>
                <w:szCs w:val="30"/>
                <w:lang w:val="en-US" w:eastAsia="zh-CN"/>
              </w:rPr>
            </w:pPr>
            <w:bookmarkStart w:id="0" w:name="dsource" w:colFirst="0" w:colLast="0"/>
            <w:r w:rsidRPr="00BF4B40">
              <w:rPr>
                <w:rFonts w:ascii="Calibri" w:hAnsi="Calibri"/>
                <w:b/>
                <w:position w:val="6"/>
                <w:sz w:val="30"/>
                <w:szCs w:val="30"/>
                <w:lang w:val="en-US" w:eastAsia="zh-CN"/>
              </w:rPr>
              <w:t xml:space="preserve">Council Working Group on </w:t>
            </w:r>
            <w:r w:rsidRPr="00BF4B40">
              <w:rPr>
                <w:rFonts w:ascii="Calibri" w:hAnsi="Calibri"/>
                <w:b/>
                <w:position w:val="6"/>
                <w:sz w:val="30"/>
                <w:szCs w:val="30"/>
                <w:lang w:val="en-US" w:eastAsia="zh-CN"/>
              </w:rPr>
              <w:br/>
              <w:t>Financial and Human Resources</w:t>
            </w:r>
          </w:p>
          <w:p w14:paraId="0387EB75" w14:textId="036DC942" w:rsidR="00C30A04" w:rsidRPr="007057DB" w:rsidRDefault="007D7068" w:rsidP="007D7068">
            <w:pPr>
              <w:rPr>
                <w:rFonts w:ascii="Calibri" w:hAnsi="Calibri"/>
                <w:b/>
                <w:position w:val="6"/>
                <w:sz w:val="26"/>
                <w:szCs w:val="26"/>
              </w:rPr>
            </w:pPr>
            <w:r w:rsidRPr="00BF4B40">
              <w:rPr>
                <w:rFonts w:ascii="Calibri" w:hAnsi="Calibri" w:cs="Times New Roman Bold"/>
                <w:b/>
                <w:lang w:val="en-US" w:eastAsia="zh-CN"/>
              </w:rPr>
              <w:t xml:space="preserve">Eighth meeting </w:t>
            </w:r>
            <w:r w:rsidRPr="00BF4B40">
              <w:rPr>
                <w:rFonts w:ascii="Calibri" w:eastAsia="Calibri" w:hAnsi="Calibri" w:cs="Calibri"/>
                <w:b/>
                <w:color w:val="000000"/>
                <w:lang w:val="en-US" w:eastAsia="zh-CN"/>
              </w:rPr>
              <w:t>–</w:t>
            </w:r>
            <w:r w:rsidRPr="00BF4B40">
              <w:rPr>
                <w:rFonts w:ascii="Calibri" w:hAnsi="Calibri" w:cs="Times New Roman Bold"/>
                <w:b/>
                <w:lang w:val="en-US" w:eastAsia="zh-CN"/>
              </w:rPr>
              <w:t xml:space="preserve"> Geneva, 22-23 January 2018</w:t>
            </w:r>
          </w:p>
        </w:tc>
        <w:tc>
          <w:tcPr>
            <w:tcW w:w="3685" w:type="dxa"/>
          </w:tcPr>
          <w:p w14:paraId="10609FDA" w14:textId="77777777" w:rsidR="00C30A04" w:rsidRPr="0020628E" w:rsidRDefault="00C30A04" w:rsidP="00322105">
            <w:pPr>
              <w:spacing w:line="240" w:lineRule="atLeast"/>
            </w:pPr>
            <w:bookmarkStart w:id="1" w:name="ditulogo"/>
            <w:bookmarkEnd w:id="1"/>
            <w:r w:rsidRPr="00C92992">
              <w:rPr>
                <w:rFonts w:ascii="Calibri" w:eastAsia="Times New Roman" w:hAnsi="Calibri"/>
                <w:noProof/>
                <w:lang w:val="en-US" w:eastAsia="zh-CN"/>
              </w:rPr>
              <w:drawing>
                <wp:inline distT="0" distB="0" distL="0" distR="0" wp14:anchorId="6A5F0C87" wp14:editId="5B7082B7">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30A04" w:rsidRPr="00617BE4" w14:paraId="71448199" w14:textId="77777777" w:rsidTr="00322105">
        <w:trPr>
          <w:cantSplit/>
        </w:trPr>
        <w:tc>
          <w:tcPr>
            <w:tcW w:w="6629" w:type="dxa"/>
            <w:tcBorders>
              <w:bottom w:val="single" w:sz="12" w:space="0" w:color="auto"/>
            </w:tcBorders>
          </w:tcPr>
          <w:p w14:paraId="0C3F6DD8" w14:textId="73D94F74" w:rsidR="00C30A04" w:rsidRPr="00EA0725" w:rsidRDefault="00C30A04" w:rsidP="00322105">
            <w:pPr>
              <w:spacing w:after="48" w:line="240" w:lineRule="atLeast"/>
              <w:rPr>
                <w:rFonts w:ascii="Calibri" w:hAnsi="Calibri"/>
                <w:b/>
                <w:smallCaps/>
              </w:rPr>
            </w:pPr>
          </w:p>
        </w:tc>
        <w:tc>
          <w:tcPr>
            <w:tcW w:w="3685" w:type="dxa"/>
            <w:tcBorders>
              <w:bottom w:val="single" w:sz="12" w:space="0" w:color="auto"/>
            </w:tcBorders>
          </w:tcPr>
          <w:p w14:paraId="7865B7AE" w14:textId="77777777" w:rsidR="00C30A04" w:rsidRPr="00617BE4" w:rsidRDefault="00C30A04" w:rsidP="00322105">
            <w:pPr>
              <w:spacing w:line="240" w:lineRule="atLeast"/>
              <w:rPr>
                <w:rFonts w:ascii="Verdana" w:hAnsi="Verdana"/>
              </w:rPr>
            </w:pPr>
          </w:p>
        </w:tc>
      </w:tr>
      <w:tr w:rsidR="00C30A04" w:rsidRPr="00617BE4" w14:paraId="412E20F1" w14:textId="77777777" w:rsidTr="00322105">
        <w:trPr>
          <w:cantSplit/>
        </w:trPr>
        <w:tc>
          <w:tcPr>
            <w:tcW w:w="6629" w:type="dxa"/>
            <w:tcBorders>
              <w:top w:val="single" w:sz="12" w:space="0" w:color="auto"/>
            </w:tcBorders>
          </w:tcPr>
          <w:p w14:paraId="6C2CC04B" w14:textId="77777777" w:rsidR="00C30A04" w:rsidRPr="00617BE4" w:rsidRDefault="00C30A04" w:rsidP="00322105">
            <w:pPr>
              <w:spacing w:after="48" w:line="240" w:lineRule="atLeast"/>
              <w:rPr>
                <w:b/>
                <w:smallCaps/>
              </w:rPr>
            </w:pPr>
          </w:p>
        </w:tc>
        <w:tc>
          <w:tcPr>
            <w:tcW w:w="3685" w:type="dxa"/>
            <w:tcBorders>
              <w:top w:val="single" w:sz="12" w:space="0" w:color="auto"/>
            </w:tcBorders>
          </w:tcPr>
          <w:p w14:paraId="0BD9E4E0" w14:textId="77777777" w:rsidR="00C30A04" w:rsidRPr="00617BE4" w:rsidRDefault="00C30A04" w:rsidP="00322105">
            <w:pPr>
              <w:spacing w:line="240" w:lineRule="atLeast"/>
              <w:rPr>
                <w:rFonts w:ascii="Verdana" w:hAnsi="Verdana"/>
              </w:rPr>
            </w:pPr>
          </w:p>
        </w:tc>
      </w:tr>
      <w:tr w:rsidR="00C30A04" w:rsidRPr="0076679F" w14:paraId="375DDDC2" w14:textId="77777777" w:rsidTr="00322105">
        <w:trPr>
          <w:cantSplit/>
          <w:trHeight w:val="23"/>
        </w:trPr>
        <w:tc>
          <w:tcPr>
            <w:tcW w:w="6629" w:type="dxa"/>
            <w:vMerge w:val="restart"/>
          </w:tcPr>
          <w:p w14:paraId="21B2A6E7" w14:textId="77777777" w:rsidR="00C30A04" w:rsidRPr="007057DB" w:rsidRDefault="00C30A04" w:rsidP="00322105">
            <w:pPr>
              <w:tabs>
                <w:tab w:val="left" w:pos="851"/>
              </w:tabs>
              <w:spacing w:line="240" w:lineRule="atLeast"/>
              <w:rPr>
                <w:rFonts w:ascii="Calibri" w:hAnsi="Calibri"/>
                <w:b/>
              </w:rPr>
            </w:pPr>
            <w:bookmarkStart w:id="2" w:name="dmeeting" w:colFirst="0" w:colLast="0"/>
            <w:bookmarkStart w:id="3" w:name="dnum" w:colFirst="1" w:colLast="1"/>
          </w:p>
        </w:tc>
        <w:tc>
          <w:tcPr>
            <w:tcW w:w="3685" w:type="dxa"/>
          </w:tcPr>
          <w:p w14:paraId="5DB9AE3A" w14:textId="09509E26" w:rsidR="00C30A04" w:rsidRPr="000A33FA" w:rsidRDefault="00C30A04" w:rsidP="007D7068">
            <w:pPr>
              <w:tabs>
                <w:tab w:val="left" w:pos="851"/>
              </w:tabs>
              <w:adjustRightInd w:val="0"/>
              <w:snapToGrid w:val="0"/>
              <w:rPr>
                <w:rFonts w:ascii="Calibri" w:hAnsi="Calibri"/>
                <w:b/>
                <w:lang w:val="de-CH"/>
              </w:rPr>
            </w:pPr>
            <w:r w:rsidRPr="000A33FA">
              <w:rPr>
                <w:rFonts w:ascii="Calibri" w:hAnsi="Calibri"/>
                <w:b/>
                <w:lang w:val="de-CH"/>
              </w:rPr>
              <w:t xml:space="preserve">Document CWG-FHR </w:t>
            </w:r>
            <w:r w:rsidR="005C0C3E">
              <w:rPr>
                <w:rFonts w:ascii="Calibri" w:hAnsi="Calibri"/>
                <w:b/>
                <w:lang w:val="de-CH"/>
              </w:rPr>
              <w:t>8</w:t>
            </w:r>
            <w:r w:rsidRPr="00527197">
              <w:rPr>
                <w:rFonts w:ascii="Calibri" w:hAnsi="Calibri"/>
                <w:b/>
                <w:lang w:val="de-CH"/>
              </w:rPr>
              <w:t>/</w:t>
            </w:r>
            <w:r w:rsidR="007D7068">
              <w:rPr>
                <w:rFonts w:ascii="Calibri" w:hAnsi="Calibri"/>
                <w:b/>
                <w:lang w:val="de-CH"/>
              </w:rPr>
              <w:t>18</w:t>
            </w:r>
          </w:p>
        </w:tc>
      </w:tr>
      <w:tr w:rsidR="00C30A04" w:rsidRPr="00E544AC" w14:paraId="0B87A638" w14:textId="77777777" w:rsidTr="00322105">
        <w:trPr>
          <w:cantSplit/>
          <w:trHeight w:val="23"/>
        </w:trPr>
        <w:tc>
          <w:tcPr>
            <w:tcW w:w="6629" w:type="dxa"/>
            <w:vMerge/>
          </w:tcPr>
          <w:p w14:paraId="27112A87" w14:textId="77777777" w:rsidR="00C30A04" w:rsidRPr="007057DB" w:rsidRDefault="00C30A04" w:rsidP="00322105">
            <w:pPr>
              <w:tabs>
                <w:tab w:val="left" w:pos="851"/>
              </w:tabs>
              <w:spacing w:line="240" w:lineRule="atLeast"/>
              <w:rPr>
                <w:rFonts w:ascii="Calibri" w:hAnsi="Calibri"/>
                <w:b/>
                <w:lang w:val="de-CH"/>
              </w:rPr>
            </w:pPr>
            <w:bookmarkStart w:id="4" w:name="ddate" w:colFirst="1" w:colLast="1"/>
            <w:bookmarkEnd w:id="2"/>
            <w:bookmarkEnd w:id="3"/>
          </w:p>
        </w:tc>
        <w:tc>
          <w:tcPr>
            <w:tcW w:w="3685" w:type="dxa"/>
          </w:tcPr>
          <w:p w14:paraId="589948B8" w14:textId="6604D86A" w:rsidR="00C30A04" w:rsidRPr="008C17FD" w:rsidRDefault="00527197" w:rsidP="003D0BC7">
            <w:pPr>
              <w:tabs>
                <w:tab w:val="left" w:pos="993"/>
              </w:tabs>
              <w:adjustRightInd w:val="0"/>
              <w:snapToGrid w:val="0"/>
              <w:rPr>
                <w:rFonts w:ascii="Calibri" w:hAnsi="Calibri"/>
                <w:b/>
              </w:rPr>
            </w:pPr>
            <w:r>
              <w:rPr>
                <w:rFonts w:ascii="Calibri" w:hAnsi="Calibri"/>
                <w:b/>
              </w:rPr>
              <w:t>1</w:t>
            </w:r>
            <w:r w:rsidR="002D6639">
              <w:rPr>
                <w:rFonts w:ascii="Calibri" w:hAnsi="Calibri"/>
                <w:b/>
              </w:rPr>
              <w:t>5</w:t>
            </w:r>
            <w:r w:rsidR="009F7641" w:rsidRPr="008C17FD">
              <w:rPr>
                <w:rFonts w:ascii="Calibri" w:hAnsi="Calibri"/>
                <w:b/>
              </w:rPr>
              <w:t xml:space="preserve"> December </w:t>
            </w:r>
            <w:r w:rsidR="00C30A04" w:rsidRPr="008C17FD">
              <w:rPr>
                <w:rFonts w:ascii="Calibri" w:hAnsi="Calibri"/>
                <w:b/>
              </w:rPr>
              <w:t>201</w:t>
            </w:r>
            <w:r w:rsidR="005C0C3E">
              <w:rPr>
                <w:rFonts w:ascii="Calibri" w:hAnsi="Calibri"/>
                <w:b/>
              </w:rPr>
              <w:t>7</w:t>
            </w:r>
          </w:p>
        </w:tc>
      </w:tr>
      <w:tr w:rsidR="00C30A04" w:rsidRPr="00E544AC" w14:paraId="3FFA2A8A" w14:textId="77777777" w:rsidTr="00322105">
        <w:trPr>
          <w:cantSplit/>
          <w:trHeight w:val="80"/>
        </w:trPr>
        <w:tc>
          <w:tcPr>
            <w:tcW w:w="6629" w:type="dxa"/>
            <w:vMerge/>
          </w:tcPr>
          <w:p w14:paraId="6E0070FB" w14:textId="77777777" w:rsidR="00C30A04" w:rsidRPr="007057DB" w:rsidRDefault="00C30A04" w:rsidP="00322105">
            <w:pPr>
              <w:tabs>
                <w:tab w:val="left" w:pos="851"/>
              </w:tabs>
              <w:spacing w:line="240" w:lineRule="atLeast"/>
              <w:rPr>
                <w:rFonts w:ascii="Calibri" w:hAnsi="Calibri"/>
                <w:b/>
              </w:rPr>
            </w:pPr>
            <w:bookmarkStart w:id="5" w:name="dorlang" w:colFirst="1" w:colLast="1"/>
            <w:bookmarkEnd w:id="4"/>
          </w:p>
        </w:tc>
        <w:tc>
          <w:tcPr>
            <w:tcW w:w="3685" w:type="dxa"/>
          </w:tcPr>
          <w:p w14:paraId="21FB47B2" w14:textId="77777777" w:rsidR="00C30A04" w:rsidRPr="000A33FA" w:rsidRDefault="00C30A04" w:rsidP="00322105">
            <w:pPr>
              <w:tabs>
                <w:tab w:val="left" w:pos="993"/>
              </w:tabs>
              <w:adjustRightInd w:val="0"/>
              <w:snapToGrid w:val="0"/>
              <w:rPr>
                <w:rFonts w:ascii="Calibri" w:hAnsi="Calibri"/>
                <w:b/>
              </w:rPr>
            </w:pPr>
            <w:r w:rsidRPr="000A33FA">
              <w:rPr>
                <w:rFonts w:ascii="Calibri" w:hAnsi="Calibri"/>
                <w:b/>
              </w:rPr>
              <w:t>English only</w:t>
            </w:r>
          </w:p>
        </w:tc>
      </w:tr>
    </w:tbl>
    <w:bookmarkEnd w:id="0"/>
    <w:bookmarkEnd w:id="5"/>
    <w:p w14:paraId="02CEDE45" w14:textId="59ABA6F8" w:rsidR="007D7068" w:rsidRDefault="002D6639" w:rsidP="007D7068">
      <w:pPr>
        <w:pStyle w:val="Source"/>
      </w:pPr>
      <w:r w:rsidRPr="002D6639">
        <w:t>C</w:t>
      </w:r>
      <w:r w:rsidR="007D7068">
        <w:t>ontribution by the Secretariat</w:t>
      </w:r>
    </w:p>
    <w:p w14:paraId="3C5DEB1B" w14:textId="2BB411B1" w:rsidR="003D0BC7" w:rsidRPr="007D7068" w:rsidRDefault="00EE110A" w:rsidP="007D7068">
      <w:pPr>
        <w:pStyle w:val="Title1"/>
        <w:spacing w:before="360"/>
        <w:rPr>
          <w:rFonts w:cs="Times New Roman Bold"/>
          <w:b w:val="0"/>
          <w:bCs/>
          <w:caps/>
        </w:rPr>
      </w:pPr>
      <w:r w:rsidRPr="007D7068">
        <w:rPr>
          <w:rFonts w:cs="Times New Roman Bold"/>
          <w:b w:val="0"/>
          <w:bCs/>
          <w:caps/>
        </w:rPr>
        <w:t xml:space="preserve">Status report on implementation of </w:t>
      </w:r>
      <w:r w:rsidR="007D7068">
        <w:rPr>
          <w:rFonts w:cs="Times New Roman Bold"/>
          <w:b w:val="0"/>
          <w:bCs/>
          <w:caps/>
        </w:rPr>
        <w:br/>
      </w:r>
      <w:r w:rsidRPr="007D7068">
        <w:rPr>
          <w:rFonts w:cs="Times New Roman Bold"/>
          <w:b w:val="0"/>
          <w:bCs/>
          <w:caps/>
        </w:rPr>
        <w:t>Council Decision 600 and 601</w:t>
      </w:r>
      <w:r w:rsidR="00A24C43" w:rsidRPr="007D7068">
        <w:rPr>
          <w:rFonts w:cs="Times New Roman Bold"/>
          <w:b w:val="0"/>
          <w:bCs/>
          <w:caps/>
        </w:rPr>
        <w:t xml:space="preserve"> (UIFN, IIN)</w:t>
      </w:r>
    </w:p>
    <w:p w14:paraId="474166D2" w14:textId="6B615D49" w:rsidR="007F04A9" w:rsidRPr="003D0BC7" w:rsidRDefault="007F04A9" w:rsidP="003D0BC7">
      <w:pPr>
        <w:rPr>
          <w:rFonts w:asciiTheme="minorHAnsi" w:hAnsiTheme="minorHAnsi"/>
          <w:b/>
        </w:rPr>
      </w:pPr>
    </w:p>
    <w:tbl>
      <w:tblPr>
        <w:tblStyle w:val="TableGrid"/>
        <w:tblW w:w="0" w:type="auto"/>
        <w:tblInd w:w="567" w:type="dxa"/>
        <w:tblLook w:val="04A0" w:firstRow="1" w:lastRow="0" w:firstColumn="1" w:lastColumn="0" w:noHBand="0" w:noVBand="1"/>
      </w:tblPr>
      <w:tblGrid>
        <w:gridCol w:w="9017"/>
      </w:tblGrid>
      <w:tr w:rsidR="003D0BC7" w:rsidRPr="003D0BC7" w14:paraId="67427863" w14:textId="77777777" w:rsidTr="005C0C3E">
        <w:tc>
          <w:tcPr>
            <w:tcW w:w="9017" w:type="dxa"/>
          </w:tcPr>
          <w:p w14:paraId="7351EE43" w14:textId="77777777" w:rsidR="003D0BC7" w:rsidRPr="003D0BC7" w:rsidRDefault="003D0BC7" w:rsidP="003D0BC7">
            <w:pPr>
              <w:keepNext/>
              <w:keepLines/>
              <w:snapToGrid w:val="0"/>
              <w:spacing w:before="120" w:after="120"/>
              <w:ind w:left="567" w:hanging="567"/>
              <w:outlineLvl w:val="0"/>
              <w:rPr>
                <w:rFonts w:asciiTheme="minorHAnsi" w:hAnsiTheme="minorHAnsi"/>
                <w:b/>
              </w:rPr>
            </w:pPr>
            <w:r w:rsidRPr="003D0BC7">
              <w:rPr>
                <w:rFonts w:asciiTheme="minorHAnsi" w:hAnsiTheme="minorHAnsi"/>
                <w:b/>
              </w:rPr>
              <w:t>Background</w:t>
            </w:r>
          </w:p>
          <w:p w14:paraId="292E7F0C" w14:textId="1F02A059" w:rsidR="003D0BC7" w:rsidRPr="003D0BC7" w:rsidRDefault="003D0BC7" w:rsidP="002E0B14">
            <w:pPr>
              <w:snapToGrid w:val="0"/>
              <w:spacing w:before="120" w:after="120"/>
              <w:rPr>
                <w:rFonts w:asciiTheme="minorHAnsi" w:hAnsiTheme="minorHAnsi"/>
              </w:rPr>
            </w:pPr>
            <w:r w:rsidRPr="003D0BC7">
              <w:rPr>
                <w:rFonts w:asciiTheme="minorHAnsi" w:hAnsiTheme="minorHAnsi"/>
              </w:rPr>
              <w:t xml:space="preserve">Following </w:t>
            </w:r>
            <w:r w:rsidR="00B876F6">
              <w:rPr>
                <w:rFonts w:asciiTheme="minorHAnsi" w:hAnsiTheme="minorHAnsi"/>
              </w:rPr>
              <w:t>the approval of Decision 600 and 601 at th</w:t>
            </w:r>
            <w:r w:rsidR="002E0B14">
              <w:rPr>
                <w:rFonts w:asciiTheme="minorHAnsi" w:hAnsiTheme="minorHAnsi"/>
              </w:rPr>
              <w:t>e Council 2017 session, ITU has</w:t>
            </w:r>
            <w:r w:rsidR="00B876F6">
              <w:rPr>
                <w:rFonts w:asciiTheme="minorHAnsi" w:hAnsiTheme="minorHAnsi"/>
              </w:rPr>
              <w:t xml:space="preserve"> </w:t>
            </w:r>
            <w:r w:rsidR="001F368D">
              <w:rPr>
                <w:rFonts w:asciiTheme="minorHAnsi" w:hAnsiTheme="minorHAnsi"/>
              </w:rPr>
              <w:t xml:space="preserve">been </w:t>
            </w:r>
            <w:r w:rsidR="00B876F6">
              <w:rPr>
                <w:rFonts w:asciiTheme="minorHAnsi" w:hAnsiTheme="minorHAnsi"/>
              </w:rPr>
              <w:t>in the process of implementing these Decisions</w:t>
            </w:r>
            <w:r w:rsidRPr="003D0BC7">
              <w:rPr>
                <w:rFonts w:asciiTheme="minorHAnsi" w:hAnsiTheme="minorHAnsi"/>
              </w:rPr>
              <w:t>.</w:t>
            </w:r>
            <w:r w:rsidR="00B876F6">
              <w:rPr>
                <w:rFonts w:asciiTheme="minorHAnsi" w:hAnsiTheme="minorHAnsi"/>
              </w:rPr>
              <w:t xml:space="preserve"> This report summarizes the status of the implementation and provides some observations </w:t>
            </w:r>
            <w:r w:rsidR="001F368D">
              <w:rPr>
                <w:rFonts w:asciiTheme="minorHAnsi" w:hAnsiTheme="minorHAnsi"/>
              </w:rPr>
              <w:t>and proposals</w:t>
            </w:r>
            <w:r w:rsidR="00B876F6">
              <w:rPr>
                <w:rFonts w:asciiTheme="minorHAnsi" w:hAnsiTheme="minorHAnsi"/>
              </w:rPr>
              <w:t>.</w:t>
            </w:r>
          </w:p>
          <w:p w14:paraId="1B637C4D" w14:textId="77777777" w:rsidR="003D0BC7" w:rsidRPr="003D0BC7" w:rsidRDefault="003D0BC7" w:rsidP="003D0BC7">
            <w:pPr>
              <w:keepNext/>
              <w:keepLines/>
              <w:snapToGrid w:val="0"/>
              <w:spacing w:before="120" w:after="120"/>
              <w:ind w:left="567" w:hanging="567"/>
              <w:outlineLvl w:val="0"/>
              <w:rPr>
                <w:rFonts w:asciiTheme="minorHAnsi" w:hAnsiTheme="minorHAnsi"/>
                <w:b/>
              </w:rPr>
            </w:pPr>
            <w:r w:rsidRPr="003D0BC7">
              <w:rPr>
                <w:rFonts w:asciiTheme="minorHAnsi" w:hAnsiTheme="minorHAnsi"/>
                <w:b/>
              </w:rPr>
              <w:t>Action required</w:t>
            </w:r>
          </w:p>
          <w:p w14:paraId="52A469BE" w14:textId="130F060B" w:rsidR="003D0BC7" w:rsidRPr="003D0BC7" w:rsidRDefault="003D0BC7" w:rsidP="00B876F6">
            <w:pPr>
              <w:snapToGrid w:val="0"/>
              <w:spacing w:before="120" w:after="120"/>
              <w:rPr>
                <w:rFonts w:asciiTheme="minorHAnsi" w:hAnsiTheme="minorHAnsi"/>
              </w:rPr>
            </w:pPr>
            <w:r w:rsidRPr="003D0BC7">
              <w:rPr>
                <w:rFonts w:asciiTheme="minorHAnsi" w:hAnsiTheme="minorHAnsi"/>
              </w:rPr>
              <w:t xml:space="preserve">The CWG-FHR is invited to </w:t>
            </w:r>
            <w:r w:rsidRPr="003D0BC7">
              <w:rPr>
                <w:rFonts w:asciiTheme="minorHAnsi" w:hAnsiTheme="minorHAnsi"/>
                <w:b/>
              </w:rPr>
              <w:t xml:space="preserve">review </w:t>
            </w:r>
            <w:r w:rsidRPr="003D0BC7">
              <w:rPr>
                <w:rFonts w:asciiTheme="minorHAnsi" w:hAnsiTheme="minorHAnsi"/>
                <w:bCs/>
              </w:rPr>
              <w:t>and</w:t>
            </w:r>
            <w:r w:rsidRPr="003D0BC7">
              <w:rPr>
                <w:rFonts w:asciiTheme="minorHAnsi" w:hAnsiTheme="minorHAnsi"/>
                <w:b/>
              </w:rPr>
              <w:t xml:space="preserve"> endorse </w:t>
            </w:r>
            <w:r w:rsidR="00B876F6">
              <w:rPr>
                <w:rFonts w:asciiTheme="minorHAnsi" w:hAnsiTheme="minorHAnsi"/>
                <w:bCs/>
              </w:rPr>
              <w:t>the proposal in this report</w:t>
            </w:r>
            <w:r w:rsidRPr="003D0BC7">
              <w:rPr>
                <w:rFonts w:asciiTheme="minorHAnsi" w:hAnsiTheme="minorHAnsi"/>
              </w:rPr>
              <w:t xml:space="preserve">. </w:t>
            </w:r>
          </w:p>
          <w:p w14:paraId="08798637" w14:textId="77777777" w:rsidR="003D0BC7" w:rsidRPr="003D0BC7" w:rsidRDefault="003D0BC7" w:rsidP="003D0BC7">
            <w:pPr>
              <w:pStyle w:val="Headingb"/>
              <w:snapToGrid w:val="0"/>
              <w:spacing w:before="120" w:after="120"/>
              <w:rPr>
                <w:rFonts w:asciiTheme="minorHAnsi" w:hAnsiTheme="minorHAnsi"/>
                <w:szCs w:val="24"/>
                <w:lang w:val="en-US"/>
              </w:rPr>
            </w:pPr>
            <w:r w:rsidRPr="003D0BC7">
              <w:rPr>
                <w:rFonts w:asciiTheme="minorHAnsi" w:hAnsiTheme="minorHAnsi"/>
                <w:szCs w:val="24"/>
                <w:lang w:val="en-US"/>
              </w:rPr>
              <w:t>References</w:t>
            </w:r>
          </w:p>
          <w:p w14:paraId="391EA23B" w14:textId="445A88ED" w:rsidR="003D0BC7" w:rsidRPr="003D0BC7" w:rsidRDefault="00534CAE" w:rsidP="003D0BC7">
            <w:pPr>
              <w:snapToGrid w:val="0"/>
              <w:spacing w:before="120" w:after="120"/>
              <w:rPr>
                <w:rFonts w:asciiTheme="minorHAnsi" w:hAnsiTheme="minorHAnsi"/>
              </w:rPr>
            </w:pPr>
            <w:hyperlink r:id="rId9" w:history="1">
              <w:r w:rsidR="00465ABF" w:rsidRPr="002B4163">
                <w:rPr>
                  <w:rStyle w:val="Hyperlink"/>
                  <w:rFonts w:asciiTheme="majorBidi" w:hAnsiTheme="majorBidi" w:cstheme="majorBidi"/>
                </w:rPr>
                <w:t>C17/133</w:t>
              </w:r>
            </w:hyperlink>
            <w:r w:rsidR="00465ABF">
              <w:rPr>
                <w:rFonts w:asciiTheme="minorHAnsi" w:hAnsiTheme="minorHAnsi"/>
                <w:bCs/>
                <w:i/>
                <w:iCs/>
              </w:rPr>
              <w:t xml:space="preserve">, </w:t>
            </w:r>
            <w:hyperlink r:id="rId10" w:history="1">
              <w:r w:rsidR="00465ABF" w:rsidRPr="002B4163">
                <w:rPr>
                  <w:rStyle w:val="Hyperlink"/>
                  <w:rFonts w:asciiTheme="majorBidi" w:hAnsiTheme="majorBidi" w:cstheme="majorBidi"/>
                </w:rPr>
                <w:t>C17/134</w:t>
              </w:r>
            </w:hyperlink>
          </w:p>
        </w:tc>
      </w:tr>
    </w:tbl>
    <w:p w14:paraId="721AA4ED" w14:textId="77777777" w:rsidR="00E84A18" w:rsidRPr="00771C97" w:rsidRDefault="00E84A18" w:rsidP="00E84A18">
      <w:pPr>
        <w:pStyle w:val="Heading2"/>
        <w:keepNext w:val="0"/>
        <w:keepLines w:val="0"/>
        <w:snapToGrid w:val="0"/>
        <w:spacing w:before="360" w:after="120"/>
        <w:rPr>
          <w:rFonts w:asciiTheme="minorHAnsi" w:hAnsiTheme="minorHAnsi"/>
          <w:b/>
          <w:bCs/>
        </w:rPr>
      </w:pPr>
      <w:r>
        <w:rPr>
          <w:rFonts w:asciiTheme="minorHAnsi" w:hAnsiTheme="minorHAnsi"/>
          <w:bCs/>
        </w:rPr>
        <w:t>A</w:t>
      </w:r>
      <w:r w:rsidRPr="00771C97">
        <w:rPr>
          <w:rFonts w:asciiTheme="minorHAnsi" w:hAnsiTheme="minorHAnsi"/>
          <w:bCs/>
        </w:rPr>
        <w:t>.</w:t>
      </w:r>
      <w:r w:rsidRPr="00771C97">
        <w:rPr>
          <w:rFonts w:asciiTheme="minorHAnsi" w:hAnsiTheme="minorHAnsi"/>
          <w:bCs/>
        </w:rPr>
        <w:tab/>
        <w:t>Background</w:t>
      </w:r>
    </w:p>
    <w:p w14:paraId="289007B8" w14:textId="3F8BBB64" w:rsidR="002B4163" w:rsidRPr="007D7068" w:rsidRDefault="001F368D" w:rsidP="00B24FA5">
      <w:pPr>
        <w:shd w:val="clear" w:color="auto" w:fill="FFFFFF"/>
        <w:snapToGrid w:val="0"/>
        <w:spacing w:before="120" w:after="120"/>
        <w:jc w:val="both"/>
        <w:rPr>
          <w:rFonts w:asciiTheme="minorHAnsi" w:hAnsiTheme="minorHAnsi" w:cstheme="majorBidi"/>
          <w:color w:val="000000"/>
        </w:rPr>
      </w:pPr>
      <w:r w:rsidRPr="007D7068">
        <w:rPr>
          <w:rFonts w:asciiTheme="minorHAnsi" w:hAnsiTheme="minorHAnsi"/>
          <w:lang w:val="en"/>
        </w:rPr>
        <w:t>1</w:t>
      </w:r>
      <w:r w:rsidR="00E84A18" w:rsidRPr="007D7068">
        <w:rPr>
          <w:rFonts w:asciiTheme="minorHAnsi" w:hAnsiTheme="minorHAnsi"/>
          <w:lang w:val="en"/>
        </w:rPr>
        <w:t>.</w:t>
      </w:r>
      <w:r w:rsidR="00E84A18" w:rsidRPr="007D7068">
        <w:rPr>
          <w:rFonts w:asciiTheme="minorHAnsi" w:hAnsiTheme="minorHAnsi"/>
          <w:lang w:val="en"/>
        </w:rPr>
        <w:tab/>
      </w:r>
      <w:r w:rsidR="002B4163" w:rsidRPr="007D7068">
        <w:rPr>
          <w:rFonts w:asciiTheme="minorHAnsi" w:hAnsiTheme="minorHAnsi" w:cstheme="majorBidi"/>
          <w:color w:val="000000"/>
        </w:rPr>
        <w:t>Council 2017 approved the new fee structure for UIFN and IIN by approving new Decision</w:t>
      </w:r>
      <w:r w:rsidR="007D7068">
        <w:rPr>
          <w:rFonts w:asciiTheme="minorHAnsi" w:hAnsiTheme="minorHAnsi" w:cstheme="majorBidi"/>
          <w:color w:val="000000"/>
        </w:rPr>
        <w:t> </w:t>
      </w:r>
      <w:r w:rsidR="002B4163" w:rsidRPr="007D7068">
        <w:rPr>
          <w:rFonts w:asciiTheme="minorHAnsi" w:hAnsiTheme="minorHAnsi" w:cstheme="majorBidi"/>
          <w:color w:val="000000"/>
        </w:rPr>
        <w:t>600 (</w:t>
      </w:r>
      <w:hyperlink r:id="rId11" w:history="1">
        <w:r w:rsidR="002B4163" w:rsidRPr="007D7068">
          <w:rPr>
            <w:rStyle w:val="Hyperlink"/>
            <w:rFonts w:asciiTheme="minorHAnsi" w:hAnsiTheme="minorHAnsi" w:cstheme="majorBidi"/>
          </w:rPr>
          <w:t>C17/133</w:t>
        </w:r>
      </w:hyperlink>
      <w:r w:rsidR="002B4163" w:rsidRPr="007D7068">
        <w:rPr>
          <w:rFonts w:asciiTheme="minorHAnsi" w:hAnsiTheme="minorHAnsi" w:cstheme="majorBidi"/>
          <w:color w:val="000000"/>
        </w:rPr>
        <w:t>) and 601 (</w:t>
      </w:r>
      <w:hyperlink r:id="rId12" w:history="1">
        <w:r w:rsidR="002B4163" w:rsidRPr="007D7068">
          <w:rPr>
            <w:rStyle w:val="Hyperlink"/>
            <w:rFonts w:asciiTheme="minorHAnsi" w:hAnsiTheme="minorHAnsi" w:cstheme="majorBidi"/>
          </w:rPr>
          <w:t>C17/134</w:t>
        </w:r>
      </w:hyperlink>
      <w:r w:rsidR="002B4163" w:rsidRPr="007D7068">
        <w:rPr>
          <w:rFonts w:asciiTheme="minorHAnsi" w:hAnsiTheme="minorHAnsi" w:cstheme="majorBidi"/>
          <w:color w:val="000000"/>
        </w:rPr>
        <w:t>).</w:t>
      </w:r>
    </w:p>
    <w:p w14:paraId="26DED3AC" w14:textId="387EFE22" w:rsidR="001F368D" w:rsidRPr="007D7068" w:rsidRDefault="001F368D" w:rsidP="00534CAE">
      <w:pPr>
        <w:pStyle w:val="ListParagraph"/>
        <w:numPr>
          <w:ilvl w:val="0"/>
          <w:numId w:val="1"/>
        </w:numPr>
        <w:shd w:val="clear" w:color="auto" w:fill="FFFFFF"/>
        <w:snapToGrid w:val="0"/>
        <w:spacing w:before="120" w:after="120"/>
        <w:ind w:left="1276" w:hanging="567"/>
        <w:jc w:val="both"/>
        <w:rPr>
          <w:rFonts w:asciiTheme="minorHAnsi" w:hAnsiTheme="minorHAnsi"/>
        </w:rPr>
      </w:pPr>
      <w:r w:rsidRPr="007D7068">
        <w:rPr>
          <w:rFonts w:asciiTheme="minorHAnsi" w:hAnsiTheme="minorHAnsi"/>
        </w:rPr>
        <w:t>ITU Council decided to continue collecting fees for Universal International Freephone Number (UIFN) Registration and to establish the registration fee at 300 Swiss francs per number issued, and for non ITU-T and ITU-R Sector Members implement an annual maintenance fee at 100 Swiss francs per number starting from 1 January 2018 (Decision 600, ITU Council, 2017 session)</w:t>
      </w:r>
      <w:r w:rsidR="00B24FA5" w:rsidRPr="007D7068">
        <w:rPr>
          <w:rFonts w:asciiTheme="minorHAnsi" w:hAnsiTheme="minorHAnsi"/>
        </w:rPr>
        <w:t>.</w:t>
      </w:r>
    </w:p>
    <w:p w14:paraId="5B05C0F5" w14:textId="7AE83E7B" w:rsidR="002B4163" w:rsidRPr="007D7068" w:rsidRDefault="002B4163" w:rsidP="00534CAE">
      <w:pPr>
        <w:pStyle w:val="ListParagraph"/>
        <w:numPr>
          <w:ilvl w:val="0"/>
          <w:numId w:val="1"/>
        </w:numPr>
        <w:shd w:val="clear" w:color="auto" w:fill="FFFFFF"/>
        <w:snapToGrid w:val="0"/>
        <w:spacing w:before="120" w:after="120"/>
        <w:ind w:left="1276" w:hanging="567"/>
        <w:jc w:val="both"/>
        <w:rPr>
          <w:rFonts w:asciiTheme="minorHAnsi" w:hAnsiTheme="minorHAnsi"/>
        </w:rPr>
      </w:pPr>
      <w:r w:rsidRPr="007D7068">
        <w:rPr>
          <w:rFonts w:asciiTheme="minorHAnsi" w:hAnsiTheme="minorHAnsi" w:cstheme="majorBidi"/>
          <w:color w:val="000000"/>
        </w:rPr>
        <w:t xml:space="preserve">ITU Council decided to </w:t>
      </w:r>
      <w:r w:rsidRPr="007D7068">
        <w:rPr>
          <w:rFonts w:asciiTheme="minorHAnsi" w:hAnsiTheme="minorHAnsi"/>
        </w:rPr>
        <w:t xml:space="preserve">continue collecting fees for IIN </w:t>
      </w:r>
      <w:r w:rsidR="00A24C43" w:rsidRPr="007D7068">
        <w:rPr>
          <w:rFonts w:asciiTheme="minorHAnsi" w:hAnsiTheme="minorHAnsi"/>
        </w:rPr>
        <w:t>r</w:t>
      </w:r>
      <w:r w:rsidRPr="007D7068">
        <w:rPr>
          <w:rFonts w:asciiTheme="minorHAnsi" w:hAnsiTheme="minorHAnsi"/>
        </w:rPr>
        <w:t xml:space="preserve">egistration and to establish the registration fee at 150 Swiss francs per number issued, and for non ITU-T and ITU-R Sector Members </w:t>
      </w:r>
      <w:r w:rsidR="00A24C43" w:rsidRPr="007D7068">
        <w:rPr>
          <w:rFonts w:asciiTheme="minorHAnsi" w:hAnsiTheme="minorHAnsi"/>
        </w:rPr>
        <w:t xml:space="preserve">to </w:t>
      </w:r>
      <w:r w:rsidRPr="007D7068">
        <w:rPr>
          <w:rFonts w:asciiTheme="minorHAnsi" w:hAnsiTheme="minorHAnsi"/>
        </w:rPr>
        <w:t>implement an annual maintenance fee at 100 Swiss francs per number starting from 1 January 2018 (Decision 601, ITU Council, 2017 session)</w:t>
      </w:r>
      <w:r w:rsidR="00B24FA5" w:rsidRPr="007D7068">
        <w:rPr>
          <w:rFonts w:asciiTheme="minorHAnsi" w:hAnsiTheme="minorHAnsi"/>
        </w:rPr>
        <w:t>.</w:t>
      </w:r>
    </w:p>
    <w:p w14:paraId="6D0E48F2" w14:textId="12C93DE1" w:rsidR="00E84A18" w:rsidRDefault="00E84A18" w:rsidP="00330E29">
      <w:pPr>
        <w:pStyle w:val="Heading2"/>
        <w:keepNext w:val="0"/>
        <w:keepLines w:val="0"/>
        <w:snapToGrid w:val="0"/>
        <w:spacing w:before="480" w:after="120"/>
        <w:jc w:val="both"/>
        <w:rPr>
          <w:rFonts w:asciiTheme="minorHAnsi" w:hAnsiTheme="minorHAnsi"/>
          <w:bCs/>
        </w:rPr>
      </w:pPr>
      <w:r>
        <w:rPr>
          <w:rFonts w:asciiTheme="minorHAnsi" w:hAnsiTheme="minorHAnsi"/>
          <w:bCs/>
        </w:rPr>
        <w:t>B</w:t>
      </w:r>
      <w:r w:rsidRPr="00771C97">
        <w:rPr>
          <w:rFonts w:asciiTheme="minorHAnsi" w:hAnsiTheme="minorHAnsi"/>
          <w:bCs/>
        </w:rPr>
        <w:t>.</w:t>
      </w:r>
      <w:r w:rsidRPr="00771C97">
        <w:rPr>
          <w:rFonts w:asciiTheme="minorHAnsi" w:hAnsiTheme="minorHAnsi"/>
          <w:bCs/>
        </w:rPr>
        <w:tab/>
      </w:r>
      <w:r w:rsidR="00330E29">
        <w:rPr>
          <w:rFonts w:asciiTheme="minorHAnsi" w:hAnsiTheme="minorHAnsi"/>
          <w:bCs/>
        </w:rPr>
        <w:t>The status of implementation</w:t>
      </w:r>
    </w:p>
    <w:p w14:paraId="329062A8" w14:textId="0139153B" w:rsidR="00330E29" w:rsidRPr="007D7068" w:rsidRDefault="001F368D">
      <w:pPr>
        <w:rPr>
          <w:rFonts w:asciiTheme="minorHAnsi" w:hAnsiTheme="minorHAnsi"/>
          <w:lang w:val="en-US"/>
        </w:rPr>
      </w:pPr>
      <w:r w:rsidRPr="007D7068">
        <w:rPr>
          <w:rFonts w:asciiTheme="minorHAnsi" w:hAnsiTheme="minorHAnsi"/>
          <w:lang w:val="en-US"/>
        </w:rPr>
        <w:t>2</w:t>
      </w:r>
      <w:r w:rsidR="00330E29" w:rsidRPr="007D7068">
        <w:rPr>
          <w:rFonts w:asciiTheme="minorHAnsi" w:hAnsiTheme="minorHAnsi"/>
          <w:lang w:val="en-US"/>
        </w:rPr>
        <w:t>.</w:t>
      </w:r>
      <w:r w:rsidR="00330E29" w:rsidRPr="007D7068">
        <w:rPr>
          <w:rFonts w:asciiTheme="minorHAnsi" w:hAnsiTheme="minorHAnsi"/>
          <w:lang w:val="en-US"/>
        </w:rPr>
        <w:tab/>
        <w:t>Circulars on UIFN registration and IIN registration have been issued</w:t>
      </w:r>
      <w:r w:rsidR="00A24C43" w:rsidRPr="007D7068">
        <w:rPr>
          <w:rFonts w:asciiTheme="minorHAnsi" w:hAnsiTheme="minorHAnsi"/>
          <w:lang w:val="en-US"/>
        </w:rPr>
        <w:t xml:space="preserve"> (</w:t>
      </w:r>
      <w:hyperlink r:id="rId13" w:history="1">
        <w:r w:rsidR="00330E29" w:rsidRPr="007D7068">
          <w:rPr>
            <w:rStyle w:val="Hyperlink"/>
            <w:rFonts w:asciiTheme="minorHAnsi" w:hAnsiTheme="minorHAnsi"/>
            <w:lang w:val="en-US"/>
          </w:rPr>
          <w:t>https://www.itu.int/md/T17-TSB-CIR-0035/en</w:t>
        </w:r>
      </w:hyperlink>
      <w:r w:rsidR="00A24C43" w:rsidRPr="007D7068">
        <w:rPr>
          <w:rStyle w:val="Hyperlink"/>
          <w:rFonts w:asciiTheme="minorHAnsi" w:hAnsiTheme="minorHAnsi"/>
          <w:lang w:val="en-US"/>
        </w:rPr>
        <w:t>;</w:t>
      </w:r>
      <w:r w:rsidR="00330E29" w:rsidRPr="007D7068">
        <w:rPr>
          <w:rFonts w:asciiTheme="minorHAnsi" w:hAnsiTheme="minorHAnsi"/>
          <w:lang w:val="en-US"/>
        </w:rPr>
        <w:t xml:space="preserve"> </w:t>
      </w:r>
      <w:hyperlink r:id="rId14" w:history="1">
        <w:r w:rsidR="00330E29" w:rsidRPr="007D7068">
          <w:rPr>
            <w:rStyle w:val="Hyperlink"/>
            <w:rFonts w:asciiTheme="minorHAnsi" w:hAnsiTheme="minorHAnsi"/>
            <w:lang w:val="en-US"/>
          </w:rPr>
          <w:t>https://www.itu.int/md/T17-TSB-CIR-0036/en</w:t>
        </w:r>
      </w:hyperlink>
      <w:r w:rsidR="00A24C43" w:rsidRPr="007D7068">
        <w:rPr>
          <w:rStyle w:val="Hyperlink"/>
          <w:rFonts w:asciiTheme="minorHAnsi" w:hAnsiTheme="minorHAnsi"/>
          <w:lang w:val="en-US"/>
        </w:rPr>
        <w:t>)</w:t>
      </w:r>
      <w:r w:rsidR="00330E29" w:rsidRPr="007D7068">
        <w:rPr>
          <w:rFonts w:asciiTheme="minorHAnsi" w:hAnsiTheme="minorHAnsi"/>
          <w:lang w:val="en-US"/>
        </w:rPr>
        <w:t xml:space="preserve">. These circulars have also been published in No. 1127 of ITU Operational Bulletin </w:t>
      </w:r>
      <w:r w:rsidR="00A24C43" w:rsidRPr="007D7068">
        <w:rPr>
          <w:rFonts w:asciiTheme="minorHAnsi" w:hAnsiTheme="minorHAnsi"/>
          <w:lang w:val="en-US"/>
        </w:rPr>
        <w:t>(</w:t>
      </w:r>
      <w:hyperlink r:id="rId15" w:history="1">
        <w:r w:rsidR="00330E29" w:rsidRPr="007D7068">
          <w:rPr>
            <w:rStyle w:val="Hyperlink"/>
            <w:rFonts w:asciiTheme="minorHAnsi" w:hAnsiTheme="minorHAnsi"/>
            <w:lang w:val="en-US"/>
          </w:rPr>
          <w:t>https://www.itu.int/dms_pub/itu-t/opb/sp/T-SP-OB.1127-2017-OAS-PDF-E.pdf</w:t>
        </w:r>
      </w:hyperlink>
      <w:r w:rsidR="00A24C43" w:rsidRPr="007D7068">
        <w:rPr>
          <w:rFonts w:asciiTheme="minorHAnsi" w:hAnsiTheme="minorHAnsi"/>
          <w:lang w:val="en-US"/>
        </w:rPr>
        <w:t>).</w:t>
      </w:r>
    </w:p>
    <w:p w14:paraId="2C5F68CF" w14:textId="76CE3C9C" w:rsidR="00DD41A5" w:rsidRPr="007D7068" w:rsidRDefault="001F368D" w:rsidP="00534CAE">
      <w:pPr>
        <w:rPr>
          <w:rFonts w:asciiTheme="minorHAnsi" w:hAnsiTheme="minorHAnsi"/>
        </w:rPr>
      </w:pPr>
      <w:r w:rsidRPr="007D7068">
        <w:rPr>
          <w:rFonts w:asciiTheme="minorHAnsi" w:hAnsiTheme="minorHAnsi"/>
          <w:lang w:val="en-US"/>
        </w:rPr>
        <w:t>3</w:t>
      </w:r>
      <w:r w:rsidR="00C35115" w:rsidRPr="007D7068">
        <w:rPr>
          <w:rFonts w:asciiTheme="minorHAnsi" w:hAnsiTheme="minorHAnsi"/>
          <w:lang w:val="en-US"/>
        </w:rPr>
        <w:t>.</w:t>
      </w:r>
      <w:r w:rsidR="00C35115" w:rsidRPr="007D7068">
        <w:rPr>
          <w:rFonts w:asciiTheme="minorHAnsi" w:hAnsiTheme="minorHAnsi"/>
          <w:lang w:val="en-US"/>
        </w:rPr>
        <w:tab/>
      </w:r>
      <w:r w:rsidR="00A24C43" w:rsidRPr="007D7068">
        <w:rPr>
          <w:rFonts w:asciiTheme="minorHAnsi" w:hAnsiTheme="minorHAnsi"/>
          <w:lang w:val="en-US"/>
        </w:rPr>
        <w:t xml:space="preserve">The Council decision </w:t>
      </w:r>
      <w:r w:rsidR="00C35115" w:rsidRPr="007D7068">
        <w:rPr>
          <w:rFonts w:asciiTheme="minorHAnsi" w:hAnsiTheme="minorHAnsi"/>
          <w:lang w:val="en-US"/>
        </w:rPr>
        <w:t xml:space="preserve">has also been announced on </w:t>
      </w:r>
      <w:r w:rsidRPr="007D7068">
        <w:rPr>
          <w:rFonts w:asciiTheme="minorHAnsi" w:hAnsiTheme="minorHAnsi"/>
          <w:lang w:val="en-US"/>
        </w:rPr>
        <w:t xml:space="preserve">ITU </w:t>
      </w:r>
      <w:r w:rsidR="00C35115" w:rsidRPr="007D7068">
        <w:rPr>
          <w:rFonts w:asciiTheme="minorHAnsi" w:hAnsiTheme="minorHAnsi"/>
          <w:lang w:val="en-US"/>
        </w:rPr>
        <w:t>UIFN website</w:t>
      </w:r>
      <w:r w:rsidR="00A24C43" w:rsidRPr="007D7068">
        <w:rPr>
          <w:rFonts w:asciiTheme="minorHAnsi" w:hAnsiTheme="minorHAnsi"/>
          <w:lang w:val="en-US"/>
        </w:rPr>
        <w:t xml:space="preserve"> (</w:t>
      </w:r>
      <w:hyperlink r:id="rId16" w:history="1">
        <w:r w:rsidR="00C35115" w:rsidRPr="007D7068">
          <w:rPr>
            <w:rStyle w:val="Hyperlink"/>
            <w:rFonts w:asciiTheme="minorHAnsi" w:hAnsiTheme="minorHAnsi" w:cstheme="majorBidi"/>
          </w:rPr>
          <w:t>http://www.itu.int/en/ITU-T/inr/unum/Pages/uifn.aspx</w:t>
        </w:r>
      </w:hyperlink>
      <w:r w:rsidR="00A24C43" w:rsidRPr="007D7068">
        <w:rPr>
          <w:rFonts w:asciiTheme="minorHAnsi" w:hAnsiTheme="minorHAnsi"/>
          <w:lang w:val="en-US"/>
        </w:rPr>
        <w:t>) a</w:t>
      </w:r>
      <w:r w:rsidR="00C35115" w:rsidRPr="007D7068">
        <w:rPr>
          <w:rFonts w:asciiTheme="minorHAnsi" w:hAnsiTheme="minorHAnsi"/>
          <w:lang w:val="en-US"/>
        </w:rPr>
        <w:t xml:space="preserve">nd the </w:t>
      </w:r>
      <w:r w:rsidRPr="007D7068">
        <w:rPr>
          <w:rFonts w:asciiTheme="minorHAnsi" w:hAnsiTheme="minorHAnsi"/>
          <w:lang w:val="en-US"/>
        </w:rPr>
        <w:t xml:space="preserve">ITU </w:t>
      </w:r>
      <w:r w:rsidR="00C35115" w:rsidRPr="007D7068">
        <w:rPr>
          <w:rFonts w:asciiTheme="minorHAnsi" w:hAnsiTheme="minorHAnsi"/>
          <w:lang w:val="en-US"/>
        </w:rPr>
        <w:t>website for IIN</w:t>
      </w:r>
      <w:r w:rsidR="00A24C43" w:rsidRPr="007D7068">
        <w:rPr>
          <w:rFonts w:asciiTheme="minorHAnsi" w:hAnsiTheme="minorHAnsi"/>
          <w:lang w:val="en-US"/>
        </w:rPr>
        <w:t xml:space="preserve"> (</w:t>
      </w:r>
      <w:hyperlink r:id="rId17" w:history="1">
        <w:r w:rsidR="00C35115" w:rsidRPr="007D7068">
          <w:rPr>
            <w:rStyle w:val="Hyperlink"/>
            <w:rFonts w:asciiTheme="minorHAnsi" w:hAnsiTheme="minorHAnsi" w:cstheme="majorBidi"/>
          </w:rPr>
          <w:t>http://www.itu.int/en/ITU-T/inr/forms/Pages/iin.aspx</w:t>
        </w:r>
      </w:hyperlink>
      <w:r w:rsidR="00A24C43" w:rsidRPr="007D7068">
        <w:rPr>
          <w:rFonts w:asciiTheme="minorHAnsi" w:hAnsiTheme="minorHAnsi"/>
          <w:lang w:val="en-US"/>
        </w:rPr>
        <w:t>).</w:t>
      </w:r>
      <w:r w:rsidR="00C35115" w:rsidRPr="007D7068">
        <w:rPr>
          <w:rFonts w:asciiTheme="minorHAnsi" w:hAnsiTheme="minorHAnsi" w:cstheme="majorBidi"/>
        </w:rPr>
        <w:t xml:space="preserve"> </w:t>
      </w:r>
      <w:bookmarkStart w:id="6" w:name="_GoBack"/>
      <w:bookmarkEnd w:id="6"/>
    </w:p>
    <w:p w14:paraId="3BED450C" w14:textId="6F63BB9F" w:rsidR="00D71306" w:rsidRPr="007D7068" w:rsidRDefault="00B24FA5" w:rsidP="00B24FA5">
      <w:pPr>
        <w:spacing w:before="120" w:after="120"/>
        <w:rPr>
          <w:rFonts w:asciiTheme="minorHAnsi" w:hAnsiTheme="minorHAnsi"/>
          <w:lang w:val="en-US"/>
        </w:rPr>
      </w:pPr>
      <w:r w:rsidRPr="007D7068">
        <w:rPr>
          <w:rFonts w:asciiTheme="minorHAnsi" w:hAnsiTheme="minorHAnsi"/>
          <w:lang w:val="en-US"/>
        </w:rPr>
        <w:t>4</w:t>
      </w:r>
      <w:r w:rsidR="00C35115" w:rsidRPr="007D7068">
        <w:rPr>
          <w:rFonts w:asciiTheme="minorHAnsi" w:hAnsiTheme="minorHAnsi"/>
          <w:lang w:val="en-US"/>
        </w:rPr>
        <w:t>.</w:t>
      </w:r>
      <w:r w:rsidR="00C35115" w:rsidRPr="007D7068">
        <w:rPr>
          <w:rFonts w:asciiTheme="minorHAnsi" w:hAnsiTheme="minorHAnsi"/>
          <w:lang w:val="en-US"/>
        </w:rPr>
        <w:tab/>
      </w:r>
      <w:r w:rsidR="00D80F22" w:rsidRPr="007D7068">
        <w:rPr>
          <w:rFonts w:asciiTheme="minorHAnsi" w:hAnsiTheme="minorHAnsi"/>
          <w:lang w:val="en-US"/>
        </w:rPr>
        <w:t xml:space="preserve">ITU TSB </w:t>
      </w:r>
      <w:r w:rsidR="006208AE" w:rsidRPr="007D7068">
        <w:rPr>
          <w:rFonts w:asciiTheme="minorHAnsi" w:hAnsiTheme="minorHAnsi"/>
          <w:lang w:val="en-US"/>
        </w:rPr>
        <w:t xml:space="preserve">initiated </w:t>
      </w:r>
      <w:r w:rsidR="00486315" w:rsidRPr="007D7068">
        <w:rPr>
          <w:rFonts w:asciiTheme="minorHAnsi" w:hAnsiTheme="minorHAnsi"/>
          <w:lang w:val="en-US"/>
        </w:rPr>
        <w:t>the</w:t>
      </w:r>
      <w:r w:rsidR="006208AE" w:rsidRPr="007D7068">
        <w:rPr>
          <w:rFonts w:asciiTheme="minorHAnsi" w:hAnsiTheme="minorHAnsi"/>
          <w:lang w:val="en-US"/>
        </w:rPr>
        <w:t xml:space="preserve"> process </w:t>
      </w:r>
      <w:r w:rsidR="00537D9F" w:rsidRPr="007D7068">
        <w:rPr>
          <w:rFonts w:asciiTheme="minorHAnsi" w:hAnsiTheme="minorHAnsi"/>
          <w:lang w:val="en-US"/>
        </w:rPr>
        <w:t xml:space="preserve">to </w:t>
      </w:r>
      <w:r w:rsidR="00330E29" w:rsidRPr="007D7068">
        <w:rPr>
          <w:rFonts w:asciiTheme="minorHAnsi" w:hAnsiTheme="minorHAnsi"/>
          <w:lang w:val="en-US"/>
        </w:rPr>
        <w:t xml:space="preserve">notify </w:t>
      </w:r>
      <w:r w:rsidR="00DD41A5" w:rsidRPr="007D7068">
        <w:rPr>
          <w:rFonts w:asciiTheme="minorHAnsi" w:hAnsiTheme="minorHAnsi"/>
          <w:lang w:val="en-US"/>
        </w:rPr>
        <w:t xml:space="preserve">166 </w:t>
      </w:r>
      <w:r w:rsidR="00330E29" w:rsidRPr="007D7068">
        <w:rPr>
          <w:rFonts w:asciiTheme="minorHAnsi" w:hAnsiTheme="minorHAnsi"/>
          <w:lang w:val="en-US"/>
        </w:rPr>
        <w:t xml:space="preserve">service providers of UIFNs and </w:t>
      </w:r>
      <w:r w:rsidR="000F42C1" w:rsidRPr="007D7068">
        <w:rPr>
          <w:rFonts w:asciiTheme="minorHAnsi" w:hAnsiTheme="minorHAnsi"/>
          <w:lang w:val="en-US"/>
        </w:rPr>
        <w:t xml:space="preserve">787 </w:t>
      </w:r>
      <w:r w:rsidR="00330E29" w:rsidRPr="007D7068">
        <w:rPr>
          <w:rFonts w:asciiTheme="minorHAnsi" w:hAnsiTheme="minorHAnsi"/>
          <w:lang w:val="en-US"/>
        </w:rPr>
        <w:t xml:space="preserve">assignees of IIN. </w:t>
      </w:r>
      <w:r w:rsidR="00BE114C" w:rsidRPr="007D7068">
        <w:rPr>
          <w:rFonts w:asciiTheme="minorHAnsi" w:hAnsiTheme="minorHAnsi"/>
          <w:lang w:val="en-US"/>
        </w:rPr>
        <w:t xml:space="preserve">Over 3000 emails were sent out </w:t>
      </w:r>
      <w:r w:rsidR="006208AE" w:rsidRPr="007D7068">
        <w:rPr>
          <w:rFonts w:asciiTheme="minorHAnsi" w:hAnsiTheme="minorHAnsi"/>
          <w:lang w:val="en-US"/>
        </w:rPr>
        <w:t>to assignees</w:t>
      </w:r>
      <w:r w:rsidR="00BE114C" w:rsidRPr="007D7068">
        <w:rPr>
          <w:rFonts w:asciiTheme="minorHAnsi" w:hAnsiTheme="minorHAnsi"/>
          <w:lang w:val="en-US"/>
        </w:rPr>
        <w:t xml:space="preserve">, </w:t>
      </w:r>
      <w:r w:rsidR="006208AE" w:rsidRPr="007D7068">
        <w:rPr>
          <w:rFonts w:asciiTheme="minorHAnsi" w:hAnsiTheme="minorHAnsi"/>
          <w:lang w:val="en-US"/>
        </w:rPr>
        <w:t xml:space="preserve">to </w:t>
      </w:r>
      <w:r w:rsidR="00486315" w:rsidRPr="007D7068">
        <w:rPr>
          <w:rFonts w:asciiTheme="minorHAnsi" w:hAnsiTheme="minorHAnsi"/>
          <w:lang w:val="en-US"/>
        </w:rPr>
        <w:t>r</w:t>
      </w:r>
      <w:r w:rsidR="00BE114C" w:rsidRPr="007D7068">
        <w:rPr>
          <w:rFonts w:asciiTheme="minorHAnsi" w:hAnsiTheme="minorHAnsi"/>
          <w:lang w:val="en-US"/>
        </w:rPr>
        <w:t xml:space="preserve">egulators, </w:t>
      </w:r>
      <w:r w:rsidR="006208AE" w:rsidRPr="007D7068">
        <w:rPr>
          <w:rFonts w:asciiTheme="minorHAnsi" w:hAnsiTheme="minorHAnsi"/>
          <w:lang w:val="en-US"/>
        </w:rPr>
        <w:t xml:space="preserve">and to </w:t>
      </w:r>
      <w:r w:rsidR="00BE114C" w:rsidRPr="007D7068">
        <w:rPr>
          <w:rFonts w:asciiTheme="minorHAnsi" w:hAnsiTheme="minorHAnsi"/>
          <w:lang w:val="en-US"/>
        </w:rPr>
        <w:t xml:space="preserve">answer queries. </w:t>
      </w:r>
      <w:r w:rsidR="00577917" w:rsidRPr="007D7068">
        <w:rPr>
          <w:rFonts w:asciiTheme="minorHAnsi" w:hAnsiTheme="minorHAnsi"/>
          <w:lang w:val="en-US"/>
        </w:rPr>
        <w:t>Due to lack of re</w:t>
      </w:r>
      <w:r w:rsidR="00C22D3F" w:rsidRPr="007D7068">
        <w:rPr>
          <w:rFonts w:asciiTheme="minorHAnsi" w:hAnsiTheme="minorHAnsi"/>
          <w:lang w:val="en-US"/>
        </w:rPr>
        <w:t>s</w:t>
      </w:r>
      <w:r w:rsidR="00577917" w:rsidRPr="007D7068">
        <w:rPr>
          <w:rFonts w:asciiTheme="minorHAnsi" w:hAnsiTheme="minorHAnsi"/>
          <w:lang w:val="en-US"/>
        </w:rPr>
        <w:t>p</w:t>
      </w:r>
      <w:r w:rsidR="00C22D3F" w:rsidRPr="007D7068">
        <w:rPr>
          <w:rFonts w:asciiTheme="minorHAnsi" w:hAnsiTheme="minorHAnsi"/>
          <w:lang w:val="en-US"/>
        </w:rPr>
        <w:t>onses</w:t>
      </w:r>
      <w:r w:rsidR="00577917" w:rsidRPr="007D7068">
        <w:rPr>
          <w:rFonts w:asciiTheme="minorHAnsi" w:hAnsiTheme="minorHAnsi"/>
          <w:lang w:val="en-US"/>
        </w:rPr>
        <w:t xml:space="preserve"> from relevant agencies, including national regulators, </w:t>
      </w:r>
      <w:r w:rsidR="008C289D" w:rsidRPr="007D7068">
        <w:rPr>
          <w:rFonts w:asciiTheme="minorHAnsi" w:hAnsiTheme="minorHAnsi"/>
          <w:lang w:val="en-US"/>
        </w:rPr>
        <w:t>up-to-date</w:t>
      </w:r>
      <w:r w:rsidR="00577917" w:rsidRPr="007D7068">
        <w:rPr>
          <w:rFonts w:asciiTheme="minorHAnsi" w:hAnsiTheme="minorHAnsi"/>
          <w:lang w:val="en-US"/>
        </w:rPr>
        <w:t xml:space="preserve"> email addresses</w:t>
      </w:r>
      <w:r w:rsidR="00C22D3F" w:rsidRPr="007D7068">
        <w:rPr>
          <w:rFonts w:asciiTheme="minorHAnsi" w:hAnsiTheme="minorHAnsi"/>
          <w:lang w:val="en-US"/>
        </w:rPr>
        <w:t xml:space="preserve"> are </w:t>
      </w:r>
      <w:r w:rsidR="00A464FD" w:rsidRPr="007D7068">
        <w:rPr>
          <w:rFonts w:asciiTheme="minorHAnsi" w:hAnsiTheme="minorHAnsi"/>
          <w:lang w:val="en-US"/>
        </w:rPr>
        <w:t xml:space="preserve">still </w:t>
      </w:r>
      <w:r w:rsidR="00C22D3F" w:rsidRPr="007D7068">
        <w:rPr>
          <w:rFonts w:asciiTheme="minorHAnsi" w:hAnsiTheme="minorHAnsi"/>
          <w:lang w:val="en-US"/>
        </w:rPr>
        <w:t>not available</w:t>
      </w:r>
      <w:r w:rsidR="006208AE" w:rsidRPr="007D7068">
        <w:rPr>
          <w:rFonts w:asciiTheme="minorHAnsi" w:hAnsiTheme="minorHAnsi"/>
          <w:lang w:val="en-US"/>
        </w:rPr>
        <w:t xml:space="preserve"> for several assignees</w:t>
      </w:r>
      <w:r w:rsidR="00577917" w:rsidRPr="007D7068">
        <w:rPr>
          <w:rFonts w:asciiTheme="minorHAnsi" w:hAnsiTheme="minorHAnsi"/>
          <w:lang w:val="en-US"/>
        </w:rPr>
        <w:t>. T</w:t>
      </w:r>
      <w:r w:rsidR="00D71306" w:rsidRPr="007D7068">
        <w:rPr>
          <w:rFonts w:asciiTheme="minorHAnsi" w:hAnsiTheme="minorHAnsi"/>
          <w:lang w:val="en-US"/>
        </w:rPr>
        <w:t>he situation is as follows:</w:t>
      </w:r>
    </w:p>
    <w:p w14:paraId="1CE4989E" w14:textId="77777777" w:rsidR="00B24FA5" w:rsidRPr="007D7068" w:rsidRDefault="00B24FA5" w:rsidP="00534CAE">
      <w:pPr>
        <w:pStyle w:val="ListParagraph"/>
        <w:numPr>
          <w:ilvl w:val="0"/>
          <w:numId w:val="2"/>
        </w:numPr>
        <w:spacing w:before="240" w:after="240"/>
        <w:ind w:left="1077"/>
        <w:rPr>
          <w:rFonts w:asciiTheme="minorHAnsi" w:hAnsiTheme="minorHAnsi"/>
          <w:lang w:val="en-US"/>
        </w:rPr>
      </w:pPr>
      <w:r w:rsidRPr="007D7068">
        <w:rPr>
          <w:rFonts w:asciiTheme="minorHAnsi" w:hAnsiTheme="minorHAnsi"/>
          <w:lang w:val="en-US"/>
        </w:rPr>
        <w:t>UIFN: 11 entities with no email address (6 of them with 0 UIFNs) and no updated contacts for the 42 entities with bounced e-mail messages (11 of them with 0 UIFNs).</w:t>
      </w:r>
    </w:p>
    <w:p w14:paraId="366CB29E" w14:textId="67ACBE36" w:rsidR="00B24FA5" w:rsidRPr="007D7068" w:rsidRDefault="00B24FA5" w:rsidP="00534CAE">
      <w:pPr>
        <w:pStyle w:val="ListParagraph"/>
        <w:numPr>
          <w:ilvl w:val="0"/>
          <w:numId w:val="2"/>
        </w:numPr>
        <w:spacing w:before="120" w:after="120"/>
        <w:ind w:left="1077"/>
        <w:rPr>
          <w:rFonts w:asciiTheme="minorHAnsi" w:hAnsiTheme="minorHAnsi"/>
          <w:lang w:val="en-US"/>
        </w:rPr>
      </w:pPr>
      <w:r w:rsidRPr="007D7068">
        <w:rPr>
          <w:rFonts w:asciiTheme="minorHAnsi" w:hAnsiTheme="minorHAnsi"/>
          <w:lang w:val="en-US"/>
        </w:rPr>
        <w:t>IIN:  288 entities with no email address and no updated contacts for the 142 entities with bounced e-mail messages.</w:t>
      </w:r>
    </w:p>
    <w:p w14:paraId="39EC362C" w14:textId="584E9750" w:rsidR="00577917" w:rsidRPr="007D7068" w:rsidRDefault="00B24FA5" w:rsidP="00B24FA5">
      <w:pPr>
        <w:spacing w:before="120" w:after="120"/>
        <w:rPr>
          <w:rFonts w:asciiTheme="minorHAnsi" w:hAnsiTheme="minorHAnsi"/>
          <w:lang w:val="en-US"/>
        </w:rPr>
      </w:pPr>
      <w:r w:rsidRPr="007D7068">
        <w:rPr>
          <w:rFonts w:asciiTheme="minorHAnsi" w:hAnsiTheme="minorHAnsi"/>
          <w:lang w:val="en-US"/>
        </w:rPr>
        <w:t>5</w:t>
      </w:r>
      <w:r w:rsidR="00DD41A5" w:rsidRPr="007D7068">
        <w:rPr>
          <w:rFonts w:asciiTheme="minorHAnsi" w:hAnsiTheme="minorHAnsi"/>
          <w:lang w:val="en-US"/>
        </w:rPr>
        <w:t>.</w:t>
      </w:r>
      <w:r w:rsidR="00577917" w:rsidRPr="007D7068">
        <w:rPr>
          <w:rFonts w:asciiTheme="minorHAnsi" w:hAnsiTheme="minorHAnsi"/>
          <w:lang w:val="en-US"/>
        </w:rPr>
        <w:t xml:space="preserve"> </w:t>
      </w:r>
      <w:r w:rsidR="00D43B9F" w:rsidRPr="007D7068">
        <w:rPr>
          <w:rFonts w:asciiTheme="minorHAnsi" w:hAnsiTheme="minorHAnsi"/>
          <w:lang w:val="en-US"/>
        </w:rPr>
        <w:tab/>
      </w:r>
      <w:r w:rsidR="00322F32" w:rsidRPr="007D7068">
        <w:rPr>
          <w:rFonts w:asciiTheme="minorHAnsi" w:hAnsiTheme="minorHAnsi"/>
          <w:lang w:val="en-US"/>
        </w:rPr>
        <w:t xml:space="preserve">Improvements to relevant ITU Billing system and UIFN system have been undergoing. </w:t>
      </w:r>
      <w:r w:rsidR="00431B0B" w:rsidRPr="007D7068">
        <w:rPr>
          <w:rFonts w:asciiTheme="minorHAnsi" w:hAnsiTheme="minorHAnsi"/>
          <w:lang w:val="en-US"/>
        </w:rPr>
        <w:t xml:space="preserve">The first user acceptance test was completed. </w:t>
      </w:r>
    </w:p>
    <w:p w14:paraId="76DE8E97" w14:textId="30967109" w:rsidR="00D43B9F" w:rsidRPr="007D7068" w:rsidRDefault="00B24FA5" w:rsidP="00B24FA5">
      <w:pPr>
        <w:spacing w:before="120" w:after="120"/>
        <w:rPr>
          <w:rFonts w:asciiTheme="minorHAnsi" w:hAnsiTheme="minorHAnsi"/>
          <w:lang w:val="en-US"/>
        </w:rPr>
      </w:pPr>
      <w:r w:rsidRPr="007D7068">
        <w:rPr>
          <w:rFonts w:asciiTheme="minorHAnsi" w:hAnsiTheme="minorHAnsi"/>
          <w:lang w:val="en-US"/>
        </w:rPr>
        <w:t>6</w:t>
      </w:r>
      <w:r w:rsidR="00D43B9F" w:rsidRPr="007D7068">
        <w:rPr>
          <w:rFonts w:asciiTheme="minorHAnsi" w:hAnsiTheme="minorHAnsi"/>
          <w:lang w:val="en-US"/>
        </w:rPr>
        <w:t>.</w:t>
      </w:r>
      <w:r w:rsidR="00D43B9F" w:rsidRPr="007D7068">
        <w:rPr>
          <w:rFonts w:asciiTheme="minorHAnsi" w:hAnsiTheme="minorHAnsi"/>
          <w:lang w:val="en-US"/>
        </w:rPr>
        <w:tab/>
        <w:t>Revisions were proposed to Recommendation ITU-T E.169.1 “</w:t>
      </w:r>
      <w:r w:rsidR="00465ABF" w:rsidRPr="007D7068">
        <w:rPr>
          <w:rFonts w:asciiTheme="minorHAnsi" w:hAnsiTheme="minorHAnsi"/>
          <w:lang w:val="en-US"/>
        </w:rPr>
        <w:t>Application of Recommendation E.164 numbering plan for universal international freephone numbers for international freephone service</w:t>
      </w:r>
      <w:r w:rsidR="00D43B9F" w:rsidRPr="007D7068">
        <w:rPr>
          <w:rFonts w:asciiTheme="minorHAnsi" w:hAnsiTheme="minorHAnsi"/>
          <w:lang w:val="en-US"/>
        </w:rPr>
        <w:t xml:space="preserve">” and </w:t>
      </w:r>
      <w:r w:rsidR="00486315" w:rsidRPr="007D7068">
        <w:rPr>
          <w:rFonts w:asciiTheme="minorHAnsi" w:hAnsiTheme="minorHAnsi"/>
          <w:lang w:val="en-US"/>
        </w:rPr>
        <w:t xml:space="preserve">ITU-T </w:t>
      </w:r>
      <w:r w:rsidR="00D43B9F" w:rsidRPr="007D7068">
        <w:rPr>
          <w:rFonts w:asciiTheme="minorHAnsi" w:hAnsiTheme="minorHAnsi"/>
          <w:lang w:val="en-US"/>
        </w:rPr>
        <w:t>E.118</w:t>
      </w:r>
      <w:r w:rsidR="00465ABF" w:rsidRPr="007D7068">
        <w:rPr>
          <w:rFonts w:asciiTheme="minorHAnsi" w:hAnsiTheme="minorHAnsi"/>
          <w:lang w:val="en-US"/>
        </w:rPr>
        <w:t xml:space="preserve"> </w:t>
      </w:r>
      <w:r w:rsidR="00486315" w:rsidRPr="007D7068">
        <w:rPr>
          <w:rFonts w:asciiTheme="minorHAnsi" w:hAnsiTheme="minorHAnsi"/>
          <w:lang w:val="en-US"/>
        </w:rPr>
        <w:t>“</w:t>
      </w:r>
      <w:r w:rsidR="00465ABF" w:rsidRPr="007D7068">
        <w:rPr>
          <w:rFonts w:asciiTheme="minorHAnsi" w:hAnsiTheme="minorHAnsi"/>
          <w:lang w:val="en-US"/>
        </w:rPr>
        <w:t>The international telecommunication charge</w:t>
      </w:r>
      <w:r w:rsidRPr="007D7068">
        <w:rPr>
          <w:rFonts w:asciiTheme="minorHAnsi" w:hAnsiTheme="minorHAnsi"/>
          <w:lang w:val="en-US"/>
        </w:rPr>
        <w:t xml:space="preserve"> </w:t>
      </w:r>
      <w:r w:rsidR="00465ABF" w:rsidRPr="007D7068">
        <w:rPr>
          <w:rFonts w:asciiTheme="minorHAnsi" w:hAnsiTheme="minorHAnsi"/>
          <w:lang w:val="en-US"/>
        </w:rPr>
        <w:t>card</w:t>
      </w:r>
      <w:r w:rsidR="00D43B9F" w:rsidRPr="007D7068">
        <w:rPr>
          <w:rFonts w:asciiTheme="minorHAnsi" w:hAnsiTheme="minorHAnsi"/>
          <w:lang w:val="en-US"/>
        </w:rPr>
        <w:t xml:space="preserve">” to reflect Council Decision 600 and 601. The draft revised ITU-T E.169.1 and E.118 were discussed in ITU-T SG2 meeting of 27 November to 1 December 2017, but could not be agreed for determination. It was noted that whilst E.118 IINs were administered by member states and could not be reclaimed without their decision, reclaiming the resource in absence of payment can be considered for UIFNs as the resources are under the responsibility of </w:t>
      </w:r>
      <w:r w:rsidR="00486315" w:rsidRPr="007D7068">
        <w:rPr>
          <w:rFonts w:asciiTheme="minorHAnsi" w:hAnsiTheme="minorHAnsi"/>
          <w:lang w:val="en-US"/>
        </w:rPr>
        <w:t>TSB</w:t>
      </w:r>
      <w:r w:rsidR="00D43B9F" w:rsidRPr="007D7068">
        <w:rPr>
          <w:rFonts w:asciiTheme="minorHAnsi" w:hAnsiTheme="minorHAnsi"/>
          <w:lang w:val="en-US"/>
        </w:rPr>
        <w:t>.</w:t>
      </w:r>
    </w:p>
    <w:p w14:paraId="34854E44" w14:textId="29FDB87B" w:rsidR="00E84A18" w:rsidRPr="007D7068" w:rsidRDefault="00E84A18" w:rsidP="00D80F22">
      <w:pPr>
        <w:pStyle w:val="Heading2"/>
        <w:keepNext w:val="0"/>
        <w:keepLines w:val="0"/>
        <w:snapToGrid w:val="0"/>
        <w:spacing w:before="480" w:after="120"/>
        <w:jc w:val="both"/>
        <w:rPr>
          <w:rFonts w:asciiTheme="minorHAnsi" w:hAnsiTheme="minorHAnsi" w:cs="Times New Roman"/>
          <w:b/>
          <w:bCs/>
          <w:sz w:val="24"/>
          <w:szCs w:val="24"/>
        </w:rPr>
      </w:pPr>
      <w:r w:rsidRPr="007D7068">
        <w:rPr>
          <w:rFonts w:asciiTheme="minorHAnsi" w:hAnsiTheme="minorHAnsi" w:cs="Times New Roman"/>
          <w:bCs/>
          <w:sz w:val="24"/>
          <w:szCs w:val="24"/>
        </w:rPr>
        <w:t>C.</w:t>
      </w:r>
      <w:r w:rsidRPr="007D7068">
        <w:rPr>
          <w:rFonts w:asciiTheme="minorHAnsi" w:hAnsiTheme="minorHAnsi" w:cs="Times New Roman"/>
          <w:bCs/>
          <w:sz w:val="24"/>
          <w:szCs w:val="24"/>
        </w:rPr>
        <w:tab/>
      </w:r>
      <w:r w:rsidR="00D80F22" w:rsidRPr="007D7068">
        <w:rPr>
          <w:rFonts w:asciiTheme="minorHAnsi" w:hAnsiTheme="minorHAnsi" w:cs="Times New Roman"/>
          <w:bCs/>
          <w:sz w:val="24"/>
          <w:szCs w:val="24"/>
        </w:rPr>
        <w:t>Ob</w:t>
      </w:r>
      <w:r w:rsidR="008915F8" w:rsidRPr="007D7068">
        <w:rPr>
          <w:rFonts w:asciiTheme="minorHAnsi" w:hAnsiTheme="minorHAnsi" w:cs="Times New Roman"/>
          <w:bCs/>
          <w:sz w:val="24"/>
          <w:szCs w:val="24"/>
        </w:rPr>
        <w:t>s</w:t>
      </w:r>
      <w:r w:rsidR="00D80F22" w:rsidRPr="007D7068">
        <w:rPr>
          <w:rFonts w:asciiTheme="minorHAnsi" w:hAnsiTheme="minorHAnsi" w:cs="Times New Roman"/>
          <w:bCs/>
          <w:sz w:val="24"/>
          <w:szCs w:val="24"/>
        </w:rPr>
        <w:t>ervations</w:t>
      </w:r>
    </w:p>
    <w:p w14:paraId="259493D2" w14:textId="0CB5F61B" w:rsidR="0027668A" w:rsidRPr="007D7068" w:rsidRDefault="005465A8">
      <w:pPr>
        <w:shd w:val="clear" w:color="auto" w:fill="FFFFFF"/>
        <w:snapToGrid w:val="0"/>
        <w:spacing w:after="120"/>
        <w:jc w:val="both"/>
        <w:rPr>
          <w:rFonts w:asciiTheme="minorHAnsi" w:hAnsiTheme="minorHAnsi"/>
        </w:rPr>
      </w:pPr>
      <w:r w:rsidRPr="007D7068">
        <w:rPr>
          <w:rFonts w:asciiTheme="minorHAnsi" w:hAnsiTheme="minorHAnsi"/>
        </w:rPr>
        <w:t>7</w:t>
      </w:r>
      <w:r w:rsidR="00D80F22" w:rsidRPr="007D7068">
        <w:rPr>
          <w:rFonts w:asciiTheme="minorHAnsi" w:hAnsiTheme="minorHAnsi"/>
        </w:rPr>
        <w:t>.</w:t>
      </w:r>
      <w:r w:rsidR="00D80F22" w:rsidRPr="007D7068">
        <w:rPr>
          <w:rFonts w:asciiTheme="minorHAnsi" w:hAnsiTheme="minorHAnsi"/>
        </w:rPr>
        <w:tab/>
      </w:r>
      <w:r w:rsidR="0027668A" w:rsidRPr="007D7068">
        <w:rPr>
          <w:rFonts w:asciiTheme="minorHAnsi" w:hAnsiTheme="minorHAnsi"/>
        </w:rPr>
        <w:t xml:space="preserve">A UIFN service provider is an ROA as defined in the Annex of </w:t>
      </w:r>
      <w:r w:rsidR="00486315" w:rsidRPr="007D7068">
        <w:rPr>
          <w:rFonts w:asciiTheme="minorHAnsi" w:hAnsiTheme="minorHAnsi"/>
        </w:rPr>
        <w:t xml:space="preserve">the </w:t>
      </w:r>
      <w:r w:rsidR="0027668A" w:rsidRPr="007D7068">
        <w:rPr>
          <w:rFonts w:asciiTheme="minorHAnsi" w:hAnsiTheme="minorHAnsi"/>
        </w:rPr>
        <w:t xml:space="preserve">ITU Constitution. Administrations of the Member States are invited to inform TSB of any new or updated information on the telecommunication operators and service providers to which they have granted the status of Recognized Operating Agency (ROA), in accordance with Article 6, and Nos. 1007 and 1008 of the Annex to, the Constitution of ITU by using the </w:t>
      </w:r>
      <w:hyperlink r:id="rId18" w:history="1">
        <w:r w:rsidR="0027668A" w:rsidRPr="007D7068">
          <w:rPr>
            <w:rStyle w:val="Hyperlink"/>
            <w:rFonts w:asciiTheme="minorHAnsi" w:hAnsiTheme="minorHAnsi"/>
          </w:rPr>
          <w:t>Notification Form</w:t>
        </w:r>
      </w:hyperlink>
      <w:r w:rsidR="0027668A" w:rsidRPr="007D7068">
        <w:rPr>
          <w:rFonts w:asciiTheme="minorHAnsi" w:hAnsiTheme="minorHAnsi"/>
        </w:rPr>
        <w:t xml:space="preserve">. More information can be found at: </w:t>
      </w:r>
      <w:hyperlink r:id="rId19" w:history="1">
        <w:r w:rsidR="0027668A" w:rsidRPr="007D7068">
          <w:rPr>
            <w:rStyle w:val="Hyperlink"/>
            <w:rFonts w:asciiTheme="minorHAnsi" w:hAnsiTheme="minorHAnsi"/>
          </w:rPr>
          <w:t>https://www.itu.int/en/ITU-T/inr/Pages/roa.aspx</w:t>
        </w:r>
      </w:hyperlink>
      <w:r w:rsidR="0027668A" w:rsidRPr="007D7068">
        <w:rPr>
          <w:rFonts w:asciiTheme="minorHAnsi" w:hAnsiTheme="minorHAnsi"/>
        </w:rPr>
        <w:t xml:space="preserve">. </w:t>
      </w:r>
    </w:p>
    <w:p w14:paraId="260F7102" w14:textId="01ABD872" w:rsidR="0027668A" w:rsidRPr="007D7068" w:rsidRDefault="005465A8" w:rsidP="0027668A">
      <w:pPr>
        <w:shd w:val="clear" w:color="auto" w:fill="FFFFFF"/>
        <w:snapToGrid w:val="0"/>
        <w:spacing w:after="120"/>
        <w:jc w:val="both"/>
        <w:rPr>
          <w:rFonts w:asciiTheme="minorHAnsi" w:hAnsiTheme="minorHAnsi"/>
        </w:rPr>
      </w:pPr>
      <w:r w:rsidRPr="007D7068">
        <w:rPr>
          <w:rFonts w:asciiTheme="minorHAnsi" w:hAnsiTheme="minorHAnsi"/>
        </w:rPr>
        <w:t>8</w:t>
      </w:r>
      <w:r w:rsidR="0027668A" w:rsidRPr="007D7068">
        <w:rPr>
          <w:rFonts w:asciiTheme="minorHAnsi" w:hAnsiTheme="minorHAnsi"/>
        </w:rPr>
        <w:t>.</w:t>
      </w:r>
      <w:r w:rsidR="0027668A" w:rsidRPr="007D7068">
        <w:rPr>
          <w:rFonts w:asciiTheme="minorHAnsi" w:hAnsiTheme="minorHAnsi"/>
        </w:rPr>
        <w:tab/>
        <w:t xml:space="preserve">For IINs, registration of IINs with endorsement from national Administration/regulator and all changes (including contacts) to the IIN records kept by ITU with confirmation from </w:t>
      </w:r>
      <w:r w:rsidR="00486315" w:rsidRPr="007D7068">
        <w:rPr>
          <w:rFonts w:asciiTheme="minorHAnsi" w:hAnsiTheme="minorHAnsi"/>
        </w:rPr>
        <w:t xml:space="preserve">the </w:t>
      </w:r>
      <w:r w:rsidR="0027668A" w:rsidRPr="007D7068">
        <w:rPr>
          <w:rFonts w:asciiTheme="minorHAnsi" w:hAnsiTheme="minorHAnsi"/>
        </w:rPr>
        <w:t xml:space="preserve">national Administration/regulator are published in ITU Operational Bulletin. Some national regulators have kindly provided changes to </w:t>
      </w:r>
      <w:r w:rsidR="00174C71" w:rsidRPr="007D7068">
        <w:rPr>
          <w:rFonts w:asciiTheme="minorHAnsi" w:hAnsiTheme="minorHAnsi"/>
        </w:rPr>
        <w:t xml:space="preserve">quite </w:t>
      </w:r>
      <w:r w:rsidR="0027668A" w:rsidRPr="007D7068">
        <w:rPr>
          <w:rFonts w:asciiTheme="minorHAnsi" w:hAnsiTheme="minorHAnsi"/>
        </w:rPr>
        <w:t xml:space="preserve">a few IINs even </w:t>
      </w:r>
      <w:r w:rsidR="00486315" w:rsidRPr="007D7068">
        <w:rPr>
          <w:rFonts w:asciiTheme="minorHAnsi" w:hAnsiTheme="minorHAnsi"/>
        </w:rPr>
        <w:t xml:space="preserve">though </w:t>
      </w:r>
      <w:r w:rsidR="0027668A" w:rsidRPr="007D7068">
        <w:rPr>
          <w:rFonts w:asciiTheme="minorHAnsi" w:hAnsiTheme="minorHAnsi"/>
        </w:rPr>
        <w:t>TSB’s query was only for one IIN.</w:t>
      </w:r>
      <w:r w:rsidR="00C273BE" w:rsidRPr="007D7068">
        <w:rPr>
          <w:rFonts w:asciiTheme="minorHAnsi" w:hAnsiTheme="minorHAnsi"/>
        </w:rPr>
        <w:t xml:space="preserve"> There has been </w:t>
      </w:r>
      <w:r w:rsidR="00465ABF" w:rsidRPr="007D7068">
        <w:rPr>
          <w:rFonts w:asciiTheme="minorHAnsi" w:hAnsiTheme="minorHAnsi"/>
        </w:rPr>
        <w:t xml:space="preserve">an increase in publishing updated IIN records in </w:t>
      </w:r>
      <w:r w:rsidR="00486315" w:rsidRPr="007D7068">
        <w:rPr>
          <w:rFonts w:asciiTheme="minorHAnsi" w:hAnsiTheme="minorHAnsi"/>
        </w:rPr>
        <w:t xml:space="preserve">the </w:t>
      </w:r>
      <w:r w:rsidR="00465ABF" w:rsidRPr="007D7068">
        <w:rPr>
          <w:rFonts w:asciiTheme="minorHAnsi" w:hAnsiTheme="minorHAnsi"/>
        </w:rPr>
        <w:t>ITU Operational Bulletin to reflect the update information received from national regulators.</w:t>
      </w:r>
      <w:r w:rsidR="0027668A" w:rsidRPr="007D7068">
        <w:rPr>
          <w:rFonts w:asciiTheme="minorHAnsi" w:hAnsiTheme="minorHAnsi"/>
        </w:rPr>
        <w:t xml:space="preserve"> </w:t>
      </w:r>
    </w:p>
    <w:p w14:paraId="7918657C" w14:textId="7D2F51D7" w:rsidR="00E84A18" w:rsidRPr="007D7068" w:rsidRDefault="005465A8">
      <w:pPr>
        <w:shd w:val="clear" w:color="auto" w:fill="FFFFFF"/>
        <w:snapToGrid w:val="0"/>
        <w:spacing w:after="120"/>
        <w:jc w:val="both"/>
        <w:rPr>
          <w:rFonts w:asciiTheme="minorHAnsi" w:hAnsiTheme="minorHAnsi"/>
          <w:b/>
          <w:bCs/>
        </w:rPr>
      </w:pPr>
      <w:r w:rsidRPr="007D7068">
        <w:rPr>
          <w:rFonts w:asciiTheme="minorHAnsi" w:hAnsiTheme="minorHAnsi"/>
        </w:rPr>
        <w:t>9</w:t>
      </w:r>
      <w:r w:rsidR="0027668A" w:rsidRPr="007D7068">
        <w:rPr>
          <w:rFonts w:asciiTheme="minorHAnsi" w:hAnsiTheme="minorHAnsi"/>
        </w:rPr>
        <w:t>.</w:t>
      </w:r>
      <w:r w:rsidR="0027668A" w:rsidRPr="007D7068">
        <w:rPr>
          <w:rFonts w:asciiTheme="minorHAnsi" w:hAnsiTheme="minorHAnsi"/>
        </w:rPr>
        <w:tab/>
      </w:r>
      <w:r w:rsidR="00F3713F" w:rsidRPr="007D7068">
        <w:rPr>
          <w:rFonts w:asciiTheme="minorHAnsi" w:hAnsiTheme="minorHAnsi"/>
        </w:rPr>
        <w:t xml:space="preserve">Most of the UIFNs and IINs were assigned or registered in the 90s. </w:t>
      </w:r>
      <w:r w:rsidR="00486315" w:rsidRPr="007D7068">
        <w:rPr>
          <w:rFonts w:asciiTheme="minorHAnsi" w:hAnsiTheme="minorHAnsi"/>
        </w:rPr>
        <w:t xml:space="preserve">A </w:t>
      </w:r>
      <w:r w:rsidR="00F3713F" w:rsidRPr="007D7068">
        <w:rPr>
          <w:rFonts w:asciiTheme="minorHAnsi" w:hAnsiTheme="minorHAnsi"/>
        </w:rPr>
        <w:t xml:space="preserve">lot of the </w:t>
      </w:r>
      <w:r w:rsidR="0027668A" w:rsidRPr="007D7068">
        <w:rPr>
          <w:rFonts w:asciiTheme="minorHAnsi" w:hAnsiTheme="minorHAnsi"/>
        </w:rPr>
        <w:t>entitie</w:t>
      </w:r>
      <w:r w:rsidR="00F3713F" w:rsidRPr="007D7068">
        <w:rPr>
          <w:rFonts w:asciiTheme="minorHAnsi" w:hAnsiTheme="minorHAnsi"/>
        </w:rPr>
        <w:t>s have merged with</w:t>
      </w:r>
      <w:r w:rsidR="00486315" w:rsidRPr="007D7068">
        <w:rPr>
          <w:rFonts w:asciiTheme="minorHAnsi" w:hAnsiTheme="minorHAnsi"/>
        </w:rPr>
        <w:t>,</w:t>
      </w:r>
      <w:r w:rsidR="00F3713F" w:rsidRPr="007D7068">
        <w:rPr>
          <w:rFonts w:asciiTheme="minorHAnsi" w:hAnsiTheme="minorHAnsi"/>
        </w:rPr>
        <w:t xml:space="preserve"> or </w:t>
      </w:r>
      <w:r w:rsidR="00486315" w:rsidRPr="007D7068">
        <w:rPr>
          <w:rFonts w:asciiTheme="minorHAnsi" w:hAnsiTheme="minorHAnsi"/>
        </w:rPr>
        <w:t xml:space="preserve">have been </w:t>
      </w:r>
      <w:r w:rsidR="00F3713F" w:rsidRPr="007D7068">
        <w:rPr>
          <w:rFonts w:asciiTheme="minorHAnsi" w:hAnsiTheme="minorHAnsi"/>
        </w:rPr>
        <w:t>acquired by</w:t>
      </w:r>
      <w:r w:rsidR="00486315" w:rsidRPr="007D7068">
        <w:rPr>
          <w:rFonts w:asciiTheme="minorHAnsi" w:hAnsiTheme="minorHAnsi"/>
        </w:rPr>
        <w:t>,</w:t>
      </w:r>
      <w:r w:rsidR="00F3713F" w:rsidRPr="007D7068">
        <w:rPr>
          <w:rFonts w:asciiTheme="minorHAnsi" w:hAnsiTheme="minorHAnsi"/>
        </w:rPr>
        <w:t xml:space="preserve"> larger Corporations, or dissolved. This fact makes finding their information very difficult. Some of the national Administra</w:t>
      </w:r>
      <w:r w:rsidR="0027668A" w:rsidRPr="007D7068">
        <w:rPr>
          <w:rFonts w:asciiTheme="minorHAnsi" w:hAnsiTheme="minorHAnsi"/>
        </w:rPr>
        <w:t>t</w:t>
      </w:r>
      <w:r w:rsidR="00F3713F" w:rsidRPr="007D7068">
        <w:rPr>
          <w:rFonts w:asciiTheme="minorHAnsi" w:hAnsiTheme="minorHAnsi"/>
        </w:rPr>
        <w:t xml:space="preserve">ion/regulators do </w:t>
      </w:r>
      <w:r w:rsidR="00A464FD" w:rsidRPr="007D7068">
        <w:rPr>
          <w:rFonts w:asciiTheme="minorHAnsi" w:hAnsiTheme="minorHAnsi"/>
        </w:rPr>
        <w:t xml:space="preserve">not </w:t>
      </w:r>
      <w:r w:rsidR="00F3713F" w:rsidRPr="007D7068">
        <w:rPr>
          <w:rFonts w:asciiTheme="minorHAnsi" w:hAnsiTheme="minorHAnsi"/>
        </w:rPr>
        <w:t>keep information from the 90s.</w:t>
      </w:r>
    </w:p>
    <w:p w14:paraId="64F40855" w14:textId="57E3A3CA" w:rsidR="00BD70C3" w:rsidRPr="007D7068" w:rsidRDefault="00C22D3F" w:rsidP="00B876F6">
      <w:pPr>
        <w:shd w:val="clear" w:color="auto" w:fill="FFFFFF"/>
        <w:snapToGrid w:val="0"/>
        <w:spacing w:after="120"/>
        <w:jc w:val="both"/>
        <w:rPr>
          <w:rFonts w:asciiTheme="minorHAnsi" w:hAnsiTheme="minorHAnsi"/>
        </w:rPr>
      </w:pPr>
      <w:r w:rsidRPr="007D7068">
        <w:rPr>
          <w:rFonts w:asciiTheme="minorHAnsi" w:hAnsiTheme="minorHAnsi"/>
        </w:rPr>
        <w:t>1</w:t>
      </w:r>
      <w:r w:rsidR="005465A8" w:rsidRPr="007D7068">
        <w:rPr>
          <w:rFonts w:asciiTheme="minorHAnsi" w:hAnsiTheme="minorHAnsi"/>
        </w:rPr>
        <w:t>0</w:t>
      </w:r>
      <w:r w:rsidRPr="007D7068">
        <w:rPr>
          <w:rFonts w:asciiTheme="minorHAnsi" w:hAnsiTheme="minorHAnsi"/>
        </w:rPr>
        <w:t>.</w:t>
      </w:r>
      <w:r w:rsidRPr="007D7068">
        <w:rPr>
          <w:rFonts w:asciiTheme="minorHAnsi" w:hAnsiTheme="minorHAnsi"/>
        </w:rPr>
        <w:tab/>
      </w:r>
      <w:r w:rsidR="00BD70C3" w:rsidRPr="007D7068">
        <w:rPr>
          <w:rFonts w:asciiTheme="minorHAnsi" w:hAnsiTheme="minorHAnsi"/>
        </w:rPr>
        <w:t>Certain companies requested disconnections</w:t>
      </w:r>
      <w:r w:rsidR="00486315" w:rsidRPr="007D7068">
        <w:rPr>
          <w:rFonts w:asciiTheme="minorHAnsi" w:hAnsiTheme="minorHAnsi"/>
        </w:rPr>
        <w:t>:</w:t>
      </w:r>
      <w:r w:rsidR="00BD70C3" w:rsidRPr="007D7068">
        <w:rPr>
          <w:rFonts w:asciiTheme="minorHAnsi" w:hAnsiTheme="minorHAnsi"/>
        </w:rPr>
        <w:t xml:space="preserve"> 500</w:t>
      </w:r>
      <w:r w:rsidR="00486315" w:rsidRPr="007D7068">
        <w:rPr>
          <w:rFonts w:asciiTheme="minorHAnsi" w:hAnsiTheme="minorHAnsi"/>
        </w:rPr>
        <w:t>+</w:t>
      </w:r>
      <w:r w:rsidR="00BD70C3" w:rsidRPr="007D7068">
        <w:rPr>
          <w:rFonts w:asciiTheme="minorHAnsi" w:hAnsiTheme="minorHAnsi"/>
        </w:rPr>
        <w:t xml:space="preserve"> UIFNs were disconnected and a few IINs were cancelled.</w:t>
      </w:r>
    </w:p>
    <w:p w14:paraId="5FFC5DA0" w14:textId="3E9A0FE1" w:rsidR="00C22D3F" w:rsidRPr="007D7068" w:rsidRDefault="005465A8">
      <w:pPr>
        <w:shd w:val="clear" w:color="auto" w:fill="FFFFFF"/>
        <w:snapToGrid w:val="0"/>
        <w:spacing w:after="120"/>
        <w:jc w:val="both"/>
        <w:rPr>
          <w:rFonts w:asciiTheme="minorHAnsi" w:hAnsiTheme="minorHAnsi"/>
        </w:rPr>
      </w:pPr>
      <w:r w:rsidRPr="007D7068">
        <w:rPr>
          <w:rFonts w:asciiTheme="minorHAnsi" w:hAnsiTheme="minorHAnsi"/>
        </w:rPr>
        <w:t>11</w:t>
      </w:r>
      <w:r w:rsidR="00B876F6" w:rsidRPr="007D7068">
        <w:rPr>
          <w:rFonts w:asciiTheme="minorHAnsi" w:hAnsiTheme="minorHAnsi"/>
        </w:rPr>
        <w:t>.</w:t>
      </w:r>
      <w:r w:rsidR="00B876F6" w:rsidRPr="007D7068">
        <w:rPr>
          <w:rFonts w:asciiTheme="minorHAnsi" w:hAnsiTheme="minorHAnsi"/>
        </w:rPr>
        <w:tab/>
      </w:r>
      <w:r w:rsidR="008915F8" w:rsidRPr="007D7068">
        <w:rPr>
          <w:rFonts w:asciiTheme="minorHAnsi" w:hAnsiTheme="minorHAnsi"/>
        </w:rPr>
        <w:t xml:space="preserve">ITU’s emails are </w:t>
      </w:r>
      <w:r w:rsidR="00A464FD" w:rsidRPr="007D7068">
        <w:rPr>
          <w:rFonts w:asciiTheme="minorHAnsi" w:hAnsiTheme="minorHAnsi"/>
        </w:rPr>
        <w:t xml:space="preserve">blocked </w:t>
      </w:r>
      <w:r w:rsidR="008915F8" w:rsidRPr="007D7068">
        <w:rPr>
          <w:rFonts w:asciiTheme="minorHAnsi" w:hAnsiTheme="minorHAnsi"/>
        </w:rPr>
        <w:t>by some entities.</w:t>
      </w:r>
    </w:p>
    <w:p w14:paraId="4B2F8CDB" w14:textId="76D39382" w:rsidR="008915F8" w:rsidRPr="007D7068" w:rsidRDefault="008915F8">
      <w:pPr>
        <w:shd w:val="clear" w:color="auto" w:fill="FFFFFF"/>
        <w:snapToGrid w:val="0"/>
        <w:spacing w:after="120"/>
        <w:jc w:val="both"/>
        <w:rPr>
          <w:rFonts w:asciiTheme="minorHAnsi" w:hAnsiTheme="minorHAnsi"/>
        </w:rPr>
      </w:pPr>
      <w:r w:rsidRPr="007D7068">
        <w:rPr>
          <w:rFonts w:asciiTheme="minorHAnsi" w:hAnsiTheme="minorHAnsi"/>
        </w:rPr>
        <w:t>1</w:t>
      </w:r>
      <w:r w:rsidR="005465A8" w:rsidRPr="007D7068">
        <w:rPr>
          <w:rFonts w:asciiTheme="minorHAnsi" w:hAnsiTheme="minorHAnsi"/>
        </w:rPr>
        <w:t>2</w:t>
      </w:r>
      <w:r w:rsidRPr="007D7068">
        <w:rPr>
          <w:rFonts w:asciiTheme="minorHAnsi" w:hAnsiTheme="minorHAnsi"/>
        </w:rPr>
        <w:t>.</w:t>
      </w:r>
      <w:r w:rsidRPr="007D7068">
        <w:rPr>
          <w:rFonts w:asciiTheme="minorHAnsi" w:hAnsiTheme="minorHAnsi"/>
        </w:rPr>
        <w:tab/>
      </w:r>
      <w:r w:rsidR="00486315" w:rsidRPr="007D7068">
        <w:rPr>
          <w:rFonts w:asciiTheme="minorHAnsi" w:hAnsiTheme="minorHAnsi"/>
        </w:rPr>
        <w:t xml:space="preserve">The </w:t>
      </w:r>
      <w:r w:rsidR="00F3713F" w:rsidRPr="007D7068">
        <w:rPr>
          <w:rFonts w:asciiTheme="minorHAnsi" w:hAnsiTheme="minorHAnsi"/>
        </w:rPr>
        <w:t xml:space="preserve">ITU logo was found </w:t>
      </w:r>
      <w:r w:rsidRPr="007D7068">
        <w:rPr>
          <w:rFonts w:asciiTheme="minorHAnsi" w:hAnsiTheme="minorHAnsi"/>
        </w:rPr>
        <w:t>be</w:t>
      </w:r>
      <w:r w:rsidR="00F3713F" w:rsidRPr="007D7068">
        <w:rPr>
          <w:rFonts w:asciiTheme="minorHAnsi" w:hAnsiTheme="minorHAnsi"/>
        </w:rPr>
        <w:t>ing</w:t>
      </w:r>
      <w:r w:rsidRPr="007D7068">
        <w:rPr>
          <w:rFonts w:asciiTheme="minorHAnsi" w:hAnsiTheme="minorHAnsi"/>
        </w:rPr>
        <w:t xml:space="preserve"> illegally used in one case</w:t>
      </w:r>
      <w:r w:rsidR="00486315" w:rsidRPr="007D7068">
        <w:rPr>
          <w:rFonts w:asciiTheme="minorHAnsi" w:hAnsiTheme="minorHAnsi"/>
        </w:rPr>
        <w:t xml:space="preserve">; </w:t>
      </w:r>
      <w:r w:rsidRPr="007D7068">
        <w:rPr>
          <w:rFonts w:asciiTheme="minorHAnsi" w:hAnsiTheme="minorHAnsi"/>
        </w:rPr>
        <w:t>the company could not be reach</w:t>
      </w:r>
      <w:r w:rsidR="00486315" w:rsidRPr="007D7068">
        <w:rPr>
          <w:rFonts w:asciiTheme="minorHAnsi" w:hAnsiTheme="minorHAnsi"/>
        </w:rPr>
        <w:t>ed</w:t>
      </w:r>
      <w:r w:rsidRPr="007D7068">
        <w:rPr>
          <w:rFonts w:asciiTheme="minorHAnsi" w:hAnsiTheme="minorHAnsi"/>
        </w:rPr>
        <w:t xml:space="preserve"> via email or phone.</w:t>
      </w:r>
    </w:p>
    <w:p w14:paraId="4D63B381" w14:textId="72AF4047" w:rsidR="008915F8" w:rsidRPr="007D7068" w:rsidRDefault="008915F8">
      <w:pPr>
        <w:shd w:val="clear" w:color="auto" w:fill="FFFFFF"/>
        <w:snapToGrid w:val="0"/>
        <w:spacing w:after="120"/>
        <w:jc w:val="both"/>
        <w:rPr>
          <w:rFonts w:asciiTheme="minorHAnsi" w:hAnsiTheme="minorHAnsi"/>
        </w:rPr>
      </w:pPr>
      <w:r w:rsidRPr="007D7068">
        <w:rPr>
          <w:rFonts w:asciiTheme="minorHAnsi" w:hAnsiTheme="minorHAnsi"/>
        </w:rPr>
        <w:t>1</w:t>
      </w:r>
      <w:r w:rsidR="005465A8" w:rsidRPr="007D7068">
        <w:rPr>
          <w:rFonts w:asciiTheme="minorHAnsi" w:hAnsiTheme="minorHAnsi"/>
        </w:rPr>
        <w:t>3</w:t>
      </w:r>
      <w:r w:rsidRPr="007D7068">
        <w:rPr>
          <w:rFonts w:asciiTheme="minorHAnsi" w:hAnsiTheme="minorHAnsi"/>
        </w:rPr>
        <w:t>.</w:t>
      </w:r>
      <w:r w:rsidRPr="007D7068">
        <w:rPr>
          <w:rFonts w:asciiTheme="minorHAnsi" w:hAnsiTheme="minorHAnsi"/>
        </w:rPr>
        <w:tab/>
      </w:r>
      <w:r w:rsidR="001A3E52" w:rsidRPr="007D7068">
        <w:rPr>
          <w:rFonts w:asciiTheme="minorHAnsi" w:hAnsiTheme="minorHAnsi"/>
        </w:rPr>
        <w:t xml:space="preserve"> </w:t>
      </w:r>
      <w:r w:rsidR="00174C71" w:rsidRPr="007D7068">
        <w:rPr>
          <w:rFonts w:asciiTheme="minorHAnsi" w:hAnsiTheme="minorHAnsi"/>
        </w:rPr>
        <w:t xml:space="preserve">Queries </w:t>
      </w:r>
      <w:r w:rsidR="00486315" w:rsidRPr="007D7068">
        <w:rPr>
          <w:rFonts w:asciiTheme="minorHAnsi" w:hAnsiTheme="minorHAnsi"/>
        </w:rPr>
        <w:t xml:space="preserve">what would happen </w:t>
      </w:r>
      <w:r w:rsidR="00174C71" w:rsidRPr="007D7068">
        <w:rPr>
          <w:rFonts w:asciiTheme="minorHAnsi" w:hAnsiTheme="minorHAnsi"/>
        </w:rPr>
        <w:t xml:space="preserve">if a service provider for UIFN does not pay the annual maintenance fee </w:t>
      </w:r>
      <w:r w:rsidR="00486315" w:rsidRPr="007D7068">
        <w:rPr>
          <w:rFonts w:asciiTheme="minorHAnsi" w:hAnsiTheme="minorHAnsi"/>
        </w:rPr>
        <w:t>were</w:t>
      </w:r>
      <w:r w:rsidR="00174C71" w:rsidRPr="007D7068">
        <w:rPr>
          <w:rFonts w:asciiTheme="minorHAnsi" w:hAnsiTheme="minorHAnsi"/>
        </w:rPr>
        <w:t xml:space="preserve"> received.</w:t>
      </w:r>
    </w:p>
    <w:p w14:paraId="63070F49" w14:textId="2191B9D4" w:rsidR="00E84A18" w:rsidRPr="007D7068" w:rsidRDefault="002E0B14" w:rsidP="002E0B14">
      <w:pPr>
        <w:pStyle w:val="Heading2"/>
        <w:keepNext w:val="0"/>
        <w:keepLines w:val="0"/>
        <w:snapToGrid w:val="0"/>
        <w:spacing w:before="480" w:after="120"/>
        <w:jc w:val="both"/>
        <w:rPr>
          <w:rFonts w:asciiTheme="minorHAnsi" w:hAnsiTheme="minorHAnsi" w:cs="Times New Roman"/>
          <w:bCs/>
          <w:sz w:val="24"/>
          <w:szCs w:val="24"/>
        </w:rPr>
      </w:pPr>
      <w:r w:rsidRPr="007D7068">
        <w:rPr>
          <w:rFonts w:asciiTheme="minorHAnsi" w:hAnsiTheme="minorHAnsi" w:cs="Times New Roman"/>
          <w:bCs/>
          <w:sz w:val="24"/>
          <w:szCs w:val="24"/>
        </w:rPr>
        <w:t>D</w:t>
      </w:r>
      <w:r w:rsidR="00E84A18" w:rsidRPr="007D7068">
        <w:rPr>
          <w:rFonts w:asciiTheme="minorHAnsi" w:hAnsiTheme="minorHAnsi" w:cs="Times New Roman"/>
          <w:bCs/>
          <w:sz w:val="24"/>
          <w:szCs w:val="24"/>
        </w:rPr>
        <w:t>.</w:t>
      </w:r>
      <w:r w:rsidR="00E84A18" w:rsidRPr="007D7068">
        <w:rPr>
          <w:rFonts w:asciiTheme="minorHAnsi" w:hAnsiTheme="minorHAnsi" w:cs="Times New Roman"/>
          <w:bCs/>
          <w:sz w:val="24"/>
          <w:szCs w:val="24"/>
        </w:rPr>
        <w:tab/>
      </w:r>
      <w:r w:rsidR="00174C71" w:rsidRPr="007D7068">
        <w:rPr>
          <w:rFonts w:asciiTheme="minorHAnsi" w:hAnsiTheme="minorHAnsi" w:cs="Times New Roman"/>
          <w:bCs/>
          <w:sz w:val="24"/>
          <w:szCs w:val="24"/>
        </w:rPr>
        <w:t>Proposal</w:t>
      </w:r>
    </w:p>
    <w:p w14:paraId="20E24CA5" w14:textId="3001E499" w:rsidR="00E84A18" w:rsidRPr="007D7068" w:rsidRDefault="005465A8" w:rsidP="00174C71">
      <w:pPr>
        <w:snapToGrid w:val="0"/>
        <w:spacing w:after="120"/>
        <w:jc w:val="both"/>
        <w:rPr>
          <w:rFonts w:asciiTheme="minorHAnsi" w:hAnsiTheme="minorHAnsi"/>
        </w:rPr>
      </w:pPr>
      <w:r w:rsidRPr="007D7068">
        <w:rPr>
          <w:rFonts w:asciiTheme="minorHAnsi" w:hAnsiTheme="minorHAnsi"/>
        </w:rPr>
        <w:t>14</w:t>
      </w:r>
      <w:r w:rsidR="00E84A18" w:rsidRPr="007D7068">
        <w:rPr>
          <w:rFonts w:asciiTheme="minorHAnsi" w:hAnsiTheme="minorHAnsi"/>
        </w:rPr>
        <w:t>.</w:t>
      </w:r>
      <w:r w:rsidR="00E84A18" w:rsidRPr="007D7068">
        <w:rPr>
          <w:rFonts w:asciiTheme="minorHAnsi" w:hAnsiTheme="minorHAnsi"/>
        </w:rPr>
        <w:tab/>
      </w:r>
      <w:r w:rsidR="00174C71" w:rsidRPr="007D7068">
        <w:rPr>
          <w:rFonts w:asciiTheme="minorHAnsi" w:hAnsiTheme="minorHAnsi"/>
        </w:rPr>
        <w:t xml:space="preserve">National Administrations/regulators are invited to provide focal point for </w:t>
      </w:r>
      <w:r w:rsidR="00813EF0" w:rsidRPr="007D7068">
        <w:rPr>
          <w:rFonts w:asciiTheme="minorHAnsi" w:hAnsiTheme="minorHAnsi"/>
        </w:rPr>
        <w:t xml:space="preserve">providing or </w:t>
      </w:r>
      <w:r w:rsidR="00174C71" w:rsidRPr="007D7068">
        <w:rPr>
          <w:rFonts w:asciiTheme="minorHAnsi" w:hAnsiTheme="minorHAnsi"/>
        </w:rPr>
        <w:t xml:space="preserve">investigating </w:t>
      </w:r>
      <w:r w:rsidR="008C289D" w:rsidRPr="007D7068">
        <w:rPr>
          <w:rFonts w:asciiTheme="minorHAnsi" w:hAnsiTheme="minorHAnsi"/>
        </w:rPr>
        <w:t>up-to-date</w:t>
      </w:r>
      <w:r w:rsidR="00174C71" w:rsidRPr="007D7068">
        <w:rPr>
          <w:rFonts w:asciiTheme="minorHAnsi" w:hAnsiTheme="minorHAnsi"/>
        </w:rPr>
        <w:t xml:space="preserve"> contact</w:t>
      </w:r>
      <w:r w:rsidR="00D9710A" w:rsidRPr="007D7068">
        <w:rPr>
          <w:rFonts w:asciiTheme="minorHAnsi" w:hAnsiTheme="minorHAnsi"/>
        </w:rPr>
        <w:t>s</w:t>
      </w:r>
      <w:r w:rsidR="00174C71" w:rsidRPr="007D7068">
        <w:rPr>
          <w:rFonts w:asciiTheme="minorHAnsi" w:hAnsiTheme="minorHAnsi"/>
        </w:rPr>
        <w:t xml:space="preserve"> for UIFN service providers (RoAs) and the assignees of IINs.</w:t>
      </w:r>
    </w:p>
    <w:p w14:paraId="5D18B011" w14:textId="0E3B1B33" w:rsidR="00B876F6" w:rsidRPr="007D7068" w:rsidRDefault="005465A8">
      <w:pPr>
        <w:snapToGrid w:val="0"/>
        <w:spacing w:after="120"/>
        <w:jc w:val="both"/>
        <w:rPr>
          <w:rFonts w:asciiTheme="minorHAnsi" w:hAnsiTheme="minorHAnsi"/>
        </w:rPr>
      </w:pPr>
      <w:r w:rsidRPr="007D7068">
        <w:rPr>
          <w:rFonts w:asciiTheme="minorHAnsi" w:hAnsiTheme="minorHAnsi"/>
        </w:rPr>
        <w:t>15</w:t>
      </w:r>
      <w:r w:rsidR="00B876F6" w:rsidRPr="007D7068">
        <w:rPr>
          <w:rFonts w:asciiTheme="minorHAnsi" w:hAnsiTheme="minorHAnsi"/>
        </w:rPr>
        <w:t xml:space="preserve">. </w:t>
      </w:r>
      <w:r w:rsidR="00B876F6" w:rsidRPr="007D7068">
        <w:rPr>
          <w:rFonts w:asciiTheme="minorHAnsi" w:hAnsiTheme="minorHAnsi"/>
        </w:rPr>
        <w:tab/>
      </w:r>
      <w:r w:rsidR="00A4216A" w:rsidRPr="007D7068">
        <w:rPr>
          <w:rFonts w:asciiTheme="minorHAnsi" w:hAnsiTheme="minorHAnsi"/>
        </w:rPr>
        <w:t>It is proposed that f</w:t>
      </w:r>
      <w:r w:rsidR="00B876F6" w:rsidRPr="007D7068">
        <w:rPr>
          <w:rFonts w:asciiTheme="minorHAnsi" w:hAnsiTheme="minorHAnsi"/>
        </w:rPr>
        <w:t xml:space="preserve">or the entities </w:t>
      </w:r>
      <w:r w:rsidR="00A4216A" w:rsidRPr="007D7068">
        <w:rPr>
          <w:rFonts w:asciiTheme="minorHAnsi" w:hAnsiTheme="minorHAnsi"/>
        </w:rPr>
        <w:t>for</w:t>
      </w:r>
      <w:r w:rsidR="00B53EC8" w:rsidRPr="007D7068">
        <w:rPr>
          <w:rFonts w:asciiTheme="minorHAnsi" w:hAnsiTheme="minorHAnsi"/>
        </w:rPr>
        <w:t xml:space="preserve"> </w:t>
      </w:r>
      <w:r w:rsidR="00B876F6" w:rsidRPr="007D7068">
        <w:rPr>
          <w:rFonts w:asciiTheme="minorHAnsi" w:hAnsiTheme="minorHAnsi"/>
        </w:rPr>
        <w:t xml:space="preserve">which national Administrations/regulators </w:t>
      </w:r>
      <w:r w:rsidR="00B53EC8" w:rsidRPr="007D7068">
        <w:rPr>
          <w:rFonts w:asciiTheme="minorHAnsi" w:hAnsiTheme="minorHAnsi"/>
        </w:rPr>
        <w:t>have lost</w:t>
      </w:r>
      <w:r w:rsidR="00B876F6" w:rsidRPr="007D7068">
        <w:rPr>
          <w:rFonts w:asciiTheme="minorHAnsi" w:hAnsiTheme="minorHAnsi"/>
        </w:rPr>
        <w:t xml:space="preserve"> co</w:t>
      </w:r>
      <w:r w:rsidR="00B53EC8" w:rsidRPr="007D7068">
        <w:rPr>
          <w:rFonts w:asciiTheme="minorHAnsi" w:hAnsiTheme="minorHAnsi"/>
        </w:rPr>
        <w:t xml:space="preserve">ntact and </w:t>
      </w:r>
      <w:r w:rsidR="00A4216A" w:rsidRPr="007D7068">
        <w:rPr>
          <w:rFonts w:asciiTheme="minorHAnsi" w:hAnsiTheme="minorHAnsi"/>
        </w:rPr>
        <w:t xml:space="preserve">for which they </w:t>
      </w:r>
      <w:r w:rsidR="00B53EC8" w:rsidRPr="007D7068">
        <w:rPr>
          <w:rFonts w:asciiTheme="minorHAnsi" w:hAnsiTheme="minorHAnsi"/>
        </w:rPr>
        <w:t xml:space="preserve">cannot find out new contacts </w:t>
      </w:r>
      <w:r w:rsidR="00A4216A" w:rsidRPr="007D7068">
        <w:rPr>
          <w:rFonts w:asciiTheme="minorHAnsi" w:hAnsiTheme="minorHAnsi"/>
        </w:rPr>
        <w:t>by</w:t>
      </w:r>
      <w:r w:rsidR="00B53EC8" w:rsidRPr="007D7068">
        <w:rPr>
          <w:rFonts w:asciiTheme="minorHAnsi" w:hAnsiTheme="minorHAnsi"/>
        </w:rPr>
        <w:t xml:space="preserve"> </w:t>
      </w:r>
      <w:r w:rsidR="00465ABF" w:rsidRPr="007D7068">
        <w:rPr>
          <w:rFonts w:asciiTheme="minorHAnsi" w:hAnsiTheme="minorHAnsi"/>
        </w:rPr>
        <w:t xml:space="preserve">30 </w:t>
      </w:r>
      <w:r w:rsidR="00B53EC8" w:rsidRPr="007D7068">
        <w:rPr>
          <w:rFonts w:asciiTheme="minorHAnsi" w:hAnsiTheme="minorHAnsi"/>
        </w:rPr>
        <w:t xml:space="preserve">June 2018, all records relevant to these entities </w:t>
      </w:r>
      <w:r w:rsidR="00D26B40" w:rsidRPr="007D7068">
        <w:rPr>
          <w:rFonts w:asciiTheme="minorHAnsi" w:hAnsiTheme="minorHAnsi"/>
        </w:rPr>
        <w:t xml:space="preserve">will be removed from </w:t>
      </w:r>
      <w:r w:rsidR="00A4216A" w:rsidRPr="007D7068">
        <w:rPr>
          <w:rFonts w:asciiTheme="minorHAnsi" w:hAnsiTheme="minorHAnsi"/>
        </w:rPr>
        <w:t xml:space="preserve">the </w:t>
      </w:r>
      <w:r w:rsidR="00D26B40" w:rsidRPr="007D7068">
        <w:rPr>
          <w:rFonts w:asciiTheme="minorHAnsi" w:hAnsiTheme="minorHAnsi"/>
        </w:rPr>
        <w:t xml:space="preserve">ITU database based on </w:t>
      </w:r>
      <w:r w:rsidR="00465ABF" w:rsidRPr="007D7068">
        <w:rPr>
          <w:rFonts w:asciiTheme="minorHAnsi" w:hAnsiTheme="minorHAnsi"/>
        </w:rPr>
        <w:t>confirmation</w:t>
      </w:r>
      <w:r w:rsidR="00D26B40" w:rsidRPr="007D7068">
        <w:rPr>
          <w:rFonts w:asciiTheme="minorHAnsi" w:hAnsiTheme="minorHAnsi"/>
        </w:rPr>
        <w:t>s</w:t>
      </w:r>
      <w:r w:rsidR="00465ABF" w:rsidRPr="007D7068">
        <w:rPr>
          <w:rFonts w:asciiTheme="minorHAnsi" w:hAnsiTheme="minorHAnsi"/>
        </w:rPr>
        <w:t>/notifications</w:t>
      </w:r>
      <w:r w:rsidR="00D26B40" w:rsidRPr="007D7068">
        <w:rPr>
          <w:rFonts w:asciiTheme="minorHAnsi" w:hAnsiTheme="minorHAnsi"/>
        </w:rPr>
        <w:t xml:space="preserve"> from national Administration</w:t>
      </w:r>
      <w:r w:rsidR="00465ABF" w:rsidRPr="007D7068">
        <w:rPr>
          <w:rFonts w:asciiTheme="minorHAnsi" w:hAnsiTheme="minorHAnsi"/>
        </w:rPr>
        <w:t>s</w:t>
      </w:r>
      <w:r w:rsidR="00D26B40" w:rsidRPr="007D7068">
        <w:rPr>
          <w:rFonts w:asciiTheme="minorHAnsi" w:hAnsiTheme="minorHAnsi"/>
        </w:rPr>
        <w:t>/regulators.</w:t>
      </w:r>
    </w:p>
    <w:p w14:paraId="1229C085" w14:textId="20C46781" w:rsidR="002D6639" w:rsidRPr="007D7068" w:rsidRDefault="002D6639" w:rsidP="002D6639">
      <w:pPr>
        <w:snapToGrid w:val="0"/>
        <w:spacing w:before="840"/>
        <w:jc w:val="center"/>
        <w:rPr>
          <w:rFonts w:asciiTheme="minorHAnsi" w:hAnsiTheme="minorHAnsi"/>
        </w:rPr>
      </w:pPr>
      <w:r w:rsidRPr="007D7068">
        <w:rPr>
          <w:rFonts w:asciiTheme="minorHAnsi" w:hAnsiTheme="minorHAnsi"/>
        </w:rPr>
        <w:t>_______________</w:t>
      </w:r>
    </w:p>
    <w:sectPr w:rsidR="002D6639" w:rsidRPr="007D7068" w:rsidSect="00C0037A">
      <w:headerReference w:type="default" r:id="rId20"/>
      <w:pgSz w:w="11905" w:h="16837" w:code="9"/>
      <w:pgMar w:top="1134" w:right="1134" w:bottom="993" w:left="1134"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77E6C" w14:textId="77777777" w:rsidR="00DA1C88" w:rsidRDefault="00DA1C88" w:rsidP="005E4CD9">
      <w:r>
        <w:separator/>
      </w:r>
    </w:p>
  </w:endnote>
  <w:endnote w:type="continuationSeparator" w:id="0">
    <w:p w14:paraId="40D54841" w14:textId="77777777" w:rsidR="00DA1C88" w:rsidRDefault="00DA1C88" w:rsidP="005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6B942" w14:textId="77777777" w:rsidR="00DA1C88" w:rsidRDefault="00DA1C88" w:rsidP="005E4CD9">
      <w:r>
        <w:separator/>
      </w:r>
    </w:p>
  </w:footnote>
  <w:footnote w:type="continuationSeparator" w:id="0">
    <w:p w14:paraId="4237F9E2" w14:textId="77777777" w:rsidR="00DA1C88" w:rsidRDefault="00DA1C88" w:rsidP="005E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08DC" w14:textId="77777777" w:rsidR="00330E29" w:rsidRPr="000242F3" w:rsidRDefault="00330E29" w:rsidP="000242F3">
    <w:pPr>
      <w:pStyle w:val="Header"/>
      <w:jc w:val="center"/>
      <w:rPr>
        <w:rFonts w:ascii="Calibri" w:hAnsi="Calibri"/>
        <w:sz w:val="22"/>
        <w:szCs w:val="22"/>
      </w:rPr>
    </w:pPr>
    <w:r w:rsidRPr="000242F3">
      <w:rPr>
        <w:rFonts w:ascii="Calibri" w:hAnsi="Calibri"/>
        <w:sz w:val="22"/>
        <w:szCs w:val="22"/>
      </w:rPr>
      <w:t>- </w:t>
    </w:r>
    <w:sdt>
      <w:sdtPr>
        <w:rPr>
          <w:rFonts w:ascii="Calibri" w:hAnsi="Calibri"/>
          <w:sz w:val="22"/>
          <w:szCs w:val="22"/>
        </w:rPr>
        <w:id w:val="-1907358860"/>
        <w:docPartObj>
          <w:docPartGallery w:val="Page Numbers (Top of Page)"/>
          <w:docPartUnique/>
        </w:docPartObj>
      </w:sdtPr>
      <w:sdtEndPr>
        <w:rPr>
          <w:noProof/>
        </w:rPr>
      </w:sdtEndPr>
      <w:sdtContent>
        <w:r w:rsidRPr="000242F3">
          <w:rPr>
            <w:rFonts w:ascii="Calibri" w:hAnsi="Calibri"/>
            <w:sz w:val="22"/>
            <w:szCs w:val="22"/>
          </w:rPr>
          <w:fldChar w:fldCharType="begin"/>
        </w:r>
        <w:r w:rsidRPr="000242F3">
          <w:rPr>
            <w:rFonts w:ascii="Calibri" w:hAnsi="Calibri"/>
            <w:sz w:val="22"/>
            <w:szCs w:val="22"/>
          </w:rPr>
          <w:instrText xml:space="preserve"> PAGE   \* MERGEFORMAT </w:instrText>
        </w:r>
        <w:r w:rsidRPr="000242F3">
          <w:rPr>
            <w:rFonts w:ascii="Calibri" w:hAnsi="Calibri"/>
            <w:sz w:val="22"/>
            <w:szCs w:val="22"/>
          </w:rPr>
          <w:fldChar w:fldCharType="separate"/>
        </w:r>
        <w:r w:rsidR="00534CAE">
          <w:rPr>
            <w:rFonts w:ascii="Calibri" w:hAnsi="Calibri"/>
            <w:noProof/>
            <w:sz w:val="22"/>
            <w:szCs w:val="22"/>
          </w:rPr>
          <w:t>3</w:t>
        </w:r>
        <w:r w:rsidRPr="000242F3">
          <w:rPr>
            <w:rFonts w:ascii="Calibri" w:hAnsi="Calibri"/>
            <w:noProof/>
            <w:sz w:val="22"/>
            <w:szCs w:val="22"/>
          </w:rPr>
          <w:fldChar w:fldCharType="end"/>
        </w:r>
        <w:r>
          <w:rPr>
            <w:rFonts w:ascii="Calibri" w:hAnsi="Calibri"/>
            <w:noProof/>
            <w:sz w:val="22"/>
            <w:szCs w:val="22"/>
          </w:rPr>
          <w:t> </w:t>
        </w:r>
        <w:r w:rsidRPr="000242F3">
          <w:rPr>
            <w:rFonts w:ascii="Calibri" w:hAnsi="Calibri"/>
            <w:noProof/>
            <w:sz w:val="22"/>
            <w:szCs w:val="22"/>
          </w:rPr>
          <w:t>-</w:t>
        </w:r>
      </w:sdtContent>
    </w:sdt>
  </w:p>
  <w:p w14:paraId="7EC3A0BB" w14:textId="77777777" w:rsidR="00330E29" w:rsidRPr="000242F3" w:rsidRDefault="00330E29" w:rsidP="000242F3">
    <w:pPr>
      <w:pStyle w:val="Header"/>
      <w:jc w:val="center"/>
      <w:rPr>
        <w:rFonts w:ascii="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B45FA"/>
    <w:multiLevelType w:val="hybridMultilevel"/>
    <w:tmpl w:val="857A0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300B3F"/>
    <w:multiLevelType w:val="hybridMultilevel"/>
    <w:tmpl w:val="5EA66264"/>
    <w:lvl w:ilvl="0" w:tplc="2F46D838">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5A"/>
    <w:rsid w:val="00000DC1"/>
    <w:rsid w:val="00001654"/>
    <w:rsid w:val="000018AF"/>
    <w:rsid w:val="00002262"/>
    <w:rsid w:val="000030C2"/>
    <w:rsid w:val="000043E5"/>
    <w:rsid w:val="000044F1"/>
    <w:rsid w:val="00004FE8"/>
    <w:rsid w:val="00005460"/>
    <w:rsid w:val="00005C36"/>
    <w:rsid w:val="00007A2F"/>
    <w:rsid w:val="00007B25"/>
    <w:rsid w:val="00011D30"/>
    <w:rsid w:val="00011EF3"/>
    <w:rsid w:val="0001260D"/>
    <w:rsid w:val="000133D9"/>
    <w:rsid w:val="000154A9"/>
    <w:rsid w:val="00016E18"/>
    <w:rsid w:val="00022D39"/>
    <w:rsid w:val="00023023"/>
    <w:rsid w:val="00023C1A"/>
    <w:rsid w:val="000242F3"/>
    <w:rsid w:val="000251C0"/>
    <w:rsid w:val="00025280"/>
    <w:rsid w:val="00025934"/>
    <w:rsid w:val="00026452"/>
    <w:rsid w:val="000269A9"/>
    <w:rsid w:val="0003001D"/>
    <w:rsid w:val="00030256"/>
    <w:rsid w:val="0003088E"/>
    <w:rsid w:val="00030BC4"/>
    <w:rsid w:val="00031DF6"/>
    <w:rsid w:val="0003283A"/>
    <w:rsid w:val="00033B41"/>
    <w:rsid w:val="00033DC3"/>
    <w:rsid w:val="0003469D"/>
    <w:rsid w:val="000356D9"/>
    <w:rsid w:val="00036422"/>
    <w:rsid w:val="000365FA"/>
    <w:rsid w:val="00036C75"/>
    <w:rsid w:val="000379D8"/>
    <w:rsid w:val="0004016D"/>
    <w:rsid w:val="00040911"/>
    <w:rsid w:val="00040ED8"/>
    <w:rsid w:val="00042212"/>
    <w:rsid w:val="00043637"/>
    <w:rsid w:val="00044E94"/>
    <w:rsid w:val="00045CD9"/>
    <w:rsid w:val="00045D91"/>
    <w:rsid w:val="00046B0E"/>
    <w:rsid w:val="00046F1E"/>
    <w:rsid w:val="00047648"/>
    <w:rsid w:val="000527A0"/>
    <w:rsid w:val="00052C6A"/>
    <w:rsid w:val="00052E03"/>
    <w:rsid w:val="00055F92"/>
    <w:rsid w:val="0005651F"/>
    <w:rsid w:val="00057AF5"/>
    <w:rsid w:val="00057DC7"/>
    <w:rsid w:val="00062977"/>
    <w:rsid w:val="0006388C"/>
    <w:rsid w:val="00063F00"/>
    <w:rsid w:val="00064D4E"/>
    <w:rsid w:val="00065B02"/>
    <w:rsid w:val="00072720"/>
    <w:rsid w:val="00072818"/>
    <w:rsid w:val="00072B46"/>
    <w:rsid w:val="00073416"/>
    <w:rsid w:val="00073DD5"/>
    <w:rsid w:val="0007451C"/>
    <w:rsid w:val="00075135"/>
    <w:rsid w:val="00076F12"/>
    <w:rsid w:val="00083EC3"/>
    <w:rsid w:val="00086D89"/>
    <w:rsid w:val="0009114D"/>
    <w:rsid w:val="000914C3"/>
    <w:rsid w:val="00091830"/>
    <w:rsid w:val="00091AE1"/>
    <w:rsid w:val="00091E11"/>
    <w:rsid w:val="000922C7"/>
    <w:rsid w:val="00093B22"/>
    <w:rsid w:val="000945F7"/>
    <w:rsid w:val="0009493C"/>
    <w:rsid w:val="000950BE"/>
    <w:rsid w:val="00095471"/>
    <w:rsid w:val="00096E95"/>
    <w:rsid w:val="000A00B5"/>
    <w:rsid w:val="000A0BE6"/>
    <w:rsid w:val="000A2FFD"/>
    <w:rsid w:val="000A56D2"/>
    <w:rsid w:val="000A5E47"/>
    <w:rsid w:val="000A652B"/>
    <w:rsid w:val="000A66B7"/>
    <w:rsid w:val="000A7E79"/>
    <w:rsid w:val="000B0624"/>
    <w:rsid w:val="000B2174"/>
    <w:rsid w:val="000B2414"/>
    <w:rsid w:val="000B256B"/>
    <w:rsid w:val="000B36C4"/>
    <w:rsid w:val="000B386C"/>
    <w:rsid w:val="000B3978"/>
    <w:rsid w:val="000B3CF7"/>
    <w:rsid w:val="000B4A10"/>
    <w:rsid w:val="000B4F50"/>
    <w:rsid w:val="000B75FB"/>
    <w:rsid w:val="000B7B60"/>
    <w:rsid w:val="000C1CBE"/>
    <w:rsid w:val="000C1DE4"/>
    <w:rsid w:val="000C2E10"/>
    <w:rsid w:val="000C3010"/>
    <w:rsid w:val="000C5616"/>
    <w:rsid w:val="000C607D"/>
    <w:rsid w:val="000C617D"/>
    <w:rsid w:val="000C636E"/>
    <w:rsid w:val="000C6538"/>
    <w:rsid w:val="000C6654"/>
    <w:rsid w:val="000C6AAF"/>
    <w:rsid w:val="000C6DE8"/>
    <w:rsid w:val="000C72A7"/>
    <w:rsid w:val="000C75A5"/>
    <w:rsid w:val="000D050C"/>
    <w:rsid w:val="000D5393"/>
    <w:rsid w:val="000D7F2E"/>
    <w:rsid w:val="000E0D6B"/>
    <w:rsid w:val="000E182D"/>
    <w:rsid w:val="000E1DF2"/>
    <w:rsid w:val="000E33D8"/>
    <w:rsid w:val="000E3518"/>
    <w:rsid w:val="000E368B"/>
    <w:rsid w:val="000E41CF"/>
    <w:rsid w:val="000E4F76"/>
    <w:rsid w:val="000E61FE"/>
    <w:rsid w:val="000E670F"/>
    <w:rsid w:val="000E68CC"/>
    <w:rsid w:val="000E6F26"/>
    <w:rsid w:val="000E7528"/>
    <w:rsid w:val="000E7F42"/>
    <w:rsid w:val="000F0CE6"/>
    <w:rsid w:val="000F1121"/>
    <w:rsid w:val="000F1CDD"/>
    <w:rsid w:val="000F29CA"/>
    <w:rsid w:val="000F30F6"/>
    <w:rsid w:val="000F3E4D"/>
    <w:rsid w:val="000F42C1"/>
    <w:rsid w:val="000F4342"/>
    <w:rsid w:val="000F49E3"/>
    <w:rsid w:val="000F4AB7"/>
    <w:rsid w:val="000F5B22"/>
    <w:rsid w:val="00100864"/>
    <w:rsid w:val="00100FF0"/>
    <w:rsid w:val="00101F69"/>
    <w:rsid w:val="00102708"/>
    <w:rsid w:val="001031A5"/>
    <w:rsid w:val="001032A7"/>
    <w:rsid w:val="00103F81"/>
    <w:rsid w:val="00106AED"/>
    <w:rsid w:val="00107156"/>
    <w:rsid w:val="00107C10"/>
    <w:rsid w:val="0011051D"/>
    <w:rsid w:val="001108BD"/>
    <w:rsid w:val="00110B05"/>
    <w:rsid w:val="00113474"/>
    <w:rsid w:val="00114AA4"/>
    <w:rsid w:val="001159D5"/>
    <w:rsid w:val="00120BBC"/>
    <w:rsid w:val="00121ACA"/>
    <w:rsid w:val="00121F6A"/>
    <w:rsid w:val="00123528"/>
    <w:rsid w:val="0012356C"/>
    <w:rsid w:val="001245BB"/>
    <w:rsid w:val="0012760B"/>
    <w:rsid w:val="001315BD"/>
    <w:rsid w:val="00132AAE"/>
    <w:rsid w:val="00132EEB"/>
    <w:rsid w:val="0013312C"/>
    <w:rsid w:val="00135B25"/>
    <w:rsid w:val="001360BB"/>
    <w:rsid w:val="0014245F"/>
    <w:rsid w:val="001439B2"/>
    <w:rsid w:val="00143B4B"/>
    <w:rsid w:val="00143E4B"/>
    <w:rsid w:val="00143EEC"/>
    <w:rsid w:val="001441AC"/>
    <w:rsid w:val="00145D15"/>
    <w:rsid w:val="00146D40"/>
    <w:rsid w:val="00146FA1"/>
    <w:rsid w:val="001506F1"/>
    <w:rsid w:val="0015100F"/>
    <w:rsid w:val="001522F5"/>
    <w:rsid w:val="00152D0F"/>
    <w:rsid w:val="00152F2C"/>
    <w:rsid w:val="00153EBD"/>
    <w:rsid w:val="00153EDD"/>
    <w:rsid w:val="00154359"/>
    <w:rsid w:val="001544E0"/>
    <w:rsid w:val="00154670"/>
    <w:rsid w:val="0015471A"/>
    <w:rsid w:val="001549C3"/>
    <w:rsid w:val="00154B5E"/>
    <w:rsid w:val="001551EB"/>
    <w:rsid w:val="00155895"/>
    <w:rsid w:val="00155FC2"/>
    <w:rsid w:val="001576E8"/>
    <w:rsid w:val="00157A33"/>
    <w:rsid w:val="00157E72"/>
    <w:rsid w:val="00160092"/>
    <w:rsid w:val="0016326A"/>
    <w:rsid w:val="00166073"/>
    <w:rsid w:val="001665EC"/>
    <w:rsid w:val="00167410"/>
    <w:rsid w:val="00167727"/>
    <w:rsid w:val="00170F2D"/>
    <w:rsid w:val="001718F4"/>
    <w:rsid w:val="00173BA5"/>
    <w:rsid w:val="00174065"/>
    <w:rsid w:val="00174835"/>
    <w:rsid w:val="00174AD1"/>
    <w:rsid w:val="00174C71"/>
    <w:rsid w:val="001753DF"/>
    <w:rsid w:val="00177453"/>
    <w:rsid w:val="00180482"/>
    <w:rsid w:val="00180D22"/>
    <w:rsid w:val="00180D7F"/>
    <w:rsid w:val="00181A8D"/>
    <w:rsid w:val="00182D63"/>
    <w:rsid w:val="00183510"/>
    <w:rsid w:val="00183A0D"/>
    <w:rsid w:val="0018520F"/>
    <w:rsid w:val="001855AB"/>
    <w:rsid w:val="001858EA"/>
    <w:rsid w:val="0018692E"/>
    <w:rsid w:val="00187295"/>
    <w:rsid w:val="00190490"/>
    <w:rsid w:val="00190840"/>
    <w:rsid w:val="001908BC"/>
    <w:rsid w:val="00190CB3"/>
    <w:rsid w:val="00191445"/>
    <w:rsid w:val="00191926"/>
    <w:rsid w:val="00193BEC"/>
    <w:rsid w:val="00195762"/>
    <w:rsid w:val="0019593C"/>
    <w:rsid w:val="00195F57"/>
    <w:rsid w:val="00196168"/>
    <w:rsid w:val="00196A5A"/>
    <w:rsid w:val="001A0C1A"/>
    <w:rsid w:val="001A1609"/>
    <w:rsid w:val="001A244A"/>
    <w:rsid w:val="001A329C"/>
    <w:rsid w:val="001A394B"/>
    <w:rsid w:val="001A3BD8"/>
    <w:rsid w:val="001A3E52"/>
    <w:rsid w:val="001A4E93"/>
    <w:rsid w:val="001A699D"/>
    <w:rsid w:val="001A752F"/>
    <w:rsid w:val="001A7736"/>
    <w:rsid w:val="001A7FE3"/>
    <w:rsid w:val="001B06C4"/>
    <w:rsid w:val="001B0FA1"/>
    <w:rsid w:val="001B145D"/>
    <w:rsid w:val="001B160A"/>
    <w:rsid w:val="001B30F3"/>
    <w:rsid w:val="001B3C04"/>
    <w:rsid w:val="001B4A12"/>
    <w:rsid w:val="001B4E5A"/>
    <w:rsid w:val="001B5D02"/>
    <w:rsid w:val="001B5E3D"/>
    <w:rsid w:val="001C01E9"/>
    <w:rsid w:val="001C1335"/>
    <w:rsid w:val="001C1D64"/>
    <w:rsid w:val="001C1E33"/>
    <w:rsid w:val="001C340A"/>
    <w:rsid w:val="001C3421"/>
    <w:rsid w:val="001C36EB"/>
    <w:rsid w:val="001C41B1"/>
    <w:rsid w:val="001C43D7"/>
    <w:rsid w:val="001C5BEB"/>
    <w:rsid w:val="001C5C55"/>
    <w:rsid w:val="001C6AC1"/>
    <w:rsid w:val="001C7299"/>
    <w:rsid w:val="001C7A3F"/>
    <w:rsid w:val="001D007D"/>
    <w:rsid w:val="001D10F0"/>
    <w:rsid w:val="001D1489"/>
    <w:rsid w:val="001D1611"/>
    <w:rsid w:val="001D4E6B"/>
    <w:rsid w:val="001D5D76"/>
    <w:rsid w:val="001D60C2"/>
    <w:rsid w:val="001D69F8"/>
    <w:rsid w:val="001D6D09"/>
    <w:rsid w:val="001D72DA"/>
    <w:rsid w:val="001D7620"/>
    <w:rsid w:val="001D7AD5"/>
    <w:rsid w:val="001D7E2E"/>
    <w:rsid w:val="001E0EF0"/>
    <w:rsid w:val="001E1B68"/>
    <w:rsid w:val="001E33A4"/>
    <w:rsid w:val="001E3A5B"/>
    <w:rsid w:val="001E3DC4"/>
    <w:rsid w:val="001E407F"/>
    <w:rsid w:val="001E4AD0"/>
    <w:rsid w:val="001E5BB8"/>
    <w:rsid w:val="001E729F"/>
    <w:rsid w:val="001F09E2"/>
    <w:rsid w:val="001F1999"/>
    <w:rsid w:val="001F1F1B"/>
    <w:rsid w:val="001F368D"/>
    <w:rsid w:val="001F73DA"/>
    <w:rsid w:val="001F7709"/>
    <w:rsid w:val="00200A5C"/>
    <w:rsid w:val="00200F64"/>
    <w:rsid w:val="00201912"/>
    <w:rsid w:val="00202ED0"/>
    <w:rsid w:val="00203C41"/>
    <w:rsid w:val="0020502C"/>
    <w:rsid w:val="002053B8"/>
    <w:rsid w:val="0020748B"/>
    <w:rsid w:val="002079A6"/>
    <w:rsid w:val="00210388"/>
    <w:rsid w:val="00210B9A"/>
    <w:rsid w:val="00210D3C"/>
    <w:rsid w:val="00210F08"/>
    <w:rsid w:val="00210F74"/>
    <w:rsid w:val="0021119B"/>
    <w:rsid w:val="002122A5"/>
    <w:rsid w:val="00212ED3"/>
    <w:rsid w:val="00213F5C"/>
    <w:rsid w:val="0021791F"/>
    <w:rsid w:val="002218D1"/>
    <w:rsid w:val="00221C6C"/>
    <w:rsid w:val="00222B4A"/>
    <w:rsid w:val="002234BE"/>
    <w:rsid w:val="00224DE4"/>
    <w:rsid w:val="002259D0"/>
    <w:rsid w:val="00226127"/>
    <w:rsid w:val="002264A0"/>
    <w:rsid w:val="00226E8D"/>
    <w:rsid w:val="002273BB"/>
    <w:rsid w:val="002322CF"/>
    <w:rsid w:val="00233042"/>
    <w:rsid w:val="00233898"/>
    <w:rsid w:val="00233B9B"/>
    <w:rsid w:val="00234393"/>
    <w:rsid w:val="00234CB4"/>
    <w:rsid w:val="002364BD"/>
    <w:rsid w:val="00236BC6"/>
    <w:rsid w:val="00241C60"/>
    <w:rsid w:val="0024622D"/>
    <w:rsid w:val="002464C2"/>
    <w:rsid w:val="00246874"/>
    <w:rsid w:val="00250B7B"/>
    <w:rsid w:val="00251831"/>
    <w:rsid w:val="00252C74"/>
    <w:rsid w:val="00253EA6"/>
    <w:rsid w:val="00254A58"/>
    <w:rsid w:val="002552EF"/>
    <w:rsid w:val="00255847"/>
    <w:rsid w:val="00255A19"/>
    <w:rsid w:val="00255D9C"/>
    <w:rsid w:val="00256429"/>
    <w:rsid w:val="00257361"/>
    <w:rsid w:val="00257C54"/>
    <w:rsid w:val="0026139F"/>
    <w:rsid w:val="00262AD8"/>
    <w:rsid w:val="00262F00"/>
    <w:rsid w:val="0026704B"/>
    <w:rsid w:val="002675DF"/>
    <w:rsid w:val="002679D9"/>
    <w:rsid w:val="002704D4"/>
    <w:rsid w:val="00272C6A"/>
    <w:rsid w:val="00273D10"/>
    <w:rsid w:val="0027551E"/>
    <w:rsid w:val="00275C42"/>
    <w:rsid w:val="00276331"/>
    <w:rsid w:val="0027668A"/>
    <w:rsid w:val="00277168"/>
    <w:rsid w:val="002808C3"/>
    <w:rsid w:val="00280CDD"/>
    <w:rsid w:val="00281008"/>
    <w:rsid w:val="00281D45"/>
    <w:rsid w:val="00282031"/>
    <w:rsid w:val="00282BE1"/>
    <w:rsid w:val="00283084"/>
    <w:rsid w:val="002843ED"/>
    <w:rsid w:val="00284F9C"/>
    <w:rsid w:val="0028557E"/>
    <w:rsid w:val="00285DB8"/>
    <w:rsid w:val="00290491"/>
    <w:rsid w:val="00291AC9"/>
    <w:rsid w:val="002926CB"/>
    <w:rsid w:val="002936DA"/>
    <w:rsid w:val="00293F1B"/>
    <w:rsid w:val="00294DCB"/>
    <w:rsid w:val="00296D77"/>
    <w:rsid w:val="00296FE9"/>
    <w:rsid w:val="00297685"/>
    <w:rsid w:val="002977F1"/>
    <w:rsid w:val="002A015F"/>
    <w:rsid w:val="002A02E6"/>
    <w:rsid w:val="002A04CC"/>
    <w:rsid w:val="002A229E"/>
    <w:rsid w:val="002A2D36"/>
    <w:rsid w:val="002A3B01"/>
    <w:rsid w:val="002A4779"/>
    <w:rsid w:val="002A5A28"/>
    <w:rsid w:val="002A6B55"/>
    <w:rsid w:val="002A7766"/>
    <w:rsid w:val="002A7B48"/>
    <w:rsid w:val="002A7FD8"/>
    <w:rsid w:val="002B3431"/>
    <w:rsid w:val="002B4163"/>
    <w:rsid w:val="002B487C"/>
    <w:rsid w:val="002B48DB"/>
    <w:rsid w:val="002B57BD"/>
    <w:rsid w:val="002B6658"/>
    <w:rsid w:val="002B6824"/>
    <w:rsid w:val="002B6C80"/>
    <w:rsid w:val="002B7D51"/>
    <w:rsid w:val="002C067B"/>
    <w:rsid w:val="002C0A74"/>
    <w:rsid w:val="002C2038"/>
    <w:rsid w:val="002C3C07"/>
    <w:rsid w:val="002C536C"/>
    <w:rsid w:val="002C5B04"/>
    <w:rsid w:val="002C7323"/>
    <w:rsid w:val="002C7578"/>
    <w:rsid w:val="002C7580"/>
    <w:rsid w:val="002D0169"/>
    <w:rsid w:val="002D12EF"/>
    <w:rsid w:val="002D1506"/>
    <w:rsid w:val="002D159F"/>
    <w:rsid w:val="002D15D3"/>
    <w:rsid w:val="002D194B"/>
    <w:rsid w:val="002D29A5"/>
    <w:rsid w:val="002D2D58"/>
    <w:rsid w:val="002D2E3F"/>
    <w:rsid w:val="002D3795"/>
    <w:rsid w:val="002D478C"/>
    <w:rsid w:val="002D4A55"/>
    <w:rsid w:val="002D6280"/>
    <w:rsid w:val="002D6639"/>
    <w:rsid w:val="002D666E"/>
    <w:rsid w:val="002D787C"/>
    <w:rsid w:val="002D7C45"/>
    <w:rsid w:val="002E02AD"/>
    <w:rsid w:val="002E0B14"/>
    <w:rsid w:val="002E1ACF"/>
    <w:rsid w:val="002E2A6B"/>
    <w:rsid w:val="002E3780"/>
    <w:rsid w:val="002E3E8B"/>
    <w:rsid w:val="002E45A9"/>
    <w:rsid w:val="002E5355"/>
    <w:rsid w:val="002E6979"/>
    <w:rsid w:val="002E7CAA"/>
    <w:rsid w:val="002F419C"/>
    <w:rsid w:val="002F48F5"/>
    <w:rsid w:val="002F588F"/>
    <w:rsid w:val="002F5F31"/>
    <w:rsid w:val="002F6277"/>
    <w:rsid w:val="002F6F76"/>
    <w:rsid w:val="002F7337"/>
    <w:rsid w:val="00302C03"/>
    <w:rsid w:val="00302C07"/>
    <w:rsid w:val="003032CE"/>
    <w:rsid w:val="00303CA9"/>
    <w:rsid w:val="0030486C"/>
    <w:rsid w:val="00304EB4"/>
    <w:rsid w:val="003050EF"/>
    <w:rsid w:val="0030555B"/>
    <w:rsid w:val="00305FF5"/>
    <w:rsid w:val="0030642E"/>
    <w:rsid w:val="00306806"/>
    <w:rsid w:val="003072DA"/>
    <w:rsid w:val="0030788D"/>
    <w:rsid w:val="00307F6C"/>
    <w:rsid w:val="003116E4"/>
    <w:rsid w:val="00311ADF"/>
    <w:rsid w:val="00311DE6"/>
    <w:rsid w:val="0031235D"/>
    <w:rsid w:val="003136D9"/>
    <w:rsid w:val="003160E8"/>
    <w:rsid w:val="00316684"/>
    <w:rsid w:val="00316773"/>
    <w:rsid w:val="003170C3"/>
    <w:rsid w:val="003176F6"/>
    <w:rsid w:val="00321F13"/>
    <w:rsid w:val="00322105"/>
    <w:rsid w:val="0032236C"/>
    <w:rsid w:val="00322F32"/>
    <w:rsid w:val="00323431"/>
    <w:rsid w:val="003236C3"/>
    <w:rsid w:val="00323855"/>
    <w:rsid w:val="00324838"/>
    <w:rsid w:val="0032502B"/>
    <w:rsid w:val="00325231"/>
    <w:rsid w:val="00330E29"/>
    <w:rsid w:val="0033115F"/>
    <w:rsid w:val="003321CD"/>
    <w:rsid w:val="00332360"/>
    <w:rsid w:val="00333140"/>
    <w:rsid w:val="00333342"/>
    <w:rsid w:val="003342DE"/>
    <w:rsid w:val="00334A0F"/>
    <w:rsid w:val="0033565D"/>
    <w:rsid w:val="003361A7"/>
    <w:rsid w:val="00336B66"/>
    <w:rsid w:val="00337105"/>
    <w:rsid w:val="00337EE6"/>
    <w:rsid w:val="003405A5"/>
    <w:rsid w:val="00341D05"/>
    <w:rsid w:val="00342842"/>
    <w:rsid w:val="00342F85"/>
    <w:rsid w:val="003432C8"/>
    <w:rsid w:val="00343750"/>
    <w:rsid w:val="00343A63"/>
    <w:rsid w:val="003446CC"/>
    <w:rsid w:val="0034487A"/>
    <w:rsid w:val="003464D4"/>
    <w:rsid w:val="00346928"/>
    <w:rsid w:val="00352452"/>
    <w:rsid w:val="0035263C"/>
    <w:rsid w:val="00356BC2"/>
    <w:rsid w:val="00356CF1"/>
    <w:rsid w:val="0035730D"/>
    <w:rsid w:val="0035795C"/>
    <w:rsid w:val="00357E44"/>
    <w:rsid w:val="003604CD"/>
    <w:rsid w:val="0036128E"/>
    <w:rsid w:val="0036268E"/>
    <w:rsid w:val="00362FBA"/>
    <w:rsid w:val="003634EE"/>
    <w:rsid w:val="0036354B"/>
    <w:rsid w:val="003647C7"/>
    <w:rsid w:val="00367818"/>
    <w:rsid w:val="00370252"/>
    <w:rsid w:val="00371290"/>
    <w:rsid w:val="003717EA"/>
    <w:rsid w:val="003727D2"/>
    <w:rsid w:val="00372F2E"/>
    <w:rsid w:val="003732E0"/>
    <w:rsid w:val="003732F7"/>
    <w:rsid w:val="0037421C"/>
    <w:rsid w:val="00375516"/>
    <w:rsid w:val="00375627"/>
    <w:rsid w:val="00375728"/>
    <w:rsid w:val="00375830"/>
    <w:rsid w:val="003758A8"/>
    <w:rsid w:val="00377B91"/>
    <w:rsid w:val="00381B64"/>
    <w:rsid w:val="003828B8"/>
    <w:rsid w:val="00382E15"/>
    <w:rsid w:val="0038336D"/>
    <w:rsid w:val="00383A45"/>
    <w:rsid w:val="003865CC"/>
    <w:rsid w:val="00387466"/>
    <w:rsid w:val="00387D34"/>
    <w:rsid w:val="0039044E"/>
    <w:rsid w:val="00390D97"/>
    <w:rsid w:val="00390E3A"/>
    <w:rsid w:val="00391CFA"/>
    <w:rsid w:val="00391F20"/>
    <w:rsid w:val="00393288"/>
    <w:rsid w:val="003936AB"/>
    <w:rsid w:val="00393EA3"/>
    <w:rsid w:val="00394DB2"/>
    <w:rsid w:val="00394FB5"/>
    <w:rsid w:val="0039558D"/>
    <w:rsid w:val="003955D3"/>
    <w:rsid w:val="00395AF0"/>
    <w:rsid w:val="00396364"/>
    <w:rsid w:val="003969C0"/>
    <w:rsid w:val="0039736D"/>
    <w:rsid w:val="003A053C"/>
    <w:rsid w:val="003A0EC8"/>
    <w:rsid w:val="003A1903"/>
    <w:rsid w:val="003A1BC9"/>
    <w:rsid w:val="003A2FEF"/>
    <w:rsid w:val="003A3811"/>
    <w:rsid w:val="003A3B92"/>
    <w:rsid w:val="003A402D"/>
    <w:rsid w:val="003A44E8"/>
    <w:rsid w:val="003A7354"/>
    <w:rsid w:val="003B0747"/>
    <w:rsid w:val="003B1D45"/>
    <w:rsid w:val="003B2563"/>
    <w:rsid w:val="003B28EB"/>
    <w:rsid w:val="003B39D0"/>
    <w:rsid w:val="003B5275"/>
    <w:rsid w:val="003B7B0C"/>
    <w:rsid w:val="003C29A2"/>
    <w:rsid w:val="003C39F9"/>
    <w:rsid w:val="003C3D6A"/>
    <w:rsid w:val="003C4114"/>
    <w:rsid w:val="003C4B50"/>
    <w:rsid w:val="003C534E"/>
    <w:rsid w:val="003C545F"/>
    <w:rsid w:val="003C6C11"/>
    <w:rsid w:val="003C7885"/>
    <w:rsid w:val="003D03B5"/>
    <w:rsid w:val="003D0BC7"/>
    <w:rsid w:val="003D4B03"/>
    <w:rsid w:val="003D6557"/>
    <w:rsid w:val="003D660D"/>
    <w:rsid w:val="003D6695"/>
    <w:rsid w:val="003E0ACB"/>
    <w:rsid w:val="003E2D0B"/>
    <w:rsid w:val="003E327C"/>
    <w:rsid w:val="003E37DE"/>
    <w:rsid w:val="003E4703"/>
    <w:rsid w:val="003E4AA5"/>
    <w:rsid w:val="003E4ADD"/>
    <w:rsid w:val="003E51F1"/>
    <w:rsid w:val="003E66D4"/>
    <w:rsid w:val="003E68DA"/>
    <w:rsid w:val="003F1195"/>
    <w:rsid w:val="003F21BF"/>
    <w:rsid w:val="003F320E"/>
    <w:rsid w:val="003F3DEB"/>
    <w:rsid w:val="003F40DA"/>
    <w:rsid w:val="003F5698"/>
    <w:rsid w:val="003F5AF8"/>
    <w:rsid w:val="003F5F8C"/>
    <w:rsid w:val="003F6385"/>
    <w:rsid w:val="003F66C4"/>
    <w:rsid w:val="003F6B8D"/>
    <w:rsid w:val="0040140F"/>
    <w:rsid w:val="0040227E"/>
    <w:rsid w:val="00404424"/>
    <w:rsid w:val="004065D0"/>
    <w:rsid w:val="00407643"/>
    <w:rsid w:val="00410533"/>
    <w:rsid w:val="00410D43"/>
    <w:rsid w:val="0041149B"/>
    <w:rsid w:val="00412C95"/>
    <w:rsid w:val="00412EFD"/>
    <w:rsid w:val="004140FE"/>
    <w:rsid w:val="004162F2"/>
    <w:rsid w:val="004206CC"/>
    <w:rsid w:val="00421BDE"/>
    <w:rsid w:val="00422964"/>
    <w:rsid w:val="0042320F"/>
    <w:rsid w:val="00424165"/>
    <w:rsid w:val="004255BE"/>
    <w:rsid w:val="00425625"/>
    <w:rsid w:val="00425857"/>
    <w:rsid w:val="0042618D"/>
    <w:rsid w:val="0042654A"/>
    <w:rsid w:val="00426B1B"/>
    <w:rsid w:val="004277A4"/>
    <w:rsid w:val="004308E6"/>
    <w:rsid w:val="00431B0B"/>
    <w:rsid w:val="00431E20"/>
    <w:rsid w:val="00432368"/>
    <w:rsid w:val="0043493C"/>
    <w:rsid w:val="004353EA"/>
    <w:rsid w:val="00440BAC"/>
    <w:rsid w:val="004410FD"/>
    <w:rsid w:val="00441830"/>
    <w:rsid w:val="004435F2"/>
    <w:rsid w:val="004441B4"/>
    <w:rsid w:val="00446562"/>
    <w:rsid w:val="00447EAF"/>
    <w:rsid w:val="00451394"/>
    <w:rsid w:val="0045258B"/>
    <w:rsid w:val="00453517"/>
    <w:rsid w:val="00454E2C"/>
    <w:rsid w:val="00455533"/>
    <w:rsid w:val="00455619"/>
    <w:rsid w:val="004565CB"/>
    <w:rsid w:val="00456C1B"/>
    <w:rsid w:val="00462888"/>
    <w:rsid w:val="00463EA4"/>
    <w:rsid w:val="004645D3"/>
    <w:rsid w:val="00464B3B"/>
    <w:rsid w:val="00464BE2"/>
    <w:rsid w:val="00464E41"/>
    <w:rsid w:val="00465ABF"/>
    <w:rsid w:val="0046718E"/>
    <w:rsid w:val="00467274"/>
    <w:rsid w:val="004672D4"/>
    <w:rsid w:val="004711BE"/>
    <w:rsid w:val="0047340B"/>
    <w:rsid w:val="0047485D"/>
    <w:rsid w:val="004757A0"/>
    <w:rsid w:val="00477107"/>
    <w:rsid w:val="00477C26"/>
    <w:rsid w:val="00480B3C"/>
    <w:rsid w:val="004827F0"/>
    <w:rsid w:val="00482A7D"/>
    <w:rsid w:val="004831F0"/>
    <w:rsid w:val="00486315"/>
    <w:rsid w:val="00487E0F"/>
    <w:rsid w:val="0049002A"/>
    <w:rsid w:val="00490519"/>
    <w:rsid w:val="00490D4D"/>
    <w:rsid w:val="0049181D"/>
    <w:rsid w:val="00491C23"/>
    <w:rsid w:val="00491E2B"/>
    <w:rsid w:val="00492E2E"/>
    <w:rsid w:val="00494B1F"/>
    <w:rsid w:val="004950FC"/>
    <w:rsid w:val="00495EF3"/>
    <w:rsid w:val="00496645"/>
    <w:rsid w:val="00496B8F"/>
    <w:rsid w:val="0049760F"/>
    <w:rsid w:val="00497C97"/>
    <w:rsid w:val="004A0B56"/>
    <w:rsid w:val="004A15C7"/>
    <w:rsid w:val="004A280B"/>
    <w:rsid w:val="004A3CF9"/>
    <w:rsid w:val="004A57B0"/>
    <w:rsid w:val="004A6061"/>
    <w:rsid w:val="004A6664"/>
    <w:rsid w:val="004A69AB"/>
    <w:rsid w:val="004A7150"/>
    <w:rsid w:val="004A72EC"/>
    <w:rsid w:val="004B0030"/>
    <w:rsid w:val="004B199D"/>
    <w:rsid w:val="004B28FB"/>
    <w:rsid w:val="004B3DF6"/>
    <w:rsid w:val="004B4056"/>
    <w:rsid w:val="004B4D0D"/>
    <w:rsid w:val="004B78B3"/>
    <w:rsid w:val="004B7E36"/>
    <w:rsid w:val="004C168D"/>
    <w:rsid w:val="004C29D3"/>
    <w:rsid w:val="004C4080"/>
    <w:rsid w:val="004C4141"/>
    <w:rsid w:val="004C5968"/>
    <w:rsid w:val="004C72AF"/>
    <w:rsid w:val="004C7DFD"/>
    <w:rsid w:val="004D070C"/>
    <w:rsid w:val="004D0A79"/>
    <w:rsid w:val="004D0A90"/>
    <w:rsid w:val="004D1D74"/>
    <w:rsid w:val="004D1E5D"/>
    <w:rsid w:val="004D2378"/>
    <w:rsid w:val="004D4446"/>
    <w:rsid w:val="004D48EE"/>
    <w:rsid w:val="004D59A1"/>
    <w:rsid w:val="004D5D17"/>
    <w:rsid w:val="004D5D73"/>
    <w:rsid w:val="004D66FE"/>
    <w:rsid w:val="004D74F0"/>
    <w:rsid w:val="004E0046"/>
    <w:rsid w:val="004E1061"/>
    <w:rsid w:val="004E1604"/>
    <w:rsid w:val="004E22EE"/>
    <w:rsid w:val="004E267F"/>
    <w:rsid w:val="004E27CB"/>
    <w:rsid w:val="004E349C"/>
    <w:rsid w:val="004E3572"/>
    <w:rsid w:val="004E3ECD"/>
    <w:rsid w:val="004E5BDF"/>
    <w:rsid w:val="004E5CFE"/>
    <w:rsid w:val="004F0127"/>
    <w:rsid w:val="004F2327"/>
    <w:rsid w:val="004F2366"/>
    <w:rsid w:val="004F5999"/>
    <w:rsid w:val="004F7589"/>
    <w:rsid w:val="004F77B6"/>
    <w:rsid w:val="004F7FE4"/>
    <w:rsid w:val="005000DE"/>
    <w:rsid w:val="005005AC"/>
    <w:rsid w:val="00501504"/>
    <w:rsid w:val="00501CF5"/>
    <w:rsid w:val="00503A35"/>
    <w:rsid w:val="0050673D"/>
    <w:rsid w:val="00506C2B"/>
    <w:rsid w:val="00507DC6"/>
    <w:rsid w:val="00510535"/>
    <w:rsid w:val="0051066F"/>
    <w:rsid w:val="00510675"/>
    <w:rsid w:val="00511C01"/>
    <w:rsid w:val="005127CC"/>
    <w:rsid w:val="005129A8"/>
    <w:rsid w:val="00514417"/>
    <w:rsid w:val="0051446C"/>
    <w:rsid w:val="005144F1"/>
    <w:rsid w:val="0051498B"/>
    <w:rsid w:val="0051567F"/>
    <w:rsid w:val="00515B9D"/>
    <w:rsid w:val="00517038"/>
    <w:rsid w:val="00520FF1"/>
    <w:rsid w:val="00524961"/>
    <w:rsid w:val="0052545D"/>
    <w:rsid w:val="00526976"/>
    <w:rsid w:val="00527197"/>
    <w:rsid w:val="0052732D"/>
    <w:rsid w:val="00527D70"/>
    <w:rsid w:val="00530772"/>
    <w:rsid w:val="00534CAE"/>
    <w:rsid w:val="00536C9B"/>
    <w:rsid w:val="00537D9F"/>
    <w:rsid w:val="005404D2"/>
    <w:rsid w:val="00540B02"/>
    <w:rsid w:val="00540D4D"/>
    <w:rsid w:val="00543280"/>
    <w:rsid w:val="00543EEF"/>
    <w:rsid w:val="005446B5"/>
    <w:rsid w:val="00545D1B"/>
    <w:rsid w:val="00546494"/>
    <w:rsid w:val="005465A8"/>
    <w:rsid w:val="00547026"/>
    <w:rsid w:val="00547E05"/>
    <w:rsid w:val="00547E81"/>
    <w:rsid w:val="00550BA9"/>
    <w:rsid w:val="00551681"/>
    <w:rsid w:val="00552D1D"/>
    <w:rsid w:val="005538EF"/>
    <w:rsid w:val="00555790"/>
    <w:rsid w:val="005566D1"/>
    <w:rsid w:val="00557621"/>
    <w:rsid w:val="005578B6"/>
    <w:rsid w:val="005608FD"/>
    <w:rsid w:val="00561959"/>
    <w:rsid w:val="005631D1"/>
    <w:rsid w:val="0056338D"/>
    <w:rsid w:val="00563CEE"/>
    <w:rsid w:val="00564E05"/>
    <w:rsid w:val="0056550E"/>
    <w:rsid w:val="00566925"/>
    <w:rsid w:val="00567BEA"/>
    <w:rsid w:val="005708C8"/>
    <w:rsid w:val="005710DA"/>
    <w:rsid w:val="00571EA7"/>
    <w:rsid w:val="0057207C"/>
    <w:rsid w:val="005764A5"/>
    <w:rsid w:val="005777FA"/>
    <w:rsid w:val="00577917"/>
    <w:rsid w:val="0058164B"/>
    <w:rsid w:val="00582E2F"/>
    <w:rsid w:val="005840DD"/>
    <w:rsid w:val="00584AB2"/>
    <w:rsid w:val="00584B51"/>
    <w:rsid w:val="00585723"/>
    <w:rsid w:val="00586BFE"/>
    <w:rsid w:val="0058703B"/>
    <w:rsid w:val="005872C0"/>
    <w:rsid w:val="005919F8"/>
    <w:rsid w:val="005925A1"/>
    <w:rsid w:val="00594845"/>
    <w:rsid w:val="00595D03"/>
    <w:rsid w:val="00596476"/>
    <w:rsid w:val="005A2554"/>
    <w:rsid w:val="005A384C"/>
    <w:rsid w:val="005A4374"/>
    <w:rsid w:val="005A7276"/>
    <w:rsid w:val="005A76D3"/>
    <w:rsid w:val="005A7EA0"/>
    <w:rsid w:val="005B0012"/>
    <w:rsid w:val="005B27AC"/>
    <w:rsid w:val="005B2DAC"/>
    <w:rsid w:val="005B36FC"/>
    <w:rsid w:val="005B6ED7"/>
    <w:rsid w:val="005B7245"/>
    <w:rsid w:val="005B772B"/>
    <w:rsid w:val="005B78B4"/>
    <w:rsid w:val="005C0C3E"/>
    <w:rsid w:val="005C0FBB"/>
    <w:rsid w:val="005C1725"/>
    <w:rsid w:val="005C2A57"/>
    <w:rsid w:val="005C3172"/>
    <w:rsid w:val="005C56AA"/>
    <w:rsid w:val="005C5DAF"/>
    <w:rsid w:val="005C5EE0"/>
    <w:rsid w:val="005C6364"/>
    <w:rsid w:val="005C7993"/>
    <w:rsid w:val="005C7E4D"/>
    <w:rsid w:val="005D108C"/>
    <w:rsid w:val="005D12BF"/>
    <w:rsid w:val="005D1302"/>
    <w:rsid w:val="005D1A27"/>
    <w:rsid w:val="005D225C"/>
    <w:rsid w:val="005D2DE5"/>
    <w:rsid w:val="005D3FC4"/>
    <w:rsid w:val="005D4779"/>
    <w:rsid w:val="005D4D0A"/>
    <w:rsid w:val="005D545F"/>
    <w:rsid w:val="005D66D3"/>
    <w:rsid w:val="005E15E2"/>
    <w:rsid w:val="005E1799"/>
    <w:rsid w:val="005E3FD8"/>
    <w:rsid w:val="005E4009"/>
    <w:rsid w:val="005E40A5"/>
    <w:rsid w:val="005E4CD9"/>
    <w:rsid w:val="005E7B98"/>
    <w:rsid w:val="005F09B5"/>
    <w:rsid w:val="005F18D2"/>
    <w:rsid w:val="005F27C8"/>
    <w:rsid w:val="005F2D2F"/>
    <w:rsid w:val="005F382C"/>
    <w:rsid w:val="005F4CD8"/>
    <w:rsid w:val="005F5385"/>
    <w:rsid w:val="005F53B8"/>
    <w:rsid w:val="005F585D"/>
    <w:rsid w:val="005F5C63"/>
    <w:rsid w:val="005F7A5B"/>
    <w:rsid w:val="005F7CFB"/>
    <w:rsid w:val="0060124C"/>
    <w:rsid w:val="00601445"/>
    <w:rsid w:val="0060151B"/>
    <w:rsid w:val="006016FB"/>
    <w:rsid w:val="00603E08"/>
    <w:rsid w:val="006064A0"/>
    <w:rsid w:val="006068E6"/>
    <w:rsid w:val="00606BEE"/>
    <w:rsid w:val="00607C3D"/>
    <w:rsid w:val="00607F20"/>
    <w:rsid w:val="00611C7C"/>
    <w:rsid w:val="00613EEE"/>
    <w:rsid w:val="00617781"/>
    <w:rsid w:val="00617F6B"/>
    <w:rsid w:val="006208AE"/>
    <w:rsid w:val="00620F67"/>
    <w:rsid w:val="006211B5"/>
    <w:rsid w:val="00621FD0"/>
    <w:rsid w:val="0062213C"/>
    <w:rsid w:val="006224BE"/>
    <w:rsid w:val="0062287B"/>
    <w:rsid w:val="006230EB"/>
    <w:rsid w:val="006237A8"/>
    <w:rsid w:val="006237C7"/>
    <w:rsid w:val="00624BD2"/>
    <w:rsid w:val="00625404"/>
    <w:rsid w:val="00625906"/>
    <w:rsid w:val="00625A94"/>
    <w:rsid w:val="00626D81"/>
    <w:rsid w:val="00627948"/>
    <w:rsid w:val="006279DE"/>
    <w:rsid w:val="00627B7A"/>
    <w:rsid w:val="00627E7C"/>
    <w:rsid w:val="006300A0"/>
    <w:rsid w:val="00630F6A"/>
    <w:rsid w:val="006314EE"/>
    <w:rsid w:val="00631A8F"/>
    <w:rsid w:val="006336DB"/>
    <w:rsid w:val="00634A48"/>
    <w:rsid w:val="006353AB"/>
    <w:rsid w:val="00635A69"/>
    <w:rsid w:val="00637CB4"/>
    <w:rsid w:val="006402BC"/>
    <w:rsid w:val="0064086F"/>
    <w:rsid w:val="0064116B"/>
    <w:rsid w:val="0064135E"/>
    <w:rsid w:val="006413FC"/>
    <w:rsid w:val="00642B57"/>
    <w:rsid w:val="00642EF2"/>
    <w:rsid w:val="00643B89"/>
    <w:rsid w:val="00643D1F"/>
    <w:rsid w:val="00643EA5"/>
    <w:rsid w:val="006458A5"/>
    <w:rsid w:val="0064742B"/>
    <w:rsid w:val="00647F92"/>
    <w:rsid w:val="00652DA9"/>
    <w:rsid w:val="006534F6"/>
    <w:rsid w:val="00654B11"/>
    <w:rsid w:val="00655AA0"/>
    <w:rsid w:val="00656B91"/>
    <w:rsid w:val="00657400"/>
    <w:rsid w:val="00657A5D"/>
    <w:rsid w:val="006601FC"/>
    <w:rsid w:val="00661589"/>
    <w:rsid w:val="00662482"/>
    <w:rsid w:val="00662525"/>
    <w:rsid w:val="0066686F"/>
    <w:rsid w:val="00666CE8"/>
    <w:rsid w:val="00672D38"/>
    <w:rsid w:val="00674180"/>
    <w:rsid w:val="00674486"/>
    <w:rsid w:val="0067536D"/>
    <w:rsid w:val="00677329"/>
    <w:rsid w:val="00677396"/>
    <w:rsid w:val="00677AB2"/>
    <w:rsid w:val="00680DC8"/>
    <w:rsid w:val="0068264F"/>
    <w:rsid w:val="006837EC"/>
    <w:rsid w:val="00684F51"/>
    <w:rsid w:val="00685F60"/>
    <w:rsid w:val="00687C47"/>
    <w:rsid w:val="006901FD"/>
    <w:rsid w:val="00692294"/>
    <w:rsid w:val="00692D77"/>
    <w:rsid w:val="00693A09"/>
    <w:rsid w:val="00694236"/>
    <w:rsid w:val="006954B5"/>
    <w:rsid w:val="00696B8F"/>
    <w:rsid w:val="00696F80"/>
    <w:rsid w:val="00697028"/>
    <w:rsid w:val="006A0861"/>
    <w:rsid w:val="006A0C72"/>
    <w:rsid w:val="006A13E6"/>
    <w:rsid w:val="006A16F3"/>
    <w:rsid w:val="006A1825"/>
    <w:rsid w:val="006A2CA3"/>
    <w:rsid w:val="006A3055"/>
    <w:rsid w:val="006A3DF4"/>
    <w:rsid w:val="006A4087"/>
    <w:rsid w:val="006A7EBF"/>
    <w:rsid w:val="006B11D3"/>
    <w:rsid w:val="006B2CEC"/>
    <w:rsid w:val="006B48B1"/>
    <w:rsid w:val="006B58AE"/>
    <w:rsid w:val="006B6641"/>
    <w:rsid w:val="006C1DA1"/>
    <w:rsid w:val="006C3113"/>
    <w:rsid w:val="006C365E"/>
    <w:rsid w:val="006C389F"/>
    <w:rsid w:val="006C38E2"/>
    <w:rsid w:val="006C4F00"/>
    <w:rsid w:val="006D0A7F"/>
    <w:rsid w:val="006D1A04"/>
    <w:rsid w:val="006D2A2A"/>
    <w:rsid w:val="006D3BF5"/>
    <w:rsid w:val="006D46FC"/>
    <w:rsid w:val="006D5541"/>
    <w:rsid w:val="006D5551"/>
    <w:rsid w:val="006D59D1"/>
    <w:rsid w:val="006D6163"/>
    <w:rsid w:val="006E0A10"/>
    <w:rsid w:val="006E0B03"/>
    <w:rsid w:val="006E14A8"/>
    <w:rsid w:val="006E1A3C"/>
    <w:rsid w:val="006E234D"/>
    <w:rsid w:val="006E2A1E"/>
    <w:rsid w:val="006E2FED"/>
    <w:rsid w:val="006E30DD"/>
    <w:rsid w:val="006E43FA"/>
    <w:rsid w:val="006E49AE"/>
    <w:rsid w:val="006E5950"/>
    <w:rsid w:val="006E5D22"/>
    <w:rsid w:val="006E687B"/>
    <w:rsid w:val="006F012E"/>
    <w:rsid w:val="006F03CD"/>
    <w:rsid w:val="006F0ECD"/>
    <w:rsid w:val="006F1992"/>
    <w:rsid w:val="006F2DC3"/>
    <w:rsid w:val="006F434C"/>
    <w:rsid w:val="006F4593"/>
    <w:rsid w:val="006F5885"/>
    <w:rsid w:val="006F5C18"/>
    <w:rsid w:val="006F632D"/>
    <w:rsid w:val="006F6AED"/>
    <w:rsid w:val="006F6F5B"/>
    <w:rsid w:val="006F72C7"/>
    <w:rsid w:val="006F7AE4"/>
    <w:rsid w:val="00700615"/>
    <w:rsid w:val="0070077E"/>
    <w:rsid w:val="00700969"/>
    <w:rsid w:val="007023E2"/>
    <w:rsid w:val="007027F2"/>
    <w:rsid w:val="00705394"/>
    <w:rsid w:val="00705A69"/>
    <w:rsid w:val="007062A6"/>
    <w:rsid w:val="00706586"/>
    <w:rsid w:val="00706666"/>
    <w:rsid w:val="00706778"/>
    <w:rsid w:val="007071C4"/>
    <w:rsid w:val="00707C8A"/>
    <w:rsid w:val="00707F49"/>
    <w:rsid w:val="00710406"/>
    <w:rsid w:val="00711709"/>
    <w:rsid w:val="00711926"/>
    <w:rsid w:val="00711C49"/>
    <w:rsid w:val="00712190"/>
    <w:rsid w:val="00712B3C"/>
    <w:rsid w:val="0071350B"/>
    <w:rsid w:val="007157AC"/>
    <w:rsid w:val="00715D45"/>
    <w:rsid w:val="007162F3"/>
    <w:rsid w:val="007177FC"/>
    <w:rsid w:val="00717EC0"/>
    <w:rsid w:val="0072032E"/>
    <w:rsid w:val="00720948"/>
    <w:rsid w:val="00721A30"/>
    <w:rsid w:val="00721F9D"/>
    <w:rsid w:val="0072304F"/>
    <w:rsid w:val="00725093"/>
    <w:rsid w:val="00725094"/>
    <w:rsid w:val="00725391"/>
    <w:rsid w:val="007253AF"/>
    <w:rsid w:val="007253DD"/>
    <w:rsid w:val="00725DD3"/>
    <w:rsid w:val="0072637D"/>
    <w:rsid w:val="007300E7"/>
    <w:rsid w:val="00730898"/>
    <w:rsid w:val="00731F5B"/>
    <w:rsid w:val="007321EB"/>
    <w:rsid w:val="00732811"/>
    <w:rsid w:val="00733A0B"/>
    <w:rsid w:val="00734247"/>
    <w:rsid w:val="00734FCF"/>
    <w:rsid w:val="007353E4"/>
    <w:rsid w:val="00736962"/>
    <w:rsid w:val="00736FD0"/>
    <w:rsid w:val="007372FD"/>
    <w:rsid w:val="007375E3"/>
    <w:rsid w:val="0074053D"/>
    <w:rsid w:val="0074105F"/>
    <w:rsid w:val="0074108B"/>
    <w:rsid w:val="00741F82"/>
    <w:rsid w:val="0074545C"/>
    <w:rsid w:val="007473A4"/>
    <w:rsid w:val="00747695"/>
    <w:rsid w:val="00750B5A"/>
    <w:rsid w:val="00752139"/>
    <w:rsid w:val="0075386C"/>
    <w:rsid w:val="0075395F"/>
    <w:rsid w:val="00753C24"/>
    <w:rsid w:val="00753C68"/>
    <w:rsid w:val="00753D8A"/>
    <w:rsid w:val="007552E9"/>
    <w:rsid w:val="00755B68"/>
    <w:rsid w:val="00755D4E"/>
    <w:rsid w:val="00757A6F"/>
    <w:rsid w:val="00757D8B"/>
    <w:rsid w:val="00760ABD"/>
    <w:rsid w:val="00760D06"/>
    <w:rsid w:val="00763516"/>
    <w:rsid w:val="00763C79"/>
    <w:rsid w:val="00764AF8"/>
    <w:rsid w:val="007659CB"/>
    <w:rsid w:val="0076679F"/>
    <w:rsid w:val="0076719B"/>
    <w:rsid w:val="00772AF2"/>
    <w:rsid w:val="007765E6"/>
    <w:rsid w:val="0077704D"/>
    <w:rsid w:val="00777C1E"/>
    <w:rsid w:val="0078105C"/>
    <w:rsid w:val="007811A9"/>
    <w:rsid w:val="007813DC"/>
    <w:rsid w:val="00782036"/>
    <w:rsid w:val="007825DD"/>
    <w:rsid w:val="00783032"/>
    <w:rsid w:val="007830BD"/>
    <w:rsid w:val="007863F2"/>
    <w:rsid w:val="00787557"/>
    <w:rsid w:val="007908D7"/>
    <w:rsid w:val="00790B7F"/>
    <w:rsid w:val="007924E7"/>
    <w:rsid w:val="007926EA"/>
    <w:rsid w:val="00793A1B"/>
    <w:rsid w:val="00794F80"/>
    <w:rsid w:val="00794FC8"/>
    <w:rsid w:val="007964F6"/>
    <w:rsid w:val="00797704"/>
    <w:rsid w:val="007A0353"/>
    <w:rsid w:val="007A1FEF"/>
    <w:rsid w:val="007A206E"/>
    <w:rsid w:val="007A22C8"/>
    <w:rsid w:val="007A3B2C"/>
    <w:rsid w:val="007A3DE0"/>
    <w:rsid w:val="007A456C"/>
    <w:rsid w:val="007A4E88"/>
    <w:rsid w:val="007A5DFF"/>
    <w:rsid w:val="007A5E30"/>
    <w:rsid w:val="007B03F1"/>
    <w:rsid w:val="007B0410"/>
    <w:rsid w:val="007B402E"/>
    <w:rsid w:val="007B5309"/>
    <w:rsid w:val="007C21FC"/>
    <w:rsid w:val="007C25ED"/>
    <w:rsid w:val="007C27BE"/>
    <w:rsid w:val="007C2B46"/>
    <w:rsid w:val="007C379A"/>
    <w:rsid w:val="007C4A16"/>
    <w:rsid w:val="007C56D9"/>
    <w:rsid w:val="007C5892"/>
    <w:rsid w:val="007C5E08"/>
    <w:rsid w:val="007C643C"/>
    <w:rsid w:val="007C73FB"/>
    <w:rsid w:val="007C7B7E"/>
    <w:rsid w:val="007D0E99"/>
    <w:rsid w:val="007D213F"/>
    <w:rsid w:val="007D4F25"/>
    <w:rsid w:val="007D67AA"/>
    <w:rsid w:val="007D7068"/>
    <w:rsid w:val="007E0512"/>
    <w:rsid w:val="007E13DF"/>
    <w:rsid w:val="007E3029"/>
    <w:rsid w:val="007E3397"/>
    <w:rsid w:val="007E5C01"/>
    <w:rsid w:val="007E690D"/>
    <w:rsid w:val="007E7813"/>
    <w:rsid w:val="007E7829"/>
    <w:rsid w:val="007E7CBA"/>
    <w:rsid w:val="007E7E95"/>
    <w:rsid w:val="007F04A9"/>
    <w:rsid w:val="007F0DB3"/>
    <w:rsid w:val="007F1A3F"/>
    <w:rsid w:val="007F1B62"/>
    <w:rsid w:val="007F3015"/>
    <w:rsid w:val="007F3A0D"/>
    <w:rsid w:val="007F5547"/>
    <w:rsid w:val="007F5E96"/>
    <w:rsid w:val="007F7023"/>
    <w:rsid w:val="00801248"/>
    <w:rsid w:val="00802738"/>
    <w:rsid w:val="0080294B"/>
    <w:rsid w:val="00802B73"/>
    <w:rsid w:val="00802C0A"/>
    <w:rsid w:val="00802DE3"/>
    <w:rsid w:val="00802F27"/>
    <w:rsid w:val="00804008"/>
    <w:rsid w:val="008057D0"/>
    <w:rsid w:val="008059C3"/>
    <w:rsid w:val="008065E2"/>
    <w:rsid w:val="00810805"/>
    <w:rsid w:val="00810F8E"/>
    <w:rsid w:val="00811532"/>
    <w:rsid w:val="00811560"/>
    <w:rsid w:val="00811A21"/>
    <w:rsid w:val="00811AE6"/>
    <w:rsid w:val="00812B84"/>
    <w:rsid w:val="00813580"/>
    <w:rsid w:val="00813E5E"/>
    <w:rsid w:val="00813EF0"/>
    <w:rsid w:val="00816EBC"/>
    <w:rsid w:val="00817894"/>
    <w:rsid w:val="0082109D"/>
    <w:rsid w:val="0082132F"/>
    <w:rsid w:val="0082332A"/>
    <w:rsid w:val="00823A0C"/>
    <w:rsid w:val="00825258"/>
    <w:rsid w:val="00825732"/>
    <w:rsid w:val="00826578"/>
    <w:rsid w:val="00830255"/>
    <w:rsid w:val="00830BE8"/>
    <w:rsid w:val="00830EEA"/>
    <w:rsid w:val="0083160C"/>
    <w:rsid w:val="00831815"/>
    <w:rsid w:val="0083211C"/>
    <w:rsid w:val="00832735"/>
    <w:rsid w:val="008331ED"/>
    <w:rsid w:val="0083364B"/>
    <w:rsid w:val="008347CF"/>
    <w:rsid w:val="008350FD"/>
    <w:rsid w:val="00835F2E"/>
    <w:rsid w:val="00836199"/>
    <w:rsid w:val="00836B34"/>
    <w:rsid w:val="008374F7"/>
    <w:rsid w:val="00837779"/>
    <w:rsid w:val="00837D5E"/>
    <w:rsid w:val="0084055B"/>
    <w:rsid w:val="00840BD6"/>
    <w:rsid w:val="0084283C"/>
    <w:rsid w:val="00842A28"/>
    <w:rsid w:val="00843D68"/>
    <w:rsid w:val="00845DE4"/>
    <w:rsid w:val="008464B1"/>
    <w:rsid w:val="00847370"/>
    <w:rsid w:val="00851B3C"/>
    <w:rsid w:val="0085232F"/>
    <w:rsid w:val="0085370C"/>
    <w:rsid w:val="00854337"/>
    <w:rsid w:val="0085474A"/>
    <w:rsid w:val="00855355"/>
    <w:rsid w:val="00855FE8"/>
    <w:rsid w:val="00856A22"/>
    <w:rsid w:val="00856C29"/>
    <w:rsid w:val="008572E2"/>
    <w:rsid w:val="008632A4"/>
    <w:rsid w:val="008644C1"/>
    <w:rsid w:val="008653EA"/>
    <w:rsid w:val="0086588F"/>
    <w:rsid w:val="00866CBE"/>
    <w:rsid w:val="00866E45"/>
    <w:rsid w:val="008672AF"/>
    <w:rsid w:val="0086767B"/>
    <w:rsid w:val="008703AF"/>
    <w:rsid w:val="0087053F"/>
    <w:rsid w:val="0087175A"/>
    <w:rsid w:val="008717D3"/>
    <w:rsid w:val="00871AF2"/>
    <w:rsid w:val="0087215A"/>
    <w:rsid w:val="0087222F"/>
    <w:rsid w:val="0087256B"/>
    <w:rsid w:val="008725FF"/>
    <w:rsid w:val="00872C86"/>
    <w:rsid w:val="008742EE"/>
    <w:rsid w:val="00874387"/>
    <w:rsid w:val="008750B0"/>
    <w:rsid w:val="00876E87"/>
    <w:rsid w:val="00877A54"/>
    <w:rsid w:val="00877E79"/>
    <w:rsid w:val="00880F6C"/>
    <w:rsid w:val="008826AD"/>
    <w:rsid w:val="008838F4"/>
    <w:rsid w:val="0088432E"/>
    <w:rsid w:val="0088567C"/>
    <w:rsid w:val="00886DD5"/>
    <w:rsid w:val="00887534"/>
    <w:rsid w:val="00887DE7"/>
    <w:rsid w:val="008915F8"/>
    <w:rsid w:val="008920FE"/>
    <w:rsid w:val="00892134"/>
    <w:rsid w:val="00894201"/>
    <w:rsid w:val="008946FD"/>
    <w:rsid w:val="00895B01"/>
    <w:rsid w:val="00895C0C"/>
    <w:rsid w:val="008965C1"/>
    <w:rsid w:val="00897445"/>
    <w:rsid w:val="00897C06"/>
    <w:rsid w:val="008A2281"/>
    <w:rsid w:val="008A27AE"/>
    <w:rsid w:val="008A3095"/>
    <w:rsid w:val="008A4596"/>
    <w:rsid w:val="008A6D72"/>
    <w:rsid w:val="008A7809"/>
    <w:rsid w:val="008A7F6D"/>
    <w:rsid w:val="008B0563"/>
    <w:rsid w:val="008B0FB5"/>
    <w:rsid w:val="008B1A8E"/>
    <w:rsid w:val="008B259F"/>
    <w:rsid w:val="008B30D3"/>
    <w:rsid w:val="008B3EF3"/>
    <w:rsid w:val="008B4CED"/>
    <w:rsid w:val="008B592F"/>
    <w:rsid w:val="008B70F1"/>
    <w:rsid w:val="008B714D"/>
    <w:rsid w:val="008B7186"/>
    <w:rsid w:val="008C17FD"/>
    <w:rsid w:val="008C1CF9"/>
    <w:rsid w:val="008C289D"/>
    <w:rsid w:val="008C4FCF"/>
    <w:rsid w:val="008C5A1E"/>
    <w:rsid w:val="008C6F3D"/>
    <w:rsid w:val="008D060E"/>
    <w:rsid w:val="008D09B8"/>
    <w:rsid w:val="008D1E61"/>
    <w:rsid w:val="008D21CE"/>
    <w:rsid w:val="008D22FC"/>
    <w:rsid w:val="008D40AA"/>
    <w:rsid w:val="008D45DF"/>
    <w:rsid w:val="008D536B"/>
    <w:rsid w:val="008D611A"/>
    <w:rsid w:val="008D62D4"/>
    <w:rsid w:val="008D6620"/>
    <w:rsid w:val="008D6BFF"/>
    <w:rsid w:val="008D6FE7"/>
    <w:rsid w:val="008E1A43"/>
    <w:rsid w:val="008E1CD1"/>
    <w:rsid w:val="008E1E1E"/>
    <w:rsid w:val="008E28B4"/>
    <w:rsid w:val="008E2BE8"/>
    <w:rsid w:val="008E3B4C"/>
    <w:rsid w:val="008E4704"/>
    <w:rsid w:val="008E4F8B"/>
    <w:rsid w:val="008E5AFC"/>
    <w:rsid w:val="008E6CF9"/>
    <w:rsid w:val="008E6E62"/>
    <w:rsid w:val="008F080D"/>
    <w:rsid w:val="008F1015"/>
    <w:rsid w:val="008F1C30"/>
    <w:rsid w:val="008F1E81"/>
    <w:rsid w:val="008F2FD8"/>
    <w:rsid w:val="008F341E"/>
    <w:rsid w:val="008F3D45"/>
    <w:rsid w:val="008F41B7"/>
    <w:rsid w:val="008F60F9"/>
    <w:rsid w:val="008F639F"/>
    <w:rsid w:val="008F676C"/>
    <w:rsid w:val="008F7351"/>
    <w:rsid w:val="008F7C3C"/>
    <w:rsid w:val="0090027B"/>
    <w:rsid w:val="009002CE"/>
    <w:rsid w:val="00900403"/>
    <w:rsid w:val="009007FA"/>
    <w:rsid w:val="00902277"/>
    <w:rsid w:val="009025FE"/>
    <w:rsid w:val="009042F4"/>
    <w:rsid w:val="00905E9D"/>
    <w:rsid w:val="009061C4"/>
    <w:rsid w:val="009068B0"/>
    <w:rsid w:val="0090787A"/>
    <w:rsid w:val="009104A7"/>
    <w:rsid w:val="0091148D"/>
    <w:rsid w:val="00911CAC"/>
    <w:rsid w:val="00912D37"/>
    <w:rsid w:val="00912DC5"/>
    <w:rsid w:val="009132EA"/>
    <w:rsid w:val="009134C4"/>
    <w:rsid w:val="00913D18"/>
    <w:rsid w:val="009143A1"/>
    <w:rsid w:val="00914C1A"/>
    <w:rsid w:val="00914C30"/>
    <w:rsid w:val="009165DB"/>
    <w:rsid w:val="00917084"/>
    <w:rsid w:val="00920773"/>
    <w:rsid w:val="009225EF"/>
    <w:rsid w:val="00922612"/>
    <w:rsid w:val="00923148"/>
    <w:rsid w:val="0092343C"/>
    <w:rsid w:val="009247A0"/>
    <w:rsid w:val="00927584"/>
    <w:rsid w:val="00927CEF"/>
    <w:rsid w:val="0093003B"/>
    <w:rsid w:val="0093079F"/>
    <w:rsid w:val="00930C11"/>
    <w:rsid w:val="00932A30"/>
    <w:rsid w:val="00933E20"/>
    <w:rsid w:val="00933E31"/>
    <w:rsid w:val="0093430A"/>
    <w:rsid w:val="0093663E"/>
    <w:rsid w:val="00936C26"/>
    <w:rsid w:val="00936C6D"/>
    <w:rsid w:val="00942980"/>
    <w:rsid w:val="00943B41"/>
    <w:rsid w:val="00943DF2"/>
    <w:rsid w:val="00944BA1"/>
    <w:rsid w:val="00944DC6"/>
    <w:rsid w:val="00945AD3"/>
    <w:rsid w:val="0094655C"/>
    <w:rsid w:val="00946D39"/>
    <w:rsid w:val="00947C6E"/>
    <w:rsid w:val="009513D7"/>
    <w:rsid w:val="009515E7"/>
    <w:rsid w:val="00951FAB"/>
    <w:rsid w:val="00954676"/>
    <w:rsid w:val="00954E9A"/>
    <w:rsid w:val="00955C62"/>
    <w:rsid w:val="00956A45"/>
    <w:rsid w:val="00956DE2"/>
    <w:rsid w:val="00956F51"/>
    <w:rsid w:val="00960966"/>
    <w:rsid w:val="00960C26"/>
    <w:rsid w:val="00961F0E"/>
    <w:rsid w:val="00961FAE"/>
    <w:rsid w:val="00964CAA"/>
    <w:rsid w:val="009666D4"/>
    <w:rsid w:val="00966CCB"/>
    <w:rsid w:val="00966EB4"/>
    <w:rsid w:val="00967412"/>
    <w:rsid w:val="009676AB"/>
    <w:rsid w:val="00970227"/>
    <w:rsid w:val="00971308"/>
    <w:rsid w:val="00971C54"/>
    <w:rsid w:val="00972029"/>
    <w:rsid w:val="009725B5"/>
    <w:rsid w:val="00972637"/>
    <w:rsid w:val="00973BC7"/>
    <w:rsid w:val="009746E9"/>
    <w:rsid w:val="00975E39"/>
    <w:rsid w:val="009767E6"/>
    <w:rsid w:val="00976CA1"/>
    <w:rsid w:val="00977007"/>
    <w:rsid w:val="00977810"/>
    <w:rsid w:val="00980CBA"/>
    <w:rsid w:val="009823BC"/>
    <w:rsid w:val="00982516"/>
    <w:rsid w:val="00982A98"/>
    <w:rsid w:val="00982B10"/>
    <w:rsid w:val="00983624"/>
    <w:rsid w:val="00983968"/>
    <w:rsid w:val="00985447"/>
    <w:rsid w:val="00987BB7"/>
    <w:rsid w:val="00987C1E"/>
    <w:rsid w:val="009917CF"/>
    <w:rsid w:val="009927C9"/>
    <w:rsid w:val="00992EB4"/>
    <w:rsid w:val="00993705"/>
    <w:rsid w:val="0099392A"/>
    <w:rsid w:val="009955BD"/>
    <w:rsid w:val="00996F1B"/>
    <w:rsid w:val="00997AE6"/>
    <w:rsid w:val="009A0EEF"/>
    <w:rsid w:val="009A1B2B"/>
    <w:rsid w:val="009A346F"/>
    <w:rsid w:val="009A3D90"/>
    <w:rsid w:val="009A3E3C"/>
    <w:rsid w:val="009A458F"/>
    <w:rsid w:val="009A57BD"/>
    <w:rsid w:val="009A6219"/>
    <w:rsid w:val="009A793A"/>
    <w:rsid w:val="009B0087"/>
    <w:rsid w:val="009B037A"/>
    <w:rsid w:val="009B3F81"/>
    <w:rsid w:val="009B4B3D"/>
    <w:rsid w:val="009B4DE9"/>
    <w:rsid w:val="009B4E7D"/>
    <w:rsid w:val="009B5781"/>
    <w:rsid w:val="009B5C8E"/>
    <w:rsid w:val="009B613B"/>
    <w:rsid w:val="009B6860"/>
    <w:rsid w:val="009C19C6"/>
    <w:rsid w:val="009C246B"/>
    <w:rsid w:val="009C264B"/>
    <w:rsid w:val="009C27D2"/>
    <w:rsid w:val="009C2B64"/>
    <w:rsid w:val="009C41D0"/>
    <w:rsid w:val="009C6192"/>
    <w:rsid w:val="009C62CA"/>
    <w:rsid w:val="009C67FA"/>
    <w:rsid w:val="009C759B"/>
    <w:rsid w:val="009C75E2"/>
    <w:rsid w:val="009C799C"/>
    <w:rsid w:val="009D0D68"/>
    <w:rsid w:val="009D1A3E"/>
    <w:rsid w:val="009D25C6"/>
    <w:rsid w:val="009D375D"/>
    <w:rsid w:val="009D38EB"/>
    <w:rsid w:val="009D3B13"/>
    <w:rsid w:val="009D3D3F"/>
    <w:rsid w:val="009D4567"/>
    <w:rsid w:val="009D4CC8"/>
    <w:rsid w:val="009D4E96"/>
    <w:rsid w:val="009D4F57"/>
    <w:rsid w:val="009D6AAD"/>
    <w:rsid w:val="009D737D"/>
    <w:rsid w:val="009D7C75"/>
    <w:rsid w:val="009D7FF6"/>
    <w:rsid w:val="009E0315"/>
    <w:rsid w:val="009E03A1"/>
    <w:rsid w:val="009E0488"/>
    <w:rsid w:val="009E090D"/>
    <w:rsid w:val="009E10B5"/>
    <w:rsid w:val="009E166B"/>
    <w:rsid w:val="009E200C"/>
    <w:rsid w:val="009E2DEB"/>
    <w:rsid w:val="009E47B7"/>
    <w:rsid w:val="009E5E65"/>
    <w:rsid w:val="009E5F98"/>
    <w:rsid w:val="009E60A9"/>
    <w:rsid w:val="009E61A6"/>
    <w:rsid w:val="009E6382"/>
    <w:rsid w:val="009E720A"/>
    <w:rsid w:val="009E726E"/>
    <w:rsid w:val="009E7487"/>
    <w:rsid w:val="009F0949"/>
    <w:rsid w:val="009F0AB4"/>
    <w:rsid w:val="009F131D"/>
    <w:rsid w:val="009F1A96"/>
    <w:rsid w:val="009F3701"/>
    <w:rsid w:val="009F4B8A"/>
    <w:rsid w:val="009F57ED"/>
    <w:rsid w:val="009F7024"/>
    <w:rsid w:val="009F7641"/>
    <w:rsid w:val="009F7ED1"/>
    <w:rsid w:val="00A00910"/>
    <w:rsid w:val="00A0152C"/>
    <w:rsid w:val="00A04512"/>
    <w:rsid w:val="00A0607C"/>
    <w:rsid w:val="00A06319"/>
    <w:rsid w:val="00A068C0"/>
    <w:rsid w:val="00A06DC9"/>
    <w:rsid w:val="00A17F38"/>
    <w:rsid w:val="00A210FA"/>
    <w:rsid w:val="00A2151C"/>
    <w:rsid w:val="00A217B7"/>
    <w:rsid w:val="00A23BFA"/>
    <w:rsid w:val="00A24C43"/>
    <w:rsid w:val="00A30241"/>
    <w:rsid w:val="00A308D1"/>
    <w:rsid w:val="00A30D3D"/>
    <w:rsid w:val="00A31474"/>
    <w:rsid w:val="00A31874"/>
    <w:rsid w:val="00A32173"/>
    <w:rsid w:val="00A32FF6"/>
    <w:rsid w:val="00A33320"/>
    <w:rsid w:val="00A338C6"/>
    <w:rsid w:val="00A351AE"/>
    <w:rsid w:val="00A37053"/>
    <w:rsid w:val="00A37532"/>
    <w:rsid w:val="00A3774A"/>
    <w:rsid w:val="00A40499"/>
    <w:rsid w:val="00A40586"/>
    <w:rsid w:val="00A4216A"/>
    <w:rsid w:val="00A4297F"/>
    <w:rsid w:val="00A42B39"/>
    <w:rsid w:val="00A43182"/>
    <w:rsid w:val="00A444ED"/>
    <w:rsid w:val="00A464FD"/>
    <w:rsid w:val="00A503B6"/>
    <w:rsid w:val="00A5092F"/>
    <w:rsid w:val="00A50D86"/>
    <w:rsid w:val="00A51812"/>
    <w:rsid w:val="00A5202E"/>
    <w:rsid w:val="00A53360"/>
    <w:rsid w:val="00A536B2"/>
    <w:rsid w:val="00A53D8F"/>
    <w:rsid w:val="00A53F3E"/>
    <w:rsid w:val="00A5407A"/>
    <w:rsid w:val="00A55419"/>
    <w:rsid w:val="00A56014"/>
    <w:rsid w:val="00A56452"/>
    <w:rsid w:val="00A612F2"/>
    <w:rsid w:val="00A61B50"/>
    <w:rsid w:val="00A64BAC"/>
    <w:rsid w:val="00A65180"/>
    <w:rsid w:val="00A662DA"/>
    <w:rsid w:val="00A66447"/>
    <w:rsid w:val="00A66F84"/>
    <w:rsid w:val="00A67A31"/>
    <w:rsid w:val="00A700FD"/>
    <w:rsid w:val="00A70537"/>
    <w:rsid w:val="00A70FC9"/>
    <w:rsid w:val="00A71A83"/>
    <w:rsid w:val="00A73BE7"/>
    <w:rsid w:val="00A74996"/>
    <w:rsid w:val="00A769AF"/>
    <w:rsid w:val="00A77F88"/>
    <w:rsid w:val="00A8161C"/>
    <w:rsid w:val="00A83CC9"/>
    <w:rsid w:val="00A8432F"/>
    <w:rsid w:val="00A85C00"/>
    <w:rsid w:val="00A86C8A"/>
    <w:rsid w:val="00A87C1C"/>
    <w:rsid w:val="00A87C63"/>
    <w:rsid w:val="00A87CD7"/>
    <w:rsid w:val="00A87DA6"/>
    <w:rsid w:val="00A91344"/>
    <w:rsid w:val="00A918CD"/>
    <w:rsid w:val="00A921B9"/>
    <w:rsid w:val="00A92D8E"/>
    <w:rsid w:val="00A9336A"/>
    <w:rsid w:val="00A93B67"/>
    <w:rsid w:val="00A9586C"/>
    <w:rsid w:val="00A95919"/>
    <w:rsid w:val="00A95B97"/>
    <w:rsid w:val="00A96591"/>
    <w:rsid w:val="00A97A3D"/>
    <w:rsid w:val="00AA28A2"/>
    <w:rsid w:val="00AA2C5B"/>
    <w:rsid w:val="00AA5D62"/>
    <w:rsid w:val="00AA61B3"/>
    <w:rsid w:val="00AA68AF"/>
    <w:rsid w:val="00AA6900"/>
    <w:rsid w:val="00AA69FC"/>
    <w:rsid w:val="00AA7544"/>
    <w:rsid w:val="00AB10E7"/>
    <w:rsid w:val="00AB1931"/>
    <w:rsid w:val="00AB1D4B"/>
    <w:rsid w:val="00AB1FB7"/>
    <w:rsid w:val="00AB3784"/>
    <w:rsid w:val="00AB401B"/>
    <w:rsid w:val="00AB44C0"/>
    <w:rsid w:val="00AB4DCB"/>
    <w:rsid w:val="00AB5895"/>
    <w:rsid w:val="00AB5B53"/>
    <w:rsid w:val="00AB75AA"/>
    <w:rsid w:val="00AB794C"/>
    <w:rsid w:val="00AB7DED"/>
    <w:rsid w:val="00AC0A2D"/>
    <w:rsid w:val="00AC368F"/>
    <w:rsid w:val="00AC3F21"/>
    <w:rsid w:val="00AC57E3"/>
    <w:rsid w:val="00AC5DDF"/>
    <w:rsid w:val="00AC6AF9"/>
    <w:rsid w:val="00AC6DEB"/>
    <w:rsid w:val="00AD000D"/>
    <w:rsid w:val="00AD05D4"/>
    <w:rsid w:val="00AD0A06"/>
    <w:rsid w:val="00AD0A74"/>
    <w:rsid w:val="00AD117B"/>
    <w:rsid w:val="00AD41A9"/>
    <w:rsid w:val="00AD4C31"/>
    <w:rsid w:val="00AD53EE"/>
    <w:rsid w:val="00AD5AC0"/>
    <w:rsid w:val="00AD64B0"/>
    <w:rsid w:val="00AD71BA"/>
    <w:rsid w:val="00AD77DE"/>
    <w:rsid w:val="00AE0314"/>
    <w:rsid w:val="00AE0FB1"/>
    <w:rsid w:val="00AE299E"/>
    <w:rsid w:val="00AE2C29"/>
    <w:rsid w:val="00AE4843"/>
    <w:rsid w:val="00AE6859"/>
    <w:rsid w:val="00AE7387"/>
    <w:rsid w:val="00AE751D"/>
    <w:rsid w:val="00AE75AA"/>
    <w:rsid w:val="00AE7D0E"/>
    <w:rsid w:val="00AF02D2"/>
    <w:rsid w:val="00AF1E74"/>
    <w:rsid w:val="00AF2C3B"/>
    <w:rsid w:val="00AF3A1A"/>
    <w:rsid w:val="00AF3E49"/>
    <w:rsid w:val="00AF47AD"/>
    <w:rsid w:val="00B00051"/>
    <w:rsid w:val="00B00F24"/>
    <w:rsid w:val="00B01986"/>
    <w:rsid w:val="00B01A78"/>
    <w:rsid w:val="00B04080"/>
    <w:rsid w:val="00B05F00"/>
    <w:rsid w:val="00B06444"/>
    <w:rsid w:val="00B0662F"/>
    <w:rsid w:val="00B06EE6"/>
    <w:rsid w:val="00B077A7"/>
    <w:rsid w:val="00B07978"/>
    <w:rsid w:val="00B10C42"/>
    <w:rsid w:val="00B11752"/>
    <w:rsid w:val="00B127A2"/>
    <w:rsid w:val="00B13096"/>
    <w:rsid w:val="00B13172"/>
    <w:rsid w:val="00B14C9C"/>
    <w:rsid w:val="00B1566A"/>
    <w:rsid w:val="00B16AC1"/>
    <w:rsid w:val="00B16E09"/>
    <w:rsid w:val="00B174C3"/>
    <w:rsid w:val="00B2097A"/>
    <w:rsid w:val="00B2221E"/>
    <w:rsid w:val="00B22269"/>
    <w:rsid w:val="00B2335B"/>
    <w:rsid w:val="00B23DE8"/>
    <w:rsid w:val="00B249E2"/>
    <w:rsid w:val="00B24FA5"/>
    <w:rsid w:val="00B258B2"/>
    <w:rsid w:val="00B25FB3"/>
    <w:rsid w:val="00B263C8"/>
    <w:rsid w:val="00B267EC"/>
    <w:rsid w:val="00B276DC"/>
    <w:rsid w:val="00B278F3"/>
    <w:rsid w:val="00B27D1C"/>
    <w:rsid w:val="00B3159A"/>
    <w:rsid w:val="00B315BB"/>
    <w:rsid w:val="00B31B76"/>
    <w:rsid w:val="00B32DBA"/>
    <w:rsid w:val="00B3477A"/>
    <w:rsid w:val="00B36D0C"/>
    <w:rsid w:val="00B40EEF"/>
    <w:rsid w:val="00B4211A"/>
    <w:rsid w:val="00B42819"/>
    <w:rsid w:val="00B4287E"/>
    <w:rsid w:val="00B43AD6"/>
    <w:rsid w:val="00B44E9F"/>
    <w:rsid w:val="00B456D3"/>
    <w:rsid w:val="00B45787"/>
    <w:rsid w:val="00B47576"/>
    <w:rsid w:val="00B47DBF"/>
    <w:rsid w:val="00B51452"/>
    <w:rsid w:val="00B5178C"/>
    <w:rsid w:val="00B5187D"/>
    <w:rsid w:val="00B5337B"/>
    <w:rsid w:val="00B53616"/>
    <w:rsid w:val="00B53E76"/>
    <w:rsid w:val="00B53EC8"/>
    <w:rsid w:val="00B554E6"/>
    <w:rsid w:val="00B5593C"/>
    <w:rsid w:val="00B56F08"/>
    <w:rsid w:val="00B61C32"/>
    <w:rsid w:val="00B6212C"/>
    <w:rsid w:val="00B64B0B"/>
    <w:rsid w:val="00B65C01"/>
    <w:rsid w:val="00B6623B"/>
    <w:rsid w:val="00B66F4B"/>
    <w:rsid w:val="00B67673"/>
    <w:rsid w:val="00B70B34"/>
    <w:rsid w:val="00B71138"/>
    <w:rsid w:val="00B724A3"/>
    <w:rsid w:val="00B7290A"/>
    <w:rsid w:val="00B72D27"/>
    <w:rsid w:val="00B7425E"/>
    <w:rsid w:val="00B761C2"/>
    <w:rsid w:val="00B76932"/>
    <w:rsid w:val="00B800F2"/>
    <w:rsid w:val="00B80C0B"/>
    <w:rsid w:val="00B810FF"/>
    <w:rsid w:val="00B81CB1"/>
    <w:rsid w:val="00B830C2"/>
    <w:rsid w:val="00B84447"/>
    <w:rsid w:val="00B845C5"/>
    <w:rsid w:val="00B85980"/>
    <w:rsid w:val="00B876F6"/>
    <w:rsid w:val="00B878E1"/>
    <w:rsid w:val="00B879E5"/>
    <w:rsid w:val="00B901FD"/>
    <w:rsid w:val="00B91401"/>
    <w:rsid w:val="00B91DA6"/>
    <w:rsid w:val="00B92976"/>
    <w:rsid w:val="00B93836"/>
    <w:rsid w:val="00B941A3"/>
    <w:rsid w:val="00B941F2"/>
    <w:rsid w:val="00B9481C"/>
    <w:rsid w:val="00B94C31"/>
    <w:rsid w:val="00B96572"/>
    <w:rsid w:val="00B9669D"/>
    <w:rsid w:val="00B96965"/>
    <w:rsid w:val="00B96A14"/>
    <w:rsid w:val="00B96A9E"/>
    <w:rsid w:val="00B977CE"/>
    <w:rsid w:val="00BA29A4"/>
    <w:rsid w:val="00BA343F"/>
    <w:rsid w:val="00BA3B68"/>
    <w:rsid w:val="00BA433A"/>
    <w:rsid w:val="00BA458A"/>
    <w:rsid w:val="00BA550F"/>
    <w:rsid w:val="00BA56D4"/>
    <w:rsid w:val="00BA56F8"/>
    <w:rsid w:val="00BA6567"/>
    <w:rsid w:val="00BA7552"/>
    <w:rsid w:val="00BA7DDB"/>
    <w:rsid w:val="00BB000A"/>
    <w:rsid w:val="00BB0C51"/>
    <w:rsid w:val="00BB1D0E"/>
    <w:rsid w:val="00BB2221"/>
    <w:rsid w:val="00BB2E1A"/>
    <w:rsid w:val="00BB3285"/>
    <w:rsid w:val="00BB5071"/>
    <w:rsid w:val="00BB6E1B"/>
    <w:rsid w:val="00BB735A"/>
    <w:rsid w:val="00BB7481"/>
    <w:rsid w:val="00BC05D9"/>
    <w:rsid w:val="00BC0F00"/>
    <w:rsid w:val="00BC163C"/>
    <w:rsid w:val="00BC1ADC"/>
    <w:rsid w:val="00BC2980"/>
    <w:rsid w:val="00BC3414"/>
    <w:rsid w:val="00BC38EB"/>
    <w:rsid w:val="00BC3AB7"/>
    <w:rsid w:val="00BC4C7B"/>
    <w:rsid w:val="00BC515A"/>
    <w:rsid w:val="00BC5EA5"/>
    <w:rsid w:val="00BC7DBE"/>
    <w:rsid w:val="00BD384C"/>
    <w:rsid w:val="00BD3A52"/>
    <w:rsid w:val="00BD475A"/>
    <w:rsid w:val="00BD5141"/>
    <w:rsid w:val="00BD59BE"/>
    <w:rsid w:val="00BD5DB2"/>
    <w:rsid w:val="00BD70C3"/>
    <w:rsid w:val="00BE0AEE"/>
    <w:rsid w:val="00BE114C"/>
    <w:rsid w:val="00BE1449"/>
    <w:rsid w:val="00BE15A4"/>
    <w:rsid w:val="00BE1E74"/>
    <w:rsid w:val="00BE1FE1"/>
    <w:rsid w:val="00BE2B6F"/>
    <w:rsid w:val="00BE3B8A"/>
    <w:rsid w:val="00BE4F70"/>
    <w:rsid w:val="00BE742A"/>
    <w:rsid w:val="00BE7C84"/>
    <w:rsid w:val="00BE7E46"/>
    <w:rsid w:val="00BF00FE"/>
    <w:rsid w:val="00BF04EE"/>
    <w:rsid w:val="00BF0C4E"/>
    <w:rsid w:val="00BF18BC"/>
    <w:rsid w:val="00BF1C77"/>
    <w:rsid w:val="00BF1F75"/>
    <w:rsid w:val="00BF3351"/>
    <w:rsid w:val="00BF4CEE"/>
    <w:rsid w:val="00BF4F91"/>
    <w:rsid w:val="00BF5B1F"/>
    <w:rsid w:val="00BF63E6"/>
    <w:rsid w:val="00BF646D"/>
    <w:rsid w:val="00C0037A"/>
    <w:rsid w:val="00C00944"/>
    <w:rsid w:val="00C028E4"/>
    <w:rsid w:val="00C035F7"/>
    <w:rsid w:val="00C038E2"/>
    <w:rsid w:val="00C03F67"/>
    <w:rsid w:val="00C10939"/>
    <w:rsid w:val="00C10E7C"/>
    <w:rsid w:val="00C11661"/>
    <w:rsid w:val="00C12317"/>
    <w:rsid w:val="00C12BA9"/>
    <w:rsid w:val="00C13AE1"/>
    <w:rsid w:val="00C1490E"/>
    <w:rsid w:val="00C14985"/>
    <w:rsid w:val="00C15ABC"/>
    <w:rsid w:val="00C2008C"/>
    <w:rsid w:val="00C20C4E"/>
    <w:rsid w:val="00C213F1"/>
    <w:rsid w:val="00C22266"/>
    <w:rsid w:val="00C22D3F"/>
    <w:rsid w:val="00C237A8"/>
    <w:rsid w:val="00C24A43"/>
    <w:rsid w:val="00C25DD2"/>
    <w:rsid w:val="00C273BE"/>
    <w:rsid w:val="00C30A04"/>
    <w:rsid w:val="00C312B7"/>
    <w:rsid w:val="00C312DC"/>
    <w:rsid w:val="00C3255D"/>
    <w:rsid w:val="00C3501A"/>
    <w:rsid w:val="00C35115"/>
    <w:rsid w:val="00C354DD"/>
    <w:rsid w:val="00C35A83"/>
    <w:rsid w:val="00C35AF4"/>
    <w:rsid w:val="00C376EE"/>
    <w:rsid w:val="00C40101"/>
    <w:rsid w:val="00C415D6"/>
    <w:rsid w:val="00C41B4F"/>
    <w:rsid w:val="00C4227D"/>
    <w:rsid w:val="00C422F9"/>
    <w:rsid w:val="00C42A61"/>
    <w:rsid w:val="00C43101"/>
    <w:rsid w:val="00C44430"/>
    <w:rsid w:val="00C44B16"/>
    <w:rsid w:val="00C45305"/>
    <w:rsid w:val="00C4647C"/>
    <w:rsid w:val="00C46A85"/>
    <w:rsid w:val="00C47207"/>
    <w:rsid w:val="00C47B83"/>
    <w:rsid w:val="00C510D8"/>
    <w:rsid w:val="00C5110A"/>
    <w:rsid w:val="00C514FE"/>
    <w:rsid w:val="00C515DE"/>
    <w:rsid w:val="00C52D45"/>
    <w:rsid w:val="00C534A2"/>
    <w:rsid w:val="00C534D5"/>
    <w:rsid w:val="00C538E4"/>
    <w:rsid w:val="00C55823"/>
    <w:rsid w:val="00C55D1A"/>
    <w:rsid w:val="00C60A7C"/>
    <w:rsid w:val="00C61264"/>
    <w:rsid w:val="00C61C07"/>
    <w:rsid w:val="00C61F2B"/>
    <w:rsid w:val="00C63243"/>
    <w:rsid w:val="00C651EC"/>
    <w:rsid w:val="00C65410"/>
    <w:rsid w:val="00C6551B"/>
    <w:rsid w:val="00C65914"/>
    <w:rsid w:val="00C65A19"/>
    <w:rsid w:val="00C65BB8"/>
    <w:rsid w:val="00C669A3"/>
    <w:rsid w:val="00C70021"/>
    <w:rsid w:val="00C704C6"/>
    <w:rsid w:val="00C708A5"/>
    <w:rsid w:val="00C70B89"/>
    <w:rsid w:val="00C714BA"/>
    <w:rsid w:val="00C719AC"/>
    <w:rsid w:val="00C71DBD"/>
    <w:rsid w:val="00C7202C"/>
    <w:rsid w:val="00C74C9C"/>
    <w:rsid w:val="00C7516E"/>
    <w:rsid w:val="00C75A8C"/>
    <w:rsid w:val="00C75FE9"/>
    <w:rsid w:val="00C76DCE"/>
    <w:rsid w:val="00C80867"/>
    <w:rsid w:val="00C8275B"/>
    <w:rsid w:val="00C856CE"/>
    <w:rsid w:val="00C86078"/>
    <w:rsid w:val="00C86080"/>
    <w:rsid w:val="00C866D8"/>
    <w:rsid w:val="00C87675"/>
    <w:rsid w:val="00C91A76"/>
    <w:rsid w:val="00C92E0B"/>
    <w:rsid w:val="00C9303E"/>
    <w:rsid w:val="00C93CA2"/>
    <w:rsid w:val="00C9418D"/>
    <w:rsid w:val="00C944BA"/>
    <w:rsid w:val="00C96489"/>
    <w:rsid w:val="00C97057"/>
    <w:rsid w:val="00C9767A"/>
    <w:rsid w:val="00CA2604"/>
    <w:rsid w:val="00CA3578"/>
    <w:rsid w:val="00CA4165"/>
    <w:rsid w:val="00CA658E"/>
    <w:rsid w:val="00CA7B1D"/>
    <w:rsid w:val="00CB02F1"/>
    <w:rsid w:val="00CB094A"/>
    <w:rsid w:val="00CB0EBA"/>
    <w:rsid w:val="00CB1132"/>
    <w:rsid w:val="00CB1992"/>
    <w:rsid w:val="00CB27C0"/>
    <w:rsid w:val="00CB2DC1"/>
    <w:rsid w:val="00CB327B"/>
    <w:rsid w:val="00CB58BA"/>
    <w:rsid w:val="00CC126D"/>
    <w:rsid w:val="00CC1A00"/>
    <w:rsid w:val="00CC1C20"/>
    <w:rsid w:val="00CC214F"/>
    <w:rsid w:val="00CC2529"/>
    <w:rsid w:val="00CC468E"/>
    <w:rsid w:val="00CC4C53"/>
    <w:rsid w:val="00CC7DD9"/>
    <w:rsid w:val="00CC7E7D"/>
    <w:rsid w:val="00CD269E"/>
    <w:rsid w:val="00CD39ED"/>
    <w:rsid w:val="00CD3D1B"/>
    <w:rsid w:val="00CD43E2"/>
    <w:rsid w:val="00CD56C8"/>
    <w:rsid w:val="00CD6C22"/>
    <w:rsid w:val="00CE0566"/>
    <w:rsid w:val="00CE1056"/>
    <w:rsid w:val="00CE1250"/>
    <w:rsid w:val="00CE1708"/>
    <w:rsid w:val="00CE223D"/>
    <w:rsid w:val="00CE5421"/>
    <w:rsid w:val="00CE59D7"/>
    <w:rsid w:val="00CE6271"/>
    <w:rsid w:val="00CE6979"/>
    <w:rsid w:val="00CE7CBA"/>
    <w:rsid w:val="00CE7E04"/>
    <w:rsid w:val="00CF17C5"/>
    <w:rsid w:val="00CF1E6F"/>
    <w:rsid w:val="00CF21D2"/>
    <w:rsid w:val="00CF3E53"/>
    <w:rsid w:val="00CF478F"/>
    <w:rsid w:val="00CF5F67"/>
    <w:rsid w:val="00CF6B03"/>
    <w:rsid w:val="00CF793E"/>
    <w:rsid w:val="00CF7A35"/>
    <w:rsid w:val="00CF7B80"/>
    <w:rsid w:val="00CF7C30"/>
    <w:rsid w:val="00D00073"/>
    <w:rsid w:val="00D00990"/>
    <w:rsid w:val="00D01F75"/>
    <w:rsid w:val="00D02EFB"/>
    <w:rsid w:val="00D033EA"/>
    <w:rsid w:val="00D0396D"/>
    <w:rsid w:val="00D03DE2"/>
    <w:rsid w:val="00D04170"/>
    <w:rsid w:val="00D04B5A"/>
    <w:rsid w:val="00D0648B"/>
    <w:rsid w:val="00D07E3F"/>
    <w:rsid w:val="00D10A35"/>
    <w:rsid w:val="00D10CCD"/>
    <w:rsid w:val="00D11785"/>
    <w:rsid w:val="00D15169"/>
    <w:rsid w:val="00D15249"/>
    <w:rsid w:val="00D1555E"/>
    <w:rsid w:val="00D158DB"/>
    <w:rsid w:val="00D16F5E"/>
    <w:rsid w:val="00D17984"/>
    <w:rsid w:val="00D202CF"/>
    <w:rsid w:val="00D21A66"/>
    <w:rsid w:val="00D21ECE"/>
    <w:rsid w:val="00D227AF"/>
    <w:rsid w:val="00D24BA0"/>
    <w:rsid w:val="00D263D9"/>
    <w:rsid w:val="00D2660E"/>
    <w:rsid w:val="00D26B40"/>
    <w:rsid w:val="00D26F93"/>
    <w:rsid w:val="00D2761E"/>
    <w:rsid w:val="00D31E0F"/>
    <w:rsid w:val="00D3453F"/>
    <w:rsid w:val="00D3461D"/>
    <w:rsid w:val="00D34BAD"/>
    <w:rsid w:val="00D35C84"/>
    <w:rsid w:val="00D36A16"/>
    <w:rsid w:val="00D371A8"/>
    <w:rsid w:val="00D371E2"/>
    <w:rsid w:val="00D4047C"/>
    <w:rsid w:val="00D409A6"/>
    <w:rsid w:val="00D426D5"/>
    <w:rsid w:val="00D4311D"/>
    <w:rsid w:val="00D438D0"/>
    <w:rsid w:val="00D43B9F"/>
    <w:rsid w:val="00D452CC"/>
    <w:rsid w:val="00D471D8"/>
    <w:rsid w:val="00D471F7"/>
    <w:rsid w:val="00D47B5F"/>
    <w:rsid w:val="00D508CC"/>
    <w:rsid w:val="00D50A48"/>
    <w:rsid w:val="00D517A5"/>
    <w:rsid w:val="00D52412"/>
    <w:rsid w:val="00D53E7A"/>
    <w:rsid w:val="00D55686"/>
    <w:rsid w:val="00D558EC"/>
    <w:rsid w:val="00D55CBC"/>
    <w:rsid w:val="00D55FAA"/>
    <w:rsid w:val="00D56FFD"/>
    <w:rsid w:val="00D570C9"/>
    <w:rsid w:val="00D60FDC"/>
    <w:rsid w:val="00D6183C"/>
    <w:rsid w:val="00D6308C"/>
    <w:rsid w:val="00D6438C"/>
    <w:rsid w:val="00D67136"/>
    <w:rsid w:val="00D67866"/>
    <w:rsid w:val="00D709EA"/>
    <w:rsid w:val="00D70A46"/>
    <w:rsid w:val="00D71104"/>
    <w:rsid w:val="00D71306"/>
    <w:rsid w:val="00D72F66"/>
    <w:rsid w:val="00D72FBC"/>
    <w:rsid w:val="00D73D8F"/>
    <w:rsid w:val="00D7456D"/>
    <w:rsid w:val="00D74861"/>
    <w:rsid w:val="00D74D7A"/>
    <w:rsid w:val="00D75B60"/>
    <w:rsid w:val="00D75CCD"/>
    <w:rsid w:val="00D80383"/>
    <w:rsid w:val="00D80486"/>
    <w:rsid w:val="00D805DE"/>
    <w:rsid w:val="00D809A6"/>
    <w:rsid w:val="00D80F22"/>
    <w:rsid w:val="00D81AA6"/>
    <w:rsid w:val="00D81F44"/>
    <w:rsid w:val="00D82A7C"/>
    <w:rsid w:val="00D82AD3"/>
    <w:rsid w:val="00D847CA"/>
    <w:rsid w:val="00D84A31"/>
    <w:rsid w:val="00D855CD"/>
    <w:rsid w:val="00D85977"/>
    <w:rsid w:val="00D85BE9"/>
    <w:rsid w:val="00D85C6E"/>
    <w:rsid w:val="00D860AD"/>
    <w:rsid w:val="00D86F89"/>
    <w:rsid w:val="00D87CD2"/>
    <w:rsid w:val="00D9055C"/>
    <w:rsid w:val="00D905F0"/>
    <w:rsid w:val="00D917A0"/>
    <w:rsid w:val="00D918FD"/>
    <w:rsid w:val="00D93355"/>
    <w:rsid w:val="00D93878"/>
    <w:rsid w:val="00D96814"/>
    <w:rsid w:val="00D9710A"/>
    <w:rsid w:val="00D972CF"/>
    <w:rsid w:val="00D97369"/>
    <w:rsid w:val="00D97BCF"/>
    <w:rsid w:val="00DA0DA9"/>
    <w:rsid w:val="00DA125C"/>
    <w:rsid w:val="00DA1C88"/>
    <w:rsid w:val="00DA3BAE"/>
    <w:rsid w:val="00DA4FE3"/>
    <w:rsid w:val="00DA5146"/>
    <w:rsid w:val="00DA5EDF"/>
    <w:rsid w:val="00DA742C"/>
    <w:rsid w:val="00DB16E2"/>
    <w:rsid w:val="00DB1765"/>
    <w:rsid w:val="00DB1B17"/>
    <w:rsid w:val="00DB218F"/>
    <w:rsid w:val="00DB2506"/>
    <w:rsid w:val="00DB2709"/>
    <w:rsid w:val="00DB3E0B"/>
    <w:rsid w:val="00DB51CB"/>
    <w:rsid w:val="00DB79C8"/>
    <w:rsid w:val="00DC2003"/>
    <w:rsid w:val="00DC2147"/>
    <w:rsid w:val="00DC3B5A"/>
    <w:rsid w:val="00DC4AF3"/>
    <w:rsid w:val="00DC4D18"/>
    <w:rsid w:val="00DC56C3"/>
    <w:rsid w:val="00DC6B56"/>
    <w:rsid w:val="00DC6CDF"/>
    <w:rsid w:val="00DC6F6E"/>
    <w:rsid w:val="00DC700E"/>
    <w:rsid w:val="00DC713C"/>
    <w:rsid w:val="00DD2128"/>
    <w:rsid w:val="00DD318D"/>
    <w:rsid w:val="00DD41A5"/>
    <w:rsid w:val="00DD49BF"/>
    <w:rsid w:val="00DD5316"/>
    <w:rsid w:val="00DD55CD"/>
    <w:rsid w:val="00DD6373"/>
    <w:rsid w:val="00DD7027"/>
    <w:rsid w:val="00DE08D2"/>
    <w:rsid w:val="00DE1466"/>
    <w:rsid w:val="00DE3641"/>
    <w:rsid w:val="00DE646D"/>
    <w:rsid w:val="00DE6658"/>
    <w:rsid w:val="00DE6BBD"/>
    <w:rsid w:val="00DE76F5"/>
    <w:rsid w:val="00DF1FF5"/>
    <w:rsid w:val="00DF23D6"/>
    <w:rsid w:val="00DF25BA"/>
    <w:rsid w:val="00DF3834"/>
    <w:rsid w:val="00DF38B3"/>
    <w:rsid w:val="00DF39BF"/>
    <w:rsid w:val="00DF4BE1"/>
    <w:rsid w:val="00DF4FC5"/>
    <w:rsid w:val="00DF7CC1"/>
    <w:rsid w:val="00E00A99"/>
    <w:rsid w:val="00E010DF"/>
    <w:rsid w:val="00E020C3"/>
    <w:rsid w:val="00E03155"/>
    <w:rsid w:val="00E03DAA"/>
    <w:rsid w:val="00E04109"/>
    <w:rsid w:val="00E048F1"/>
    <w:rsid w:val="00E04CBB"/>
    <w:rsid w:val="00E07F39"/>
    <w:rsid w:val="00E10067"/>
    <w:rsid w:val="00E121DB"/>
    <w:rsid w:val="00E142ED"/>
    <w:rsid w:val="00E14A34"/>
    <w:rsid w:val="00E14FDC"/>
    <w:rsid w:val="00E15536"/>
    <w:rsid w:val="00E15B20"/>
    <w:rsid w:val="00E17820"/>
    <w:rsid w:val="00E200EE"/>
    <w:rsid w:val="00E2034D"/>
    <w:rsid w:val="00E21520"/>
    <w:rsid w:val="00E24883"/>
    <w:rsid w:val="00E250E6"/>
    <w:rsid w:val="00E25D2C"/>
    <w:rsid w:val="00E26AF2"/>
    <w:rsid w:val="00E26EA4"/>
    <w:rsid w:val="00E31566"/>
    <w:rsid w:val="00E34145"/>
    <w:rsid w:val="00E34AE9"/>
    <w:rsid w:val="00E34EB3"/>
    <w:rsid w:val="00E35600"/>
    <w:rsid w:val="00E35945"/>
    <w:rsid w:val="00E3615C"/>
    <w:rsid w:val="00E409F7"/>
    <w:rsid w:val="00E4208F"/>
    <w:rsid w:val="00E42A36"/>
    <w:rsid w:val="00E437C6"/>
    <w:rsid w:val="00E44284"/>
    <w:rsid w:val="00E44A52"/>
    <w:rsid w:val="00E451EF"/>
    <w:rsid w:val="00E501FA"/>
    <w:rsid w:val="00E522FA"/>
    <w:rsid w:val="00E54C0D"/>
    <w:rsid w:val="00E54FA1"/>
    <w:rsid w:val="00E568B7"/>
    <w:rsid w:val="00E56C40"/>
    <w:rsid w:val="00E57537"/>
    <w:rsid w:val="00E608A0"/>
    <w:rsid w:val="00E60D47"/>
    <w:rsid w:val="00E61F34"/>
    <w:rsid w:val="00E623A3"/>
    <w:rsid w:val="00E63028"/>
    <w:rsid w:val="00E63322"/>
    <w:rsid w:val="00E63D6F"/>
    <w:rsid w:val="00E6492C"/>
    <w:rsid w:val="00E656D3"/>
    <w:rsid w:val="00E656D8"/>
    <w:rsid w:val="00E65FC4"/>
    <w:rsid w:val="00E668E8"/>
    <w:rsid w:val="00E67BD5"/>
    <w:rsid w:val="00E71801"/>
    <w:rsid w:val="00E72FF3"/>
    <w:rsid w:val="00E762D6"/>
    <w:rsid w:val="00E76E36"/>
    <w:rsid w:val="00E7771A"/>
    <w:rsid w:val="00E8017C"/>
    <w:rsid w:val="00E81896"/>
    <w:rsid w:val="00E828D6"/>
    <w:rsid w:val="00E82F30"/>
    <w:rsid w:val="00E831EF"/>
    <w:rsid w:val="00E84A18"/>
    <w:rsid w:val="00E8527E"/>
    <w:rsid w:val="00E861B3"/>
    <w:rsid w:val="00E86744"/>
    <w:rsid w:val="00E86E0F"/>
    <w:rsid w:val="00E87922"/>
    <w:rsid w:val="00E87C09"/>
    <w:rsid w:val="00E90247"/>
    <w:rsid w:val="00E92314"/>
    <w:rsid w:val="00E92959"/>
    <w:rsid w:val="00E92C7D"/>
    <w:rsid w:val="00E93B47"/>
    <w:rsid w:val="00E9427F"/>
    <w:rsid w:val="00E94BC7"/>
    <w:rsid w:val="00E9512F"/>
    <w:rsid w:val="00E95510"/>
    <w:rsid w:val="00E95BA0"/>
    <w:rsid w:val="00E96CA2"/>
    <w:rsid w:val="00E9711A"/>
    <w:rsid w:val="00EA13C2"/>
    <w:rsid w:val="00EA28EB"/>
    <w:rsid w:val="00EA55F0"/>
    <w:rsid w:val="00EA65CA"/>
    <w:rsid w:val="00EA6F12"/>
    <w:rsid w:val="00EA7969"/>
    <w:rsid w:val="00EB0CB0"/>
    <w:rsid w:val="00EB1C0B"/>
    <w:rsid w:val="00EB2E41"/>
    <w:rsid w:val="00EB4911"/>
    <w:rsid w:val="00EB5AE2"/>
    <w:rsid w:val="00EB62EB"/>
    <w:rsid w:val="00EB6DF8"/>
    <w:rsid w:val="00EB795C"/>
    <w:rsid w:val="00EC1D22"/>
    <w:rsid w:val="00EC20C2"/>
    <w:rsid w:val="00EC63FE"/>
    <w:rsid w:val="00EC6C38"/>
    <w:rsid w:val="00ED0BBB"/>
    <w:rsid w:val="00ED143B"/>
    <w:rsid w:val="00ED1CC7"/>
    <w:rsid w:val="00ED1CEB"/>
    <w:rsid w:val="00ED1F75"/>
    <w:rsid w:val="00ED2F1B"/>
    <w:rsid w:val="00ED363B"/>
    <w:rsid w:val="00ED3FE2"/>
    <w:rsid w:val="00ED5583"/>
    <w:rsid w:val="00ED60F9"/>
    <w:rsid w:val="00ED610B"/>
    <w:rsid w:val="00ED7689"/>
    <w:rsid w:val="00ED7DCC"/>
    <w:rsid w:val="00EE10B6"/>
    <w:rsid w:val="00EE110A"/>
    <w:rsid w:val="00EE1CC8"/>
    <w:rsid w:val="00EE2E8E"/>
    <w:rsid w:val="00EE31EE"/>
    <w:rsid w:val="00EE3981"/>
    <w:rsid w:val="00EE3BAF"/>
    <w:rsid w:val="00EE4724"/>
    <w:rsid w:val="00EE4842"/>
    <w:rsid w:val="00EE4875"/>
    <w:rsid w:val="00EE511A"/>
    <w:rsid w:val="00EE5AF8"/>
    <w:rsid w:val="00EE79CF"/>
    <w:rsid w:val="00EF1071"/>
    <w:rsid w:val="00EF1DF2"/>
    <w:rsid w:val="00EF2A20"/>
    <w:rsid w:val="00EF36DF"/>
    <w:rsid w:val="00EF6C6C"/>
    <w:rsid w:val="00EF7203"/>
    <w:rsid w:val="00F00129"/>
    <w:rsid w:val="00F01031"/>
    <w:rsid w:val="00F02B98"/>
    <w:rsid w:val="00F04B86"/>
    <w:rsid w:val="00F05028"/>
    <w:rsid w:val="00F05685"/>
    <w:rsid w:val="00F05E3A"/>
    <w:rsid w:val="00F07082"/>
    <w:rsid w:val="00F07851"/>
    <w:rsid w:val="00F100BE"/>
    <w:rsid w:val="00F10179"/>
    <w:rsid w:val="00F12624"/>
    <w:rsid w:val="00F13568"/>
    <w:rsid w:val="00F201E6"/>
    <w:rsid w:val="00F2069B"/>
    <w:rsid w:val="00F218DD"/>
    <w:rsid w:val="00F22CAC"/>
    <w:rsid w:val="00F25BB6"/>
    <w:rsid w:val="00F260AE"/>
    <w:rsid w:val="00F260E0"/>
    <w:rsid w:val="00F26609"/>
    <w:rsid w:val="00F26AC3"/>
    <w:rsid w:val="00F30875"/>
    <w:rsid w:val="00F30E96"/>
    <w:rsid w:val="00F31582"/>
    <w:rsid w:val="00F317E1"/>
    <w:rsid w:val="00F31B3C"/>
    <w:rsid w:val="00F3271B"/>
    <w:rsid w:val="00F33C41"/>
    <w:rsid w:val="00F3713F"/>
    <w:rsid w:val="00F3720D"/>
    <w:rsid w:val="00F40A84"/>
    <w:rsid w:val="00F40AC4"/>
    <w:rsid w:val="00F42EF8"/>
    <w:rsid w:val="00F43D2C"/>
    <w:rsid w:val="00F46AA0"/>
    <w:rsid w:val="00F472C5"/>
    <w:rsid w:val="00F502E4"/>
    <w:rsid w:val="00F503EE"/>
    <w:rsid w:val="00F5115D"/>
    <w:rsid w:val="00F525AB"/>
    <w:rsid w:val="00F5326B"/>
    <w:rsid w:val="00F53A88"/>
    <w:rsid w:val="00F5414F"/>
    <w:rsid w:val="00F572F9"/>
    <w:rsid w:val="00F6020E"/>
    <w:rsid w:val="00F60568"/>
    <w:rsid w:val="00F60B4A"/>
    <w:rsid w:val="00F61E8E"/>
    <w:rsid w:val="00F61F6B"/>
    <w:rsid w:val="00F664CC"/>
    <w:rsid w:val="00F6673D"/>
    <w:rsid w:val="00F668C3"/>
    <w:rsid w:val="00F66DBB"/>
    <w:rsid w:val="00F67236"/>
    <w:rsid w:val="00F6766A"/>
    <w:rsid w:val="00F707DB"/>
    <w:rsid w:val="00F71913"/>
    <w:rsid w:val="00F72FD1"/>
    <w:rsid w:val="00F731B9"/>
    <w:rsid w:val="00F73C1E"/>
    <w:rsid w:val="00F75587"/>
    <w:rsid w:val="00F7573D"/>
    <w:rsid w:val="00F7630F"/>
    <w:rsid w:val="00F80BD7"/>
    <w:rsid w:val="00F8344B"/>
    <w:rsid w:val="00F843C3"/>
    <w:rsid w:val="00F84497"/>
    <w:rsid w:val="00F84A56"/>
    <w:rsid w:val="00F84ED9"/>
    <w:rsid w:val="00F857E9"/>
    <w:rsid w:val="00F867D8"/>
    <w:rsid w:val="00F8717F"/>
    <w:rsid w:val="00F87988"/>
    <w:rsid w:val="00F91374"/>
    <w:rsid w:val="00F9147B"/>
    <w:rsid w:val="00F91B66"/>
    <w:rsid w:val="00F92F89"/>
    <w:rsid w:val="00F947E5"/>
    <w:rsid w:val="00F94886"/>
    <w:rsid w:val="00F94C64"/>
    <w:rsid w:val="00F96D34"/>
    <w:rsid w:val="00F96D74"/>
    <w:rsid w:val="00FA1628"/>
    <w:rsid w:val="00FA28E8"/>
    <w:rsid w:val="00FA31C1"/>
    <w:rsid w:val="00FA3D56"/>
    <w:rsid w:val="00FA461C"/>
    <w:rsid w:val="00FA4891"/>
    <w:rsid w:val="00FB04B7"/>
    <w:rsid w:val="00FB1264"/>
    <w:rsid w:val="00FB14B1"/>
    <w:rsid w:val="00FB1EAB"/>
    <w:rsid w:val="00FB4EF7"/>
    <w:rsid w:val="00FB60C3"/>
    <w:rsid w:val="00FC13FA"/>
    <w:rsid w:val="00FC1F9C"/>
    <w:rsid w:val="00FC2E4D"/>
    <w:rsid w:val="00FC4D21"/>
    <w:rsid w:val="00FC5752"/>
    <w:rsid w:val="00FD12A3"/>
    <w:rsid w:val="00FD224B"/>
    <w:rsid w:val="00FD2684"/>
    <w:rsid w:val="00FD2F33"/>
    <w:rsid w:val="00FD31CD"/>
    <w:rsid w:val="00FD32BD"/>
    <w:rsid w:val="00FD4F5A"/>
    <w:rsid w:val="00FE0582"/>
    <w:rsid w:val="00FE1694"/>
    <w:rsid w:val="00FE1D6C"/>
    <w:rsid w:val="00FE33FF"/>
    <w:rsid w:val="00FE4013"/>
    <w:rsid w:val="00FE4C8C"/>
    <w:rsid w:val="00FE52AC"/>
    <w:rsid w:val="00FE5785"/>
    <w:rsid w:val="00FE6508"/>
    <w:rsid w:val="00FE6D44"/>
    <w:rsid w:val="00FE772A"/>
    <w:rsid w:val="00FE7795"/>
    <w:rsid w:val="00FF1045"/>
    <w:rsid w:val="00FF448B"/>
    <w:rsid w:val="00FF516B"/>
    <w:rsid w:val="00FF67A1"/>
    <w:rsid w:val="00FF7659"/>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C0445C"/>
  <w15:docId w15:val="{2036970F-D732-4B01-A6EE-91484D93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5A"/>
    <w:rPr>
      <w:rFonts w:ascii="Times New Roman" w:hAnsi="Times New Roman" w:cs="Times New Roman"/>
      <w:sz w:val="24"/>
      <w:szCs w:val="24"/>
      <w:lang w:val="en-AU" w:eastAsia="en-AU"/>
    </w:rPr>
  </w:style>
  <w:style w:type="paragraph" w:styleId="Heading1">
    <w:name w:val="heading 1"/>
    <w:basedOn w:val="Normal"/>
    <w:next w:val="Normal"/>
    <w:link w:val="Heading1Char"/>
    <w:qFormat/>
    <w:locked/>
    <w:rsid w:val="00FB1E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867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004F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04FE8"/>
    <w:rPr>
      <w:rFonts w:ascii="Cambria" w:eastAsia="SimSun" w:hAnsi="Cambria" w:cs="Times New Roman"/>
      <w:b/>
      <w:bCs/>
      <w:color w:val="4F81BD"/>
      <w:sz w:val="24"/>
      <w:szCs w:val="24"/>
      <w:lang w:val="en-AU" w:eastAsia="en-AU"/>
    </w:rPr>
  </w:style>
  <w:style w:type="paragraph" w:styleId="BalloonText">
    <w:name w:val="Balloon Text"/>
    <w:basedOn w:val="Normal"/>
    <w:link w:val="BalloonTextChar"/>
    <w:uiPriority w:val="99"/>
    <w:semiHidden/>
    <w:rsid w:val="004B3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DF6"/>
    <w:rPr>
      <w:rFonts w:ascii="Tahoma" w:hAnsi="Tahoma" w:cs="Tahoma"/>
      <w:sz w:val="16"/>
      <w:szCs w:val="16"/>
      <w:lang w:val="en-AU" w:eastAsia="en-AU"/>
    </w:rPr>
  </w:style>
  <w:style w:type="paragraph" w:customStyle="1" w:styleId="dnum">
    <w:name w:val="dnum"/>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eastAsia="en-US"/>
    </w:rPr>
  </w:style>
  <w:style w:type="paragraph" w:customStyle="1" w:styleId="ddate">
    <w:name w:val="ddate"/>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customStyle="1" w:styleId="dorlang">
    <w:name w:val="dorlang"/>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styleId="Title">
    <w:name w:val="Title"/>
    <w:basedOn w:val="Normal"/>
    <w:link w:val="TitleChar"/>
    <w:uiPriority w:val="99"/>
    <w:qFormat/>
    <w:rsid w:val="00154359"/>
    <w:pPr>
      <w:jc w:val="center"/>
    </w:pPr>
    <w:rPr>
      <w:b/>
      <w:bCs/>
      <w:lang w:val="en-US" w:eastAsia="en-US"/>
    </w:rPr>
  </w:style>
  <w:style w:type="character" w:customStyle="1" w:styleId="TitleChar">
    <w:name w:val="Title Char"/>
    <w:basedOn w:val="DefaultParagraphFont"/>
    <w:link w:val="Title"/>
    <w:uiPriority w:val="99"/>
    <w:locked/>
    <w:rsid w:val="00154359"/>
    <w:rPr>
      <w:rFonts w:ascii="Times New Roman" w:hAnsi="Times New Roman" w:cs="Times New Roman"/>
      <w:b/>
      <w:bCs/>
      <w:sz w:val="24"/>
      <w:szCs w:val="24"/>
      <w:lang w:eastAsia="en-US"/>
    </w:rPr>
  </w:style>
  <w:style w:type="table" w:styleId="TableGrid">
    <w:name w:val="Table Grid"/>
    <w:basedOn w:val="TableNormal"/>
    <w:uiPriority w:val="39"/>
    <w:rsid w:val="00BD59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BD59BE"/>
    <w:pPr>
      <w:tabs>
        <w:tab w:val="left" w:pos="567"/>
        <w:tab w:val="left" w:pos="737"/>
        <w:tab w:val="left" w:pos="1021"/>
        <w:tab w:val="left" w:pos="1077"/>
        <w:tab w:val="left" w:pos="1418"/>
        <w:tab w:val="center" w:pos="3572"/>
      </w:tabs>
      <w:overflowPunct w:val="0"/>
      <w:autoSpaceDE w:val="0"/>
      <w:autoSpaceDN w:val="0"/>
      <w:adjustRightInd w:val="0"/>
      <w:spacing w:before="313"/>
      <w:jc w:val="both"/>
      <w:textAlignment w:val="baseline"/>
    </w:pPr>
    <w:rPr>
      <w:sz w:val="20"/>
      <w:szCs w:val="20"/>
      <w:lang w:val="en-GB" w:eastAsia="en-US"/>
    </w:rPr>
  </w:style>
  <w:style w:type="paragraph" w:customStyle="1" w:styleId="Sectiontitle">
    <w:name w:val="Section_title"/>
    <w:basedOn w:val="Normal"/>
    <w:next w:val="Normal"/>
    <w:uiPriority w:val="99"/>
    <w:rsid w:val="00BD59BE"/>
    <w:pPr>
      <w:keepNext/>
      <w:keepLines/>
      <w:tabs>
        <w:tab w:val="left" w:pos="567"/>
        <w:tab w:val="left" w:pos="1021"/>
        <w:tab w:val="center" w:pos="3572"/>
      </w:tabs>
      <w:overflowPunct w:val="0"/>
      <w:autoSpaceDE w:val="0"/>
      <w:autoSpaceDN w:val="0"/>
      <w:adjustRightInd w:val="0"/>
      <w:spacing w:after="40"/>
      <w:jc w:val="center"/>
      <w:textAlignment w:val="baseline"/>
    </w:pPr>
    <w:rPr>
      <w:b/>
      <w:szCs w:val="20"/>
      <w:lang w:val="en-GB" w:eastAsia="en-US"/>
    </w:rPr>
  </w:style>
  <w:style w:type="character" w:customStyle="1" w:styleId="NormalaftertitleChar">
    <w:name w:val="Normal after title Char"/>
    <w:basedOn w:val="DefaultParagraphFont"/>
    <w:link w:val="Normalaftertitle"/>
    <w:uiPriority w:val="99"/>
    <w:locked/>
    <w:rsid w:val="00BD59BE"/>
    <w:rPr>
      <w:rFonts w:ascii="Times New Roman" w:hAnsi="Times New Roman" w:cs="Times New Roman"/>
      <w:sz w:val="20"/>
      <w:szCs w:val="20"/>
      <w:lang w:val="en-GB" w:eastAsia="en-US"/>
    </w:rPr>
  </w:style>
  <w:style w:type="paragraph" w:styleId="Header">
    <w:name w:val="header"/>
    <w:aliases w:val="encabezado"/>
    <w:basedOn w:val="Normal"/>
    <w:link w:val="HeaderChar"/>
    <w:uiPriority w:val="99"/>
    <w:rsid w:val="005E4CD9"/>
    <w:pPr>
      <w:tabs>
        <w:tab w:val="center" w:pos="4680"/>
        <w:tab w:val="right" w:pos="9360"/>
      </w:tabs>
    </w:pPr>
  </w:style>
  <w:style w:type="character" w:customStyle="1" w:styleId="HeaderChar">
    <w:name w:val="Header Char"/>
    <w:aliases w:val="encabezado Char"/>
    <w:basedOn w:val="DefaultParagraphFont"/>
    <w:link w:val="Header"/>
    <w:uiPriority w:val="99"/>
    <w:locked/>
    <w:rsid w:val="005E4CD9"/>
    <w:rPr>
      <w:rFonts w:ascii="Times New Roman" w:hAnsi="Times New Roman" w:cs="Times New Roman"/>
      <w:sz w:val="24"/>
      <w:szCs w:val="24"/>
      <w:lang w:val="en-AU" w:eastAsia="en-AU"/>
    </w:rPr>
  </w:style>
  <w:style w:type="paragraph" w:styleId="Footer">
    <w:name w:val="footer"/>
    <w:basedOn w:val="Normal"/>
    <w:link w:val="FooterChar"/>
    <w:uiPriority w:val="99"/>
    <w:rsid w:val="005E4CD9"/>
    <w:pPr>
      <w:tabs>
        <w:tab w:val="center" w:pos="4680"/>
        <w:tab w:val="right" w:pos="9360"/>
      </w:tabs>
    </w:pPr>
  </w:style>
  <w:style w:type="character" w:customStyle="1" w:styleId="FooterChar">
    <w:name w:val="Footer Char"/>
    <w:basedOn w:val="DefaultParagraphFont"/>
    <w:link w:val="Footer"/>
    <w:uiPriority w:val="99"/>
    <w:locked/>
    <w:rsid w:val="005E4CD9"/>
    <w:rPr>
      <w:rFonts w:ascii="Times New Roman" w:hAnsi="Times New Roman" w:cs="Times New Roman"/>
      <w:sz w:val="24"/>
      <w:szCs w:val="24"/>
      <w:lang w:val="en-AU" w:eastAsia="en-AU"/>
    </w:rPr>
  </w:style>
  <w:style w:type="paragraph" w:styleId="ListParagraph">
    <w:name w:val="List Paragraph"/>
    <w:basedOn w:val="Normal"/>
    <w:uiPriority w:val="34"/>
    <w:qFormat/>
    <w:rsid w:val="00370252"/>
    <w:pPr>
      <w:ind w:left="720"/>
      <w:contextualSpacing/>
    </w:pPr>
  </w:style>
  <w:style w:type="character" w:styleId="Hyperlink">
    <w:name w:val="Hyperlink"/>
    <w:basedOn w:val="DefaultParagraphFont"/>
    <w:uiPriority w:val="99"/>
    <w:rsid w:val="00B44E9F"/>
    <w:rPr>
      <w:rFonts w:cs="Times New Roman"/>
      <w:color w:val="0000FF"/>
      <w:u w:val="single"/>
    </w:rPr>
  </w:style>
  <w:style w:type="paragraph" w:styleId="NormalWeb">
    <w:name w:val="Normal (Web)"/>
    <w:basedOn w:val="Normal"/>
    <w:uiPriority w:val="99"/>
    <w:rsid w:val="00826578"/>
    <w:pPr>
      <w:spacing w:before="45" w:after="120"/>
    </w:pPr>
    <w:rPr>
      <w:lang w:val="en-US" w:eastAsia="zh-CN"/>
    </w:rPr>
  </w:style>
  <w:style w:type="paragraph" w:styleId="Index1">
    <w:name w:val="index 1"/>
    <w:basedOn w:val="Normal"/>
    <w:next w:val="Normal"/>
    <w:uiPriority w:val="99"/>
    <w:semiHidden/>
    <w:rsid w:val="00004FE8"/>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004FE8"/>
    <w:rPr>
      <w:rFonts w:cs="Times New Roman"/>
      <w:position w:val="6"/>
      <w:sz w:val="18"/>
    </w:rPr>
  </w:style>
  <w:style w:type="paragraph" w:styleId="FootnoteText">
    <w:name w:val="footnote text"/>
    <w:basedOn w:val="Normal"/>
    <w:link w:val="FootnoteTextChar"/>
    <w:uiPriority w:val="99"/>
    <w:rsid w:val="00004FE8"/>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val="en-GB" w:eastAsia="en-US"/>
    </w:rPr>
  </w:style>
  <w:style w:type="character" w:customStyle="1" w:styleId="FootnoteTextChar">
    <w:name w:val="Footnote Text Char"/>
    <w:basedOn w:val="DefaultParagraphFont"/>
    <w:link w:val="FootnoteText"/>
    <w:uiPriority w:val="99"/>
    <w:locked/>
    <w:rsid w:val="00004FE8"/>
    <w:rPr>
      <w:rFonts w:ascii="Times New Roman" w:hAnsi="Times New Roman" w:cs="Times New Roman"/>
      <w:sz w:val="20"/>
      <w:szCs w:val="20"/>
      <w:lang w:val="en-GB" w:eastAsia="en-US"/>
    </w:rPr>
  </w:style>
  <w:style w:type="paragraph" w:customStyle="1" w:styleId="enumlev1">
    <w:name w:val="enumlev1"/>
    <w:basedOn w:val="Normal"/>
    <w:rsid w:val="00004FE8"/>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val="en-GB" w:eastAsia="en-US"/>
    </w:rPr>
  </w:style>
  <w:style w:type="paragraph" w:customStyle="1" w:styleId="Headingb">
    <w:name w:val="Heading_b"/>
    <w:basedOn w:val="Heading3"/>
    <w:next w:val="Normal"/>
    <w:rsid w:val="00004FE8"/>
    <w:pPr>
      <w:tabs>
        <w:tab w:val="left" w:pos="794"/>
        <w:tab w:val="left" w:pos="2127"/>
        <w:tab w:val="left" w:pos="2410"/>
        <w:tab w:val="left" w:pos="2921"/>
        <w:tab w:val="left" w:pos="3261"/>
      </w:tabs>
      <w:spacing w:before="160"/>
      <w:outlineLvl w:val="9"/>
    </w:pPr>
    <w:rPr>
      <w:rFonts w:ascii="Times New Roman Bold" w:hAnsi="Times New Roman Bold"/>
      <w:bCs w:val="0"/>
      <w:color w:val="auto"/>
      <w:szCs w:val="20"/>
      <w:lang w:val="en-GB" w:eastAsia="en-US"/>
    </w:rPr>
  </w:style>
  <w:style w:type="paragraph" w:customStyle="1" w:styleId="AnnexNo">
    <w:name w:val="Annex_No"/>
    <w:basedOn w:val="Normal"/>
    <w:next w:val="Annextitle"/>
    <w:uiPriority w:val="99"/>
    <w:rsid w:val="00004F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character" w:styleId="PageNumber">
    <w:name w:val="page number"/>
    <w:basedOn w:val="DefaultParagraphFont"/>
    <w:uiPriority w:val="99"/>
    <w:rsid w:val="00004FE8"/>
    <w:rPr>
      <w:rFonts w:cs="Times New Roman"/>
    </w:rPr>
  </w:style>
  <w:style w:type="paragraph" w:customStyle="1" w:styleId="SpecialFooter">
    <w:name w:val="Special Footer"/>
    <w:basedOn w:val="Footer"/>
    <w:uiPriority w:val="99"/>
    <w:rsid w:val="00004FE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fr-FR" w:eastAsia="en-US"/>
    </w:rPr>
  </w:style>
  <w:style w:type="paragraph" w:customStyle="1" w:styleId="Tablelegend">
    <w:name w:val="Table_legend"/>
    <w:basedOn w:val="Normal"/>
    <w:uiPriority w:val="99"/>
    <w:rsid w:val="00004F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Chaptitle">
    <w:name w:val="Chap_title"/>
    <w:basedOn w:val="Normal"/>
    <w:next w:val="Normalaftertitle"/>
    <w:uiPriority w:val="99"/>
    <w:rsid w:val="00004FE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TableHead">
    <w:name w:val="Table_Head"/>
    <w:basedOn w:val="Normal"/>
    <w:rsid w:val="00004F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character" w:customStyle="1" w:styleId="Caractredenotedebasdepage">
    <w:name w:val="Caractère de note de bas de page"/>
    <w:uiPriority w:val="99"/>
    <w:rsid w:val="00004FE8"/>
    <w:rPr>
      <w:position w:val="6"/>
      <w:sz w:val="18"/>
    </w:rPr>
  </w:style>
  <w:style w:type="character" w:styleId="FollowedHyperlink">
    <w:name w:val="FollowedHyperlink"/>
    <w:basedOn w:val="DefaultParagraphFont"/>
    <w:uiPriority w:val="99"/>
    <w:semiHidden/>
    <w:rsid w:val="0074053D"/>
    <w:rPr>
      <w:rFonts w:cs="Times New Roman"/>
      <w:color w:val="800080"/>
      <w:u w:val="single"/>
    </w:rPr>
  </w:style>
  <w:style w:type="paragraph" w:customStyle="1" w:styleId="Default">
    <w:name w:val="Default"/>
    <w:rsid w:val="00316684"/>
    <w:pPr>
      <w:autoSpaceDE w:val="0"/>
      <w:autoSpaceDN w:val="0"/>
      <w:adjustRightInd w:val="0"/>
    </w:pPr>
    <w:rPr>
      <w:rFonts w:ascii="Times New Roman" w:hAnsi="Times New Roman" w:cs="Times New Roman"/>
      <w:color w:val="000000"/>
      <w:sz w:val="24"/>
      <w:szCs w:val="24"/>
      <w:lang w:eastAsia="zh-CN"/>
    </w:rPr>
  </w:style>
  <w:style w:type="paragraph" w:styleId="DocumentMap">
    <w:name w:val="Document Map"/>
    <w:basedOn w:val="Normal"/>
    <w:link w:val="DocumentMapChar"/>
    <w:uiPriority w:val="99"/>
    <w:semiHidden/>
    <w:rsid w:val="007F70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2A7C"/>
    <w:rPr>
      <w:rFonts w:ascii="Times New Roman" w:hAnsi="Times New Roman" w:cs="Times New Roman"/>
      <w:sz w:val="2"/>
      <w:lang w:val="en-AU" w:eastAsia="en-AU"/>
    </w:rPr>
  </w:style>
  <w:style w:type="paragraph" w:styleId="PlainText">
    <w:name w:val="Plain Text"/>
    <w:basedOn w:val="Normal"/>
    <w:link w:val="PlainTextChar"/>
    <w:uiPriority w:val="99"/>
    <w:semiHidden/>
    <w:unhideWhenUsed/>
    <w:rsid w:val="000E4F76"/>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semiHidden/>
    <w:rsid w:val="000E4F76"/>
    <w:rPr>
      <w:rFonts w:eastAsiaTheme="minorEastAsia" w:cstheme="minorBidi"/>
      <w:szCs w:val="21"/>
      <w:lang w:eastAsia="zh-CN"/>
    </w:rPr>
  </w:style>
  <w:style w:type="character" w:customStyle="1" w:styleId="Heading2Char">
    <w:name w:val="Heading 2 Char"/>
    <w:basedOn w:val="DefaultParagraphFont"/>
    <w:link w:val="Heading2"/>
    <w:semiHidden/>
    <w:rsid w:val="008672AF"/>
    <w:rPr>
      <w:rFonts w:asciiTheme="majorHAnsi" w:eastAsiaTheme="majorEastAsia" w:hAnsiTheme="majorHAnsi" w:cstheme="majorBidi"/>
      <w:color w:val="365F91" w:themeColor="accent1" w:themeShade="BF"/>
      <w:sz w:val="26"/>
      <w:szCs w:val="26"/>
      <w:lang w:val="en-AU" w:eastAsia="en-AU"/>
    </w:rPr>
  </w:style>
  <w:style w:type="paragraph" w:styleId="IndexHeading">
    <w:name w:val="index heading"/>
    <w:basedOn w:val="Normal"/>
    <w:next w:val="Index1"/>
    <w:rsid w:val="00527D7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Cs w:val="20"/>
      <w:lang w:val="en-GB" w:eastAsia="en-US"/>
    </w:rPr>
  </w:style>
  <w:style w:type="character" w:customStyle="1" w:styleId="hps">
    <w:name w:val="hps"/>
    <w:basedOn w:val="DefaultParagraphFont"/>
    <w:rsid w:val="00181A8D"/>
  </w:style>
  <w:style w:type="character" w:customStyle="1" w:styleId="Heading1Char">
    <w:name w:val="Heading 1 Char"/>
    <w:basedOn w:val="DefaultParagraphFont"/>
    <w:link w:val="Heading1"/>
    <w:rsid w:val="00FB1EAB"/>
    <w:rPr>
      <w:rFonts w:asciiTheme="majorHAnsi" w:eastAsiaTheme="majorEastAsia" w:hAnsiTheme="majorHAnsi" w:cstheme="majorBidi"/>
      <w:color w:val="365F91" w:themeColor="accent1" w:themeShade="BF"/>
      <w:sz w:val="32"/>
      <w:szCs w:val="32"/>
      <w:lang w:val="en-AU" w:eastAsia="en-AU"/>
    </w:rPr>
  </w:style>
  <w:style w:type="paragraph" w:customStyle="1" w:styleId="Annex">
    <w:name w:val="Annex_#"/>
    <w:basedOn w:val="Normal"/>
    <w:next w:val="Normal"/>
    <w:rsid w:val="00B941F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GB" w:eastAsia="en-US"/>
    </w:rPr>
  </w:style>
  <w:style w:type="character" w:styleId="EndnoteReference">
    <w:name w:val="endnote reference"/>
    <w:basedOn w:val="DefaultParagraphFont"/>
    <w:semiHidden/>
    <w:rsid w:val="00D805DE"/>
    <w:rPr>
      <w:vertAlign w:val="superscript"/>
    </w:rPr>
  </w:style>
  <w:style w:type="paragraph" w:customStyle="1" w:styleId="RecNo">
    <w:name w:val="Rec_No"/>
    <w:basedOn w:val="Normal"/>
    <w:next w:val="Rectitle"/>
    <w:rsid w:val="00D805D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RecNo"/>
    <w:next w:val="Normal"/>
    <w:rsid w:val="00D805DE"/>
    <w:pPr>
      <w:spacing w:before="240"/>
    </w:pPr>
    <w:rPr>
      <w:rFonts w:ascii="Times New Roman Bold" w:hAnsi="Times New Roman Bold"/>
      <w:b/>
      <w:caps w:val="0"/>
    </w:rPr>
  </w:style>
  <w:style w:type="paragraph" w:customStyle="1" w:styleId="call0">
    <w:name w:val="call"/>
    <w:basedOn w:val="Normal"/>
    <w:next w:val="Normal"/>
    <w:rsid w:val="00D805DE"/>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iCs/>
      <w:lang w:val="en-GB" w:eastAsia="zh-CN"/>
    </w:rPr>
  </w:style>
  <w:style w:type="paragraph" w:styleId="EndnoteText">
    <w:name w:val="endnote text"/>
    <w:basedOn w:val="Normal"/>
    <w:link w:val="EndnoteTextChar"/>
    <w:uiPriority w:val="99"/>
    <w:semiHidden/>
    <w:unhideWhenUsed/>
    <w:rsid w:val="00D805DE"/>
    <w:pPr>
      <w:tabs>
        <w:tab w:val="left" w:pos="794"/>
        <w:tab w:val="left" w:pos="1191"/>
        <w:tab w:val="left" w:pos="1588"/>
        <w:tab w:val="left" w:pos="1985"/>
      </w:tabs>
      <w:overflowPunct w:val="0"/>
      <w:autoSpaceDE w:val="0"/>
      <w:autoSpaceDN w:val="0"/>
      <w:adjustRightInd w:val="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uiPriority w:val="99"/>
    <w:semiHidden/>
    <w:rsid w:val="00D805DE"/>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584AB2"/>
    <w:rPr>
      <w:sz w:val="16"/>
      <w:szCs w:val="16"/>
    </w:rPr>
  </w:style>
  <w:style w:type="paragraph" w:styleId="CommentText">
    <w:name w:val="annotation text"/>
    <w:basedOn w:val="Normal"/>
    <w:link w:val="CommentTextChar"/>
    <w:uiPriority w:val="99"/>
    <w:semiHidden/>
    <w:unhideWhenUsed/>
    <w:rsid w:val="00584AB2"/>
    <w:pPr>
      <w:spacing w:after="160" w:line="259" w:lineRule="auto"/>
    </w:pPr>
    <w:rPr>
      <w:rFonts w:asciiTheme="minorHAnsi" w:eastAsiaTheme="minorEastAsia" w:hAnsiTheme="minorHAnsi" w:cstheme="minorBidi"/>
      <w:sz w:val="20"/>
      <w:szCs w:val="22"/>
      <w:lang w:val="en-US" w:eastAsia="zh-CN"/>
    </w:rPr>
  </w:style>
  <w:style w:type="character" w:customStyle="1" w:styleId="CommentTextChar">
    <w:name w:val="Comment Text Char"/>
    <w:basedOn w:val="DefaultParagraphFont"/>
    <w:link w:val="CommentText"/>
    <w:uiPriority w:val="99"/>
    <w:semiHidden/>
    <w:rsid w:val="00584AB2"/>
    <w:rPr>
      <w:rFonts w:asciiTheme="minorHAnsi" w:eastAsiaTheme="minorEastAsia" w:hAnsiTheme="minorHAnsi" w:cstheme="minorBidi"/>
      <w:sz w:val="20"/>
      <w:lang w:eastAsia="zh-CN"/>
    </w:rPr>
  </w:style>
  <w:style w:type="paragraph" w:customStyle="1" w:styleId="ResNo">
    <w:name w:val="Res_No"/>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headfoot">
    <w:name w:val="head_foot"/>
    <w:basedOn w:val="Normal"/>
    <w:next w:val="Normalaftertitle"/>
    <w:rsid w:val="00072720"/>
    <w:pPr>
      <w:tabs>
        <w:tab w:val="left" w:pos="851"/>
        <w:tab w:val="left" w:pos="1418"/>
        <w:tab w:val="center" w:pos="4820"/>
      </w:tabs>
      <w:jc w:val="both"/>
    </w:pPr>
    <w:rPr>
      <w:rFonts w:ascii="Times" w:eastAsia="Times New Roman" w:hAnsi="Times"/>
      <w:color w:val="FF0000"/>
      <w:sz w:val="8"/>
      <w:szCs w:val="20"/>
      <w:lang w:val="en-GB" w:eastAsia="en-US"/>
    </w:rPr>
  </w:style>
  <w:style w:type="paragraph" w:customStyle="1" w:styleId="Restitle">
    <w:name w:val="Res_title"/>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eastAsia="en-US"/>
    </w:rPr>
  </w:style>
  <w:style w:type="paragraph" w:customStyle="1" w:styleId="TableText">
    <w:name w:val="Table_Text"/>
    <w:basedOn w:val="Normal"/>
    <w:rsid w:val="000727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GB" w:eastAsia="en-US"/>
    </w:rPr>
  </w:style>
  <w:style w:type="paragraph" w:styleId="CommentSubject">
    <w:name w:val="annotation subject"/>
    <w:basedOn w:val="CommentText"/>
    <w:next w:val="CommentText"/>
    <w:link w:val="CommentSubjectChar"/>
    <w:uiPriority w:val="99"/>
    <w:semiHidden/>
    <w:unhideWhenUsed/>
    <w:rsid w:val="0020748B"/>
    <w:pPr>
      <w:spacing w:after="0" w:line="240" w:lineRule="auto"/>
    </w:pPr>
    <w:rPr>
      <w:rFonts w:ascii="Times New Roman" w:eastAsia="SimSun" w:hAnsi="Times New Roman" w:cs="Times New Roman"/>
      <w:b/>
      <w:bCs/>
      <w:szCs w:val="20"/>
      <w:lang w:val="en-AU" w:eastAsia="en-AU"/>
    </w:rPr>
  </w:style>
  <w:style w:type="character" w:customStyle="1" w:styleId="CommentSubjectChar">
    <w:name w:val="Comment Subject Char"/>
    <w:basedOn w:val="CommentTextChar"/>
    <w:link w:val="CommentSubject"/>
    <w:uiPriority w:val="99"/>
    <w:semiHidden/>
    <w:rsid w:val="0020748B"/>
    <w:rPr>
      <w:rFonts w:ascii="Times New Roman" w:eastAsiaTheme="minorEastAsia" w:hAnsi="Times New Roman" w:cs="Times New Roman"/>
      <w:b/>
      <w:bCs/>
      <w:sz w:val="20"/>
      <w:szCs w:val="20"/>
      <w:lang w:val="en-AU" w:eastAsia="en-AU"/>
    </w:rPr>
  </w:style>
  <w:style w:type="paragraph" w:styleId="Revision">
    <w:name w:val="Revision"/>
    <w:hidden/>
    <w:uiPriority w:val="99"/>
    <w:semiHidden/>
    <w:rsid w:val="00752139"/>
    <w:rPr>
      <w:rFonts w:ascii="Times New Roman" w:hAnsi="Times New Roman" w:cs="Times New Roman"/>
      <w:sz w:val="24"/>
      <w:szCs w:val="24"/>
      <w:lang w:val="en-AU" w:eastAsia="en-AU"/>
    </w:rPr>
  </w:style>
  <w:style w:type="table" w:customStyle="1" w:styleId="ListTable3-Accent51">
    <w:name w:val="List Table 3 - Accent 51"/>
    <w:basedOn w:val="TableNormal"/>
    <w:uiPriority w:val="48"/>
    <w:rsid w:val="003D0BC7"/>
    <w:rPr>
      <w:rFonts w:asciiTheme="minorHAnsi" w:eastAsiaTheme="minorEastAsia" w:hAnsiTheme="minorHAnsi" w:cstheme="minorBidi"/>
      <w:lang w:eastAsia="zh-C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Body">
    <w:name w:val="Body"/>
    <w:rsid w:val="00E84A18"/>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s="Calibri"/>
      <w:color w:val="000000"/>
      <w:sz w:val="24"/>
      <w:szCs w:val="24"/>
      <w:u w:color="000000"/>
      <w:bdr w:val="nil"/>
    </w:rPr>
  </w:style>
  <w:style w:type="paragraph" w:customStyle="1" w:styleId="Source">
    <w:name w:val="Source"/>
    <w:basedOn w:val="Normal"/>
    <w:rsid w:val="007D7068"/>
    <w:pPr>
      <w:spacing w:before="840"/>
      <w:jc w:val="center"/>
    </w:pPr>
    <w:rPr>
      <w:rFonts w:asciiTheme="minorHAnsi" w:hAnsiTheme="minorHAnsi"/>
      <w:b/>
      <w:sz w:val="28"/>
      <w:szCs w:val="28"/>
    </w:rPr>
  </w:style>
  <w:style w:type="paragraph" w:customStyle="1" w:styleId="Title1">
    <w:name w:val="Title 1"/>
    <w:basedOn w:val="Source"/>
    <w:rsid w:val="007D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293">
      <w:bodyDiv w:val="1"/>
      <w:marLeft w:val="0"/>
      <w:marRight w:val="0"/>
      <w:marTop w:val="0"/>
      <w:marBottom w:val="0"/>
      <w:divBdr>
        <w:top w:val="none" w:sz="0" w:space="0" w:color="auto"/>
        <w:left w:val="none" w:sz="0" w:space="0" w:color="auto"/>
        <w:bottom w:val="none" w:sz="0" w:space="0" w:color="auto"/>
        <w:right w:val="none" w:sz="0" w:space="0" w:color="auto"/>
      </w:divBdr>
    </w:div>
    <w:div w:id="91098420">
      <w:bodyDiv w:val="1"/>
      <w:marLeft w:val="0"/>
      <w:marRight w:val="0"/>
      <w:marTop w:val="0"/>
      <w:marBottom w:val="0"/>
      <w:divBdr>
        <w:top w:val="none" w:sz="0" w:space="0" w:color="auto"/>
        <w:left w:val="none" w:sz="0" w:space="0" w:color="auto"/>
        <w:bottom w:val="none" w:sz="0" w:space="0" w:color="auto"/>
        <w:right w:val="none" w:sz="0" w:space="0" w:color="auto"/>
      </w:divBdr>
    </w:div>
    <w:div w:id="166486276">
      <w:bodyDiv w:val="1"/>
      <w:marLeft w:val="0"/>
      <w:marRight w:val="0"/>
      <w:marTop w:val="0"/>
      <w:marBottom w:val="0"/>
      <w:divBdr>
        <w:top w:val="none" w:sz="0" w:space="0" w:color="auto"/>
        <w:left w:val="none" w:sz="0" w:space="0" w:color="auto"/>
        <w:bottom w:val="none" w:sz="0" w:space="0" w:color="auto"/>
        <w:right w:val="none" w:sz="0" w:space="0" w:color="auto"/>
      </w:divBdr>
    </w:div>
    <w:div w:id="348914171">
      <w:bodyDiv w:val="1"/>
      <w:marLeft w:val="0"/>
      <w:marRight w:val="0"/>
      <w:marTop w:val="0"/>
      <w:marBottom w:val="0"/>
      <w:divBdr>
        <w:top w:val="none" w:sz="0" w:space="0" w:color="auto"/>
        <w:left w:val="none" w:sz="0" w:space="0" w:color="auto"/>
        <w:bottom w:val="none" w:sz="0" w:space="0" w:color="auto"/>
        <w:right w:val="none" w:sz="0" w:space="0" w:color="auto"/>
      </w:divBdr>
    </w:div>
    <w:div w:id="437867796">
      <w:bodyDiv w:val="1"/>
      <w:marLeft w:val="0"/>
      <w:marRight w:val="0"/>
      <w:marTop w:val="0"/>
      <w:marBottom w:val="0"/>
      <w:divBdr>
        <w:top w:val="none" w:sz="0" w:space="0" w:color="auto"/>
        <w:left w:val="none" w:sz="0" w:space="0" w:color="auto"/>
        <w:bottom w:val="none" w:sz="0" w:space="0" w:color="auto"/>
        <w:right w:val="none" w:sz="0" w:space="0" w:color="auto"/>
      </w:divBdr>
    </w:div>
    <w:div w:id="703362366">
      <w:bodyDiv w:val="1"/>
      <w:marLeft w:val="0"/>
      <w:marRight w:val="0"/>
      <w:marTop w:val="0"/>
      <w:marBottom w:val="0"/>
      <w:divBdr>
        <w:top w:val="none" w:sz="0" w:space="0" w:color="auto"/>
        <w:left w:val="none" w:sz="0" w:space="0" w:color="auto"/>
        <w:bottom w:val="none" w:sz="0" w:space="0" w:color="auto"/>
        <w:right w:val="none" w:sz="0" w:space="0" w:color="auto"/>
      </w:divBdr>
    </w:div>
    <w:div w:id="899441648">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78219958">
      <w:bodyDiv w:val="1"/>
      <w:marLeft w:val="0"/>
      <w:marRight w:val="0"/>
      <w:marTop w:val="0"/>
      <w:marBottom w:val="0"/>
      <w:divBdr>
        <w:top w:val="none" w:sz="0" w:space="0" w:color="auto"/>
        <w:left w:val="none" w:sz="0" w:space="0" w:color="auto"/>
        <w:bottom w:val="none" w:sz="0" w:space="0" w:color="auto"/>
        <w:right w:val="none" w:sz="0" w:space="0" w:color="auto"/>
      </w:divBdr>
    </w:div>
    <w:div w:id="983004646">
      <w:bodyDiv w:val="1"/>
      <w:marLeft w:val="0"/>
      <w:marRight w:val="0"/>
      <w:marTop w:val="0"/>
      <w:marBottom w:val="0"/>
      <w:divBdr>
        <w:top w:val="none" w:sz="0" w:space="0" w:color="auto"/>
        <w:left w:val="none" w:sz="0" w:space="0" w:color="auto"/>
        <w:bottom w:val="none" w:sz="0" w:space="0" w:color="auto"/>
        <w:right w:val="none" w:sz="0" w:space="0" w:color="auto"/>
      </w:divBdr>
    </w:div>
    <w:div w:id="1018778277">
      <w:bodyDiv w:val="1"/>
      <w:marLeft w:val="0"/>
      <w:marRight w:val="0"/>
      <w:marTop w:val="0"/>
      <w:marBottom w:val="0"/>
      <w:divBdr>
        <w:top w:val="none" w:sz="0" w:space="0" w:color="auto"/>
        <w:left w:val="none" w:sz="0" w:space="0" w:color="auto"/>
        <w:bottom w:val="none" w:sz="0" w:space="0" w:color="auto"/>
        <w:right w:val="none" w:sz="0" w:space="0" w:color="auto"/>
      </w:divBdr>
    </w:div>
    <w:div w:id="1050303744">
      <w:bodyDiv w:val="1"/>
      <w:marLeft w:val="0"/>
      <w:marRight w:val="0"/>
      <w:marTop w:val="0"/>
      <w:marBottom w:val="0"/>
      <w:divBdr>
        <w:top w:val="none" w:sz="0" w:space="0" w:color="auto"/>
        <w:left w:val="none" w:sz="0" w:space="0" w:color="auto"/>
        <w:bottom w:val="none" w:sz="0" w:space="0" w:color="auto"/>
        <w:right w:val="none" w:sz="0" w:space="0" w:color="auto"/>
      </w:divBdr>
    </w:div>
    <w:div w:id="1072041114">
      <w:bodyDiv w:val="1"/>
      <w:marLeft w:val="0"/>
      <w:marRight w:val="0"/>
      <w:marTop w:val="0"/>
      <w:marBottom w:val="0"/>
      <w:divBdr>
        <w:top w:val="none" w:sz="0" w:space="0" w:color="auto"/>
        <w:left w:val="none" w:sz="0" w:space="0" w:color="auto"/>
        <w:bottom w:val="none" w:sz="0" w:space="0" w:color="auto"/>
        <w:right w:val="none" w:sz="0" w:space="0" w:color="auto"/>
      </w:divBdr>
    </w:div>
    <w:div w:id="1075594562">
      <w:bodyDiv w:val="1"/>
      <w:marLeft w:val="0"/>
      <w:marRight w:val="0"/>
      <w:marTop w:val="0"/>
      <w:marBottom w:val="0"/>
      <w:divBdr>
        <w:top w:val="none" w:sz="0" w:space="0" w:color="auto"/>
        <w:left w:val="none" w:sz="0" w:space="0" w:color="auto"/>
        <w:bottom w:val="none" w:sz="0" w:space="0" w:color="auto"/>
        <w:right w:val="none" w:sz="0" w:space="0" w:color="auto"/>
      </w:divBdr>
    </w:div>
    <w:div w:id="1243687338">
      <w:bodyDiv w:val="1"/>
      <w:marLeft w:val="0"/>
      <w:marRight w:val="0"/>
      <w:marTop w:val="0"/>
      <w:marBottom w:val="0"/>
      <w:divBdr>
        <w:top w:val="none" w:sz="0" w:space="0" w:color="auto"/>
        <w:left w:val="none" w:sz="0" w:space="0" w:color="auto"/>
        <w:bottom w:val="none" w:sz="0" w:space="0" w:color="auto"/>
        <w:right w:val="none" w:sz="0" w:space="0" w:color="auto"/>
      </w:divBdr>
    </w:div>
    <w:div w:id="1347713322">
      <w:bodyDiv w:val="1"/>
      <w:marLeft w:val="0"/>
      <w:marRight w:val="0"/>
      <w:marTop w:val="0"/>
      <w:marBottom w:val="0"/>
      <w:divBdr>
        <w:top w:val="none" w:sz="0" w:space="0" w:color="auto"/>
        <w:left w:val="none" w:sz="0" w:space="0" w:color="auto"/>
        <w:bottom w:val="none" w:sz="0" w:space="0" w:color="auto"/>
        <w:right w:val="none" w:sz="0" w:space="0" w:color="auto"/>
      </w:divBdr>
    </w:div>
    <w:div w:id="1393456501">
      <w:bodyDiv w:val="1"/>
      <w:marLeft w:val="0"/>
      <w:marRight w:val="0"/>
      <w:marTop w:val="0"/>
      <w:marBottom w:val="0"/>
      <w:divBdr>
        <w:top w:val="none" w:sz="0" w:space="0" w:color="auto"/>
        <w:left w:val="none" w:sz="0" w:space="0" w:color="auto"/>
        <w:bottom w:val="none" w:sz="0" w:space="0" w:color="auto"/>
        <w:right w:val="none" w:sz="0" w:space="0" w:color="auto"/>
      </w:divBdr>
    </w:div>
    <w:div w:id="1558315601">
      <w:bodyDiv w:val="1"/>
      <w:marLeft w:val="0"/>
      <w:marRight w:val="0"/>
      <w:marTop w:val="0"/>
      <w:marBottom w:val="0"/>
      <w:divBdr>
        <w:top w:val="none" w:sz="0" w:space="0" w:color="auto"/>
        <w:left w:val="none" w:sz="0" w:space="0" w:color="auto"/>
        <w:bottom w:val="none" w:sz="0" w:space="0" w:color="auto"/>
        <w:right w:val="none" w:sz="0" w:space="0" w:color="auto"/>
      </w:divBdr>
    </w:div>
    <w:div w:id="1578900475">
      <w:bodyDiv w:val="1"/>
      <w:marLeft w:val="0"/>
      <w:marRight w:val="0"/>
      <w:marTop w:val="0"/>
      <w:marBottom w:val="0"/>
      <w:divBdr>
        <w:top w:val="none" w:sz="0" w:space="0" w:color="auto"/>
        <w:left w:val="none" w:sz="0" w:space="0" w:color="auto"/>
        <w:bottom w:val="none" w:sz="0" w:space="0" w:color="auto"/>
        <w:right w:val="none" w:sz="0" w:space="0" w:color="auto"/>
      </w:divBdr>
    </w:div>
    <w:div w:id="1588004456">
      <w:bodyDiv w:val="1"/>
      <w:marLeft w:val="0"/>
      <w:marRight w:val="0"/>
      <w:marTop w:val="0"/>
      <w:marBottom w:val="0"/>
      <w:divBdr>
        <w:top w:val="none" w:sz="0" w:space="0" w:color="auto"/>
        <w:left w:val="none" w:sz="0" w:space="0" w:color="auto"/>
        <w:bottom w:val="none" w:sz="0" w:space="0" w:color="auto"/>
        <w:right w:val="none" w:sz="0" w:space="0" w:color="auto"/>
      </w:divBdr>
    </w:div>
    <w:div w:id="1760105132">
      <w:bodyDiv w:val="1"/>
      <w:marLeft w:val="0"/>
      <w:marRight w:val="0"/>
      <w:marTop w:val="0"/>
      <w:marBottom w:val="0"/>
      <w:divBdr>
        <w:top w:val="none" w:sz="0" w:space="0" w:color="auto"/>
        <w:left w:val="none" w:sz="0" w:space="0" w:color="auto"/>
        <w:bottom w:val="none" w:sz="0" w:space="0" w:color="auto"/>
        <w:right w:val="none" w:sz="0" w:space="0" w:color="auto"/>
      </w:divBdr>
    </w:div>
    <w:div w:id="1784226746">
      <w:bodyDiv w:val="1"/>
      <w:marLeft w:val="0"/>
      <w:marRight w:val="0"/>
      <w:marTop w:val="0"/>
      <w:marBottom w:val="0"/>
      <w:divBdr>
        <w:top w:val="none" w:sz="0" w:space="0" w:color="auto"/>
        <w:left w:val="none" w:sz="0" w:space="0" w:color="auto"/>
        <w:bottom w:val="none" w:sz="0" w:space="0" w:color="auto"/>
        <w:right w:val="none" w:sz="0" w:space="0" w:color="auto"/>
      </w:divBdr>
    </w:div>
    <w:div w:id="1796559160">
      <w:bodyDiv w:val="1"/>
      <w:marLeft w:val="0"/>
      <w:marRight w:val="0"/>
      <w:marTop w:val="0"/>
      <w:marBottom w:val="0"/>
      <w:divBdr>
        <w:top w:val="none" w:sz="0" w:space="0" w:color="auto"/>
        <w:left w:val="none" w:sz="0" w:space="0" w:color="auto"/>
        <w:bottom w:val="none" w:sz="0" w:space="0" w:color="auto"/>
        <w:right w:val="none" w:sz="0" w:space="0" w:color="auto"/>
      </w:divBdr>
    </w:div>
    <w:div w:id="1913999398">
      <w:bodyDiv w:val="1"/>
      <w:marLeft w:val="0"/>
      <w:marRight w:val="0"/>
      <w:marTop w:val="0"/>
      <w:marBottom w:val="0"/>
      <w:divBdr>
        <w:top w:val="none" w:sz="0" w:space="0" w:color="auto"/>
        <w:left w:val="none" w:sz="0" w:space="0" w:color="auto"/>
        <w:bottom w:val="none" w:sz="0" w:space="0" w:color="auto"/>
        <w:right w:val="none" w:sz="0" w:space="0" w:color="auto"/>
      </w:divBdr>
    </w:div>
    <w:div w:id="1960138611">
      <w:bodyDiv w:val="1"/>
      <w:marLeft w:val="0"/>
      <w:marRight w:val="0"/>
      <w:marTop w:val="0"/>
      <w:marBottom w:val="0"/>
      <w:divBdr>
        <w:top w:val="none" w:sz="0" w:space="0" w:color="auto"/>
        <w:left w:val="none" w:sz="0" w:space="0" w:color="auto"/>
        <w:bottom w:val="none" w:sz="0" w:space="0" w:color="auto"/>
        <w:right w:val="none" w:sz="0" w:space="0" w:color="auto"/>
      </w:divBdr>
    </w:div>
    <w:div w:id="1997413555">
      <w:marLeft w:val="0"/>
      <w:marRight w:val="0"/>
      <w:marTop w:val="0"/>
      <w:marBottom w:val="0"/>
      <w:divBdr>
        <w:top w:val="none" w:sz="0" w:space="0" w:color="auto"/>
        <w:left w:val="none" w:sz="0" w:space="0" w:color="auto"/>
        <w:bottom w:val="none" w:sz="0" w:space="0" w:color="auto"/>
        <w:right w:val="none" w:sz="0" w:space="0" w:color="auto"/>
      </w:divBdr>
    </w:div>
    <w:div w:id="1997413556">
      <w:marLeft w:val="0"/>
      <w:marRight w:val="0"/>
      <w:marTop w:val="0"/>
      <w:marBottom w:val="0"/>
      <w:divBdr>
        <w:top w:val="none" w:sz="0" w:space="0" w:color="auto"/>
        <w:left w:val="none" w:sz="0" w:space="0" w:color="auto"/>
        <w:bottom w:val="none" w:sz="0" w:space="0" w:color="auto"/>
        <w:right w:val="none" w:sz="0" w:space="0" w:color="auto"/>
      </w:divBdr>
    </w:div>
    <w:div w:id="1997413557">
      <w:marLeft w:val="0"/>
      <w:marRight w:val="0"/>
      <w:marTop w:val="0"/>
      <w:marBottom w:val="0"/>
      <w:divBdr>
        <w:top w:val="none" w:sz="0" w:space="0" w:color="auto"/>
        <w:left w:val="none" w:sz="0" w:space="0" w:color="auto"/>
        <w:bottom w:val="none" w:sz="0" w:space="0" w:color="auto"/>
        <w:right w:val="none" w:sz="0" w:space="0" w:color="auto"/>
      </w:divBdr>
    </w:div>
    <w:div w:id="1997413558">
      <w:marLeft w:val="0"/>
      <w:marRight w:val="0"/>
      <w:marTop w:val="0"/>
      <w:marBottom w:val="0"/>
      <w:divBdr>
        <w:top w:val="none" w:sz="0" w:space="0" w:color="auto"/>
        <w:left w:val="none" w:sz="0" w:space="0" w:color="auto"/>
        <w:bottom w:val="none" w:sz="0" w:space="0" w:color="auto"/>
        <w:right w:val="none" w:sz="0" w:space="0" w:color="auto"/>
      </w:divBdr>
    </w:div>
    <w:div w:id="1997413559">
      <w:marLeft w:val="0"/>
      <w:marRight w:val="0"/>
      <w:marTop w:val="0"/>
      <w:marBottom w:val="0"/>
      <w:divBdr>
        <w:top w:val="none" w:sz="0" w:space="0" w:color="auto"/>
        <w:left w:val="none" w:sz="0" w:space="0" w:color="auto"/>
        <w:bottom w:val="none" w:sz="0" w:space="0" w:color="auto"/>
        <w:right w:val="none" w:sz="0" w:space="0" w:color="auto"/>
      </w:divBdr>
    </w:div>
    <w:div w:id="1997413560">
      <w:marLeft w:val="0"/>
      <w:marRight w:val="0"/>
      <w:marTop w:val="0"/>
      <w:marBottom w:val="0"/>
      <w:divBdr>
        <w:top w:val="none" w:sz="0" w:space="0" w:color="auto"/>
        <w:left w:val="none" w:sz="0" w:space="0" w:color="auto"/>
        <w:bottom w:val="none" w:sz="0" w:space="0" w:color="auto"/>
        <w:right w:val="none" w:sz="0" w:space="0" w:color="auto"/>
      </w:divBdr>
    </w:div>
    <w:div w:id="1997413561">
      <w:marLeft w:val="0"/>
      <w:marRight w:val="0"/>
      <w:marTop w:val="0"/>
      <w:marBottom w:val="0"/>
      <w:divBdr>
        <w:top w:val="none" w:sz="0" w:space="0" w:color="auto"/>
        <w:left w:val="none" w:sz="0" w:space="0" w:color="auto"/>
        <w:bottom w:val="none" w:sz="0" w:space="0" w:color="auto"/>
        <w:right w:val="none" w:sz="0" w:space="0" w:color="auto"/>
      </w:divBdr>
    </w:div>
    <w:div w:id="1997413562">
      <w:marLeft w:val="0"/>
      <w:marRight w:val="0"/>
      <w:marTop w:val="0"/>
      <w:marBottom w:val="0"/>
      <w:divBdr>
        <w:top w:val="none" w:sz="0" w:space="0" w:color="auto"/>
        <w:left w:val="none" w:sz="0" w:space="0" w:color="auto"/>
        <w:bottom w:val="none" w:sz="0" w:space="0" w:color="auto"/>
        <w:right w:val="none" w:sz="0" w:space="0" w:color="auto"/>
      </w:divBdr>
    </w:div>
    <w:div w:id="1997413563">
      <w:marLeft w:val="0"/>
      <w:marRight w:val="0"/>
      <w:marTop w:val="0"/>
      <w:marBottom w:val="0"/>
      <w:divBdr>
        <w:top w:val="none" w:sz="0" w:space="0" w:color="auto"/>
        <w:left w:val="none" w:sz="0" w:space="0" w:color="auto"/>
        <w:bottom w:val="none" w:sz="0" w:space="0" w:color="auto"/>
        <w:right w:val="none" w:sz="0" w:space="0" w:color="auto"/>
      </w:divBdr>
    </w:div>
    <w:div w:id="2000578149">
      <w:bodyDiv w:val="1"/>
      <w:marLeft w:val="0"/>
      <w:marRight w:val="0"/>
      <w:marTop w:val="0"/>
      <w:marBottom w:val="0"/>
      <w:divBdr>
        <w:top w:val="none" w:sz="0" w:space="0" w:color="auto"/>
        <w:left w:val="none" w:sz="0" w:space="0" w:color="auto"/>
        <w:bottom w:val="none" w:sz="0" w:space="0" w:color="auto"/>
        <w:right w:val="none" w:sz="0" w:space="0" w:color="auto"/>
      </w:divBdr>
    </w:div>
    <w:div w:id="2077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TSB-CIR-0035/en" TargetMode="External"/><Relationship Id="rId18" Type="http://schemas.openxmlformats.org/officeDocument/2006/relationships/hyperlink" Target="https://www.itu.int/en/ITU-T/inr/Documents/roa-notification.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7-CL-C-0134/en" TargetMode="External"/><Relationship Id="rId17" Type="http://schemas.openxmlformats.org/officeDocument/2006/relationships/hyperlink" Target="http://www.itu.int/en/ITU-T/inr/forms/Pages/iin.aspx" TargetMode="External"/><Relationship Id="rId2" Type="http://schemas.openxmlformats.org/officeDocument/2006/relationships/numbering" Target="numbering.xml"/><Relationship Id="rId16" Type="http://schemas.openxmlformats.org/officeDocument/2006/relationships/hyperlink" Target="http://www.itu.int/en/ITU-T/inr/unum/Pages/uifn.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33/en" TargetMode="External"/><Relationship Id="rId5" Type="http://schemas.openxmlformats.org/officeDocument/2006/relationships/webSettings" Target="webSettings.xml"/><Relationship Id="rId15" Type="http://schemas.openxmlformats.org/officeDocument/2006/relationships/hyperlink" Target="https://www.itu.int/dms_pub/itu-t/opb/sp/T-SP-OB.1127-2017-OAS-PDF-E.pdf" TargetMode="External"/><Relationship Id="rId10" Type="http://schemas.openxmlformats.org/officeDocument/2006/relationships/hyperlink" Target="https://www.itu.int/md/S17-CL-C-0134/en" TargetMode="External"/><Relationship Id="rId19" Type="http://schemas.openxmlformats.org/officeDocument/2006/relationships/hyperlink" Target="https://www.itu.int/en/ITU-T/inr/Pages/roa.aspx" TargetMode="External"/><Relationship Id="rId4" Type="http://schemas.openxmlformats.org/officeDocument/2006/relationships/settings" Target="settings.xml"/><Relationship Id="rId9" Type="http://schemas.openxmlformats.org/officeDocument/2006/relationships/hyperlink" Target="https://www.itu.int/md/S17-CL-C-0133/en" TargetMode="External"/><Relationship Id="rId14" Type="http://schemas.openxmlformats.org/officeDocument/2006/relationships/hyperlink" Target="https://www.itu.int/md/T17-TSB-CIR-0036/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DD054-DC56-4822-9C18-636FD29A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5706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CWG-FHR</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dc:title>
  <dc:subject>Council Working Group on Financial and Human Resources</dc:subject>
  <dc:creator>author</dc:creator>
  <cp:keywords>C2017, C17</cp:keywords>
  <cp:lastModifiedBy>Janin</cp:lastModifiedBy>
  <cp:revision>2</cp:revision>
  <cp:lastPrinted>2016-04-12T13:05:00Z</cp:lastPrinted>
  <dcterms:created xsi:type="dcterms:W3CDTF">2017-12-20T07:12:00Z</dcterms:created>
  <dcterms:modified xsi:type="dcterms:W3CDTF">2017-12-20T07:12:00Z</dcterms:modified>
</cp:coreProperties>
</file>