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EC7C6D" w:rsidRPr="00EC7C6D" w14:paraId="439B4360" w14:textId="77777777" w:rsidTr="00F97A13">
        <w:trPr>
          <w:cantSplit/>
        </w:trPr>
        <w:tc>
          <w:tcPr>
            <w:tcW w:w="6521" w:type="dxa"/>
          </w:tcPr>
          <w:p w14:paraId="02F4AF67" w14:textId="77777777" w:rsidR="00EC7C6D" w:rsidRPr="00EC7C6D" w:rsidRDefault="00EC7C6D" w:rsidP="00EC7C6D">
            <w:pPr>
              <w:tabs>
                <w:tab w:val="clear" w:pos="567"/>
                <w:tab w:val="clear" w:pos="1134"/>
                <w:tab w:val="clear" w:pos="1701"/>
                <w:tab w:val="clear" w:pos="2268"/>
                <w:tab w:val="clear" w:pos="2835"/>
              </w:tabs>
              <w:overflowPunct/>
              <w:autoSpaceDE/>
              <w:autoSpaceDN/>
              <w:adjustRightInd/>
              <w:spacing w:before="240" w:after="48"/>
              <w:textAlignment w:val="auto"/>
              <w:rPr>
                <w:rFonts w:eastAsia="SimSun"/>
                <w:b/>
                <w:position w:val="6"/>
                <w:sz w:val="30"/>
                <w:szCs w:val="30"/>
                <w:lang w:val="en-US" w:eastAsia="zh-CN"/>
              </w:rPr>
            </w:pPr>
            <w:r w:rsidRPr="00EC7C6D">
              <w:rPr>
                <w:rFonts w:eastAsia="SimSun"/>
                <w:b/>
                <w:position w:val="6"/>
                <w:sz w:val="30"/>
                <w:szCs w:val="30"/>
                <w:lang w:val="en-US" w:eastAsia="zh-CN"/>
              </w:rPr>
              <w:t xml:space="preserve">Council Working Group on </w:t>
            </w:r>
            <w:r w:rsidRPr="00EC7C6D">
              <w:rPr>
                <w:rFonts w:eastAsia="SimSun"/>
                <w:b/>
                <w:position w:val="6"/>
                <w:sz w:val="30"/>
                <w:szCs w:val="30"/>
                <w:lang w:val="en-US" w:eastAsia="zh-CN"/>
              </w:rPr>
              <w:br/>
              <w:t>Financial and Human Resources</w:t>
            </w:r>
          </w:p>
          <w:p w14:paraId="7FF9ADDF" w14:textId="77777777" w:rsidR="00EC7C6D" w:rsidRPr="00EC7C6D" w:rsidRDefault="00EC7C6D" w:rsidP="00EC7C6D">
            <w:pPr>
              <w:tabs>
                <w:tab w:val="clear" w:pos="567"/>
                <w:tab w:val="clear" w:pos="1134"/>
                <w:tab w:val="clear" w:pos="1701"/>
                <w:tab w:val="clear" w:pos="2268"/>
                <w:tab w:val="clear" w:pos="2835"/>
              </w:tabs>
              <w:overflowPunct/>
              <w:autoSpaceDE/>
              <w:autoSpaceDN/>
              <w:adjustRightInd/>
              <w:spacing w:before="0" w:after="120"/>
              <w:textAlignment w:val="auto"/>
              <w:rPr>
                <w:rFonts w:eastAsia="SimSun"/>
                <w:b/>
                <w:position w:val="6"/>
                <w:sz w:val="26"/>
                <w:szCs w:val="26"/>
                <w:lang w:val="en-US" w:eastAsia="zh-CN"/>
              </w:rPr>
            </w:pPr>
            <w:r w:rsidRPr="00EC7C6D">
              <w:rPr>
                <w:rFonts w:eastAsia="SimSun" w:cs="Times New Roman Bold"/>
                <w:b/>
                <w:szCs w:val="24"/>
                <w:lang w:val="en-US" w:eastAsia="zh-CN"/>
              </w:rPr>
              <w:t xml:space="preserve">Eighth meeting </w:t>
            </w:r>
            <w:r w:rsidRPr="00EC7C6D">
              <w:rPr>
                <w:rFonts w:eastAsia="Calibri" w:cs="Calibri"/>
                <w:b/>
                <w:color w:val="000000"/>
                <w:szCs w:val="24"/>
                <w:lang w:val="en-US" w:eastAsia="zh-CN"/>
              </w:rPr>
              <w:t>–</w:t>
            </w:r>
            <w:r w:rsidRPr="00EC7C6D">
              <w:rPr>
                <w:rFonts w:eastAsia="SimSun" w:cs="Times New Roman Bold"/>
                <w:b/>
                <w:szCs w:val="24"/>
                <w:lang w:val="en-US" w:eastAsia="zh-CN"/>
              </w:rPr>
              <w:t xml:space="preserve"> Geneva, 22-23 January 2018</w:t>
            </w:r>
          </w:p>
        </w:tc>
        <w:tc>
          <w:tcPr>
            <w:tcW w:w="3793" w:type="dxa"/>
          </w:tcPr>
          <w:p w14:paraId="289051B5" w14:textId="77777777" w:rsidR="00EC7C6D" w:rsidRPr="00EC7C6D" w:rsidRDefault="00EC7C6D" w:rsidP="00EC7C6D">
            <w:pPr>
              <w:tabs>
                <w:tab w:val="clear" w:pos="567"/>
                <w:tab w:val="clear" w:pos="1134"/>
                <w:tab w:val="clear" w:pos="1701"/>
                <w:tab w:val="clear" w:pos="2268"/>
                <w:tab w:val="clear" w:pos="2835"/>
              </w:tabs>
              <w:overflowPunct/>
              <w:autoSpaceDE/>
              <w:autoSpaceDN/>
              <w:adjustRightInd/>
              <w:spacing w:line="240" w:lineRule="atLeast"/>
              <w:textAlignment w:val="auto"/>
              <w:rPr>
                <w:rFonts w:ascii="Arial" w:eastAsia="SimSun" w:hAnsi="Arial"/>
                <w:sz w:val="22"/>
                <w:szCs w:val="24"/>
                <w:lang w:val="en-US" w:eastAsia="zh-CN"/>
              </w:rPr>
            </w:pPr>
            <w:bookmarkStart w:id="0" w:name="ditulogo"/>
            <w:bookmarkEnd w:id="0"/>
            <w:r w:rsidRPr="00EC7C6D">
              <w:rPr>
                <w:rFonts w:ascii="Arial" w:eastAsia="SimSun" w:hAnsi="Arial"/>
                <w:noProof/>
                <w:sz w:val="22"/>
                <w:szCs w:val="24"/>
                <w:lang w:val="en-US" w:eastAsia="zh-CN"/>
              </w:rPr>
              <w:drawing>
                <wp:inline distT="0" distB="0" distL="0" distR="0" wp14:anchorId="4AE5A62D" wp14:editId="6724E489">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EC7C6D" w:rsidRPr="00EC7C6D" w14:paraId="3189BD45" w14:textId="77777777" w:rsidTr="00F97A13">
        <w:trPr>
          <w:cantSplit/>
        </w:trPr>
        <w:tc>
          <w:tcPr>
            <w:tcW w:w="6521" w:type="dxa"/>
            <w:tcBorders>
              <w:top w:val="single" w:sz="12" w:space="0" w:color="auto"/>
            </w:tcBorders>
          </w:tcPr>
          <w:p w14:paraId="3674A3AD" w14:textId="77777777" w:rsidR="00EC7C6D" w:rsidRPr="00EC7C6D" w:rsidRDefault="00EC7C6D" w:rsidP="00EC7C6D">
            <w:pPr>
              <w:tabs>
                <w:tab w:val="clear" w:pos="567"/>
                <w:tab w:val="clear" w:pos="1134"/>
                <w:tab w:val="clear" w:pos="1701"/>
                <w:tab w:val="clear" w:pos="2268"/>
                <w:tab w:val="clear" w:pos="2835"/>
              </w:tabs>
              <w:overflowPunct/>
              <w:autoSpaceDE/>
              <w:autoSpaceDN/>
              <w:adjustRightInd/>
              <w:snapToGrid w:val="0"/>
              <w:spacing w:before="0"/>
              <w:textAlignment w:val="auto"/>
              <w:rPr>
                <w:rFonts w:ascii="Arial" w:eastAsia="SimSun" w:hAnsi="Arial"/>
                <w:b/>
                <w:smallCaps/>
                <w:sz w:val="22"/>
                <w:szCs w:val="24"/>
                <w:lang w:val="en-US" w:eastAsia="zh-CN"/>
              </w:rPr>
            </w:pPr>
          </w:p>
        </w:tc>
        <w:tc>
          <w:tcPr>
            <w:tcW w:w="3793" w:type="dxa"/>
            <w:tcBorders>
              <w:top w:val="single" w:sz="12" w:space="0" w:color="auto"/>
            </w:tcBorders>
          </w:tcPr>
          <w:p w14:paraId="33B7E99B" w14:textId="77777777" w:rsidR="00EC7C6D" w:rsidRPr="00EC7C6D" w:rsidRDefault="00EC7C6D" w:rsidP="00EC7C6D">
            <w:pPr>
              <w:tabs>
                <w:tab w:val="clear" w:pos="567"/>
                <w:tab w:val="clear" w:pos="1134"/>
                <w:tab w:val="clear" w:pos="1701"/>
                <w:tab w:val="clear" w:pos="2268"/>
                <w:tab w:val="clear" w:pos="2835"/>
              </w:tabs>
              <w:overflowPunct/>
              <w:autoSpaceDE/>
              <w:autoSpaceDN/>
              <w:adjustRightInd/>
              <w:snapToGrid w:val="0"/>
              <w:spacing w:before="0"/>
              <w:ind w:left="209"/>
              <w:textAlignment w:val="auto"/>
              <w:rPr>
                <w:rFonts w:ascii="Verdana" w:eastAsia="SimSun" w:hAnsi="Verdana"/>
                <w:sz w:val="22"/>
                <w:szCs w:val="24"/>
                <w:lang w:val="en-US" w:eastAsia="zh-CN"/>
              </w:rPr>
            </w:pPr>
          </w:p>
        </w:tc>
      </w:tr>
      <w:tr w:rsidR="00EC7C6D" w:rsidRPr="00EC7C6D" w14:paraId="7E3AC47E" w14:textId="77777777" w:rsidTr="00F97A13">
        <w:trPr>
          <w:cantSplit/>
          <w:trHeight w:val="23"/>
        </w:trPr>
        <w:tc>
          <w:tcPr>
            <w:tcW w:w="6521" w:type="dxa"/>
            <w:vMerge w:val="restart"/>
          </w:tcPr>
          <w:p w14:paraId="0C2ED15E" w14:textId="77777777" w:rsidR="00EC7C6D" w:rsidRPr="00EC7C6D" w:rsidRDefault="00EC7C6D" w:rsidP="00EC7C6D">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bookmarkStart w:id="1" w:name="dmeeting" w:colFirst="0" w:colLast="0"/>
            <w:bookmarkStart w:id="2" w:name="dnum" w:colFirst="1" w:colLast="1"/>
          </w:p>
        </w:tc>
        <w:tc>
          <w:tcPr>
            <w:tcW w:w="3793" w:type="dxa"/>
          </w:tcPr>
          <w:p w14:paraId="7B22B9B1" w14:textId="5EBC5613" w:rsidR="00EC7C6D" w:rsidRPr="00EC7C6D" w:rsidRDefault="00EC7C6D" w:rsidP="00EC7C6D">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cs="Times New Roman Bold"/>
                <w:b/>
                <w:spacing w:val="-4"/>
                <w:szCs w:val="24"/>
                <w:lang w:val="de-CH" w:eastAsia="zh-CN"/>
              </w:rPr>
            </w:pPr>
            <w:r w:rsidRPr="00EC7C6D">
              <w:rPr>
                <w:rFonts w:eastAsia="SimSun" w:cs="Times New Roman Bold"/>
                <w:b/>
                <w:spacing w:val="-4"/>
                <w:szCs w:val="24"/>
                <w:lang w:val="de-CH" w:eastAsia="zh-CN"/>
              </w:rPr>
              <w:t>Document CWG-FHR-8/23</w:t>
            </w:r>
          </w:p>
        </w:tc>
      </w:tr>
      <w:tr w:rsidR="00EC7C6D" w:rsidRPr="00EC7C6D" w14:paraId="41318F37" w14:textId="77777777" w:rsidTr="00F97A13">
        <w:trPr>
          <w:cantSplit/>
          <w:trHeight w:val="23"/>
        </w:trPr>
        <w:tc>
          <w:tcPr>
            <w:tcW w:w="6521" w:type="dxa"/>
            <w:vMerge/>
          </w:tcPr>
          <w:p w14:paraId="2F910618" w14:textId="77777777" w:rsidR="00EC7C6D" w:rsidRPr="00EC7C6D" w:rsidRDefault="00EC7C6D" w:rsidP="00EC7C6D">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de-CH" w:eastAsia="zh-CN"/>
              </w:rPr>
            </w:pPr>
            <w:bookmarkStart w:id="3" w:name="ddate" w:colFirst="1" w:colLast="1"/>
            <w:bookmarkEnd w:id="1"/>
            <w:bookmarkEnd w:id="2"/>
          </w:p>
        </w:tc>
        <w:tc>
          <w:tcPr>
            <w:tcW w:w="3793" w:type="dxa"/>
          </w:tcPr>
          <w:p w14:paraId="69A384FB" w14:textId="299FC6FD" w:rsidR="00EC7C6D" w:rsidRPr="00EC7C6D" w:rsidRDefault="00EC7C6D" w:rsidP="00EC7C6D">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EC7C6D">
              <w:rPr>
                <w:rFonts w:eastAsia="SimSun"/>
                <w:b/>
                <w:szCs w:val="24"/>
                <w:lang w:val="en-US" w:eastAsia="zh-CN"/>
              </w:rPr>
              <w:t>15 January 2018</w:t>
            </w:r>
          </w:p>
        </w:tc>
      </w:tr>
      <w:tr w:rsidR="00EC7C6D" w:rsidRPr="00EC7C6D" w14:paraId="6EAE54A7" w14:textId="77777777" w:rsidTr="00F97A13">
        <w:trPr>
          <w:cantSplit/>
          <w:trHeight w:val="80"/>
        </w:trPr>
        <w:tc>
          <w:tcPr>
            <w:tcW w:w="6521" w:type="dxa"/>
            <w:vMerge/>
          </w:tcPr>
          <w:p w14:paraId="254FF864" w14:textId="77777777" w:rsidR="00EC7C6D" w:rsidRPr="00EC7C6D" w:rsidRDefault="00EC7C6D" w:rsidP="00EC7C6D">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bookmarkStart w:id="4" w:name="dorlang" w:colFirst="1" w:colLast="1"/>
            <w:bookmarkEnd w:id="3"/>
          </w:p>
        </w:tc>
        <w:tc>
          <w:tcPr>
            <w:tcW w:w="3793" w:type="dxa"/>
          </w:tcPr>
          <w:p w14:paraId="07F8CBC7" w14:textId="77777777" w:rsidR="00EC7C6D" w:rsidRPr="00EC7C6D" w:rsidRDefault="00EC7C6D" w:rsidP="00EC7C6D">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EC7C6D">
              <w:rPr>
                <w:rFonts w:eastAsia="SimSun"/>
                <w:b/>
                <w:szCs w:val="24"/>
                <w:lang w:val="en-US" w:eastAsia="zh-CN"/>
              </w:rPr>
              <w:t>English only</w:t>
            </w:r>
          </w:p>
        </w:tc>
      </w:tr>
    </w:tbl>
    <w:bookmarkEnd w:id="4"/>
    <w:p w14:paraId="30F26FD3" w14:textId="2C5FB866" w:rsidR="00EC7C6D" w:rsidRPr="00EC7C6D" w:rsidRDefault="00EC7C6D" w:rsidP="00EC7C6D">
      <w:pPr>
        <w:tabs>
          <w:tab w:val="clear" w:pos="567"/>
          <w:tab w:val="clear" w:pos="1134"/>
          <w:tab w:val="clear" w:pos="1701"/>
          <w:tab w:val="clear" w:pos="2268"/>
          <w:tab w:val="clear" w:pos="2835"/>
        </w:tabs>
        <w:overflowPunct/>
        <w:autoSpaceDE/>
        <w:autoSpaceDN/>
        <w:adjustRightInd/>
        <w:spacing w:before="840" w:after="360"/>
        <w:jc w:val="center"/>
        <w:textAlignment w:val="auto"/>
        <w:rPr>
          <w:rFonts w:eastAsia="SimSun"/>
          <w:b/>
          <w:sz w:val="28"/>
          <w:szCs w:val="28"/>
          <w:lang w:eastAsia="zh-CN"/>
        </w:rPr>
      </w:pPr>
      <w:r w:rsidRPr="00EC7C6D">
        <w:rPr>
          <w:rFonts w:eastAsia="SimSun"/>
          <w:b/>
          <w:sz w:val="28"/>
          <w:szCs w:val="28"/>
          <w:lang w:val="en-US" w:eastAsia="zh-CN"/>
        </w:rPr>
        <w:t xml:space="preserve">Contribution by the </w:t>
      </w:r>
      <w:r w:rsidRPr="00EC7C6D">
        <w:rPr>
          <w:b/>
          <w:sz w:val="28"/>
          <w:szCs w:val="28"/>
        </w:rPr>
        <w:t>Republic of India</w:t>
      </w:r>
    </w:p>
    <w:p w14:paraId="0F17C6CC" w14:textId="5BE86D87" w:rsidR="00DE3EDB" w:rsidRPr="00DE3EDB" w:rsidRDefault="00603603" w:rsidP="00DE3EDB">
      <w:pPr>
        <w:pStyle w:val="Heading1"/>
        <w:jc w:val="center"/>
        <w:rPr>
          <w:b w:val="0"/>
          <w:bCs/>
          <w:caps/>
          <w:lang w:eastAsia="zh-CN"/>
        </w:rPr>
      </w:pPr>
      <w:r>
        <w:rPr>
          <w:b w:val="0"/>
          <w:bCs/>
          <w:caps/>
          <w:lang w:eastAsia="zh-CN"/>
        </w:rPr>
        <w:t>framing Policy for deputing the govt officials to itu for capacity building and sharing best practices</w:t>
      </w:r>
    </w:p>
    <w:p w14:paraId="1E322E45" w14:textId="77777777" w:rsidR="003A06C0" w:rsidRPr="003D05EF" w:rsidRDefault="003A06C0" w:rsidP="003A06C0">
      <w:pPr>
        <w:pStyle w:val="Heading1"/>
      </w:pPr>
      <w:r w:rsidRPr="003D05EF">
        <w:t>1</w:t>
      </w:r>
      <w:r w:rsidRPr="003D05EF">
        <w:tab/>
        <w:t>Background</w:t>
      </w:r>
    </w:p>
    <w:p w14:paraId="0625BC5A" w14:textId="04A9AB27" w:rsidR="00DE3EDB" w:rsidRPr="00317664" w:rsidRDefault="00317664" w:rsidP="001034DB">
      <w:pPr>
        <w:jc w:val="both"/>
        <w:rPr>
          <w:lang w:val="en-US"/>
        </w:rPr>
      </w:pPr>
      <w:r w:rsidRPr="00317664">
        <w:rPr>
          <w:lang w:val="en-US"/>
        </w:rPr>
        <w:t xml:space="preserve">ITU is at the very heart of the ICT sector, brokering agreement on technologies, services, and allocation of global resources like radio-frequency spectrum and satellite orbital frequencies, to create a seamless global communications system that's robust, reliable, and constantly </w:t>
      </w:r>
      <w:r>
        <w:rPr>
          <w:lang w:val="en-US"/>
        </w:rPr>
        <w:t>evolving.</w:t>
      </w:r>
      <w:r w:rsidRPr="00317664">
        <w:rPr>
          <w:lang w:val="en-US"/>
        </w:rPr>
        <w:t> </w:t>
      </w:r>
      <w:r w:rsidR="00650B3B">
        <w:t>As of now, a</w:t>
      </w:r>
      <w:r w:rsidR="00DE3EDB">
        <w:t xml:space="preserve">pproximately 700 people representing all the seven continents work under the aegis of ITU. </w:t>
      </w:r>
      <w:r w:rsidR="0078737E">
        <w:t xml:space="preserve">They’re </w:t>
      </w:r>
      <w:r>
        <w:t xml:space="preserve">divided </w:t>
      </w:r>
      <w:r w:rsidR="0078737E">
        <w:t xml:space="preserve">roughly equal in two categories i.e. General Services and Professional &amp; Higher categories. </w:t>
      </w:r>
    </w:p>
    <w:p w14:paraId="70B76D68" w14:textId="7166540B" w:rsidR="00DE3EDB" w:rsidRPr="00A86C94" w:rsidRDefault="00650B3B" w:rsidP="0030274A">
      <w:pPr>
        <w:jc w:val="both"/>
        <w:rPr>
          <w:lang w:val="en-US"/>
        </w:rPr>
      </w:pPr>
      <w:r>
        <w:rPr>
          <w:lang w:val="en-US"/>
        </w:rPr>
        <w:tab/>
      </w:r>
      <w:r w:rsidR="00317664" w:rsidRPr="00DE3EDB">
        <w:rPr>
          <w:lang w:val="en-US"/>
        </w:rPr>
        <w:t xml:space="preserve">All persons appointed by </w:t>
      </w:r>
      <w:r w:rsidR="00317664">
        <w:rPr>
          <w:lang w:val="en-US"/>
        </w:rPr>
        <w:t>the organization as a staff mem</w:t>
      </w:r>
      <w:r w:rsidR="00317664" w:rsidRPr="00DE3EDB">
        <w:rPr>
          <w:lang w:val="en-US"/>
        </w:rPr>
        <w:t>ber as de</w:t>
      </w:r>
      <w:r w:rsidR="00317664">
        <w:rPr>
          <w:lang w:val="en-US"/>
        </w:rPr>
        <w:t>fi</w:t>
      </w:r>
      <w:r w:rsidR="00317664" w:rsidRPr="00DE3EDB">
        <w:rPr>
          <w:lang w:val="en-US"/>
        </w:rPr>
        <w:t>ned by ITU’s staff Regulations and Rules for a period of one year or more.</w:t>
      </w:r>
      <w:r w:rsidR="00317664">
        <w:rPr>
          <w:lang w:val="en-US"/>
        </w:rPr>
        <w:t xml:space="preserve"> The number may be small for an organization like ITU, which has a diverse mandate. </w:t>
      </w:r>
      <w:r w:rsidR="00A86C94">
        <w:rPr>
          <w:lang w:val="en-US"/>
        </w:rPr>
        <w:t xml:space="preserve">But the staff expenditures are a significant portion of ITU budget. </w:t>
      </w:r>
      <w:r>
        <w:rPr>
          <w:lang w:val="en-US"/>
        </w:rPr>
        <w:t xml:space="preserve">Of the proposed 2018-2019 Budget, 98.69 Million Swiss </w:t>
      </w:r>
      <w:r w:rsidR="0030274A">
        <w:rPr>
          <w:lang w:val="en-US"/>
        </w:rPr>
        <w:t>f</w:t>
      </w:r>
      <w:r>
        <w:rPr>
          <w:lang w:val="en-US"/>
        </w:rPr>
        <w:t>ran</w:t>
      </w:r>
      <w:r w:rsidR="0030274A">
        <w:rPr>
          <w:lang w:val="en-US"/>
        </w:rPr>
        <w:t>c</w:t>
      </w:r>
      <w:r>
        <w:rPr>
          <w:lang w:val="en-US"/>
        </w:rPr>
        <w:t xml:space="preserve">s is the budgeted staff cost out of 177.88 Million Swiss </w:t>
      </w:r>
      <w:r w:rsidR="0030274A">
        <w:rPr>
          <w:lang w:val="en-US"/>
        </w:rPr>
        <w:t>f</w:t>
      </w:r>
      <w:r>
        <w:rPr>
          <w:lang w:val="en-US"/>
        </w:rPr>
        <w:t>ran</w:t>
      </w:r>
      <w:r w:rsidR="0030274A">
        <w:rPr>
          <w:lang w:val="en-US"/>
        </w:rPr>
        <w:t>c</w:t>
      </w:r>
      <w:r>
        <w:rPr>
          <w:lang w:val="en-US"/>
        </w:rPr>
        <w:t xml:space="preserve">s (roughly 55.5% of total). Many Member states have been and have called for rationalization of the ITU Budget. </w:t>
      </w:r>
    </w:p>
    <w:p w14:paraId="71360B08" w14:textId="5D264D82" w:rsidR="00DE3EDB" w:rsidRDefault="0061117D" w:rsidP="001034DB">
      <w:pPr>
        <w:jc w:val="both"/>
      </w:pPr>
      <w:r>
        <w:tab/>
        <w:t xml:space="preserve">The world has seen emergence and spread of Communication technologies at a break-neck speed. Such evolution, while welcome from the perspective of public welfare, throws significant policy challenges. The evolution of national policies often lacks to match the speed of the evolution, thus constricting the benefits of the technology development to urban/affluent </w:t>
      </w:r>
      <w:r w:rsidR="001F2DE1">
        <w:t>sections</w:t>
      </w:r>
      <w:r>
        <w:t>.</w:t>
      </w:r>
      <w:r w:rsidR="001F2DE1">
        <w:t xml:space="preserve"> One of the major lacunae responsible for sluggish policy </w:t>
      </w:r>
      <w:r w:rsidR="00DF6046">
        <w:t>formation</w:t>
      </w:r>
      <w:r w:rsidR="001F2DE1">
        <w:t xml:space="preserve"> is absence of e</w:t>
      </w:r>
      <w:r w:rsidR="00DF6046">
        <w:t>xpertise within the government, particularly in developing world.</w:t>
      </w:r>
    </w:p>
    <w:p w14:paraId="7A94C4D1" w14:textId="73EA6238" w:rsidR="00E656A3" w:rsidRDefault="00641F6B" w:rsidP="001034DB">
      <w:pPr>
        <w:jc w:val="both"/>
      </w:pPr>
      <w:r>
        <w:t xml:space="preserve">ITU is at the spearhead of development of communication technology and offers a unique global perspective for those working </w:t>
      </w:r>
      <w:r w:rsidR="0045077A">
        <w:t xml:space="preserve">under its different arms. </w:t>
      </w:r>
      <w:r w:rsidR="00DF3C4F">
        <w:t>For the officers of Member States working at ITU it offers opportunity to bring back the technological k</w:t>
      </w:r>
      <w:r w:rsidR="00CE2027">
        <w:t xml:space="preserve">now-how and global perspective </w:t>
      </w:r>
      <w:r w:rsidR="00DF3C4F">
        <w:t xml:space="preserve">back </w:t>
      </w:r>
      <w:proofErr w:type="gramStart"/>
      <w:r w:rsidR="00DF3C4F">
        <w:t>to</w:t>
      </w:r>
      <w:proofErr w:type="gramEnd"/>
      <w:r w:rsidR="00DF3C4F">
        <w:t xml:space="preserve"> their own countries.</w:t>
      </w:r>
      <w:r w:rsidR="00CE2027">
        <w:t xml:space="preserve"> Therefor it is greatly desirable to expand participation of the government officials in ITU working. </w:t>
      </w:r>
      <w:r w:rsidR="0087508F">
        <w:t>As mentioned earlier, it may not always be possible to raise funds for such additional manpower at ITU’s end.</w:t>
      </w:r>
    </w:p>
    <w:p w14:paraId="01C70512" w14:textId="77777777" w:rsidR="00E656A3" w:rsidRDefault="00E656A3">
      <w:pPr>
        <w:tabs>
          <w:tab w:val="clear" w:pos="567"/>
          <w:tab w:val="clear" w:pos="1134"/>
          <w:tab w:val="clear" w:pos="1701"/>
          <w:tab w:val="clear" w:pos="2268"/>
          <w:tab w:val="clear" w:pos="2835"/>
        </w:tabs>
        <w:overflowPunct/>
        <w:autoSpaceDE/>
        <w:autoSpaceDN/>
        <w:adjustRightInd/>
        <w:spacing w:before="0"/>
        <w:textAlignment w:val="auto"/>
      </w:pPr>
      <w:r>
        <w:br w:type="page"/>
      </w:r>
    </w:p>
    <w:p w14:paraId="2FB2A82C" w14:textId="77777777" w:rsidR="00641F6B" w:rsidRDefault="00641F6B" w:rsidP="001034DB">
      <w:pPr>
        <w:jc w:val="both"/>
      </w:pPr>
    </w:p>
    <w:p w14:paraId="5D18E614" w14:textId="77777777" w:rsidR="003A06C0" w:rsidRPr="003D05EF" w:rsidRDefault="003A06C0" w:rsidP="001034DB">
      <w:pPr>
        <w:pStyle w:val="Heading1"/>
        <w:jc w:val="both"/>
      </w:pPr>
      <w:r w:rsidRPr="003D05EF">
        <w:t xml:space="preserve">2 </w:t>
      </w:r>
      <w:r w:rsidRPr="003D05EF">
        <w:tab/>
        <w:t>Proposal</w:t>
      </w:r>
    </w:p>
    <w:p w14:paraId="5EBC6478" w14:textId="7DB32FE4" w:rsidR="003A06C0" w:rsidRDefault="0087508F" w:rsidP="001034DB">
      <w:pPr>
        <w:pStyle w:val="Reasons"/>
        <w:jc w:val="both"/>
      </w:pPr>
      <w:r>
        <w:t>Therefor</w:t>
      </w:r>
      <w:r w:rsidR="0030274A">
        <w:t>e</w:t>
      </w:r>
      <w:r>
        <w:t>, to improve the percolation of best practises and cutting edge technology and policy initiatives, India proposes following.</w:t>
      </w:r>
    </w:p>
    <w:p w14:paraId="21CAAAFF" w14:textId="25075B95" w:rsidR="00603603" w:rsidRDefault="00603603" w:rsidP="00296E49">
      <w:pPr>
        <w:pStyle w:val="Reasons"/>
        <w:numPr>
          <w:ilvl w:val="0"/>
          <w:numId w:val="3"/>
        </w:numPr>
        <w:tabs>
          <w:tab w:val="clear" w:pos="567"/>
        </w:tabs>
        <w:ind w:left="1134"/>
        <w:jc w:val="both"/>
      </w:pPr>
      <w:r>
        <w:t>ITU should frame the policy and T&amp;C for deputing the Govt. officials of Member States to ITU for capacity building and sharing best practices.</w:t>
      </w:r>
    </w:p>
    <w:p w14:paraId="0C419963" w14:textId="02FC3D5C" w:rsidR="0087508F" w:rsidRDefault="0087508F" w:rsidP="00296E49">
      <w:pPr>
        <w:pStyle w:val="Reasons"/>
        <w:numPr>
          <w:ilvl w:val="0"/>
          <w:numId w:val="3"/>
        </w:numPr>
        <w:tabs>
          <w:tab w:val="clear" w:pos="567"/>
          <w:tab w:val="clear" w:pos="1134"/>
        </w:tabs>
        <w:ind w:left="1134"/>
        <w:jc w:val="both"/>
      </w:pPr>
      <w:r>
        <w:t xml:space="preserve">A new category of </w:t>
      </w:r>
      <w:bookmarkStart w:id="5" w:name="_GoBack"/>
      <w:bookmarkEnd w:id="5"/>
      <w:r>
        <w:t>employment may be created under the aegis of ITU where nominations are invited from the governments of Member States to work for a period ranging from 6 months to 2 years.</w:t>
      </w:r>
    </w:p>
    <w:p w14:paraId="7C6A5087" w14:textId="77777777" w:rsidR="0085130E" w:rsidRDefault="0087508F" w:rsidP="00296E49">
      <w:pPr>
        <w:pStyle w:val="Reasons"/>
        <w:numPr>
          <w:ilvl w:val="0"/>
          <w:numId w:val="3"/>
        </w:numPr>
        <w:tabs>
          <w:tab w:val="clear" w:pos="567"/>
        </w:tabs>
        <w:ind w:left="1134"/>
        <w:jc w:val="both"/>
      </w:pPr>
      <w:r>
        <w:t xml:space="preserve">The Member States will have to bear the staff costs of these employees and the ITU will only provide the office expenditure for </w:t>
      </w:r>
      <w:r w:rsidR="0085130E">
        <w:t>the smooth functioning</w:t>
      </w:r>
      <w:r>
        <w:t>.</w:t>
      </w:r>
    </w:p>
    <w:p w14:paraId="254E66C3" w14:textId="78148FBA" w:rsidR="0087508F" w:rsidRDefault="0085130E" w:rsidP="00296E49">
      <w:pPr>
        <w:pStyle w:val="Reasons"/>
        <w:numPr>
          <w:ilvl w:val="0"/>
          <w:numId w:val="3"/>
        </w:numPr>
        <w:tabs>
          <w:tab w:val="clear" w:pos="567"/>
        </w:tabs>
        <w:ind w:left="1134"/>
        <w:jc w:val="both"/>
      </w:pPr>
      <w:r>
        <w:t>For nominees from LDCs, ITU may take up to 50% of the staff costs, if the Secretary General desires so.</w:t>
      </w:r>
    </w:p>
    <w:p w14:paraId="5D3437C2" w14:textId="77777777" w:rsidR="00E656A3" w:rsidRDefault="00E656A3" w:rsidP="001034DB">
      <w:pPr>
        <w:jc w:val="center"/>
      </w:pPr>
    </w:p>
    <w:p w14:paraId="374BFFE5" w14:textId="77777777" w:rsidR="00E656A3" w:rsidRDefault="00E656A3" w:rsidP="001034DB">
      <w:pPr>
        <w:jc w:val="center"/>
      </w:pPr>
    </w:p>
    <w:p w14:paraId="79A4B5AD" w14:textId="77777777" w:rsidR="00E656A3" w:rsidRDefault="00E656A3" w:rsidP="001034DB">
      <w:pPr>
        <w:jc w:val="center"/>
      </w:pPr>
    </w:p>
    <w:p w14:paraId="7C6742AE" w14:textId="77777777" w:rsidR="00264425" w:rsidRPr="003D05EF" w:rsidRDefault="003A06C0" w:rsidP="001034DB">
      <w:pPr>
        <w:jc w:val="center"/>
      </w:pPr>
      <w:r w:rsidRPr="003D05EF">
        <w:t>______________</w:t>
      </w:r>
    </w:p>
    <w:sectPr w:rsidR="00264425" w:rsidRPr="003D05EF" w:rsidSect="005A53A7">
      <w:headerReference w:type="default" r:id="rId9"/>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ACBDF" w14:textId="77777777" w:rsidR="003E2B10" w:rsidRDefault="003E2B10">
      <w:r>
        <w:separator/>
      </w:r>
    </w:p>
  </w:endnote>
  <w:endnote w:type="continuationSeparator" w:id="0">
    <w:p w14:paraId="74D336D1" w14:textId="77777777" w:rsidR="003E2B10" w:rsidRDefault="003E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32458" w14:textId="77777777" w:rsidR="003E2B10" w:rsidRDefault="003E2B10">
      <w:r>
        <w:t>____________________</w:t>
      </w:r>
    </w:p>
  </w:footnote>
  <w:footnote w:type="continuationSeparator" w:id="0">
    <w:p w14:paraId="01ED4806" w14:textId="77777777" w:rsidR="003E2B10" w:rsidRDefault="003E2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40269231"/>
      <w:docPartObj>
        <w:docPartGallery w:val="Page Numbers (Top of Page)"/>
        <w:docPartUnique/>
      </w:docPartObj>
    </w:sdtPr>
    <w:sdtEndPr>
      <w:rPr>
        <w:noProof/>
      </w:rPr>
    </w:sdtEndPr>
    <w:sdtContent>
      <w:p w14:paraId="54A1D6EE" w14:textId="7B6FE1BB" w:rsidR="00E656A3" w:rsidRPr="003B6F16" w:rsidRDefault="00E656A3">
        <w:pPr>
          <w:pStyle w:val="Header"/>
          <w:rPr>
            <w:sz w:val="22"/>
            <w:szCs w:val="22"/>
          </w:rPr>
        </w:pPr>
        <w:r w:rsidRPr="003B6F16">
          <w:rPr>
            <w:sz w:val="22"/>
            <w:szCs w:val="22"/>
          </w:rPr>
          <w:t>- </w:t>
        </w:r>
        <w:r w:rsidRPr="003B6F16">
          <w:rPr>
            <w:sz w:val="22"/>
            <w:szCs w:val="22"/>
          </w:rPr>
          <w:fldChar w:fldCharType="begin"/>
        </w:r>
        <w:r w:rsidRPr="003B6F16">
          <w:rPr>
            <w:sz w:val="22"/>
            <w:szCs w:val="22"/>
          </w:rPr>
          <w:instrText xml:space="preserve"> PAGE   \* MERGEFORMAT </w:instrText>
        </w:r>
        <w:r w:rsidRPr="003B6F16">
          <w:rPr>
            <w:sz w:val="22"/>
            <w:szCs w:val="22"/>
          </w:rPr>
          <w:fldChar w:fldCharType="separate"/>
        </w:r>
        <w:r w:rsidR="00296E49">
          <w:rPr>
            <w:noProof/>
            <w:sz w:val="22"/>
            <w:szCs w:val="22"/>
          </w:rPr>
          <w:t>2</w:t>
        </w:r>
        <w:r w:rsidRPr="003B6F16">
          <w:rPr>
            <w:noProof/>
            <w:sz w:val="22"/>
            <w:szCs w:val="22"/>
          </w:rPr>
          <w:fldChar w:fldCharType="end"/>
        </w:r>
        <w:r w:rsidRPr="003B6F16">
          <w:rPr>
            <w:noProof/>
            <w:sz w:val="22"/>
            <w:szCs w:val="22"/>
          </w:rPr>
          <w:t> -</w:t>
        </w:r>
      </w:p>
    </w:sdtContent>
  </w:sdt>
  <w:p w14:paraId="7181ECB1" w14:textId="61BF35AC" w:rsidR="009711CA" w:rsidRDefault="009711CA" w:rsidP="00113D4A">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9F716D6"/>
    <w:multiLevelType w:val="hybridMultilevel"/>
    <w:tmpl w:val="AF3072FE"/>
    <w:lvl w:ilvl="0" w:tplc="8736CBB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6D0125E"/>
    <w:multiLevelType w:val="hybridMultilevel"/>
    <w:tmpl w:val="DD42E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34"/>
    <w:rsid w:val="000077AB"/>
    <w:rsid w:val="000210D4"/>
    <w:rsid w:val="00063016"/>
    <w:rsid w:val="00066795"/>
    <w:rsid w:val="00076AF6"/>
    <w:rsid w:val="00085CF2"/>
    <w:rsid w:val="000B1705"/>
    <w:rsid w:val="000D75B2"/>
    <w:rsid w:val="001034DB"/>
    <w:rsid w:val="001121F5"/>
    <w:rsid w:val="00113D4A"/>
    <w:rsid w:val="001400DC"/>
    <w:rsid w:val="00140CE1"/>
    <w:rsid w:val="0017539C"/>
    <w:rsid w:val="00175AC2"/>
    <w:rsid w:val="0017609F"/>
    <w:rsid w:val="001C628E"/>
    <w:rsid w:val="001E0F7B"/>
    <w:rsid w:val="001F2DE1"/>
    <w:rsid w:val="001F399B"/>
    <w:rsid w:val="002119FD"/>
    <w:rsid w:val="002130E0"/>
    <w:rsid w:val="00264425"/>
    <w:rsid w:val="00265875"/>
    <w:rsid w:val="0027303B"/>
    <w:rsid w:val="0028109B"/>
    <w:rsid w:val="00296E49"/>
    <w:rsid w:val="002A2188"/>
    <w:rsid w:val="002B1F58"/>
    <w:rsid w:val="002C1C7A"/>
    <w:rsid w:val="0030160F"/>
    <w:rsid w:val="0030274A"/>
    <w:rsid w:val="00317664"/>
    <w:rsid w:val="00322D0D"/>
    <w:rsid w:val="003337B6"/>
    <w:rsid w:val="003942D4"/>
    <w:rsid w:val="003958A8"/>
    <w:rsid w:val="003A06C0"/>
    <w:rsid w:val="003B55C7"/>
    <w:rsid w:val="003B6F16"/>
    <w:rsid w:val="003C2533"/>
    <w:rsid w:val="003D05EF"/>
    <w:rsid w:val="003E2B10"/>
    <w:rsid w:val="0040112E"/>
    <w:rsid w:val="0040435A"/>
    <w:rsid w:val="00416A24"/>
    <w:rsid w:val="00431D9E"/>
    <w:rsid w:val="00433CE8"/>
    <w:rsid w:val="00434A5C"/>
    <w:rsid w:val="0045077A"/>
    <w:rsid w:val="004544D9"/>
    <w:rsid w:val="00490E72"/>
    <w:rsid w:val="00491157"/>
    <w:rsid w:val="004921C8"/>
    <w:rsid w:val="004D1851"/>
    <w:rsid w:val="004D3063"/>
    <w:rsid w:val="004D599D"/>
    <w:rsid w:val="004E2EA5"/>
    <w:rsid w:val="004E3AEB"/>
    <w:rsid w:val="0050223C"/>
    <w:rsid w:val="00507132"/>
    <w:rsid w:val="005243FF"/>
    <w:rsid w:val="00537DD7"/>
    <w:rsid w:val="00554D94"/>
    <w:rsid w:val="00560834"/>
    <w:rsid w:val="00564FBC"/>
    <w:rsid w:val="00582442"/>
    <w:rsid w:val="005A53A7"/>
    <w:rsid w:val="005B10E5"/>
    <w:rsid w:val="00603603"/>
    <w:rsid w:val="0061117D"/>
    <w:rsid w:val="006116D1"/>
    <w:rsid w:val="00641F6B"/>
    <w:rsid w:val="0064737F"/>
    <w:rsid w:val="00650B3B"/>
    <w:rsid w:val="006535F1"/>
    <w:rsid w:val="0065557D"/>
    <w:rsid w:val="00656AD4"/>
    <w:rsid w:val="00662984"/>
    <w:rsid w:val="006716BB"/>
    <w:rsid w:val="006B6680"/>
    <w:rsid w:val="006B6DCC"/>
    <w:rsid w:val="006E6B3F"/>
    <w:rsid w:val="00702DEF"/>
    <w:rsid w:val="00706861"/>
    <w:rsid w:val="007145EF"/>
    <w:rsid w:val="00715112"/>
    <w:rsid w:val="0075051B"/>
    <w:rsid w:val="00767058"/>
    <w:rsid w:val="00783EEB"/>
    <w:rsid w:val="0078737E"/>
    <w:rsid w:val="00794D34"/>
    <w:rsid w:val="00801530"/>
    <w:rsid w:val="00813E5E"/>
    <w:rsid w:val="00826797"/>
    <w:rsid w:val="0083432A"/>
    <w:rsid w:val="0083581B"/>
    <w:rsid w:val="0085130E"/>
    <w:rsid w:val="00864AFF"/>
    <w:rsid w:val="0087508F"/>
    <w:rsid w:val="008B4A6A"/>
    <w:rsid w:val="008C7E27"/>
    <w:rsid w:val="009173EF"/>
    <w:rsid w:val="00932906"/>
    <w:rsid w:val="00961B0B"/>
    <w:rsid w:val="009711CA"/>
    <w:rsid w:val="009B38C3"/>
    <w:rsid w:val="009C577E"/>
    <w:rsid w:val="009E17BD"/>
    <w:rsid w:val="009E485A"/>
    <w:rsid w:val="009E66C6"/>
    <w:rsid w:val="009F0EB5"/>
    <w:rsid w:val="00A04CEC"/>
    <w:rsid w:val="00A27F92"/>
    <w:rsid w:val="00A32257"/>
    <w:rsid w:val="00A36D20"/>
    <w:rsid w:val="00A55622"/>
    <w:rsid w:val="00A83502"/>
    <w:rsid w:val="00A86C94"/>
    <w:rsid w:val="00AB6C3C"/>
    <w:rsid w:val="00AD15B3"/>
    <w:rsid w:val="00AD2BC3"/>
    <w:rsid w:val="00AF6E49"/>
    <w:rsid w:val="00B04A67"/>
    <w:rsid w:val="00B0583C"/>
    <w:rsid w:val="00B37D64"/>
    <w:rsid w:val="00B40A81"/>
    <w:rsid w:val="00B44910"/>
    <w:rsid w:val="00B72267"/>
    <w:rsid w:val="00B76EB6"/>
    <w:rsid w:val="00B7737B"/>
    <w:rsid w:val="00B824C8"/>
    <w:rsid w:val="00BC251A"/>
    <w:rsid w:val="00BD032B"/>
    <w:rsid w:val="00BE2216"/>
    <w:rsid w:val="00BE2640"/>
    <w:rsid w:val="00C01189"/>
    <w:rsid w:val="00C374DE"/>
    <w:rsid w:val="00C47AD4"/>
    <w:rsid w:val="00C52D81"/>
    <w:rsid w:val="00C55198"/>
    <w:rsid w:val="00CA6393"/>
    <w:rsid w:val="00CB18FF"/>
    <w:rsid w:val="00CD0C08"/>
    <w:rsid w:val="00CE03FB"/>
    <w:rsid w:val="00CE2027"/>
    <w:rsid w:val="00CE433C"/>
    <w:rsid w:val="00CF33F3"/>
    <w:rsid w:val="00D06183"/>
    <w:rsid w:val="00D22C42"/>
    <w:rsid w:val="00D65041"/>
    <w:rsid w:val="00DB384B"/>
    <w:rsid w:val="00DE3EDB"/>
    <w:rsid w:val="00DF3C4F"/>
    <w:rsid w:val="00DF6046"/>
    <w:rsid w:val="00E10E80"/>
    <w:rsid w:val="00E124F0"/>
    <w:rsid w:val="00E60F04"/>
    <w:rsid w:val="00E656A3"/>
    <w:rsid w:val="00E854E4"/>
    <w:rsid w:val="00EB0D6F"/>
    <w:rsid w:val="00EB2232"/>
    <w:rsid w:val="00EC5337"/>
    <w:rsid w:val="00EC7C6D"/>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AF0FF4F"/>
  <w15:docId w15:val="{69584F48-09D7-4019-A8D7-AC744EC6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uiPriority w:val="99"/>
    <w:rsid w:val="004D3063"/>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uiPriority w:val="99"/>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A06C0"/>
    <w:pPr>
      <w:widowControl w:val="0"/>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heme="minorHAnsi" w:eastAsiaTheme="minorEastAsia" w:hAnsiTheme="minorHAnsi" w:cstheme="minorBidi"/>
      <w:kern w:val="2"/>
      <w:sz w:val="21"/>
      <w:szCs w:val="22"/>
      <w:lang w:val="en-US" w:eastAsia="zh-CN"/>
    </w:rPr>
  </w:style>
  <w:style w:type="paragraph" w:styleId="BalloonText">
    <w:name w:val="Balloon Text"/>
    <w:basedOn w:val="Normal"/>
    <w:link w:val="BalloonTextChar"/>
    <w:semiHidden/>
    <w:unhideWhenUsed/>
    <w:rsid w:val="003B55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B55C7"/>
    <w:rPr>
      <w:rFonts w:ascii="Segoe UI" w:hAnsi="Segoe UI" w:cs="Segoe UI"/>
      <w:sz w:val="18"/>
      <w:szCs w:val="18"/>
      <w:lang w:val="en-GB" w:eastAsia="en-US"/>
    </w:rPr>
  </w:style>
  <w:style w:type="character" w:customStyle="1" w:styleId="HeaderChar">
    <w:name w:val="Header Char"/>
    <w:basedOn w:val="DefaultParagraphFont"/>
    <w:link w:val="Header"/>
    <w:uiPriority w:val="99"/>
    <w:rsid w:val="00E656A3"/>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4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ACC2-D1F4-4036-BD0A-AF30EAEE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44</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Fabry-Fredriksen, Marianne</cp:lastModifiedBy>
  <cp:revision>30</cp:revision>
  <cp:lastPrinted>2018-01-09T09:43:00Z</cp:lastPrinted>
  <dcterms:created xsi:type="dcterms:W3CDTF">2018-01-09T09:44:00Z</dcterms:created>
  <dcterms:modified xsi:type="dcterms:W3CDTF">2018-01-15T11:32:00Z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