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E70D6A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E70D6A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الثالث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proofErr w:type="gramStart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- جنيف</w:t>
            </w:r>
            <w:proofErr w:type="gramEnd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16-15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7209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يناير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E56D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720957"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56D8F">
              <w:rPr>
                <w:rFonts w:eastAsiaTheme="minorEastAsia"/>
                <w:b/>
                <w:bCs/>
                <w:lang w:eastAsia="zh-CN" w:bidi="ar-SY"/>
              </w:rPr>
              <w:t>16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E56D8F" w:rsidP="00E56D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E56D8F">
              <w:rPr>
                <w:rFonts w:eastAsiaTheme="minorEastAsia"/>
                <w:b/>
                <w:bCs/>
                <w:lang w:eastAsia="zh-CN" w:bidi="ar-SY"/>
              </w:rPr>
              <w:t>2018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E56D8F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  <w:r w:rsidR="00E56D8F">
              <w:rPr>
                <w:rFonts w:eastAsiaTheme="minorEastAsia" w:hint="cs"/>
                <w:b/>
                <w:bCs/>
                <w:rtl/>
                <w:lang w:eastAsia="zh-CN" w:bidi="ar-EG"/>
              </w:rPr>
              <w:t>/بالصينية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E56D8F" w:rsidP="00101086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جمهورية الصين الشعبية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E56D8F" w:rsidP="00E56D8F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E56D8F">
              <w:rPr>
                <w:rFonts w:eastAsiaTheme="minorEastAsia" w:hint="cs"/>
                <w:rtl/>
                <w:lang w:eastAsia="zh-CN" w:bidi="ar-SA"/>
              </w:rPr>
              <w:t xml:space="preserve">مقترح </w:t>
            </w:r>
            <w:r>
              <w:rPr>
                <w:rFonts w:eastAsiaTheme="minorEastAsia" w:hint="cs"/>
                <w:rtl/>
                <w:lang w:eastAsia="zh-CN" w:bidi="ar-SA"/>
              </w:rPr>
              <w:t>من أجل إدراج</w:t>
            </w:r>
            <w:r w:rsidRPr="00E56D8F">
              <w:rPr>
                <w:rFonts w:eastAsiaTheme="minorEastAsia" w:hint="cs"/>
                <w:rtl/>
                <w:lang w:eastAsia="zh-CN" w:bidi="ar-SA"/>
              </w:rPr>
              <w:t xml:space="preserve"> تطوير الاقتصاد الرقمي في الغايات الاستراتيجية </w:t>
            </w:r>
            <w:r>
              <w:rPr>
                <w:rFonts w:eastAsiaTheme="minorEastAsia"/>
                <w:rtl/>
                <w:lang w:eastAsia="zh-CN" w:bidi="ar-SA"/>
              </w:rPr>
              <w:br/>
            </w:r>
            <w:r w:rsidRPr="00E56D8F">
              <w:rPr>
                <w:rFonts w:eastAsiaTheme="minorEastAsia" w:hint="cs"/>
                <w:rtl/>
                <w:lang w:eastAsia="zh-CN" w:bidi="ar-SA"/>
              </w:rPr>
              <w:t xml:space="preserve">العامة للخطة الاستراتيجية للاتحاد للفترة </w:t>
            </w:r>
            <w:r w:rsidRPr="00E56D8F">
              <w:rPr>
                <w:rFonts w:eastAsiaTheme="minorEastAsia"/>
                <w:lang w:eastAsia="zh-CN"/>
              </w:rPr>
              <w:t>2023-2020</w:t>
            </w:r>
          </w:p>
        </w:tc>
      </w:tr>
      <w:tr w:rsidR="00101086" w:rsidRPr="00950A5B" w:rsidTr="004B6B8C">
        <w:trPr>
          <w:cantSplit/>
        </w:trPr>
        <w:tc>
          <w:tcPr>
            <w:tcW w:w="9672" w:type="dxa"/>
            <w:gridSpan w:val="2"/>
          </w:tcPr>
          <w:p w:rsidR="00101086" w:rsidRPr="00950A5B" w:rsidRDefault="00101086" w:rsidP="00101086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:rsidR="00E56D8F" w:rsidRPr="00E56D8F" w:rsidRDefault="00E56D8F" w:rsidP="00E56D8F">
      <w:pPr>
        <w:pStyle w:val="Headingb"/>
        <w:rPr>
          <w:rFonts w:eastAsiaTheme="minorEastAsia"/>
          <w:rtl/>
          <w:lang w:eastAsia="zh-CN"/>
        </w:rPr>
      </w:pPr>
      <w:r w:rsidRPr="00E56D8F">
        <w:rPr>
          <w:rFonts w:eastAsiaTheme="minorEastAsia" w:hint="cs"/>
          <w:rtl/>
          <w:lang w:eastAsia="zh-CN"/>
        </w:rPr>
        <w:t>خلفية</w:t>
      </w:r>
    </w:p>
    <w:p w:rsidR="00E56D8F" w:rsidRPr="00E56D8F" w:rsidRDefault="00132227" w:rsidP="00132227">
      <w:pPr>
        <w:rPr>
          <w:rFonts w:eastAsiaTheme="minorEastAsia"/>
          <w:rtl/>
          <w:lang w:eastAsia="zh-CN" w:bidi="ar-EG"/>
        </w:rPr>
      </w:pPr>
      <w:r w:rsidRPr="00E56D8F">
        <w:rPr>
          <w:rFonts w:eastAsiaTheme="minorEastAsia" w:hint="cs"/>
          <w:rtl/>
          <w:lang w:eastAsia="zh-CN" w:bidi="ar-SY"/>
        </w:rPr>
        <w:t>تتكامل تكنولوجيات الشبكات والمعلومات</w:t>
      </w:r>
      <w:r>
        <w:rPr>
          <w:rFonts w:eastAsiaTheme="minorEastAsia" w:hint="cs"/>
          <w:rtl/>
          <w:lang w:eastAsia="zh-CN" w:bidi="ar-SY"/>
        </w:rPr>
        <w:t xml:space="preserve"> </w:t>
      </w:r>
      <w:r w:rsidRPr="00E56D8F">
        <w:rPr>
          <w:rFonts w:eastAsiaTheme="minorEastAsia" w:hint="cs"/>
          <w:rtl/>
          <w:lang w:eastAsia="zh-CN" w:bidi="ar-SY"/>
        </w:rPr>
        <w:t>في الوقت الحاضر مع القطاعات الاقتصادية التقليدية بطريقة أسرع، وتقوم البلدان بتسريع جهودها الرامية إلى تنمية الاقتصاد الرقمي. و</w:t>
      </w:r>
      <w:r>
        <w:rPr>
          <w:rFonts w:eastAsiaTheme="minorEastAsia" w:hint="cs"/>
          <w:rtl/>
          <w:lang w:eastAsia="zh-CN" w:bidi="ar-SY"/>
        </w:rPr>
        <w:t>قد أدى الاتحاد الدولي للاتصالات، بوصفه وكالة الأمم المتحدة المتخصصة في</w:t>
      </w:r>
      <w:r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 w:hint="cs"/>
          <w:rtl/>
          <w:lang w:eastAsia="zh-CN" w:bidi="ar-SY"/>
        </w:rPr>
        <w:t xml:space="preserve">مجال تكنولوجيات المعلومات والاتصالات </w:t>
      </w:r>
      <w:r>
        <w:rPr>
          <w:rFonts w:eastAsiaTheme="minorEastAsia"/>
          <w:lang w:eastAsia="zh-CN" w:bidi="ar-SY"/>
        </w:rPr>
        <w:t>(ICT)</w:t>
      </w:r>
      <w:r>
        <w:rPr>
          <w:rFonts w:eastAsiaTheme="minorEastAsia" w:hint="cs"/>
          <w:rtl/>
          <w:lang w:eastAsia="zh-CN" w:bidi="ar-SY"/>
        </w:rPr>
        <w:t xml:space="preserve">، دوراً هاماً في توزيع وإدارة </w:t>
      </w:r>
      <w:r>
        <w:rPr>
          <w:rFonts w:eastAsiaTheme="minorEastAsia" w:hint="cs"/>
          <w:rtl/>
          <w:lang w:eastAsia="zh-CN" w:bidi="ar-EG"/>
        </w:rPr>
        <w:t xml:space="preserve">طيف الترددات الراديوية في العالم والموارد المدارية </w:t>
      </w:r>
      <w:proofErr w:type="spellStart"/>
      <w:r>
        <w:rPr>
          <w:rFonts w:eastAsiaTheme="minorEastAsia" w:hint="cs"/>
          <w:rtl/>
          <w:lang w:eastAsia="zh-CN" w:bidi="ar-EG"/>
        </w:rPr>
        <w:t>الساتلية</w:t>
      </w:r>
      <w:proofErr w:type="spellEnd"/>
      <w:r>
        <w:rPr>
          <w:rFonts w:eastAsiaTheme="minorEastAsia" w:hint="cs"/>
          <w:rtl/>
          <w:lang w:eastAsia="zh-CN" w:bidi="ar-EG"/>
        </w:rPr>
        <w:t>، ووضع معايير الاتصالات الدولية وتنسيق الاتصالات على الصعيد العالمي، مما عزز إلى حد</w:t>
      </w:r>
      <w:r w:rsidR="006B13EB">
        <w:rPr>
          <w:rFonts w:eastAsiaTheme="minorEastAsia" w:hint="cs"/>
          <w:rtl/>
          <w:lang w:eastAsia="zh-CN" w:bidi="ar-EG"/>
        </w:rPr>
        <w:t>ٍ</w:t>
      </w:r>
      <w:r>
        <w:rPr>
          <w:rFonts w:eastAsiaTheme="minorEastAsia" w:hint="cs"/>
          <w:rtl/>
          <w:lang w:eastAsia="zh-CN" w:bidi="ar-EG"/>
        </w:rPr>
        <w:t xml:space="preserve"> كبير تطور الاقتصاد الرقمي</w:t>
      </w:r>
      <w:r>
        <w:rPr>
          <w:rFonts w:eastAsiaTheme="minorEastAsia" w:hint="cs"/>
          <w:rtl/>
          <w:lang w:eastAsia="zh-CN" w:bidi="ar-EG"/>
        </w:rPr>
        <w:t xml:space="preserve"> العالمي</w:t>
      </w:r>
      <w:r>
        <w:rPr>
          <w:rFonts w:eastAsiaTheme="minorEastAsia" w:hint="cs"/>
          <w:rtl/>
          <w:lang w:eastAsia="zh-CN" w:bidi="ar-EG"/>
        </w:rPr>
        <w:t xml:space="preserve">. وبالإضافة إلى ذلك، </w:t>
      </w:r>
      <w:r w:rsidRPr="00E56D8F">
        <w:rPr>
          <w:rFonts w:eastAsiaTheme="minorEastAsia" w:hint="cs"/>
          <w:rtl/>
          <w:lang w:eastAsia="zh-CN" w:bidi="ar-SY"/>
        </w:rPr>
        <w:t xml:space="preserve">عمد الاتحاد في السنوات الأخيرة إلى تعميق ما يقوم به من دراسات بشأن تكنولوجيات المعلومات والاتصالات وصناعة </w:t>
      </w:r>
      <w:r w:rsidRPr="00E56D8F">
        <w:rPr>
          <w:rFonts w:eastAsiaTheme="minorEastAsia" w:hint="cs"/>
          <w:rtl/>
          <w:lang w:eastAsia="zh-CN" w:bidi="ar-EG"/>
        </w:rPr>
        <w:t>تكنولوجيا المعلومات</w:t>
      </w:r>
      <w:r>
        <w:rPr>
          <w:rFonts w:eastAsiaTheme="minorEastAsia" w:hint="cs"/>
          <w:rtl/>
          <w:lang w:eastAsia="zh-CN" w:bidi="ar-EG"/>
        </w:rPr>
        <w:t xml:space="preserve"> والاتصالات</w:t>
      </w:r>
      <w:r w:rsidRPr="00E56D8F">
        <w:rPr>
          <w:rFonts w:eastAsiaTheme="minorEastAsia" w:hint="cs"/>
          <w:rtl/>
          <w:lang w:eastAsia="zh-CN" w:bidi="ar-EG"/>
        </w:rPr>
        <w:t xml:space="preserve"> واستخدامها المتكامل وأحدث تأثيراً أوسع على الدول الأعضاء ذات الصلة من خلال نشر الرقم القياسي لتنمية تكنولوجيا المعلومات والاتصالات</w:t>
      </w:r>
      <w:r>
        <w:rPr>
          <w:rFonts w:eastAsiaTheme="minorEastAsia" w:hint="cs"/>
          <w:rtl/>
          <w:lang w:eastAsia="zh-CN" w:bidi="ar-EG"/>
        </w:rPr>
        <w:t xml:space="preserve"> وغير ذلك</w:t>
      </w:r>
      <w:r w:rsidRPr="00E56D8F">
        <w:rPr>
          <w:rFonts w:eastAsiaTheme="minorEastAsia" w:hint="cs"/>
          <w:rtl/>
          <w:lang w:eastAsia="zh-CN" w:bidi="ar-EG"/>
        </w:rPr>
        <w:t xml:space="preserve">. وفي ضوء هذه الخلفية الجديدة، </w:t>
      </w:r>
      <w:r>
        <w:rPr>
          <w:rFonts w:eastAsiaTheme="minorEastAsia" w:hint="cs"/>
          <w:rtl/>
          <w:lang w:eastAsia="zh-CN" w:bidi="ar-EG"/>
        </w:rPr>
        <w:t>وضّح</w:t>
      </w:r>
      <w:r w:rsidRPr="00E56D8F">
        <w:rPr>
          <w:rFonts w:eastAsiaTheme="minorEastAsia" w:hint="cs"/>
          <w:rtl/>
          <w:lang w:eastAsia="zh-CN" w:bidi="ar-EG"/>
        </w:rPr>
        <w:t xml:space="preserve"> المؤتمر العالمي لتنمية الاتصالات </w:t>
      </w:r>
      <w:r w:rsidRPr="00E56D8F">
        <w:rPr>
          <w:rFonts w:eastAsiaTheme="minorEastAsia"/>
          <w:lang w:eastAsia="zh-CN" w:bidi="ar-SY"/>
        </w:rPr>
        <w:t>(WTDC</w:t>
      </w:r>
      <w:r>
        <w:rPr>
          <w:rFonts w:eastAsiaTheme="minorEastAsia"/>
          <w:lang w:eastAsia="zh-CN" w:bidi="ar-SY"/>
        </w:rPr>
        <w:noBreakHyphen/>
      </w:r>
      <w:r w:rsidRPr="00E56D8F">
        <w:rPr>
          <w:rFonts w:eastAsiaTheme="minorEastAsia"/>
          <w:lang w:eastAsia="zh-CN" w:bidi="ar-SY"/>
        </w:rPr>
        <w:t>17)</w:t>
      </w:r>
      <w:r w:rsidRPr="00E56D8F">
        <w:rPr>
          <w:rFonts w:eastAsiaTheme="minorEastAsia" w:hint="cs"/>
          <w:rtl/>
          <w:lang w:eastAsia="zh-CN" w:bidi="ar-EG"/>
        </w:rPr>
        <w:t xml:space="preserve"> الذي عُقد في بوينس آيرس </w:t>
      </w:r>
      <w:r>
        <w:rPr>
          <w:rFonts w:eastAsiaTheme="minorEastAsia" w:hint="cs"/>
          <w:rtl/>
          <w:lang w:eastAsia="zh-CN" w:bidi="ar-EG"/>
        </w:rPr>
        <w:t xml:space="preserve">في </w:t>
      </w:r>
      <w:r>
        <w:rPr>
          <w:rFonts w:eastAsiaTheme="minorEastAsia"/>
          <w:lang w:eastAsia="zh-CN" w:bidi="ar-EG"/>
        </w:rPr>
        <w:t>2017</w:t>
      </w:r>
      <w:r>
        <w:rPr>
          <w:rFonts w:eastAsiaTheme="minorEastAsia" w:hint="cs"/>
          <w:rtl/>
          <w:lang w:eastAsia="zh-CN" w:bidi="ar-EG"/>
        </w:rPr>
        <w:t xml:space="preserve">، أحد </w:t>
      </w:r>
      <w:r w:rsidRPr="00E56D8F">
        <w:rPr>
          <w:rFonts w:eastAsiaTheme="minorEastAsia" w:hint="cs"/>
          <w:rtl/>
          <w:lang w:eastAsia="zh-CN" w:bidi="ar-EG"/>
        </w:rPr>
        <w:t>الأهداف الرئيسية لقطاع تنمية الاتصالات</w:t>
      </w:r>
      <w:r>
        <w:rPr>
          <w:rFonts w:eastAsiaTheme="minorEastAsia" w:hint="cs"/>
          <w:rtl/>
          <w:lang w:eastAsia="zh-CN" w:bidi="ar-EG"/>
        </w:rPr>
        <w:t>،</w:t>
      </w:r>
      <w:r w:rsidRPr="00E56D8F">
        <w:rPr>
          <w:rFonts w:eastAsiaTheme="minorEastAsia" w:hint="cs"/>
          <w:rtl/>
          <w:lang w:eastAsia="zh-CN" w:bidi="ar-EG"/>
        </w:rPr>
        <w:t xml:space="preserve"> </w:t>
      </w:r>
      <w:r w:rsidRPr="00E56D8F">
        <w:rPr>
          <w:rFonts w:eastAsiaTheme="minorEastAsia" w:hint="cs"/>
          <w:rtl/>
          <w:lang w:eastAsia="zh-CN" w:bidi="ar-SY"/>
        </w:rPr>
        <w:t>إقامة "</w:t>
      </w:r>
      <w:r w:rsidRPr="00E56D8F">
        <w:rPr>
          <w:rFonts w:eastAsiaTheme="minorEastAsia" w:hint="cs"/>
          <w:rtl/>
          <w:lang w:eastAsia="zh-CN"/>
        </w:rPr>
        <w:t>مجتمع رقمي شامل: دعم تطوير واستخدام ا</w:t>
      </w:r>
      <w:r w:rsidRPr="00E56D8F">
        <w:rPr>
          <w:rFonts w:eastAsiaTheme="minorEastAsia" w:hint="cs"/>
          <w:rtl/>
          <w:lang w:eastAsia="zh-CN" w:bidi="ar-SY"/>
        </w:rPr>
        <w:t xml:space="preserve">لاتصالات/تكنولوجيا المعلومات والاتصالات وتطبيقاتها لتمكين الأشخاص والمجتمعات تحقيقاً للتنمية </w:t>
      </w:r>
      <w:r w:rsidRPr="00E56D8F">
        <w:rPr>
          <w:rFonts w:eastAsiaTheme="minorEastAsia" w:hint="eastAsia"/>
          <w:rtl/>
          <w:lang w:eastAsia="zh-CN" w:bidi="ar-SY"/>
        </w:rPr>
        <w:t>المستدامة</w:t>
      </w:r>
      <w:r w:rsidRPr="00E56D8F">
        <w:rPr>
          <w:rFonts w:eastAsiaTheme="minorEastAsia" w:hint="cs"/>
          <w:rtl/>
          <w:lang w:eastAsia="zh-CN" w:bidi="ar-SY"/>
        </w:rPr>
        <w:t xml:space="preserve">" كما حدد في نواتجه سياسات الاتصالات/تكنولوجيا المعلومات والاتصالات المتعلقة بالاقتصاد الرقمي إلى جانب المنتجات والخدمات المتصلة بتطبيقات تكنولوجيا المعلومات والاتصالات والتكنولوجيات الجديدة مثل تبادل المعلومات ودعم </w:t>
      </w:r>
      <w:r>
        <w:rPr>
          <w:rFonts w:eastAsiaTheme="minorEastAsia" w:hint="cs"/>
          <w:rtl/>
          <w:lang w:eastAsia="zh-CN" w:bidi="ar-SY"/>
        </w:rPr>
        <w:t xml:space="preserve">نشرها </w:t>
      </w:r>
      <w:r w:rsidRPr="00E56D8F">
        <w:rPr>
          <w:rFonts w:eastAsiaTheme="minorEastAsia" w:hint="cs"/>
          <w:rtl/>
          <w:lang w:eastAsia="zh-CN" w:bidi="ar-EG"/>
        </w:rPr>
        <w:t xml:space="preserve">ومجموعات </w:t>
      </w:r>
      <w:r>
        <w:rPr>
          <w:rFonts w:eastAsiaTheme="minorEastAsia" w:hint="cs"/>
          <w:rtl/>
          <w:lang w:eastAsia="zh-CN" w:bidi="ar-EG"/>
        </w:rPr>
        <w:t>ال</w:t>
      </w:r>
      <w:r w:rsidRPr="00E56D8F">
        <w:rPr>
          <w:rFonts w:eastAsiaTheme="minorEastAsia" w:hint="cs"/>
          <w:rtl/>
          <w:lang w:eastAsia="zh-CN" w:bidi="ar-EG"/>
        </w:rPr>
        <w:t>أدوات وبحوث التقييم</w:t>
      </w:r>
      <w:r w:rsidRPr="00E56D8F">
        <w:rPr>
          <w:rStyle w:val="FootnoteReference"/>
          <w:rFonts w:eastAsiaTheme="minorEastAsia"/>
          <w:rtl/>
        </w:rPr>
        <w:footnoteReference w:id="1"/>
      </w:r>
      <w:r w:rsidRPr="00E56D8F">
        <w:rPr>
          <w:rFonts w:eastAsiaTheme="minorEastAsia" w:hint="cs"/>
          <w:rtl/>
          <w:lang w:eastAsia="zh-CN" w:bidi="ar-EG"/>
        </w:rPr>
        <w:t>.</w:t>
      </w:r>
    </w:p>
    <w:p w:rsidR="00E56D8F" w:rsidRPr="00E56D8F" w:rsidRDefault="00132227" w:rsidP="00E56D8F">
      <w:pPr>
        <w:rPr>
          <w:rFonts w:eastAsiaTheme="minorEastAsia"/>
          <w:rtl/>
          <w:lang w:eastAsia="zh-CN" w:bidi="ar-EG"/>
        </w:rPr>
      </w:pPr>
      <w:r w:rsidRPr="00E56D8F">
        <w:rPr>
          <w:rFonts w:eastAsiaTheme="minorEastAsia" w:hint="cs"/>
          <w:rtl/>
          <w:lang w:eastAsia="zh-CN" w:bidi="ar-EG"/>
        </w:rPr>
        <w:t xml:space="preserve">ومن منظور الأعضاء، أولت جميع الدول الأعضاء أهمية كبيرة للدور القيادي الذي يؤديه الاقتصاد الرقمي فيما يتعلق بمختلف قطاعات الاقتصاد الحقيقي. واتفقت </w:t>
      </w:r>
      <w:r w:rsidRPr="00E56D8F">
        <w:rPr>
          <w:rFonts w:eastAsiaTheme="minorEastAsia" w:hint="cs"/>
          <w:rtl/>
          <w:lang w:eastAsia="zh-CN"/>
        </w:rPr>
        <w:t>قمة</w:t>
      </w:r>
      <w:r w:rsidRPr="00E56D8F">
        <w:rPr>
          <w:rFonts w:eastAsiaTheme="minorEastAsia"/>
          <w:rtl/>
          <w:lang w:eastAsia="zh-CN"/>
        </w:rPr>
        <w:t xml:space="preserve"> مجموعة العشرين </w:t>
      </w:r>
      <w:r w:rsidRPr="00E56D8F">
        <w:rPr>
          <w:rFonts w:eastAsiaTheme="minorEastAsia" w:hint="cs"/>
          <w:rtl/>
          <w:lang w:eastAsia="zh-CN"/>
        </w:rPr>
        <w:t xml:space="preserve">التي عُقدت في </w:t>
      </w:r>
      <w:r w:rsidRPr="00E56D8F">
        <w:rPr>
          <w:rFonts w:eastAsiaTheme="minorEastAsia"/>
          <w:lang w:eastAsia="zh-CN" w:bidi="ar-SY"/>
        </w:rPr>
        <w:t>2016</w:t>
      </w:r>
      <w:r w:rsidRPr="00E56D8F">
        <w:rPr>
          <w:rFonts w:eastAsiaTheme="minorEastAsia" w:hint="cs"/>
          <w:rtl/>
          <w:lang w:eastAsia="zh-CN" w:bidi="ar-EG"/>
        </w:rPr>
        <w:t>، على م</w:t>
      </w:r>
      <w:r w:rsidRPr="00E56D8F">
        <w:rPr>
          <w:rFonts w:eastAsiaTheme="minorEastAsia"/>
          <w:rtl/>
          <w:lang w:eastAsia="zh-CN"/>
        </w:rPr>
        <w:t>بادرة التنمية والتعاون في مجال الاقتصاد الرقمي لمجموعة العشرين</w:t>
      </w:r>
      <w:r w:rsidRPr="00E56D8F">
        <w:rPr>
          <w:rFonts w:eastAsiaTheme="minorEastAsia" w:hint="cs"/>
          <w:rtl/>
          <w:lang w:eastAsia="zh-CN"/>
        </w:rPr>
        <w:t xml:space="preserve"> التي تحدد تعريف ودلالة الاقتصاد الرقمي ومبادئه</w:t>
      </w:r>
      <w:r>
        <w:rPr>
          <w:rFonts w:eastAsiaTheme="minorEastAsia" w:hint="cs"/>
          <w:rtl/>
          <w:lang w:eastAsia="zh-CN"/>
        </w:rPr>
        <w:t>ا</w:t>
      </w:r>
      <w:r w:rsidRPr="00E56D8F">
        <w:rPr>
          <w:rFonts w:eastAsiaTheme="minorEastAsia" w:hint="cs"/>
          <w:rtl/>
          <w:lang w:eastAsia="zh-CN"/>
        </w:rPr>
        <w:t xml:space="preserve"> التوجيهية الخاصة بالابتكار والشراكة والتآزر والمرونة وبيئة الأعمال المفتوحة </w:t>
      </w:r>
      <w:proofErr w:type="spellStart"/>
      <w:r w:rsidRPr="00E56D8F">
        <w:rPr>
          <w:rFonts w:eastAsiaTheme="minorEastAsia" w:hint="cs"/>
          <w:rtl/>
          <w:lang w:eastAsia="zh-CN"/>
        </w:rPr>
        <w:t>والتمكينية</w:t>
      </w:r>
      <w:proofErr w:type="spellEnd"/>
      <w:r w:rsidRPr="00E56D8F">
        <w:rPr>
          <w:rFonts w:eastAsiaTheme="minorEastAsia" w:hint="cs"/>
          <w:rtl/>
          <w:lang w:eastAsia="zh-CN"/>
        </w:rPr>
        <w:t xml:space="preserve"> وتدفق المعلومات من أجل النمو الاقتصادي والثقة والأمن. وتحدد المبادرة أيضاً </w:t>
      </w:r>
      <w:r w:rsidRPr="00E56D8F">
        <w:rPr>
          <w:rFonts w:eastAsiaTheme="minorEastAsia"/>
          <w:lang w:eastAsia="zh-CN" w:bidi="ar-SY"/>
        </w:rPr>
        <w:t>6</w:t>
      </w:r>
      <w:r>
        <w:rPr>
          <w:rFonts w:eastAsiaTheme="minorEastAsia" w:hint="cs"/>
          <w:rtl/>
          <w:lang w:eastAsia="zh-CN" w:bidi="ar-EG"/>
        </w:rPr>
        <w:t xml:space="preserve"> مجالات رئيسية ذات أولوية فيما يخص التنمية والتعاون في مجال الاقتصاد الرقمي </w:t>
      </w:r>
      <w:r w:rsidRPr="00E56D8F">
        <w:rPr>
          <w:rFonts w:eastAsiaTheme="minorEastAsia" w:hint="cs"/>
          <w:rtl/>
          <w:lang w:eastAsia="zh-CN" w:bidi="ar-EG"/>
        </w:rPr>
        <w:t>هي: توسيع النفاذ إلى النطاق العريض وتحسين النوعية وتعزيز الاستثمار في قطاع تكنولوجيا المعلومات والاتصالات ودعم ريادة الأعمال وتعزيز التحول الرقمي وتشجيع</w:t>
      </w:r>
      <w:r>
        <w:rPr>
          <w:rFonts w:eastAsiaTheme="minorEastAsia" w:hint="cs"/>
          <w:rtl/>
          <w:lang w:eastAsia="zh-CN" w:bidi="ar-EG"/>
        </w:rPr>
        <w:t xml:space="preserve"> التعاون في</w:t>
      </w:r>
      <w:r w:rsidRPr="00E56D8F">
        <w:rPr>
          <w:rFonts w:eastAsiaTheme="minorEastAsia" w:hint="cs"/>
          <w:rtl/>
          <w:lang w:eastAsia="zh-CN" w:bidi="ar-EG"/>
        </w:rPr>
        <w:t xml:space="preserve"> التجارة الإلكترونية وتعزيز الشمول الرقمي وتعزيز تطوير </w:t>
      </w:r>
      <w:r w:rsidRPr="00E56D8F">
        <w:rPr>
          <w:rFonts w:eastAsiaTheme="minorEastAsia" w:hint="cs"/>
          <w:rtl/>
          <w:lang w:eastAsia="zh-CN"/>
        </w:rPr>
        <w:t>ا</w:t>
      </w:r>
      <w:r w:rsidRPr="00E56D8F">
        <w:rPr>
          <w:rFonts w:eastAsiaTheme="minorEastAsia"/>
          <w:rtl/>
          <w:lang w:eastAsia="zh-CN"/>
        </w:rPr>
        <w:t>لشركات بالغة الصغر والصغيرة والمتوسطة</w:t>
      </w:r>
      <w:r w:rsidRPr="00E56D8F">
        <w:rPr>
          <w:rStyle w:val="FootnoteReference"/>
          <w:rFonts w:eastAsiaTheme="minorEastAsia"/>
          <w:rtl/>
        </w:rPr>
        <w:footnoteReference w:id="2"/>
      </w:r>
      <w:r w:rsidRPr="00E56D8F">
        <w:rPr>
          <w:rFonts w:eastAsiaTheme="minorEastAsia" w:hint="cs"/>
          <w:rtl/>
          <w:lang w:eastAsia="zh-CN" w:bidi="ar-EG"/>
        </w:rPr>
        <w:t xml:space="preserve">. واعتمد </w:t>
      </w:r>
      <w:r w:rsidRPr="00E56D8F">
        <w:rPr>
          <w:rFonts w:eastAsiaTheme="minorEastAsia"/>
          <w:rtl/>
          <w:lang w:eastAsia="zh-CN"/>
        </w:rPr>
        <w:t xml:space="preserve">اجتماع وزراء مجموعة العشرين </w:t>
      </w:r>
      <w:r w:rsidRPr="00E56D8F">
        <w:rPr>
          <w:rFonts w:eastAsiaTheme="minorEastAsia" w:hint="cs"/>
          <w:rtl/>
          <w:lang w:eastAsia="zh-CN"/>
        </w:rPr>
        <w:t>المعنيين</w:t>
      </w:r>
      <w:r w:rsidRPr="00E56D8F">
        <w:rPr>
          <w:rFonts w:eastAsiaTheme="minorEastAsia"/>
          <w:rtl/>
          <w:lang w:eastAsia="zh-CN"/>
        </w:rPr>
        <w:t xml:space="preserve"> </w:t>
      </w:r>
      <w:r w:rsidRPr="00E56D8F">
        <w:rPr>
          <w:rFonts w:eastAsiaTheme="minorEastAsia" w:hint="cs"/>
          <w:rtl/>
          <w:lang w:eastAsia="zh-CN"/>
        </w:rPr>
        <w:t>ب</w:t>
      </w:r>
      <w:r w:rsidRPr="00E56D8F">
        <w:rPr>
          <w:rFonts w:eastAsiaTheme="minorEastAsia"/>
          <w:rtl/>
          <w:lang w:eastAsia="zh-CN"/>
        </w:rPr>
        <w:t xml:space="preserve">الاقتصاد الرقمي </w:t>
      </w:r>
      <w:r w:rsidRPr="00E56D8F">
        <w:rPr>
          <w:rFonts w:eastAsiaTheme="minorEastAsia" w:hint="cs"/>
          <w:rtl/>
          <w:lang w:eastAsia="zh-CN"/>
        </w:rPr>
        <w:t xml:space="preserve">الذي عُقد </w:t>
      </w:r>
      <w:r w:rsidRPr="00E56D8F">
        <w:rPr>
          <w:rFonts w:eastAsiaTheme="minorEastAsia"/>
          <w:rtl/>
          <w:lang w:eastAsia="zh-CN"/>
        </w:rPr>
        <w:t>في</w:t>
      </w:r>
      <w:r>
        <w:rPr>
          <w:rFonts w:eastAsiaTheme="minorEastAsia" w:hint="cs"/>
          <w:rtl/>
          <w:lang w:eastAsia="zh-CN"/>
        </w:rPr>
        <w:t> </w:t>
      </w:r>
      <w:proofErr w:type="spellStart"/>
      <w:r w:rsidRPr="00E56D8F">
        <w:rPr>
          <w:rFonts w:eastAsiaTheme="minorEastAsia"/>
          <w:rtl/>
          <w:lang w:eastAsia="zh-CN"/>
        </w:rPr>
        <w:t>دوسلدورف</w:t>
      </w:r>
      <w:proofErr w:type="spellEnd"/>
      <w:r w:rsidRPr="00E56D8F">
        <w:rPr>
          <w:rFonts w:eastAsiaTheme="minorEastAsia"/>
          <w:rtl/>
          <w:lang w:eastAsia="zh-CN"/>
        </w:rPr>
        <w:t>،</w:t>
      </w:r>
      <w:r w:rsidRPr="00E56D8F">
        <w:rPr>
          <w:rFonts w:eastAsiaTheme="minorEastAsia" w:hint="cs"/>
          <w:rtl/>
          <w:lang w:eastAsia="zh-CN"/>
        </w:rPr>
        <w:t xml:space="preserve"> ألمانيا في</w:t>
      </w:r>
      <w:r>
        <w:rPr>
          <w:rFonts w:eastAsiaTheme="minorEastAsia" w:hint="cs"/>
          <w:rtl/>
          <w:lang w:eastAsia="zh-CN"/>
        </w:rPr>
        <w:t xml:space="preserve"> شهر</w:t>
      </w:r>
      <w:r w:rsidRPr="00E56D8F">
        <w:rPr>
          <w:rFonts w:eastAsiaTheme="minorEastAsia" w:hint="cs"/>
          <w:rtl/>
          <w:lang w:eastAsia="zh-CN"/>
        </w:rPr>
        <w:t xml:space="preserve"> أبريل </w:t>
      </w:r>
      <w:r>
        <w:rPr>
          <w:rFonts w:eastAsiaTheme="minorEastAsia"/>
          <w:lang w:eastAsia="zh-CN"/>
        </w:rPr>
        <w:t>2017</w:t>
      </w:r>
      <w:r>
        <w:rPr>
          <w:rFonts w:eastAsiaTheme="minorEastAsia" w:hint="cs"/>
          <w:rtl/>
          <w:lang w:eastAsia="zh-CN"/>
        </w:rPr>
        <w:t xml:space="preserve"> </w:t>
      </w:r>
      <w:r w:rsidRPr="00E56D8F">
        <w:rPr>
          <w:rFonts w:eastAsiaTheme="minorEastAsia" w:hint="cs"/>
          <w:rtl/>
          <w:lang w:eastAsia="zh-CN"/>
        </w:rPr>
        <w:t xml:space="preserve">الإعلان </w:t>
      </w:r>
      <w:r w:rsidRPr="00E56D8F">
        <w:rPr>
          <w:rFonts w:eastAsiaTheme="minorEastAsia"/>
          <w:rtl/>
          <w:lang w:eastAsia="zh-CN"/>
        </w:rPr>
        <w:t>الوزاري</w:t>
      </w:r>
      <w:r w:rsidRPr="00E56D8F">
        <w:rPr>
          <w:rFonts w:eastAsiaTheme="minorEastAsia" w:hint="cs"/>
          <w:rtl/>
          <w:lang w:eastAsia="zh-CN"/>
        </w:rPr>
        <w:t xml:space="preserve"> بشأن</w:t>
      </w:r>
      <w:r w:rsidRPr="00E56D8F">
        <w:rPr>
          <w:rFonts w:eastAsiaTheme="minorEastAsia"/>
          <w:rtl/>
          <w:lang w:eastAsia="zh-CN"/>
        </w:rPr>
        <w:t xml:space="preserve"> </w:t>
      </w:r>
      <w:r w:rsidRPr="00E56D8F">
        <w:rPr>
          <w:rFonts w:eastAsiaTheme="minorEastAsia" w:hint="cs"/>
          <w:rtl/>
          <w:lang w:eastAsia="zh-CN"/>
        </w:rPr>
        <w:t>ا</w:t>
      </w:r>
      <w:r w:rsidRPr="00E56D8F">
        <w:rPr>
          <w:rFonts w:eastAsiaTheme="minorEastAsia"/>
          <w:rtl/>
          <w:lang w:eastAsia="zh-CN"/>
        </w:rPr>
        <w:t>لاقتصاد الرقمي لمجموعة العشرين</w:t>
      </w:r>
      <w:r w:rsidRPr="00E56D8F">
        <w:rPr>
          <w:rFonts w:eastAsiaTheme="minorEastAsia" w:hint="cs"/>
          <w:rtl/>
          <w:lang w:eastAsia="zh-CN"/>
        </w:rPr>
        <w:t xml:space="preserve"> وخارطة الطريق الخاصة </w:t>
      </w:r>
      <w:proofErr w:type="spellStart"/>
      <w:r w:rsidRPr="00E56D8F">
        <w:rPr>
          <w:rFonts w:eastAsiaTheme="minorEastAsia" w:hint="cs"/>
          <w:rtl/>
          <w:lang w:eastAsia="zh-CN"/>
        </w:rPr>
        <w:t>بالرقمنة</w:t>
      </w:r>
      <w:proofErr w:type="spellEnd"/>
      <w:r w:rsidRPr="00E56D8F">
        <w:rPr>
          <w:rFonts w:eastAsiaTheme="minorEastAsia" w:hint="cs"/>
          <w:rtl/>
          <w:lang w:eastAsia="zh-CN"/>
        </w:rPr>
        <w:t xml:space="preserve"> التي تتضمن الأهداف المحددة التالية: توسيع البنية التحتية الرقمية </w:t>
      </w:r>
      <w:proofErr w:type="spellStart"/>
      <w:r w:rsidRPr="00E56D8F">
        <w:rPr>
          <w:rFonts w:eastAsiaTheme="minorEastAsia" w:hint="cs"/>
          <w:rtl/>
          <w:lang w:eastAsia="zh-CN"/>
        </w:rPr>
        <w:t>وت</w:t>
      </w:r>
      <w:proofErr w:type="spellEnd"/>
      <w:r w:rsidRPr="00E56D8F">
        <w:rPr>
          <w:rFonts w:eastAsiaTheme="minorEastAsia" w:hint="cs"/>
          <w:rtl/>
          <w:lang w:eastAsia="zh-CN" w:bidi="ar-EG"/>
        </w:rPr>
        <w:t xml:space="preserve">عزيز تحقيق أهداف خطة التنمية المستدامة لعام </w:t>
      </w:r>
      <w:r w:rsidRPr="00E56D8F">
        <w:rPr>
          <w:rFonts w:eastAsiaTheme="minorEastAsia"/>
          <w:lang w:eastAsia="zh-CN" w:bidi="ar-SY"/>
        </w:rPr>
        <w:t>2030</w:t>
      </w:r>
      <w:r w:rsidRPr="00E56D8F">
        <w:rPr>
          <w:rFonts w:eastAsiaTheme="minorEastAsia" w:hint="cs"/>
          <w:rtl/>
          <w:lang w:eastAsia="zh-CN" w:bidi="ar-EG"/>
        </w:rPr>
        <w:t xml:space="preserve"> للأمم المتحدة وتشجيع التطوير المستمر لإنترنت الأشياء </w:t>
      </w:r>
      <w:proofErr w:type="spellStart"/>
      <w:r w:rsidRPr="00E56D8F">
        <w:rPr>
          <w:rFonts w:eastAsiaTheme="minorEastAsia" w:hint="cs"/>
          <w:rtl/>
          <w:lang w:eastAsia="zh-CN" w:bidi="ar-EG"/>
        </w:rPr>
        <w:t>ورقمنة</w:t>
      </w:r>
      <w:proofErr w:type="spellEnd"/>
      <w:r w:rsidRPr="00E56D8F">
        <w:rPr>
          <w:rFonts w:eastAsiaTheme="minorEastAsia" w:hint="cs"/>
          <w:rtl/>
          <w:lang w:eastAsia="zh-CN" w:bidi="ar-EG"/>
        </w:rPr>
        <w:t xml:space="preserve"> الإنتاج وقياس الاقتصاد الرقمي وسد الفجوة الرقمية بين الجنسين وما إلى ذلك.</w:t>
      </w:r>
    </w:p>
    <w:p w:rsidR="00E56D8F" w:rsidRPr="00E56D8F" w:rsidRDefault="00E56D8F" w:rsidP="00E56D8F">
      <w:pPr>
        <w:pStyle w:val="Headingb"/>
        <w:rPr>
          <w:rFonts w:eastAsiaTheme="minorEastAsia"/>
          <w:rtl/>
          <w:lang w:eastAsia="zh-CN"/>
        </w:rPr>
      </w:pPr>
      <w:r w:rsidRPr="00E56D8F">
        <w:rPr>
          <w:rFonts w:eastAsiaTheme="minorEastAsia" w:hint="cs"/>
          <w:rtl/>
          <w:lang w:eastAsia="zh-CN"/>
        </w:rPr>
        <w:t>الأسباب</w:t>
      </w:r>
    </w:p>
    <w:p w:rsidR="00E56D8F" w:rsidRPr="00E56D8F" w:rsidRDefault="00132227" w:rsidP="00E56D8F">
      <w:pPr>
        <w:rPr>
          <w:rFonts w:eastAsiaTheme="minorEastAsia"/>
          <w:rtl/>
          <w:lang w:eastAsia="zh-CN" w:bidi="ar-EG"/>
        </w:rPr>
      </w:pPr>
      <w:r w:rsidRPr="00E56D8F">
        <w:rPr>
          <w:rFonts w:eastAsiaTheme="minorEastAsia" w:hint="cs"/>
          <w:rtl/>
          <w:lang w:eastAsia="zh-CN" w:bidi="ar-EG"/>
        </w:rPr>
        <w:t>تكتسي الخطة الاستراتيجية للاتحاد كأداة استراتيجية وُضعت استناداً إلى دستوره واتفاقيته أهمية بالغة في توجيه أنشطة الاتحاد في</w:t>
      </w:r>
      <w:r>
        <w:rPr>
          <w:rFonts w:eastAsiaTheme="minorEastAsia" w:hint="eastAsia"/>
          <w:rtl/>
          <w:lang w:eastAsia="zh-CN" w:bidi="ar-EG"/>
        </w:rPr>
        <w:t> </w:t>
      </w:r>
      <w:r w:rsidRPr="00E56D8F">
        <w:rPr>
          <w:rFonts w:eastAsiaTheme="minorEastAsia" w:hint="cs"/>
          <w:rtl/>
          <w:lang w:eastAsia="zh-CN" w:bidi="ar-EG"/>
        </w:rPr>
        <w:t xml:space="preserve">السنوات الأربع المقبلة. وفي الوقت الحالي، فإن القرار </w:t>
      </w:r>
      <w:r w:rsidRPr="00E56D8F">
        <w:rPr>
          <w:rFonts w:eastAsiaTheme="minorEastAsia"/>
          <w:lang w:eastAsia="zh-CN" w:bidi="ar-SY"/>
        </w:rPr>
        <w:t>71</w:t>
      </w:r>
      <w:r w:rsidRPr="00E56D8F">
        <w:rPr>
          <w:rFonts w:eastAsiaTheme="minorEastAsia" w:hint="cs"/>
          <w:rtl/>
          <w:lang w:eastAsia="zh-CN" w:bidi="ar-EG"/>
        </w:rPr>
        <w:t xml:space="preserve"> (المراجع في بوسان، </w:t>
      </w:r>
      <w:r w:rsidRPr="00E56D8F">
        <w:rPr>
          <w:rFonts w:eastAsiaTheme="minorEastAsia"/>
          <w:lang w:eastAsia="zh-CN" w:bidi="ar-SY"/>
        </w:rPr>
        <w:t>2014</w:t>
      </w:r>
      <w:r w:rsidRPr="00E56D8F">
        <w:rPr>
          <w:rFonts w:eastAsiaTheme="minorEastAsia" w:hint="cs"/>
          <w:rtl/>
          <w:lang w:eastAsia="zh-CN" w:bidi="ar-EG"/>
        </w:rPr>
        <w:t xml:space="preserve">) بشأن أهداف الخطة الاستراتيجية للاتحاد للفترة </w:t>
      </w:r>
      <w:r w:rsidRPr="00E56D8F">
        <w:rPr>
          <w:rFonts w:eastAsiaTheme="minorEastAsia"/>
          <w:lang w:eastAsia="zh-CN" w:bidi="ar-SY"/>
        </w:rPr>
        <w:t>2019</w:t>
      </w:r>
      <w:r>
        <w:rPr>
          <w:rFonts w:eastAsiaTheme="minorEastAsia"/>
          <w:lang w:eastAsia="zh-CN" w:bidi="ar-SY"/>
        </w:rPr>
        <w:noBreakHyphen/>
      </w:r>
      <w:r w:rsidRPr="00E56D8F">
        <w:rPr>
          <w:rFonts w:eastAsiaTheme="minorEastAsia"/>
          <w:lang w:eastAsia="zh-CN" w:bidi="ar-SY"/>
        </w:rPr>
        <w:t>2016</w:t>
      </w:r>
      <w:r w:rsidRPr="00E56D8F">
        <w:rPr>
          <w:rStyle w:val="FootnoteReference"/>
          <w:rFonts w:eastAsiaTheme="minorEastAsia"/>
          <w:rtl/>
        </w:rPr>
        <w:footnoteReference w:id="3"/>
      </w:r>
      <w:r w:rsidRPr="00E56D8F">
        <w:rPr>
          <w:rFonts w:eastAsiaTheme="minorEastAsia" w:hint="cs"/>
          <w:rtl/>
          <w:lang w:eastAsia="zh-CN" w:bidi="ar-EG"/>
        </w:rPr>
        <w:t xml:space="preserve"> لا يغطي آخر اتجاهات تطور الاقتصاد الرقمي</w:t>
      </w:r>
      <w:r w:rsidRPr="00E56D8F">
        <w:rPr>
          <w:rStyle w:val="FootnoteReference"/>
          <w:rFonts w:eastAsiaTheme="minorEastAsia"/>
          <w:rtl/>
        </w:rPr>
        <w:footnoteReference w:id="4"/>
      </w:r>
      <w:r>
        <w:rPr>
          <w:rFonts w:eastAsiaTheme="minorEastAsia" w:hint="cs"/>
          <w:rtl/>
          <w:lang w:eastAsia="zh-CN" w:bidi="ar-EG"/>
        </w:rPr>
        <w:t xml:space="preserve"> وتأثيره</w:t>
      </w:r>
      <w:r w:rsidRPr="00E56D8F">
        <w:rPr>
          <w:rFonts w:eastAsiaTheme="minorEastAsia" w:hint="cs"/>
          <w:rtl/>
          <w:lang w:eastAsia="zh-CN" w:bidi="ar-EG"/>
        </w:rPr>
        <w:t xml:space="preserve">. ولذلك، نقترح </w:t>
      </w:r>
      <w:r>
        <w:rPr>
          <w:rFonts w:eastAsiaTheme="minorEastAsia" w:hint="cs"/>
          <w:rtl/>
          <w:lang w:eastAsia="zh-CN" w:bidi="ar-EG"/>
        </w:rPr>
        <w:t>مراعاة</w:t>
      </w:r>
      <w:r w:rsidRPr="00E56D8F">
        <w:rPr>
          <w:rFonts w:eastAsiaTheme="minorEastAsia" w:hint="cs"/>
          <w:rtl/>
          <w:lang w:eastAsia="zh-CN" w:bidi="ar-EG"/>
        </w:rPr>
        <w:t xml:space="preserve"> هذا الأمر </w:t>
      </w:r>
      <w:r>
        <w:rPr>
          <w:rFonts w:eastAsiaTheme="minorEastAsia" w:hint="cs"/>
          <w:rtl/>
          <w:lang w:eastAsia="zh-CN" w:bidi="ar-EG"/>
        </w:rPr>
        <w:t xml:space="preserve">وإدراجه </w:t>
      </w:r>
      <w:r w:rsidRPr="00E56D8F">
        <w:rPr>
          <w:rFonts w:eastAsiaTheme="minorEastAsia" w:hint="cs"/>
          <w:rtl/>
          <w:lang w:eastAsia="zh-CN" w:bidi="ar-EG"/>
        </w:rPr>
        <w:t>في خطة السنوات الأربع المقبلة.</w:t>
      </w:r>
    </w:p>
    <w:p w:rsidR="00E56D8F" w:rsidRPr="00E56D8F" w:rsidRDefault="00E56D8F" w:rsidP="00E56D8F">
      <w:pPr>
        <w:pStyle w:val="Headingb"/>
        <w:rPr>
          <w:rFonts w:eastAsiaTheme="minorEastAsia"/>
          <w:rtl/>
          <w:lang w:eastAsia="zh-CN"/>
        </w:rPr>
      </w:pPr>
      <w:r w:rsidRPr="00E56D8F">
        <w:rPr>
          <w:rFonts w:eastAsiaTheme="minorEastAsia" w:hint="cs"/>
          <w:rtl/>
          <w:lang w:eastAsia="zh-CN"/>
        </w:rPr>
        <w:t>المقترحات</w:t>
      </w:r>
    </w:p>
    <w:p w:rsidR="00132227" w:rsidRPr="00E56D8F" w:rsidRDefault="00132227" w:rsidP="00132227">
      <w:pPr>
        <w:rPr>
          <w:rFonts w:eastAsiaTheme="minorEastAsia"/>
          <w:rtl/>
          <w:lang w:eastAsia="zh-CN" w:bidi="ar-EG"/>
        </w:rPr>
      </w:pPr>
      <w:r w:rsidRPr="00E56D8F">
        <w:rPr>
          <w:rFonts w:eastAsiaTheme="minorEastAsia" w:hint="cs"/>
          <w:rtl/>
          <w:lang w:eastAsia="zh-CN" w:bidi="ar-EG"/>
        </w:rPr>
        <w:t>في ضوء ما ذُكر أعلاه، نقترح أن ينظر الاتحاد في إد</w:t>
      </w:r>
      <w:r>
        <w:rPr>
          <w:rFonts w:eastAsiaTheme="minorEastAsia" w:hint="cs"/>
          <w:rtl/>
          <w:lang w:eastAsia="zh-CN" w:bidi="ar-EG"/>
        </w:rPr>
        <w:t>ر</w:t>
      </w:r>
      <w:r w:rsidRPr="00E56D8F">
        <w:rPr>
          <w:rFonts w:eastAsiaTheme="minorEastAsia" w:hint="cs"/>
          <w:rtl/>
          <w:lang w:eastAsia="zh-CN" w:bidi="ar-EG"/>
        </w:rPr>
        <w:t xml:space="preserve">اج تعزيز التكامل الأسرع بين </w:t>
      </w:r>
      <w:proofErr w:type="spellStart"/>
      <w:r w:rsidRPr="00E56D8F">
        <w:rPr>
          <w:rFonts w:eastAsiaTheme="minorEastAsia" w:hint="cs"/>
          <w:rtl/>
          <w:lang w:eastAsia="zh-CN" w:bidi="ar-EG"/>
        </w:rPr>
        <w:t>الرقمنة</w:t>
      </w:r>
      <w:proofErr w:type="spellEnd"/>
      <w:r w:rsidRPr="00E56D8F">
        <w:rPr>
          <w:rFonts w:eastAsiaTheme="minorEastAsia" w:hint="cs"/>
          <w:rtl/>
          <w:lang w:eastAsia="zh-CN" w:bidi="ar-EG"/>
        </w:rPr>
        <w:t xml:space="preserve"> والاقتصاد الحقيقي في خطته الاستراتيجية المتوسطة </w:t>
      </w:r>
      <w:r>
        <w:rPr>
          <w:rFonts w:eastAsiaTheme="minorEastAsia" w:hint="cs"/>
          <w:rtl/>
          <w:lang w:eastAsia="zh-CN" w:bidi="ar-EG"/>
        </w:rPr>
        <w:t xml:space="preserve">الأجل </w:t>
      </w:r>
      <w:r w:rsidRPr="00E56D8F">
        <w:rPr>
          <w:rFonts w:eastAsiaTheme="minorEastAsia" w:hint="cs"/>
          <w:rtl/>
          <w:lang w:eastAsia="zh-CN" w:bidi="ar-EG"/>
        </w:rPr>
        <w:t xml:space="preserve">والطويلة الأجل. وفيما يلي مقترحنا بالتفصيل: </w:t>
      </w:r>
    </w:p>
    <w:p w:rsidR="00132227" w:rsidRPr="00E56D8F" w:rsidRDefault="00132227" w:rsidP="006B13EB">
      <w:pPr>
        <w:pStyle w:val="enumlev1"/>
        <w:rPr>
          <w:rFonts w:eastAsiaTheme="minorEastAsia"/>
          <w:rtl/>
          <w:lang w:eastAsia="zh-CN" w:bidi="ar-EG"/>
        </w:rPr>
      </w:pPr>
      <w:r w:rsidRPr="00E56D8F">
        <w:rPr>
          <w:rFonts w:eastAsiaTheme="minorEastAsia"/>
          <w:lang w:eastAsia="zh-CN" w:bidi="ar-SY"/>
        </w:rPr>
        <w:t>•</w:t>
      </w:r>
      <w:r w:rsidRPr="00E56D8F">
        <w:rPr>
          <w:rFonts w:eastAsiaTheme="minorEastAsia"/>
          <w:rtl/>
          <w:lang w:eastAsia="zh-CN" w:bidi="ar-EG"/>
        </w:rPr>
        <w:tab/>
      </w:r>
      <w:r w:rsidRPr="00E56D8F">
        <w:rPr>
          <w:rFonts w:eastAsiaTheme="minorEastAsia" w:hint="cs"/>
          <w:rtl/>
          <w:lang w:eastAsia="zh-CN" w:bidi="ar-EG"/>
        </w:rPr>
        <w:t>النظر في إد</w:t>
      </w:r>
      <w:r>
        <w:rPr>
          <w:rFonts w:eastAsiaTheme="minorEastAsia" w:hint="cs"/>
          <w:rtl/>
          <w:lang w:eastAsia="zh-CN" w:bidi="ar-EG"/>
        </w:rPr>
        <w:t>ر</w:t>
      </w:r>
      <w:r w:rsidRPr="00E56D8F">
        <w:rPr>
          <w:rFonts w:eastAsiaTheme="minorEastAsia" w:hint="cs"/>
          <w:rtl/>
          <w:lang w:eastAsia="zh-CN" w:bidi="ar-EG"/>
        </w:rPr>
        <w:t xml:space="preserve">اج </w:t>
      </w:r>
      <w:r>
        <w:rPr>
          <w:rFonts w:eastAsiaTheme="minorEastAsia" w:hint="cs"/>
          <w:rtl/>
          <w:lang w:eastAsia="zh-CN" w:bidi="ar-EG"/>
        </w:rPr>
        <w:t>المحتوى المتصل بتعزيز</w:t>
      </w:r>
      <w:r w:rsidRPr="00E56D8F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تنمية </w:t>
      </w:r>
      <w:r w:rsidRPr="00E56D8F">
        <w:rPr>
          <w:rFonts w:eastAsiaTheme="minorEastAsia"/>
          <w:rtl/>
          <w:lang w:eastAsia="zh-CN"/>
        </w:rPr>
        <w:t>الاقتصاد الرقمي</w:t>
      </w:r>
      <w:r w:rsidRPr="00E56D8F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في الغايات الاستراتيجية</w:t>
      </w:r>
      <w:r w:rsidRPr="00E56D8F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ل</w:t>
      </w:r>
      <w:r w:rsidRPr="00E56D8F">
        <w:rPr>
          <w:rFonts w:eastAsiaTheme="minorEastAsia" w:hint="cs"/>
          <w:rtl/>
          <w:lang w:eastAsia="zh-CN"/>
        </w:rPr>
        <w:t xml:space="preserve">لخطة الاستراتيجية للاتحاد للفترة </w:t>
      </w:r>
      <w:r w:rsidRPr="00E56D8F">
        <w:rPr>
          <w:rFonts w:eastAsiaTheme="minorEastAsia"/>
          <w:lang w:eastAsia="zh-CN" w:bidi="ar-SY"/>
        </w:rPr>
        <w:t>2023</w:t>
      </w:r>
      <w:r w:rsidR="006B13EB">
        <w:rPr>
          <w:rFonts w:eastAsiaTheme="minorEastAsia"/>
          <w:lang w:eastAsia="zh-CN" w:bidi="ar-SY"/>
        </w:rPr>
        <w:noBreakHyphen/>
      </w:r>
      <w:r w:rsidRPr="00E56D8F">
        <w:rPr>
          <w:rFonts w:eastAsiaTheme="minorEastAsia"/>
          <w:lang w:eastAsia="zh-CN" w:bidi="ar-SY"/>
        </w:rPr>
        <w:t>2020</w:t>
      </w:r>
      <w:r w:rsidRPr="00E56D8F">
        <w:rPr>
          <w:rFonts w:eastAsiaTheme="minorEastAsia" w:hint="cs"/>
          <w:rtl/>
          <w:lang w:eastAsia="zh-CN" w:bidi="ar-EG"/>
        </w:rPr>
        <w:t>.</w:t>
      </w:r>
    </w:p>
    <w:p w:rsidR="00132227" w:rsidRPr="00E56D8F" w:rsidRDefault="00132227" w:rsidP="00132227">
      <w:pPr>
        <w:pStyle w:val="enumlev1"/>
        <w:rPr>
          <w:rFonts w:eastAsiaTheme="minorEastAsia"/>
          <w:rtl/>
          <w:lang w:eastAsia="zh-CN" w:bidi="ar-EG"/>
        </w:rPr>
      </w:pPr>
      <w:r w:rsidRPr="00E56D8F">
        <w:rPr>
          <w:rFonts w:eastAsiaTheme="minorEastAsia"/>
          <w:lang w:eastAsia="zh-CN" w:bidi="ar-SY"/>
        </w:rPr>
        <w:t>•</w:t>
      </w:r>
      <w:r w:rsidRPr="00E56D8F">
        <w:rPr>
          <w:rFonts w:eastAsiaTheme="minorEastAsia"/>
          <w:rtl/>
          <w:lang w:eastAsia="zh-CN" w:bidi="ar-EG"/>
        </w:rPr>
        <w:tab/>
      </w:r>
      <w:r w:rsidRPr="00E56D8F">
        <w:rPr>
          <w:rFonts w:eastAsiaTheme="minorEastAsia" w:hint="cs"/>
          <w:rtl/>
          <w:lang w:eastAsia="zh-CN" w:bidi="ar-EG"/>
        </w:rPr>
        <w:t>تشجيع وضع إطار بحثي معترف به عالمياً بشأن الاقتصاد الرقمي، بما في ذلك إطار إنمائي وإطار مراجعة وإطار إحصائي وإطار مراقبة وما إلى ذلك.</w:t>
      </w:r>
    </w:p>
    <w:p w:rsidR="00132227" w:rsidRDefault="00132227" w:rsidP="00132227">
      <w:pPr>
        <w:pStyle w:val="enumlev1"/>
        <w:rPr>
          <w:rFonts w:eastAsiaTheme="minorEastAsia"/>
          <w:rtl/>
          <w:lang w:eastAsia="zh-CN" w:bidi="ar-EG"/>
        </w:rPr>
      </w:pPr>
      <w:r w:rsidRPr="00E56D8F">
        <w:rPr>
          <w:rFonts w:eastAsiaTheme="minorEastAsia"/>
          <w:lang w:eastAsia="zh-CN" w:bidi="ar-SY"/>
        </w:rPr>
        <w:t>•</w:t>
      </w:r>
      <w:r w:rsidRPr="00E56D8F">
        <w:rPr>
          <w:rFonts w:eastAsiaTheme="minorEastAsia"/>
          <w:rtl/>
          <w:lang w:eastAsia="zh-CN" w:bidi="ar-EG"/>
        </w:rPr>
        <w:tab/>
      </w:r>
      <w:r w:rsidRPr="00E56D8F">
        <w:rPr>
          <w:rFonts w:eastAsiaTheme="minorEastAsia" w:hint="cs"/>
          <w:rtl/>
          <w:lang w:eastAsia="zh-CN" w:bidi="ar-EG"/>
        </w:rPr>
        <w:t>تيسير استخدام ونشر الاتحاد لتقارير المؤشرات والبحوث ذات الصلة مثل النشر السنوي لمؤشر الاقتصاد الرقمي لجميع الاقتصادات في العالم وتقرير التنمية العالمية بشأن الاقتصاد الرقمي.</w:t>
      </w:r>
    </w:p>
    <w:p w:rsidR="00E56D8F" w:rsidRPr="000E4FF0" w:rsidRDefault="00E56D8F" w:rsidP="00E56D8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EG"/>
        </w:rPr>
        <w:t>___________</w:t>
      </w:r>
    </w:p>
    <w:sectPr w:rsidR="00E56D8F" w:rsidRP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8F" w:rsidRDefault="00E56D8F" w:rsidP="00E07379">
      <w:pPr>
        <w:spacing w:before="0" w:line="240" w:lineRule="auto"/>
      </w:pPr>
      <w:r>
        <w:separator/>
      </w:r>
    </w:p>
  </w:endnote>
  <w:endnote w:type="continuationSeparator" w:id="0">
    <w:p w:rsidR="00E56D8F" w:rsidRDefault="00E56D8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FC7A1D" w:rsidP="00695D7D">
    <w:pPr>
      <w:pStyle w:val="Footer"/>
      <w:tabs>
        <w:tab w:val="clear" w:pos="5812"/>
        <w:tab w:val="right" w:pos="6804"/>
      </w:tabs>
    </w:pPr>
    <w:fldSimple w:instr=" FILENAME \p \* MERGEFORMAT ">
      <w:r w:rsidR="00695D7D">
        <w:rPr>
          <w:noProof/>
        </w:rPr>
        <w:t>P:\ARA\SG\CONSEIL\CWG-SFP\CWG-SFP3\000\016REV1A.docx</w:t>
      </w:r>
    </w:fldSimple>
    <w:r w:rsidR="00BD0C50" w:rsidRPr="00665956">
      <w:t xml:space="preserve">   (</w:t>
    </w:r>
    <w:r w:rsidR="00695D7D">
      <w:t>430453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695D7D">
      <w:rPr>
        <w:noProof/>
      </w:rPr>
      <w:t>11.01.18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695D7D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7D" w:rsidRPr="00665956" w:rsidRDefault="00695D7D" w:rsidP="00695D7D">
    <w:pPr>
      <w:pStyle w:val="Footer"/>
      <w:tabs>
        <w:tab w:val="clear" w:pos="5812"/>
        <w:tab w:val="right" w:pos="6804"/>
      </w:tabs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P:\ARA\SG\CONSEIL\CWG-SFP\CWG-SFP3\000\016REV1A.docx</w:t>
    </w:r>
    <w:r>
      <w:rPr>
        <w:noProof/>
      </w:rPr>
      <w:fldChar w:fldCharType="end"/>
    </w:r>
    <w:r w:rsidRPr="00665956">
      <w:t xml:space="preserve">   (</w:t>
    </w:r>
    <w:r>
      <w:t>430453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>
      <w:rPr>
        <w:noProof/>
      </w:rPr>
      <w:t>11.01.18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07.06.16</w:t>
    </w:r>
    <w:r w:rsidRPr="006659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8F" w:rsidRDefault="00E56D8F" w:rsidP="00E07379">
      <w:pPr>
        <w:spacing w:before="0" w:line="240" w:lineRule="auto"/>
      </w:pPr>
      <w:r>
        <w:separator/>
      </w:r>
    </w:p>
  </w:footnote>
  <w:footnote w:type="continuationSeparator" w:id="0">
    <w:p w:rsidR="00E56D8F" w:rsidRDefault="00E56D8F" w:rsidP="00E07379">
      <w:pPr>
        <w:spacing w:before="0" w:line="240" w:lineRule="auto"/>
      </w:pPr>
      <w:r>
        <w:continuationSeparator/>
      </w:r>
    </w:p>
  </w:footnote>
  <w:footnote w:id="1">
    <w:p w:rsidR="00132227" w:rsidRPr="000136A8" w:rsidRDefault="00132227" w:rsidP="0013222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يرجى الرجوع إلى الناتج </w:t>
      </w:r>
      <w:r>
        <w:t>2.4</w:t>
      </w:r>
      <w:r>
        <w:rPr>
          <w:rFonts w:hint="cs"/>
          <w:rtl/>
        </w:rPr>
        <w:t xml:space="preserve"> (المنتجات والخدمات) تحت أهداف قطاع تنمية الاتصالات في تقرير المؤتمر العالمي لتنمية الاتصالات لعام </w:t>
      </w:r>
      <w:r>
        <w:t>2017</w:t>
      </w:r>
      <w:r>
        <w:rPr>
          <w:rFonts w:hint="cs"/>
          <w:rtl/>
        </w:rPr>
        <w:t xml:space="preserve"> </w:t>
      </w:r>
      <w:r>
        <w:t>(WTDC</w:t>
      </w:r>
      <w:r>
        <w:noBreakHyphen/>
        <w:t>17)</w:t>
      </w:r>
      <w:r>
        <w:rPr>
          <w:rFonts w:hint="cs"/>
          <w:rtl/>
        </w:rPr>
        <w:t>.</w:t>
      </w:r>
    </w:p>
  </w:footnote>
  <w:footnote w:id="2">
    <w:p w:rsidR="00132227" w:rsidRPr="000136A8" w:rsidRDefault="00132227" w:rsidP="0013222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المصدر: الموقع الإلكتروني الرسمي لقمة مجموعة العشرين لعام </w:t>
      </w:r>
      <w:r>
        <w:t>2016</w:t>
      </w:r>
      <w:r>
        <w:rPr>
          <w:rFonts w:hint="cs"/>
          <w:rtl/>
        </w:rPr>
        <w:t xml:space="preserve">: </w:t>
      </w:r>
      <w:r>
        <w:rPr>
          <w:rtl/>
        </w:rPr>
        <w:tab/>
      </w:r>
      <w:r>
        <w:rPr>
          <w:rFonts w:hint="cs"/>
          <w:rtl/>
        </w:rPr>
        <w:t xml:space="preserve"> </w:t>
      </w:r>
      <w:hyperlink r:id="rId1" w:history="1">
        <w:r w:rsidRPr="0086420E">
          <w:rPr>
            <w:rStyle w:val="Hyperlink"/>
            <w:sz w:val="20"/>
            <w:szCs w:val="26"/>
            <w:lang w:eastAsia="zh-CN"/>
          </w:rPr>
          <w:t>http://www.g20chn.org/hywj/dncgwj/201609/t20160920_3474.html</w:t>
        </w:r>
      </w:hyperlink>
      <w:r w:rsidRPr="0086420E">
        <w:rPr>
          <w:rFonts w:hint="cs"/>
          <w:rtl/>
        </w:rPr>
        <w:t>.</w:t>
      </w:r>
    </w:p>
  </w:footnote>
  <w:footnote w:id="3">
    <w:p w:rsidR="00132227" w:rsidRDefault="00132227" w:rsidP="0013222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تشمل الغايات الاستراتيجية العامة للخطة الاستراتيجية للاتحاد للفترة </w:t>
      </w:r>
      <w:r>
        <w:t>2019-2016</w:t>
      </w:r>
      <w:r>
        <w:rPr>
          <w:rFonts w:hint="cs"/>
          <w:rtl/>
        </w:rPr>
        <w:t xml:space="preserve"> "</w:t>
      </w:r>
      <w:r w:rsidRPr="00002AA2">
        <w:rPr>
          <w:rFonts w:hint="cs"/>
          <w:rtl/>
          <w:lang w:bidi="ar-SA"/>
        </w:rPr>
        <w:t>إتاحة وتعزيز النفاذ إلى الاتصالات/تكنولوجيا المعلومات والاتصالات وزيادة استخدامها</w:t>
      </w:r>
      <w:r>
        <w:rPr>
          <w:rFonts w:hint="cs"/>
          <w:rtl/>
        </w:rPr>
        <w:t>"، و"</w:t>
      </w:r>
      <w:r>
        <w:rPr>
          <w:rFonts w:hint="cs"/>
          <w:rtl/>
          <w:lang w:bidi="ar-SA"/>
        </w:rPr>
        <w:t>سد الفجوة الرقمية</w:t>
      </w:r>
      <w:r>
        <w:rPr>
          <w:rFonts w:hint="cs"/>
          <w:rtl/>
        </w:rPr>
        <w:t>"، و"</w:t>
      </w:r>
      <w:r w:rsidRPr="00002AA2">
        <w:rPr>
          <w:rFonts w:hint="cs"/>
          <w:rtl/>
          <w:lang w:bidi="ar-SA"/>
        </w:rPr>
        <w:t>التصدي للتحديات الناجمة عن تنمية الاتصالات/تكنولوجيا المعلومات والاتصالات</w:t>
      </w:r>
      <w:r>
        <w:rPr>
          <w:rFonts w:hint="cs"/>
          <w:rtl/>
        </w:rPr>
        <w:t>"، و"</w:t>
      </w:r>
      <w:r>
        <w:rPr>
          <w:rFonts w:hint="cs"/>
          <w:rtl/>
          <w:lang w:bidi="ar-SA"/>
        </w:rPr>
        <w:t>الابتكار والشراكة</w:t>
      </w:r>
      <w:r>
        <w:rPr>
          <w:rFonts w:hint="cs"/>
          <w:rtl/>
        </w:rPr>
        <w:t>".</w:t>
      </w:r>
    </w:p>
  </w:footnote>
  <w:footnote w:id="4">
    <w:p w:rsidR="00132227" w:rsidRDefault="00132227" w:rsidP="0013222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B7090B">
        <w:rPr>
          <w:rFonts w:hint="cs"/>
          <w:rtl/>
        </w:rPr>
        <w:t xml:space="preserve">يرجى الرجوع إلى الملحق </w:t>
      </w:r>
      <w:r w:rsidRPr="00B7090B">
        <w:t>2</w:t>
      </w:r>
      <w:r w:rsidRPr="00B7090B">
        <w:rPr>
          <w:rFonts w:hint="cs"/>
          <w:rtl/>
        </w:rPr>
        <w:t xml:space="preserve"> بالقرار </w:t>
      </w:r>
      <w:r w:rsidRPr="00B7090B">
        <w:t>71</w:t>
      </w:r>
      <w:r w:rsidRPr="00B7090B">
        <w:rPr>
          <w:rFonts w:hint="cs"/>
          <w:rtl/>
        </w:rPr>
        <w:t xml:space="preserve"> (المراجَع في بوسان، </w:t>
      </w:r>
      <w:r w:rsidRPr="00B7090B">
        <w:t>2014</w:t>
      </w:r>
      <w:r w:rsidRPr="00B7090B">
        <w:rPr>
          <w:rFonts w:hint="cs"/>
          <w:rtl/>
        </w:rPr>
        <w:t>) "</w:t>
      </w:r>
      <w:bookmarkStart w:id="1" w:name="_Toc408328039"/>
      <w:bookmarkStart w:id="2" w:name="_Toc414526701"/>
      <w:bookmarkStart w:id="3" w:name="_Toc415560121"/>
      <w:r w:rsidRPr="00B7090B">
        <w:rPr>
          <w:rFonts w:hint="cs"/>
          <w:rtl/>
          <w:lang w:bidi="ar-SA"/>
        </w:rPr>
        <w:t>ال</w:t>
      </w:r>
      <w:r w:rsidRPr="00B7090B">
        <w:rPr>
          <w:rtl/>
          <w:lang w:bidi="ar-SA"/>
        </w:rPr>
        <w:t>خطة الاستراتيجية</w:t>
      </w:r>
      <w:r w:rsidRPr="00B7090B">
        <w:rPr>
          <w:rFonts w:hint="cs"/>
          <w:rtl/>
          <w:lang w:bidi="ar-SA"/>
        </w:rPr>
        <w:t xml:space="preserve"> للاتحاد</w:t>
      </w:r>
      <w:r w:rsidRPr="00B7090B">
        <w:rPr>
          <w:rtl/>
          <w:lang w:bidi="ar-SA"/>
        </w:rPr>
        <w:t xml:space="preserve"> للفترة</w:t>
      </w:r>
      <w:bookmarkStart w:id="4" w:name="_GoBack"/>
      <w:bookmarkEnd w:id="4"/>
      <w:r w:rsidRPr="00B7090B">
        <w:rPr>
          <w:rFonts w:hint="cs"/>
          <w:rtl/>
          <w:lang w:bidi="ar-SA"/>
        </w:rPr>
        <w:t xml:space="preserve"> </w:t>
      </w:r>
      <w:r w:rsidRPr="00B7090B">
        <w:rPr>
          <w:lang w:val="en-GB"/>
        </w:rPr>
        <w:t>2019</w:t>
      </w:r>
      <w:r w:rsidRPr="00B7090B">
        <w:rPr>
          <w:lang w:val="en-GB"/>
        </w:rPr>
        <w:noBreakHyphen/>
        <w:t>2016</w:t>
      </w:r>
      <w:bookmarkEnd w:id="1"/>
      <w:bookmarkEnd w:id="2"/>
      <w:bookmarkEnd w:id="3"/>
      <w:r w:rsidRPr="00B7090B">
        <w:rPr>
          <w:rFonts w:hint="cs"/>
          <w:rtl/>
        </w:rPr>
        <w:t xml:space="preserve">"، الفقرات </w:t>
      </w:r>
      <w:r w:rsidRPr="00B7090B">
        <w:t>22</w:t>
      </w:r>
      <w:r w:rsidRPr="00B7090B">
        <w:noBreakHyphen/>
        <w:t>19</w:t>
      </w:r>
      <w:r w:rsidRPr="00B7090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695D7D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695D7D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8F"/>
    <w:rsid w:val="000124CC"/>
    <w:rsid w:val="00041F8B"/>
    <w:rsid w:val="00046444"/>
    <w:rsid w:val="00054EF0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0237"/>
    <w:rsid w:val="00101086"/>
    <w:rsid w:val="00102A03"/>
    <w:rsid w:val="001040A3"/>
    <w:rsid w:val="00132227"/>
    <w:rsid w:val="00173915"/>
    <w:rsid w:val="00206C57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A4BF7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97703"/>
    <w:rsid w:val="004F0F06"/>
    <w:rsid w:val="004F4A9F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5D7D"/>
    <w:rsid w:val="006B13EB"/>
    <w:rsid w:val="006C1556"/>
    <w:rsid w:val="006F267F"/>
    <w:rsid w:val="006F63F7"/>
    <w:rsid w:val="006F6F03"/>
    <w:rsid w:val="00706D7A"/>
    <w:rsid w:val="00720957"/>
    <w:rsid w:val="00726AEC"/>
    <w:rsid w:val="007530CA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420E"/>
    <w:rsid w:val="00874D9C"/>
    <w:rsid w:val="008A1810"/>
    <w:rsid w:val="008B5B5D"/>
    <w:rsid w:val="008F7158"/>
    <w:rsid w:val="00917694"/>
    <w:rsid w:val="009263CD"/>
    <w:rsid w:val="00930E6D"/>
    <w:rsid w:val="00950A5B"/>
    <w:rsid w:val="00972CA2"/>
    <w:rsid w:val="00982B28"/>
    <w:rsid w:val="00984EA5"/>
    <w:rsid w:val="00992593"/>
    <w:rsid w:val="00997E58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D5674"/>
    <w:rsid w:val="00BE49D0"/>
    <w:rsid w:val="00BF2C38"/>
    <w:rsid w:val="00BF335A"/>
    <w:rsid w:val="00C16F57"/>
    <w:rsid w:val="00C23331"/>
    <w:rsid w:val="00C265DA"/>
    <w:rsid w:val="00C442F2"/>
    <w:rsid w:val="00C674FE"/>
    <w:rsid w:val="00C700B5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CC2"/>
    <w:rsid w:val="00E14494"/>
    <w:rsid w:val="00E17033"/>
    <w:rsid w:val="00E22744"/>
    <w:rsid w:val="00E32189"/>
    <w:rsid w:val="00E36CB4"/>
    <w:rsid w:val="00E45211"/>
    <w:rsid w:val="00E56D8F"/>
    <w:rsid w:val="00E64F7A"/>
    <w:rsid w:val="00E70D6A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7A1D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6A67F08-C8EA-4288-9B39-419554D6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20chn.org/hywj/dncgwj/201609/t20160920_347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WG-SFP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6DD81-79FE-46A5-A68E-C44F39D3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PA_CWG-SFP3.dotx</Template>
  <TotalTime>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Imad RIZ</cp:lastModifiedBy>
  <cp:revision>11</cp:revision>
  <cp:lastPrinted>2016-06-07T13:25:00Z</cp:lastPrinted>
  <dcterms:created xsi:type="dcterms:W3CDTF">2018-01-11T16:19:00Z</dcterms:created>
  <dcterms:modified xsi:type="dcterms:W3CDTF">2018-01-11T16:25:00Z</dcterms:modified>
  <cp:category>Conference document</cp:category>
</cp:coreProperties>
</file>