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7B5254" w:rsidP="007B5254">
            <w:pPr>
              <w:spacing w:before="240" w:after="48"/>
              <w:rPr>
                <w:rFonts w:asciiTheme="minorHAnsi" w:hAnsiTheme="minorHAnsi"/>
                <w:b/>
                <w:position w:val="6"/>
                <w:sz w:val="30"/>
                <w:szCs w:val="30"/>
              </w:rPr>
            </w:pPr>
            <w:bookmarkStart w:id="0" w:name="dc06"/>
            <w:bookmarkStart w:id="1" w:name="_GoBack"/>
            <w:bookmarkEnd w:id="0"/>
            <w:bookmarkEnd w:id="1"/>
            <w:r>
              <w:rPr>
                <w:rFonts w:asciiTheme="minorHAnsi" w:hAnsiTheme="minorHAnsi"/>
                <w:b/>
                <w:position w:val="6"/>
                <w:sz w:val="30"/>
                <w:szCs w:val="30"/>
              </w:rPr>
              <w:t>Expert</w:t>
            </w:r>
            <w:r w:rsidR="000F2E67" w:rsidRPr="000F2E67">
              <w:rPr>
                <w:rFonts w:asciiTheme="minorHAnsi" w:hAnsiTheme="minorHAnsi"/>
                <w:b/>
                <w:position w:val="6"/>
                <w:sz w:val="30"/>
                <w:szCs w:val="30"/>
              </w:rPr>
              <w:t xml:space="preserve"> Group on </w:t>
            </w:r>
            <w:r>
              <w:rPr>
                <w:rFonts w:asciiTheme="minorHAnsi" w:hAnsiTheme="minorHAnsi"/>
                <w:b/>
                <w:position w:val="6"/>
                <w:sz w:val="30"/>
                <w:szCs w:val="30"/>
              </w:rPr>
              <w:t xml:space="preserve">the </w:t>
            </w:r>
            <w:r>
              <w:rPr>
                <w:rFonts w:asciiTheme="minorHAnsi" w:hAnsiTheme="minorHAnsi"/>
                <w:b/>
                <w:position w:val="6"/>
                <w:sz w:val="30"/>
                <w:szCs w:val="30"/>
              </w:rPr>
              <w:br/>
            </w:r>
            <w:r w:rsidR="001B506B">
              <w:rPr>
                <w:rFonts w:asciiTheme="minorHAnsi" w:hAnsiTheme="minorHAnsi"/>
                <w:b/>
                <w:position w:val="6"/>
                <w:sz w:val="30"/>
                <w:szCs w:val="30"/>
              </w:rPr>
              <w:t>International</w:t>
            </w:r>
            <w:r>
              <w:rPr>
                <w:rFonts w:asciiTheme="minorHAnsi" w:hAnsiTheme="minorHAnsi"/>
                <w:b/>
                <w:position w:val="6"/>
                <w:sz w:val="30"/>
                <w:szCs w:val="30"/>
              </w:rPr>
              <w:t xml:space="preserve"> Telecommunication Regulations</w:t>
            </w:r>
          </w:p>
          <w:p w:rsidR="005F153A" w:rsidRPr="00D613F6" w:rsidRDefault="007B5254" w:rsidP="00DE6AB7">
            <w:pPr>
              <w:spacing w:after="120"/>
              <w:rPr>
                <w:rFonts w:asciiTheme="minorHAnsi" w:hAnsiTheme="minorHAnsi"/>
                <w:b/>
                <w:position w:val="6"/>
                <w:sz w:val="26"/>
                <w:szCs w:val="26"/>
              </w:rPr>
            </w:pPr>
            <w:r>
              <w:rPr>
                <w:rFonts w:asciiTheme="minorHAnsi" w:hAnsiTheme="minorHAnsi" w:cs="Times New Roman Bold"/>
                <w:b/>
                <w:sz w:val="24"/>
              </w:rPr>
              <w:t>Third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sidR="00DE6AB7">
              <w:rPr>
                <w:rFonts w:asciiTheme="minorHAnsi" w:hAnsiTheme="minorHAnsi" w:cs="Times New Roman Bold"/>
                <w:b/>
                <w:sz w:val="24"/>
              </w:rPr>
              <w:t>17-19</w:t>
            </w:r>
            <w:r w:rsidR="000F2E67" w:rsidRPr="000F2E67">
              <w:rPr>
                <w:rFonts w:asciiTheme="minorHAnsi" w:hAnsiTheme="minorHAnsi" w:cs="Times New Roman Bold"/>
                <w:b/>
                <w:sz w:val="24"/>
              </w:rPr>
              <w:t xml:space="preserve"> </w:t>
            </w:r>
            <w:r w:rsidR="00DE6AB7">
              <w:rPr>
                <w:rFonts w:asciiTheme="minorHAnsi" w:hAnsiTheme="minorHAnsi" w:cs="Times New Roman Bold"/>
                <w:b/>
                <w:sz w:val="24"/>
              </w:rPr>
              <w:t>January 2018</w:t>
            </w:r>
          </w:p>
        </w:tc>
        <w:tc>
          <w:tcPr>
            <w:tcW w:w="3793" w:type="dxa"/>
          </w:tcPr>
          <w:p w:rsidR="005F153A" w:rsidRPr="00D613F6" w:rsidRDefault="005F153A" w:rsidP="001B506B">
            <w:pPr>
              <w:spacing w:before="120" w:line="240" w:lineRule="atLeast"/>
            </w:pPr>
            <w:bookmarkStart w:id="2" w:name="ditulogo"/>
            <w:bookmarkEnd w:id="2"/>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1B506B"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3" w:name="dmeeting" w:colFirst="0" w:colLast="0"/>
            <w:bookmarkStart w:id="4" w:name="dnum" w:colFirst="1" w:colLast="1"/>
          </w:p>
        </w:tc>
        <w:tc>
          <w:tcPr>
            <w:tcW w:w="3793" w:type="dxa"/>
          </w:tcPr>
          <w:p w:rsidR="005F153A" w:rsidRPr="000F2E67" w:rsidRDefault="005F153A" w:rsidP="007223F0">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7B5254">
              <w:rPr>
                <w:rFonts w:asciiTheme="minorHAnsi" w:hAnsiTheme="minorHAnsi" w:cs="Times New Roman Bold"/>
                <w:b/>
                <w:spacing w:val="-4"/>
                <w:sz w:val="24"/>
                <w:lang w:val="de-CH"/>
              </w:rPr>
              <w:t>EG-ITRs</w:t>
            </w:r>
            <w:r w:rsidR="00DE6AB7">
              <w:rPr>
                <w:rFonts w:asciiTheme="minorHAnsi" w:hAnsiTheme="minorHAnsi" w:cs="Times New Roman Bold"/>
                <w:b/>
                <w:spacing w:val="-4"/>
                <w:sz w:val="24"/>
                <w:lang w:val="de-CH"/>
              </w:rPr>
              <w:t>-</w:t>
            </w:r>
            <w:r w:rsidR="007B5254">
              <w:rPr>
                <w:rFonts w:asciiTheme="minorHAnsi" w:hAnsiTheme="minorHAnsi" w:cs="Times New Roman Bold"/>
                <w:b/>
                <w:spacing w:val="-4"/>
                <w:sz w:val="24"/>
                <w:lang w:val="de-CH"/>
              </w:rPr>
              <w:t>3</w:t>
            </w:r>
            <w:r w:rsidRPr="000F2E67">
              <w:rPr>
                <w:rFonts w:asciiTheme="minorHAnsi" w:hAnsiTheme="minorHAnsi" w:cs="Times New Roman Bold"/>
                <w:b/>
                <w:spacing w:val="-4"/>
                <w:sz w:val="24"/>
                <w:lang w:val="de-CH"/>
              </w:rPr>
              <w:t>/</w:t>
            </w:r>
            <w:r w:rsidR="007223F0">
              <w:rPr>
                <w:rFonts w:asciiTheme="minorHAnsi" w:hAnsiTheme="minorHAnsi" w:cs="Times New Roman Bold"/>
                <w:b/>
                <w:spacing w:val="-4"/>
                <w:sz w:val="24"/>
                <w:lang w:val="de-CH"/>
              </w:rPr>
              <w:t>6</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5" w:name="ddate" w:colFirst="1" w:colLast="1"/>
            <w:bookmarkEnd w:id="3"/>
            <w:bookmarkEnd w:id="4"/>
          </w:p>
        </w:tc>
        <w:tc>
          <w:tcPr>
            <w:tcW w:w="3793" w:type="dxa"/>
          </w:tcPr>
          <w:p w:rsidR="005F153A" w:rsidRPr="000F2E67" w:rsidRDefault="004154E9" w:rsidP="007223F0">
            <w:pPr>
              <w:snapToGrid w:val="0"/>
              <w:ind w:left="57"/>
              <w:rPr>
                <w:rFonts w:asciiTheme="minorHAnsi" w:hAnsiTheme="minorHAnsi"/>
                <w:b/>
                <w:sz w:val="24"/>
              </w:rPr>
            </w:pPr>
            <w:r>
              <w:rPr>
                <w:rFonts w:asciiTheme="minorHAnsi" w:hAnsiTheme="minorHAnsi"/>
                <w:b/>
                <w:sz w:val="24"/>
              </w:rPr>
              <w:t>2</w:t>
            </w:r>
            <w:r w:rsidR="007223F0">
              <w:rPr>
                <w:rFonts w:asciiTheme="minorHAnsi" w:hAnsiTheme="minorHAnsi"/>
                <w:b/>
                <w:sz w:val="24"/>
              </w:rPr>
              <w:t>6</w:t>
            </w:r>
            <w:r>
              <w:rPr>
                <w:rFonts w:asciiTheme="minorHAnsi" w:hAnsiTheme="minorHAnsi"/>
                <w:b/>
                <w:sz w:val="24"/>
              </w:rPr>
              <w:t xml:space="preserve"> December 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rsidR="005F153A" w:rsidRPr="000F2E67" w:rsidRDefault="007B5254" w:rsidP="000F2E67">
            <w:pPr>
              <w:snapToGrid w:val="0"/>
              <w:ind w:left="57"/>
              <w:rPr>
                <w:rFonts w:asciiTheme="minorHAnsi" w:hAnsiTheme="minorHAnsi"/>
                <w:b/>
                <w:sz w:val="24"/>
              </w:rPr>
            </w:pPr>
            <w:r>
              <w:rPr>
                <w:rFonts w:asciiTheme="minorHAnsi" w:hAnsiTheme="minorHAnsi"/>
                <w:b/>
                <w:sz w:val="24"/>
              </w:rPr>
              <w:t>Original: English</w:t>
            </w:r>
          </w:p>
        </w:tc>
      </w:tr>
    </w:tbl>
    <w:bookmarkEnd w:id="6"/>
    <w:p w:rsidR="004154E9" w:rsidRDefault="007223F0" w:rsidP="004154E9">
      <w:pPr>
        <w:spacing w:before="840" w:after="120"/>
        <w:jc w:val="center"/>
        <w:rPr>
          <w:rFonts w:asciiTheme="minorHAnsi" w:eastAsiaTheme="minorEastAsia" w:hAnsiTheme="minorHAnsi"/>
          <w:b/>
          <w:sz w:val="28"/>
          <w:szCs w:val="32"/>
          <w:lang w:eastAsia="ja-JP"/>
        </w:rPr>
      </w:pPr>
      <w:r>
        <w:rPr>
          <w:rFonts w:asciiTheme="minorHAnsi" w:hAnsiTheme="minorHAnsi"/>
          <w:b/>
          <w:sz w:val="28"/>
          <w:szCs w:val="32"/>
        </w:rPr>
        <w:t>Portugal</w:t>
      </w:r>
    </w:p>
    <w:p w:rsidR="00AF50A8" w:rsidRDefault="007223F0" w:rsidP="007223F0">
      <w:pPr>
        <w:pStyle w:val="Title1"/>
        <w:spacing w:before="360"/>
        <w:rPr>
          <w:caps/>
          <w:sz w:val="28"/>
          <w:szCs w:val="36"/>
        </w:rPr>
      </w:pPr>
      <w:r>
        <w:rPr>
          <w:caps/>
          <w:sz w:val="28"/>
          <w:szCs w:val="36"/>
        </w:rPr>
        <w:t>CONTRIBUTION</w:t>
      </w:r>
      <w:r w:rsidR="004625E8" w:rsidRPr="004625E8">
        <w:rPr>
          <w:caps/>
          <w:sz w:val="28"/>
          <w:szCs w:val="36"/>
        </w:rPr>
        <w:t xml:space="preserve"> to the third meeting of the expert group on the international telecommunication regulations (eg-itrs)</w:t>
      </w:r>
    </w:p>
    <w:p w:rsidR="007223F0" w:rsidRDefault="007223F0" w:rsidP="004625E8">
      <w:pPr>
        <w:pStyle w:val="Title1"/>
        <w:rPr>
          <w:caps/>
          <w:sz w:val="28"/>
          <w:szCs w:val="36"/>
        </w:rPr>
      </w:pPr>
    </w:p>
    <w:p w:rsidR="007223F0" w:rsidRPr="007223F0" w:rsidRDefault="007223F0" w:rsidP="007223F0">
      <w:pPr>
        <w:pBdr>
          <w:top w:val="single" w:sz="4" w:space="1" w:color="auto"/>
          <w:left w:val="single" w:sz="4" w:space="4" w:color="auto"/>
          <w:bottom w:val="single" w:sz="4" w:space="1" w:color="auto"/>
          <w:right w:val="single" w:sz="4" w:space="4" w:color="auto"/>
        </w:pBdr>
        <w:tabs>
          <w:tab w:val="left" w:pos="794"/>
          <w:tab w:val="left" w:pos="1418"/>
        </w:tabs>
        <w:jc w:val="both"/>
        <w:rPr>
          <w:rFonts w:asciiTheme="minorHAnsi" w:hAnsiTheme="minorHAnsi" w:cs="Calibri"/>
          <w:sz w:val="24"/>
        </w:rPr>
      </w:pPr>
      <w:r w:rsidRPr="007223F0">
        <w:rPr>
          <w:rFonts w:asciiTheme="minorHAnsi" w:hAnsiTheme="minorHAnsi"/>
          <w:sz w:val="24"/>
        </w:rPr>
        <w:t>This document has been developed and agreed within the framework of Committee for ITU Policy (Com-ITU) of European Conference of Postal and Telecommunications Administrations (CEPT)</w:t>
      </w:r>
    </w:p>
    <w:p w:rsidR="007223F0" w:rsidRDefault="007223F0" w:rsidP="004625E8">
      <w:pPr>
        <w:pStyle w:val="Title1"/>
        <w:rPr>
          <w:caps/>
          <w:sz w:val="28"/>
          <w:szCs w:val="36"/>
        </w:rPr>
      </w:pPr>
    </w:p>
    <w:p w:rsidR="007223F0" w:rsidRDefault="007223F0">
      <w:pPr>
        <w:rPr>
          <w:rFonts w:asciiTheme="minorHAnsi" w:hAnsiTheme="minorHAnsi"/>
          <w:caps/>
          <w:sz w:val="28"/>
          <w:szCs w:val="36"/>
        </w:rPr>
      </w:pPr>
      <w:r>
        <w:rPr>
          <w:caps/>
          <w:sz w:val="28"/>
          <w:szCs w:val="36"/>
        </w:rPr>
        <w:br w:type="page"/>
      </w:r>
    </w:p>
    <w:p w:rsidR="007223F0" w:rsidRPr="007223F0" w:rsidRDefault="007223F0" w:rsidP="007223F0">
      <w:pPr>
        <w:spacing w:line="280" w:lineRule="atLeast"/>
        <w:jc w:val="center"/>
        <w:rPr>
          <w:rFonts w:asciiTheme="minorHAnsi" w:eastAsia="Arial" w:hAnsiTheme="minorHAnsi" w:cs="Arial"/>
          <w:bCs/>
          <w:spacing w:val="-1"/>
          <w:sz w:val="28"/>
          <w:szCs w:val="28"/>
        </w:rPr>
      </w:pPr>
      <w:r w:rsidRPr="007223F0">
        <w:rPr>
          <w:rFonts w:asciiTheme="minorHAnsi" w:hAnsiTheme="minorHAnsi"/>
          <w:bCs/>
          <w:sz w:val="28"/>
          <w:szCs w:val="28"/>
        </w:rPr>
        <w:lastRenderedPageBreak/>
        <w:t>CONTRIBUTION TO THE THIRD MEETING OF THE EXPERT GROUPS ON THE ITRs</w:t>
      </w:r>
    </w:p>
    <w:p w:rsidR="007223F0" w:rsidRPr="007223F0" w:rsidRDefault="007223F0" w:rsidP="007223F0">
      <w:pPr>
        <w:spacing w:line="280" w:lineRule="atLeast"/>
        <w:jc w:val="center"/>
        <w:rPr>
          <w:rFonts w:asciiTheme="minorHAnsi" w:hAnsiTheme="minorHAnsi"/>
          <w:sz w:val="24"/>
        </w:rPr>
      </w:pPr>
    </w:p>
    <w:p w:rsidR="007223F0" w:rsidRPr="007223F0" w:rsidRDefault="007223F0" w:rsidP="007223F0">
      <w:pPr>
        <w:spacing w:before="240" w:line="280" w:lineRule="atLeast"/>
        <w:jc w:val="both"/>
        <w:rPr>
          <w:rFonts w:asciiTheme="minorHAnsi" w:hAnsiTheme="minorHAnsi"/>
          <w:sz w:val="24"/>
        </w:rPr>
      </w:pPr>
      <w:r w:rsidRPr="007223F0">
        <w:rPr>
          <w:rFonts w:asciiTheme="minorHAnsi" w:hAnsiTheme="minorHAnsi"/>
          <w:sz w:val="24"/>
        </w:rPr>
        <w:t xml:space="preserve">Europe is thankful to the efforts of the Chair and the entire Management Team of the EG-ITRs in successfully fulfilling the mandate of the Group and also to all ITU Members who took part in, or made contributions to the EG-ITRs. </w:t>
      </w:r>
    </w:p>
    <w:p w:rsidR="007223F0" w:rsidRPr="007223F0" w:rsidRDefault="007223F0" w:rsidP="007223F0">
      <w:pPr>
        <w:spacing w:before="240"/>
        <w:jc w:val="both"/>
        <w:rPr>
          <w:rFonts w:asciiTheme="minorHAnsi" w:hAnsiTheme="minorHAnsi"/>
          <w:sz w:val="24"/>
        </w:rPr>
      </w:pPr>
      <w:r w:rsidRPr="007223F0">
        <w:rPr>
          <w:rFonts w:asciiTheme="minorHAnsi" w:hAnsiTheme="minorHAnsi"/>
          <w:sz w:val="24"/>
        </w:rPr>
        <w:t>Considering the difference of opinions expressed by member states and also operators on the applicability and usefulness of the 1988 ITRs and 2012 ITRs, it is found counterproductive, at present and in the near future, to hold a WCIT.</w:t>
      </w:r>
    </w:p>
    <w:p w:rsidR="007223F0" w:rsidRPr="007223F0" w:rsidRDefault="007223F0" w:rsidP="007223F0">
      <w:pPr>
        <w:spacing w:before="240"/>
        <w:jc w:val="both"/>
        <w:rPr>
          <w:rFonts w:asciiTheme="minorHAnsi" w:hAnsiTheme="minorHAnsi"/>
          <w:sz w:val="24"/>
        </w:rPr>
      </w:pPr>
      <w:r w:rsidRPr="007223F0">
        <w:rPr>
          <w:rFonts w:asciiTheme="minorHAnsi" w:hAnsiTheme="minorHAnsi"/>
          <w:sz w:val="24"/>
        </w:rPr>
        <w:t xml:space="preserve">For further examination of the matter, Europe considers the analysis made by Brazil (doc 2/4) and Mexico (doc 2/14) as being particularly valuable. </w:t>
      </w:r>
    </w:p>
    <w:p w:rsidR="007223F0" w:rsidRPr="007223F0" w:rsidRDefault="007223F0" w:rsidP="007223F0">
      <w:pPr>
        <w:spacing w:before="240"/>
        <w:jc w:val="both"/>
        <w:rPr>
          <w:rFonts w:asciiTheme="minorHAnsi" w:hAnsiTheme="minorHAnsi"/>
          <w:sz w:val="24"/>
        </w:rPr>
      </w:pPr>
      <w:r w:rsidRPr="007223F0">
        <w:rPr>
          <w:rFonts w:asciiTheme="minorHAnsi" w:hAnsiTheme="minorHAnsi"/>
          <w:sz w:val="24"/>
        </w:rPr>
        <w:t>We are confident in the Chairman’s competence to complete in the assigned time the activity of the Expert Group.</w:t>
      </w:r>
    </w:p>
    <w:p w:rsidR="007223F0" w:rsidRPr="007223F0" w:rsidRDefault="007223F0" w:rsidP="007223F0">
      <w:pPr>
        <w:spacing w:line="280" w:lineRule="atLeast"/>
        <w:jc w:val="both"/>
        <w:rPr>
          <w:rFonts w:asciiTheme="minorHAnsi" w:eastAsia="Calibri" w:hAnsiTheme="minorHAnsi"/>
          <w:color w:val="000000"/>
          <w:sz w:val="24"/>
        </w:rPr>
      </w:pPr>
    </w:p>
    <w:p w:rsidR="007223F0" w:rsidRDefault="007223F0" w:rsidP="004625E8">
      <w:pPr>
        <w:pStyle w:val="Title1"/>
        <w:rPr>
          <w:caps/>
          <w:sz w:val="28"/>
          <w:szCs w:val="36"/>
        </w:rPr>
      </w:pPr>
    </w:p>
    <w:p w:rsidR="007223F0" w:rsidRPr="007223F0" w:rsidRDefault="007223F0" w:rsidP="007223F0">
      <w:pPr>
        <w:pStyle w:val="Title1"/>
        <w:rPr>
          <w:caps/>
          <w:sz w:val="28"/>
          <w:szCs w:val="36"/>
          <w:u w:val="single"/>
        </w:rPr>
      </w:pPr>
      <w:r w:rsidRPr="007223F0">
        <w:rPr>
          <w:caps/>
          <w:sz w:val="28"/>
          <w:szCs w:val="36"/>
          <w:u w:val="single"/>
        </w:rPr>
        <w:t>                         </w:t>
      </w:r>
    </w:p>
    <w:sectPr w:rsidR="007223F0" w:rsidRPr="007223F0" w:rsidSect="0056246D">
      <w:headerReference w:type="default" r:id="rId12"/>
      <w:pgSz w:w="11901" w:h="16840" w:code="9"/>
      <w:pgMar w:top="1418" w:right="1077" w:bottom="851" w:left="1077" w:header="142"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C9" w:rsidRDefault="00D27EC9">
      <w:r>
        <w:separator/>
      </w:r>
    </w:p>
  </w:endnote>
  <w:endnote w:type="continuationSeparator" w:id="0">
    <w:p w:rsidR="00D27EC9" w:rsidRDefault="00D27EC9">
      <w:r>
        <w:continuationSeparator/>
      </w:r>
    </w:p>
  </w:endnote>
  <w:endnote w:type="continuationNotice" w:id="1">
    <w:p w:rsidR="00D27EC9" w:rsidRDefault="00D27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C9" w:rsidRDefault="00D27EC9">
      <w:r>
        <w:separator/>
      </w:r>
    </w:p>
  </w:footnote>
  <w:footnote w:type="continuationSeparator" w:id="0">
    <w:p w:rsidR="00D27EC9" w:rsidRDefault="00D27EC9">
      <w:r>
        <w:continuationSeparator/>
      </w:r>
    </w:p>
  </w:footnote>
  <w:footnote w:type="continuationNotice" w:id="1">
    <w:p w:rsidR="00D27EC9" w:rsidRDefault="00D27E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46D" w:rsidRPr="0056246D" w:rsidRDefault="0056246D" w:rsidP="0056246D">
    <w:pPr>
      <w:pStyle w:val="Header"/>
      <w:jc w:val="center"/>
      <w:rPr>
        <w:rFonts w:asciiTheme="minorHAnsi" w:hAnsiTheme="minorHAnsi"/>
      </w:rPr>
    </w:pPr>
    <w:r w:rsidRPr="0056246D">
      <w:rPr>
        <w:rFonts w:asciiTheme="minorHAnsi" w:hAnsiTheme="minorHAnsi"/>
      </w:rPr>
      <w:fldChar w:fldCharType="begin"/>
    </w:r>
    <w:r w:rsidRPr="0056246D">
      <w:rPr>
        <w:rFonts w:asciiTheme="minorHAnsi" w:hAnsiTheme="minorHAnsi"/>
      </w:rPr>
      <w:instrText xml:space="preserve"> PAGE   \* MERGEFORMAT </w:instrText>
    </w:r>
    <w:r w:rsidRPr="0056246D">
      <w:rPr>
        <w:rFonts w:asciiTheme="minorHAnsi" w:hAnsiTheme="minorHAnsi"/>
      </w:rPr>
      <w:fldChar w:fldCharType="separate"/>
    </w:r>
    <w:r w:rsidR="007E033E">
      <w:rPr>
        <w:rFonts w:asciiTheme="minorHAnsi" w:hAnsiTheme="minorHAnsi"/>
        <w:noProof/>
      </w:rPr>
      <w:t>2</w:t>
    </w:r>
    <w:r w:rsidRPr="0056246D">
      <w:rPr>
        <w:rFonts w:asciiTheme="minorHAnsi" w:hAnsiTheme="minorHAnsi"/>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44878"/>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26DAD"/>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220A7"/>
    <w:rsid w:val="003250E1"/>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54E9"/>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25E8"/>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246D"/>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37B8"/>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23F0"/>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A72FA"/>
    <w:rsid w:val="007B1D6C"/>
    <w:rsid w:val="007B3243"/>
    <w:rsid w:val="007B3BF2"/>
    <w:rsid w:val="007B5254"/>
    <w:rsid w:val="007B7E45"/>
    <w:rsid w:val="007C05A7"/>
    <w:rsid w:val="007C102C"/>
    <w:rsid w:val="007C34B0"/>
    <w:rsid w:val="007C5CDF"/>
    <w:rsid w:val="007C7752"/>
    <w:rsid w:val="007E033E"/>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25837"/>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B661F"/>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27EC9"/>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29"/>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699BFAAD-14B9-4E79-AC00-E37EDAA7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Title1">
    <w:name w:val="Title 1"/>
    <w:basedOn w:val="Normal"/>
    <w:rsid w:val="004625E8"/>
    <w:pPr>
      <w:spacing w:before="120" w:after="360"/>
      <w:jc w:val="center"/>
    </w:pPr>
    <w:rPr>
      <w:rFonts w:asciiTheme="minorHAnsi" w:hAnsiTheme="minorHAns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BED514-5DD2-423E-A6D5-41F8E60FBD49}">
  <ds:schemaRefs>
    <ds:schemaRef ds:uri="http://schemas.openxmlformats.org/officeDocument/2006/bibliography"/>
  </ds:schemaRefs>
</ds:datastoreItem>
</file>

<file path=customXml/itemProps5.xml><?xml version="1.0" encoding="utf-8"?>
<ds:datastoreItem xmlns:ds="http://schemas.openxmlformats.org/officeDocument/2006/customXml" ds:itemID="{CC9FB3FB-BE0A-4B3A-97B0-A9F36C0C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1116</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Contribution by KDDI (Japan)</vt:lpstr>
      <vt:lpstr>ITU Normal.dot</vt:lpstr>
    </vt:vector>
  </TitlesOfParts>
  <Company>ITU</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Portugal</dc:title>
  <dc:subject>Expert Group on the International Telecommunication Regulations</dc:subject>
  <dc:creator>Brouard, Ricarda</dc:creator>
  <cp:keywords>EG-ITRs</cp:keywords>
  <cp:lastModifiedBy>Janin</cp:lastModifiedBy>
  <cp:revision>4</cp:revision>
  <cp:lastPrinted>2013-07-15T09:23:00Z</cp:lastPrinted>
  <dcterms:created xsi:type="dcterms:W3CDTF">2018-01-03T07:17:00Z</dcterms:created>
  <dcterms:modified xsi:type="dcterms:W3CDTF">2018-01-03T07:24:00Z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