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C30A04" w14:paraId="65E13872" w14:textId="77777777" w:rsidTr="00322105">
        <w:trPr>
          <w:cantSplit/>
        </w:trPr>
        <w:tc>
          <w:tcPr>
            <w:tcW w:w="6629" w:type="dxa"/>
          </w:tcPr>
          <w:p w14:paraId="4E22A020" w14:textId="14BD24AA" w:rsidR="00CA4E38" w:rsidRPr="00BF4B40" w:rsidRDefault="00CA4E38" w:rsidP="00084C8E">
            <w:pPr>
              <w:spacing w:before="240" w:after="48"/>
              <w:rPr>
                <w:rFonts w:ascii="Calibri" w:hAnsi="Calibri"/>
                <w:b/>
                <w:position w:val="6"/>
                <w:sz w:val="30"/>
                <w:szCs w:val="30"/>
                <w:lang w:val="en-US" w:eastAsia="zh-CN"/>
              </w:rPr>
            </w:pPr>
            <w:bookmarkStart w:id="0" w:name="dsource" w:colFirst="0" w:colLast="0"/>
            <w:r w:rsidRPr="00BF4B40">
              <w:rPr>
                <w:rFonts w:ascii="Calibri" w:hAnsi="Calibri"/>
                <w:b/>
                <w:position w:val="6"/>
                <w:sz w:val="30"/>
                <w:szCs w:val="30"/>
                <w:lang w:val="en-US" w:eastAsia="zh-CN"/>
              </w:rPr>
              <w:t xml:space="preserve">Council </w:t>
            </w:r>
            <w:r w:rsidR="00084C8E">
              <w:rPr>
                <w:rFonts w:ascii="Calibri" w:hAnsi="Calibri"/>
                <w:b/>
                <w:position w:val="6"/>
                <w:sz w:val="30"/>
                <w:szCs w:val="30"/>
                <w:lang w:val="en-US" w:eastAsia="zh-CN"/>
              </w:rPr>
              <w:t>Expert Group on</w:t>
            </w:r>
            <w:r w:rsidR="00084C8E">
              <w:rPr>
                <w:rFonts w:ascii="Calibri" w:hAnsi="Calibri"/>
                <w:b/>
                <w:position w:val="6"/>
                <w:sz w:val="30"/>
                <w:szCs w:val="30"/>
                <w:lang w:val="en-US" w:eastAsia="zh-CN"/>
              </w:rPr>
              <w:br/>
              <w:t>Council Decision 482</w:t>
            </w:r>
          </w:p>
          <w:p w14:paraId="0387EB75" w14:textId="71A4AEC6" w:rsidR="00C30A04" w:rsidRPr="007057DB" w:rsidRDefault="00084C8E" w:rsidP="00084C8E">
            <w:pPr>
              <w:spacing w:after="48"/>
              <w:rPr>
                <w:rFonts w:ascii="Calibri" w:hAnsi="Calibri"/>
                <w:b/>
                <w:position w:val="6"/>
                <w:sz w:val="26"/>
                <w:szCs w:val="26"/>
              </w:rPr>
            </w:pPr>
            <w:r>
              <w:rPr>
                <w:rFonts w:ascii="Calibri" w:hAnsi="Calibri" w:cs="Times New Roman Bold"/>
                <w:b/>
                <w:lang w:val="en-US" w:eastAsia="zh-CN"/>
              </w:rPr>
              <w:t xml:space="preserve">First </w:t>
            </w:r>
            <w:r w:rsidR="00CA4E38" w:rsidRPr="00BF4B40">
              <w:rPr>
                <w:rFonts w:ascii="Calibri" w:hAnsi="Calibri" w:cs="Times New Roman Bold"/>
                <w:b/>
                <w:lang w:val="en-US" w:eastAsia="zh-CN"/>
              </w:rPr>
              <w:t xml:space="preserve">meeting </w:t>
            </w:r>
            <w:r w:rsidR="00CA4E38" w:rsidRPr="00BF4B40">
              <w:rPr>
                <w:rFonts w:ascii="Calibri" w:eastAsia="Calibri" w:hAnsi="Calibri" w:cs="Calibri"/>
                <w:b/>
                <w:color w:val="000000"/>
                <w:lang w:val="en-US" w:eastAsia="zh-CN"/>
              </w:rPr>
              <w:t>–</w:t>
            </w:r>
            <w:r w:rsidR="00CA4E38" w:rsidRPr="00BF4B40">
              <w:rPr>
                <w:rFonts w:ascii="Calibri" w:hAnsi="Calibri" w:cs="Times New Roman Bold"/>
                <w:b/>
                <w:lang w:val="en-US" w:eastAsia="zh-CN"/>
              </w:rPr>
              <w:t xml:space="preserve"> Geneva, </w:t>
            </w:r>
            <w:r>
              <w:rPr>
                <w:rFonts w:ascii="Calibri" w:hAnsi="Calibri" w:cs="Times New Roman Bold"/>
                <w:b/>
                <w:lang w:val="en-US" w:eastAsia="zh-CN"/>
              </w:rPr>
              <w:t>27-28 September 2018</w:t>
            </w:r>
          </w:p>
        </w:tc>
        <w:tc>
          <w:tcPr>
            <w:tcW w:w="3685" w:type="dxa"/>
          </w:tcPr>
          <w:p w14:paraId="10609FDA" w14:textId="77777777" w:rsidR="00C30A04" w:rsidRPr="0020628E" w:rsidRDefault="00C30A04" w:rsidP="00322105">
            <w:pPr>
              <w:spacing w:line="240" w:lineRule="atLeast"/>
            </w:pPr>
            <w:bookmarkStart w:id="1" w:name="ditulogo"/>
            <w:bookmarkEnd w:id="1"/>
            <w:r w:rsidRPr="00C92992">
              <w:rPr>
                <w:rFonts w:ascii="Calibri" w:eastAsia="Times New Roman" w:hAnsi="Calibri"/>
                <w:noProof/>
                <w:lang w:val="en-US" w:eastAsia="zh-CN"/>
              </w:rPr>
              <w:drawing>
                <wp:inline distT="0" distB="0" distL="0" distR="0" wp14:anchorId="6A5F0C87" wp14:editId="5B7082B7">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C30A04" w:rsidRPr="00617BE4" w14:paraId="71448199" w14:textId="77777777" w:rsidTr="00322105">
        <w:trPr>
          <w:cantSplit/>
        </w:trPr>
        <w:tc>
          <w:tcPr>
            <w:tcW w:w="6629" w:type="dxa"/>
            <w:tcBorders>
              <w:bottom w:val="single" w:sz="12" w:space="0" w:color="auto"/>
            </w:tcBorders>
          </w:tcPr>
          <w:p w14:paraId="0C3F6DD8" w14:textId="4C61F75A" w:rsidR="00C30A04" w:rsidRPr="00EA0725" w:rsidRDefault="00C30A04" w:rsidP="00322105">
            <w:pPr>
              <w:spacing w:after="48" w:line="240" w:lineRule="atLeast"/>
              <w:rPr>
                <w:rFonts w:ascii="Calibri" w:hAnsi="Calibri"/>
                <w:b/>
                <w:smallCaps/>
              </w:rPr>
            </w:pPr>
          </w:p>
        </w:tc>
        <w:tc>
          <w:tcPr>
            <w:tcW w:w="3685" w:type="dxa"/>
            <w:tcBorders>
              <w:bottom w:val="single" w:sz="12" w:space="0" w:color="auto"/>
            </w:tcBorders>
          </w:tcPr>
          <w:p w14:paraId="7865B7AE" w14:textId="77777777" w:rsidR="00C30A04" w:rsidRPr="00617BE4" w:rsidRDefault="00C30A04" w:rsidP="00322105">
            <w:pPr>
              <w:spacing w:line="240" w:lineRule="atLeast"/>
              <w:rPr>
                <w:rFonts w:ascii="Verdana" w:hAnsi="Verdana"/>
              </w:rPr>
            </w:pPr>
          </w:p>
        </w:tc>
      </w:tr>
      <w:tr w:rsidR="00C30A04" w:rsidRPr="00617BE4" w14:paraId="412E20F1" w14:textId="77777777" w:rsidTr="00322105">
        <w:trPr>
          <w:cantSplit/>
        </w:trPr>
        <w:tc>
          <w:tcPr>
            <w:tcW w:w="6629" w:type="dxa"/>
            <w:tcBorders>
              <w:top w:val="single" w:sz="12" w:space="0" w:color="auto"/>
            </w:tcBorders>
          </w:tcPr>
          <w:p w14:paraId="6C2CC04B" w14:textId="77777777" w:rsidR="00C30A04" w:rsidRPr="00617BE4" w:rsidRDefault="00C30A04" w:rsidP="00322105">
            <w:pPr>
              <w:spacing w:after="48" w:line="240" w:lineRule="atLeast"/>
              <w:rPr>
                <w:b/>
                <w:smallCaps/>
              </w:rPr>
            </w:pPr>
          </w:p>
        </w:tc>
        <w:tc>
          <w:tcPr>
            <w:tcW w:w="3685" w:type="dxa"/>
            <w:tcBorders>
              <w:top w:val="single" w:sz="12" w:space="0" w:color="auto"/>
            </w:tcBorders>
          </w:tcPr>
          <w:p w14:paraId="0BD9E4E0" w14:textId="77777777" w:rsidR="00C30A04" w:rsidRPr="00617BE4" w:rsidRDefault="00C30A04" w:rsidP="00322105">
            <w:pPr>
              <w:spacing w:line="240" w:lineRule="atLeast"/>
              <w:rPr>
                <w:rFonts w:ascii="Verdana" w:hAnsi="Verdana"/>
              </w:rPr>
            </w:pPr>
          </w:p>
        </w:tc>
      </w:tr>
      <w:tr w:rsidR="00C30A04" w:rsidRPr="0076679F" w14:paraId="375DDDC2" w14:textId="77777777" w:rsidTr="00322105">
        <w:trPr>
          <w:cantSplit/>
          <w:trHeight w:val="23"/>
        </w:trPr>
        <w:tc>
          <w:tcPr>
            <w:tcW w:w="6629" w:type="dxa"/>
            <w:vMerge w:val="restart"/>
          </w:tcPr>
          <w:p w14:paraId="21B2A6E7" w14:textId="77777777" w:rsidR="00C30A04" w:rsidRPr="007057DB" w:rsidRDefault="00C30A04" w:rsidP="00322105">
            <w:pPr>
              <w:tabs>
                <w:tab w:val="left" w:pos="851"/>
              </w:tabs>
              <w:spacing w:line="240" w:lineRule="atLeast"/>
              <w:rPr>
                <w:rFonts w:ascii="Calibri" w:hAnsi="Calibri"/>
                <w:b/>
              </w:rPr>
            </w:pPr>
            <w:bookmarkStart w:id="2" w:name="dmeeting" w:colFirst="0" w:colLast="0"/>
            <w:bookmarkStart w:id="3" w:name="dnum" w:colFirst="1" w:colLast="1"/>
          </w:p>
        </w:tc>
        <w:tc>
          <w:tcPr>
            <w:tcW w:w="3685" w:type="dxa"/>
          </w:tcPr>
          <w:p w14:paraId="5DB9AE3A" w14:textId="1B5CCB20" w:rsidR="00C30A04" w:rsidRPr="000A33FA" w:rsidRDefault="00CA4E38" w:rsidP="00084C8E">
            <w:pPr>
              <w:tabs>
                <w:tab w:val="left" w:pos="851"/>
              </w:tabs>
              <w:adjustRightInd w:val="0"/>
              <w:snapToGrid w:val="0"/>
              <w:rPr>
                <w:rFonts w:ascii="Calibri" w:hAnsi="Calibri"/>
                <w:b/>
                <w:lang w:val="de-CH"/>
              </w:rPr>
            </w:pPr>
            <w:r w:rsidRPr="000A33FA">
              <w:rPr>
                <w:rFonts w:ascii="Calibri" w:hAnsi="Calibri"/>
                <w:b/>
                <w:lang w:val="de-CH"/>
              </w:rPr>
              <w:t xml:space="preserve">Document </w:t>
            </w:r>
            <w:r w:rsidR="00084C8E">
              <w:rPr>
                <w:rFonts w:ascii="Calibri" w:hAnsi="Calibri"/>
                <w:b/>
                <w:lang w:val="de-CH"/>
              </w:rPr>
              <w:t>EG-D482-1/2</w:t>
            </w:r>
            <w:r w:rsidR="004802CF">
              <w:rPr>
                <w:rFonts w:ascii="Calibri" w:hAnsi="Calibri"/>
                <w:b/>
                <w:lang w:val="de-CH"/>
              </w:rPr>
              <w:t>-E</w:t>
            </w:r>
            <w:bookmarkStart w:id="4" w:name="_GoBack"/>
            <w:bookmarkEnd w:id="4"/>
          </w:p>
        </w:tc>
      </w:tr>
      <w:tr w:rsidR="00C30A04" w:rsidRPr="00E544AC" w14:paraId="0B87A638" w14:textId="77777777" w:rsidTr="00322105">
        <w:trPr>
          <w:cantSplit/>
          <w:trHeight w:val="23"/>
        </w:trPr>
        <w:tc>
          <w:tcPr>
            <w:tcW w:w="6629" w:type="dxa"/>
            <w:vMerge/>
          </w:tcPr>
          <w:p w14:paraId="27112A87" w14:textId="77777777" w:rsidR="00C30A04" w:rsidRPr="007057DB" w:rsidRDefault="00C30A04" w:rsidP="00322105">
            <w:pPr>
              <w:tabs>
                <w:tab w:val="left" w:pos="851"/>
              </w:tabs>
              <w:spacing w:line="240" w:lineRule="atLeast"/>
              <w:rPr>
                <w:rFonts w:ascii="Calibri" w:hAnsi="Calibri"/>
                <w:b/>
                <w:lang w:val="de-CH"/>
              </w:rPr>
            </w:pPr>
            <w:bookmarkStart w:id="5" w:name="ddate" w:colFirst="1" w:colLast="1"/>
            <w:bookmarkEnd w:id="2"/>
            <w:bookmarkEnd w:id="3"/>
          </w:p>
        </w:tc>
        <w:tc>
          <w:tcPr>
            <w:tcW w:w="3685" w:type="dxa"/>
          </w:tcPr>
          <w:p w14:paraId="589948B8" w14:textId="6DFFEA0C" w:rsidR="00C30A04" w:rsidRPr="008C17FD" w:rsidRDefault="00084C8E" w:rsidP="00084C8E">
            <w:pPr>
              <w:tabs>
                <w:tab w:val="left" w:pos="993"/>
              </w:tabs>
              <w:adjustRightInd w:val="0"/>
              <w:snapToGrid w:val="0"/>
              <w:rPr>
                <w:rFonts w:ascii="Calibri" w:hAnsi="Calibri"/>
                <w:b/>
              </w:rPr>
            </w:pPr>
            <w:r>
              <w:rPr>
                <w:rFonts w:ascii="Calibri" w:hAnsi="Calibri"/>
                <w:b/>
              </w:rPr>
              <w:t>14 September 2018</w:t>
            </w:r>
          </w:p>
        </w:tc>
      </w:tr>
      <w:tr w:rsidR="00C30A04" w:rsidRPr="00E544AC" w14:paraId="3FFA2A8A" w14:textId="77777777" w:rsidTr="00322105">
        <w:trPr>
          <w:cantSplit/>
          <w:trHeight w:val="80"/>
        </w:trPr>
        <w:tc>
          <w:tcPr>
            <w:tcW w:w="6629" w:type="dxa"/>
            <w:vMerge/>
          </w:tcPr>
          <w:p w14:paraId="6E0070FB" w14:textId="77777777" w:rsidR="00C30A04" w:rsidRPr="007057DB" w:rsidRDefault="00C30A04" w:rsidP="00322105">
            <w:pPr>
              <w:tabs>
                <w:tab w:val="left" w:pos="851"/>
              </w:tabs>
              <w:spacing w:line="240" w:lineRule="atLeast"/>
              <w:rPr>
                <w:rFonts w:ascii="Calibri" w:hAnsi="Calibri"/>
                <w:b/>
              </w:rPr>
            </w:pPr>
            <w:bookmarkStart w:id="6" w:name="dorlang" w:colFirst="1" w:colLast="1"/>
            <w:bookmarkEnd w:id="5"/>
          </w:p>
        </w:tc>
        <w:tc>
          <w:tcPr>
            <w:tcW w:w="3685" w:type="dxa"/>
          </w:tcPr>
          <w:p w14:paraId="21FB47B2" w14:textId="77777777" w:rsidR="00C30A04" w:rsidRPr="000A33FA" w:rsidRDefault="00C30A04" w:rsidP="00322105">
            <w:pPr>
              <w:tabs>
                <w:tab w:val="left" w:pos="993"/>
              </w:tabs>
              <w:adjustRightInd w:val="0"/>
              <w:snapToGrid w:val="0"/>
              <w:rPr>
                <w:rFonts w:ascii="Calibri" w:hAnsi="Calibri"/>
                <w:b/>
              </w:rPr>
            </w:pPr>
            <w:r w:rsidRPr="000A33FA">
              <w:rPr>
                <w:rFonts w:ascii="Calibri" w:hAnsi="Calibri"/>
                <w:b/>
              </w:rPr>
              <w:t>English only</w:t>
            </w:r>
          </w:p>
        </w:tc>
      </w:tr>
    </w:tbl>
    <w:bookmarkEnd w:id="0"/>
    <w:bookmarkEnd w:id="6"/>
    <w:p w14:paraId="0B18B605" w14:textId="03E8CE2B" w:rsidR="00CA4E38" w:rsidRDefault="00084C8E" w:rsidP="00CA4E38">
      <w:pPr>
        <w:pStyle w:val="Source"/>
      </w:pPr>
      <w:r>
        <w:t>United States of America</w:t>
      </w:r>
    </w:p>
    <w:p w14:paraId="3C5DEB1B" w14:textId="11AE651E" w:rsidR="003D0BC7" w:rsidRPr="0092536F" w:rsidRDefault="00084C8E" w:rsidP="0092536F">
      <w:pPr>
        <w:pStyle w:val="Title1"/>
        <w:rPr>
          <w:rFonts w:cs="Times New Roman Bold"/>
          <w:bCs/>
          <w:caps/>
          <w:sz w:val="32"/>
          <w:szCs w:val="32"/>
        </w:rPr>
      </w:pPr>
      <w:r w:rsidRPr="0092536F">
        <w:rPr>
          <w:caps/>
          <w:sz w:val="28"/>
          <w:szCs w:val="28"/>
        </w:rPr>
        <w:t>Working Document on NGSO Cost Recovery and draft revisions to</w:t>
      </w:r>
      <w:r w:rsidR="0092536F">
        <w:rPr>
          <w:caps/>
          <w:sz w:val="28"/>
          <w:szCs w:val="28"/>
        </w:rPr>
        <w:t> </w:t>
      </w:r>
      <w:r w:rsidRPr="0092536F">
        <w:rPr>
          <w:caps/>
          <w:sz w:val="28"/>
          <w:szCs w:val="28"/>
        </w:rPr>
        <w:t>Decision 482</w:t>
      </w:r>
    </w:p>
    <w:p w14:paraId="00638AFD" w14:textId="37343D43" w:rsidR="00084C8E" w:rsidRPr="00084C8E" w:rsidRDefault="00084C8E" w:rsidP="00084C8E">
      <w:pPr>
        <w:pStyle w:val="Heading1"/>
        <w:keepNext w:val="0"/>
        <w:keepLines w:val="0"/>
        <w:spacing w:before="560" w:after="120"/>
        <w:ind w:left="418" w:hanging="418"/>
        <w:rPr>
          <w:rFonts w:asciiTheme="minorHAnsi" w:hAnsiTheme="minorHAnsi" w:cs="Times New Roman"/>
        </w:rPr>
      </w:pPr>
      <w:r>
        <w:rPr>
          <w:rFonts w:asciiTheme="minorHAnsi" w:hAnsiTheme="minorHAnsi" w:cs="Times New Roman"/>
        </w:rPr>
        <w:t>1</w:t>
      </w:r>
      <w:r>
        <w:rPr>
          <w:rFonts w:asciiTheme="minorHAnsi" w:hAnsiTheme="minorHAnsi" w:cs="Times New Roman"/>
        </w:rPr>
        <w:tab/>
      </w:r>
      <w:r w:rsidRPr="00084C8E">
        <w:rPr>
          <w:rFonts w:asciiTheme="minorHAnsi" w:hAnsiTheme="minorHAnsi" w:cs="Times New Roman"/>
        </w:rPr>
        <w:t>Introduction</w:t>
      </w:r>
    </w:p>
    <w:p w14:paraId="05D7B067" w14:textId="77777777" w:rsidR="00084C8E" w:rsidRPr="00084C8E" w:rsidRDefault="00084C8E" w:rsidP="00084C8E">
      <w:pPr>
        <w:spacing w:before="160"/>
        <w:rPr>
          <w:rFonts w:asciiTheme="minorHAnsi" w:hAnsiTheme="minorHAnsi"/>
          <w:lang w:val="en-GB" w:eastAsia="zh-CN"/>
        </w:rPr>
      </w:pPr>
      <w:r w:rsidRPr="00084C8E">
        <w:rPr>
          <w:rFonts w:asciiTheme="minorHAnsi" w:hAnsiTheme="minorHAnsi"/>
          <w:lang w:val="en-GB" w:eastAsia="zh-CN"/>
        </w:rPr>
        <w:t>This contribution analyses Procedure B assigned to the Council Expert Group on Cost Recovery. The Attachment to this contribution contains a spreadsheet for the user to evaluate potential changes.</w:t>
      </w:r>
    </w:p>
    <w:p w14:paraId="3E972481" w14:textId="77777777" w:rsidR="00084C8E" w:rsidRPr="00084C8E" w:rsidRDefault="00084C8E" w:rsidP="00084C8E">
      <w:pPr>
        <w:spacing w:before="160"/>
        <w:rPr>
          <w:rFonts w:asciiTheme="minorHAnsi" w:hAnsiTheme="minorHAnsi"/>
          <w:lang w:val="en-GB" w:eastAsia="zh-CN"/>
        </w:rPr>
      </w:pPr>
      <w:r w:rsidRPr="00084C8E">
        <w:rPr>
          <w:rFonts w:asciiTheme="minorHAnsi" w:hAnsiTheme="minorHAnsi"/>
          <w:lang w:val="en-GB" w:eastAsia="zh-CN"/>
        </w:rPr>
        <w:t>It is emphasized that this contribution is only applicable to NGSO cost recovery filings.</w:t>
      </w:r>
    </w:p>
    <w:p w14:paraId="47603CD8" w14:textId="77777777" w:rsidR="00084C8E" w:rsidRPr="00084C8E" w:rsidRDefault="00084C8E" w:rsidP="00084C8E">
      <w:pPr>
        <w:spacing w:before="160"/>
        <w:rPr>
          <w:rFonts w:asciiTheme="minorHAnsi" w:hAnsiTheme="minorHAnsi"/>
          <w:lang w:val="en-GB" w:eastAsia="zh-CN"/>
        </w:rPr>
      </w:pPr>
      <w:r w:rsidRPr="00084C8E">
        <w:rPr>
          <w:rFonts w:asciiTheme="minorHAnsi" w:hAnsiTheme="minorHAnsi"/>
          <w:lang w:val="en-GB" w:eastAsia="zh-CN"/>
        </w:rPr>
        <w:t xml:space="preserve">This document does not </w:t>
      </w:r>
      <w:proofErr w:type="spellStart"/>
      <w:r w:rsidRPr="00084C8E">
        <w:rPr>
          <w:rFonts w:asciiTheme="minorHAnsi" w:hAnsiTheme="minorHAnsi"/>
          <w:lang w:eastAsia="zh-CN"/>
        </w:rPr>
        <w:t>analyze</w:t>
      </w:r>
      <w:proofErr w:type="spellEnd"/>
      <w:r w:rsidRPr="00084C8E">
        <w:rPr>
          <w:rFonts w:asciiTheme="minorHAnsi" w:hAnsiTheme="minorHAnsi"/>
          <w:lang w:val="en-GB" w:eastAsia="zh-CN"/>
        </w:rPr>
        <w:t xml:space="preserve"> Procedure C.</w:t>
      </w:r>
    </w:p>
    <w:p w14:paraId="520B0535" w14:textId="6A1F1352" w:rsidR="00084C8E" w:rsidRPr="00084C8E" w:rsidRDefault="00084C8E" w:rsidP="00084C8E">
      <w:pPr>
        <w:pStyle w:val="Heading1"/>
        <w:keepNext w:val="0"/>
        <w:keepLines w:val="0"/>
        <w:spacing w:before="560" w:after="120"/>
        <w:ind w:left="420" w:hanging="420"/>
        <w:rPr>
          <w:rFonts w:asciiTheme="minorHAnsi" w:hAnsiTheme="minorHAnsi" w:cs="Times New Roman"/>
        </w:rPr>
      </w:pPr>
      <w:r>
        <w:rPr>
          <w:rFonts w:asciiTheme="minorHAnsi" w:hAnsiTheme="minorHAnsi" w:cs="Times New Roman"/>
        </w:rPr>
        <w:t>2</w:t>
      </w:r>
      <w:r>
        <w:rPr>
          <w:rFonts w:asciiTheme="minorHAnsi" w:hAnsiTheme="minorHAnsi" w:cs="Times New Roman"/>
        </w:rPr>
        <w:tab/>
      </w:r>
      <w:r w:rsidRPr="00084C8E">
        <w:rPr>
          <w:rFonts w:asciiTheme="minorHAnsi" w:hAnsiTheme="minorHAnsi" w:cs="Times New Roman"/>
        </w:rPr>
        <w:t>Discussion</w:t>
      </w:r>
    </w:p>
    <w:p w14:paraId="0BD39AD3" w14:textId="77777777" w:rsidR="00084C8E" w:rsidRPr="00084C8E" w:rsidRDefault="00084C8E" w:rsidP="00084C8E">
      <w:pPr>
        <w:spacing w:before="160"/>
        <w:rPr>
          <w:rFonts w:asciiTheme="minorHAnsi" w:hAnsiTheme="minorHAnsi"/>
          <w:lang w:val="en-GB" w:eastAsia="zh-CN"/>
        </w:rPr>
      </w:pPr>
      <w:r w:rsidRPr="00084C8E">
        <w:rPr>
          <w:rFonts w:asciiTheme="minorHAnsi" w:hAnsiTheme="minorHAnsi"/>
          <w:lang w:val="en-GB" w:eastAsia="zh-CN"/>
        </w:rPr>
        <w:t>The Council Expert Group on Decision 482 was formed with the purpose of further examining Procedures B and C described in Document C18/36, while taking into account considerations contained in Documents C18/36 (Addendum 1) and Revision 1, C18/75, C18/83 and C18/90 as well as contributions submitted to its (the Council Expert Group’s) meetings. The Council Expert Group’s primary focus is an examination of Procedure B on the cases of complex non-GSO satellite filings and to prepare a report containing recommendations about the possible revision of Decision 482 with regard to complex non-GSO satellite filings for submission to ITU Council 2019 for action.</w:t>
      </w:r>
    </w:p>
    <w:p w14:paraId="4FE73897" w14:textId="77777777" w:rsidR="00084C8E" w:rsidRPr="00084C8E" w:rsidRDefault="00084C8E" w:rsidP="0092536F">
      <w:pPr>
        <w:pStyle w:val="Heading2"/>
        <w:spacing w:before="120"/>
        <w:rPr>
          <w:rFonts w:asciiTheme="minorHAnsi" w:hAnsiTheme="minorHAnsi"/>
        </w:rPr>
      </w:pPr>
      <w:r w:rsidRPr="00084C8E">
        <w:rPr>
          <w:rFonts w:asciiTheme="minorHAnsi" w:hAnsiTheme="minorHAnsi"/>
        </w:rPr>
        <w:tab/>
        <w:t>2.1 Bureau Proposal for Procedure B</w:t>
      </w:r>
    </w:p>
    <w:p w14:paraId="7472CB93" w14:textId="77777777" w:rsidR="00084C8E" w:rsidRPr="00084C8E" w:rsidRDefault="00084C8E" w:rsidP="00084C8E">
      <w:pPr>
        <w:spacing w:before="160"/>
        <w:rPr>
          <w:rFonts w:asciiTheme="minorHAnsi" w:hAnsiTheme="minorHAnsi"/>
          <w:lang w:val="en-GB"/>
        </w:rPr>
      </w:pPr>
      <w:r w:rsidRPr="00084C8E">
        <w:rPr>
          <w:rFonts w:asciiTheme="minorHAnsi" w:hAnsiTheme="minorHAnsi"/>
          <w:lang w:val="en-GB"/>
        </w:rPr>
        <w:t>In Document C18/36, the Bureau proposed to modify the current Cost Recovery fee. Specifically, the Bureau’s proposed Procedure B increases the Cost Recovery fee of filings with more than a to-be-determined number of units (‘breakpoint’, currently proposed as [1 000] units, refer to new footnote e) in the Annex to Document C18/36) by charging a supplemental fee for each unit more than the breakpoint. Under this proposal, the proposed Cost Recovery fee will not change for filings with fewer units than the breakpoint ([1 000] units). For filings of 1 to 100 units, the Cost Recovery fee will be the start fee plus the number of units multiplied by the fee per unit. For filings with more than 100 units, but less than the breakpoint, the Cost Recovery fee will be the current flat fee. Filings with more units than the breakpoint ([1 000] units) will be charged the flat fee plus a supplemental fee for each unit more than the breakpoint. The supplemental fee per additional unit will be equal to the flat fee divided by the breakpoint ([1 000] units). This proposed Cost Recovery fee will increase with the number of units and there will be no upper bound to the fee.</w:t>
      </w:r>
    </w:p>
    <w:p w14:paraId="72F8B49E" w14:textId="77777777" w:rsidR="00084C8E" w:rsidRPr="00084C8E" w:rsidRDefault="00084C8E" w:rsidP="0092536F">
      <w:pPr>
        <w:pStyle w:val="Heading2"/>
        <w:spacing w:before="120"/>
        <w:rPr>
          <w:rFonts w:asciiTheme="minorHAnsi" w:hAnsiTheme="minorHAnsi"/>
        </w:rPr>
      </w:pPr>
      <w:r w:rsidRPr="00084C8E">
        <w:rPr>
          <w:rFonts w:asciiTheme="minorHAnsi" w:hAnsiTheme="minorHAnsi"/>
        </w:rPr>
        <w:tab/>
        <w:t>2.2 Historical Data</w:t>
      </w:r>
    </w:p>
    <w:p w14:paraId="4A361918" w14:textId="77777777" w:rsidR="00084C8E" w:rsidRPr="00084C8E" w:rsidRDefault="00084C8E" w:rsidP="00084C8E">
      <w:pPr>
        <w:spacing w:before="160"/>
        <w:rPr>
          <w:rFonts w:asciiTheme="minorHAnsi" w:hAnsiTheme="minorHAnsi"/>
        </w:rPr>
      </w:pPr>
      <w:r w:rsidRPr="00084C8E">
        <w:rPr>
          <w:rFonts w:asciiTheme="minorHAnsi" w:hAnsiTheme="minorHAnsi"/>
        </w:rPr>
        <w:t xml:space="preserve">In Revision 1 to Document C18/36 (Addendum 1), the Bureau provided statistics based on the 165 coordination requests of non-geostationary satellite systems received between 2007 and January </w:t>
      </w:r>
      <w:r w:rsidRPr="00084C8E">
        <w:rPr>
          <w:rFonts w:asciiTheme="minorHAnsi" w:hAnsiTheme="minorHAnsi"/>
        </w:rPr>
        <w:lastRenderedPageBreak/>
        <w:t>2018. The Bureau’s proposal for Procedure B, with the breakpoint set at 1 000, 10 000, and 50 000 units, would have affected the cost recovery fees for 47, 22, and 7, of these 165 non-GSO satellite systems, respectively.</w:t>
      </w:r>
    </w:p>
    <w:p w14:paraId="186D85C3" w14:textId="77777777" w:rsidR="00084C8E" w:rsidRPr="00084C8E" w:rsidRDefault="00084C8E" w:rsidP="00084C8E">
      <w:pPr>
        <w:spacing w:before="160"/>
        <w:rPr>
          <w:rFonts w:asciiTheme="minorHAnsi" w:hAnsiTheme="minorHAnsi"/>
        </w:rPr>
      </w:pPr>
      <w:r w:rsidRPr="00084C8E">
        <w:rPr>
          <w:rFonts w:asciiTheme="minorHAnsi" w:hAnsiTheme="minorHAnsi"/>
        </w:rPr>
        <w:t xml:space="preserve">The actual cumulative Cost Recovery fee charged by the Bureau for the 47 non-GSO systems having more than 1 000 units, from the previously identified set of 165 systems, was 1 002 860 CHF. Table 1 below summarizes the total projected Cost Recovery fee for all 47 of these filings under the Bureau’s proposal for Procedure B, as a function of the three different breakpoints. </w:t>
      </w:r>
    </w:p>
    <w:p w14:paraId="3CB14DBA" w14:textId="77777777" w:rsidR="00084C8E" w:rsidRPr="00084C8E" w:rsidRDefault="00084C8E" w:rsidP="0092536F">
      <w:pPr>
        <w:spacing w:before="240" w:after="120"/>
        <w:jc w:val="center"/>
        <w:rPr>
          <w:rFonts w:asciiTheme="minorHAnsi" w:hAnsiTheme="minorHAnsi"/>
        </w:rPr>
      </w:pPr>
      <w:r w:rsidRPr="00084C8E">
        <w:rPr>
          <w:rFonts w:asciiTheme="minorHAnsi" w:hAnsiTheme="minorHAnsi"/>
        </w:rPr>
        <w:t xml:space="preserve">Table 1 – Projected CR </w:t>
      </w:r>
      <w:proofErr w:type="gramStart"/>
      <w:r w:rsidRPr="00084C8E">
        <w:rPr>
          <w:rFonts w:asciiTheme="minorHAnsi" w:hAnsiTheme="minorHAnsi"/>
        </w:rPr>
        <w:t>Under</w:t>
      </w:r>
      <w:proofErr w:type="gramEnd"/>
      <w:r w:rsidRPr="00084C8E">
        <w:rPr>
          <w:rFonts w:asciiTheme="minorHAnsi" w:hAnsiTheme="minorHAnsi"/>
        </w:rPr>
        <w:t xml:space="preserve"> Bureau’s Proposal for Procedure B</w:t>
      </w:r>
    </w:p>
    <w:tbl>
      <w:tblPr>
        <w:tblStyle w:val="TableGrid"/>
        <w:tblW w:w="0" w:type="auto"/>
        <w:tblLook w:val="04A0" w:firstRow="1" w:lastRow="0" w:firstColumn="1" w:lastColumn="0" w:noHBand="0" w:noVBand="1"/>
      </w:tblPr>
      <w:tblGrid>
        <w:gridCol w:w="2214"/>
        <w:gridCol w:w="2214"/>
        <w:gridCol w:w="2214"/>
        <w:gridCol w:w="2214"/>
      </w:tblGrid>
      <w:tr w:rsidR="00084C8E" w:rsidRPr="00084C8E" w14:paraId="64028881" w14:textId="77777777" w:rsidTr="00E9021B">
        <w:tc>
          <w:tcPr>
            <w:tcW w:w="2214" w:type="dxa"/>
            <w:vAlign w:val="center"/>
          </w:tcPr>
          <w:p w14:paraId="78FFA1C6" w14:textId="77777777" w:rsidR="00084C8E" w:rsidRPr="00084C8E" w:rsidRDefault="00084C8E" w:rsidP="00E9021B">
            <w:pPr>
              <w:spacing w:before="120" w:after="120"/>
              <w:jc w:val="center"/>
              <w:rPr>
                <w:rFonts w:asciiTheme="minorHAnsi" w:hAnsiTheme="minorHAnsi"/>
              </w:rPr>
            </w:pPr>
            <w:r w:rsidRPr="00084C8E">
              <w:rPr>
                <w:rFonts w:asciiTheme="minorHAnsi" w:hAnsiTheme="minorHAnsi"/>
              </w:rPr>
              <w:t>Breakpoint</w:t>
            </w:r>
          </w:p>
        </w:tc>
        <w:tc>
          <w:tcPr>
            <w:tcW w:w="2214" w:type="dxa"/>
            <w:vAlign w:val="center"/>
          </w:tcPr>
          <w:p w14:paraId="01EE1488" w14:textId="77777777" w:rsidR="00084C8E" w:rsidRPr="00084C8E" w:rsidRDefault="00084C8E" w:rsidP="00E9021B">
            <w:pPr>
              <w:spacing w:before="120" w:after="120"/>
              <w:jc w:val="center"/>
              <w:rPr>
                <w:rFonts w:asciiTheme="minorHAnsi" w:hAnsiTheme="minorHAnsi"/>
              </w:rPr>
            </w:pPr>
            <w:r w:rsidRPr="00084C8E">
              <w:rPr>
                <w:rFonts w:asciiTheme="minorHAnsi" w:hAnsiTheme="minorHAnsi"/>
              </w:rPr>
              <w:t xml:space="preserve">Networks with # of units greater than breakpoint (out of 165 </w:t>
            </w:r>
            <w:proofErr w:type="spellStart"/>
            <w:r w:rsidRPr="00084C8E">
              <w:rPr>
                <w:rFonts w:asciiTheme="minorHAnsi" w:hAnsiTheme="minorHAnsi"/>
              </w:rPr>
              <w:t>analyzed</w:t>
            </w:r>
            <w:proofErr w:type="spellEnd"/>
            <w:r w:rsidRPr="00084C8E">
              <w:rPr>
                <w:rFonts w:asciiTheme="minorHAnsi" w:hAnsiTheme="minorHAnsi"/>
              </w:rPr>
              <w:t>)</w:t>
            </w:r>
          </w:p>
        </w:tc>
        <w:tc>
          <w:tcPr>
            <w:tcW w:w="2214" w:type="dxa"/>
            <w:vAlign w:val="center"/>
          </w:tcPr>
          <w:p w14:paraId="25965297" w14:textId="77777777" w:rsidR="00084C8E" w:rsidRPr="00084C8E" w:rsidRDefault="00084C8E" w:rsidP="00E9021B">
            <w:pPr>
              <w:spacing w:before="120" w:after="120"/>
              <w:jc w:val="center"/>
              <w:rPr>
                <w:rFonts w:asciiTheme="minorHAnsi" w:hAnsiTheme="minorHAnsi"/>
              </w:rPr>
            </w:pPr>
            <w:r w:rsidRPr="00084C8E">
              <w:rPr>
                <w:rFonts w:asciiTheme="minorHAnsi" w:hAnsiTheme="minorHAnsi"/>
              </w:rPr>
              <w:t>Projected CR of all 47 networks</w:t>
            </w:r>
          </w:p>
        </w:tc>
        <w:tc>
          <w:tcPr>
            <w:tcW w:w="2214" w:type="dxa"/>
            <w:vAlign w:val="center"/>
          </w:tcPr>
          <w:p w14:paraId="12EB32A4" w14:textId="77777777" w:rsidR="00084C8E" w:rsidRPr="00084C8E" w:rsidRDefault="00084C8E" w:rsidP="00E9021B">
            <w:pPr>
              <w:spacing w:before="120" w:after="120"/>
              <w:jc w:val="center"/>
              <w:rPr>
                <w:rFonts w:asciiTheme="minorHAnsi" w:hAnsiTheme="minorHAnsi"/>
              </w:rPr>
            </w:pPr>
            <w:r w:rsidRPr="00084C8E">
              <w:rPr>
                <w:rFonts w:asciiTheme="minorHAnsi" w:hAnsiTheme="minorHAnsi"/>
              </w:rPr>
              <w:t xml:space="preserve">Projected CR </w:t>
            </w:r>
            <w:r w:rsidRPr="00084C8E">
              <w:rPr>
                <w:rFonts w:asciiTheme="minorHAnsi" w:hAnsiTheme="minorHAnsi"/>
              </w:rPr>
              <w:br/>
              <w:t>% Increase</w:t>
            </w:r>
          </w:p>
        </w:tc>
      </w:tr>
      <w:tr w:rsidR="00084C8E" w:rsidRPr="00084C8E" w14:paraId="2930B4AF" w14:textId="77777777" w:rsidTr="00E9021B">
        <w:tc>
          <w:tcPr>
            <w:tcW w:w="2214" w:type="dxa"/>
          </w:tcPr>
          <w:p w14:paraId="503BAF47" w14:textId="77777777" w:rsidR="00084C8E" w:rsidRPr="00084C8E" w:rsidRDefault="00084C8E" w:rsidP="00E9021B">
            <w:pPr>
              <w:rPr>
                <w:rFonts w:asciiTheme="minorHAnsi" w:hAnsiTheme="minorHAnsi"/>
              </w:rPr>
            </w:pPr>
            <w:r w:rsidRPr="00084C8E">
              <w:rPr>
                <w:rFonts w:asciiTheme="minorHAnsi" w:hAnsiTheme="minorHAnsi"/>
              </w:rPr>
              <w:t>1 000</w:t>
            </w:r>
          </w:p>
        </w:tc>
        <w:tc>
          <w:tcPr>
            <w:tcW w:w="2214" w:type="dxa"/>
          </w:tcPr>
          <w:p w14:paraId="1CC01EA5" w14:textId="77777777" w:rsidR="00084C8E" w:rsidRPr="00084C8E" w:rsidRDefault="00084C8E" w:rsidP="00E9021B">
            <w:pPr>
              <w:rPr>
                <w:rFonts w:asciiTheme="minorHAnsi" w:hAnsiTheme="minorHAnsi"/>
              </w:rPr>
            </w:pPr>
            <w:r w:rsidRPr="00084C8E">
              <w:rPr>
                <w:rFonts w:asciiTheme="minorHAnsi" w:hAnsiTheme="minorHAnsi"/>
              </w:rPr>
              <w:t>47</w:t>
            </w:r>
          </w:p>
        </w:tc>
        <w:tc>
          <w:tcPr>
            <w:tcW w:w="2214" w:type="dxa"/>
          </w:tcPr>
          <w:p w14:paraId="11647058" w14:textId="77777777" w:rsidR="00084C8E" w:rsidRPr="00084C8E" w:rsidRDefault="00084C8E" w:rsidP="00E9021B">
            <w:pPr>
              <w:jc w:val="right"/>
              <w:rPr>
                <w:rFonts w:asciiTheme="minorHAnsi" w:hAnsiTheme="minorHAnsi"/>
              </w:rPr>
            </w:pPr>
            <w:r w:rsidRPr="00084C8E">
              <w:rPr>
                <w:rFonts w:asciiTheme="minorHAnsi" w:hAnsiTheme="minorHAnsi"/>
              </w:rPr>
              <w:t>26 314 913</w:t>
            </w:r>
          </w:p>
        </w:tc>
        <w:tc>
          <w:tcPr>
            <w:tcW w:w="2214" w:type="dxa"/>
          </w:tcPr>
          <w:p w14:paraId="55368F9F" w14:textId="77777777" w:rsidR="00084C8E" w:rsidRPr="00084C8E" w:rsidRDefault="00084C8E" w:rsidP="00E9021B">
            <w:pPr>
              <w:jc w:val="right"/>
              <w:rPr>
                <w:rFonts w:asciiTheme="minorHAnsi" w:hAnsiTheme="minorHAnsi"/>
              </w:rPr>
            </w:pPr>
            <w:r w:rsidRPr="00084C8E">
              <w:rPr>
                <w:rFonts w:asciiTheme="minorHAnsi" w:hAnsiTheme="minorHAnsi"/>
              </w:rPr>
              <w:t>2524.0</w:t>
            </w:r>
          </w:p>
        </w:tc>
      </w:tr>
      <w:tr w:rsidR="00084C8E" w:rsidRPr="00084C8E" w14:paraId="430BC680" w14:textId="77777777" w:rsidTr="00E9021B">
        <w:tc>
          <w:tcPr>
            <w:tcW w:w="2214" w:type="dxa"/>
          </w:tcPr>
          <w:p w14:paraId="4C9062F5" w14:textId="77777777" w:rsidR="00084C8E" w:rsidRPr="00084C8E" w:rsidRDefault="00084C8E" w:rsidP="00E9021B">
            <w:pPr>
              <w:rPr>
                <w:rFonts w:asciiTheme="minorHAnsi" w:hAnsiTheme="minorHAnsi"/>
              </w:rPr>
            </w:pPr>
            <w:r w:rsidRPr="00084C8E">
              <w:rPr>
                <w:rFonts w:asciiTheme="minorHAnsi" w:hAnsiTheme="minorHAnsi"/>
              </w:rPr>
              <w:t>10 000</w:t>
            </w:r>
          </w:p>
        </w:tc>
        <w:tc>
          <w:tcPr>
            <w:tcW w:w="2214" w:type="dxa"/>
          </w:tcPr>
          <w:p w14:paraId="5A31327C" w14:textId="77777777" w:rsidR="00084C8E" w:rsidRPr="00084C8E" w:rsidRDefault="00084C8E" w:rsidP="00E9021B">
            <w:pPr>
              <w:rPr>
                <w:rFonts w:asciiTheme="minorHAnsi" w:hAnsiTheme="minorHAnsi"/>
              </w:rPr>
            </w:pPr>
            <w:r w:rsidRPr="00084C8E">
              <w:rPr>
                <w:rFonts w:asciiTheme="minorHAnsi" w:hAnsiTheme="minorHAnsi"/>
              </w:rPr>
              <w:t>22</w:t>
            </w:r>
          </w:p>
        </w:tc>
        <w:tc>
          <w:tcPr>
            <w:tcW w:w="2214" w:type="dxa"/>
          </w:tcPr>
          <w:p w14:paraId="2C6AA4F3" w14:textId="77777777" w:rsidR="00084C8E" w:rsidRPr="00084C8E" w:rsidRDefault="00084C8E" w:rsidP="00E9021B">
            <w:pPr>
              <w:jc w:val="right"/>
              <w:rPr>
                <w:rFonts w:asciiTheme="minorHAnsi" w:hAnsiTheme="minorHAnsi"/>
              </w:rPr>
            </w:pPr>
            <w:r w:rsidRPr="00084C8E">
              <w:rPr>
                <w:rFonts w:asciiTheme="minorHAnsi" w:hAnsiTheme="minorHAnsi"/>
              </w:rPr>
              <w:t>2 951 103</w:t>
            </w:r>
          </w:p>
        </w:tc>
        <w:tc>
          <w:tcPr>
            <w:tcW w:w="2214" w:type="dxa"/>
          </w:tcPr>
          <w:p w14:paraId="1246D951" w14:textId="77777777" w:rsidR="00084C8E" w:rsidRPr="00084C8E" w:rsidRDefault="00084C8E" w:rsidP="00E9021B">
            <w:pPr>
              <w:jc w:val="right"/>
              <w:rPr>
                <w:rFonts w:asciiTheme="minorHAnsi" w:hAnsiTheme="minorHAnsi"/>
              </w:rPr>
            </w:pPr>
            <w:r w:rsidRPr="00084C8E">
              <w:rPr>
                <w:rFonts w:asciiTheme="minorHAnsi" w:hAnsiTheme="minorHAnsi"/>
              </w:rPr>
              <w:t>194.3</w:t>
            </w:r>
          </w:p>
        </w:tc>
      </w:tr>
      <w:tr w:rsidR="00084C8E" w:rsidRPr="00084C8E" w14:paraId="653885A5" w14:textId="77777777" w:rsidTr="00E9021B">
        <w:tc>
          <w:tcPr>
            <w:tcW w:w="2214" w:type="dxa"/>
          </w:tcPr>
          <w:p w14:paraId="35CB00AE" w14:textId="77777777" w:rsidR="00084C8E" w:rsidRPr="00084C8E" w:rsidRDefault="00084C8E" w:rsidP="00E9021B">
            <w:pPr>
              <w:rPr>
                <w:rFonts w:asciiTheme="minorHAnsi" w:hAnsiTheme="minorHAnsi"/>
              </w:rPr>
            </w:pPr>
            <w:r w:rsidRPr="00084C8E">
              <w:rPr>
                <w:rFonts w:asciiTheme="minorHAnsi" w:hAnsiTheme="minorHAnsi"/>
              </w:rPr>
              <w:t>50 000</w:t>
            </w:r>
          </w:p>
        </w:tc>
        <w:tc>
          <w:tcPr>
            <w:tcW w:w="2214" w:type="dxa"/>
          </w:tcPr>
          <w:p w14:paraId="47E5E76E" w14:textId="77777777" w:rsidR="00084C8E" w:rsidRPr="00084C8E" w:rsidRDefault="00084C8E" w:rsidP="00E9021B">
            <w:pPr>
              <w:rPr>
                <w:rFonts w:asciiTheme="minorHAnsi" w:hAnsiTheme="minorHAnsi"/>
              </w:rPr>
            </w:pPr>
            <w:r w:rsidRPr="00084C8E">
              <w:rPr>
                <w:rFonts w:asciiTheme="minorHAnsi" w:hAnsiTheme="minorHAnsi"/>
              </w:rPr>
              <w:t>7</w:t>
            </w:r>
          </w:p>
        </w:tc>
        <w:tc>
          <w:tcPr>
            <w:tcW w:w="2214" w:type="dxa"/>
          </w:tcPr>
          <w:p w14:paraId="59EC4718" w14:textId="77777777" w:rsidR="00084C8E" w:rsidRPr="00084C8E" w:rsidRDefault="00084C8E" w:rsidP="00E9021B">
            <w:pPr>
              <w:jc w:val="right"/>
              <w:rPr>
                <w:rFonts w:asciiTheme="minorHAnsi" w:hAnsiTheme="minorHAnsi"/>
              </w:rPr>
            </w:pPr>
            <w:r w:rsidRPr="00084C8E">
              <w:rPr>
                <w:rFonts w:asciiTheme="minorHAnsi" w:hAnsiTheme="minorHAnsi"/>
              </w:rPr>
              <w:t>1 230 769</w:t>
            </w:r>
          </w:p>
        </w:tc>
        <w:tc>
          <w:tcPr>
            <w:tcW w:w="2214" w:type="dxa"/>
          </w:tcPr>
          <w:p w14:paraId="58703F48" w14:textId="77777777" w:rsidR="00084C8E" w:rsidRPr="00084C8E" w:rsidRDefault="00084C8E" w:rsidP="00E9021B">
            <w:pPr>
              <w:jc w:val="right"/>
              <w:rPr>
                <w:rFonts w:asciiTheme="minorHAnsi" w:hAnsiTheme="minorHAnsi"/>
              </w:rPr>
            </w:pPr>
            <w:r w:rsidRPr="00084C8E">
              <w:rPr>
                <w:rFonts w:asciiTheme="minorHAnsi" w:hAnsiTheme="minorHAnsi"/>
              </w:rPr>
              <w:t>22.7</w:t>
            </w:r>
          </w:p>
        </w:tc>
      </w:tr>
    </w:tbl>
    <w:p w14:paraId="446BF8A3" w14:textId="77777777" w:rsidR="00084C8E" w:rsidRPr="00084C8E" w:rsidRDefault="00084C8E" w:rsidP="00084C8E">
      <w:pPr>
        <w:rPr>
          <w:rFonts w:asciiTheme="minorHAnsi" w:hAnsiTheme="minorHAnsi"/>
        </w:rPr>
      </w:pPr>
    </w:p>
    <w:p w14:paraId="7D2E5C0E" w14:textId="77777777" w:rsidR="00084C8E" w:rsidRPr="00084C8E" w:rsidRDefault="00084C8E" w:rsidP="00084C8E">
      <w:pPr>
        <w:rPr>
          <w:rFonts w:asciiTheme="minorHAnsi" w:hAnsiTheme="minorHAnsi"/>
        </w:rPr>
      </w:pPr>
      <w:r w:rsidRPr="00084C8E">
        <w:rPr>
          <w:rFonts w:asciiTheme="minorHAnsi" w:hAnsiTheme="minorHAnsi"/>
        </w:rPr>
        <w:t>Tables 1 and 2 show that most of the filings in the historical data have fewer than 10 000 units. Twenty five filings (i.e., 53.2% of the 47) have greater than 1 000 and fewer than 10 000 units. Thirty six filings (i.e., 76.6% of the 47) have greater than 1 000 and fewer than 15 000 units. In Table 2, note that the size of the “Range of Units” increases farther down the Table; this highlights that only a few filings are very large.</w:t>
      </w:r>
    </w:p>
    <w:p w14:paraId="768E72EE" w14:textId="77777777" w:rsidR="00084C8E" w:rsidRPr="00084C8E" w:rsidRDefault="00084C8E" w:rsidP="00084C8E">
      <w:pPr>
        <w:rPr>
          <w:rFonts w:asciiTheme="minorHAnsi" w:hAnsiTheme="minorHAnsi"/>
        </w:rPr>
      </w:pPr>
      <w:r w:rsidRPr="00084C8E">
        <w:rPr>
          <w:rFonts w:asciiTheme="minorHAnsi" w:hAnsiTheme="minorHAnsi"/>
        </w:rPr>
        <w:br w:type="page"/>
      </w:r>
    </w:p>
    <w:p w14:paraId="51DBF963" w14:textId="77777777" w:rsidR="00084C8E" w:rsidRPr="00084C8E" w:rsidRDefault="00084C8E" w:rsidP="0092536F">
      <w:pPr>
        <w:spacing w:before="240" w:after="120"/>
        <w:jc w:val="center"/>
        <w:rPr>
          <w:rFonts w:asciiTheme="minorHAnsi" w:hAnsiTheme="minorHAnsi"/>
        </w:rPr>
      </w:pPr>
      <w:r w:rsidRPr="00084C8E">
        <w:rPr>
          <w:rFonts w:asciiTheme="minorHAnsi" w:hAnsiTheme="minorHAnsi"/>
        </w:rPr>
        <w:t>Table 2 – Analysis of Historical Data</w:t>
      </w:r>
    </w:p>
    <w:tbl>
      <w:tblPr>
        <w:tblW w:w="864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60"/>
        <w:gridCol w:w="2160"/>
        <w:gridCol w:w="2160"/>
        <w:gridCol w:w="2160"/>
      </w:tblGrid>
      <w:tr w:rsidR="00084C8E" w:rsidRPr="00084C8E" w14:paraId="6C9A7797" w14:textId="77777777" w:rsidTr="00E9021B">
        <w:trPr>
          <w:trHeight w:val="288"/>
        </w:trPr>
        <w:tc>
          <w:tcPr>
            <w:tcW w:w="2160" w:type="dxa"/>
            <w:tcBorders>
              <w:top w:val="single" w:sz="6" w:space="0" w:color="auto"/>
            </w:tcBorders>
            <w:shd w:val="clear" w:color="auto" w:fill="auto"/>
            <w:noWrap/>
            <w:vAlign w:val="bottom"/>
            <w:hideMark/>
          </w:tcPr>
          <w:p w14:paraId="7EFB3E93" w14:textId="77777777" w:rsidR="00084C8E" w:rsidRPr="00084C8E" w:rsidRDefault="00084C8E" w:rsidP="00E9021B">
            <w:pPr>
              <w:tabs>
                <w:tab w:val="right" w:pos="1707"/>
              </w:tabs>
              <w:jc w:val="center"/>
              <w:rPr>
                <w:rFonts w:asciiTheme="minorHAnsi" w:eastAsia="Times New Roman" w:hAnsiTheme="minorHAnsi"/>
                <w:iCs/>
                <w:color w:val="000000"/>
                <w:sz w:val="22"/>
              </w:rPr>
            </w:pPr>
            <w:r w:rsidRPr="00084C8E">
              <w:rPr>
                <w:rFonts w:asciiTheme="minorHAnsi" w:eastAsia="Times New Roman" w:hAnsiTheme="minorHAnsi"/>
                <w:iCs/>
                <w:color w:val="000000"/>
                <w:sz w:val="22"/>
              </w:rPr>
              <w:t>Range of Units</w:t>
            </w:r>
          </w:p>
        </w:tc>
        <w:tc>
          <w:tcPr>
            <w:tcW w:w="2160" w:type="dxa"/>
            <w:tcBorders>
              <w:top w:val="single" w:sz="6" w:space="0" w:color="auto"/>
            </w:tcBorders>
            <w:shd w:val="clear" w:color="auto" w:fill="auto"/>
            <w:noWrap/>
            <w:vAlign w:val="bottom"/>
            <w:hideMark/>
          </w:tcPr>
          <w:p w14:paraId="079C9806" w14:textId="77777777" w:rsidR="00084C8E" w:rsidRPr="00084C8E" w:rsidRDefault="00084C8E" w:rsidP="00E9021B">
            <w:pPr>
              <w:jc w:val="center"/>
              <w:rPr>
                <w:rFonts w:asciiTheme="minorHAnsi" w:eastAsia="Times New Roman" w:hAnsiTheme="minorHAnsi"/>
                <w:iCs/>
                <w:color w:val="000000"/>
                <w:sz w:val="22"/>
              </w:rPr>
            </w:pPr>
            <w:r w:rsidRPr="00084C8E">
              <w:rPr>
                <w:rFonts w:asciiTheme="minorHAnsi" w:eastAsia="Times New Roman" w:hAnsiTheme="minorHAnsi"/>
                <w:iCs/>
                <w:color w:val="000000"/>
                <w:sz w:val="22"/>
              </w:rPr>
              <w:t xml:space="preserve">Number of Filings </w:t>
            </w:r>
            <w:r w:rsidRPr="00084C8E">
              <w:rPr>
                <w:rFonts w:asciiTheme="minorHAnsi" w:eastAsia="Times New Roman" w:hAnsiTheme="minorHAnsi"/>
                <w:iCs/>
                <w:color w:val="000000"/>
                <w:sz w:val="22"/>
              </w:rPr>
              <w:br/>
              <w:t xml:space="preserve">in given </w:t>
            </w:r>
            <w:r w:rsidRPr="00084C8E">
              <w:rPr>
                <w:rFonts w:asciiTheme="minorHAnsi" w:eastAsia="Times New Roman" w:hAnsiTheme="minorHAnsi"/>
                <w:iCs/>
                <w:color w:val="000000"/>
                <w:sz w:val="22"/>
              </w:rPr>
              <w:br/>
              <w:t>Range of Units</w:t>
            </w:r>
          </w:p>
        </w:tc>
        <w:tc>
          <w:tcPr>
            <w:tcW w:w="2160" w:type="dxa"/>
            <w:tcBorders>
              <w:top w:val="single" w:sz="6" w:space="0" w:color="auto"/>
            </w:tcBorders>
            <w:shd w:val="clear" w:color="auto" w:fill="auto"/>
            <w:noWrap/>
            <w:vAlign w:val="bottom"/>
            <w:hideMark/>
          </w:tcPr>
          <w:p w14:paraId="1D80D328"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Running Sum of Number of Filings</w:t>
            </w:r>
          </w:p>
        </w:tc>
        <w:tc>
          <w:tcPr>
            <w:tcW w:w="2160" w:type="dxa"/>
            <w:tcBorders>
              <w:top w:val="single" w:sz="6" w:space="0" w:color="auto"/>
            </w:tcBorders>
            <w:shd w:val="clear" w:color="auto" w:fill="auto"/>
            <w:noWrap/>
            <w:vAlign w:val="bottom"/>
            <w:hideMark/>
          </w:tcPr>
          <w:p w14:paraId="7231691D"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 xml:space="preserve">Running Sum </w:t>
            </w:r>
            <w:r w:rsidRPr="00084C8E">
              <w:rPr>
                <w:rFonts w:asciiTheme="minorHAnsi" w:eastAsia="Times New Roman" w:hAnsiTheme="minorHAnsi"/>
                <w:color w:val="000000"/>
                <w:sz w:val="22"/>
              </w:rPr>
              <w:br/>
              <w:t>% of 47</w:t>
            </w:r>
          </w:p>
        </w:tc>
      </w:tr>
      <w:tr w:rsidR="00084C8E" w:rsidRPr="00084C8E" w14:paraId="17A14C1D" w14:textId="77777777" w:rsidTr="00E9021B">
        <w:trPr>
          <w:trHeight w:val="288"/>
        </w:trPr>
        <w:tc>
          <w:tcPr>
            <w:tcW w:w="2160" w:type="dxa"/>
            <w:shd w:val="clear" w:color="auto" w:fill="auto"/>
            <w:noWrap/>
            <w:vAlign w:val="bottom"/>
            <w:hideMark/>
          </w:tcPr>
          <w:p w14:paraId="7CEAD802" w14:textId="77777777" w:rsidR="00084C8E" w:rsidRPr="00084C8E" w:rsidRDefault="00084C8E" w:rsidP="00E9021B">
            <w:pPr>
              <w:tabs>
                <w:tab w:val="right" w:pos="1707"/>
              </w:tabs>
              <w:rPr>
                <w:rFonts w:asciiTheme="minorHAnsi" w:eastAsia="Times New Roman" w:hAnsiTheme="minorHAnsi"/>
                <w:color w:val="000000"/>
                <w:sz w:val="22"/>
              </w:rPr>
            </w:pPr>
            <w:r w:rsidRPr="00084C8E">
              <w:rPr>
                <w:rFonts w:asciiTheme="minorHAnsi" w:eastAsia="Times New Roman" w:hAnsiTheme="minorHAnsi"/>
                <w:color w:val="000000"/>
                <w:sz w:val="22"/>
              </w:rPr>
              <w:tab/>
              <w:t>&lt; 1 000</w:t>
            </w:r>
          </w:p>
        </w:tc>
        <w:tc>
          <w:tcPr>
            <w:tcW w:w="2160" w:type="dxa"/>
            <w:shd w:val="clear" w:color="auto" w:fill="auto"/>
            <w:noWrap/>
            <w:vAlign w:val="bottom"/>
            <w:hideMark/>
          </w:tcPr>
          <w:p w14:paraId="586DC42E"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0</w:t>
            </w:r>
          </w:p>
        </w:tc>
        <w:tc>
          <w:tcPr>
            <w:tcW w:w="2160" w:type="dxa"/>
            <w:shd w:val="clear" w:color="auto" w:fill="auto"/>
            <w:noWrap/>
            <w:vAlign w:val="bottom"/>
            <w:hideMark/>
          </w:tcPr>
          <w:p w14:paraId="060BF181"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0</w:t>
            </w:r>
          </w:p>
        </w:tc>
        <w:tc>
          <w:tcPr>
            <w:tcW w:w="2160" w:type="dxa"/>
            <w:shd w:val="clear" w:color="auto" w:fill="auto"/>
            <w:noWrap/>
            <w:vAlign w:val="bottom"/>
            <w:hideMark/>
          </w:tcPr>
          <w:p w14:paraId="133C9EB5" w14:textId="77777777" w:rsidR="00084C8E" w:rsidRPr="00084C8E" w:rsidRDefault="00084C8E" w:rsidP="00E9021B">
            <w:pPr>
              <w:tabs>
                <w:tab w:val="decimal" w:pos="1035"/>
              </w:tabs>
              <w:rPr>
                <w:rFonts w:asciiTheme="minorHAnsi" w:eastAsia="Times New Roman" w:hAnsiTheme="minorHAnsi"/>
                <w:color w:val="000000"/>
                <w:sz w:val="22"/>
              </w:rPr>
            </w:pPr>
            <w:r w:rsidRPr="00084C8E">
              <w:rPr>
                <w:rFonts w:asciiTheme="minorHAnsi" w:eastAsia="Times New Roman" w:hAnsiTheme="minorHAnsi"/>
                <w:color w:val="000000"/>
                <w:sz w:val="22"/>
              </w:rPr>
              <w:t>0</w:t>
            </w:r>
          </w:p>
        </w:tc>
      </w:tr>
      <w:tr w:rsidR="00084C8E" w:rsidRPr="00084C8E" w14:paraId="49692120" w14:textId="77777777" w:rsidTr="00E9021B">
        <w:trPr>
          <w:trHeight w:val="288"/>
        </w:trPr>
        <w:tc>
          <w:tcPr>
            <w:tcW w:w="2160" w:type="dxa"/>
            <w:shd w:val="clear" w:color="auto" w:fill="auto"/>
            <w:noWrap/>
            <w:vAlign w:val="bottom"/>
            <w:hideMark/>
          </w:tcPr>
          <w:p w14:paraId="21F1BD84" w14:textId="77777777" w:rsidR="00084C8E" w:rsidRPr="00084C8E" w:rsidRDefault="00084C8E" w:rsidP="00E9021B">
            <w:pPr>
              <w:tabs>
                <w:tab w:val="right" w:pos="1707"/>
              </w:tabs>
              <w:rPr>
                <w:rFonts w:asciiTheme="minorHAnsi" w:eastAsia="Times New Roman" w:hAnsiTheme="minorHAnsi"/>
                <w:color w:val="000000"/>
                <w:sz w:val="22"/>
              </w:rPr>
            </w:pPr>
            <w:r w:rsidRPr="00084C8E">
              <w:rPr>
                <w:rFonts w:asciiTheme="minorHAnsi" w:eastAsia="Times New Roman" w:hAnsiTheme="minorHAnsi"/>
                <w:color w:val="000000"/>
                <w:sz w:val="22"/>
              </w:rPr>
              <w:tab/>
              <w:t>1 000 – 2 000</w:t>
            </w:r>
          </w:p>
        </w:tc>
        <w:tc>
          <w:tcPr>
            <w:tcW w:w="2160" w:type="dxa"/>
            <w:shd w:val="clear" w:color="auto" w:fill="auto"/>
            <w:noWrap/>
            <w:vAlign w:val="bottom"/>
            <w:hideMark/>
          </w:tcPr>
          <w:p w14:paraId="520047A5"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4</w:t>
            </w:r>
          </w:p>
        </w:tc>
        <w:tc>
          <w:tcPr>
            <w:tcW w:w="2160" w:type="dxa"/>
            <w:shd w:val="clear" w:color="auto" w:fill="auto"/>
            <w:noWrap/>
            <w:vAlign w:val="bottom"/>
            <w:hideMark/>
          </w:tcPr>
          <w:p w14:paraId="6FC964D9"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4</w:t>
            </w:r>
          </w:p>
        </w:tc>
        <w:tc>
          <w:tcPr>
            <w:tcW w:w="2160" w:type="dxa"/>
            <w:shd w:val="clear" w:color="auto" w:fill="auto"/>
            <w:noWrap/>
            <w:vAlign w:val="bottom"/>
            <w:hideMark/>
          </w:tcPr>
          <w:p w14:paraId="1C2EC5DB" w14:textId="77777777" w:rsidR="00084C8E" w:rsidRPr="00084C8E" w:rsidRDefault="00084C8E" w:rsidP="00E9021B">
            <w:pPr>
              <w:tabs>
                <w:tab w:val="decimal" w:pos="1035"/>
              </w:tabs>
              <w:rPr>
                <w:rFonts w:asciiTheme="minorHAnsi" w:eastAsia="Times New Roman" w:hAnsiTheme="minorHAnsi"/>
                <w:color w:val="000000"/>
                <w:sz w:val="22"/>
              </w:rPr>
            </w:pPr>
            <w:r w:rsidRPr="00084C8E">
              <w:rPr>
                <w:rFonts w:asciiTheme="minorHAnsi" w:eastAsia="Times New Roman" w:hAnsiTheme="minorHAnsi"/>
                <w:color w:val="000000"/>
                <w:sz w:val="22"/>
              </w:rPr>
              <w:t>8.5</w:t>
            </w:r>
          </w:p>
        </w:tc>
      </w:tr>
      <w:tr w:rsidR="00084C8E" w:rsidRPr="00084C8E" w14:paraId="1E10A57E" w14:textId="77777777" w:rsidTr="00E9021B">
        <w:trPr>
          <w:trHeight w:val="288"/>
        </w:trPr>
        <w:tc>
          <w:tcPr>
            <w:tcW w:w="2160" w:type="dxa"/>
            <w:shd w:val="clear" w:color="auto" w:fill="auto"/>
            <w:noWrap/>
            <w:vAlign w:val="bottom"/>
            <w:hideMark/>
          </w:tcPr>
          <w:p w14:paraId="612895CD" w14:textId="77777777" w:rsidR="00084C8E" w:rsidRPr="00084C8E" w:rsidRDefault="00084C8E" w:rsidP="00E9021B">
            <w:pPr>
              <w:tabs>
                <w:tab w:val="right" w:pos="1707"/>
              </w:tabs>
              <w:rPr>
                <w:rFonts w:asciiTheme="minorHAnsi" w:eastAsia="Times New Roman" w:hAnsiTheme="minorHAnsi"/>
                <w:color w:val="000000"/>
                <w:sz w:val="22"/>
              </w:rPr>
            </w:pPr>
            <w:r w:rsidRPr="00084C8E">
              <w:rPr>
                <w:rFonts w:asciiTheme="minorHAnsi" w:eastAsia="Times New Roman" w:hAnsiTheme="minorHAnsi"/>
                <w:color w:val="000000"/>
                <w:sz w:val="22"/>
              </w:rPr>
              <w:tab/>
              <w:t>2 000 – 3 000</w:t>
            </w:r>
          </w:p>
        </w:tc>
        <w:tc>
          <w:tcPr>
            <w:tcW w:w="2160" w:type="dxa"/>
            <w:shd w:val="clear" w:color="auto" w:fill="auto"/>
            <w:noWrap/>
            <w:vAlign w:val="bottom"/>
            <w:hideMark/>
          </w:tcPr>
          <w:p w14:paraId="6D07B6C2"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4</w:t>
            </w:r>
          </w:p>
        </w:tc>
        <w:tc>
          <w:tcPr>
            <w:tcW w:w="2160" w:type="dxa"/>
            <w:shd w:val="clear" w:color="auto" w:fill="auto"/>
            <w:noWrap/>
            <w:vAlign w:val="bottom"/>
            <w:hideMark/>
          </w:tcPr>
          <w:p w14:paraId="5BFB0FC9"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8</w:t>
            </w:r>
          </w:p>
        </w:tc>
        <w:tc>
          <w:tcPr>
            <w:tcW w:w="2160" w:type="dxa"/>
            <w:shd w:val="clear" w:color="auto" w:fill="auto"/>
            <w:noWrap/>
            <w:vAlign w:val="bottom"/>
            <w:hideMark/>
          </w:tcPr>
          <w:p w14:paraId="49996DA8" w14:textId="77777777" w:rsidR="00084C8E" w:rsidRPr="00084C8E" w:rsidRDefault="00084C8E" w:rsidP="00E9021B">
            <w:pPr>
              <w:tabs>
                <w:tab w:val="decimal" w:pos="1035"/>
              </w:tabs>
              <w:rPr>
                <w:rFonts w:asciiTheme="minorHAnsi" w:eastAsia="Times New Roman" w:hAnsiTheme="minorHAnsi"/>
                <w:color w:val="000000"/>
                <w:sz w:val="22"/>
              </w:rPr>
            </w:pPr>
            <w:r w:rsidRPr="00084C8E">
              <w:rPr>
                <w:rFonts w:asciiTheme="minorHAnsi" w:eastAsia="Times New Roman" w:hAnsiTheme="minorHAnsi"/>
                <w:color w:val="000000"/>
                <w:sz w:val="22"/>
              </w:rPr>
              <w:t>17.0</w:t>
            </w:r>
          </w:p>
        </w:tc>
      </w:tr>
      <w:tr w:rsidR="00084C8E" w:rsidRPr="00084C8E" w14:paraId="66AF546F" w14:textId="77777777" w:rsidTr="00E9021B">
        <w:trPr>
          <w:trHeight w:val="288"/>
        </w:trPr>
        <w:tc>
          <w:tcPr>
            <w:tcW w:w="2160" w:type="dxa"/>
            <w:shd w:val="clear" w:color="auto" w:fill="auto"/>
            <w:noWrap/>
            <w:vAlign w:val="bottom"/>
            <w:hideMark/>
          </w:tcPr>
          <w:p w14:paraId="7FA995FB" w14:textId="77777777" w:rsidR="00084C8E" w:rsidRPr="00084C8E" w:rsidRDefault="00084C8E" w:rsidP="00E9021B">
            <w:pPr>
              <w:tabs>
                <w:tab w:val="right" w:pos="1707"/>
              </w:tabs>
              <w:rPr>
                <w:rFonts w:asciiTheme="minorHAnsi" w:eastAsia="Times New Roman" w:hAnsiTheme="minorHAnsi"/>
                <w:color w:val="000000"/>
                <w:sz w:val="22"/>
              </w:rPr>
            </w:pPr>
            <w:r w:rsidRPr="00084C8E">
              <w:rPr>
                <w:rFonts w:asciiTheme="minorHAnsi" w:eastAsia="Times New Roman" w:hAnsiTheme="minorHAnsi"/>
                <w:color w:val="000000"/>
                <w:sz w:val="22"/>
              </w:rPr>
              <w:tab/>
              <w:t>3 000 – 4 000</w:t>
            </w:r>
          </w:p>
        </w:tc>
        <w:tc>
          <w:tcPr>
            <w:tcW w:w="2160" w:type="dxa"/>
            <w:shd w:val="clear" w:color="auto" w:fill="auto"/>
            <w:noWrap/>
            <w:vAlign w:val="bottom"/>
            <w:hideMark/>
          </w:tcPr>
          <w:p w14:paraId="27EBBBC4"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9</w:t>
            </w:r>
          </w:p>
        </w:tc>
        <w:tc>
          <w:tcPr>
            <w:tcW w:w="2160" w:type="dxa"/>
            <w:shd w:val="clear" w:color="auto" w:fill="auto"/>
            <w:noWrap/>
            <w:vAlign w:val="bottom"/>
            <w:hideMark/>
          </w:tcPr>
          <w:p w14:paraId="198F122A"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17</w:t>
            </w:r>
          </w:p>
        </w:tc>
        <w:tc>
          <w:tcPr>
            <w:tcW w:w="2160" w:type="dxa"/>
            <w:shd w:val="clear" w:color="auto" w:fill="auto"/>
            <w:noWrap/>
            <w:vAlign w:val="bottom"/>
            <w:hideMark/>
          </w:tcPr>
          <w:p w14:paraId="20B8A56F" w14:textId="77777777" w:rsidR="00084C8E" w:rsidRPr="00084C8E" w:rsidRDefault="00084C8E" w:rsidP="00E9021B">
            <w:pPr>
              <w:tabs>
                <w:tab w:val="decimal" w:pos="1035"/>
              </w:tabs>
              <w:rPr>
                <w:rFonts w:asciiTheme="minorHAnsi" w:eastAsia="Times New Roman" w:hAnsiTheme="minorHAnsi"/>
                <w:color w:val="000000"/>
                <w:sz w:val="22"/>
              </w:rPr>
            </w:pPr>
            <w:r w:rsidRPr="00084C8E">
              <w:rPr>
                <w:rFonts w:asciiTheme="minorHAnsi" w:eastAsia="Times New Roman" w:hAnsiTheme="minorHAnsi"/>
                <w:color w:val="000000"/>
                <w:sz w:val="22"/>
              </w:rPr>
              <w:t>36.2</w:t>
            </w:r>
          </w:p>
        </w:tc>
      </w:tr>
      <w:tr w:rsidR="00084C8E" w:rsidRPr="00084C8E" w14:paraId="38EF07A7" w14:textId="77777777" w:rsidTr="00E9021B">
        <w:trPr>
          <w:trHeight w:val="288"/>
        </w:trPr>
        <w:tc>
          <w:tcPr>
            <w:tcW w:w="2160" w:type="dxa"/>
            <w:shd w:val="clear" w:color="auto" w:fill="auto"/>
            <w:noWrap/>
            <w:vAlign w:val="bottom"/>
            <w:hideMark/>
          </w:tcPr>
          <w:p w14:paraId="6F47209B" w14:textId="77777777" w:rsidR="00084C8E" w:rsidRPr="00084C8E" w:rsidRDefault="00084C8E" w:rsidP="00E9021B">
            <w:pPr>
              <w:tabs>
                <w:tab w:val="right" w:pos="1707"/>
              </w:tabs>
              <w:rPr>
                <w:rFonts w:asciiTheme="minorHAnsi" w:eastAsia="Times New Roman" w:hAnsiTheme="minorHAnsi"/>
                <w:color w:val="000000"/>
                <w:sz w:val="22"/>
              </w:rPr>
            </w:pPr>
            <w:r w:rsidRPr="00084C8E">
              <w:rPr>
                <w:rFonts w:asciiTheme="minorHAnsi" w:eastAsia="Times New Roman" w:hAnsiTheme="minorHAnsi"/>
                <w:color w:val="000000"/>
                <w:sz w:val="22"/>
              </w:rPr>
              <w:tab/>
              <w:t>4 000 – 5 000</w:t>
            </w:r>
          </w:p>
        </w:tc>
        <w:tc>
          <w:tcPr>
            <w:tcW w:w="2160" w:type="dxa"/>
            <w:shd w:val="clear" w:color="auto" w:fill="auto"/>
            <w:noWrap/>
            <w:vAlign w:val="bottom"/>
            <w:hideMark/>
          </w:tcPr>
          <w:p w14:paraId="16BAC4EF"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2</w:t>
            </w:r>
          </w:p>
        </w:tc>
        <w:tc>
          <w:tcPr>
            <w:tcW w:w="2160" w:type="dxa"/>
            <w:shd w:val="clear" w:color="auto" w:fill="auto"/>
            <w:noWrap/>
            <w:vAlign w:val="bottom"/>
            <w:hideMark/>
          </w:tcPr>
          <w:p w14:paraId="1621CA96"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19</w:t>
            </w:r>
          </w:p>
        </w:tc>
        <w:tc>
          <w:tcPr>
            <w:tcW w:w="2160" w:type="dxa"/>
            <w:shd w:val="clear" w:color="auto" w:fill="auto"/>
            <w:noWrap/>
            <w:vAlign w:val="bottom"/>
            <w:hideMark/>
          </w:tcPr>
          <w:p w14:paraId="29659417" w14:textId="77777777" w:rsidR="00084C8E" w:rsidRPr="00084C8E" w:rsidRDefault="00084C8E" w:rsidP="00E9021B">
            <w:pPr>
              <w:tabs>
                <w:tab w:val="decimal" w:pos="1035"/>
              </w:tabs>
              <w:rPr>
                <w:rFonts w:asciiTheme="minorHAnsi" w:eastAsia="Times New Roman" w:hAnsiTheme="minorHAnsi"/>
                <w:color w:val="000000"/>
                <w:sz w:val="22"/>
              </w:rPr>
            </w:pPr>
            <w:r w:rsidRPr="00084C8E">
              <w:rPr>
                <w:rFonts w:asciiTheme="minorHAnsi" w:eastAsia="Times New Roman" w:hAnsiTheme="minorHAnsi"/>
                <w:color w:val="000000"/>
                <w:sz w:val="22"/>
              </w:rPr>
              <w:t>40.4</w:t>
            </w:r>
          </w:p>
        </w:tc>
      </w:tr>
      <w:tr w:rsidR="00084C8E" w:rsidRPr="00084C8E" w14:paraId="190A9FC7" w14:textId="77777777" w:rsidTr="00E9021B">
        <w:trPr>
          <w:trHeight w:val="288"/>
        </w:trPr>
        <w:tc>
          <w:tcPr>
            <w:tcW w:w="2160" w:type="dxa"/>
            <w:tcBorders>
              <w:bottom w:val="single" w:sz="6" w:space="0" w:color="auto"/>
            </w:tcBorders>
            <w:shd w:val="clear" w:color="auto" w:fill="auto"/>
            <w:noWrap/>
            <w:vAlign w:val="bottom"/>
            <w:hideMark/>
          </w:tcPr>
          <w:p w14:paraId="45056E94" w14:textId="77777777" w:rsidR="00084C8E" w:rsidRPr="00084C8E" w:rsidRDefault="00084C8E" w:rsidP="00E9021B">
            <w:pPr>
              <w:tabs>
                <w:tab w:val="right" w:pos="1707"/>
              </w:tabs>
              <w:rPr>
                <w:rFonts w:asciiTheme="minorHAnsi" w:eastAsia="Times New Roman" w:hAnsiTheme="minorHAnsi"/>
                <w:color w:val="000000"/>
                <w:sz w:val="22"/>
              </w:rPr>
            </w:pPr>
            <w:r w:rsidRPr="00084C8E">
              <w:rPr>
                <w:rFonts w:asciiTheme="minorHAnsi" w:eastAsia="Times New Roman" w:hAnsiTheme="minorHAnsi"/>
                <w:color w:val="000000"/>
                <w:sz w:val="22"/>
              </w:rPr>
              <w:tab/>
              <w:t>5 000 – 7 500</w:t>
            </w:r>
          </w:p>
        </w:tc>
        <w:tc>
          <w:tcPr>
            <w:tcW w:w="2160" w:type="dxa"/>
            <w:tcBorders>
              <w:bottom w:val="single" w:sz="6" w:space="0" w:color="auto"/>
            </w:tcBorders>
            <w:shd w:val="clear" w:color="auto" w:fill="auto"/>
            <w:noWrap/>
            <w:vAlign w:val="bottom"/>
            <w:hideMark/>
          </w:tcPr>
          <w:p w14:paraId="7C700698"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2</w:t>
            </w:r>
          </w:p>
        </w:tc>
        <w:tc>
          <w:tcPr>
            <w:tcW w:w="2160" w:type="dxa"/>
            <w:tcBorders>
              <w:bottom w:val="single" w:sz="6" w:space="0" w:color="auto"/>
            </w:tcBorders>
            <w:shd w:val="clear" w:color="auto" w:fill="auto"/>
            <w:noWrap/>
            <w:vAlign w:val="bottom"/>
            <w:hideMark/>
          </w:tcPr>
          <w:p w14:paraId="70B9E575"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21</w:t>
            </w:r>
          </w:p>
        </w:tc>
        <w:tc>
          <w:tcPr>
            <w:tcW w:w="2160" w:type="dxa"/>
            <w:tcBorders>
              <w:bottom w:val="single" w:sz="6" w:space="0" w:color="auto"/>
            </w:tcBorders>
            <w:shd w:val="clear" w:color="auto" w:fill="auto"/>
            <w:noWrap/>
            <w:vAlign w:val="bottom"/>
            <w:hideMark/>
          </w:tcPr>
          <w:p w14:paraId="26A4BD9B" w14:textId="77777777" w:rsidR="00084C8E" w:rsidRPr="00084C8E" w:rsidRDefault="00084C8E" w:rsidP="00E9021B">
            <w:pPr>
              <w:tabs>
                <w:tab w:val="decimal" w:pos="1035"/>
              </w:tabs>
              <w:rPr>
                <w:rFonts w:asciiTheme="minorHAnsi" w:eastAsia="Times New Roman" w:hAnsiTheme="minorHAnsi"/>
                <w:color w:val="000000"/>
                <w:sz w:val="22"/>
              </w:rPr>
            </w:pPr>
            <w:r w:rsidRPr="00084C8E">
              <w:rPr>
                <w:rFonts w:asciiTheme="minorHAnsi" w:eastAsia="Times New Roman" w:hAnsiTheme="minorHAnsi"/>
                <w:color w:val="000000"/>
                <w:sz w:val="22"/>
              </w:rPr>
              <w:t>44.7</w:t>
            </w:r>
          </w:p>
        </w:tc>
      </w:tr>
      <w:tr w:rsidR="00084C8E" w:rsidRPr="00084C8E" w14:paraId="487285DC" w14:textId="77777777" w:rsidTr="00E9021B">
        <w:trPr>
          <w:trHeight w:val="288"/>
        </w:trPr>
        <w:tc>
          <w:tcPr>
            <w:tcW w:w="2160" w:type="dxa"/>
            <w:tcBorders>
              <w:top w:val="single" w:sz="6" w:space="0" w:color="auto"/>
              <w:bottom w:val="single" w:sz="6" w:space="0" w:color="auto"/>
            </w:tcBorders>
            <w:shd w:val="clear" w:color="auto" w:fill="D9D9D9" w:themeFill="background1" w:themeFillShade="D9"/>
            <w:noWrap/>
            <w:vAlign w:val="bottom"/>
            <w:hideMark/>
          </w:tcPr>
          <w:p w14:paraId="47A05F2C" w14:textId="77777777" w:rsidR="00084C8E" w:rsidRPr="00084C8E" w:rsidRDefault="00084C8E" w:rsidP="00E9021B">
            <w:pPr>
              <w:tabs>
                <w:tab w:val="right" w:pos="1707"/>
              </w:tabs>
              <w:rPr>
                <w:rFonts w:asciiTheme="minorHAnsi" w:eastAsia="Times New Roman" w:hAnsiTheme="minorHAnsi"/>
                <w:color w:val="000000"/>
                <w:sz w:val="22"/>
              </w:rPr>
            </w:pPr>
            <w:r w:rsidRPr="00084C8E">
              <w:rPr>
                <w:rFonts w:asciiTheme="minorHAnsi" w:eastAsia="Times New Roman" w:hAnsiTheme="minorHAnsi"/>
                <w:color w:val="000000"/>
                <w:sz w:val="22"/>
              </w:rPr>
              <w:tab/>
              <w:t>7 500 – 10 000</w:t>
            </w:r>
          </w:p>
        </w:tc>
        <w:tc>
          <w:tcPr>
            <w:tcW w:w="2160" w:type="dxa"/>
            <w:tcBorders>
              <w:top w:val="single" w:sz="6" w:space="0" w:color="auto"/>
              <w:bottom w:val="single" w:sz="6" w:space="0" w:color="auto"/>
            </w:tcBorders>
            <w:shd w:val="clear" w:color="auto" w:fill="D9D9D9" w:themeFill="background1" w:themeFillShade="D9"/>
            <w:noWrap/>
            <w:vAlign w:val="bottom"/>
            <w:hideMark/>
          </w:tcPr>
          <w:p w14:paraId="6E6FF891"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4</w:t>
            </w:r>
          </w:p>
        </w:tc>
        <w:tc>
          <w:tcPr>
            <w:tcW w:w="2160" w:type="dxa"/>
            <w:tcBorders>
              <w:top w:val="single" w:sz="6" w:space="0" w:color="auto"/>
              <w:bottom w:val="single" w:sz="6" w:space="0" w:color="auto"/>
            </w:tcBorders>
            <w:shd w:val="clear" w:color="auto" w:fill="D9D9D9" w:themeFill="background1" w:themeFillShade="D9"/>
            <w:noWrap/>
            <w:vAlign w:val="bottom"/>
            <w:hideMark/>
          </w:tcPr>
          <w:p w14:paraId="589FCDDB"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25</w:t>
            </w:r>
          </w:p>
        </w:tc>
        <w:tc>
          <w:tcPr>
            <w:tcW w:w="2160" w:type="dxa"/>
            <w:tcBorders>
              <w:top w:val="single" w:sz="6" w:space="0" w:color="auto"/>
              <w:bottom w:val="single" w:sz="6" w:space="0" w:color="auto"/>
            </w:tcBorders>
            <w:shd w:val="clear" w:color="auto" w:fill="D9D9D9" w:themeFill="background1" w:themeFillShade="D9"/>
            <w:noWrap/>
            <w:vAlign w:val="bottom"/>
            <w:hideMark/>
          </w:tcPr>
          <w:p w14:paraId="05A93C14" w14:textId="77777777" w:rsidR="00084C8E" w:rsidRPr="00084C8E" w:rsidRDefault="00084C8E" w:rsidP="00E9021B">
            <w:pPr>
              <w:tabs>
                <w:tab w:val="decimal" w:pos="1035"/>
              </w:tabs>
              <w:rPr>
                <w:rFonts w:asciiTheme="minorHAnsi" w:eastAsia="Times New Roman" w:hAnsiTheme="minorHAnsi"/>
                <w:color w:val="000000"/>
                <w:sz w:val="22"/>
              </w:rPr>
            </w:pPr>
            <w:r w:rsidRPr="00084C8E">
              <w:rPr>
                <w:rFonts w:asciiTheme="minorHAnsi" w:eastAsia="Times New Roman" w:hAnsiTheme="minorHAnsi"/>
                <w:color w:val="000000"/>
                <w:sz w:val="22"/>
              </w:rPr>
              <w:t>53.2</w:t>
            </w:r>
          </w:p>
        </w:tc>
      </w:tr>
      <w:tr w:rsidR="00084C8E" w:rsidRPr="00084C8E" w14:paraId="458886E3" w14:textId="77777777" w:rsidTr="00E9021B">
        <w:trPr>
          <w:trHeight w:val="288"/>
        </w:trPr>
        <w:tc>
          <w:tcPr>
            <w:tcW w:w="2160" w:type="dxa"/>
            <w:tcBorders>
              <w:top w:val="single" w:sz="6" w:space="0" w:color="auto"/>
              <w:bottom w:val="single" w:sz="6" w:space="0" w:color="auto"/>
            </w:tcBorders>
            <w:shd w:val="clear" w:color="auto" w:fill="auto"/>
            <w:noWrap/>
            <w:vAlign w:val="bottom"/>
            <w:hideMark/>
          </w:tcPr>
          <w:p w14:paraId="6C862468" w14:textId="77777777" w:rsidR="00084C8E" w:rsidRPr="00084C8E" w:rsidRDefault="00084C8E" w:rsidP="00E9021B">
            <w:pPr>
              <w:tabs>
                <w:tab w:val="right" w:pos="1707"/>
              </w:tabs>
              <w:rPr>
                <w:rFonts w:asciiTheme="minorHAnsi" w:eastAsia="Times New Roman" w:hAnsiTheme="minorHAnsi"/>
                <w:color w:val="000000"/>
                <w:sz w:val="22"/>
              </w:rPr>
            </w:pPr>
            <w:r w:rsidRPr="00084C8E">
              <w:rPr>
                <w:rFonts w:asciiTheme="minorHAnsi" w:eastAsia="Times New Roman" w:hAnsiTheme="minorHAnsi"/>
                <w:color w:val="000000"/>
                <w:sz w:val="22"/>
              </w:rPr>
              <w:tab/>
              <w:t>10 000 – 12 500</w:t>
            </w:r>
          </w:p>
        </w:tc>
        <w:tc>
          <w:tcPr>
            <w:tcW w:w="2160" w:type="dxa"/>
            <w:tcBorders>
              <w:top w:val="single" w:sz="6" w:space="0" w:color="auto"/>
              <w:bottom w:val="single" w:sz="6" w:space="0" w:color="auto"/>
            </w:tcBorders>
            <w:shd w:val="clear" w:color="auto" w:fill="auto"/>
            <w:noWrap/>
            <w:vAlign w:val="bottom"/>
            <w:hideMark/>
          </w:tcPr>
          <w:p w14:paraId="712FA1AA"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8</w:t>
            </w:r>
          </w:p>
        </w:tc>
        <w:tc>
          <w:tcPr>
            <w:tcW w:w="2160" w:type="dxa"/>
            <w:tcBorders>
              <w:top w:val="single" w:sz="6" w:space="0" w:color="auto"/>
              <w:bottom w:val="single" w:sz="6" w:space="0" w:color="auto"/>
            </w:tcBorders>
            <w:shd w:val="clear" w:color="auto" w:fill="auto"/>
            <w:noWrap/>
            <w:vAlign w:val="bottom"/>
            <w:hideMark/>
          </w:tcPr>
          <w:p w14:paraId="4B59E893"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33</w:t>
            </w:r>
          </w:p>
        </w:tc>
        <w:tc>
          <w:tcPr>
            <w:tcW w:w="2160" w:type="dxa"/>
            <w:tcBorders>
              <w:top w:val="single" w:sz="6" w:space="0" w:color="auto"/>
              <w:bottom w:val="single" w:sz="6" w:space="0" w:color="auto"/>
            </w:tcBorders>
            <w:shd w:val="clear" w:color="auto" w:fill="auto"/>
            <w:noWrap/>
            <w:vAlign w:val="bottom"/>
            <w:hideMark/>
          </w:tcPr>
          <w:p w14:paraId="533C25F2" w14:textId="77777777" w:rsidR="00084C8E" w:rsidRPr="00084C8E" w:rsidRDefault="00084C8E" w:rsidP="00E9021B">
            <w:pPr>
              <w:tabs>
                <w:tab w:val="decimal" w:pos="1035"/>
              </w:tabs>
              <w:rPr>
                <w:rFonts w:asciiTheme="minorHAnsi" w:eastAsia="Times New Roman" w:hAnsiTheme="minorHAnsi"/>
                <w:color w:val="000000"/>
                <w:sz w:val="22"/>
              </w:rPr>
            </w:pPr>
            <w:r w:rsidRPr="00084C8E">
              <w:rPr>
                <w:rFonts w:asciiTheme="minorHAnsi" w:eastAsia="Times New Roman" w:hAnsiTheme="minorHAnsi"/>
                <w:color w:val="000000"/>
                <w:sz w:val="22"/>
              </w:rPr>
              <w:t>70.2</w:t>
            </w:r>
          </w:p>
        </w:tc>
      </w:tr>
      <w:tr w:rsidR="00084C8E" w:rsidRPr="00084C8E" w14:paraId="5BDA6881" w14:textId="77777777" w:rsidTr="00E9021B">
        <w:trPr>
          <w:trHeight w:val="288"/>
        </w:trPr>
        <w:tc>
          <w:tcPr>
            <w:tcW w:w="2160" w:type="dxa"/>
            <w:tcBorders>
              <w:top w:val="single" w:sz="6" w:space="0" w:color="auto"/>
              <w:bottom w:val="single" w:sz="6" w:space="0" w:color="auto"/>
            </w:tcBorders>
            <w:shd w:val="clear" w:color="auto" w:fill="D9D9D9" w:themeFill="background1" w:themeFillShade="D9"/>
            <w:noWrap/>
            <w:vAlign w:val="bottom"/>
            <w:hideMark/>
          </w:tcPr>
          <w:p w14:paraId="21AB815E" w14:textId="77777777" w:rsidR="00084C8E" w:rsidRPr="00084C8E" w:rsidRDefault="00084C8E" w:rsidP="00E9021B">
            <w:pPr>
              <w:tabs>
                <w:tab w:val="right" w:pos="1707"/>
              </w:tabs>
              <w:rPr>
                <w:rFonts w:asciiTheme="minorHAnsi" w:eastAsia="Times New Roman" w:hAnsiTheme="minorHAnsi"/>
                <w:color w:val="000000"/>
                <w:sz w:val="22"/>
              </w:rPr>
            </w:pPr>
            <w:r w:rsidRPr="00084C8E">
              <w:rPr>
                <w:rFonts w:asciiTheme="minorHAnsi" w:eastAsia="Times New Roman" w:hAnsiTheme="minorHAnsi"/>
                <w:color w:val="000000"/>
                <w:sz w:val="22"/>
              </w:rPr>
              <w:tab/>
              <w:t>12 000 – 15 000</w:t>
            </w:r>
          </w:p>
        </w:tc>
        <w:tc>
          <w:tcPr>
            <w:tcW w:w="2160" w:type="dxa"/>
            <w:tcBorders>
              <w:top w:val="single" w:sz="6" w:space="0" w:color="auto"/>
              <w:bottom w:val="single" w:sz="6" w:space="0" w:color="auto"/>
            </w:tcBorders>
            <w:shd w:val="clear" w:color="auto" w:fill="D9D9D9" w:themeFill="background1" w:themeFillShade="D9"/>
            <w:noWrap/>
            <w:vAlign w:val="bottom"/>
            <w:hideMark/>
          </w:tcPr>
          <w:p w14:paraId="4B8EB0E4"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3</w:t>
            </w:r>
          </w:p>
        </w:tc>
        <w:tc>
          <w:tcPr>
            <w:tcW w:w="2160" w:type="dxa"/>
            <w:tcBorders>
              <w:top w:val="single" w:sz="6" w:space="0" w:color="auto"/>
              <w:bottom w:val="single" w:sz="6" w:space="0" w:color="auto"/>
            </w:tcBorders>
            <w:shd w:val="clear" w:color="auto" w:fill="D9D9D9" w:themeFill="background1" w:themeFillShade="D9"/>
            <w:noWrap/>
            <w:vAlign w:val="bottom"/>
            <w:hideMark/>
          </w:tcPr>
          <w:p w14:paraId="3C24E814"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36</w:t>
            </w:r>
          </w:p>
        </w:tc>
        <w:tc>
          <w:tcPr>
            <w:tcW w:w="2160" w:type="dxa"/>
            <w:tcBorders>
              <w:top w:val="single" w:sz="6" w:space="0" w:color="auto"/>
              <w:bottom w:val="single" w:sz="6" w:space="0" w:color="auto"/>
            </w:tcBorders>
            <w:shd w:val="clear" w:color="auto" w:fill="D9D9D9" w:themeFill="background1" w:themeFillShade="D9"/>
            <w:noWrap/>
            <w:vAlign w:val="bottom"/>
            <w:hideMark/>
          </w:tcPr>
          <w:p w14:paraId="6EE82B84" w14:textId="77777777" w:rsidR="00084C8E" w:rsidRPr="00084C8E" w:rsidRDefault="00084C8E" w:rsidP="00E9021B">
            <w:pPr>
              <w:tabs>
                <w:tab w:val="decimal" w:pos="1035"/>
              </w:tabs>
              <w:rPr>
                <w:rFonts w:asciiTheme="minorHAnsi" w:eastAsia="Times New Roman" w:hAnsiTheme="minorHAnsi"/>
                <w:color w:val="000000"/>
                <w:sz w:val="22"/>
              </w:rPr>
            </w:pPr>
            <w:r w:rsidRPr="00084C8E">
              <w:rPr>
                <w:rFonts w:asciiTheme="minorHAnsi" w:eastAsia="Times New Roman" w:hAnsiTheme="minorHAnsi"/>
                <w:color w:val="000000"/>
                <w:sz w:val="22"/>
              </w:rPr>
              <w:t>76.6</w:t>
            </w:r>
          </w:p>
        </w:tc>
      </w:tr>
      <w:tr w:rsidR="00084C8E" w:rsidRPr="00084C8E" w14:paraId="2D5060B9" w14:textId="77777777" w:rsidTr="00E9021B">
        <w:trPr>
          <w:trHeight w:val="288"/>
        </w:trPr>
        <w:tc>
          <w:tcPr>
            <w:tcW w:w="2160" w:type="dxa"/>
            <w:tcBorders>
              <w:top w:val="single" w:sz="6" w:space="0" w:color="auto"/>
            </w:tcBorders>
            <w:shd w:val="clear" w:color="auto" w:fill="auto"/>
            <w:noWrap/>
            <w:vAlign w:val="bottom"/>
            <w:hideMark/>
          </w:tcPr>
          <w:p w14:paraId="64E7F8F3" w14:textId="77777777" w:rsidR="00084C8E" w:rsidRPr="00084C8E" w:rsidRDefault="00084C8E" w:rsidP="00E9021B">
            <w:pPr>
              <w:tabs>
                <w:tab w:val="right" w:pos="1707"/>
              </w:tabs>
              <w:rPr>
                <w:rFonts w:asciiTheme="minorHAnsi" w:eastAsia="Times New Roman" w:hAnsiTheme="minorHAnsi"/>
                <w:color w:val="000000"/>
                <w:sz w:val="22"/>
              </w:rPr>
            </w:pPr>
            <w:r w:rsidRPr="00084C8E">
              <w:rPr>
                <w:rFonts w:asciiTheme="minorHAnsi" w:eastAsia="Times New Roman" w:hAnsiTheme="minorHAnsi"/>
                <w:color w:val="000000"/>
                <w:sz w:val="22"/>
              </w:rPr>
              <w:tab/>
              <w:t>15 000 – 25 000</w:t>
            </w:r>
          </w:p>
        </w:tc>
        <w:tc>
          <w:tcPr>
            <w:tcW w:w="2160" w:type="dxa"/>
            <w:tcBorders>
              <w:top w:val="single" w:sz="6" w:space="0" w:color="auto"/>
            </w:tcBorders>
            <w:shd w:val="clear" w:color="auto" w:fill="auto"/>
            <w:noWrap/>
            <w:vAlign w:val="bottom"/>
            <w:hideMark/>
          </w:tcPr>
          <w:p w14:paraId="3246652F"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2</w:t>
            </w:r>
          </w:p>
        </w:tc>
        <w:tc>
          <w:tcPr>
            <w:tcW w:w="2160" w:type="dxa"/>
            <w:tcBorders>
              <w:top w:val="single" w:sz="6" w:space="0" w:color="auto"/>
            </w:tcBorders>
            <w:shd w:val="clear" w:color="auto" w:fill="auto"/>
            <w:noWrap/>
            <w:vAlign w:val="bottom"/>
            <w:hideMark/>
          </w:tcPr>
          <w:p w14:paraId="51A48CEC"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38</w:t>
            </w:r>
          </w:p>
        </w:tc>
        <w:tc>
          <w:tcPr>
            <w:tcW w:w="2160" w:type="dxa"/>
            <w:tcBorders>
              <w:top w:val="single" w:sz="6" w:space="0" w:color="auto"/>
            </w:tcBorders>
            <w:shd w:val="clear" w:color="auto" w:fill="auto"/>
            <w:noWrap/>
            <w:vAlign w:val="bottom"/>
            <w:hideMark/>
          </w:tcPr>
          <w:p w14:paraId="30BF1333" w14:textId="77777777" w:rsidR="00084C8E" w:rsidRPr="00084C8E" w:rsidRDefault="00084C8E" w:rsidP="00E9021B">
            <w:pPr>
              <w:tabs>
                <w:tab w:val="decimal" w:pos="1035"/>
              </w:tabs>
              <w:rPr>
                <w:rFonts w:asciiTheme="minorHAnsi" w:eastAsia="Times New Roman" w:hAnsiTheme="minorHAnsi"/>
                <w:color w:val="000000"/>
                <w:sz w:val="22"/>
              </w:rPr>
            </w:pPr>
            <w:r w:rsidRPr="00084C8E">
              <w:rPr>
                <w:rFonts w:asciiTheme="minorHAnsi" w:eastAsia="Times New Roman" w:hAnsiTheme="minorHAnsi"/>
                <w:color w:val="000000"/>
                <w:sz w:val="22"/>
              </w:rPr>
              <w:t>80.9</w:t>
            </w:r>
          </w:p>
        </w:tc>
      </w:tr>
      <w:tr w:rsidR="00084C8E" w:rsidRPr="00084C8E" w14:paraId="04A10AB9" w14:textId="77777777" w:rsidTr="00E9021B">
        <w:trPr>
          <w:trHeight w:val="288"/>
        </w:trPr>
        <w:tc>
          <w:tcPr>
            <w:tcW w:w="2160" w:type="dxa"/>
            <w:shd w:val="clear" w:color="auto" w:fill="auto"/>
            <w:noWrap/>
            <w:vAlign w:val="bottom"/>
            <w:hideMark/>
          </w:tcPr>
          <w:p w14:paraId="7F9B60D6" w14:textId="77777777" w:rsidR="00084C8E" w:rsidRPr="00084C8E" w:rsidRDefault="00084C8E" w:rsidP="00E9021B">
            <w:pPr>
              <w:tabs>
                <w:tab w:val="right" w:pos="1707"/>
              </w:tabs>
              <w:rPr>
                <w:rFonts w:asciiTheme="minorHAnsi" w:eastAsia="Times New Roman" w:hAnsiTheme="minorHAnsi"/>
                <w:color w:val="000000"/>
                <w:sz w:val="22"/>
              </w:rPr>
            </w:pPr>
            <w:r w:rsidRPr="00084C8E">
              <w:rPr>
                <w:rFonts w:asciiTheme="minorHAnsi" w:eastAsia="Times New Roman" w:hAnsiTheme="minorHAnsi"/>
                <w:color w:val="000000"/>
                <w:sz w:val="22"/>
              </w:rPr>
              <w:tab/>
              <w:t>25 000 – 50 000</w:t>
            </w:r>
          </w:p>
        </w:tc>
        <w:tc>
          <w:tcPr>
            <w:tcW w:w="2160" w:type="dxa"/>
            <w:shd w:val="clear" w:color="auto" w:fill="auto"/>
            <w:noWrap/>
            <w:vAlign w:val="bottom"/>
            <w:hideMark/>
          </w:tcPr>
          <w:p w14:paraId="06DEE476"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2</w:t>
            </w:r>
          </w:p>
        </w:tc>
        <w:tc>
          <w:tcPr>
            <w:tcW w:w="2160" w:type="dxa"/>
            <w:shd w:val="clear" w:color="auto" w:fill="auto"/>
            <w:noWrap/>
            <w:vAlign w:val="bottom"/>
            <w:hideMark/>
          </w:tcPr>
          <w:p w14:paraId="2FEF39F1"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40</w:t>
            </w:r>
          </w:p>
        </w:tc>
        <w:tc>
          <w:tcPr>
            <w:tcW w:w="2160" w:type="dxa"/>
            <w:shd w:val="clear" w:color="auto" w:fill="auto"/>
            <w:noWrap/>
            <w:vAlign w:val="bottom"/>
            <w:hideMark/>
          </w:tcPr>
          <w:p w14:paraId="078E9970" w14:textId="77777777" w:rsidR="00084C8E" w:rsidRPr="00084C8E" w:rsidRDefault="00084C8E" w:rsidP="00E9021B">
            <w:pPr>
              <w:tabs>
                <w:tab w:val="decimal" w:pos="1035"/>
              </w:tabs>
              <w:rPr>
                <w:rFonts w:asciiTheme="minorHAnsi" w:eastAsia="Times New Roman" w:hAnsiTheme="minorHAnsi"/>
                <w:color w:val="000000"/>
                <w:sz w:val="22"/>
              </w:rPr>
            </w:pPr>
            <w:r w:rsidRPr="00084C8E">
              <w:rPr>
                <w:rFonts w:asciiTheme="minorHAnsi" w:eastAsia="Times New Roman" w:hAnsiTheme="minorHAnsi"/>
                <w:color w:val="000000"/>
                <w:sz w:val="22"/>
              </w:rPr>
              <w:t>85.1</w:t>
            </w:r>
          </w:p>
        </w:tc>
      </w:tr>
      <w:tr w:rsidR="00084C8E" w:rsidRPr="00084C8E" w14:paraId="714AF6AC" w14:textId="77777777" w:rsidTr="00E9021B">
        <w:trPr>
          <w:trHeight w:val="288"/>
        </w:trPr>
        <w:tc>
          <w:tcPr>
            <w:tcW w:w="2160" w:type="dxa"/>
            <w:shd w:val="clear" w:color="auto" w:fill="auto"/>
            <w:noWrap/>
            <w:vAlign w:val="bottom"/>
            <w:hideMark/>
          </w:tcPr>
          <w:p w14:paraId="3125150E" w14:textId="77777777" w:rsidR="00084C8E" w:rsidRPr="00084C8E" w:rsidRDefault="00084C8E" w:rsidP="00E9021B">
            <w:pPr>
              <w:tabs>
                <w:tab w:val="right" w:pos="1707"/>
              </w:tabs>
              <w:rPr>
                <w:rFonts w:asciiTheme="minorHAnsi" w:eastAsia="Times New Roman" w:hAnsiTheme="minorHAnsi"/>
                <w:color w:val="000000"/>
                <w:sz w:val="22"/>
              </w:rPr>
            </w:pPr>
            <w:r w:rsidRPr="00084C8E">
              <w:rPr>
                <w:rFonts w:asciiTheme="minorHAnsi" w:eastAsia="Times New Roman" w:hAnsiTheme="minorHAnsi"/>
                <w:color w:val="000000"/>
                <w:sz w:val="22"/>
              </w:rPr>
              <w:tab/>
              <w:t>50 000 – 100 000</w:t>
            </w:r>
          </w:p>
        </w:tc>
        <w:tc>
          <w:tcPr>
            <w:tcW w:w="2160" w:type="dxa"/>
            <w:shd w:val="clear" w:color="auto" w:fill="auto"/>
            <w:noWrap/>
            <w:vAlign w:val="bottom"/>
            <w:hideMark/>
          </w:tcPr>
          <w:p w14:paraId="76A57640"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3</w:t>
            </w:r>
          </w:p>
        </w:tc>
        <w:tc>
          <w:tcPr>
            <w:tcW w:w="2160" w:type="dxa"/>
            <w:shd w:val="clear" w:color="auto" w:fill="auto"/>
            <w:noWrap/>
            <w:vAlign w:val="bottom"/>
            <w:hideMark/>
          </w:tcPr>
          <w:p w14:paraId="44B66FFC"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43</w:t>
            </w:r>
          </w:p>
        </w:tc>
        <w:tc>
          <w:tcPr>
            <w:tcW w:w="2160" w:type="dxa"/>
            <w:shd w:val="clear" w:color="auto" w:fill="auto"/>
            <w:noWrap/>
            <w:vAlign w:val="bottom"/>
            <w:hideMark/>
          </w:tcPr>
          <w:p w14:paraId="25F2DE68" w14:textId="77777777" w:rsidR="00084C8E" w:rsidRPr="00084C8E" w:rsidRDefault="00084C8E" w:rsidP="00E9021B">
            <w:pPr>
              <w:tabs>
                <w:tab w:val="decimal" w:pos="1035"/>
              </w:tabs>
              <w:rPr>
                <w:rFonts w:asciiTheme="minorHAnsi" w:eastAsia="Times New Roman" w:hAnsiTheme="minorHAnsi"/>
                <w:color w:val="000000"/>
                <w:sz w:val="22"/>
              </w:rPr>
            </w:pPr>
            <w:r w:rsidRPr="00084C8E">
              <w:rPr>
                <w:rFonts w:asciiTheme="minorHAnsi" w:eastAsia="Times New Roman" w:hAnsiTheme="minorHAnsi"/>
                <w:color w:val="000000"/>
                <w:sz w:val="22"/>
              </w:rPr>
              <w:t>91.5</w:t>
            </w:r>
          </w:p>
        </w:tc>
      </w:tr>
      <w:tr w:rsidR="00084C8E" w:rsidRPr="00084C8E" w14:paraId="2B241D0C" w14:textId="77777777" w:rsidTr="00E9021B">
        <w:trPr>
          <w:trHeight w:val="288"/>
        </w:trPr>
        <w:tc>
          <w:tcPr>
            <w:tcW w:w="2160" w:type="dxa"/>
            <w:shd w:val="clear" w:color="auto" w:fill="auto"/>
            <w:noWrap/>
            <w:vAlign w:val="bottom"/>
            <w:hideMark/>
          </w:tcPr>
          <w:p w14:paraId="63E61BD8" w14:textId="77777777" w:rsidR="00084C8E" w:rsidRPr="00084C8E" w:rsidRDefault="00084C8E" w:rsidP="00E9021B">
            <w:pPr>
              <w:tabs>
                <w:tab w:val="right" w:pos="1707"/>
              </w:tabs>
              <w:rPr>
                <w:rFonts w:asciiTheme="minorHAnsi" w:eastAsia="Times New Roman" w:hAnsiTheme="minorHAnsi"/>
                <w:color w:val="000000"/>
                <w:sz w:val="22"/>
              </w:rPr>
            </w:pPr>
            <w:r w:rsidRPr="00084C8E">
              <w:rPr>
                <w:rFonts w:asciiTheme="minorHAnsi" w:eastAsia="Times New Roman" w:hAnsiTheme="minorHAnsi"/>
                <w:color w:val="000000"/>
                <w:sz w:val="22"/>
              </w:rPr>
              <w:tab/>
              <w:t>100 000 – 200 000</w:t>
            </w:r>
          </w:p>
        </w:tc>
        <w:tc>
          <w:tcPr>
            <w:tcW w:w="2160" w:type="dxa"/>
            <w:shd w:val="clear" w:color="auto" w:fill="auto"/>
            <w:noWrap/>
            <w:vAlign w:val="bottom"/>
            <w:hideMark/>
          </w:tcPr>
          <w:p w14:paraId="0DC714F3"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3</w:t>
            </w:r>
          </w:p>
        </w:tc>
        <w:tc>
          <w:tcPr>
            <w:tcW w:w="2160" w:type="dxa"/>
            <w:shd w:val="clear" w:color="auto" w:fill="auto"/>
            <w:noWrap/>
            <w:vAlign w:val="bottom"/>
            <w:hideMark/>
          </w:tcPr>
          <w:p w14:paraId="297B5BD6"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46</w:t>
            </w:r>
          </w:p>
        </w:tc>
        <w:tc>
          <w:tcPr>
            <w:tcW w:w="2160" w:type="dxa"/>
            <w:shd w:val="clear" w:color="auto" w:fill="auto"/>
            <w:noWrap/>
            <w:vAlign w:val="bottom"/>
            <w:hideMark/>
          </w:tcPr>
          <w:p w14:paraId="7C7EE500" w14:textId="77777777" w:rsidR="00084C8E" w:rsidRPr="00084C8E" w:rsidRDefault="00084C8E" w:rsidP="00E9021B">
            <w:pPr>
              <w:tabs>
                <w:tab w:val="decimal" w:pos="1035"/>
              </w:tabs>
              <w:rPr>
                <w:rFonts w:asciiTheme="minorHAnsi" w:eastAsia="Times New Roman" w:hAnsiTheme="minorHAnsi"/>
                <w:color w:val="000000"/>
                <w:sz w:val="22"/>
              </w:rPr>
            </w:pPr>
            <w:r w:rsidRPr="00084C8E">
              <w:rPr>
                <w:rFonts w:asciiTheme="minorHAnsi" w:eastAsia="Times New Roman" w:hAnsiTheme="minorHAnsi"/>
                <w:color w:val="000000"/>
                <w:sz w:val="22"/>
              </w:rPr>
              <w:t>97.9</w:t>
            </w:r>
          </w:p>
        </w:tc>
      </w:tr>
      <w:tr w:rsidR="00084C8E" w:rsidRPr="00084C8E" w14:paraId="0125130E" w14:textId="77777777" w:rsidTr="00E9021B">
        <w:trPr>
          <w:trHeight w:val="288"/>
        </w:trPr>
        <w:tc>
          <w:tcPr>
            <w:tcW w:w="2160" w:type="dxa"/>
            <w:shd w:val="clear" w:color="auto" w:fill="auto"/>
            <w:noWrap/>
            <w:vAlign w:val="bottom"/>
            <w:hideMark/>
          </w:tcPr>
          <w:p w14:paraId="237B2C81" w14:textId="77777777" w:rsidR="00084C8E" w:rsidRPr="00084C8E" w:rsidRDefault="00084C8E" w:rsidP="00E9021B">
            <w:pPr>
              <w:tabs>
                <w:tab w:val="right" w:pos="1707"/>
              </w:tabs>
              <w:rPr>
                <w:rFonts w:asciiTheme="minorHAnsi" w:eastAsia="Times New Roman" w:hAnsiTheme="minorHAnsi"/>
                <w:color w:val="000000"/>
                <w:sz w:val="22"/>
              </w:rPr>
            </w:pPr>
            <w:r w:rsidRPr="00084C8E">
              <w:rPr>
                <w:rFonts w:asciiTheme="minorHAnsi" w:eastAsia="Times New Roman" w:hAnsiTheme="minorHAnsi"/>
                <w:color w:val="000000"/>
                <w:sz w:val="22"/>
              </w:rPr>
              <w:tab/>
              <w:t>200 000 – 250 000</w:t>
            </w:r>
          </w:p>
        </w:tc>
        <w:tc>
          <w:tcPr>
            <w:tcW w:w="2160" w:type="dxa"/>
            <w:shd w:val="clear" w:color="auto" w:fill="auto"/>
            <w:noWrap/>
            <w:vAlign w:val="bottom"/>
            <w:hideMark/>
          </w:tcPr>
          <w:p w14:paraId="47670DDB"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1</w:t>
            </w:r>
          </w:p>
        </w:tc>
        <w:tc>
          <w:tcPr>
            <w:tcW w:w="2160" w:type="dxa"/>
            <w:shd w:val="clear" w:color="auto" w:fill="auto"/>
            <w:noWrap/>
            <w:vAlign w:val="bottom"/>
            <w:hideMark/>
          </w:tcPr>
          <w:p w14:paraId="578B5EDA" w14:textId="77777777" w:rsidR="00084C8E" w:rsidRPr="00084C8E" w:rsidRDefault="00084C8E" w:rsidP="00E9021B">
            <w:pPr>
              <w:jc w:val="center"/>
              <w:rPr>
                <w:rFonts w:asciiTheme="minorHAnsi" w:eastAsia="Times New Roman" w:hAnsiTheme="minorHAnsi"/>
                <w:color w:val="000000"/>
                <w:sz w:val="22"/>
              </w:rPr>
            </w:pPr>
            <w:r w:rsidRPr="00084C8E">
              <w:rPr>
                <w:rFonts w:asciiTheme="minorHAnsi" w:eastAsia="Times New Roman" w:hAnsiTheme="minorHAnsi"/>
                <w:color w:val="000000"/>
                <w:sz w:val="22"/>
              </w:rPr>
              <w:t>47</w:t>
            </w:r>
          </w:p>
        </w:tc>
        <w:tc>
          <w:tcPr>
            <w:tcW w:w="2160" w:type="dxa"/>
            <w:shd w:val="clear" w:color="auto" w:fill="auto"/>
            <w:noWrap/>
            <w:vAlign w:val="bottom"/>
            <w:hideMark/>
          </w:tcPr>
          <w:p w14:paraId="18C2B84D" w14:textId="77777777" w:rsidR="00084C8E" w:rsidRPr="00084C8E" w:rsidRDefault="00084C8E" w:rsidP="00E9021B">
            <w:pPr>
              <w:tabs>
                <w:tab w:val="decimal" w:pos="1035"/>
              </w:tabs>
              <w:rPr>
                <w:rFonts w:asciiTheme="minorHAnsi" w:eastAsia="Times New Roman" w:hAnsiTheme="minorHAnsi"/>
                <w:color w:val="000000"/>
                <w:sz w:val="22"/>
              </w:rPr>
            </w:pPr>
            <w:r w:rsidRPr="00084C8E">
              <w:rPr>
                <w:rFonts w:asciiTheme="minorHAnsi" w:eastAsia="Times New Roman" w:hAnsiTheme="minorHAnsi"/>
                <w:color w:val="000000"/>
                <w:sz w:val="22"/>
              </w:rPr>
              <w:t>100</w:t>
            </w:r>
          </w:p>
        </w:tc>
      </w:tr>
      <w:tr w:rsidR="00084C8E" w:rsidRPr="00084C8E" w14:paraId="13C80EAB" w14:textId="77777777" w:rsidTr="00E9021B">
        <w:trPr>
          <w:trHeight w:val="288"/>
        </w:trPr>
        <w:tc>
          <w:tcPr>
            <w:tcW w:w="8640" w:type="dxa"/>
            <w:gridSpan w:val="4"/>
            <w:shd w:val="clear" w:color="auto" w:fill="auto"/>
            <w:noWrap/>
            <w:vAlign w:val="bottom"/>
          </w:tcPr>
          <w:p w14:paraId="0658B297" w14:textId="77777777" w:rsidR="00084C8E" w:rsidRPr="00084C8E" w:rsidRDefault="00084C8E" w:rsidP="00E9021B">
            <w:pPr>
              <w:tabs>
                <w:tab w:val="decimal" w:pos="1035"/>
              </w:tabs>
              <w:rPr>
                <w:rFonts w:asciiTheme="minorHAnsi" w:eastAsia="Times New Roman" w:hAnsiTheme="minorHAnsi"/>
                <w:color w:val="000000"/>
                <w:sz w:val="22"/>
              </w:rPr>
            </w:pPr>
            <w:r w:rsidRPr="00084C8E">
              <w:rPr>
                <w:rFonts w:asciiTheme="minorHAnsi" w:eastAsia="Times New Roman" w:hAnsiTheme="minorHAnsi"/>
                <w:color w:val="000000"/>
                <w:sz w:val="22"/>
              </w:rPr>
              <w:t>Note the size of the Range of Units rows are not equal.</w:t>
            </w:r>
          </w:p>
        </w:tc>
      </w:tr>
    </w:tbl>
    <w:p w14:paraId="7CE783DA" w14:textId="77777777" w:rsidR="00084C8E" w:rsidRPr="00084C8E" w:rsidRDefault="00084C8E" w:rsidP="00084C8E">
      <w:pPr>
        <w:rPr>
          <w:rFonts w:asciiTheme="minorHAnsi" w:hAnsiTheme="minorHAnsi"/>
        </w:rPr>
      </w:pPr>
    </w:p>
    <w:p w14:paraId="58BA38F0" w14:textId="77777777" w:rsidR="00084C8E" w:rsidRPr="00084C8E" w:rsidRDefault="00084C8E" w:rsidP="00084C8E">
      <w:pPr>
        <w:spacing w:before="160"/>
        <w:rPr>
          <w:rFonts w:asciiTheme="minorHAnsi" w:hAnsiTheme="minorHAnsi"/>
          <w:lang w:val="en-GB"/>
        </w:rPr>
      </w:pPr>
      <w:r w:rsidRPr="00084C8E">
        <w:rPr>
          <w:rFonts w:asciiTheme="minorHAnsi" w:hAnsiTheme="minorHAnsi"/>
        </w:rPr>
        <w:t xml:space="preserve">An interesting fact to note in the Bureau’s proposal for Procedure B is that the </w:t>
      </w:r>
      <w:r w:rsidRPr="00084C8E">
        <w:rPr>
          <w:rFonts w:asciiTheme="minorHAnsi" w:hAnsiTheme="minorHAnsi"/>
          <w:lang w:val="en-GB"/>
        </w:rPr>
        <w:t>supplemental fee for each unit is inversely proportional to the value of the breakpoint. This is because the supplemental fee is the flat fee divided by the breakpoint. For a coordination with category C1, the flat fee is 20 560 CHF. With the breakpoint set to 1 000 units, the supplement fee for each unit is 20.56 CHF. However, with the breakpoint set to 10 000 units, the supplemental fee for each unit is 2.056 CHF. This reduction in the supplemental fee (plus the fact the fee will be collected on fewer units as the breakpoint increases) significantly reduces the cost recovery as the value of the breakpoint increases. For example, for a hypothetical 15 000 unit filing (C1 category), with a 1 000 unit breakpoint, the cost recovery is:</w:t>
      </w:r>
    </w:p>
    <w:p w14:paraId="7B272D12" w14:textId="77777777" w:rsidR="00084C8E" w:rsidRPr="00084C8E" w:rsidRDefault="00084C8E" w:rsidP="00084C8E">
      <w:pPr>
        <w:spacing w:before="160"/>
        <w:rPr>
          <w:rFonts w:asciiTheme="minorHAnsi" w:hAnsiTheme="minorHAnsi"/>
          <w:lang w:val="en-GB"/>
        </w:rPr>
      </w:pPr>
      <w:r w:rsidRPr="00084C8E">
        <w:rPr>
          <w:rFonts w:asciiTheme="minorHAnsi" w:hAnsiTheme="minorHAnsi"/>
          <w:lang w:val="en-GB"/>
        </w:rPr>
        <w:tab/>
        <w:t>(</w:t>
      </w:r>
      <w:proofErr w:type="gramStart"/>
      <w:r w:rsidRPr="00084C8E">
        <w:rPr>
          <w:rFonts w:asciiTheme="minorHAnsi" w:hAnsiTheme="minorHAnsi"/>
          <w:lang w:val="en-GB"/>
        </w:rPr>
        <w:t>flat</w:t>
      </w:r>
      <w:proofErr w:type="gramEnd"/>
      <w:r w:rsidRPr="00084C8E">
        <w:rPr>
          <w:rFonts w:asciiTheme="minorHAnsi" w:hAnsiTheme="minorHAnsi"/>
          <w:lang w:val="en-GB"/>
        </w:rPr>
        <w:t xml:space="preserve"> fee units 1 to 1 000) + </w:t>
      </w:r>
      <w:proofErr w:type="gramStart"/>
      <w:r w:rsidRPr="00084C8E">
        <w:rPr>
          <w:rFonts w:asciiTheme="minorHAnsi" w:hAnsiTheme="minorHAnsi"/>
          <w:sz w:val="32"/>
          <w:lang w:val="en-GB"/>
        </w:rPr>
        <w:t>(</w:t>
      </w:r>
      <w:r w:rsidRPr="00084C8E">
        <w:rPr>
          <w:rFonts w:asciiTheme="minorHAnsi" w:hAnsiTheme="minorHAnsi"/>
          <w:lang w:val="en-GB"/>
        </w:rPr>
        <w:t xml:space="preserve"> (</w:t>
      </w:r>
      <w:proofErr w:type="gramEnd"/>
      <w:r w:rsidRPr="00084C8E">
        <w:rPr>
          <w:rFonts w:asciiTheme="minorHAnsi" w:hAnsiTheme="minorHAnsi"/>
          <w:lang w:val="en-GB"/>
        </w:rPr>
        <w:t xml:space="preserve">units 1 001 to 15 000) * supplemental fee </w:t>
      </w:r>
      <w:r w:rsidRPr="00084C8E">
        <w:rPr>
          <w:rFonts w:asciiTheme="minorHAnsi" w:hAnsiTheme="minorHAnsi"/>
          <w:sz w:val="32"/>
          <w:lang w:val="en-GB"/>
        </w:rPr>
        <w:t>)</w:t>
      </w:r>
    </w:p>
    <w:p w14:paraId="28F8FC3C" w14:textId="77777777" w:rsidR="00084C8E" w:rsidRPr="00084C8E" w:rsidRDefault="00084C8E" w:rsidP="0092536F">
      <w:pPr>
        <w:rPr>
          <w:rFonts w:asciiTheme="minorHAnsi" w:hAnsiTheme="minorHAnsi"/>
          <w:lang w:val="en-GB"/>
        </w:rPr>
      </w:pPr>
      <w:r w:rsidRPr="00084C8E">
        <w:rPr>
          <w:rFonts w:asciiTheme="minorHAnsi" w:hAnsiTheme="minorHAnsi"/>
          <w:lang w:val="en-GB"/>
        </w:rPr>
        <w:tab/>
        <w:t>20 560 + 14 000 * 20.56 = 20 560 + 287 840 = 308 400</w:t>
      </w:r>
    </w:p>
    <w:p w14:paraId="72F14477" w14:textId="77777777" w:rsidR="00084C8E" w:rsidRPr="00084C8E" w:rsidRDefault="00084C8E" w:rsidP="00084C8E">
      <w:pPr>
        <w:spacing w:before="160"/>
        <w:rPr>
          <w:rFonts w:asciiTheme="minorHAnsi" w:hAnsiTheme="minorHAnsi"/>
          <w:lang w:val="en-GB"/>
        </w:rPr>
      </w:pPr>
      <w:r w:rsidRPr="00084C8E">
        <w:rPr>
          <w:rFonts w:asciiTheme="minorHAnsi" w:hAnsiTheme="minorHAnsi"/>
          <w:lang w:val="en-GB"/>
        </w:rPr>
        <w:t>However, if the breakpoint is changed to 10 000 units, the cost recovery is much less:</w:t>
      </w:r>
    </w:p>
    <w:p w14:paraId="2CDC6BB0" w14:textId="77777777" w:rsidR="00084C8E" w:rsidRPr="00084C8E" w:rsidRDefault="00084C8E" w:rsidP="00084C8E">
      <w:pPr>
        <w:spacing w:before="160"/>
        <w:rPr>
          <w:rFonts w:asciiTheme="minorHAnsi" w:hAnsiTheme="minorHAnsi"/>
          <w:lang w:val="en-GB"/>
        </w:rPr>
      </w:pPr>
      <w:r w:rsidRPr="00084C8E">
        <w:rPr>
          <w:rFonts w:asciiTheme="minorHAnsi" w:hAnsiTheme="minorHAnsi"/>
          <w:lang w:val="en-GB"/>
        </w:rPr>
        <w:tab/>
        <w:t>(</w:t>
      </w:r>
      <w:proofErr w:type="gramStart"/>
      <w:r w:rsidRPr="00084C8E">
        <w:rPr>
          <w:rFonts w:asciiTheme="minorHAnsi" w:hAnsiTheme="minorHAnsi"/>
          <w:lang w:val="en-GB"/>
        </w:rPr>
        <w:t>flat</w:t>
      </w:r>
      <w:proofErr w:type="gramEnd"/>
      <w:r w:rsidRPr="00084C8E">
        <w:rPr>
          <w:rFonts w:asciiTheme="minorHAnsi" w:hAnsiTheme="minorHAnsi"/>
          <w:lang w:val="en-GB"/>
        </w:rPr>
        <w:t xml:space="preserve"> fee units 1 to 10 000) + </w:t>
      </w:r>
      <w:proofErr w:type="gramStart"/>
      <w:r w:rsidRPr="00084C8E">
        <w:rPr>
          <w:rFonts w:asciiTheme="minorHAnsi" w:hAnsiTheme="minorHAnsi"/>
          <w:sz w:val="32"/>
          <w:lang w:val="en-GB"/>
        </w:rPr>
        <w:t>(</w:t>
      </w:r>
      <w:r w:rsidRPr="00084C8E">
        <w:rPr>
          <w:rFonts w:asciiTheme="minorHAnsi" w:hAnsiTheme="minorHAnsi"/>
          <w:lang w:val="en-GB"/>
        </w:rPr>
        <w:t xml:space="preserve"> (</w:t>
      </w:r>
      <w:proofErr w:type="gramEnd"/>
      <w:r w:rsidRPr="00084C8E">
        <w:rPr>
          <w:rFonts w:asciiTheme="minorHAnsi" w:hAnsiTheme="minorHAnsi"/>
          <w:lang w:val="en-GB"/>
        </w:rPr>
        <w:t xml:space="preserve">units 10 001 to 15 000) * supplemental fee </w:t>
      </w:r>
      <w:r w:rsidRPr="00084C8E">
        <w:rPr>
          <w:rFonts w:asciiTheme="minorHAnsi" w:hAnsiTheme="minorHAnsi"/>
          <w:sz w:val="32"/>
          <w:lang w:val="en-GB"/>
        </w:rPr>
        <w:t>)</w:t>
      </w:r>
    </w:p>
    <w:p w14:paraId="1F1C0C7E" w14:textId="77777777" w:rsidR="00084C8E" w:rsidRPr="00084C8E" w:rsidRDefault="00084C8E" w:rsidP="0092536F">
      <w:pPr>
        <w:rPr>
          <w:rFonts w:asciiTheme="minorHAnsi" w:hAnsiTheme="minorHAnsi"/>
          <w:lang w:val="en-GB"/>
        </w:rPr>
      </w:pPr>
      <w:r w:rsidRPr="00084C8E">
        <w:rPr>
          <w:rFonts w:asciiTheme="minorHAnsi" w:hAnsiTheme="minorHAnsi"/>
          <w:lang w:val="en-GB"/>
        </w:rPr>
        <w:tab/>
        <w:t>20 560 + 5 000 * 2.056 = 20 560 + 10 280 = 30 840</w:t>
      </w:r>
    </w:p>
    <w:p w14:paraId="1217F12D" w14:textId="77777777" w:rsidR="00084C8E" w:rsidRPr="00084C8E" w:rsidRDefault="00084C8E" w:rsidP="00084C8E">
      <w:pPr>
        <w:spacing w:before="160"/>
        <w:rPr>
          <w:rFonts w:asciiTheme="minorHAnsi" w:hAnsiTheme="minorHAnsi"/>
        </w:rPr>
      </w:pPr>
      <w:r w:rsidRPr="00084C8E">
        <w:rPr>
          <w:rFonts w:asciiTheme="minorHAnsi" w:hAnsiTheme="minorHAnsi"/>
          <w:lang w:val="en-GB"/>
        </w:rPr>
        <w:t>Section 2.5 below discusses a potential methodology whereby the supplemental fee is proportional to the value of the breakpoint.</w:t>
      </w:r>
    </w:p>
    <w:p w14:paraId="3B8C160D" w14:textId="77777777" w:rsidR="00084C8E" w:rsidRPr="00084C8E" w:rsidRDefault="00084C8E" w:rsidP="0092536F">
      <w:pPr>
        <w:pStyle w:val="Heading2"/>
        <w:spacing w:before="160"/>
        <w:rPr>
          <w:rFonts w:asciiTheme="minorHAnsi" w:hAnsiTheme="minorHAnsi"/>
        </w:rPr>
      </w:pPr>
      <w:r w:rsidRPr="00084C8E">
        <w:rPr>
          <w:rFonts w:asciiTheme="minorHAnsi" w:hAnsiTheme="minorHAnsi"/>
        </w:rPr>
        <w:tab/>
        <w:t>2.3 Example Filing Under the Bureau’s Proposal for Procedure B</w:t>
      </w:r>
    </w:p>
    <w:p w14:paraId="0836CE3D" w14:textId="77777777" w:rsidR="00084C8E" w:rsidRPr="00084C8E" w:rsidRDefault="00084C8E" w:rsidP="00084C8E">
      <w:pPr>
        <w:spacing w:before="160"/>
        <w:rPr>
          <w:rFonts w:asciiTheme="minorHAnsi" w:hAnsiTheme="minorHAnsi"/>
        </w:rPr>
      </w:pPr>
      <w:r w:rsidRPr="00084C8E">
        <w:rPr>
          <w:rFonts w:asciiTheme="minorHAnsi" w:hAnsiTheme="minorHAnsi"/>
        </w:rPr>
        <w:t>Figure 1 shows the Cost Recover fee for an example 250 000 unit filing under the Bureau’s proposal for Procedure B, as a function of breakpoint. The filing is a Category C1 coordination.</w:t>
      </w:r>
    </w:p>
    <w:p w14:paraId="3992A1A6" w14:textId="77777777" w:rsidR="00084C8E" w:rsidRPr="00084C8E" w:rsidRDefault="00084C8E" w:rsidP="00084C8E">
      <w:pPr>
        <w:rPr>
          <w:rFonts w:asciiTheme="minorHAnsi" w:hAnsiTheme="minorHAnsi"/>
        </w:rPr>
      </w:pPr>
    </w:p>
    <w:p w14:paraId="49502C94" w14:textId="77777777" w:rsidR="00084C8E" w:rsidRPr="00084C8E" w:rsidRDefault="00084C8E" w:rsidP="00084C8E">
      <w:pPr>
        <w:rPr>
          <w:rFonts w:asciiTheme="minorHAnsi" w:hAnsiTheme="minorHAnsi"/>
        </w:rPr>
      </w:pPr>
      <w:r w:rsidRPr="00084C8E">
        <w:rPr>
          <w:rFonts w:asciiTheme="minorHAnsi" w:hAnsiTheme="minorHAnsi"/>
          <w:noProof/>
          <w:lang w:eastAsia="zh-CN"/>
        </w:rPr>
        <w:drawing>
          <wp:inline distT="0" distB="0" distL="0" distR="0" wp14:anchorId="7247CCFF" wp14:editId="47905649">
            <wp:extent cx="5486400" cy="3784209"/>
            <wp:effectExtent l="0" t="0" r="19050" b="260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CB0A5A" w14:textId="77777777" w:rsidR="00084C8E" w:rsidRPr="00084C8E" w:rsidRDefault="00084C8E" w:rsidP="00084C8E">
      <w:pPr>
        <w:jc w:val="center"/>
        <w:rPr>
          <w:rFonts w:asciiTheme="minorHAnsi" w:hAnsiTheme="minorHAnsi"/>
        </w:rPr>
      </w:pPr>
      <w:r w:rsidRPr="00084C8E">
        <w:rPr>
          <w:rFonts w:asciiTheme="minorHAnsi" w:hAnsiTheme="minorHAnsi"/>
        </w:rPr>
        <w:t>Figure 1: CR of Example 250 000 Unit Filing</w:t>
      </w:r>
    </w:p>
    <w:p w14:paraId="3F58D757" w14:textId="77777777" w:rsidR="00084C8E" w:rsidRPr="00084C8E" w:rsidRDefault="00084C8E" w:rsidP="00084C8E">
      <w:pPr>
        <w:rPr>
          <w:rFonts w:asciiTheme="minorHAnsi" w:hAnsiTheme="minorHAnsi"/>
        </w:rPr>
      </w:pPr>
    </w:p>
    <w:p w14:paraId="4E4A0ABB" w14:textId="77777777" w:rsidR="00084C8E" w:rsidRPr="00084C8E" w:rsidRDefault="00084C8E" w:rsidP="00084C8E">
      <w:pPr>
        <w:spacing w:before="160"/>
        <w:rPr>
          <w:rFonts w:asciiTheme="minorHAnsi" w:hAnsiTheme="minorHAnsi"/>
        </w:rPr>
      </w:pPr>
      <w:r w:rsidRPr="00084C8E">
        <w:rPr>
          <w:rFonts w:asciiTheme="minorHAnsi" w:hAnsiTheme="minorHAnsi"/>
        </w:rPr>
        <w:t>Figure 1 shows the impact of the large supplemental fee when the breakpoint is small. The projected cost recovery is very high when the breakpoint is small, and drops rapidly as the breakpoint increases. Setting the breakpoint near or after the ‘elbow’ of the curve would result in a significantly lower cost recovery.</w:t>
      </w:r>
    </w:p>
    <w:p w14:paraId="098A97E1" w14:textId="77777777" w:rsidR="00084C8E" w:rsidRPr="00084C8E" w:rsidRDefault="00084C8E" w:rsidP="00084C8E">
      <w:pPr>
        <w:pStyle w:val="Heading2"/>
        <w:keepNext w:val="0"/>
        <w:keepLines w:val="0"/>
        <w:spacing w:before="160"/>
        <w:rPr>
          <w:rFonts w:asciiTheme="minorHAnsi" w:hAnsiTheme="minorHAnsi"/>
        </w:rPr>
      </w:pPr>
      <w:r w:rsidRPr="00084C8E">
        <w:rPr>
          <w:rFonts w:asciiTheme="minorHAnsi" w:hAnsiTheme="minorHAnsi"/>
        </w:rPr>
        <w:tab/>
        <w:t>2.4 United States Proposal to ITU Council 2018</w:t>
      </w:r>
    </w:p>
    <w:p w14:paraId="24F15474" w14:textId="77777777" w:rsidR="00084C8E" w:rsidRPr="00084C8E" w:rsidRDefault="00084C8E" w:rsidP="00084C8E">
      <w:pPr>
        <w:spacing w:before="160"/>
        <w:rPr>
          <w:rFonts w:asciiTheme="minorHAnsi" w:hAnsiTheme="minorHAnsi"/>
        </w:rPr>
      </w:pPr>
      <w:r w:rsidRPr="00084C8E">
        <w:rPr>
          <w:rFonts w:asciiTheme="minorHAnsi" w:hAnsiTheme="minorHAnsi"/>
        </w:rPr>
        <w:t>In Document C18/90, the United States proposed a new mechanism to limit the Cost Recovery fee as the number of units becomes very large. The United States suggested implementation of this by a new second breakpoint (‘ceiling’) number of units, where filings with more units than this new second breakpoint number do not incur any further increases in their Cost Recovery fee.</w:t>
      </w:r>
    </w:p>
    <w:p w14:paraId="5941A514" w14:textId="77777777" w:rsidR="00084C8E" w:rsidRPr="00084C8E" w:rsidRDefault="00084C8E" w:rsidP="00084C8E">
      <w:pPr>
        <w:spacing w:before="160"/>
        <w:rPr>
          <w:rFonts w:asciiTheme="minorHAnsi" w:hAnsiTheme="minorHAnsi"/>
        </w:rPr>
      </w:pPr>
      <w:r w:rsidRPr="00084C8E">
        <w:rPr>
          <w:rFonts w:asciiTheme="minorHAnsi" w:hAnsiTheme="minorHAnsi"/>
        </w:rPr>
        <w:t xml:space="preserve">The spreadsheet attached to this contribution shows the effect of this two-breakpoint methodology on the historical data. Upon entering values for the two breakpoints, given that the second breakpoint is greater than the first breakpoint, the spreadsheet calculates the number of filings affected by the first breakpoint, the number of filings excluded by the second breakpoint (i.e., number of filings with more units than the second breakpoint), the total revised Cost Recovery fee of all 47 networks in the historical data set, and the percentage increase relative to the actual Cost Recovery fee collected for the non-GSO systems </w:t>
      </w:r>
      <w:proofErr w:type="spellStart"/>
      <w:r w:rsidRPr="00084C8E">
        <w:rPr>
          <w:rFonts w:asciiTheme="minorHAnsi" w:hAnsiTheme="minorHAnsi"/>
        </w:rPr>
        <w:t>analyzed</w:t>
      </w:r>
      <w:proofErr w:type="spellEnd"/>
      <w:r w:rsidRPr="00084C8E">
        <w:rPr>
          <w:rFonts w:asciiTheme="minorHAnsi" w:hAnsiTheme="minorHAnsi"/>
        </w:rPr>
        <w:t xml:space="preserve"> (i.e. 1 002 860 CHF).</w:t>
      </w:r>
    </w:p>
    <w:p w14:paraId="4666E049" w14:textId="77777777" w:rsidR="00084C8E" w:rsidRPr="00084C8E" w:rsidRDefault="00084C8E" w:rsidP="00084C8E">
      <w:pPr>
        <w:spacing w:before="160"/>
        <w:rPr>
          <w:rFonts w:asciiTheme="minorHAnsi" w:hAnsiTheme="minorHAnsi"/>
        </w:rPr>
      </w:pPr>
      <w:r w:rsidRPr="00084C8E">
        <w:rPr>
          <w:rFonts w:asciiTheme="minorHAnsi" w:hAnsiTheme="minorHAnsi"/>
        </w:rPr>
        <w:t>As an example, setting the first breakpoint to 7 500 units and the second breakpoint to 100 000 units provides a revised Cost Recovery fee of 3 042 459 CHF, corresponding to a 203% increase. (Compare: Under the Bureau’s proposal, a breakpoint of 7 500 units would provide a revised Cost Recovery fee of 3 765 187 CHF, a 275% increase.)</w:t>
      </w:r>
    </w:p>
    <w:p w14:paraId="73B71932" w14:textId="77777777" w:rsidR="00084C8E" w:rsidRPr="00084C8E" w:rsidRDefault="00084C8E" w:rsidP="00084C8E">
      <w:pPr>
        <w:spacing w:before="160"/>
        <w:rPr>
          <w:rFonts w:asciiTheme="minorHAnsi" w:hAnsiTheme="minorHAnsi"/>
        </w:rPr>
      </w:pPr>
      <w:r w:rsidRPr="00084C8E">
        <w:rPr>
          <w:rFonts w:asciiTheme="minorHAnsi" w:hAnsiTheme="minorHAnsi"/>
        </w:rPr>
        <w:t>It is noted that the introduction of both breakpoints creates the situation where the Cost Recovery fee for filings with more units than the first breakpoint will be proportionally less on a per-unit basis compared to the Cost Recovery fee for filings with fewer units than the first breakpoint (i.e., in the flat fee range).</w:t>
      </w:r>
    </w:p>
    <w:p w14:paraId="524E9AB5" w14:textId="77777777" w:rsidR="00084C8E" w:rsidRPr="00084C8E" w:rsidRDefault="00084C8E" w:rsidP="00084C8E">
      <w:pPr>
        <w:pStyle w:val="Heading2"/>
        <w:keepNext w:val="0"/>
        <w:keepLines w:val="0"/>
        <w:spacing w:before="160"/>
        <w:rPr>
          <w:rFonts w:asciiTheme="minorHAnsi" w:hAnsiTheme="minorHAnsi"/>
        </w:rPr>
      </w:pPr>
      <w:r w:rsidRPr="00084C8E">
        <w:rPr>
          <w:rFonts w:asciiTheme="minorHAnsi" w:hAnsiTheme="minorHAnsi"/>
        </w:rPr>
        <w:tab/>
        <w:t>2.5 Further Consideration on Supplemental Unit Fee</w:t>
      </w:r>
    </w:p>
    <w:p w14:paraId="2C920239" w14:textId="77777777" w:rsidR="00084C8E" w:rsidRPr="00084C8E" w:rsidRDefault="00084C8E" w:rsidP="00084C8E">
      <w:pPr>
        <w:spacing w:before="160"/>
        <w:rPr>
          <w:rFonts w:asciiTheme="minorHAnsi" w:hAnsiTheme="minorHAnsi"/>
        </w:rPr>
      </w:pPr>
      <w:r w:rsidRPr="00084C8E">
        <w:rPr>
          <w:rFonts w:asciiTheme="minorHAnsi" w:hAnsiTheme="minorHAnsi"/>
        </w:rPr>
        <w:t xml:space="preserve">As noted in Section 2.2, the </w:t>
      </w:r>
      <w:r w:rsidRPr="00084C8E">
        <w:rPr>
          <w:rFonts w:asciiTheme="minorHAnsi" w:hAnsiTheme="minorHAnsi"/>
          <w:lang w:val="en-GB"/>
        </w:rPr>
        <w:t>supplemental fee for each unit is inversely proportional to the value of the breakpoint. However, by building upon the United States’ proposal for a new second breakpoint, the supplemental fee can be made proportional to the value of the breakpoint by setting the value of the supplemental fee equal to the flat fee divided by the quantity of the second breakpoint minus the first breakpoint. Initial calculations indicate using this alternative methodology will result in overall lower cost recovery compared to the Bureau’s proposal for Procedure B.</w:t>
      </w:r>
    </w:p>
    <w:p w14:paraId="786C10D5" w14:textId="099761FD" w:rsidR="00084C8E" w:rsidRPr="00084C8E" w:rsidRDefault="0092536F" w:rsidP="00084C8E">
      <w:pPr>
        <w:pStyle w:val="Heading1"/>
        <w:keepNext w:val="0"/>
        <w:keepLines w:val="0"/>
        <w:spacing w:before="160"/>
        <w:rPr>
          <w:rFonts w:asciiTheme="minorHAnsi" w:hAnsiTheme="minorHAnsi" w:cs="Times New Roman"/>
        </w:rPr>
      </w:pPr>
      <w:r>
        <w:rPr>
          <w:rFonts w:asciiTheme="minorHAnsi" w:hAnsiTheme="minorHAnsi" w:cs="Times New Roman"/>
        </w:rPr>
        <w:t>3</w:t>
      </w:r>
      <w:r>
        <w:rPr>
          <w:rFonts w:asciiTheme="minorHAnsi" w:hAnsiTheme="minorHAnsi" w:cs="Times New Roman"/>
        </w:rPr>
        <w:tab/>
      </w:r>
      <w:r w:rsidR="00084C8E" w:rsidRPr="00084C8E">
        <w:rPr>
          <w:rFonts w:asciiTheme="minorHAnsi" w:hAnsiTheme="minorHAnsi" w:cs="Times New Roman"/>
        </w:rPr>
        <w:t>Conclusion</w:t>
      </w:r>
    </w:p>
    <w:p w14:paraId="64CEAA32" w14:textId="77777777" w:rsidR="00084C8E" w:rsidRPr="00084C8E" w:rsidRDefault="00084C8E" w:rsidP="00084C8E">
      <w:pPr>
        <w:spacing w:before="160"/>
        <w:rPr>
          <w:rFonts w:asciiTheme="minorHAnsi" w:hAnsiTheme="minorHAnsi"/>
        </w:rPr>
      </w:pPr>
      <w:r w:rsidRPr="00084C8E">
        <w:rPr>
          <w:rFonts w:asciiTheme="minorHAnsi" w:hAnsiTheme="minorHAnsi"/>
        </w:rPr>
        <w:t>The United States notes this contribution focuses only on changing the formula for Cost Recovery. Similar as to what the United States stated in Document C18/90:</w:t>
      </w:r>
    </w:p>
    <w:p w14:paraId="676432E1" w14:textId="77777777" w:rsidR="00084C8E" w:rsidRPr="00084C8E" w:rsidRDefault="00084C8E" w:rsidP="0092536F">
      <w:pPr>
        <w:pStyle w:val="ListParagraph"/>
        <w:numPr>
          <w:ilvl w:val="0"/>
          <w:numId w:val="40"/>
        </w:numPr>
        <w:spacing w:before="160"/>
        <w:ind w:left="720" w:hanging="720"/>
        <w:contextualSpacing w:val="0"/>
        <w:rPr>
          <w:rFonts w:asciiTheme="minorHAnsi" w:hAnsiTheme="minorHAnsi"/>
        </w:rPr>
      </w:pPr>
      <w:r w:rsidRPr="00084C8E">
        <w:rPr>
          <w:rFonts w:asciiTheme="minorHAnsi" w:hAnsiTheme="minorHAnsi"/>
        </w:rPr>
        <w:t>The United States is of the view that Cost Recovery charges applicable to various types of non-GSO satellite systems should be transparent, reviewed with care, ensure a fair and appropriate sharing of associated processing costs, and reflect the actual and demonstrable costs by the Bureau to process the filings taking into account that the purpose of cost recovery is not revenue creation but purely recovery of actual cost.</w:t>
      </w:r>
    </w:p>
    <w:p w14:paraId="0A00BF1A" w14:textId="77777777" w:rsidR="00084C8E" w:rsidRPr="00084C8E" w:rsidRDefault="00084C8E" w:rsidP="0092536F">
      <w:pPr>
        <w:pStyle w:val="ListParagraph"/>
        <w:numPr>
          <w:ilvl w:val="0"/>
          <w:numId w:val="40"/>
        </w:numPr>
        <w:spacing w:before="160"/>
        <w:ind w:left="720" w:hanging="720"/>
        <w:contextualSpacing w:val="0"/>
        <w:rPr>
          <w:rFonts w:asciiTheme="minorHAnsi" w:hAnsiTheme="minorHAnsi"/>
        </w:rPr>
      </w:pPr>
      <w:r w:rsidRPr="00084C8E">
        <w:rPr>
          <w:rFonts w:asciiTheme="minorHAnsi" w:hAnsiTheme="minorHAnsi"/>
        </w:rPr>
        <w:t>Any changes to Cost Recovery should take into account the actual time and other resources (e.g., computer time) spent by Bureau staff on processing filings.</w:t>
      </w:r>
      <w:r w:rsidRPr="00084C8E" w:rsidDel="00B57243">
        <w:rPr>
          <w:rFonts w:asciiTheme="minorHAnsi" w:hAnsiTheme="minorHAnsi"/>
        </w:rPr>
        <w:t xml:space="preserve"> </w:t>
      </w:r>
    </w:p>
    <w:p w14:paraId="59B0085C" w14:textId="77777777" w:rsidR="00084C8E" w:rsidRPr="00084C8E" w:rsidRDefault="00084C8E" w:rsidP="0092536F">
      <w:pPr>
        <w:pStyle w:val="ListParagraph"/>
        <w:numPr>
          <w:ilvl w:val="0"/>
          <w:numId w:val="40"/>
        </w:numPr>
        <w:spacing w:before="160"/>
        <w:ind w:left="720" w:hanging="720"/>
        <w:contextualSpacing w:val="0"/>
        <w:rPr>
          <w:rFonts w:asciiTheme="minorHAnsi" w:hAnsiTheme="minorHAnsi"/>
        </w:rPr>
      </w:pPr>
      <w:r w:rsidRPr="00084C8E">
        <w:rPr>
          <w:rFonts w:asciiTheme="minorHAnsi" w:hAnsiTheme="minorHAnsi"/>
        </w:rPr>
        <w:t xml:space="preserve">The United States understands there are capital investments associated with future improvements in the Bureau’s software and hardware resources, but believes such investments will improve the processing time of filings, especially of the larger systems. </w:t>
      </w:r>
    </w:p>
    <w:p w14:paraId="513D88F0" w14:textId="77777777" w:rsidR="00084C8E" w:rsidRPr="00084C8E" w:rsidRDefault="00084C8E" w:rsidP="0092536F">
      <w:pPr>
        <w:spacing w:before="120"/>
        <w:rPr>
          <w:rFonts w:asciiTheme="minorHAnsi" w:hAnsiTheme="minorHAnsi"/>
        </w:rPr>
      </w:pPr>
      <w:r w:rsidRPr="00084C8E">
        <w:rPr>
          <w:rFonts w:asciiTheme="minorHAnsi" w:hAnsiTheme="minorHAnsi"/>
        </w:rPr>
        <w:t xml:space="preserve">The United States appreciates the historical data provided by the Bureau. This data allows better </w:t>
      </w:r>
      <w:proofErr w:type="spellStart"/>
      <w:r w:rsidRPr="00084C8E">
        <w:rPr>
          <w:rFonts w:asciiTheme="minorHAnsi" w:hAnsiTheme="minorHAnsi"/>
        </w:rPr>
        <w:t>modeling</w:t>
      </w:r>
      <w:proofErr w:type="spellEnd"/>
      <w:r w:rsidRPr="00084C8E">
        <w:rPr>
          <w:rFonts w:asciiTheme="minorHAnsi" w:hAnsiTheme="minorHAnsi"/>
        </w:rPr>
        <w:t xml:space="preserve"> of projected Cost Recovery fees based one or two breakpoints. However, this data does not provide additional insight into the Bureau’s actual costs of processing large non-GSO system filings. In particular, it has not been clearly shown how the number of units affects processing time. Without having more information on the actual cost of processing such filings, the United States believes proposals to change Decision 482 would be premature.</w:t>
      </w:r>
    </w:p>
    <w:p w14:paraId="40BB3F05" w14:textId="77777777" w:rsidR="00084C8E" w:rsidRPr="00084C8E" w:rsidRDefault="00084C8E" w:rsidP="0092536F">
      <w:pPr>
        <w:spacing w:before="120"/>
        <w:rPr>
          <w:rFonts w:asciiTheme="minorHAnsi" w:hAnsiTheme="minorHAnsi"/>
        </w:rPr>
      </w:pPr>
      <w:r w:rsidRPr="00084C8E">
        <w:rPr>
          <w:rFonts w:asciiTheme="minorHAnsi" w:hAnsiTheme="minorHAnsi"/>
        </w:rPr>
        <w:t>The United States suggests the Council Expert Group encourage the Bureau to provide information on the actual cost of processing large non-GSO system filings; and once provided, the Council Expert Group re-convene and consider further contributions from its membership.</w:t>
      </w:r>
    </w:p>
    <w:p w14:paraId="6A6D88DE" w14:textId="77777777" w:rsidR="00084C8E" w:rsidRPr="00084C8E" w:rsidRDefault="00084C8E" w:rsidP="00084C8E">
      <w:pPr>
        <w:rPr>
          <w:rFonts w:asciiTheme="minorHAnsi" w:hAnsiTheme="minorHAnsi"/>
        </w:rPr>
      </w:pPr>
    </w:p>
    <w:bookmarkStart w:id="7" w:name="_MON_1598677445"/>
    <w:bookmarkEnd w:id="7"/>
    <w:p w14:paraId="072895A0" w14:textId="77777777" w:rsidR="00084C8E" w:rsidRPr="00084C8E" w:rsidRDefault="0092536F" w:rsidP="00084C8E">
      <w:pPr>
        <w:jc w:val="center"/>
        <w:rPr>
          <w:rFonts w:asciiTheme="minorHAnsi" w:hAnsiTheme="minorHAnsi"/>
        </w:rPr>
      </w:pPr>
      <w:r w:rsidRPr="00084C8E">
        <w:rPr>
          <w:rFonts w:asciiTheme="minorHAnsi" w:hAnsiTheme="minorHAnsi"/>
        </w:rPr>
        <w:object w:dxaOrig="2520" w:dyaOrig="1600" w14:anchorId="0380D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6pt;height:80.25pt" o:ole="">
            <v:imagedata r:id="rId10" o:title=""/>
          </v:shape>
          <o:OLEObject Type="Embed" ProgID="Excel.Sheet.12" ShapeID="_x0000_i1029" DrawAspect="Icon" ObjectID="_1598677608" r:id="rId11"/>
        </w:object>
      </w:r>
    </w:p>
    <w:p w14:paraId="49B5FE9D" w14:textId="65F5A693" w:rsidR="00723670" w:rsidRPr="00723670" w:rsidRDefault="00723670" w:rsidP="00723670">
      <w:pPr>
        <w:jc w:val="center"/>
        <w:rPr>
          <w:lang w:val="en"/>
        </w:rPr>
      </w:pPr>
      <w:r>
        <w:rPr>
          <w:lang w:val="en"/>
        </w:rPr>
        <w:t>_______________</w:t>
      </w:r>
    </w:p>
    <w:sectPr w:rsidR="00723670" w:rsidRPr="00723670" w:rsidSect="00C0037A">
      <w:headerReference w:type="default" r:id="rId12"/>
      <w:headerReference w:type="first" r:id="rId13"/>
      <w:pgSz w:w="11905" w:h="16837" w:code="9"/>
      <w:pgMar w:top="1134" w:right="1134" w:bottom="993" w:left="1134"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A4C87" w14:textId="77777777" w:rsidR="00FA7E72" w:rsidRDefault="00FA7E72" w:rsidP="005E4CD9">
      <w:r>
        <w:separator/>
      </w:r>
    </w:p>
  </w:endnote>
  <w:endnote w:type="continuationSeparator" w:id="0">
    <w:p w14:paraId="0A3998B9" w14:textId="77777777" w:rsidR="00FA7E72" w:rsidRDefault="00FA7E72" w:rsidP="005E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74A17" w14:textId="77777777" w:rsidR="00FA7E72" w:rsidRDefault="00FA7E72" w:rsidP="005E4CD9">
      <w:r>
        <w:separator/>
      </w:r>
    </w:p>
  </w:footnote>
  <w:footnote w:type="continuationSeparator" w:id="0">
    <w:p w14:paraId="76569E25" w14:textId="77777777" w:rsidR="00FA7E72" w:rsidRDefault="00FA7E72" w:rsidP="005E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08DC" w14:textId="146646B8" w:rsidR="00330E29" w:rsidRPr="000242F3" w:rsidRDefault="00330E29" w:rsidP="000242F3">
    <w:pPr>
      <w:pStyle w:val="Header"/>
      <w:jc w:val="center"/>
      <w:rPr>
        <w:rFonts w:ascii="Calibri" w:hAnsi="Calibri"/>
        <w:sz w:val="22"/>
        <w:szCs w:val="22"/>
      </w:rPr>
    </w:pPr>
    <w:r w:rsidRPr="000242F3">
      <w:rPr>
        <w:rFonts w:ascii="Calibri" w:hAnsi="Calibri"/>
        <w:sz w:val="22"/>
        <w:szCs w:val="22"/>
      </w:rPr>
      <w:t>- </w:t>
    </w:r>
    <w:sdt>
      <w:sdtPr>
        <w:rPr>
          <w:rFonts w:ascii="Calibri" w:hAnsi="Calibri"/>
          <w:sz w:val="22"/>
          <w:szCs w:val="22"/>
        </w:rPr>
        <w:id w:val="-1907358860"/>
        <w:docPartObj>
          <w:docPartGallery w:val="Page Numbers (Top of Page)"/>
          <w:docPartUnique/>
        </w:docPartObj>
      </w:sdtPr>
      <w:sdtEndPr>
        <w:rPr>
          <w:noProof/>
        </w:rPr>
      </w:sdtEndPr>
      <w:sdtContent>
        <w:r w:rsidRPr="000242F3">
          <w:rPr>
            <w:rFonts w:ascii="Calibri" w:hAnsi="Calibri"/>
            <w:sz w:val="22"/>
            <w:szCs w:val="22"/>
          </w:rPr>
          <w:fldChar w:fldCharType="begin"/>
        </w:r>
        <w:r w:rsidRPr="000242F3">
          <w:rPr>
            <w:rFonts w:ascii="Calibri" w:hAnsi="Calibri"/>
            <w:sz w:val="22"/>
            <w:szCs w:val="22"/>
          </w:rPr>
          <w:instrText xml:space="preserve"> PAGE   \* MERGEFORMAT </w:instrText>
        </w:r>
        <w:r w:rsidRPr="000242F3">
          <w:rPr>
            <w:rFonts w:ascii="Calibri" w:hAnsi="Calibri"/>
            <w:sz w:val="22"/>
            <w:szCs w:val="22"/>
          </w:rPr>
          <w:fldChar w:fldCharType="separate"/>
        </w:r>
        <w:r w:rsidR="004802CF">
          <w:rPr>
            <w:rFonts w:ascii="Calibri" w:hAnsi="Calibri"/>
            <w:noProof/>
            <w:sz w:val="22"/>
            <w:szCs w:val="22"/>
          </w:rPr>
          <w:t>5</w:t>
        </w:r>
        <w:r w:rsidRPr="000242F3">
          <w:rPr>
            <w:rFonts w:ascii="Calibri" w:hAnsi="Calibri"/>
            <w:noProof/>
            <w:sz w:val="22"/>
            <w:szCs w:val="22"/>
          </w:rPr>
          <w:fldChar w:fldCharType="end"/>
        </w:r>
        <w:r>
          <w:rPr>
            <w:rFonts w:ascii="Calibri" w:hAnsi="Calibri"/>
            <w:noProof/>
            <w:sz w:val="22"/>
            <w:szCs w:val="22"/>
          </w:rPr>
          <w:t> </w:t>
        </w:r>
        <w:r w:rsidRPr="000242F3">
          <w:rPr>
            <w:rFonts w:ascii="Calibri" w:hAnsi="Calibri"/>
            <w:noProof/>
            <w:sz w:val="22"/>
            <w:szCs w:val="22"/>
          </w:rPr>
          <w:t>-</w:t>
        </w:r>
      </w:sdtContent>
    </w:sdt>
  </w:p>
  <w:p w14:paraId="7EC3A0BB" w14:textId="77777777" w:rsidR="00330E29" w:rsidRPr="000242F3" w:rsidRDefault="00330E29" w:rsidP="000242F3">
    <w:pPr>
      <w:pStyle w:val="Header"/>
      <w:jc w:val="center"/>
      <w:rPr>
        <w:rFonts w:ascii="Calibri" w:hAnsi="Calibr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5367F" w14:textId="77777777" w:rsidR="00330E29" w:rsidRDefault="00330E29" w:rsidP="0036354B">
    <w:pPr>
      <w:pStyle w:val="Header"/>
      <w:jc w:val="center"/>
    </w:pPr>
  </w:p>
  <w:p w14:paraId="2B4890B0" w14:textId="77777777" w:rsidR="00330E29" w:rsidRDefault="00330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E4B7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66D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8AC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7214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8889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8245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545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203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CCEF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6E87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925E8"/>
    <w:multiLevelType w:val="hybridMultilevel"/>
    <w:tmpl w:val="F05C9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EB508A"/>
    <w:multiLevelType w:val="hybridMultilevel"/>
    <w:tmpl w:val="C41AD55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6B71C0"/>
    <w:multiLevelType w:val="hybridMultilevel"/>
    <w:tmpl w:val="35E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5C05DF"/>
    <w:multiLevelType w:val="hybridMultilevel"/>
    <w:tmpl w:val="E27AF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1F17B5"/>
    <w:multiLevelType w:val="hybridMultilevel"/>
    <w:tmpl w:val="815AD0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0A1132A"/>
    <w:multiLevelType w:val="hybridMultilevel"/>
    <w:tmpl w:val="B468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4C6D21"/>
    <w:multiLevelType w:val="hybridMultilevel"/>
    <w:tmpl w:val="A510C3C2"/>
    <w:lvl w:ilvl="0" w:tplc="75BC1C88">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9A07A8"/>
    <w:multiLevelType w:val="hybridMultilevel"/>
    <w:tmpl w:val="D4344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52B45FA"/>
    <w:multiLevelType w:val="hybridMultilevel"/>
    <w:tmpl w:val="857A0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2292C37"/>
    <w:multiLevelType w:val="multilevel"/>
    <w:tmpl w:val="DFD0DAA2"/>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6607B80"/>
    <w:multiLevelType w:val="hybridMultilevel"/>
    <w:tmpl w:val="417EF0E4"/>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22" w15:restartNumberingAfterBreak="0">
    <w:nsid w:val="28254C28"/>
    <w:multiLevelType w:val="hybridMultilevel"/>
    <w:tmpl w:val="989E4FF2"/>
    <w:lvl w:ilvl="0" w:tplc="70E2EA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56094D"/>
    <w:multiLevelType w:val="hybridMultilevel"/>
    <w:tmpl w:val="28B40D12"/>
    <w:lvl w:ilvl="0" w:tplc="FB385CD0">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21177A"/>
    <w:multiLevelType w:val="hybridMultilevel"/>
    <w:tmpl w:val="9EA809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CC342D"/>
    <w:multiLevelType w:val="hybridMultilevel"/>
    <w:tmpl w:val="0DF27C60"/>
    <w:lvl w:ilvl="0" w:tplc="C48CB534">
      <w:start w:val="1"/>
      <w:numFmt w:val="bullet"/>
      <w:lvlText w:val="-"/>
      <w:lvlJc w:val="left"/>
      <w:pPr>
        <w:ind w:left="720" w:hanging="36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005EED"/>
    <w:multiLevelType w:val="hybridMultilevel"/>
    <w:tmpl w:val="ECCA909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313D1F11"/>
    <w:multiLevelType w:val="hybridMultilevel"/>
    <w:tmpl w:val="E72034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BB1DD6"/>
    <w:multiLevelType w:val="hybridMultilevel"/>
    <w:tmpl w:val="A542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93679D"/>
    <w:multiLevelType w:val="hybridMultilevel"/>
    <w:tmpl w:val="F3CED154"/>
    <w:lvl w:ilvl="0" w:tplc="9970F04A">
      <w:start w:val="8"/>
      <w:numFmt w:val="bullet"/>
      <w:lvlText w:val="-"/>
      <w:lvlJc w:val="left"/>
      <w:pPr>
        <w:ind w:left="1069" w:hanging="360"/>
      </w:pPr>
      <w:rPr>
        <w:rFonts w:ascii="Calibri" w:eastAsia="SimSun" w:hAnsi="Calibri"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365B79D7"/>
    <w:multiLevelType w:val="hybridMultilevel"/>
    <w:tmpl w:val="40CC50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6BD30CD"/>
    <w:multiLevelType w:val="hybridMultilevel"/>
    <w:tmpl w:val="9D64A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862250"/>
    <w:multiLevelType w:val="hybridMultilevel"/>
    <w:tmpl w:val="0F50DAFC"/>
    <w:lvl w:ilvl="0" w:tplc="A3E0518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67250D"/>
    <w:multiLevelType w:val="hybridMultilevel"/>
    <w:tmpl w:val="1C044F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8377A6"/>
    <w:multiLevelType w:val="hybridMultilevel"/>
    <w:tmpl w:val="F2DC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A4727C"/>
    <w:multiLevelType w:val="multilevel"/>
    <w:tmpl w:val="B44C39D2"/>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A93079"/>
    <w:multiLevelType w:val="hybridMultilevel"/>
    <w:tmpl w:val="E22689E8"/>
    <w:lvl w:ilvl="0" w:tplc="075A5652">
      <w:start w:val="1"/>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A2F27D8"/>
    <w:multiLevelType w:val="hybridMultilevel"/>
    <w:tmpl w:val="851AA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B665410"/>
    <w:multiLevelType w:val="hybridMultilevel"/>
    <w:tmpl w:val="789A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FB387C"/>
    <w:multiLevelType w:val="multilevel"/>
    <w:tmpl w:val="12E08B50"/>
    <w:lvl w:ilvl="0">
      <w:start w:val="1"/>
      <w:numFmt w:val="decimal"/>
      <w:lvlText w:val="%1"/>
      <w:lvlJc w:val="left"/>
      <w:pPr>
        <w:ind w:left="724" w:hanging="724"/>
      </w:pPr>
      <w:rPr>
        <w:rFonts w:cs="Calibri" w:hint="default"/>
        <w:color w:val="auto"/>
      </w:rPr>
    </w:lvl>
    <w:lvl w:ilvl="1">
      <w:start w:val="1"/>
      <w:numFmt w:val="decimal"/>
      <w:lvlText w:val="%1.%2"/>
      <w:lvlJc w:val="left"/>
      <w:pPr>
        <w:ind w:left="724" w:hanging="724"/>
      </w:pPr>
      <w:rPr>
        <w:rFonts w:cs="Calibri" w:hint="default"/>
        <w:b w:val="0"/>
        <w:bCs w:val="0"/>
      </w:rPr>
    </w:lvl>
    <w:lvl w:ilvl="2">
      <w:start w:val="1"/>
      <w:numFmt w:val="decimal"/>
      <w:lvlText w:val="%1.%2.%3"/>
      <w:lvlJc w:val="left"/>
      <w:pPr>
        <w:ind w:left="724" w:hanging="724"/>
      </w:pPr>
      <w:rPr>
        <w:rFonts w:cs="Calibri" w:hint="default"/>
      </w:rPr>
    </w:lvl>
    <w:lvl w:ilvl="3">
      <w:start w:val="1"/>
      <w:numFmt w:val="decimal"/>
      <w:lvlText w:val="%1.%2.%3.%4"/>
      <w:lvlJc w:val="left"/>
      <w:pPr>
        <w:ind w:left="724" w:hanging="724"/>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40" w15:restartNumberingAfterBreak="0">
    <w:nsid w:val="50B91725"/>
    <w:multiLevelType w:val="hybridMultilevel"/>
    <w:tmpl w:val="1AA20E24"/>
    <w:lvl w:ilvl="0" w:tplc="E472648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CA77AF"/>
    <w:multiLevelType w:val="hybridMultilevel"/>
    <w:tmpl w:val="77F67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534EE7"/>
    <w:multiLevelType w:val="multilevel"/>
    <w:tmpl w:val="884645AA"/>
    <w:lvl w:ilvl="0">
      <w:start w:val="1"/>
      <w:numFmt w:val="upperRoman"/>
      <w:lvlText w:val="%1."/>
      <w:lvlJc w:val="left"/>
      <w:pPr>
        <w:ind w:left="720" w:hanging="720"/>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5AAE7CF1"/>
    <w:multiLevelType w:val="hybridMultilevel"/>
    <w:tmpl w:val="06DA2C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FC411C"/>
    <w:multiLevelType w:val="hybridMultilevel"/>
    <w:tmpl w:val="DE8E895E"/>
    <w:lvl w:ilvl="0" w:tplc="7F520C14">
      <w:start w:val="8"/>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667EAF"/>
    <w:multiLevelType w:val="hybridMultilevel"/>
    <w:tmpl w:val="C2AE1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2A3175"/>
    <w:multiLevelType w:val="hybridMultilevel"/>
    <w:tmpl w:val="1764CBE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7" w15:restartNumberingAfterBreak="0">
    <w:nsid w:val="71AF2940"/>
    <w:multiLevelType w:val="hybridMultilevel"/>
    <w:tmpl w:val="39803894"/>
    <w:lvl w:ilvl="0" w:tplc="286AD6A4">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840700E"/>
    <w:multiLevelType w:val="hybridMultilevel"/>
    <w:tmpl w:val="1C5070A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39"/>
  </w:num>
  <w:num w:numId="2">
    <w:abstractNumId w:val="47"/>
  </w:num>
  <w:num w:numId="3">
    <w:abstractNumId w:val="30"/>
  </w:num>
  <w:num w:numId="4">
    <w:abstractNumId w:val="19"/>
  </w:num>
  <w:num w:numId="5">
    <w:abstractNumId w:val="46"/>
  </w:num>
  <w:num w:numId="6">
    <w:abstractNumId w:val="28"/>
  </w:num>
  <w:num w:numId="7">
    <w:abstractNumId w:val="48"/>
  </w:num>
  <w:num w:numId="8">
    <w:abstractNumId w:val="26"/>
  </w:num>
  <w:num w:numId="9">
    <w:abstractNumId w:val="29"/>
  </w:num>
  <w:num w:numId="10">
    <w:abstractNumId w:val="20"/>
  </w:num>
  <w:num w:numId="11">
    <w:abstractNumId w:val="25"/>
  </w:num>
  <w:num w:numId="12">
    <w:abstractNumId w:val="24"/>
  </w:num>
  <w:num w:numId="13">
    <w:abstractNumId w:val="15"/>
  </w:num>
  <w:num w:numId="14">
    <w:abstractNumId w:val="10"/>
  </w:num>
  <w:num w:numId="15">
    <w:abstractNumId w:val="45"/>
  </w:num>
  <w:num w:numId="16">
    <w:abstractNumId w:val="33"/>
  </w:num>
  <w:num w:numId="17">
    <w:abstractNumId w:val="32"/>
  </w:num>
  <w:num w:numId="18">
    <w:abstractNumId w:val="16"/>
  </w:num>
  <w:num w:numId="19">
    <w:abstractNumId w:val="38"/>
  </w:num>
  <w:num w:numId="20">
    <w:abstractNumId w:val="43"/>
  </w:num>
  <w:num w:numId="21">
    <w:abstractNumId w:val="42"/>
  </w:num>
  <w:num w:numId="22">
    <w:abstractNumId w:val="12"/>
  </w:num>
  <w:num w:numId="23">
    <w:abstractNumId w:val="34"/>
  </w:num>
  <w:num w:numId="24">
    <w:abstractNumId w:val="23"/>
  </w:num>
  <w:num w:numId="25">
    <w:abstractNumId w:val="22"/>
  </w:num>
  <w:num w:numId="26">
    <w:abstractNumId w:val="44"/>
  </w:num>
  <w:num w:numId="27">
    <w:abstractNumId w:val="35"/>
  </w:num>
  <w:num w:numId="28">
    <w:abstractNumId w:val="13"/>
  </w:num>
  <w:num w:numId="29">
    <w:abstractNumId w:val="11"/>
  </w:num>
  <w:num w:numId="30">
    <w:abstractNumId w:val="31"/>
  </w:num>
  <w:num w:numId="31">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14"/>
  </w:num>
  <w:num w:numId="34">
    <w:abstractNumId w:val="36"/>
  </w:num>
  <w:num w:numId="35">
    <w:abstractNumId w:val="41"/>
  </w:num>
  <w:num w:numId="36">
    <w:abstractNumId w:val="27"/>
  </w:num>
  <w:num w:numId="37">
    <w:abstractNumId w:val="18"/>
  </w:num>
  <w:num w:numId="38">
    <w:abstractNumId w:val="17"/>
  </w:num>
  <w:num w:numId="39">
    <w:abstractNumId w:val="37"/>
  </w:num>
  <w:num w:numId="40">
    <w:abstractNumId w:val="21"/>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5A"/>
    <w:rsid w:val="00000DC1"/>
    <w:rsid w:val="00001654"/>
    <w:rsid w:val="000018AF"/>
    <w:rsid w:val="00001FFB"/>
    <w:rsid w:val="00002262"/>
    <w:rsid w:val="000030C2"/>
    <w:rsid w:val="000043E5"/>
    <w:rsid w:val="000044F1"/>
    <w:rsid w:val="00004FE8"/>
    <w:rsid w:val="00005460"/>
    <w:rsid w:val="00005C36"/>
    <w:rsid w:val="00007A2F"/>
    <w:rsid w:val="00007B25"/>
    <w:rsid w:val="00011D30"/>
    <w:rsid w:val="00011EF3"/>
    <w:rsid w:val="0001260D"/>
    <w:rsid w:val="000133D9"/>
    <w:rsid w:val="000154A9"/>
    <w:rsid w:val="00016E18"/>
    <w:rsid w:val="00022D39"/>
    <w:rsid w:val="00023023"/>
    <w:rsid w:val="00023C1A"/>
    <w:rsid w:val="000242F3"/>
    <w:rsid w:val="00024A16"/>
    <w:rsid w:val="000251C0"/>
    <w:rsid w:val="00025280"/>
    <w:rsid w:val="00025934"/>
    <w:rsid w:val="00026452"/>
    <w:rsid w:val="000269A9"/>
    <w:rsid w:val="0003001D"/>
    <w:rsid w:val="00030256"/>
    <w:rsid w:val="0003088E"/>
    <w:rsid w:val="00030BC4"/>
    <w:rsid w:val="00031DF6"/>
    <w:rsid w:val="0003283A"/>
    <w:rsid w:val="00033B41"/>
    <w:rsid w:val="00033DC3"/>
    <w:rsid w:val="0003469D"/>
    <w:rsid w:val="000356D9"/>
    <w:rsid w:val="00036422"/>
    <w:rsid w:val="000365FA"/>
    <w:rsid w:val="00036C75"/>
    <w:rsid w:val="000379D8"/>
    <w:rsid w:val="0004016D"/>
    <w:rsid w:val="00040911"/>
    <w:rsid w:val="00040ED8"/>
    <w:rsid w:val="00042212"/>
    <w:rsid w:val="00043637"/>
    <w:rsid w:val="00044E94"/>
    <w:rsid w:val="00045CD9"/>
    <w:rsid w:val="00045D91"/>
    <w:rsid w:val="00046B0E"/>
    <w:rsid w:val="00046F1E"/>
    <w:rsid w:val="00047648"/>
    <w:rsid w:val="00050489"/>
    <w:rsid w:val="000527A0"/>
    <w:rsid w:val="00052C6A"/>
    <w:rsid w:val="00052E03"/>
    <w:rsid w:val="00055F92"/>
    <w:rsid w:val="0005651F"/>
    <w:rsid w:val="00057AF5"/>
    <w:rsid w:val="00057DC7"/>
    <w:rsid w:val="00062977"/>
    <w:rsid w:val="0006388C"/>
    <w:rsid w:val="00063F00"/>
    <w:rsid w:val="00064D4E"/>
    <w:rsid w:val="00065B02"/>
    <w:rsid w:val="00072720"/>
    <w:rsid w:val="00072818"/>
    <w:rsid w:val="00072B46"/>
    <w:rsid w:val="00073416"/>
    <w:rsid w:val="00073DD5"/>
    <w:rsid w:val="0007451C"/>
    <w:rsid w:val="00075135"/>
    <w:rsid w:val="00076F12"/>
    <w:rsid w:val="00083EC3"/>
    <w:rsid w:val="00084C8E"/>
    <w:rsid w:val="00086D89"/>
    <w:rsid w:val="0009114D"/>
    <w:rsid w:val="000914C3"/>
    <w:rsid w:val="00091830"/>
    <w:rsid w:val="00091AE1"/>
    <w:rsid w:val="00091E11"/>
    <w:rsid w:val="000922C7"/>
    <w:rsid w:val="00093B22"/>
    <w:rsid w:val="000945F7"/>
    <w:rsid w:val="0009493C"/>
    <w:rsid w:val="000950BE"/>
    <w:rsid w:val="00095471"/>
    <w:rsid w:val="00096E95"/>
    <w:rsid w:val="000A00B5"/>
    <w:rsid w:val="000A0BE6"/>
    <w:rsid w:val="000A2FFD"/>
    <w:rsid w:val="000A56D2"/>
    <w:rsid w:val="000A5E47"/>
    <w:rsid w:val="000A652B"/>
    <w:rsid w:val="000A66B7"/>
    <w:rsid w:val="000A7E79"/>
    <w:rsid w:val="000B0624"/>
    <w:rsid w:val="000B2174"/>
    <w:rsid w:val="000B2414"/>
    <w:rsid w:val="000B256B"/>
    <w:rsid w:val="000B36C4"/>
    <w:rsid w:val="000B386C"/>
    <w:rsid w:val="000B3978"/>
    <w:rsid w:val="000B3AE2"/>
    <w:rsid w:val="000B3CF7"/>
    <w:rsid w:val="000B4A10"/>
    <w:rsid w:val="000B4F50"/>
    <w:rsid w:val="000B75FB"/>
    <w:rsid w:val="000B7B60"/>
    <w:rsid w:val="000C1CBE"/>
    <w:rsid w:val="000C1DE4"/>
    <w:rsid w:val="000C2E10"/>
    <w:rsid w:val="000C3010"/>
    <w:rsid w:val="000C5616"/>
    <w:rsid w:val="000C607D"/>
    <w:rsid w:val="000C617D"/>
    <w:rsid w:val="000C636E"/>
    <w:rsid w:val="000C6538"/>
    <w:rsid w:val="000C6654"/>
    <w:rsid w:val="000C6AAF"/>
    <w:rsid w:val="000C6DE8"/>
    <w:rsid w:val="000C72A7"/>
    <w:rsid w:val="000C75A5"/>
    <w:rsid w:val="000D050C"/>
    <w:rsid w:val="000D5393"/>
    <w:rsid w:val="000D7F2E"/>
    <w:rsid w:val="000E0D6B"/>
    <w:rsid w:val="000E182D"/>
    <w:rsid w:val="000E1DF2"/>
    <w:rsid w:val="000E33D8"/>
    <w:rsid w:val="000E3518"/>
    <w:rsid w:val="000E368B"/>
    <w:rsid w:val="000E41CF"/>
    <w:rsid w:val="000E4F76"/>
    <w:rsid w:val="000E61FE"/>
    <w:rsid w:val="000E670F"/>
    <w:rsid w:val="000E68CC"/>
    <w:rsid w:val="000E6F26"/>
    <w:rsid w:val="000E7528"/>
    <w:rsid w:val="000E7F42"/>
    <w:rsid w:val="000F0CE6"/>
    <w:rsid w:val="000F1121"/>
    <w:rsid w:val="000F1CDD"/>
    <w:rsid w:val="000F29CA"/>
    <w:rsid w:val="000F30F6"/>
    <w:rsid w:val="000F3E4D"/>
    <w:rsid w:val="000F42C1"/>
    <w:rsid w:val="000F4342"/>
    <w:rsid w:val="000F49E3"/>
    <w:rsid w:val="000F4AB7"/>
    <w:rsid w:val="000F5B22"/>
    <w:rsid w:val="00100864"/>
    <w:rsid w:val="00100FF0"/>
    <w:rsid w:val="00101F69"/>
    <w:rsid w:val="00102708"/>
    <w:rsid w:val="001031A5"/>
    <w:rsid w:val="001032A7"/>
    <w:rsid w:val="00103F81"/>
    <w:rsid w:val="00106AED"/>
    <w:rsid w:val="00107156"/>
    <w:rsid w:val="00107C10"/>
    <w:rsid w:val="0011051D"/>
    <w:rsid w:val="001108BD"/>
    <w:rsid w:val="00110B05"/>
    <w:rsid w:val="00113474"/>
    <w:rsid w:val="00114AA4"/>
    <w:rsid w:val="001159D5"/>
    <w:rsid w:val="0011737F"/>
    <w:rsid w:val="00120BBC"/>
    <w:rsid w:val="00121ACA"/>
    <w:rsid w:val="00121F6A"/>
    <w:rsid w:val="00123528"/>
    <w:rsid w:val="0012356C"/>
    <w:rsid w:val="001245BB"/>
    <w:rsid w:val="0012760B"/>
    <w:rsid w:val="001315BD"/>
    <w:rsid w:val="00132AAE"/>
    <w:rsid w:val="00132EEB"/>
    <w:rsid w:val="0013312C"/>
    <w:rsid w:val="00135B25"/>
    <w:rsid w:val="001360BB"/>
    <w:rsid w:val="0014245F"/>
    <w:rsid w:val="001438C7"/>
    <w:rsid w:val="001439B2"/>
    <w:rsid w:val="00143B4B"/>
    <w:rsid w:val="00143E4B"/>
    <w:rsid w:val="00143EEC"/>
    <w:rsid w:val="001441AC"/>
    <w:rsid w:val="00145D15"/>
    <w:rsid w:val="00146D40"/>
    <w:rsid w:val="00146FA1"/>
    <w:rsid w:val="001506F1"/>
    <w:rsid w:val="0015100F"/>
    <w:rsid w:val="001522F5"/>
    <w:rsid w:val="00152D0F"/>
    <w:rsid w:val="00152F2C"/>
    <w:rsid w:val="00153EBD"/>
    <w:rsid w:val="00153EDD"/>
    <w:rsid w:val="00154359"/>
    <w:rsid w:val="001544E0"/>
    <w:rsid w:val="00154670"/>
    <w:rsid w:val="0015471A"/>
    <w:rsid w:val="001549C3"/>
    <w:rsid w:val="00154B5E"/>
    <w:rsid w:val="001551EB"/>
    <w:rsid w:val="00155895"/>
    <w:rsid w:val="00155FC2"/>
    <w:rsid w:val="001576E8"/>
    <w:rsid w:val="00157A33"/>
    <w:rsid w:val="00157E72"/>
    <w:rsid w:val="00160092"/>
    <w:rsid w:val="0016326A"/>
    <w:rsid w:val="00166073"/>
    <w:rsid w:val="001665EC"/>
    <w:rsid w:val="00167410"/>
    <w:rsid w:val="00167727"/>
    <w:rsid w:val="00170F2D"/>
    <w:rsid w:val="001718F4"/>
    <w:rsid w:val="00173BA5"/>
    <w:rsid w:val="00174065"/>
    <w:rsid w:val="00174835"/>
    <w:rsid w:val="00174AD1"/>
    <w:rsid w:val="00174C71"/>
    <w:rsid w:val="001753DF"/>
    <w:rsid w:val="00180482"/>
    <w:rsid w:val="00180D22"/>
    <w:rsid w:val="00180D7F"/>
    <w:rsid w:val="00181A8D"/>
    <w:rsid w:val="00182D63"/>
    <w:rsid w:val="00183510"/>
    <w:rsid w:val="00183A0D"/>
    <w:rsid w:val="0018520F"/>
    <w:rsid w:val="001855AB"/>
    <w:rsid w:val="001858EA"/>
    <w:rsid w:val="0018692E"/>
    <w:rsid w:val="00187295"/>
    <w:rsid w:val="00190490"/>
    <w:rsid w:val="00190840"/>
    <w:rsid w:val="001908BC"/>
    <w:rsid w:val="00190CB3"/>
    <w:rsid w:val="00191445"/>
    <w:rsid w:val="00191926"/>
    <w:rsid w:val="00193BEC"/>
    <w:rsid w:val="00195762"/>
    <w:rsid w:val="0019593C"/>
    <w:rsid w:val="00195F57"/>
    <w:rsid w:val="00196168"/>
    <w:rsid w:val="00196A5A"/>
    <w:rsid w:val="001A0C1A"/>
    <w:rsid w:val="001A1609"/>
    <w:rsid w:val="001A244A"/>
    <w:rsid w:val="001A329C"/>
    <w:rsid w:val="001A394B"/>
    <w:rsid w:val="001A3BD8"/>
    <w:rsid w:val="001A3E52"/>
    <w:rsid w:val="001A4E93"/>
    <w:rsid w:val="001A699D"/>
    <w:rsid w:val="001A752F"/>
    <w:rsid w:val="001A7736"/>
    <w:rsid w:val="001A7FE3"/>
    <w:rsid w:val="001B06C4"/>
    <w:rsid w:val="001B0FA1"/>
    <w:rsid w:val="001B145D"/>
    <w:rsid w:val="001B160A"/>
    <w:rsid w:val="001B30F3"/>
    <w:rsid w:val="001B3C04"/>
    <w:rsid w:val="001B4A12"/>
    <w:rsid w:val="001B4E5A"/>
    <w:rsid w:val="001B5D02"/>
    <w:rsid w:val="001B5E3D"/>
    <w:rsid w:val="001C01E9"/>
    <w:rsid w:val="001C1335"/>
    <w:rsid w:val="001C1D64"/>
    <w:rsid w:val="001C1E33"/>
    <w:rsid w:val="001C340A"/>
    <w:rsid w:val="001C3421"/>
    <w:rsid w:val="001C36EB"/>
    <w:rsid w:val="001C41B1"/>
    <w:rsid w:val="001C43D7"/>
    <w:rsid w:val="001C5BEB"/>
    <w:rsid w:val="001C5C55"/>
    <w:rsid w:val="001C6AC1"/>
    <w:rsid w:val="001C7299"/>
    <w:rsid w:val="001C7A3F"/>
    <w:rsid w:val="001D007D"/>
    <w:rsid w:val="001D10F0"/>
    <w:rsid w:val="001D1489"/>
    <w:rsid w:val="001D1611"/>
    <w:rsid w:val="001D4E6B"/>
    <w:rsid w:val="001D5D76"/>
    <w:rsid w:val="001D60C2"/>
    <w:rsid w:val="001D69F8"/>
    <w:rsid w:val="001D6D09"/>
    <w:rsid w:val="001D72DA"/>
    <w:rsid w:val="001D7620"/>
    <w:rsid w:val="001D7AD5"/>
    <w:rsid w:val="001D7E2E"/>
    <w:rsid w:val="001E0EF0"/>
    <w:rsid w:val="001E1B68"/>
    <w:rsid w:val="001E33A4"/>
    <w:rsid w:val="001E3A5B"/>
    <w:rsid w:val="001E3DC4"/>
    <w:rsid w:val="001E407F"/>
    <w:rsid w:val="001E4AD0"/>
    <w:rsid w:val="001E5BB8"/>
    <w:rsid w:val="001E729F"/>
    <w:rsid w:val="001F09E2"/>
    <w:rsid w:val="001F1999"/>
    <w:rsid w:val="001F1F1B"/>
    <w:rsid w:val="001F73DA"/>
    <w:rsid w:val="001F7709"/>
    <w:rsid w:val="00200A5C"/>
    <w:rsid w:val="00200F64"/>
    <w:rsid w:val="00201912"/>
    <w:rsid w:val="00202ED0"/>
    <w:rsid w:val="00203C41"/>
    <w:rsid w:val="0020502C"/>
    <w:rsid w:val="002053B8"/>
    <w:rsid w:val="0020748B"/>
    <w:rsid w:val="002079A6"/>
    <w:rsid w:val="00210388"/>
    <w:rsid w:val="00210B9A"/>
    <w:rsid w:val="00210D3C"/>
    <w:rsid w:val="00210F08"/>
    <w:rsid w:val="00210F74"/>
    <w:rsid w:val="0021119B"/>
    <w:rsid w:val="002122A5"/>
    <w:rsid w:val="00212ED3"/>
    <w:rsid w:val="00213F5C"/>
    <w:rsid w:val="0021791F"/>
    <w:rsid w:val="002218D1"/>
    <w:rsid w:val="00221C6C"/>
    <w:rsid w:val="00222B4A"/>
    <w:rsid w:val="002234BE"/>
    <w:rsid w:val="00224DE4"/>
    <w:rsid w:val="002259D0"/>
    <w:rsid w:val="00226127"/>
    <w:rsid w:val="002264A0"/>
    <w:rsid w:val="00226E8D"/>
    <w:rsid w:val="002273BB"/>
    <w:rsid w:val="002322CF"/>
    <w:rsid w:val="00233042"/>
    <w:rsid w:val="00233898"/>
    <w:rsid w:val="00233B9B"/>
    <w:rsid w:val="00234393"/>
    <w:rsid w:val="00234CB4"/>
    <w:rsid w:val="002364BD"/>
    <w:rsid w:val="00236BC6"/>
    <w:rsid w:val="00241C60"/>
    <w:rsid w:val="0024622D"/>
    <w:rsid w:val="002464C2"/>
    <w:rsid w:val="00246874"/>
    <w:rsid w:val="00250B7B"/>
    <w:rsid w:val="00251831"/>
    <w:rsid w:val="00252C74"/>
    <w:rsid w:val="00253EA6"/>
    <w:rsid w:val="00254A58"/>
    <w:rsid w:val="002552EF"/>
    <w:rsid w:val="00255847"/>
    <w:rsid w:val="00255A19"/>
    <w:rsid w:val="00255D9C"/>
    <w:rsid w:val="00256429"/>
    <w:rsid w:val="00257361"/>
    <w:rsid w:val="00257C54"/>
    <w:rsid w:val="0026139F"/>
    <w:rsid w:val="00262AD8"/>
    <w:rsid w:val="00262F00"/>
    <w:rsid w:val="0026704B"/>
    <w:rsid w:val="002675DF"/>
    <w:rsid w:val="002679D9"/>
    <w:rsid w:val="002704D4"/>
    <w:rsid w:val="00272C6A"/>
    <w:rsid w:val="00273D10"/>
    <w:rsid w:val="0027551E"/>
    <w:rsid w:val="00275C42"/>
    <w:rsid w:val="00276331"/>
    <w:rsid w:val="0027668A"/>
    <w:rsid w:val="00277168"/>
    <w:rsid w:val="002808C3"/>
    <w:rsid w:val="00280CDD"/>
    <w:rsid w:val="00281008"/>
    <w:rsid w:val="00281D45"/>
    <w:rsid w:val="00282031"/>
    <w:rsid w:val="00282BE1"/>
    <w:rsid w:val="00283084"/>
    <w:rsid w:val="002843ED"/>
    <w:rsid w:val="00284F9C"/>
    <w:rsid w:val="0028557E"/>
    <w:rsid w:val="00285DB8"/>
    <w:rsid w:val="00290491"/>
    <w:rsid w:val="00291AC9"/>
    <w:rsid w:val="002926CB"/>
    <w:rsid w:val="002936DA"/>
    <w:rsid w:val="00293F1B"/>
    <w:rsid w:val="00294DCB"/>
    <w:rsid w:val="00296D77"/>
    <w:rsid w:val="00296FE9"/>
    <w:rsid w:val="00297685"/>
    <w:rsid w:val="002977F1"/>
    <w:rsid w:val="002A015F"/>
    <w:rsid w:val="002A02E6"/>
    <w:rsid w:val="002A04CC"/>
    <w:rsid w:val="002A229E"/>
    <w:rsid w:val="002A2D36"/>
    <w:rsid w:val="002A3B01"/>
    <w:rsid w:val="002A4779"/>
    <w:rsid w:val="002A5A28"/>
    <w:rsid w:val="002A6B55"/>
    <w:rsid w:val="002A7766"/>
    <w:rsid w:val="002A7B48"/>
    <w:rsid w:val="002A7FD8"/>
    <w:rsid w:val="002B3431"/>
    <w:rsid w:val="002B4163"/>
    <w:rsid w:val="002B487C"/>
    <w:rsid w:val="002B48DB"/>
    <w:rsid w:val="002B57BD"/>
    <w:rsid w:val="002B6658"/>
    <w:rsid w:val="002B6824"/>
    <w:rsid w:val="002B6C80"/>
    <w:rsid w:val="002B7D51"/>
    <w:rsid w:val="002C067B"/>
    <w:rsid w:val="002C0A74"/>
    <w:rsid w:val="002C2038"/>
    <w:rsid w:val="002C3C07"/>
    <w:rsid w:val="002C536C"/>
    <w:rsid w:val="002C5B04"/>
    <w:rsid w:val="002C7323"/>
    <w:rsid w:val="002C7578"/>
    <w:rsid w:val="002C7580"/>
    <w:rsid w:val="002D0169"/>
    <w:rsid w:val="002D12EF"/>
    <w:rsid w:val="002D1506"/>
    <w:rsid w:val="002D159F"/>
    <w:rsid w:val="002D15D3"/>
    <w:rsid w:val="002D194B"/>
    <w:rsid w:val="002D29A5"/>
    <w:rsid w:val="002D2D58"/>
    <w:rsid w:val="002D2E3F"/>
    <w:rsid w:val="002D3795"/>
    <w:rsid w:val="002D478C"/>
    <w:rsid w:val="002D4A55"/>
    <w:rsid w:val="002D6280"/>
    <w:rsid w:val="002D6639"/>
    <w:rsid w:val="002D666E"/>
    <w:rsid w:val="002D787C"/>
    <w:rsid w:val="002D7C45"/>
    <w:rsid w:val="002E02AD"/>
    <w:rsid w:val="002E1ACF"/>
    <w:rsid w:val="002E2A6B"/>
    <w:rsid w:val="002E3780"/>
    <w:rsid w:val="002E3E8B"/>
    <w:rsid w:val="002E45A9"/>
    <w:rsid w:val="002E5355"/>
    <w:rsid w:val="002E6979"/>
    <w:rsid w:val="002E7CAA"/>
    <w:rsid w:val="002F419C"/>
    <w:rsid w:val="002F48F5"/>
    <w:rsid w:val="002F588F"/>
    <w:rsid w:val="002F5F31"/>
    <w:rsid w:val="002F6277"/>
    <w:rsid w:val="002F6F76"/>
    <w:rsid w:val="002F7337"/>
    <w:rsid w:val="00302C03"/>
    <w:rsid w:val="00302C07"/>
    <w:rsid w:val="003032CE"/>
    <w:rsid w:val="00303CA9"/>
    <w:rsid w:val="0030486C"/>
    <w:rsid w:val="00304EB4"/>
    <w:rsid w:val="003050EF"/>
    <w:rsid w:val="0030555B"/>
    <w:rsid w:val="00305FF5"/>
    <w:rsid w:val="0030642E"/>
    <w:rsid w:val="00306806"/>
    <w:rsid w:val="003072DA"/>
    <w:rsid w:val="0030788D"/>
    <w:rsid w:val="00307F6C"/>
    <w:rsid w:val="003116E4"/>
    <w:rsid w:val="00311ADF"/>
    <w:rsid w:val="00311DE6"/>
    <w:rsid w:val="0031235D"/>
    <w:rsid w:val="003136D9"/>
    <w:rsid w:val="003160E8"/>
    <w:rsid w:val="00316684"/>
    <w:rsid w:val="00316773"/>
    <w:rsid w:val="003170C3"/>
    <w:rsid w:val="003176F6"/>
    <w:rsid w:val="00321F13"/>
    <w:rsid w:val="00322105"/>
    <w:rsid w:val="0032236C"/>
    <w:rsid w:val="00322F32"/>
    <w:rsid w:val="00323431"/>
    <w:rsid w:val="003236C3"/>
    <w:rsid w:val="00323855"/>
    <w:rsid w:val="00324838"/>
    <w:rsid w:val="0032502B"/>
    <w:rsid w:val="00325231"/>
    <w:rsid w:val="00330E29"/>
    <w:rsid w:val="0033115F"/>
    <w:rsid w:val="003321CD"/>
    <w:rsid w:val="00332360"/>
    <w:rsid w:val="00333140"/>
    <w:rsid w:val="00333342"/>
    <w:rsid w:val="003342DE"/>
    <w:rsid w:val="00334A0F"/>
    <w:rsid w:val="0033565D"/>
    <w:rsid w:val="003361A7"/>
    <w:rsid w:val="00336B66"/>
    <w:rsid w:val="00337105"/>
    <w:rsid w:val="00337EE6"/>
    <w:rsid w:val="003405A5"/>
    <w:rsid w:val="00341D05"/>
    <w:rsid w:val="00342842"/>
    <w:rsid w:val="00342F85"/>
    <w:rsid w:val="003432C8"/>
    <w:rsid w:val="00343750"/>
    <w:rsid w:val="00343A63"/>
    <w:rsid w:val="003446CC"/>
    <w:rsid w:val="0034487A"/>
    <w:rsid w:val="003464D4"/>
    <w:rsid w:val="00346928"/>
    <w:rsid w:val="00352452"/>
    <w:rsid w:val="0035263C"/>
    <w:rsid w:val="00356BC2"/>
    <w:rsid w:val="00356CF1"/>
    <w:rsid w:val="0035730D"/>
    <w:rsid w:val="0035795C"/>
    <w:rsid w:val="00357E44"/>
    <w:rsid w:val="003604CD"/>
    <w:rsid w:val="0036128E"/>
    <w:rsid w:val="0036268E"/>
    <w:rsid w:val="00362FBA"/>
    <w:rsid w:val="003634EE"/>
    <w:rsid w:val="0036354B"/>
    <w:rsid w:val="003647C7"/>
    <w:rsid w:val="00367818"/>
    <w:rsid w:val="00370252"/>
    <w:rsid w:val="00371290"/>
    <w:rsid w:val="003717EA"/>
    <w:rsid w:val="003727D2"/>
    <w:rsid w:val="00372F2E"/>
    <w:rsid w:val="003732E0"/>
    <w:rsid w:val="003732F7"/>
    <w:rsid w:val="0037421C"/>
    <w:rsid w:val="00375516"/>
    <w:rsid w:val="00375627"/>
    <w:rsid w:val="00375728"/>
    <w:rsid w:val="00375830"/>
    <w:rsid w:val="003758A8"/>
    <w:rsid w:val="00377B91"/>
    <w:rsid w:val="00381B64"/>
    <w:rsid w:val="003828B8"/>
    <w:rsid w:val="00382E15"/>
    <w:rsid w:val="0038336D"/>
    <w:rsid w:val="00383A45"/>
    <w:rsid w:val="003865CC"/>
    <w:rsid w:val="00387466"/>
    <w:rsid w:val="00387D34"/>
    <w:rsid w:val="0039044E"/>
    <w:rsid w:val="00390D97"/>
    <w:rsid w:val="00390E3A"/>
    <w:rsid w:val="00391CFA"/>
    <w:rsid w:val="00391F20"/>
    <w:rsid w:val="00393288"/>
    <w:rsid w:val="003936AB"/>
    <w:rsid w:val="00393EA3"/>
    <w:rsid w:val="00394DB2"/>
    <w:rsid w:val="00394FB5"/>
    <w:rsid w:val="0039558D"/>
    <w:rsid w:val="003955D3"/>
    <w:rsid w:val="00395AF0"/>
    <w:rsid w:val="00396364"/>
    <w:rsid w:val="003969C0"/>
    <w:rsid w:val="0039736D"/>
    <w:rsid w:val="003A053C"/>
    <w:rsid w:val="003A0EC8"/>
    <w:rsid w:val="003A1903"/>
    <w:rsid w:val="003A1BC9"/>
    <w:rsid w:val="003A2FEF"/>
    <w:rsid w:val="003A3811"/>
    <w:rsid w:val="003A3B92"/>
    <w:rsid w:val="003A402D"/>
    <w:rsid w:val="003A44E8"/>
    <w:rsid w:val="003A7354"/>
    <w:rsid w:val="003B0747"/>
    <w:rsid w:val="003B1D45"/>
    <w:rsid w:val="003B2563"/>
    <w:rsid w:val="003B28EB"/>
    <w:rsid w:val="003B39D0"/>
    <w:rsid w:val="003B5275"/>
    <w:rsid w:val="003B7B0C"/>
    <w:rsid w:val="003C29A2"/>
    <w:rsid w:val="003C39F9"/>
    <w:rsid w:val="003C3D6A"/>
    <w:rsid w:val="003C4114"/>
    <w:rsid w:val="003C4B50"/>
    <w:rsid w:val="003C534E"/>
    <w:rsid w:val="003C545F"/>
    <w:rsid w:val="003C6C11"/>
    <w:rsid w:val="003C7885"/>
    <w:rsid w:val="003D03B5"/>
    <w:rsid w:val="003D0BC7"/>
    <w:rsid w:val="003D4B03"/>
    <w:rsid w:val="003D6557"/>
    <w:rsid w:val="003D660D"/>
    <w:rsid w:val="003D6695"/>
    <w:rsid w:val="003E0ACB"/>
    <w:rsid w:val="003E2D0B"/>
    <w:rsid w:val="003E327C"/>
    <w:rsid w:val="003E37DE"/>
    <w:rsid w:val="003E4703"/>
    <w:rsid w:val="003E4AA5"/>
    <w:rsid w:val="003E4ADD"/>
    <w:rsid w:val="003E51F1"/>
    <w:rsid w:val="003E66D4"/>
    <w:rsid w:val="003E68DA"/>
    <w:rsid w:val="003F1195"/>
    <w:rsid w:val="003F21BF"/>
    <w:rsid w:val="003F320E"/>
    <w:rsid w:val="003F3DEB"/>
    <w:rsid w:val="003F40DA"/>
    <w:rsid w:val="003F5698"/>
    <w:rsid w:val="003F5AF8"/>
    <w:rsid w:val="003F5F8C"/>
    <w:rsid w:val="003F6385"/>
    <w:rsid w:val="003F66C4"/>
    <w:rsid w:val="003F6B8D"/>
    <w:rsid w:val="0040140F"/>
    <w:rsid w:val="0040227E"/>
    <w:rsid w:val="00404424"/>
    <w:rsid w:val="004065D0"/>
    <w:rsid w:val="00407643"/>
    <w:rsid w:val="00410533"/>
    <w:rsid w:val="00410D43"/>
    <w:rsid w:val="0041149B"/>
    <w:rsid w:val="00412C95"/>
    <w:rsid w:val="00412EFD"/>
    <w:rsid w:val="004140FE"/>
    <w:rsid w:val="004162F2"/>
    <w:rsid w:val="004206CC"/>
    <w:rsid w:val="00421BDE"/>
    <w:rsid w:val="00422964"/>
    <w:rsid w:val="0042320F"/>
    <w:rsid w:val="00424165"/>
    <w:rsid w:val="004255BE"/>
    <w:rsid w:val="00425625"/>
    <w:rsid w:val="00425857"/>
    <w:rsid w:val="0042618D"/>
    <w:rsid w:val="0042654A"/>
    <w:rsid w:val="00426B1B"/>
    <w:rsid w:val="004277A4"/>
    <w:rsid w:val="004308E6"/>
    <w:rsid w:val="00431B0B"/>
    <w:rsid w:val="00431E20"/>
    <w:rsid w:val="00432368"/>
    <w:rsid w:val="0043493C"/>
    <w:rsid w:val="004353EA"/>
    <w:rsid w:val="00440BAC"/>
    <w:rsid w:val="004410FD"/>
    <w:rsid w:val="00441830"/>
    <w:rsid w:val="004435F2"/>
    <w:rsid w:val="004441B4"/>
    <w:rsid w:val="00446562"/>
    <w:rsid w:val="00447EAF"/>
    <w:rsid w:val="00451394"/>
    <w:rsid w:val="0045258B"/>
    <w:rsid w:val="00453517"/>
    <w:rsid w:val="00454E2C"/>
    <w:rsid w:val="00455533"/>
    <w:rsid w:val="00455619"/>
    <w:rsid w:val="004565CB"/>
    <w:rsid w:val="00456C1B"/>
    <w:rsid w:val="00462888"/>
    <w:rsid w:val="00463EA4"/>
    <w:rsid w:val="004645D3"/>
    <w:rsid w:val="00464B3B"/>
    <w:rsid w:val="00464BE2"/>
    <w:rsid w:val="00464E41"/>
    <w:rsid w:val="00465ABF"/>
    <w:rsid w:val="0046718E"/>
    <w:rsid w:val="00467274"/>
    <w:rsid w:val="004672D4"/>
    <w:rsid w:val="004711BE"/>
    <w:rsid w:val="0047340B"/>
    <w:rsid w:val="0047485D"/>
    <w:rsid w:val="004757A0"/>
    <w:rsid w:val="00477107"/>
    <w:rsid w:val="00477C26"/>
    <w:rsid w:val="004802CF"/>
    <w:rsid w:val="00480B3C"/>
    <w:rsid w:val="004827F0"/>
    <w:rsid w:val="00482A7D"/>
    <w:rsid w:val="004831F0"/>
    <w:rsid w:val="00487E0F"/>
    <w:rsid w:val="0049002A"/>
    <w:rsid w:val="00490519"/>
    <w:rsid w:val="00490D4D"/>
    <w:rsid w:val="0049181D"/>
    <w:rsid w:val="00491C23"/>
    <w:rsid w:val="00491E2B"/>
    <w:rsid w:val="00492E2E"/>
    <w:rsid w:val="00494B1F"/>
    <w:rsid w:val="004950FC"/>
    <w:rsid w:val="00495EF3"/>
    <w:rsid w:val="00496645"/>
    <w:rsid w:val="00496B8F"/>
    <w:rsid w:val="0049760F"/>
    <w:rsid w:val="00497C97"/>
    <w:rsid w:val="004A0B56"/>
    <w:rsid w:val="004A15C7"/>
    <w:rsid w:val="004A280B"/>
    <w:rsid w:val="004A3CF9"/>
    <w:rsid w:val="004A57B0"/>
    <w:rsid w:val="004A6061"/>
    <w:rsid w:val="004A6664"/>
    <w:rsid w:val="004A69AB"/>
    <w:rsid w:val="004A7150"/>
    <w:rsid w:val="004A72EC"/>
    <w:rsid w:val="004B0030"/>
    <w:rsid w:val="004B199D"/>
    <w:rsid w:val="004B28FB"/>
    <w:rsid w:val="004B3DF6"/>
    <w:rsid w:val="004B4056"/>
    <w:rsid w:val="004B4D0D"/>
    <w:rsid w:val="004B78B3"/>
    <w:rsid w:val="004B7E36"/>
    <w:rsid w:val="004C168D"/>
    <w:rsid w:val="004C29D3"/>
    <w:rsid w:val="004C4080"/>
    <w:rsid w:val="004C4141"/>
    <w:rsid w:val="004C5968"/>
    <w:rsid w:val="004C72AF"/>
    <w:rsid w:val="004C7DFD"/>
    <w:rsid w:val="004D070C"/>
    <w:rsid w:val="004D0A79"/>
    <w:rsid w:val="004D0A90"/>
    <w:rsid w:val="004D1D74"/>
    <w:rsid w:val="004D1E5D"/>
    <w:rsid w:val="004D2378"/>
    <w:rsid w:val="004D4446"/>
    <w:rsid w:val="004D48EE"/>
    <w:rsid w:val="004D59A1"/>
    <w:rsid w:val="004D5D17"/>
    <w:rsid w:val="004D5D73"/>
    <w:rsid w:val="004D66FE"/>
    <w:rsid w:val="004D74F0"/>
    <w:rsid w:val="004E0046"/>
    <w:rsid w:val="004E1061"/>
    <w:rsid w:val="004E1604"/>
    <w:rsid w:val="004E22EE"/>
    <w:rsid w:val="004E267F"/>
    <w:rsid w:val="004E27CB"/>
    <w:rsid w:val="004E349C"/>
    <w:rsid w:val="004E3572"/>
    <w:rsid w:val="004E3ECD"/>
    <w:rsid w:val="004E5BDF"/>
    <w:rsid w:val="004E5CFE"/>
    <w:rsid w:val="004F0127"/>
    <w:rsid w:val="004F2327"/>
    <w:rsid w:val="004F2366"/>
    <w:rsid w:val="004F5999"/>
    <w:rsid w:val="004F7589"/>
    <w:rsid w:val="004F77B6"/>
    <w:rsid w:val="004F7FE4"/>
    <w:rsid w:val="005000DE"/>
    <w:rsid w:val="005005AC"/>
    <w:rsid w:val="00501504"/>
    <w:rsid w:val="00501CF5"/>
    <w:rsid w:val="00503A35"/>
    <w:rsid w:val="0050673D"/>
    <w:rsid w:val="00506C2B"/>
    <w:rsid w:val="00507DC6"/>
    <w:rsid w:val="00510535"/>
    <w:rsid w:val="0051066F"/>
    <w:rsid w:val="00510675"/>
    <w:rsid w:val="00511C01"/>
    <w:rsid w:val="005127CC"/>
    <w:rsid w:val="005129A8"/>
    <w:rsid w:val="00514417"/>
    <w:rsid w:val="0051446C"/>
    <w:rsid w:val="005144F1"/>
    <w:rsid w:val="0051498B"/>
    <w:rsid w:val="0051567F"/>
    <w:rsid w:val="00515B9D"/>
    <w:rsid w:val="00517038"/>
    <w:rsid w:val="00520FF1"/>
    <w:rsid w:val="00524961"/>
    <w:rsid w:val="0052545D"/>
    <w:rsid w:val="00526976"/>
    <w:rsid w:val="00527197"/>
    <w:rsid w:val="0052732D"/>
    <w:rsid w:val="00527D70"/>
    <w:rsid w:val="00530772"/>
    <w:rsid w:val="00536C9B"/>
    <w:rsid w:val="00537D9F"/>
    <w:rsid w:val="005404D2"/>
    <w:rsid w:val="00540B02"/>
    <w:rsid w:val="00540D4D"/>
    <w:rsid w:val="00543280"/>
    <w:rsid w:val="00543EEF"/>
    <w:rsid w:val="005446B5"/>
    <w:rsid w:val="00545D1B"/>
    <w:rsid w:val="00546494"/>
    <w:rsid w:val="00547026"/>
    <w:rsid w:val="00547E05"/>
    <w:rsid w:val="00547E81"/>
    <w:rsid w:val="00550BA9"/>
    <w:rsid w:val="00551681"/>
    <w:rsid w:val="00552D1D"/>
    <w:rsid w:val="005538EF"/>
    <w:rsid w:val="00555790"/>
    <w:rsid w:val="005566D1"/>
    <w:rsid w:val="00557621"/>
    <w:rsid w:val="005578B6"/>
    <w:rsid w:val="005608FD"/>
    <w:rsid w:val="00561959"/>
    <w:rsid w:val="005631D1"/>
    <w:rsid w:val="0056338D"/>
    <w:rsid w:val="00563CEE"/>
    <w:rsid w:val="00564E05"/>
    <w:rsid w:val="0056550E"/>
    <w:rsid w:val="00566925"/>
    <w:rsid w:val="00567BEA"/>
    <w:rsid w:val="005708C8"/>
    <w:rsid w:val="005710DA"/>
    <w:rsid w:val="00571EA7"/>
    <w:rsid w:val="0057207C"/>
    <w:rsid w:val="00574AAF"/>
    <w:rsid w:val="005764A5"/>
    <w:rsid w:val="005777FA"/>
    <w:rsid w:val="00577917"/>
    <w:rsid w:val="0058164B"/>
    <w:rsid w:val="00582E2F"/>
    <w:rsid w:val="005840DD"/>
    <w:rsid w:val="00584AB2"/>
    <w:rsid w:val="00584B51"/>
    <w:rsid w:val="00585723"/>
    <w:rsid w:val="00586BFE"/>
    <w:rsid w:val="0058703B"/>
    <w:rsid w:val="005872C0"/>
    <w:rsid w:val="005919F8"/>
    <w:rsid w:val="005925A1"/>
    <w:rsid w:val="00594845"/>
    <w:rsid w:val="00595D03"/>
    <w:rsid w:val="00596476"/>
    <w:rsid w:val="005A2554"/>
    <w:rsid w:val="005A384C"/>
    <w:rsid w:val="005A4374"/>
    <w:rsid w:val="005A7276"/>
    <w:rsid w:val="005A76D3"/>
    <w:rsid w:val="005A7EA0"/>
    <w:rsid w:val="005B0012"/>
    <w:rsid w:val="005B27AC"/>
    <w:rsid w:val="005B2DAC"/>
    <w:rsid w:val="005B36FC"/>
    <w:rsid w:val="005B6ED7"/>
    <w:rsid w:val="005B7245"/>
    <w:rsid w:val="005B772B"/>
    <w:rsid w:val="005B78B4"/>
    <w:rsid w:val="005C0C3E"/>
    <w:rsid w:val="005C0FBB"/>
    <w:rsid w:val="005C1725"/>
    <w:rsid w:val="005C2A57"/>
    <w:rsid w:val="005C3172"/>
    <w:rsid w:val="005C56AA"/>
    <w:rsid w:val="005C5DAF"/>
    <w:rsid w:val="005C5EE0"/>
    <w:rsid w:val="005C6364"/>
    <w:rsid w:val="005C7993"/>
    <w:rsid w:val="005C7E4D"/>
    <w:rsid w:val="005D108C"/>
    <w:rsid w:val="005D12BF"/>
    <w:rsid w:val="005D1302"/>
    <w:rsid w:val="005D1A27"/>
    <w:rsid w:val="005D225C"/>
    <w:rsid w:val="005D2DE5"/>
    <w:rsid w:val="005D3FC4"/>
    <w:rsid w:val="005D4779"/>
    <w:rsid w:val="005D4D0A"/>
    <w:rsid w:val="005D545F"/>
    <w:rsid w:val="005D66D3"/>
    <w:rsid w:val="005E15E2"/>
    <w:rsid w:val="005E1799"/>
    <w:rsid w:val="005E3FD8"/>
    <w:rsid w:val="005E4009"/>
    <w:rsid w:val="005E40A5"/>
    <w:rsid w:val="005E4CD9"/>
    <w:rsid w:val="005E7B98"/>
    <w:rsid w:val="005F09B5"/>
    <w:rsid w:val="005F18D2"/>
    <w:rsid w:val="005F27C8"/>
    <w:rsid w:val="005F2D2F"/>
    <w:rsid w:val="005F382C"/>
    <w:rsid w:val="005F4CD8"/>
    <w:rsid w:val="005F5385"/>
    <w:rsid w:val="005F53B8"/>
    <w:rsid w:val="005F585D"/>
    <w:rsid w:val="005F5C63"/>
    <w:rsid w:val="005F7A5B"/>
    <w:rsid w:val="005F7CFB"/>
    <w:rsid w:val="0060124C"/>
    <w:rsid w:val="00601445"/>
    <w:rsid w:val="0060151B"/>
    <w:rsid w:val="006016FB"/>
    <w:rsid w:val="00603E08"/>
    <w:rsid w:val="006064A0"/>
    <w:rsid w:val="006068E6"/>
    <w:rsid w:val="00606A9E"/>
    <w:rsid w:val="00606BEE"/>
    <w:rsid w:val="00607C3D"/>
    <w:rsid w:val="00607F20"/>
    <w:rsid w:val="00611C7C"/>
    <w:rsid w:val="00613EEE"/>
    <w:rsid w:val="00617781"/>
    <w:rsid w:val="00617F6B"/>
    <w:rsid w:val="006208AE"/>
    <w:rsid w:val="00620F67"/>
    <w:rsid w:val="006211B5"/>
    <w:rsid w:val="00621FD0"/>
    <w:rsid w:val="0062213C"/>
    <w:rsid w:val="006224BE"/>
    <w:rsid w:val="0062287B"/>
    <w:rsid w:val="006230EB"/>
    <w:rsid w:val="006237A8"/>
    <w:rsid w:val="006237C7"/>
    <w:rsid w:val="00624BD2"/>
    <w:rsid w:val="00625404"/>
    <w:rsid w:val="00625906"/>
    <w:rsid w:val="00625A94"/>
    <w:rsid w:val="00626D81"/>
    <w:rsid w:val="00627948"/>
    <w:rsid w:val="006279DE"/>
    <w:rsid w:val="00627B7A"/>
    <w:rsid w:val="00627E7C"/>
    <w:rsid w:val="006300A0"/>
    <w:rsid w:val="00630F6A"/>
    <w:rsid w:val="006314EE"/>
    <w:rsid w:val="00631A8F"/>
    <w:rsid w:val="006336DB"/>
    <w:rsid w:val="00634A48"/>
    <w:rsid w:val="006353AB"/>
    <w:rsid w:val="00635A69"/>
    <w:rsid w:val="00637CB4"/>
    <w:rsid w:val="006402BC"/>
    <w:rsid w:val="0064086F"/>
    <w:rsid w:val="0064116B"/>
    <w:rsid w:val="0064135E"/>
    <w:rsid w:val="006413FC"/>
    <w:rsid w:val="00642B57"/>
    <w:rsid w:val="00642EF2"/>
    <w:rsid w:val="00643B89"/>
    <w:rsid w:val="00643D1F"/>
    <w:rsid w:val="00643EA5"/>
    <w:rsid w:val="006458A5"/>
    <w:rsid w:val="0064742B"/>
    <w:rsid w:val="00647F92"/>
    <w:rsid w:val="00652DA9"/>
    <w:rsid w:val="006534F6"/>
    <w:rsid w:val="00654B11"/>
    <w:rsid w:val="00655AA0"/>
    <w:rsid w:val="00656B91"/>
    <w:rsid w:val="00657400"/>
    <w:rsid w:val="00657A5D"/>
    <w:rsid w:val="006601FC"/>
    <w:rsid w:val="00661589"/>
    <w:rsid w:val="00662482"/>
    <w:rsid w:val="00662525"/>
    <w:rsid w:val="0066686F"/>
    <w:rsid w:val="00666CE8"/>
    <w:rsid w:val="00672D38"/>
    <w:rsid w:val="00674180"/>
    <w:rsid w:val="00674486"/>
    <w:rsid w:val="0067536D"/>
    <w:rsid w:val="00677329"/>
    <w:rsid w:val="00677396"/>
    <w:rsid w:val="00677AB2"/>
    <w:rsid w:val="00680DC8"/>
    <w:rsid w:val="0068264F"/>
    <w:rsid w:val="006837EC"/>
    <w:rsid w:val="00684F51"/>
    <w:rsid w:val="00685F60"/>
    <w:rsid w:val="00687C47"/>
    <w:rsid w:val="006901FD"/>
    <w:rsid w:val="00692294"/>
    <w:rsid w:val="00692D77"/>
    <w:rsid w:val="00693A09"/>
    <w:rsid w:val="00694236"/>
    <w:rsid w:val="006954B5"/>
    <w:rsid w:val="00696B8F"/>
    <w:rsid w:val="00696F80"/>
    <w:rsid w:val="00697028"/>
    <w:rsid w:val="006A0861"/>
    <w:rsid w:val="006A0C72"/>
    <w:rsid w:val="006A13E6"/>
    <w:rsid w:val="006A16F3"/>
    <w:rsid w:val="006A1825"/>
    <w:rsid w:val="006A2CA3"/>
    <w:rsid w:val="006A3055"/>
    <w:rsid w:val="006A3DF4"/>
    <w:rsid w:val="006A4087"/>
    <w:rsid w:val="006A7EBF"/>
    <w:rsid w:val="006B11D3"/>
    <w:rsid w:val="006B2CEC"/>
    <w:rsid w:val="006B48B1"/>
    <w:rsid w:val="006B58AE"/>
    <w:rsid w:val="006B6641"/>
    <w:rsid w:val="006C1DA1"/>
    <w:rsid w:val="006C3113"/>
    <w:rsid w:val="006C365E"/>
    <w:rsid w:val="006C389F"/>
    <w:rsid w:val="006C38E2"/>
    <w:rsid w:val="006C4F00"/>
    <w:rsid w:val="006D0A7F"/>
    <w:rsid w:val="006D1A04"/>
    <w:rsid w:val="006D2A2A"/>
    <w:rsid w:val="006D3BF5"/>
    <w:rsid w:val="006D46FC"/>
    <w:rsid w:val="006D5541"/>
    <w:rsid w:val="006D5551"/>
    <w:rsid w:val="006D59D1"/>
    <w:rsid w:val="006D6163"/>
    <w:rsid w:val="006E0A10"/>
    <w:rsid w:val="006E0B03"/>
    <w:rsid w:val="006E14A8"/>
    <w:rsid w:val="006E1A3C"/>
    <w:rsid w:val="006E234D"/>
    <w:rsid w:val="006E2A1E"/>
    <w:rsid w:val="006E2FED"/>
    <w:rsid w:val="006E30DD"/>
    <w:rsid w:val="006E43FA"/>
    <w:rsid w:val="006E49AE"/>
    <w:rsid w:val="006E5950"/>
    <w:rsid w:val="006E5D22"/>
    <w:rsid w:val="006E687B"/>
    <w:rsid w:val="006F012E"/>
    <w:rsid w:val="006F03CD"/>
    <w:rsid w:val="006F0ECD"/>
    <w:rsid w:val="006F1992"/>
    <w:rsid w:val="006F2228"/>
    <w:rsid w:val="006F2DC3"/>
    <w:rsid w:val="006F434C"/>
    <w:rsid w:val="006F4593"/>
    <w:rsid w:val="006F5885"/>
    <w:rsid w:val="006F5C18"/>
    <w:rsid w:val="006F632D"/>
    <w:rsid w:val="006F6AED"/>
    <w:rsid w:val="006F6F5B"/>
    <w:rsid w:val="006F72C7"/>
    <w:rsid w:val="006F7AE4"/>
    <w:rsid w:val="00700615"/>
    <w:rsid w:val="0070077E"/>
    <w:rsid w:val="00700969"/>
    <w:rsid w:val="007023E2"/>
    <w:rsid w:val="007027F2"/>
    <w:rsid w:val="00705394"/>
    <w:rsid w:val="00705A69"/>
    <w:rsid w:val="007062A6"/>
    <w:rsid w:val="00706586"/>
    <w:rsid w:val="00706666"/>
    <w:rsid w:val="00706778"/>
    <w:rsid w:val="007071C4"/>
    <w:rsid w:val="00707C8A"/>
    <w:rsid w:val="00707F49"/>
    <w:rsid w:val="00710406"/>
    <w:rsid w:val="00711709"/>
    <w:rsid w:val="00711926"/>
    <w:rsid w:val="00711C49"/>
    <w:rsid w:val="00712190"/>
    <w:rsid w:val="00712B3C"/>
    <w:rsid w:val="0071350B"/>
    <w:rsid w:val="007157AC"/>
    <w:rsid w:val="00715D45"/>
    <w:rsid w:val="007162F3"/>
    <w:rsid w:val="007177FC"/>
    <w:rsid w:val="00717EC0"/>
    <w:rsid w:val="0072032E"/>
    <w:rsid w:val="00720948"/>
    <w:rsid w:val="00721A30"/>
    <w:rsid w:val="00721F9D"/>
    <w:rsid w:val="0072304F"/>
    <w:rsid w:val="00723670"/>
    <w:rsid w:val="00725093"/>
    <w:rsid w:val="00725094"/>
    <w:rsid w:val="00725391"/>
    <w:rsid w:val="007253AF"/>
    <w:rsid w:val="007253DD"/>
    <w:rsid w:val="00725DD3"/>
    <w:rsid w:val="0072637D"/>
    <w:rsid w:val="007300E7"/>
    <w:rsid w:val="00730898"/>
    <w:rsid w:val="00731F5B"/>
    <w:rsid w:val="007321EB"/>
    <w:rsid w:val="00732811"/>
    <w:rsid w:val="00733A0B"/>
    <w:rsid w:val="00734247"/>
    <w:rsid w:val="00734FCF"/>
    <w:rsid w:val="007353E4"/>
    <w:rsid w:val="00736962"/>
    <w:rsid w:val="00736FD0"/>
    <w:rsid w:val="007372FD"/>
    <w:rsid w:val="007375E3"/>
    <w:rsid w:val="0074053D"/>
    <w:rsid w:val="0074105F"/>
    <w:rsid w:val="0074108B"/>
    <w:rsid w:val="00741F82"/>
    <w:rsid w:val="0074545C"/>
    <w:rsid w:val="007473A4"/>
    <w:rsid w:val="00747695"/>
    <w:rsid w:val="00750B5A"/>
    <w:rsid w:val="00752139"/>
    <w:rsid w:val="0075386C"/>
    <w:rsid w:val="0075395F"/>
    <w:rsid w:val="00753C24"/>
    <w:rsid w:val="00753C68"/>
    <w:rsid w:val="00753D8A"/>
    <w:rsid w:val="007552E9"/>
    <w:rsid w:val="00755B68"/>
    <w:rsid w:val="00755D4E"/>
    <w:rsid w:val="00757A6F"/>
    <w:rsid w:val="00757D8B"/>
    <w:rsid w:val="00760ABD"/>
    <w:rsid w:val="00760D06"/>
    <w:rsid w:val="00763516"/>
    <w:rsid w:val="00763C79"/>
    <w:rsid w:val="00764AF8"/>
    <w:rsid w:val="007659CB"/>
    <w:rsid w:val="0076679F"/>
    <w:rsid w:val="0076719B"/>
    <w:rsid w:val="00772AF2"/>
    <w:rsid w:val="007765E6"/>
    <w:rsid w:val="0077704D"/>
    <w:rsid w:val="00777C1E"/>
    <w:rsid w:val="0078105C"/>
    <w:rsid w:val="007811A9"/>
    <w:rsid w:val="007813DC"/>
    <w:rsid w:val="00782036"/>
    <w:rsid w:val="007825DD"/>
    <w:rsid w:val="00783032"/>
    <w:rsid w:val="007830BD"/>
    <w:rsid w:val="007863F2"/>
    <w:rsid w:val="00787557"/>
    <w:rsid w:val="007908D7"/>
    <w:rsid w:val="00790B7F"/>
    <w:rsid w:val="007924E7"/>
    <w:rsid w:val="007926EA"/>
    <w:rsid w:val="00793A1B"/>
    <w:rsid w:val="00794F80"/>
    <w:rsid w:val="00794FC8"/>
    <w:rsid w:val="007964F6"/>
    <w:rsid w:val="00797704"/>
    <w:rsid w:val="007A0353"/>
    <w:rsid w:val="007A1FEF"/>
    <w:rsid w:val="007A206E"/>
    <w:rsid w:val="007A22C8"/>
    <w:rsid w:val="007A3B2C"/>
    <w:rsid w:val="007A3DE0"/>
    <w:rsid w:val="007A456C"/>
    <w:rsid w:val="007A4E88"/>
    <w:rsid w:val="007A5DFF"/>
    <w:rsid w:val="007A5E30"/>
    <w:rsid w:val="007B03F1"/>
    <w:rsid w:val="007B0410"/>
    <w:rsid w:val="007B402E"/>
    <w:rsid w:val="007B5309"/>
    <w:rsid w:val="007C21FC"/>
    <w:rsid w:val="007C25ED"/>
    <w:rsid w:val="007C27BE"/>
    <w:rsid w:val="007C2B46"/>
    <w:rsid w:val="007C379A"/>
    <w:rsid w:val="007C4A16"/>
    <w:rsid w:val="007C56D9"/>
    <w:rsid w:val="007C5892"/>
    <w:rsid w:val="007C5E08"/>
    <w:rsid w:val="007C643C"/>
    <w:rsid w:val="007C73FB"/>
    <w:rsid w:val="007C7B7E"/>
    <w:rsid w:val="007D0E99"/>
    <w:rsid w:val="007D213F"/>
    <w:rsid w:val="007D4F25"/>
    <w:rsid w:val="007D67AA"/>
    <w:rsid w:val="007E0512"/>
    <w:rsid w:val="007E13DF"/>
    <w:rsid w:val="007E3029"/>
    <w:rsid w:val="007E3397"/>
    <w:rsid w:val="007E5C01"/>
    <w:rsid w:val="007E690D"/>
    <w:rsid w:val="007E7813"/>
    <w:rsid w:val="007E7829"/>
    <w:rsid w:val="007E7CBA"/>
    <w:rsid w:val="007E7E95"/>
    <w:rsid w:val="007F04A9"/>
    <w:rsid w:val="007F0DB3"/>
    <w:rsid w:val="007F1A3F"/>
    <w:rsid w:val="007F1B62"/>
    <w:rsid w:val="007F3015"/>
    <w:rsid w:val="007F3A0D"/>
    <w:rsid w:val="007F5547"/>
    <w:rsid w:val="007F5E96"/>
    <w:rsid w:val="007F7023"/>
    <w:rsid w:val="00801248"/>
    <w:rsid w:val="00802738"/>
    <w:rsid w:val="0080294B"/>
    <w:rsid w:val="00802B73"/>
    <w:rsid w:val="00802C0A"/>
    <w:rsid w:val="00802DE3"/>
    <w:rsid w:val="00802F27"/>
    <w:rsid w:val="00804008"/>
    <w:rsid w:val="008057D0"/>
    <w:rsid w:val="008059C3"/>
    <w:rsid w:val="008065E2"/>
    <w:rsid w:val="00810805"/>
    <w:rsid w:val="00810F8E"/>
    <w:rsid w:val="00811532"/>
    <w:rsid w:val="00811560"/>
    <w:rsid w:val="00811A21"/>
    <w:rsid w:val="00811AE6"/>
    <w:rsid w:val="00812B84"/>
    <w:rsid w:val="00813580"/>
    <w:rsid w:val="00813E5E"/>
    <w:rsid w:val="00813EF0"/>
    <w:rsid w:val="00816EBC"/>
    <w:rsid w:val="00817894"/>
    <w:rsid w:val="0082109D"/>
    <w:rsid w:val="0082132F"/>
    <w:rsid w:val="0082332A"/>
    <w:rsid w:val="00823A0C"/>
    <w:rsid w:val="00825258"/>
    <w:rsid w:val="00825732"/>
    <w:rsid w:val="00826578"/>
    <w:rsid w:val="00830255"/>
    <w:rsid w:val="00830BE8"/>
    <w:rsid w:val="00830EEA"/>
    <w:rsid w:val="0083160C"/>
    <w:rsid w:val="00831815"/>
    <w:rsid w:val="0083211C"/>
    <w:rsid w:val="00832735"/>
    <w:rsid w:val="008331ED"/>
    <w:rsid w:val="0083364B"/>
    <w:rsid w:val="008347CF"/>
    <w:rsid w:val="008350FD"/>
    <w:rsid w:val="00835F2E"/>
    <w:rsid w:val="00836199"/>
    <w:rsid w:val="00836B34"/>
    <w:rsid w:val="008374F7"/>
    <w:rsid w:val="00837779"/>
    <w:rsid w:val="00837D5E"/>
    <w:rsid w:val="0084055B"/>
    <w:rsid w:val="00840BD6"/>
    <w:rsid w:val="0084283C"/>
    <w:rsid w:val="00842A28"/>
    <w:rsid w:val="00843D68"/>
    <w:rsid w:val="00845DE4"/>
    <w:rsid w:val="008464B1"/>
    <w:rsid w:val="00847370"/>
    <w:rsid w:val="00851B3C"/>
    <w:rsid w:val="0085232F"/>
    <w:rsid w:val="0085370C"/>
    <w:rsid w:val="00854337"/>
    <w:rsid w:val="0085474A"/>
    <w:rsid w:val="00855355"/>
    <w:rsid w:val="00855FE8"/>
    <w:rsid w:val="00856A22"/>
    <w:rsid w:val="00856C29"/>
    <w:rsid w:val="008572E2"/>
    <w:rsid w:val="008632A4"/>
    <w:rsid w:val="008644C1"/>
    <w:rsid w:val="008653EA"/>
    <w:rsid w:val="0086588F"/>
    <w:rsid w:val="00866CBE"/>
    <w:rsid w:val="00866E45"/>
    <w:rsid w:val="008672AF"/>
    <w:rsid w:val="0086767B"/>
    <w:rsid w:val="008703AF"/>
    <w:rsid w:val="0087053F"/>
    <w:rsid w:val="0087175A"/>
    <w:rsid w:val="008717D3"/>
    <w:rsid w:val="00871AF2"/>
    <w:rsid w:val="0087215A"/>
    <w:rsid w:val="0087222F"/>
    <w:rsid w:val="0087256B"/>
    <w:rsid w:val="008725FF"/>
    <w:rsid w:val="00872C86"/>
    <w:rsid w:val="008742EE"/>
    <w:rsid w:val="00874387"/>
    <w:rsid w:val="008750B0"/>
    <w:rsid w:val="00876E87"/>
    <w:rsid w:val="00877A54"/>
    <w:rsid w:val="00877E79"/>
    <w:rsid w:val="00880F6C"/>
    <w:rsid w:val="008826AD"/>
    <w:rsid w:val="008838F4"/>
    <w:rsid w:val="0088432E"/>
    <w:rsid w:val="0088567C"/>
    <w:rsid w:val="00886DD5"/>
    <w:rsid w:val="00887534"/>
    <w:rsid w:val="00887DE7"/>
    <w:rsid w:val="008915F8"/>
    <w:rsid w:val="008920FE"/>
    <w:rsid w:val="00892134"/>
    <w:rsid w:val="00894201"/>
    <w:rsid w:val="008946FD"/>
    <w:rsid w:val="00895B01"/>
    <w:rsid w:val="00895C0C"/>
    <w:rsid w:val="008965C1"/>
    <w:rsid w:val="00897445"/>
    <w:rsid w:val="00897C06"/>
    <w:rsid w:val="008A2281"/>
    <w:rsid w:val="008A27AE"/>
    <w:rsid w:val="008A3095"/>
    <w:rsid w:val="008A4596"/>
    <w:rsid w:val="008A6D72"/>
    <w:rsid w:val="008A7809"/>
    <w:rsid w:val="008A7F6D"/>
    <w:rsid w:val="008B0563"/>
    <w:rsid w:val="008B0FB5"/>
    <w:rsid w:val="008B1A8E"/>
    <w:rsid w:val="008B259F"/>
    <w:rsid w:val="008B30D3"/>
    <w:rsid w:val="008B3EF3"/>
    <w:rsid w:val="008B4CED"/>
    <w:rsid w:val="008B592F"/>
    <w:rsid w:val="008B70F1"/>
    <w:rsid w:val="008B714D"/>
    <w:rsid w:val="008B7186"/>
    <w:rsid w:val="008C17FD"/>
    <w:rsid w:val="008C1CF9"/>
    <w:rsid w:val="008C289D"/>
    <w:rsid w:val="008C4FCF"/>
    <w:rsid w:val="008C5A1E"/>
    <w:rsid w:val="008C6F3D"/>
    <w:rsid w:val="008D060E"/>
    <w:rsid w:val="008D09B8"/>
    <w:rsid w:val="008D1E61"/>
    <w:rsid w:val="008D21CE"/>
    <w:rsid w:val="008D22FC"/>
    <w:rsid w:val="008D40AA"/>
    <w:rsid w:val="008D45DF"/>
    <w:rsid w:val="008D536B"/>
    <w:rsid w:val="008D611A"/>
    <w:rsid w:val="008D62D4"/>
    <w:rsid w:val="008D6620"/>
    <w:rsid w:val="008D6BFF"/>
    <w:rsid w:val="008D6FE7"/>
    <w:rsid w:val="008E1A43"/>
    <w:rsid w:val="008E1CD1"/>
    <w:rsid w:val="008E1E1E"/>
    <w:rsid w:val="008E28B4"/>
    <w:rsid w:val="008E2BE8"/>
    <w:rsid w:val="008E3B4C"/>
    <w:rsid w:val="008E4704"/>
    <w:rsid w:val="008E4F8B"/>
    <w:rsid w:val="008E5AFC"/>
    <w:rsid w:val="008E6CF9"/>
    <w:rsid w:val="008E6E62"/>
    <w:rsid w:val="008F080D"/>
    <w:rsid w:val="008F1015"/>
    <w:rsid w:val="008F1C30"/>
    <w:rsid w:val="008F1E81"/>
    <w:rsid w:val="008F2FD8"/>
    <w:rsid w:val="008F341E"/>
    <w:rsid w:val="008F3D45"/>
    <w:rsid w:val="008F41B7"/>
    <w:rsid w:val="008F60F9"/>
    <w:rsid w:val="008F639F"/>
    <w:rsid w:val="008F676C"/>
    <w:rsid w:val="008F7351"/>
    <w:rsid w:val="008F7C3C"/>
    <w:rsid w:val="0090027B"/>
    <w:rsid w:val="009002CE"/>
    <w:rsid w:val="00900403"/>
    <w:rsid w:val="009007FA"/>
    <w:rsid w:val="00902277"/>
    <w:rsid w:val="009025FE"/>
    <w:rsid w:val="009042F4"/>
    <w:rsid w:val="00905E9D"/>
    <w:rsid w:val="009061C4"/>
    <w:rsid w:val="009068B0"/>
    <w:rsid w:val="0090787A"/>
    <w:rsid w:val="009104A7"/>
    <w:rsid w:val="0091148D"/>
    <w:rsid w:val="00911CAC"/>
    <w:rsid w:val="00912D37"/>
    <w:rsid w:val="00912DC5"/>
    <w:rsid w:val="009132EA"/>
    <w:rsid w:val="009134C4"/>
    <w:rsid w:val="00913D18"/>
    <w:rsid w:val="009143A1"/>
    <w:rsid w:val="00914C1A"/>
    <w:rsid w:val="00914C30"/>
    <w:rsid w:val="009165DB"/>
    <w:rsid w:val="00917084"/>
    <w:rsid w:val="00920773"/>
    <w:rsid w:val="009225EF"/>
    <w:rsid w:val="00922612"/>
    <w:rsid w:val="00923148"/>
    <w:rsid w:val="0092343C"/>
    <w:rsid w:val="009247A0"/>
    <w:rsid w:val="0092536F"/>
    <w:rsid w:val="00927584"/>
    <w:rsid w:val="00927CEF"/>
    <w:rsid w:val="0093003B"/>
    <w:rsid w:val="0093079F"/>
    <w:rsid w:val="00930C11"/>
    <w:rsid w:val="00932A30"/>
    <w:rsid w:val="00933E20"/>
    <w:rsid w:val="00933E31"/>
    <w:rsid w:val="0093430A"/>
    <w:rsid w:val="0093663E"/>
    <w:rsid w:val="00936C26"/>
    <w:rsid w:val="00936C6D"/>
    <w:rsid w:val="00942980"/>
    <w:rsid w:val="00943B41"/>
    <w:rsid w:val="00943DF2"/>
    <w:rsid w:val="00944BA1"/>
    <w:rsid w:val="00944DC6"/>
    <w:rsid w:val="00945AD3"/>
    <w:rsid w:val="0094655C"/>
    <w:rsid w:val="00946D39"/>
    <w:rsid w:val="00947C6E"/>
    <w:rsid w:val="009513D7"/>
    <w:rsid w:val="009515E7"/>
    <w:rsid w:val="00951FAB"/>
    <w:rsid w:val="00954676"/>
    <w:rsid w:val="00954E9A"/>
    <w:rsid w:val="00955C62"/>
    <w:rsid w:val="00956A45"/>
    <w:rsid w:val="00956DE2"/>
    <w:rsid w:val="00956F51"/>
    <w:rsid w:val="00960966"/>
    <w:rsid w:val="00960C26"/>
    <w:rsid w:val="00961F0E"/>
    <w:rsid w:val="00961FAE"/>
    <w:rsid w:val="00964CAA"/>
    <w:rsid w:val="009666D4"/>
    <w:rsid w:val="00966CCB"/>
    <w:rsid w:val="00966EB4"/>
    <w:rsid w:val="00967412"/>
    <w:rsid w:val="009676AB"/>
    <w:rsid w:val="00970227"/>
    <w:rsid w:val="00971308"/>
    <w:rsid w:val="00971C54"/>
    <w:rsid w:val="00972029"/>
    <w:rsid w:val="009725B5"/>
    <w:rsid w:val="00972637"/>
    <w:rsid w:val="00973BC7"/>
    <w:rsid w:val="009746E9"/>
    <w:rsid w:val="00975E39"/>
    <w:rsid w:val="009767E6"/>
    <w:rsid w:val="00976CA1"/>
    <w:rsid w:val="00977007"/>
    <w:rsid w:val="00977810"/>
    <w:rsid w:val="00980CBA"/>
    <w:rsid w:val="009823BC"/>
    <w:rsid w:val="00982516"/>
    <w:rsid w:val="00982A98"/>
    <w:rsid w:val="00982B10"/>
    <w:rsid w:val="00983624"/>
    <w:rsid w:val="00983968"/>
    <w:rsid w:val="00985447"/>
    <w:rsid w:val="00987BB7"/>
    <w:rsid w:val="00987C1E"/>
    <w:rsid w:val="009917CF"/>
    <w:rsid w:val="009927C9"/>
    <w:rsid w:val="00992EB4"/>
    <w:rsid w:val="00993705"/>
    <w:rsid w:val="0099392A"/>
    <w:rsid w:val="009955BD"/>
    <w:rsid w:val="00996F1B"/>
    <w:rsid w:val="00997AE6"/>
    <w:rsid w:val="009A0EEF"/>
    <w:rsid w:val="009A346F"/>
    <w:rsid w:val="009A3D90"/>
    <w:rsid w:val="009A3E3C"/>
    <w:rsid w:val="009A458F"/>
    <w:rsid w:val="009A57BD"/>
    <w:rsid w:val="009A6219"/>
    <w:rsid w:val="009A793A"/>
    <w:rsid w:val="009B0087"/>
    <w:rsid w:val="009B037A"/>
    <w:rsid w:val="009B3F81"/>
    <w:rsid w:val="009B4B3D"/>
    <w:rsid w:val="009B4DE9"/>
    <w:rsid w:val="009B4E7D"/>
    <w:rsid w:val="009B5781"/>
    <w:rsid w:val="009B5C8E"/>
    <w:rsid w:val="009B613B"/>
    <w:rsid w:val="009B6860"/>
    <w:rsid w:val="009C19C6"/>
    <w:rsid w:val="009C246B"/>
    <w:rsid w:val="009C264B"/>
    <w:rsid w:val="009C27D2"/>
    <w:rsid w:val="009C2B64"/>
    <w:rsid w:val="009C41D0"/>
    <w:rsid w:val="009C6192"/>
    <w:rsid w:val="009C62CA"/>
    <w:rsid w:val="009C67FA"/>
    <w:rsid w:val="009C759B"/>
    <w:rsid w:val="009C75E2"/>
    <w:rsid w:val="009C799C"/>
    <w:rsid w:val="009D0D68"/>
    <w:rsid w:val="009D1A3E"/>
    <w:rsid w:val="009D25C6"/>
    <w:rsid w:val="009D375D"/>
    <w:rsid w:val="009D38EB"/>
    <w:rsid w:val="009D3B13"/>
    <w:rsid w:val="009D3D3F"/>
    <w:rsid w:val="009D4567"/>
    <w:rsid w:val="009D4CC8"/>
    <w:rsid w:val="009D4E96"/>
    <w:rsid w:val="009D4F57"/>
    <w:rsid w:val="009D6AAD"/>
    <w:rsid w:val="009D737D"/>
    <w:rsid w:val="009D7C75"/>
    <w:rsid w:val="009D7FF6"/>
    <w:rsid w:val="009E0315"/>
    <w:rsid w:val="009E03A1"/>
    <w:rsid w:val="009E0488"/>
    <w:rsid w:val="009E090D"/>
    <w:rsid w:val="009E10B5"/>
    <w:rsid w:val="009E166B"/>
    <w:rsid w:val="009E200C"/>
    <w:rsid w:val="009E2DEB"/>
    <w:rsid w:val="009E47B7"/>
    <w:rsid w:val="009E5E65"/>
    <w:rsid w:val="009E5F98"/>
    <w:rsid w:val="009E60A9"/>
    <w:rsid w:val="009E61A6"/>
    <w:rsid w:val="009E6382"/>
    <w:rsid w:val="009E720A"/>
    <w:rsid w:val="009E726E"/>
    <w:rsid w:val="009E7487"/>
    <w:rsid w:val="009F0949"/>
    <w:rsid w:val="009F0AB4"/>
    <w:rsid w:val="009F131D"/>
    <w:rsid w:val="009F1A96"/>
    <w:rsid w:val="009F3701"/>
    <w:rsid w:val="009F4B8A"/>
    <w:rsid w:val="009F57ED"/>
    <w:rsid w:val="009F7024"/>
    <w:rsid w:val="009F7641"/>
    <w:rsid w:val="009F7ED1"/>
    <w:rsid w:val="00A00910"/>
    <w:rsid w:val="00A0152C"/>
    <w:rsid w:val="00A04512"/>
    <w:rsid w:val="00A0607C"/>
    <w:rsid w:val="00A06319"/>
    <w:rsid w:val="00A068C0"/>
    <w:rsid w:val="00A06DC9"/>
    <w:rsid w:val="00A17F38"/>
    <w:rsid w:val="00A210FA"/>
    <w:rsid w:val="00A2151C"/>
    <w:rsid w:val="00A217B7"/>
    <w:rsid w:val="00A23BFA"/>
    <w:rsid w:val="00A30241"/>
    <w:rsid w:val="00A308D1"/>
    <w:rsid w:val="00A30D3D"/>
    <w:rsid w:val="00A31474"/>
    <w:rsid w:val="00A31874"/>
    <w:rsid w:val="00A32173"/>
    <w:rsid w:val="00A32FF6"/>
    <w:rsid w:val="00A33320"/>
    <w:rsid w:val="00A338C6"/>
    <w:rsid w:val="00A351AE"/>
    <w:rsid w:val="00A37053"/>
    <w:rsid w:val="00A37532"/>
    <w:rsid w:val="00A3774A"/>
    <w:rsid w:val="00A40499"/>
    <w:rsid w:val="00A40586"/>
    <w:rsid w:val="00A4297F"/>
    <w:rsid w:val="00A42B39"/>
    <w:rsid w:val="00A43182"/>
    <w:rsid w:val="00A444ED"/>
    <w:rsid w:val="00A464FD"/>
    <w:rsid w:val="00A503B6"/>
    <w:rsid w:val="00A5092F"/>
    <w:rsid w:val="00A50D86"/>
    <w:rsid w:val="00A51812"/>
    <w:rsid w:val="00A5202E"/>
    <w:rsid w:val="00A53360"/>
    <w:rsid w:val="00A536B2"/>
    <w:rsid w:val="00A53D8F"/>
    <w:rsid w:val="00A53F3E"/>
    <w:rsid w:val="00A5407A"/>
    <w:rsid w:val="00A55419"/>
    <w:rsid w:val="00A56014"/>
    <w:rsid w:val="00A56452"/>
    <w:rsid w:val="00A612F2"/>
    <w:rsid w:val="00A61B50"/>
    <w:rsid w:val="00A64BAC"/>
    <w:rsid w:val="00A65180"/>
    <w:rsid w:val="00A662DA"/>
    <w:rsid w:val="00A66447"/>
    <w:rsid w:val="00A66F84"/>
    <w:rsid w:val="00A67A31"/>
    <w:rsid w:val="00A700FD"/>
    <w:rsid w:val="00A70537"/>
    <w:rsid w:val="00A70FC9"/>
    <w:rsid w:val="00A71A83"/>
    <w:rsid w:val="00A73BE7"/>
    <w:rsid w:val="00A74996"/>
    <w:rsid w:val="00A769AF"/>
    <w:rsid w:val="00A77F88"/>
    <w:rsid w:val="00A8161C"/>
    <w:rsid w:val="00A83CC9"/>
    <w:rsid w:val="00A8432F"/>
    <w:rsid w:val="00A85C00"/>
    <w:rsid w:val="00A86C8A"/>
    <w:rsid w:val="00A87C1C"/>
    <w:rsid w:val="00A87C63"/>
    <w:rsid w:val="00A87CD7"/>
    <w:rsid w:val="00A87DA6"/>
    <w:rsid w:val="00A91344"/>
    <w:rsid w:val="00A918CD"/>
    <w:rsid w:val="00A921B9"/>
    <w:rsid w:val="00A92D8E"/>
    <w:rsid w:val="00A9336A"/>
    <w:rsid w:val="00A93B67"/>
    <w:rsid w:val="00A9586C"/>
    <w:rsid w:val="00A95919"/>
    <w:rsid w:val="00A95B97"/>
    <w:rsid w:val="00A96591"/>
    <w:rsid w:val="00A97A3D"/>
    <w:rsid w:val="00AA28A2"/>
    <w:rsid w:val="00AA2C5B"/>
    <w:rsid w:val="00AA5D62"/>
    <w:rsid w:val="00AA61B3"/>
    <w:rsid w:val="00AA68AF"/>
    <w:rsid w:val="00AA6900"/>
    <w:rsid w:val="00AA69FC"/>
    <w:rsid w:val="00AA7544"/>
    <w:rsid w:val="00AB10E7"/>
    <w:rsid w:val="00AB1931"/>
    <w:rsid w:val="00AB1D4B"/>
    <w:rsid w:val="00AB1FB7"/>
    <w:rsid w:val="00AB3784"/>
    <w:rsid w:val="00AB401B"/>
    <w:rsid w:val="00AB44C0"/>
    <w:rsid w:val="00AB4DCB"/>
    <w:rsid w:val="00AB5895"/>
    <w:rsid w:val="00AB5B53"/>
    <w:rsid w:val="00AB75AA"/>
    <w:rsid w:val="00AB794C"/>
    <w:rsid w:val="00AB7DED"/>
    <w:rsid w:val="00AC0A2D"/>
    <w:rsid w:val="00AC368F"/>
    <w:rsid w:val="00AC3F21"/>
    <w:rsid w:val="00AC57E3"/>
    <w:rsid w:val="00AC5DDF"/>
    <w:rsid w:val="00AC6AF9"/>
    <w:rsid w:val="00AC6DEB"/>
    <w:rsid w:val="00AD000D"/>
    <w:rsid w:val="00AD05D4"/>
    <w:rsid w:val="00AD0A06"/>
    <w:rsid w:val="00AD0A74"/>
    <w:rsid w:val="00AD117B"/>
    <w:rsid w:val="00AD41A9"/>
    <w:rsid w:val="00AD4C31"/>
    <w:rsid w:val="00AD53EE"/>
    <w:rsid w:val="00AD5AC0"/>
    <w:rsid w:val="00AD64B0"/>
    <w:rsid w:val="00AD71BA"/>
    <w:rsid w:val="00AD77DE"/>
    <w:rsid w:val="00AE0314"/>
    <w:rsid w:val="00AE0FB1"/>
    <w:rsid w:val="00AE299E"/>
    <w:rsid w:val="00AE2C29"/>
    <w:rsid w:val="00AE4843"/>
    <w:rsid w:val="00AE6859"/>
    <w:rsid w:val="00AE7387"/>
    <w:rsid w:val="00AE751D"/>
    <w:rsid w:val="00AE75AA"/>
    <w:rsid w:val="00AE7D0E"/>
    <w:rsid w:val="00AF02D2"/>
    <w:rsid w:val="00AF1E74"/>
    <w:rsid w:val="00AF2C3B"/>
    <w:rsid w:val="00AF3A1A"/>
    <w:rsid w:val="00AF3E49"/>
    <w:rsid w:val="00AF47AD"/>
    <w:rsid w:val="00B00051"/>
    <w:rsid w:val="00B00F24"/>
    <w:rsid w:val="00B01986"/>
    <w:rsid w:val="00B01A78"/>
    <w:rsid w:val="00B04080"/>
    <w:rsid w:val="00B05F00"/>
    <w:rsid w:val="00B06444"/>
    <w:rsid w:val="00B0662F"/>
    <w:rsid w:val="00B06EE6"/>
    <w:rsid w:val="00B077A7"/>
    <w:rsid w:val="00B07978"/>
    <w:rsid w:val="00B10C42"/>
    <w:rsid w:val="00B11752"/>
    <w:rsid w:val="00B127A2"/>
    <w:rsid w:val="00B13096"/>
    <w:rsid w:val="00B13172"/>
    <w:rsid w:val="00B14C9C"/>
    <w:rsid w:val="00B1566A"/>
    <w:rsid w:val="00B16AC1"/>
    <w:rsid w:val="00B16E09"/>
    <w:rsid w:val="00B174C3"/>
    <w:rsid w:val="00B2097A"/>
    <w:rsid w:val="00B2221E"/>
    <w:rsid w:val="00B22269"/>
    <w:rsid w:val="00B2335B"/>
    <w:rsid w:val="00B23DE8"/>
    <w:rsid w:val="00B249E2"/>
    <w:rsid w:val="00B258B2"/>
    <w:rsid w:val="00B25FB3"/>
    <w:rsid w:val="00B263C8"/>
    <w:rsid w:val="00B267EC"/>
    <w:rsid w:val="00B276DC"/>
    <w:rsid w:val="00B278F3"/>
    <w:rsid w:val="00B27D1C"/>
    <w:rsid w:val="00B3159A"/>
    <w:rsid w:val="00B315BB"/>
    <w:rsid w:val="00B31B76"/>
    <w:rsid w:val="00B32DBA"/>
    <w:rsid w:val="00B3477A"/>
    <w:rsid w:val="00B36D0C"/>
    <w:rsid w:val="00B40EEF"/>
    <w:rsid w:val="00B4211A"/>
    <w:rsid w:val="00B42819"/>
    <w:rsid w:val="00B4287E"/>
    <w:rsid w:val="00B43AD6"/>
    <w:rsid w:val="00B44E9F"/>
    <w:rsid w:val="00B456D3"/>
    <w:rsid w:val="00B45787"/>
    <w:rsid w:val="00B47576"/>
    <w:rsid w:val="00B47DBF"/>
    <w:rsid w:val="00B51452"/>
    <w:rsid w:val="00B5178C"/>
    <w:rsid w:val="00B5187D"/>
    <w:rsid w:val="00B5337B"/>
    <w:rsid w:val="00B53616"/>
    <w:rsid w:val="00B53E76"/>
    <w:rsid w:val="00B53EC8"/>
    <w:rsid w:val="00B554E6"/>
    <w:rsid w:val="00B5593C"/>
    <w:rsid w:val="00B56F08"/>
    <w:rsid w:val="00B61C32"/>
    <w:rsid w:val="00B6212C"/>
    <w:rsid w:val="00B64B0B"/>
    <w:rsid w:val="00B65C01"/>
    <w:rsid w:val="00B6623B"/>
    <w:rsid w:val="00B66F4B"/>
    <w:rsid w:val="00B67673"/>
    <w:rsid w:val="00B70B34"/>
    <w:rsid w:val="00B71138"/>
    <w:rsid w:val="00B724A3"/>
    <w:rsid w:val="00B7290A"/>
    <w:rsid w:val="00B72D27"/>
    <w:rsid w:val="00B7425E"/>
    <w:rsid w:val="00B761C2"/>
    <w:rsid w:val="00B76932"/>
    <w:rsid w:val="00B800F2"/>
    <w:rsid w:val="00B80C0B"/>
    <w:rsid w:val="00B810FF"/>
    <w:rsid w:val="00B81CB1"/>
    <w:rsid w:val="00B830C2"/>
    <w:rsid w:val="00B84447"/>
    <w:rsid w:val="00B845C5"/>
    <w:rsid w:val="00B85980"/>
    <w:rsid w:val="00B876F6"/>
    <w:rsid w:val="00B878E1"/>
    <w:rsid w:val="00B879E5"/>
    <w:rsid w:val="00B901FD"/>
    <w:rsid w:val="00B91401"/>
    <w:rsid w:val="00B91DA6"/>
    <w:rsid w:val="00B92976"/>
    <w:rsid w:val="00B93836"/>
    <w:rsid w:val="00B941A3"/>
    <w:rsid w:val="00B941F2"/>
    <w:rsid w:val="00B9481C"/>
    <w:rsid w:val="00B94C31"/>
    <w:rsid w:val="00B96572"/>
    <w:rsid w:val="00B9669D"/>
    <w:rsid w:val="00B96965"/>
    <w:rsid w:val="00B96A14"/>
    <w:rsid w:val="00B96A9E"/>
    <w:rsid w:val="00B977CE"/>
    <w:rsid w:val="00BA29A4"/>
    <w:rsid w:val="00BA343F"/>
    <w:rsid w:val="00BA3B68"/>
    <w:rsid w:val="00BA433A"/>
    <w:rsid w:val="00BA458A"/>
    <w:rsid w:val="00BA550F"/>
    <w:rsid w:val="00BA56D4"/>
    <w:rsid w:val="00BA56F8"/>
    <w:rsid w:val="00BA6567"/>
    <w:rsid w:val="00BA7552"/>
    <w:rsid w:val="00BA7DDB"/>
    <w:rsid w:val="00BB000A"/>
    <w:rsid w:val="00BB0C51"/>
    <w:rsid w:val="00BB103D"/>
    <w:rsid w:val="00BB1D0E"/>
    <w:rsid w:val="00BB2221"/>
    <w:rsid w:val="00BB2E1A"/>
    <w:rsid w:val="00BB3285"/>
    <w:rsid w:val="00BB5071"/>
    <w:rsid w:val="00BB6E1B"/>
    <w:rsid w:val="00BB735A"/>
    <w:rsid w:val="00BB7481"/>
    <w:rsid w:val="00BC05D9"/>
    <w:rsid w:val="00BC0F00"/>
    <w:rsid w:val="00BC163C"/>
    <w:rsid w:val="00BC1ADC"/>
    <w:rsid w:val="00BC2980"/>
    <w:rsid w:val="00BC3414"/>
    <w:rsid w:val="00BC38EB"/>
    <w:rsid w:val="00BC3AB7"/>
    <w:rsid w:val="00BC4C7B"/>
    <w:rsid w:val="00BC515A"/>
    <w:rsid w:val="00BC5EA5"/>
    <w:rsid w:val="00BC7DBE"/>
    <w:rsid w:val="00BD384C"/>
    <w:rsid w:val="00BD3A52"/>
    <w:rsid w:val="00BD475A"/>
    <w:rsid w:val="00BD5141"/>
    <w:rsid w:val="00BD59BE"/>
    <w:rsid w:val="00BD5DB2"/>
    <w:rsid w:val="00BD70C3"/>
    <w:rsid w:val="00BE0AEE"/>
    <w:rsid w:val="00BE114C"/>
    <w:rsid w:val="00BE1449"/>
    <w:rsid w:val="00BE15A4"/>
    <w:rsid w:val="00BE1E74"/>
    <w:rsid w:val="00BE1FE1"/>
    <w:rsid w:val="00BE2B6F"/>
    <w:rsid w:val="00BE3B8A"/>
    <w:rsid w:val="00BE4F70"/>
    <w:rsid w:val="00BE742A"/>
    <w:rsid w:val="00BE7C84"/>
    <w:rsid w:val="00BE7E46"/>
    <w:rsid w:val="00BF00FE"/>
    <w:rsid w:val="00BF04EE"/>
    <w:rsid w:val="00BF0C4E"/>
    <w:rsid w:val="00BF18BC"/>
    <w:rsid w:val="00BF1C77"/>
    <w:rsid w:val="00BF1F75"/>
    <w:rsid w:val="00BF3351"/>
    <w:rsid w:val="00BF4CEE"/>
    <w:rsid w:val="00BF4F91"/>
    <w:rsid w:val="00BF5B1F"/>
    <w:rsid w:val="00BF63E6"/>
    <w:rsid w:val="00BF646D"/>
    <w:rsid w:val="00C0037A"/>
    <w:rsid w:val="00C00944"/>
    <w:rsid w:val="00C028E4"/>
    <w:rsid w:val="00C035F7"/>
    <w:rsid w:val="00C038E2"/>
    <w:rsid w:val="00C03F67"/>
    <w:rsid w:val="00C10939"/>
    <w:rsid w:val="00C10E7C"/>
    <w:rsid w:val="00C11661"/>
    <w:rsid w:val="00C12317"/>
    <w:rsid w:val="00C12B5E"/>
    <w:rsid w:val="00C12BA9"/>
    <w:rsid w:val="00C13AE1"/>
    <w:rsid w:val="00C1490E"/>
    <w:rsid w:val="00C14985"/>
    <w:rsid w:val="00C15ABC"/>
    <w:rsid w:val="00C2008C"/>
    <w:rsid w:val="00C20C4E"/>
    <w:rsid w:val="00C213F1"/>
    <w:rsid w:val="00C22266"/>
    <w:rsid w:val="00C22D3F"/>
    <w:rsid w:val="00C237A8"/>
    <w:rsid w:val="00C24A43"/>
    <w:rsid w:val="00C25DD2"/>
    <w:rsid w:val="00C273BE"/>
    <w:rsid w:val="00C30A04"/>
    <w:rsid w:val="00C312B7"/>
    <w:rsid w:val="00C312DC"/>
    <w:rsid w:val="00C3255D"/>
    <w:rsid w:val="00C3501A"/>
    <w:rsid w:val="00C35115"/>
    <w:rsid w:val="00C354DD"/>
    <w:rsid w:val="00C35A83"/>
    <w:rsid w:val="00C35AF4"/>
    <w:rsid w:val="00C376EE"/>
    <w:rsid w:val="00C40101"/>
    <w:rsid w:val="00C415D6"/>
    <w:rsid w:val="00C41B4F"/>
    <w:rsid w:val="00C4227D"/>
    <w:rsid w:val="00C422F9"/>
    <w:rsid w:val="00C42A61"/>
    <w:rsid w:val="00C43101"/>
    <w:rsid w:val="00C44430"/>
    <w:rsid w:val="00C44B16"/>
    <w:rsid w:val="00C45305"/>
    <w:rsid w:val="00C4647C"/>
    <w:rsid w:val="00C46A85"/>
    <w:rsid w:val="00C47207"/>
    <w:rsid w:val="00C47B83"/>
    <w:rsid w:val="00C510D8"/>
    <w:rsid w:val="00C5110A"/>
    <w:rsid w:val="00C514FE"/>
    <w:rsid w:val="00C515DE"/>
    <w:rsid w:val="00C52D45"/>
    <w:rsid w:val="00C534A2"/>
    <w:rsid w:val="00C534D5"/>
    <w:rsid w:val="00C538E4"/>
    <w:rsid w:val="00C55823"/>
    <w:rsid w:val="00C55D1A"/>
    <w:rsid w:val="00C60A7C"/>
    <w:rsid w:val="00C61264"/>
    <w:rsid w:val="00C61C07"/>
    <w:rsid w:val="00C61F2B"/>
    <w:rsid w:val="00C63243"/>
    <w:rsid w:val="00C651EC"/>
    <w:rsid w:val="00C65410"/>
    <w:rsid w:val="00C6551B"/>
    <w:rsid w:val="00C65914"/>
    <w:rsid w:val="00C65A19"/>
    <w:rsid w:val="00C65BB8"/>
    <w:rsid w:val="00C669A3"/>
    <w:rsid w:val="00C70021"/>
    <w:rsid w:val="00C704C6"/>
    <w:rsid w:val="00C708A5"/>
    <w:rsid w:val="00C70B89"/>
    <w:rsid w:val="00C714BA"/>
    <w:rsid w:val="00C719AC"/>
    <w:rsid w:val="00C71DBD"/>
    <w:rsid w:val="00C7202C"/>
    <w:rsid w:val="00C74C9C"/>
    <w:rsid w:val="00C7516E"/>
    <w:rsid w:val="00C75A8C"/>
    <w:rsid w:val="00C75FE9"/>
    <w:rsid w:val="00C76DCE"/>
    <w:rsid w:val="00C80867"/>
    <w:rsid w:val="00C8275B"/>
    <w:rsid w:val="00C856CE"/>
    <w:rsid w:val="00C86078"/>
    <w:rsid w:val="00C86080"/>
    <w:rsid w:val="00C866D8"/>
    <w:rsid w:val="00C87675"/>
    <w:rsid w:val="00C91A76"/>
    <w:rsid w:val="00C92E0B"/>
    <w:rsid w:val="00C9303E"/>
    <w:rsid w:val="00C93CA2"/>
    <w:rsid w:val="00C9418D"/>
    <w:rsid w:val="00C944BA"/>
    <w:rsid w:val="00C96489"/>
    <w:rsid w:val="00C97057"/>
    <w:rsid w:val="00C9767A"/>
    <w:rsid w:val="00CA2604"/>
    <w:rsid w:val="00CA3578"/>
    <w:rsid w:val="00CA4165"/>
    <w:rsid w:val="00CA4E38"/>
    <w:rsid w:val="00CA658E"/>
    <w:rsid w:val="00CA7B1D"/>
    <w:rsid w:val="00CB02F1"/>
    <w:rsid w:val="00CB094A"/>
    <w:rsid w:val="00CB0EBA"/>
    <w:rsid w:val="00CB1132"/>
    <w:rsid w:val="00CB1992"/>
    <w:rsid w:val="00CB27C0"/>
    <w:rsid w:val="00CB2DC1"/>
    <w:rsid w:val="00CB327B"/>
    <w:rsid w:val="00CB58BA"/>
    <w:rsid w:val="00CC126D"/>
    <w:rsid w:val="00CC1A00"/>
    <w:rsid w:val="00CC1C20"/>
    <w:rsid w:val="00CC214F"/>
    <w:rsid w:val="00CC2529"/>
    <w:rsid w:val="00CC468E"/>
    <w:rsid w:val="00CC4C53"/>
    <w:rsid w:val="00CC7DD9"/>
    <w:rsid w:val="00CC7E7D"/>
    <w:rsid w:val="00CD269E"/>
    <w:rsid w:val="00CD39ED"/>
    <w:rsid w:val="00CD3D1B"/>
    <w:rsid w:val="00CD43E2"/>
    <w:rsid w:val="00CD56C8"/>
    <w:rsid w:val="00CD6C22"/>
    <w:rsid w:val="00CE0566"/>
    <w:rsid w:val="00CE1056"/>
    <w:rsid w:val="00CE1250"/>
    <w:rsid w:val="00CE1708"/>
    <w:rsid w:val="00CE223D"/>
    <w:rsid w:val="00CE5421"/>
    <w:rsid w:val="00CE59D7"/>
    <w:rsid w:val="00CE6271"/>
    <w:rsid w:val="00CE6979"/>
    <w:rsid w:val="00CE7CBA"/>
    <w:rsid w:val="00CE7E04"/>
    <w:rsid w:val="00CF17C5"/>
    <w:rsid w:val="00CF1E6F"/>
    <w:rsid w:val="00CF21D2"/>
    <w:rsid w:val="00CF3E53"/>
    <w:rsid w:val="00CF478F"/>
    <w:rsid w:val="00CF5F67"/>
    <w:rsid w:val="00CF6B03"/>
    <w:rsid w:val="00CF793E"/>
    <w:rsid w:val="00CF794D"/>
    <w:rsid w:val="00CF7A35"/>
    <w:rsid w:val="00CF7B80"/>
    <w:rsid w:val="00CF7C30"/>
    <w:rsid w:val="00D00073"/>
    <w:rsid w:val="00D00990"/>
    <w:rsid w:val="00D01F75"/>
    <w:rsid w:val="00D02EFB"/>
    <w:rsid w:val="00D033EA"/>
    <w:rsid w:val="00D0396D"/>
    <w:rsid w:val="00D03DE2"/>
    <w:rsid w:val="00D04170"/>
    <w:rsid w:val="00D04B5A"/>
    <w:rsid w:val="00D0648B"/>
    <w:rsid w:val="00D07E3F"/>
    <w:rsid w:val="00D10A35"/>
    <w:rsid w:val="00D10CCD"/>
    <w:rsid w:val="00D116F6"/>
    <w:rsid w:val="00D11785"/>
    <w:rsid w:val="00D15169"/>
    <w:rsid w:val="00D15249"/>
    <w:rsid w:val="00D1555E"/>
    <w:rsid w:val="00D158DB"/>
    <w:rsid w:val="00D16F5E"/>
    <w:rsid w:val="00D17984"/>
    <w:rsid w:val="00D202CF"/>
    <w:rsid w:val="00D21A66"/>
    <w:rsid w:val="00D21ECE"/>
    <w:rsid w:val="00D227AF"/>
    <w:rsid w:val="00D24BA0"/>
    <w:rsid w:val="00D263D9"/>
    <w:rsid w:val="00D2660E"/>
    <w:rsid w:val="00D26B40"/>
    <w:rsid w:val="00D26F93"/>
    <w:rsid w:val="00D274B2"/>
    <w:rsid w:val="00D2761E"/>
    <w:rsid w:val="00D31E0F"/>
    <w:rsid w:val="00D3453F"/>
    <w:rsid w:val="00D3461D"/>
    <w:rsid w:val="00D34BAD"/>
    <w:rsid w:val="00D35C84"/>
    <w:rsid w:val="00D36A16"/>
    <w:rsid w:val="00D371A8"/>
    <w:rsid w:val="00D371E2"/>
    <w:rsid w:val="00D4047C"/>
    <w:rsid w:val="00D409A6"/>
    <w:rsid w:val="00D426D5"/>
    <w:rsid w:val="00D4311D"/>
    <w:rsid w:val="00D438D0"/>
    <w:rsid w:val="00D43B9F"/>
    <w:rsid w:val="00D452CC"/>
    <w:rsid w:val="00D471D8"/>
    <w:rsid w:val="00D471F7"/>
    <w:rsid w:val="00D47B5F"/>
    <w:rsid w:val="00D508CC"/>
    <w:rsid w:val="00D50A48"/>
    <w:rsid w:val="00D517A5"/>
    <w:rsid w:val="00D52412"/>
    <w:rsid w:val="00D53E7A"/>
    <w:rsid w:val="00D55686"/>
    <w:rsid w:val="00D558EC"/>
    <w:rsid w:val="00D55CBC"/>
    <w:rsid w:val="00D55FAA"/>
    <w:rsid w:val="00D56FFD"/>
    <w:rsid w:val="00D570C9"/>
    <w:rsid w:val="00D60FDC"/>
    <w:rsid w:val="00D6183C"/>
    <w:rsid w:val="00D6308C"/>
    <w:rsid w:val="00D6438C"/>
    <w:rsid w:val="00D67136"/>
    <w:rsid w:val="00D67866"/>
    <w:rsid w:val="00D709EA"/>
    <w:rsid w:val="00D70A46"/>
    <w:rsid w:val="00D71104"/>
    <w:rsid w:val="00D71306"/>
    <w:rsid w:val="00D72F66"/>
    <w:rsid w:val="00D72FBC"/>
    <w:rsid w:val="00D73D8F"/>
    <w:rsid w:val="00D7456D"/>
    <w:rsid w:val="00D74861"/>
    <w:rsid w:val="00D74D7A"/>
    <w:rsid w:val="00D75B60"/>
    <w:rsid w:val="00D75CCD"/>
    <w:rsid w:val="00D80383"/>
    <w:rsid w:val="00D80486"/>
    <w:rsid w:val="00D805DE"/>
    <w:rsid w:val="00D809A6"/>
    <w:rsid w:val="00D80F22"/>
    <w:rsid w:val="00D81AA6"/>
    <w:rsid w:val="00D81F44"/>
    <w:rsid w:val="00D82A7C"/>
    <w:rsid w:val="00D82AD3"/>
    <w:rsid w:val="00D847CA"/>
    <w:rsid w:val="00D84A31"/>
    <w:rsid w:val="00D855CD"/>
    <w:rsid w:val="00D85977"/>
    <w:rsid w:val="00D85BE9"/>
    <w:rsid w:val="00D85C6E"/>
    <w:rsid w:val="00D860AD"/>
    <w:rsid w:val="00D86F89"/>
    <w:rsid w:val="00D87CD2"/>
    <w:rsid w:val="00D9055C"/>
    <w:rsid w:val="00D905F0"/>
    <w:rsid w:val="00D917A0"/>
    <w:rsid w:val="00D918FD"/>
    <w:rsid w:val="00D93355"/>
    <w:rsid w:val="00D93878"/>
    <w:rsid w:val="00D96814"/>
    <w:rsid w:val="00D9710A"/>
    <w:rsid w:val="00D972CF"/>
    <w:rsid w:val="00D97369"/>
    <w:rsid w:val="00D97BCF"/>
    <w:rsid w:val="00DA0DA9"/>
    <w:rsid w:val="00DA125C"/>
    <w:rsid w:val="00DA3BAE"/>
    <w:rsid w:val="00DA4FE3"/>
    <w:rsid w:val="00DA5146"/>
    <w:rsid w:val="00DA5EDF"/>
    <w:rsid w:val="00DA742C"/>
    <w:rsid w:val="00DB16E2"/>
    <w:rsid w:val="00DB1765"/>
    <w:rsid w:val="00DB1B17"/>
    <w:rsid w:val="00DB218F"/>
    <w:rsid w:val="00DB2506"/>
    <w:rsid w:val="00DB2709"/>
    <w:rsid w:val="00DB3E0B"/>
    <w:rsid w:val="00DB51CB"/>
    <w:rsid w:val="00DB79C8"/>
    <w:rsid w:val="00DC2003"/>
    <w:rsid w:val="00DC2147"/>
    <w:rsid w:val="00DC3B5A"/>
    <w:rsid w:val="00DC4AF3"/>
    <w:rsid w:val="00DC4D18"/>
    <w:rsid w:val="00DC56C3"/>
    <w:rsid w:val="00DC6B56"/>
    <w:rsid w:val="00DC6CDF"/>
    <w:rsid w:val="00DC6F6E"/>
    <w:rsid w:val="00DC700E"/>
    <w:rsid w:val="00DC713C"/>
    <w:rsid w:val="00DD2128"/>
    <w:rsid w:val="00DD318D"/>
    <w:rsid w:val="00DD41A5"/>
    <w:rsid w:val="00DD49BF"/>
    <w:rsid w:val="00DD5316"/>
    <w:rsid w:val="00DD55CD"/>
    <w:rsid w:val="00DD6373"/>
    <w:rsid w:val="00DD7027"/>
    <w:rsid w:val="00DE08D2"/>
    <w:rsid w:val="00DE1466"/>
    <w:rsid w:val="00DE3641"/>
    <w:rsid w:val="00DE646D"/>
    <w:rsid w:val="00DE6658"/>
    <w:rsid w:val="00DE6BBD"/>
    <w:rsid w:val="00DE76F5"/>
    <w:rsid w:val="00DF1FF5"/>
    <w:rsid w:val="00DF23D6"/>
    <w:rsid w:val="00DF25BA"/>
    <w:rsid w:val="00DF3834"/>
    <w:rsid w:val="00DF38B3"/>
    <w:rsid w:val="00DF39BF"/>
    <w:rsid w:val="00DF4BE1"/>
    <w:rsid w:val="00DF4FC5"/>
    <w:rsid w:val="00DF7CC1"/>
    <w:rsid w:val="00E00A99"/>
    <w:rsid w:val="00E010DF"/>
    <w:rsid w:val="00E020C3"/>
    <w:rsid w:val="00E03155"/>
    <w:rsid w:val="00E03DAA"/>
    <w:rsid w:val="00E04109"/>
    <w:rsid w:val="00E048F1"/>
    <w:rsid w:val="00E04CBB"/>
    <w:rsid w:val="00E07F39"/>
    <w:rsid w:val="00E10067"/>
    <w:rsid w:val="00E121DB"/>
    <w:rsid w:val="00E142ED"/>
    <w:rsid w:val="00E14A34"/>
    <w:rsid w:val="00E15536"/>
    <w:rsid w:val="00E15B20"/>
    <w:rsid w:val="00E17820"/>
    <w:rsid w:val="00E200EE"/>
    <w:rsid w:val="00E2034D"/>
    <w:rsid w:val="00E21520"/>
    <w:rsid w:val="00E24883"/>
    <w:rsid w:val="00E250E6"/>
    <w:rsid w:val="00E25D2C"/>
    <w:rsid w:val="00E26AF2"/>
    <w:rsid w:val="00E26EA4"/>
    <w:rsid w:val="00E31566"/>
    <w:rsid w:val="00E34145"/>
    <w:rsid w:val="00E34AE9"/>
    <w:rsid w:val="00E34EB3"/>
    <w:rsid w:val="00E35600"/>
    <w:rsid w:val="00E35945"/>
    <w:rsid w:val="00E3615C"/>
    <w:rsid w:val="00E409F7"/>
    <w:rsid w:val="00E4208F"/>
    <w:rsid w:val="00E42A36"/>
    <w:rsid w:val="00E437C6"/>
    <w:rsid w:val="00E44284"/>
    <w:rsid w:val="00E44A52"/>
    <w:rsid w:val="00E451EF"/>
    <w:rsid w:val="00E456E6"/>
    <w:rsid w:val="00E501FA"/>
    <w:rsid w:val="00E522FA"/>
    <w:rsid w:val="00E54C0D"/>
    <w:rsid w:val="00E54FA1"/>
    <w:rsid w:val="00E568B7"/>
    <w:rsid w:val="00E56C40"/>
    <w:rsid w:val="00E57537"/>
    <w:rsid w:val="00E608A0"/>
    <w:rsid w:val="00E60D47"/>
    <w:rsid w:val="00E61F34"/>
    <w:rsid w:val="00E623A3"/>
    <w:rsid w:val="00E63028"/>
    <w:rsid w:val="00E63322"/>
    <w:rsid w:val="00E63D6F"/>
    <w:rsid w:val="00E6492C"/>
    <w:rsid w:val="00E656D3"/>
    <w:rsid w:val="00E656D8"/>
    <w:rsid w:val="00E65FC4"/>
    <w:rsid w:val="00E668E8"/>
    <w:rsid w:val="00E67BD5"/>
    <w:rsid w:val="00E71491"/>
    <w:rsid w:val="00E71801"/>
    <w:rsid w:val="00E72FF3"/>
    <w:rsid w:val="00E762D6"/>
    <w:rsid w:val="00E76E36"/>
    <w:rsid w:val="00E7771A"/>
    <w:rsid w:val="00E8017C"/>
    <w:rsid w:val="00E81896"/>
    <w:rsid w:val="00E828D6"/>
    <w:rsid w:val="00E82F30"/>
    <w:rsid w:val="00E831EF"/>
    <w:rsid w:val="00E84A18"/>
    <w:rsid w:val="00E8527E"/>
    <w:rsid w:val="00E861B3"/>
    <w:rsid w:val="00E86744"/>
    <w:rsid w:val="00E86E0F"/>
    <w:rsid w:val="00E87922"/>
    <w:rsid w:val="00E87C09"/>
    <w:rsid w:val="00E90247"/>
    <w:rsid w:val="00E92314"/>
    <w:rsid w:val="00E92959"/>
    <w:rsid w:val="00E92C7D"/>
    <w:rsid w:val="00E93B47"/>
    <w:rsid w:val="00E9427F"/>
    <w:rsid w:val="00E94BC7"/>
    <w:rsid w:val="00E9512F"/>
    <w:rsid w:val="00E95510"/>
    <w:rsid w:val="00E95BA0"/>
    <w:rsid w:val="00E96CA2"/>
    <w:rsid w:val="00E9711A"/>
    <w:rsid w:val="00EA13C2"/>
    <w:rsid w:val="00EA28EB"/>
    <w:rsid w:val="00EA55F0"/>
    <w:rsid w:val="00EA65CA"/>
    <w:rsid w:val="00EA6F12"/>
    <w:rsid w:val="00EA7969"/>
    <w:rsid w:val="00EB0CB0"/>
    <w:rsid w:val="00EB1C0B"/>
    <w:rsid w:val="00EB2E41"/>
    <w:rsid w:val="00EB4911"/>
    <w:rsid w:val="00EB5AE2"/>
    <w:rsid w:val="00EB62EB"/>
    <w:rsid w:val="00EB6DF8"/>
    <w:rsid w:val="00EB795C"/>
    <w:rsid w:val="00EC1D22"/>
    <w:rsid w:val="00EC20C2"/>
    <w:rsid w:val="00EC63FE"/>
    <w:rsid w:val="00EC6C38"/>
    <w:rsid w:val="00ED0BBB"/>
    <w:rsid w:val="00ED143B"/>
    <w:rsid w:val="00ED1CC7"/>
    <w:rsid w:val="00ED1CEB"/>
    <w:rsid w:val="00ED1F75"/>
    <w:rsid w:val="00ED2F1B"/>
    <w:rsid w:val="00ED363B"/>
    <w:rsid w:val="00ED3FE2"/>
    <w:rsid w:val="00ED5583"/>
    <w:rsid w:val="00ED60F9"/>
    <w:rsid w:val="00ED610B"/>
    <w:rsid w:val="00ED7689"/>
    <w:rsid w:val="00ED7DCC"/>
    <w:rsid w:val="00EE10B6"/>
    <w:rsid w:val="00EE110A"/>
    <w:rsid w:val="00EE1CC8"/>
    <w:rsid w:val="00EE2E8E"/>
    <w:rsid w:val="00EE31EE"/>
    <w:rsid w:val="00EE3981"/>
    <w:rsid w:val="00EE3BAF"/>
    <w:rsid w:val="00EE4724"/>
    <w:rsid w:val="00EE4842"/>
    <w:rsid w:val="00EE4875"/>
    <w:rsid w:val="00EE511A"/>
    <w:rsid w:val="00EE5AF8"/>
    <w:rsid w:val="00EE79CF"/>
    <w:rsid w:val="00EF1071"/>
    <w:rsid w:val="00EF1DF2"/>
    <w:rsid w:val="00EF2A20"/>
    <w:rsid w:val="00EF36DF"/>
    <w:rsid w:val="00EF6C6C"/>
    <w:rsid w:val="00EF7203"/>
    <w:rsid w:val="00F00129"/>
    <w:rsid w:val="00F01031"/>
    <w:rsid w:val="00F02B98"/>
    <w:rsid w:val="00F04B86"/>
    <w:rsid w:val="00F05028"/>
    <w:rsid w:val="00F05685"/>
    <w:rsid w:val="00F05E3A"/>
    <w:rsid w:val="00F07082"/>
    <w:rsid w:val="00F07851"/>
    <w:rsid w:val="00F100BE"/>
    <w:rsid w:val="00F10179"/>
    <w:rsid w:val="00F12624"/>
    <w:rsid w:val="00F13568"/>
    <w:rsid w:val="00F201E6"/>
    <w:rsid w:val="00F2069B"/>
    <w:rsid w:val="00F218DD"/>
    <w:rsid w:val="00F22CAC"/>
    <w:rsid w:val="00F25BB6"/>
    <w:rsid w:val="00F260AE"/>
    <w:rsid w:val="00F260E0"/>
    <w:rsid w:val="00F26609"/>
    <w:rsid w:val="00F26AC3"/>
    <w:rsid w:val="00F30875"/>
    <w:rsid w:val="00F30E96"/>
    <w:rsid w:val="00F31582"/>
    <w:rsid w:val="00F317E1"/>
    <w:rsid w:val="00F31B3C"/>
    <w:rsid w:val="00F3271B"/>
    <w:rsid w:val="00F33C41"/>
    <w:rsid w:val="00F3713F"/>
    <w:rsid w:val="00F3720D"/>
    <w:rsid w:val="00F40A84"/>
    <w:rsid w:val="00F40AC4"/>
    <w:rsid w:val="00F42EF8"/>
    <w:rsid w:val="00F43D2C"/>
    <w:rsid w:val="00F46AA0"/>
    <w:rsid w:val="00F472C5"/>
    <w:rsid w:val="00F502E4"/>
    <w:rsid w:val="00F503EE"/>
    <w:rsid w:val="00F5115D"/>
    <w:rsid w:val="00F525AB"/>
    <w:rsid w:val="00F5326B"/>
    <w:rsid w:val="00F53A88"/>
    <w:rsid w:val="00F5414F"/>
    <w:rsid w:val="00F572F9"/>
    <w:rsid w:val="00F6020E"/>
    <w:rsid w:val="00F60568"/>
    <w:rsid w:val="00F60B4A"/>
    <w:rsid w:val="00F61E8E"/>
    <w:rsid w:val="00F61F6B"/>
    <w:rsid w:val="00F664CC"/>
    <w:rsid w:val="00F6673D"/>
    <w:rsid w:val="00F668C3"/>
    <w:rsid w:val="00F66DBB"/>
    <w:rsid w:val="00F67236"/>
    <w:rsid w:val="00F6766A"/>
    <w:rsid w:val="00F707DB"/>
    <w:rsid w:val="00F71913"/>
    <w:rsid w:val="00F72FD1"/>
    <w:rsid w:val="00F731B9"/>
    <w:rsid w:val="00F73C1E"/>
    <w:rsid w:val="00F75587"/>
    <w:rsid w:val="00F7573D"/>
    <w:rsid w:val="00F7630F"/>
    <w:rsid w:val="00F80BD7"/>
    <w:rsid w:val="00F8344B"/>
    <w:rsid w:val="00F843C3"/>
    <w:rsid w:val="00F84497"/>
    <w:rsid w:val="00F84A56"/>
    <w:rsid w:val="00F84ED9"/>
    <w:rsid w:val="00F857E9"/>
    <w:rsid w:val="00F867D8"/>
    <w:rsid w:val="00F8717F"/>
    <w:rsid w:val="00F87988"/>
    <w:rsid w:val="00F91374"/>
    <w:rsid w:val="00F9147B"/>
    <w:rsid w:val="00F91B66"/>
    <w:rsid w:val="00F92F89"/>
    <w:rsid w:val="00F947E5"/>
    <w:rsid w:val="00F94886"/>
    <w:rsid w:val="00F94C64"/>
    <w:rsid w:val="00F96D34"/>
    <w:rsid w:val="00F96D74"/>
    <w:rsid w:val="00FA1628"/>
    <w:rsid w:val="00FA28E8"/>
    <w:rsid w:val="00FA31C1"/>
    <w:rsid w:val="00FA3D56"/>
    <w:rsid w:val="00FA461C"/>
    <w:rsid w:val="00FA4891"/>
    <w:rsid w:val="00FA7E72"/>
    <w:rsid w:val="00FB04B7"/>
    <w:rsid w:val="00FB1264"/>
    <w:rsid w:val="00FB14B1"/>
    <w:rsid w:val="00FB1EAB"/>
    <w:rsid w:val="00FB4EF7"/>
    <w:rsid w:val="00FB60C3"/>
    <w:rsid w:val="00FC13FA"/>
    <w:rsid w:val="00FC1F9C"/>
    <w:rsid w:val="00FC2E4D"/>
    <w:rsid w:val="00FC4D21"/>
    <w:rsid w:val="00FC5752"/>
    <w:rsid w:val="00FD12A3"/>
    <w:rsid w:val="00FD2684"/>
    <w:rsid w:val="00FD2F33"/>
    <w:rsid w:val="00FD31CD"/>
    <w:rsid w:val="00FD32BD"/>
    <w:rsid w:val="00FD4F5A"/>
    <w:rsid w:val="00FE0582"/>
    <w:rsid w:val="00FE1694"/>
    <w:rsid w:val="00FE1D6C"/>
    <w:rsid w:val="00FE33FF"/>
    <w:rsid w:val="00FE4013"/>
    <w:rsid w:val="00FE4C8C"/>
    <w:rsid w:val="00FE52AC"/>
    <w:rsid w:val="00FE5785"/>
    <w:rsid w:val="00FE6508"/>
    <w:rsid w:val="00FE6D44"/>
    <w:rsid w:val="00FE772A"/>
    <w:rsid w:val="00FE7795"/>
    <w:rsid w:val="00FF1045"/>
    <w:rsid w:val="00FF448B"/>
    <w:rsid w:val="00FF516B"/>
    <w:rsid w:val="00FF67A1"/>
    <w:rsid w:val="00FF7659"/>
    <w:rsid w:val="00FF7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7C0445C"/>
  <w15:docId w15:val="{2036970F-D732-4B01-A6EE-91484D93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5A"/>
    <w:rPr>
      <w:rFonts w:ascii="Times New Roman" w:hAnsi="Times New Roman" w:cs="Times New Roman"/>
      <w:sz w:val="24"/>
      <w:szCs w:val="24"/>
      <w:lang w:val="en-AU" w:eastAsia="en-AU"/>
    </w:rPr>
  </w:style>
  <w:style w:type="paragraph" w:styleId="Heading1">
    <w:name w:val="heading 1"/>
    <w:basedOn w:val="Normal"/>
    <w:next w:val="Normal"/>
    <w:link w:val="Heading1Char"/>
    <w:qFormat/>
    <w:locked/>
    <w:rsid w:val="00FB1E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8672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004FE8"/>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04FE8"/>
    <w:rPr>
      <w:rFonts w:ascii="Cambria" w:eastAsia="SimSun" w:hAnsi="Cambria" w:cs="Times New Roman"/>
      <w:b/>
      <w:bCs/>
      <w:color w:val="4F81BD"/>
      <w:sz w:val="24"/>
      <w:szCs w:val="24"/>
      <w:lang w:val="en-AU" w:eastAsia="en-AU"/>
    </w:rPr>
  </w:style>
  <w:style w:type="paragraph" w:styleId="BalloonText">
    <w:name w:val="Balloon Text"/>
    <w:basedOn w:val="Normal"/>
    <w:link w:val="BalloonTextChar"/>
    <w:uiPriority w:val="99"/>
    <w:semiHidden/>
    <w:rsid w:val="004B3D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3DF6"/>
    <w:rPr>
      <w:rFonts w:ascii="Tahoma" w:hAnsi="Tahoma" w:cs="Tahoma"/>
      <w:sz w:val="16"/>
      <w:szCs w:val="16"/>
      <w:lang w:val="en-AU" w:eastAsia="en-AU"/>
    </w:rPr>
  </w:style>
  <w:style w:type="paragraph" w:customStyle="1" w:styleId="dnum">
    <w:name w:val="dnum"/>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textAlignment w:val="baseline"/>
    </w:pPr>
    <w:rPr>
      <w:b/>
      <w:bCs/>
      <w:szCs w:val="20"/>
      <w:lang w:val="en-GB" w:eastAsia="en-US"/>
    </w:rPr>
  </w:style>
  <w:style w:type="paragraph" w:customStyle="1" w:styleId="ddate">
    <w:name w:val="ddate"/>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customStyle="1" w:styleId="dorlang">
    <w:name w:val="dorlang"/>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styleId="Title">
    <w:name w:val="Title"/>
    <w:basedOn w:val="Normal"/>
    <w:link w:val="TitleChar"/>
    <w:uiPriority w:val="99"/>
    <w:qFormat/>
    <w:rsid w:val="00154359"/>
    <w:pPr>
      <w:jc w:val="center"/>
    </w:pPr>
    <w:rPr>
      <w:b/>
      <w:bCs/>
      <w:lang w:val="en-US" w:eastAsia="en-US"/>
    </w:rPr>
  </w:style>
  <w:style w:type="character" w:customStyle="1" w:styleId="TitleChar">
    <w:name w:val="Title Char"/>
    <w:basedOn w:val="DefaultParagraphFont"/>
    <w:link w:val="Title"/>
    <w:uiPriority w:val="99"/>
    <w:locked/>
    <w:rsid w:val="00154359"/>
    <w:rPr>
      <w:rFonts w:ascii="Times New Roman" w:hAnsi="Times New Roman" w:cs="Times New Roman"/>
      <w:b/>
      <w:bCs/>
      <w:sz w:val="24"/>
      <w:szCs w:val="24"/>
      <w:lang w:eastAsia="en-US"/>
    </w:rPr>
  </w:style>
  <w:style w:type="table" w:styleId="TableGrid">
    <w:name w:val="Table Grid"/>
    <w:basedOn w:val="TableNormal"/>
    <w:uiPriority w:val="59"/>
    <w:rsid w:val="00BD59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rsid w:val="00BD59BE"/>
    <w:pPr>
      <w:tabs>
        <w:tab w:val="left" w:pos="567"/>
        <w:tab w:val="left" w:pos="737"/>
        <w:tab w:val="left" w:pos="1021"/>
        <w:tab w:val="left" w:pos="1077"/>
        <w:tab w:val="left" w:pos="1418"/>
        <w:tab w:val="center" w:pos="3572"/>
      </w:tabs>
      <w:overflowPunct w:val="0"/>
      <w:autoSpaceDE w:val="0"/>
      <w:autoSpaceDN w:val="0"/>
      <w:adjustRightInd w:val="0"/>
      <w:spacing w:before="313"/>
      <w:jc w:val="both"/>
      <w:textAlignment w:val="baseline"/>
    </w:pPr>
    <w:rPr>
      <w:sz w:val="20"/>
      <w:szCs w:val="20"/>
      <w:lang w:val="en-GB" w:eastAsia="en-US"/>
    </w:rPr>
  </w:style>
  <w:style w:type="paragraph" w:customStyle="1" w:styleId="Sectiontitle">
    <w:name w:val="Section_title"/>
    <w:basedOn w:val="Normal"/>
    <w:next w:val="Normal"/>
    <w:uiPriority w:val="99"/>
    <w:rsid w:val="00BD59BE"/>
    <w:pPr>
      <w:keepNext/>
      <w:keepLines/>
      <w:tabs>
        <w:tab w:val="left" w:pos="567"/>
        <w:tab w:val="left" w:pos="1021"/>
        <w:tab w:val="center" w:pos="3572"/>
      </w:tabs>
      <w:overflowPunct w:val="0"/>
      <w:autoSpaceDE w:val="0"/>
      <w:autoSpaceDN w:val="0"/>
      <w:adjustRightInd w:val="0"/>
      <w:spacing w:after="40"/>
      <w:jc w:val="center"/>
      <w:textAlignment w:val="baseline"/>
    </w:pPr>
    <w:rPr>
      <w:b/>
      <w:szCs w:val="20"/>
      <w:lang w:val="en-GB" w:eastAsia="en-US"/>
    </w:rPr>
  </w:style>
  <w:style w:type="character" w:customStyle="1" w:styleId="NormalaftertitleChar">
    <w:name w:val="Normal after title Char"/>
    <w:basedOn w:val="DefaultParagraphFont"/>
    <w:link w:val="Normalaftertitle"/>
    <w:uiPriority w:val="99"/>
    <w:locked/>
    <w:rsid w:val="00BD59BE"/>
    <w:rPr>
      <w:rFonts w:ascii="Times New Roman" w:hAnsi="Times New Roman" w:cs="Times New Roman"/>
      <w:sz w:val="20"/>
      <w:szCs w:val="20"/>
      <w:lang w:val="en-GB" w:eastAsia="en-US"/>
    </w:rPr>
  </w:style>
  <w:style w:type="paragraph" w:styleId="Header">
    <w:name w:val="header"/>
    <w:aliases w:val="encabezado"/>
    <w:basedOn w:val="Normal"/>
    <w:link w:val="HeaderChar"/>
    <w:uiPriority w:val="99"/>
    <w:rsid w:val="005E4CD9"/>
    <w:pPr>
      <w:tabs>
        <w:tab w:val="center" w:pos="4680"/>
        <w:tab w:val="right" w:pos="9360"/>
      </w:tabs>
    </w:pPr>
  </w:style>
  <w:style w:type="character" w:customStyle="1" w:styleId="HeaderChar">
    <w:name w:val="Header Char"/>
    <w:aliases w:val="encabezado Char"/>
    <w:basedOn w:val="DefaultParagraphFont"/>
    <w:link w:val="Header"/>
    <w:uiPriority w:val="99"/>
    <w:locked/>
    <w:rsid w:val="005E4CD9"/>
    <w:rPr>
      <w:rFonts w:ascii="Times New Roman" w:hAnsi="Times New Roman" w:cs="Times New Roman"/>
      <w:sz w:val="24"/>
      <w:szCs w:val="24"/>
      <w:lang w:val="en-AU" w:eastAsia="en-AU"/>
    </w:rPr>
  </w:style>
  <w:style w:type="paragraph" w:styleId="Footer">
    <w:name w:val="footer"/>
    <w:basedOn w:val="Normal"/>
    <w:link w:val="FooterChar"/>
    <w:uiPriority w:val="99"/>
    <w:rsid w:val="005E4CD9"/>
    <w:pPr>
      <w:tabs>
        <w:tab w:val="center" w:pos="4680"/>
        <w:tab w:val="right" w:pos="9360"/>
      </w:tabs>
    </w:pPr>
  </w:style>
  <w:style w:type="character" w:customStyle="1" w:styleId="FooterChar">
    <w:name w:val="Footer Char"/>
    <w:basedOn w:val="DefaultParagraphFont"/>
    <w:link w:val="Footer"/>
    <w:uiPriority w:val="99"/>
    <w:locked/>
    <w:rsid w:val="005E4CD9"/>
    <w:rPr>
      <w:rFonts w:ascii="Times New Roman" w:hAnsi="Times New Roman" w:cs="Times New Roman"/>
      <w:sz w:val="24"/>
      <w:szCs w:val="24"/>
      <w:lang w:val="en-AU" w:eastAsia="en-AU"/>
    </w:rPr>
  </w:style>
  <w:style w:type="paragraph" w:styleId="ListParagraph">
    <w:name w:val="List Paragraph"/>
    <w:basedOn w:val="Normal"/>
    <w:uiPriority w:val="34"/>
    <w:qFormat/>
    <w:rsid w:val="00370252"/>
    <w:pPr>
      <w:ind w:left="720"/>
      <w:contextualSpacing/>
    </w:pPr>
  </w:style>
  <w:style w:type="character" w:styleId="Hyperlink">
    <w:name w:val="Hyperlink"/>
    <w:basedOn w:val="DefaultParagraphFont"/>
    <w:uiPriority w:val="99"/>
    <w:rsid w:val="00B44E9F"/>
    <w:rPr>
      <w:rFonts w:cs="Times New Roman"/>
      <w:color w:val="0000FF"/>
      <w:u w:val="single"/>
    </w:rPr>
  </w:style>
  <w:style w:type="paragraph" w:styleId="NormalWeb">
    <w:name w:val="Normal (Web)"/>
    <w:basedOn w:val="Normal"/>
    <w:uiPriority w:val="99"/>
    <w:rsid w:val="00826578"/>
    <w:pPr>
      <w:spacing w:before="45" w:after="120"/>
    </w:pPr>
    <w:rPr>
      <w:lang w:val="en-US" w:eastAsia="zh-CN"/>
    </w:rPr>
  </w:style>
  <w:style w:type="paragraph" w:styleId="Index1">
    <w:name w:val="index 1"/>
    <w:basedOn w:val="Normal"/>
    <w:next w:val="Normal"/>
    <w:uiPriority w:val="99"/>
    <w:semiHidden/>
    <w:rsid w:val="00004FE8"/>
    <w:pPr>
      <w:tabs>
        <w:tab w:val="left" w:pos="794"/>
        <w:tab w:val="left" w:pos="1191"/>
        <w:tab w:val="left" w:pos="1588"/>
        <w:tab w:val="left" w:pos="1985"/>
      </w:tabs>
      <w:overflowPunct w:val="0"/>
      <w:autoSpaceDE w:val="0"/>
      <w:autoSpaceDN w:val="0"/>
      <w:adjustRightInd w:val="0"/>
      <w:spacing w:before="120"/>
      <w:textAlignment w:val="baseline"/>
    </w:pPr>
    <w:rPr>
      <w:szCs w:val="20"/>
      <w:lang w:val="en-GB" w:eastAsia="en-US"/>
    </w:rPr>
  </w:style>
  <w:style w:type="character" w:styleId="FootnoteReference">
    <w:name w:val="footnote reference"/>
    <w:aliases w:val="Appel note de bas de p,Footnote Reference/,Footnote symbol,Ref,de nota al pie"/>
    <w:basedOn w:val="DefaultParagraphFont"/>
    <w:uiPriority w:val="99"/>
    <w:rsid w:val="00004FE8"/>
    <w:rPr>
      <w:rFonts w:cs="Times New Roman"/>
      <w:position w:val="6"/>
      <w:sz w:val="18"/>
    </w:rPr>
  </w:style>
  <w:style w:type="paragraph" w:styleId="FootnoteText">
    <w:name w:val="footnote text"/>
    <w:basedOn w:val="Normal"/>
    <w:link w:val="FootnoteTextChar"/>
    <w:uiPriority w:val="99"/>
    <w:rsid w:val="00004FE8"/>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szCs w:val="20"/>
      <w:lang w:val="en-GB" w:eastAsia="en-US"/>
    </w:rPr>
  </w:style>
  <w:style w:type="character" w:customStyle="1" w:styleId="FootnoteTextChar">
    <w:name w:val="Footnote Text Char"/>
    <w:basedOn w:val="DefaultParagraphFont"/>
    <w:link w:val="FootnoteText"/>
    <w:uiPriority w:val="99"/>
    <w:locked/>
    <w:rsid w:val="00004FE8"/>
    <w:rPr>
      <w:rFonts w:ascii="Times New Roman" w:hAnsi="Times New Roman" w:cs="Times New Roman"/>
      <w:sz w:val="20"/>
      <w:szCs w:val="20"/>
      <w:lang w:val="en-GB" w:eastAsia="en-US"/>
    </w:rPr>
  </w:style>
  <w:style w:type="paragraph" w:customStyle="1" w:styleId="enumlev1">
    <w:name w:val="enumlev1"/>
    <w:basedOn w:val="Normal"/>
    <w:rsid w:val="00004FE8"/>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textAlignment w:val="baseline"/>
    </w:pPr>
    <w:rPr>
      <w:szCs w:val="20"/>
      <w:lang w:val="en-GB" w:eastAsia="en-US"/>
    </w:rPr>
  </w:style>
  <w:style w:type="paragraph" w:customStyle="1" w:styleId="Headingb">
    <w:name w:val="Heading_b"/>
    <w:basedOn w:val="Heading3"/>
    <w:next w:val="Normal"/>
    <w:rsid w:val="00004FE8"/>
    <w:pPr>
      <w:tabs>
        <w:tab w:val="left" w:pos="794"/>
        <w:tab w:val="left" w:pos="2127"/>
        <w:tab w:val="left" w:pos="2410"/>
        <w:tab w:val="left" w:pos="2921"/>
        <w:tab w:val="left" w:pos="3261"/>
      </w:tabs>
      <w:spacing w:before="160"/>
      <w:outlineLvl w:val="9"/>
    </w:pPr>
    <w:rPr>
      <w:rFonts w:ascii="Times New Roman Bold" w:hAnsi="Times New Roman Bold"/>
      <w:bCs w:val="0"/>
      <w:color w:val="auto"/>
      <w:szCs w:val="20"/>
      <w:lang w:val="en-GB" w:eastAsia="en-US"/>
    </w:rPr>
  </w:style>
  <w:style w:type="paragraph" w:customStyle="1" w:styleId="AnnexNo">
    <w:name w:val="Annex_No"/>
    <w:basedOn w:val="Normal"/>
    <w:next w:val="Annextitle"/>
    <w:uiPriority w:val="99"/>
    <w:rsid w:val="00004FE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Annextitle">
    <w:name w:val="Annex_title"/>
    <w:basedOn w:val="Normal"/>
    <w:next w:val="Normal"/>
    <w:rsid w:val="00004FE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rPr>
  </w:style>
  <w:style w:type="paragraph" w:customStyle="1" w:styleId="Call">
    <w:name w:val="Call"/>
    <w:basedOn w:val="Normal"/>
    <w:next w:val="Normal"/>
    <w:rsid w:val="00004FE8"/>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val="en-GB" w:eastAsia="en-US"/>
    </w:rPr>
  </w:style>
  <w:style w:type="character" w:styleId="PageNumber">
    <w:name w:val="page number"/>
    <w:basedOn w:val="DefaultParagraphFont"/>
    <w:uiPriority w:val="99"/>
    <w:rsid w:val="00004FE8"/>
    <w:rPr>
      <w:rFonts w:cs="Times New Roman"/>
    </w:rPr>
  </w:style>
  <w:style w:type="paragraph" w:customStyle="1" w:styleId="SpecialFooter">
    <w:name w:val="Special Footer"/>
    <w:basedOn w:val="Footer"/>
    <w:uiPriority w:val="99"/>
    <w:rsid w:val="00004FE8"/>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lang w:val="fr-FR" w:eastAsia="en-US"/>
    </w:rPr>
  </w:style>
  <w:style w:type="paragraph" w:customStyle="1" w:styleId="Tablelegend">
    <w:name w:val="Table_legend"/>
    <w:basedOn w:val="Normal"/>
    <w:uiPriority w:val="99"/>
    <w:rsid w:val="00004FE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 w:val="22"/>
      <w:szCs w:val="20"/>
      <w:lang w:val="en-GB" w:eastAsia="en-US"/>
    </w:rPr>
  </w:style>
  <w:style w:type="paragraph" w:customStyle="1" w:styleId="Chaptitle">
    <w:name w:val="Chap_title"/>
    <w:basedOn w:val="Normal"/>
    <w:next w:val="Normalaftertitle"/>
    <w:uiPriority w:val="99"/>
    <w:rsid w:val="00004FE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TableHead">
    <w:name w:val="Table_Head"/>
    <w:basedOn w:val="Normal"/>
    <w:rsid w:val="00004FE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eastAsia="en-US"/>
    </w:rPr>
  </w:style>
  <w:style w:type="character" w:customStyle="1" w:styleId="Caractredenotedebasdepage">
    <w:name w:val="Caractère de note de bas de page"/>
    <w:uiPriority w:val="99"/>
    <w:rsid w:val="00004FE8"/>
    <w:rPr>
      <w:position w:val="6"/>
      <w:sz w:val="18"/>
    </w:rPr>
  </w:style>
  <w:style w:type="character" w:styleId="FollowedHyperlink">
    <w:name w:val="FollowedHyperlink"/>
    <w:basedOn w:val="DefaultParagraphFont"/>
    <w:uiPriority w:val="99"/>
    <w:semiHidden/>
    <w:rsid w:val="0074053D"/>
    <w:rPr>
      <w:rFonts w:cs="Times New Roman"/>
      <w:color w:val="800080"/>
      <w:u w:val="single"/>
    </w:rPr>
  </w:style>
  <w:style w:type="paragraph" w:customStyle="1" w:styleId="Default">
    <w:name w:val="Default"/>
    <w:rsid w:val="00316684"/>
    <w:pPr>
      <w:autoSpaceDE w:val="0"/>
      <w:autoSpaceDN w:val="0"/>
      <w:adjustRightInd w:val="0"/>
    </w:pPr>
    <w:rPr>
      <w:rFonts w:ascii="Times New Roman" w:hAnsi="Times New Roman" w:cs="Times New Roman"/>
      <w:color w:val="000000"/>
      <w:sz w:val="24"/>
      <w:szCs w:val="24"/>
      <w:lang w:eastAsia="zh-CN"/>
    </w:rPr>
  </w:style>
  <w:style w:type="paragraph" w:styleId="DocumentMap">
    <w:name w:val="Document Map"/>
    <w:basedOn w:val="Normal"/>
    <w:link w:val="DocumentMapChar"/>
    <w:uiPriority w:val="99"/>
    <w:semiHidden/>
    <w:rsid w:val="007F70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82A7C"/>
    <w:rPr>
      <w:rFonts w:ascii="Times New Roman" w:hAnsi="Times New Roman" w:cs="Times New Roman"/>
      <w:sz w:val="2"/>
      <w:lang w:val="en-AU" w:eastAsia="en-AU"/>
    </w:rPr>
  </w:style>
  <w:style w:type="paragraph" w:styleId="PlainText">
    <w:name w:val="Plain Text"/>
    <w:basedOn w:val="Normal"/>
    <w:link w:val="PlainTextChar"/>
    <w:uiPriority w:val="99"/>
    <w:semiHidden/>
    <w:unhideWhenUsed/>
    <w:rsid w:val="000E4F76"/>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semiHidden/>
    <w:rsid w:val="000E4F76"/>
    <w:rPr>
      <w:rFonts w:eastAsiaTheme="minorEastAsia" w:cstheme="minorBidi"/>
      <w:szCs w:val="21"/>
      <w:lang w:eastAsia="zh-CN"/>
    </w:rPr>
  </w:style>
  <w:style w:type="character" w:customStyle="1" w:styleId="Heading2Char">
    <w:name w:val="Heading 2 Char"/>
    <w:basedOn w:val="DefaultParagraphFont"/>
    <w:link w:val="Heading2"/>
    <w:rsid w:val="008672AF"/>
    <w:rPr>
      <w:rFonts w:asciiTheme="majorHAnsi" w:eastAsiaTheme="majorEastAsia" w:hAnsiTheme="majorHAnsi" w:cstheme="majorBidi"/>
      <w:color w:val="365F91" w:themeColor="accent1" w:themeShade="BF"/>
      <w:sz w:val="26"/>
      <w:szCs w:val="26"/>
      <w:lang w:val="en-AU" w:eastAsia="en-AU"/>
    </w:rPr>
  </w:style>
  <w:style w:type="paragraph" w:styleId="IndexHeading">
    <w:name w:val="index heading"/>
    <w:basedOn w:val="Normal"/>
    <w:next w:val="Index1"/>
    <w:rsid w:val="00527D7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Cs w:val="20"/>
      <w:lang w:val="en-GB" w:eastAsia="en-US"/>
    </w:rPr>
  </w:style>
  <w:style w:type="character" w:customStyle="1" w:styleId="hps">
    <w:name w:val="hps"/>
    <w:basedOn w:val="DefaultParagraphFont"/>
    <w:rsid w:val="00181A8D"/>
  </w:style>
  <w:style w:type="character" w:customStyle="1" w:styleId="Heading1Char">
    <w:name w:val="Heading 1 Char"/>
    <w:basedOn w:val="DefaultParagraphFont"/>
    <w:link w:val="Heading1"/>
    <w:rsid w:val="00FB1EAB"/>
    <w:rPr>
      <w:rFonts w:asciiTheme="majorHAnsi" w:eastAsiaTheme="majorEastAsia" w:hAnsiTheme="majorHAnsi" w:cstheme="majorBidi"/>
      <w:color w:val="365F91" w:themeColor="accent1" w:themeShade="BF"/>
      <w:sz w:val="32"/>
      <w:szCs w:val="32"/>
      <w:lang w:val="en-AU" w:eastAsia="en-AU"/>
    </w:rPr>
  </w:style>
  <w:style w:type="paragraph" w:customStyle="1" w:styleId="Annex">
    <w:name w:val="Annex_#"/>
    <w:basedOn w:val="Normal"/>
    <w:next w:val="Normal"/>
    <w:rsid w:val="00B941F2"/>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val="en-GB" w:eastAsia="en-US"/>
    </w:rPr>
  </w:style>
  <w:style w:type="character" w:styleId="EndnoteReference">
    <w:name w:val="endnote reference"/>
    <w:basedOn w:val="DefaultParagraphFont"/>
    <w:semiHidden/>
    <w:rsid w:val="00D805DE"/>
    <w:rPr>
      <w:vertAlign w:val="superscript"/>
    </w:rPr>
  </w:style>
  <w:style w:type="paragraph" w:customStyle="1" w:styleId="RecNo">
    <w:name w:val="Rec_No"/>
    <w:basedOn w:val="Normal"/>
    <w:next w:val="Rectitle"/>
    <w:rsid w:val="00D805D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RecNo"/>
    <w:next w:val="Normal"/>
    <w:rsid w:val="00D805DE"/>
    <w:pPr>
      <w:spacing w:before="240"/>
    </w:pPr>
    <w:rPr>
      <w:rFonts w:ascii="Times New Roman Bold" w:hAnsi="Times New Roman Bold"/>
      <w:b/>
      <w:caps w:val="0"/>
    </w:rPr>
  </w:style>
  <w:style w:type="paragraph" w:customStyle="1" w:styleId="call0">
    <w:name w:val="call"/>
    <w:basedOn w:val="Normal"/>
    <w:next w:val="Normal"/>
    <w:rsid w:val="00D805DE"/>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iCs/>
      <w:lang w:val="en-GB" w:eastAsia="zh-CN"/>
    </w:rPr>
  </w:style>
  <w:style w:type="paragraph" w:styleId="EndnoteText">
    <w:name w:val="endnote text"/>
    <w:basedOn w:val="Normal"/>
    <w:link w:val="EndnoteTextChar"/>
    <w:uiPriority w:val="99"/>
    <w:semiHidden/>
    <w:unhideWhenUsed/>
    <w:rsid w:val="00D805DE"/>
    <w:pPr>
      <w:tabs>
        <w:tab w:val="left" w:pos="794"/>
        <w:tab w:val="left" w:pos="1191"/>
        <w:tab w:val="left" w:pos="1588"/>
        <w:tab w:val="left" w:pos="1985"/>
      </w:tabs>
      <w:overflowPunct w:val="0"/>
      <w:autoSpaceDE w:val="0"/>
      <w:autoSpaceDN w:val="0"/>
      <w:adjustRightInd w:val="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uiPriority w:val="99"/>
    <w:semiHidden/>
    <w:rsid w:val="00D805DE"/>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584AB2"/>
    <w:rPr>
      <w:sz w:val="16"/>
      <w:szCs w:val="16"/>
    </w:rPr>
  </w:style>
  <w:style w:type="paragraph" w:styleId="CommentText">
    <w:name w:val="annotation text"/>
    <w:basedOn w:val="Normal"/>
    <w:link w:val="CommentTextChar"/>
    <w:uiPriority w:val="99"/>
    <w:semiHidden/>
    <w:unhideWhenUsed/>
    <w:rsid w:val="00584AB2"/>
    <w:pPr>
      <w:spacing w:after="160" w:line="259" w:lineRule="auto"/>
    </w:pPr>
    <w:rPr>
      <w:rFonts w:asciiTheme="minorHAnsi" w:eastAsiaTheme="minorEastAsia" w:hAnsiTheme="minorHAnsi" w:cstheme="minorBidi"/>
      <w:sz w:val="20"/>
      <w:szCs w:val="22"/>
      <w:lang w:val="en-US" w:eastAsia="zh-CN"/>
    </w:rPr>
  </w:style>
  <w:style w:type="character" w:customStyle="1" w:styleId="CommentTextChar">
    <w:name w:val="Comment Text Char"/>
    <w:basedOn w:val="DefaultParagraphFont"/>
    <w:link w:val="CommentText"/>
    <w:uiPriority w:val="99"/>
    <w:semiHidden/>
    <w:rsid w:val="00584AB2"/>
    <w:rPr>
      <w:rFonts w:asciiTheme="minorHAnsi" w:eastAsiaTheme="minorEastAsia" w:hAnsiTheme="minorHAnsi" w:cstheme="minorBidi"/>
      <w:sz w:val="20"/>
      <w:lang w:eastAsia="zh-CN"/>
    </w:rPr>
  </w:style>
  <w:style w:type="paragraph" w:customStyle="1" w:styleId="ResNo">
    <w:name w:val="Res_No"/>
    <w:basedOn w:val="Normal"/>
    <w:next w:val="Normal"/>
    <w:rsid w:val="000727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eastAsia="en-US"/>
    </w:rPr>
  </w:style>
  <w:style w:type="paragraph" w:customStyle="1" w:styleId="headfoot">
    <w:name w:val="head_foot"/>
    <w:basedOn w:val="Normal"/>
    <w:next w:val="Normalaftertitle"/>
    <w:rsid w:val="00072720"/>
    <w:pPr>
      <w:tabs>
        <w:tab w:val="left" w:pos="851"/>
        <w:tab w:val="left" w:pos="1418"/>
        <w:tab w:val="center" w:pos="4820"/>
      </w:tabs>
      <w:jc w:val="both"/>
    </w:pPr>
    <w:rPr>
      <w:rFonts w:ascii="Times" w:eastAsia="Times New Roman" w:hAnsi="Times"/>
      <w:color w:val="FF0000"/>
      <w:sz w:val="8"/>
      <w:szCs w:val="20"/>
      <w:lang w:val="en-GB" w:eastAsia="en-US"/>
    </w:rPr>
  </w:style>
  <w:style w:type="paragraph" w:customStyle="1" w:styleId="Restitle">
    <w:name w:val="Res_title"/>
    <w:basedOn w:val="Normal"/>
    <w:next w:val="Normal"/>
    <w:rsid w:val="00072720"/>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val="en-GB" w:eastAsia="en-US"/>
    </w:rPr>
  </w:style>
  <w:style w:type="paragraph" w:customStyle="1" w:styleId="TableText">
    <w:name w:val="Table_Text"/>
    <w:basedOn w:val="Normal"/>
    <w:rsid w:val="000727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 w:val="22"/>
      <w:szCs w:val="20"/>
      <w:lang w:val="en-GB" w:eastAsia="en-US"/>
    </w:rPr>
  </w:style>
  <w:style w:type="paragraph" w:styleId="CommentSubject">
    <w:name w:val="annotation subject"/>
    <w:basedOn w:val="CommentText"/>
    <w:next w:val="CommentText"/>
    <w:link w:val="CommentSubjectChar"/>
    <w:uiPriority w:val="99"/>
    <w:semiHidden/>
    <w:unhideWhenUsed/>
    <w:rsid w:val="0020748B"/>
    <w:pPr>
      <w:spacing w:after="0" w:line="240" w:lineRule="auto"/>
    </w:pPr>
    <w:rPr>
      <w:rFonts w:ascii="Times New Roman" w:eastAsia="SimSun" w:hAnsi="Times New Roman" w:cs="Times New Roman"/>
      <w:b/>
      <w:bCs/>
      <w:szCs w:val="20"/>
      <w:lang w:val="en-AU" w:eastAsia="en-AU"/>
    </w:rPr>
  </w:style>
  <w:style w:type="character" w:customStyle="1" w:styleId="CommentSubjectChar">
    <w:name w:val="Comment Subject Char"/>
    <w:basedOn w:val="CommentTextChar"/>
    <w:link w:val="CommentSubject"/>
    <w:uiPriority w:val="99"/>
    <w:semiHidden/>
    <w:rsid w:val="0020748B"/>
    <w:rPr>
      <w:rFonts w:ascii="Times New Roman" w:eastAsiaTheme="minorEastAsia" w:hAnsi="Times New Roman" w:cs="Times New Roman"/>
      <w:b/>
      <w:bCs/>
      <w:sz w:val="20"/>
      <w:szCs w:val="20"/>
      <w:lang w:val="en-AU" w:eastAsia="en-AU"/>
    </w:rPr>
  </w:style>
  <w:style w:type="paragraph" w:styleId="Revision">
    <w:name w:val="Revision"/>
    <w:hidden/>
    <w:uiPriority w:val="99"/>
    <w:semiHidden/>
    <w:rsid w:val="00752139"/>
    <w:rPr>
      <w:rFonts w:ascii="Times New Roman" w:hAnsi="Times New Roman" w:cs="Times New Roman"/>
      <w:sz w:val="24"/>
      <w:szCs w:val="24"/>
      <w:lang w:val="en-AU" w:eastAsia="en-AU"/>
    </w:rPr>
  </w:style>
  <w:style w:type="table" w:customStyle="1" w:styleId="ListTable3-Accent51">
    <w:name w:val="List Table 3 - Accent 51"/>
    <w:basedOn w:val="TableNormal"/>
    <w:uiPriority w:val="48"/>
    <w:rsid w:val="003D0BC7"/>
    <w:rPr>
      <w:rFonts w:asciiTheme="minorHAnsi" w:eastAsiaTheme="minorEastAsia" w:hAnsiTheme="minorHAnsi" w:cstheme="minorBidi"/>
      <w:lang w:eastAsia="zh-C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Body">
    <w:name w:val="Body"/>
    <w:rsid w:val="00E84A18"/>
    <w:pPr>
      <w:pBdr>
        <w:top w:val="nil"/>
        <w:left w:val="nil"/>
        <w:bottom w:val="nil"/>
        <w:right w:val="nil"/>
        <w:between w:val="nil"/>
        <w:bar w:val="nil"/>
      </w:pBdr>
      <w:tabs>
        <w:tab w:val="left" w:pos="567"/>
        <w:tab w:val="left" w:pos="1134"/>
        <w:tab w:val="left" w:pos="1701"/>
        <w:tab w:val="left" w:pos="2268"/>
        <w:tab w:val="left" w:pos="2835"/>
      </w:tabs>
      <w:spacing w:before="120"/>
    </w:pPr>
    <w:rPr>
      <w:rFonts w:eastAsia="Calibri" w:cs="Calibri"/>
      <w:color w:val="000000"/>
      <w:sz w:val="24"/>
      <w:szCs w:val="24"/>
      <w:u w:color="000000"/>
      <w:bdr w:val="nil"/>
    </w:rPr>
  </w:style>
  <w:style w:type="paragraph" w:customStyle="1" w:styleId="Source">
    <w:name w:val="Source"/>
    <w:basedOn w:val="Normal"/>
    <w:rsid w:val="00CA4E38"/>
    <w:pPr>
      <w:spacing w:before="840"/>
      <w:jc w:val="center"/>
    </w:pPr>
    <w:rPr>
      <w:rFonts w:asciiTheme="minorHAnsi" w:hAnsiTheme="minorHAnsi"/>
      <w:b/>
      <w:sz w:val="28"/>
      <w:szCs w:val="28"/>
    </w:rPr>
  </w:style>
  <w:style w:type="paragraph" w:customStyle="1" w:styleId="Title1">
    <w:name w:val="Title 1"/>
    <w:basedOn w:val="Normal"/>
    <w:rsid w:val="0092536F"/>
    <w:pPr>
      <w:spacing w:before="120" w:after="240"/>
      <w:jc w:val="center"/>
    </w:pPr>
    <w:rPr>
      <w:rFonts w:asciiTheme="minorHAnsi" w:hAnsiTheme="minorHAns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293">
      <w:bodyDiv w:val="1"/>
      <w:marLeft w:val="0"/>
      <w:marRight w:val="0"/>
      <w:marTop w:val="0"/>
      <w:marBottom w:val="0"/>
      <w:divBdr>
        <w:top w:val="none" w:sz="0" w:space="0" w:color="auto"/>
        <w:left w:val="none" w:sz="0" w:space="0" w:color="auto"/>
        <w:bottom w:val="none" w:sz="0" w:space="0" w:color="auto"/>
        <w:right w:val="none" w:sz="0" w:space="0" w:color="auto"/>
      </w:divBdr>
    </w:div>
    <w:div w:id="91098420">
      <w:bodyDiv w:val="1"/>
      <w:marLeft w:val="0"/>
      <w:marRight w:val="0"/>
      <w:marTop w:val="0"/>
      <w:marBottom w:val="0"/>
      <w:divBdr>
        <w:top w:val="none" w:sz="0" w:space="0" w:color="auto"/>
        <w:left w:val="none" w:sz="0" w:space="0" w:color="auto"/>
        <w:bottom w:val="none" w:sz="0" w:space="0" w:color="auto"/>
        <w:right w:val="none" w:sz="0" w:space="0" w:color="auto"/>
      </w:divBdr>
    </w:div>
    <w:div w:id="139269585">
      <w:bodyDiv w:val="1"/>
      <w:marLeft w:val="0"/>
      <w:marRight w:val="0"/>
      <w:marTop w:val="0"/>
      <w:marBottom w:val="0"/>
      <w:divBdr>
        <w:top w:val="none" w:sz="0" w:space="0" w:color="auto"/>
        <w:left w:val="none" w:sz="0" w:space="0" w:color="auto"/>
        <w:bottom w:val="none" w:sz="0" w:space="0" w:color="auto"/>
        <w:right w:val="none" w:sz="0" w:space="0" w:color="auto"/>
      </w:divBdr>
    </w:div>
    <w:div w:id="166486276">
      <w:bodyDiv w:val="1"/>
      <w:marLeft w:val="0"/>
      <w:marRight w:val="0"/>
      <w:marTop w:val="0"/>
      <w:marBottom w:val="0"/>
      <w:divBdr>
        <w:top w:val="none" w:sz="0" w:space="0" w:color="auto"/>
        <w:left w:val="none" w:sz="0" w:space="0" w:color="auto"/>
        <w:bottom w:val="none" w:sz="0" w:space="0" w:color="auto"/>
        <w:right w:val="none" w:sz="0" w:space="0" w:color="auto"/>
      </w:divBdr>
    </w:div>
    <w:div w:id="348914171">
      <w:bodyDiv w:val="1"/>
      <w:marLeft w:val="0"/>
      <w:marRight w:val="0"/>
      <w:marTop w:val="0"/>
      <w:marBottom w:val="0"/>
      <w:divBdr>
        <w:top w:val="none" w:sz="0" w:space="0" w:color="auto"/>
        <w:left w:val="none" w:sz="0" w:space="0" w:color="auto"/>
        <w:bottom w:val="none" w:sz="0" w:space="0" w:color="auto"/>
        <w:right w:val="none" w:sz="0" w:space="0" w:color="auto"/>
      </w:divBdr>
    </w:div>
    <w:div w:id="437867796">
      <w:bodyDiv w:val="1"/>
      <w:marLeft w:val="0"/>
      <w:marRight w:val="0"/>
      <w:marTop w:val="0"/>
      <w:marBottom w:val="0"/>
      <w:divBdr>
        <w:top w:val="none" w:sz="0" w:space="0" w:color="auto"/>
        <w:left w:val="none" w:sz="0" w:space="0" w:color="auto"/>
        <w:bottom w:val="none" w:sz="0" w:space="0" w:color="auto"/>
        <w:right w:val="none" w:sz="0" w:space="0" w:color="auto"/>
      </w:divBdr>
    </w:div>
    <w:div w:id="703362366">
      <w:bodyDiv w:val="1"/>
      <w:marLeft w:val="0"/>
      <w:marRight w:val="0"/>
      <w:marTop w:val="0"/>
      <w:marBottom w:val="0"/>
      <w:divBdr>
        <w:top w:val="none" w:sz="0" w:space="0" w:color="auto"/>
        <w:left w:val="none" w:sz="0" w:space="0" w:color="auto"/>
        <w:bottom w:val="none" w:sz="0" w:space="0" w:color="auto"/>
        <w:right w:val="none" w:sz="0" w:space="0" w:color="auto"/>
      </w:divBdr>
    </w:div>
    <w:div w:id="899441648">
      <w:bodyDiv w:val="1"/>
      <w:marLeft w:val="0"/>
      <w:marRight w:val="0"/>
      <w:marTop w:val="0"/>
      <w:marBottom w:val="0"/>
      <w:divBdr>
        <w:top w:val="none" w:sz="0" w:space="0" w:color="auto"/>
        <w:left w:val="none" w:sz="0" w:space="0" w:color="auto"/>
        <w:bottom w:val="none" w:sz="0" w:space="0" w:color="auto"/>
        <w:right w:val="none" w:sz="0" w:space="0" w:color="auto"/>
      </w:divBdr>
    </w:div>
    <w:div w:id="919751019">
      <w:bodyDiv w:val="1"/>
      <w:marLeft w:val="0"/>
      <w:marRight w:val="0"/>
      <w:marTop w:val="0"/>
      <w:marBottom w:val="0"/>
      <w:divBdr>
        <w:top w:val="none" w:sz="0" w:space="0" w:color="auto"/>
        <w:left w:val="none" w:sz="0" w:space="0" w:color="auto"/>
        <w:bottom w:val="none" w:sz="0" w:space="0" w:color="auto"/>
        <w:right w:val="none" w:sz="0" w:space="0" w:color="auto"/>
      </w:divBdr>
    </w:div>
    <w:div w:id="978219958">
      <w:bodyDiv w:val="1"/>
      <w:marLeft w:val="0"/>
      <w:marRight w:val="0"/>
      <w:marTop w:val="0"/>
      <w:marBottom w:val="0"/>
      <w:divBdr>
        <w:top w:val="none" w:sz="0" w:space="0" w:color="auto"/>
        <w:left w:val="none" w:sz="0" w:space="0" w:color="auto"/>
        <w:bottom w:val="none" w:sz="0" w:space="0" w:color="auto"/>
        <w:right w:val="none" w:sz="0" w:space="0" w:color="auto"/>
      </w:divBdr>
    </w:div>
    <w:div w:id="983004646">
      <w:bodyDiv w:val="1"/>
      <w:marLeft w:val="0"/>
      <w:marRight w:val="0"/>
      <w:marTop w:val="0"/>
      <w:marBottom w:val="0"/>
      <w:divBdr>
        <w:top w:val="none" w:sz="0" w:space="0" w:color="auto"/>
        <w:left w:val="none" w:sz="0" w:space="0" w:color="auto"/>
        <w:bottom w:val="none" w:sz="0" w:space="0" w:color="auto"/>
        <w:right w:val="none" w:sz="0" w:space="0" w:color="auto"/>
      </w:divBdr>
    </w:div>
    <w:div w:id="1018778277">
      <w:bodyDiv w:val="1"/>
      <w:marLeft w:val="0"/>
      <w:marRight w:val="0"/>
      <w:marTop w:val="0"/>
      <w:marBottom w:val="0"/>
      <w:divBdr>
        <w:top w:val="none" w:sz="0" w:space="0" w:color="auto"/>
        <w:left w:val="none" w:sz="0" w:space="0" w:color="auto"/>
        <w:bottom w:val="none" w:sz="0" w:space="0" w:color="auto"/>
        <w:right w:val="none" w:sz="0" w:space="0" w:color="auto"/>
      </w:divBdr>
    </w:div>
    <w:div w:id="1050303744">
      <w:bodyDiv w:val="1"/>
      <w:marLeft w:val="0"/>
      <w:marRight w:val="0"/>
      <w:marTop w:val="0"/>
      <w:marBottom w:val="0"/>
      <w:divBdr>
        <w:top w:val="none" w:sz="0" w:space="0" w:color="auto"/>
        <w:left w:val="none" w:sz="0" w:space="0" w:color="auto"/>
        <w:bottom w:val="none" w:sz="0" w:space="0" w:color="auto"/>
        <w:right w:val="none" w:sz="0" w:space="0" w:color="auto"/>
      </w:divBdr>
    </w:div>
    <w:div w:id="1072041114">
      <w:bodyDiv w:val="1"/>
      <w:marLeft w:val="0"/>
      <w:marRight w:val="0"/>
      <w:marTop w:val="0"/>
      <w:marBottom w:val="0"/>
      <w:divBdr>
        <w:top w:val="none" w:sz="0" w:space="0" w:color="auto"/>
        <w:left w:val="none" w:sz="0" w:space="0" w:color="auto"/>
        <w:bottom w:val="none" w:sz="0" w:space="0" w:color="auto"/>
        <w:right w:val="none" w:sz="0" w:space="0" w:color="auto"/>
      </w:divBdr>
    </w:div>
    <w:div w:id="1075594562">
      <w:bodyDiv w:val="1"/>
      <w:marLeft w:val="0"/>
      <w:marRight w:val="0"/>
      <w:marTop w:val="0"/>
      <w:marBottom w:val="0"/>
      <w:divBdr>
        <w:top w:val="none" w:sz="0" w:space="0" w:color="auto"/>
        <w:left w:val="none" w:sz="0" w:space="0" w:color="auto"/>
        <w:bottom w:val="none" w:sz="0" w:space="0" w:color="auto"/>
        <w:right w:val="none" w:sz="0" w:space="0" w:color="auto"/>
      </w:divBdr>
    </w:div>
    <w:div w:id="1243687338">
      <w:bodyDiv w:val="1"/>
      <w:marLeft w:val="0"/>
      <w:marRight w:val="0"/>
      <w:marTop w:val="0"/>
      <w:marBottom w:val="0"/>
      <w:divBdr>
        <w:top w:val="none" w:sz="0" w:space="0" w:color="auto"/>
        <w:left w:val="none" w:sz="0" w:space="0" w:color="auto"/>
        <w:bottom w:val="none" w:sz="0" w:space="0" w:color="auto"/>
        <w:right w:val="none" w:sz="0" w:space="0" w:color="auto"/>
      </w:divBdr>
    </w:div>
    <w:div w:id="1347713322">
      <w:bodyDiv w:val="1"/>
      <w:marLeft w:val="0"/>
      <w:marRight w:val="0"/>
      <w:marTop w:val="0"/>
      <w:marBottom w:val="0"/>
      <w:divBdr>
        <w:top w:val="none" w:sz="0" w:space="0" w:color="auto"/>
        <w:left w:val="none" w:sz="0" w:space="0" w:color="auto"/>
        <w:bottom w:val="none" w:sz="0" w:space="0" w:color="auto"/>
        <w:right w:val="none" w:sz="0" w:space="0" w:color="auto"/>
      </w:divBdr>
    </w:div>
    <w:div w:id="1393456501">
      <w:bodyDiv w:val="1"/>
      <w:marLeft w:val="0"/>
      <w:marRight w:val="0"/>
      <w:marTop w:val="0"/>
      <w:marBottom w:val="0"/>
      <w:divBdr>
        <w:top w:val="none" w:sz="0" w:space="0" w:color="auto"/>
        <w:left w:val="none" w:sz="0" w:space="0" w:color="auto"/>
        <w:bottom w:val="none" w:sz="0" w:space="0" w:color="auto"/>
        <w:right w:val="none" w:sz="0" w:space="0" w:color="auto"/>
      </w:divBdr>
    </w:div>
    <w:div w:id="1558315601">
      <w:bodyDiv w:val="1"/>
      <w:marLeft w:val="0"/>
      <w:marRight w:val="0"/>
      <w:marTop w:val="0"/>
      <w:marBottom w:val="0"/>
      <w:divBdr>
        <w:top w:val="none" w:sz="0" w:space="0" w:color="auto"/>
        <w:left w:val="none" w:sz="0" w:space="0" w:color="auto"/>
        <w:bottom w:val="none" w:sz="0" w:space="0" w:color="auto"/>
        <w:right w:val="none" w:sz="0" w:space="0" w:color="auto"/>
      </w:divBdr>
    </w:div>
    <w:div w:id="1578900475">
      <w:bodyDiv w:val="1"/>
      <w:marLeft w:val="0"/>
      <w:marRight w:val="0"/>
      <w:marTop w:val="0"/>
      <w:marBottom w:val="0"/>
      <w:divBdr>
        <w:top w:val="none" w:sz="0" w:space="0" w:color="auto"/>
        <w:left w:val="none" w:sz="0" w:space="0" w:color="auto"/>
        <w:bottom w:val="none" w:sz="0" w:space="0" w:color="auto"/>
        <w:right w:val="none" w:sz="0" w:space="0" w:color="auto"/>
      </w:divBdr>
    </w:div>
    <w:div w:id="1588004456">
      <w:bodyDiv w:val="1"/>
      <w:marLeft w:val="0"/>
      <w:marRight w:val="0"/>
      <w:marTop w:val="0"/>
      <w:marBottom w:val="0"/>
      <w:divBdr>
        <w:top w:val="none" w:sz="0" w:space="0" w:color="auto"/>
        <w:left w:val="none" w:sz="0" w:space="0" w:color="auto"/>
        <w:bottom w:val="none" w:sz="0" w:space="0" w:color="auto"/>
        <w:right w:val="none" w:sz="0" w:space="0" w:color="auto"/>
      </w:divBdr>
    </w:div>
    <w:div w:id="1760105132">
      <w:bodyDiv w:val="1"/>
      <w:marLeft w:val="0"/>
      <w:marRight w:val="0"/>
      <w:marTop w:val="0"/>
      <w:marBottom w:val="0"/>
      <w:divBdr>
        <w:top w:val="none" w:sz="0" w:space="0" w:color="auto"/>
        <w:left w:val="none" w:sz="0" w:space="0" w:color="auto"/>
        <w:bottom w:val="none" w:sz="0" w:space="0" w:color="auto"/>
        <w:right w:val="none" w:sz="0" w:space="0" w:color="auto"/>
      </w:divBdr>
    </w:div>
    <w:div w:id="1784226746">
      <w:bodyDiv w:val="1"/>
      <w:marLeft w:val="0"/>
      <w:marRight w:val="0"/>
      <w:marTop w:val="0"/>
      <w:marBottom w:val="0"/>
      <w:divBdr>
        <w:top w:val="none" w:sz="0" w:space="0" w:color="auto"/>
        <w:left w:val="none" w:sz="0" w:space="0" w:color="auto"/>
        <w:bottom w:val="none" w:sz="0" w:space="0" w:color="auto"/>
        <w:right w:val="none" w:sz="0" w:space="0" w:color="auto"/>
      </w:divBdr>
    </w:div>
    <w:div w:id="1796559160">
      <w:bodyDiv w:val="1"/>
      <w:marLeft w:val="0"/>
      <w:marRight w:val="0"/>
      <w:marTop w:val="0"/>
      <w:marBottom w:val="0"/>
      <w:divBdr>
        <w:top w:val="none" w:sz="0" w:space="0" w:color="auto"/>
        <w:left w:val="none" w:sz="0" w:space="0" w:color="auto"/>
        <w:bottom w:val="none" w:sz="0" w:space="0" w:color="auto"/>
        <w:right w:val="none" w:sz="0" w:space="0" w:color="auto"/>
      </w:divBdr>
    </w:div>
    <w:div w:id="1913999398">
      <w:bodyDiv w:val="1"/>
      <w:marLeft w:val="0"/>
      <w:marRight w:val="0"/>
      <w:marTop w:val="0"/>
      <w:marBottom w:val="0"/>
      <w:divBdr>
        <w:top w:val="none" w:sz="0" w:space="0" w:color="auto"/>
        <w:left w:val="none" w:sz="0" w:space="0" w:color="auto"/>
        <w:bottom w:val="none" w:sz="0" w:space="0" w:color="auto"/>
        <w:right w:val="none" w:sz="0" w:space="0" w:color="auto"/>
      </w:divBdr>
    </w:div>
    <w:div w:id="1960138611">
      <w:bodyDiv w:val="1"/>
      <w:marLeft w:val="0"/>
      <w:marRight w:val="0"/>
      <w:marTop w:val="0"/>
      <w:marBottom w:val="0"/>
      <w:divBdr>
        <w:top w:val="none" w:sz="0" w:space="0" w:color="auto"/>
        <w:left w:val="none" w:sz="0" w:space="0" w:color="auto"/>
        <w:bottom w:val="none" w:sz="0" w:space="0" w:color="auto"/>
        <w:right w:val="none" w:sz="0" w:space="0" w:color="auto"/>
      </w:divBdr>
    </w:div>
    <w:div w:id="1997413555">
      <w:marLeft w:val="0"/>
      <w:marRight w:val="0"/>
      <w:marTop w:val="0"/>
      <w:marBottom w:val="0"/>
      <w:divBdr>
        <w:top w:val="none" w:sz="0" w:space="0" w:color="auto"/>
        <w:left w:val="none" w:sz="0" w:space="0" w:color="auto"/>
        <w:bottom w:val="none" w:sz="0" w:space="0" w:color="auto"/>
        <w:right w:val="none" w:sz="0" w:space="0" w:color="auto"/>
      </w:divBdr>
    </w:div>
    <w:div w:id="1997413556">
      <w:marLeft w:val="0"/>
      <w:marRight w:val="0"/>
      <w:marTop w:val="0"/>
      <w:marBottom w:val="0"/>
      <w:divBdr>
        <w:top w:val="none" w:sz="0" w:space="0" w:color="auto"/>
        <w:left w:val="none" w:sz="0" w:space="0" w:color="auto"/>
        <w:bottom w:val="none" w:sz="0" w:space="0" w:color="auto"/>
        <w:right w:val="none" w:sz="0" w:space="0" w:color="auto"/>
      </w:divBdr>
    </w:div>
    <w:div w:id="1997413557">
      <w:marLeft w:val="0"/>
      <w:marRight w:val="0"/>
      <w:marTop w:val="0"/>
      <w:marBottom w:val="0"/>
      <w:divBdr>
        <w:top w:val="none" w:sz="0" w:space="0" w:color="auto"/>
        <w:left w:val="none" w:sz="0" w:space="0" w:color="auto"/>
        <w:bottom w:val="none" w:sz="0" w:space="0" w:color="auto"/>
        <w:right w:val="none" w:sz="0" w:space="0" w:color="auto"/>
      </w:divBdr>
    </w:div>
    <w:div w:id="1997413558">
      <w:marLeft w:val="0"/>
      <w:marRight w:val="0"/>
      <w:marTop w:val="0"/>
      <w:marBottom w:val="0"/>
      <w:divBdr>
        <w:top w:val="none" w:sz="0" w:space="0" w:color="auto"/>
        <w:left w:val="none" w:sz="0" w:space="0" w:color="auto"/>
        <w:bottom w:val="none" w:sz="0" w:space="0" w:color="auto"/>
        <w:right w:val="none" w:sz="0" w:space="0" w:color="auto"/>
      </w:divBdr>
    </w:div>
    <w:div w:id="1997413559">
      <w:marLeft w:val="0"/>
      <w:marRight w:val="0"/>
      <w:marTop w:val="0"/>
      <w:marBottom w:val="0"/>
      <w:divBdr>
        <w:top w:val="none" w:sz="0" w:space="0" w:color="auto"/>
        <w:left w:val="none" w:sz="0" w:space="0" w:color="auto"/>
        <w:bottom w:val="none" w:sz="0" w:space="0" w:color="auto"/>
        <w:right w:val="none" w:sz="0" w:space="0" w:color="auto"/>
      </w:divBdr>
    </w:div>
    <w:div w:id="1997413560">
      <w:marLeft w:val="0"/>
      <w:marRight w:val="0"/>
      <w:marTop w:val="0"/>
      <w:marBottom w:val="0"/>
      <w:divBdr>
        <w:top w:val="none" w:sz="0" w:space="0" w:color="auto"/>
        <w:left w:val="none" w:sz="0" w:space="0" w:color="auto"/>
        <w:bottom w:val="none" w:sz="0" w:space="0" w:color="auto"/>
        <w:right w:val="none" w:sz="0" w:space="0" w:color="auto"/>
      </w:divBdr>
    </w:div>
    <w:div w:id="1997413561">
      <w:marLeft w:val="0"/>
      <w:marRight w:val="0"/>
      <w:marTop w:val="0"/>
      <w:marBottom w:val="0"/>
      <w:divBdr>
        <w:top w:val="none" w:sz="0" w:space="0" w:color="auto"/>
        <w:left w:val="none" w:sz="0" w:space="0" w:color="auto"/>
        <w:bottom w:val="none" w:sz="0" w:space="0" w:color="auto"/>
        <w:right w:val="none" w:sz="0" w:space="0" w:color="auto"/>
      </w:divBdr>
    </w:div>
    <w:div w:id="1997413562">
      <w:marLeft w:val="0"/>
      <w:marRight w:val="0"/>
      <w:marTop w:val="0"/>
      <w:marBottom w:val="0"/>
      <w:divBdr>
        <w:top w:val="none" w:sz="0" w:space="0" w:color="auto"/>
        <w:left w:val="none" w:sz="0" w:space="0" w:color="auto"/>
        <w:bottom w:val="none" w:sz="0" w:space="0" w:color="auto"/>
        <w:right w:val="none" w:sz="0" w:space="0" w:color="auto"/>
      </w:divBdr>
    </w:div>
    <w:div w:id="1997413563">
      <w:marLeft w:val="0"/>
      <w:marRight w:val="0"/>
      <w:marTop w:val="0"/>
      <w:marBottom w:val="0"/>
      <w:divBdr>
        <w:top w:val="none" w:sz="0" w:space="0" w:color="auto"/>
        <w:left w:val="none" w:sz="0" w:space="0" w:color="auto"/>
        <w:bottom w:val="none" w:sz="0" w:space="0" w:color="auto"/>
        <w:right w:val="none" w:sz="0" w:space="0" w:color="auto"/>
      </w:divBdr>
    </w:div>
    <w:div w:id="2000578149">
      <w:bodyDiv w:val="1"/>
      <w:marLeft w:val="0"/>
      <w:marRight w:val="0"/>
      <w:marTop w:val="0"/>
      <w:marBottom w:val="0"/>
      <w:divBdr>
        <w:top w:val="none" w:sz="0" w:space="0" w:color="auto"/>
        <w:left w:val="none" w:sz="0" w:space="0" w:color="auto"/>
        <w:bottom w:val="none" w:sz="0" w:space="0" w:color="auto"/>
        <w:right w:val="none" w:sz="0" w:space="0" w:color="auto"/>
      </w:divBdr>
    </w:div>
    <w:div w:id="20775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USHRN1FILE01.corp.exelisinc.com\HRN1_Users2\Feltman_Andy\RAG%20RRB%20and%20groups%20like%20that\ITU%20Council%202018-05\bureau%20cost%20recovery%20work%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CR of 250000 Unit Filing </a:t>
            </a:r>
            <a:br>
              <a:rPr lang="en-US"/>
            </a:br>
            <a:r>
              <a:rPr lang="en-US"/>
              <a:t>as a Function of Breakpoint</a:t>
            </a:r>
          </a:p>
        </c:rich>
      </c:tx>
      <c:layout/>
      <c:overlay val="0"/>
    </c:title>
    <c:autoTitleDeleted val="0"/>
    <c:plotArea>
      <c:layout/>
      <c:scatterChart>
        <c:scatterStyle val="smoothMarker"/>
        <c:varyColors val="0"/>
        <c:ser>
          <c:idx val="2"/>
          <c:order val="0"/>
          <c:tx>
            <c:strRef>
              <c:f>'Single Filing CR Projections'!$C$30</c:f>
              <c:strCache>
                <c:ptCount val="1"/>
                <c:pt idx="0">
                  <c:v>CR</c:v>
                </c:pt>
              </c:strCache>
            </c:strRef>
          </c:tx>
          <c:marker>
            <c:symbol val="none"/>
          </c:marker>
          <c:xVal>
            <c:numRef>
              <c:f>'Single Filing CR Projections'!$D$27:$W$27</c:f>
              <c:numCache>
                <c:formatCode>General</c:formatCode>
                <c:ptCount val="20"/>
                <c:pt idx="0">
                  <c:v>1000</c:v>
                </c:pt>
                <c:pt idx="1">
                  <c:v>2000</c:v>
                </c:pt>
                <c:pt idx="2">
                  <c:v>3000</c:v>
                </c:pt>
                <c:pt idx="3">
                  <c:v>4000</c:v>
                </c:pt>
                <c:pt idx="4">
                  <c:v>5000</c:v>
                </c:pt>
                <c:pt idx="5">
                  <c:v>10000</c:v>
                </c:pt>
                <c:pt idx="6">
                  <c:v>11000</c:v>
                </c:pt>
                <c:pt idx="7">
                  <c:v>12000</c:v>
                </c:pt>
                <c:pt idx="8">
                  <c:v>13000</c:v>
                </c:pt>
                <c:pt idx="9">
                  <c:v>14000</c:v>
                </c:pt>
                <c:pt idx="10">
                  <c:v>15000</c:v>
                </c:pt>
                <c:pt idx="11">
                  <c:v>20000</c:v>
                </c:pt>
                <c:pt idx="12">
                  <c:v>30000</c:v>
                </c:pt>
                <c:pt idx="13">
                  <c:v>40000</c:v>
                </c:pt>
                <c:pt idx="14">
                  <c:v>50000</c:v>
                </c:pt>
                <c:pt idx="15">
                  <c:v>75000</c:v>
                </c:pt>
                <c:pt idx="16">
                  <c:v>100000</c:v>
                </c:pt>
                <c:pt idx="17">
                  <c:v>150000</c:v>
                </c:pt>
                <c:pt idx="18">
                  <c:v>200000</c:v>
                </c:pt>
                <c:pt idx="19">
                  <c:v>250000</c:v>
                </c:pt>
              </c:numCache>
            </c:numRef>
          </c:xVal>
          <c:yVal>
            <c:numRef>
              <c:f>'Single Filing CR Projections'!$D$30:$W$30</c:f>
              <c:numCache>
                <c:formatCode>General</c:formatCode>
                <c:ptCount val="20"/>
                <c:pt idx="0">
                  <c:v>5140000</c:v>
                </c:pt>
                <c:pt idx="1">
                  <c:v>2570000</c:v>
                </c:pt>
                <c:pt idx="2">
                  <c:v>1713333.3333333335</c:v>
                </c:pt>
                <c:pt idx="3">
                  <c:v>1285000</c:v>
                </c:pt>
                <c:pt idx="4">
                  <c:v>1028000</c:v>
                </c:pt>
                <c:pt idx="5">
                  <c:v>514000</c:v>
                </c:pt>
                <c:pt idx="6">
                  <c:v>467272.72727272729</c:v>
                </c:pt>
                <c:pt idx="7">
                  <c:v>428333.33333333337</c:v>
                </c:pt>
                <c:pt idx="8">
                  <c:v>395384.61538461538</c:v>
                </c:pt>
                <c:pt idx="9">
                  <c:v>367142.85714285716</c:v>
                </c:pt>
                <c:pt idx="10">
                  <c:v>342666.66666666669</c:v>
                </c:pt>
                <c:pt idx="11">
                  <c:v>257000</c:v>
                </c:pt>
                <c:pt idx="12">
                  <c:v>171333.33333333334</c:v>
                </c:pt>
                <c:pt idx="13">
                  <c:v>128500</c:v>
                </c:pt>
                <c:pt idx="14">
                  <c:v>102800</c:v>
                </c:pt>
                <c:pt idx="15">
                  <c:v>68533.333333333343</c:v>
                </c:pt>
                <c:pt idx="16">
                  <c:v>51400</c:v>
                </c:pt>
                <c:pt idx="17">
                  <c:v>34266.666666666672</c:v>
                </c:pt>
                <c:pt idx="18">
                  <c:v>25700</c:v>
                </c:pt>
                <c:pt idx="19">
                  <c:v>20560</c:v>
                </c:pt>
              </c:numCache>
            </c:numRef>
          </c:yVal>
          <c:smooth val="1"/>
          <c:extLst xmlns:c16r2="http://schemas.microsoft.com/office/drawing/2015/06/chart">
            <c:ext xmlns:c16="http://schemas.microsoft.com/office/drawing/2014/chart" uri="{C3380CC4-5D6E-409C-BE32-E72D297353CC}">
              <c16:uniqueId val="{00000000-1563-46C1-8580-57147D053BDE}"/>
            </c:ext>
          </c:extLst>
        </c:ser>
        <c:dLbls>
          <c:showLegendKey val="0"/>
          <c:showVal val="0"/>
          <c:showCatName val="0"/>
          <c:showSerName val="0"/>
          <c:showPercent val="0"/>
          <c:showBubbleSize val="0"/>
        </c:dLbls>
        <c:axId val="468693728"/>
        <c:axId val="470673952"/>
      </c:scatterChart>
      <c:valAx>
        <c:axId val="468693728"/>
        <c:scaling>
          <c:orientation val="minMax"/>
          <c:max val="250000"/>
        </c:scaling>
        <c:delete val="0"/>
        <c:axPos val="b"/>
        <c:title>
          <c:tx>
            <c:rich>
              <a:bodyPr/>
              <a:lstStyle/>
              <a:p>
                <a:pPr>
                  <a:defRPr/>
                </a:pPr>
                <a:r>
                  <a:rPr lang="en-US"/>
                  <a:t>Breakpoint number</a:t>
                </a:r>
                <a:r>
                  <a:rPr lang="en-US" baseline="0"/>
                  <a:t> of units</a:t>
                </a:r>
                <a:endParaRPr lang="en-US"/>
              </a:p>
            </c:rich>
          </c:tx>
          <c:layout/>
          <c:overlay val="0"/>
        </c:title>
        <c:numFmt formatCode="General" sourceLinked="1"/>
        <c:majorTickMark val="out"/>
        <c:minorTickMark val="none"/>
        <c:tickLblPos val="nextTo"/>
        <c:crossAx val="470673952"/>
        <c:crosses val="autoZero"/>
        <c:crossBetween val="midCat"/>
      </c:valAx>
      <c:valAx>
        <c:axId val="470673952"/>
        <c:scaling>
          <c:orientation val="minMax"/>
          <c:max val="6000000"/>
        </c:scaling>
        <c:delete val="0"/>
        <c:axPos val="l"/>
        <c:majorGridlines/>
        <c:title>
          <c:tx>
            <c:rich>
              <a:bodyPr rot="-5400000" vert="horz"/>
              <a:lstStyle/>
              <a:p>
                <a:pPr>
                  <a:defRPr/>
                </a:pPr>
                <a:r>
                  <a:rPr lang="en-US"/>
                  <a:t>Cost Recovery, CHF</a:t>
                </a:r>
              </a:p>
            </c:rich>
          </c:tx>
          <c:layout/>
          <c:overlay val="0"/>
        </c:title>
        <c:numFmt formatCode="General" sourceLinked="1"/>
        <c:majorTickMark val="out"/>
        <c:minorTickMark val="none"/>
        <c:tickLblPos val="nextTo"/>
        <c:crossAx val="46869372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65DFD-500B-4376-ACFE-90008E32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1838</Words>
  <Characters>8947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CWG-FHR</vt:lpstr>
    </vt:vector>
  </TitlesOfParts>
  <Company/>
  <LinksUpToDate>false</LinksUpToDate>
  <CharactersWithSpaces>10764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EG-D482-1/2</dc:title>
  <dc:subject>Council Working Group on Financial and Human Resources</dc:subject>
  <dc:creator>author</dc:creator>
  <cp:keywords>C18</cp:keywords>
  <cp:lastModifiedBy>Janin</cp:lastModifiedBy>
  <cp:revision>4</cp:revision>
  <cp:lastPrinted>2016-04-12T13:05:00Z</cp:lastPrinted>
  <dcterms:created xsi:type="dcterms:W3CDTF">2018-09-17T06:16:00Z</dcterms:created>
  <dcterms:modified xsi:type="dcterms:W3CDTF">2018-09-17T06:20:00Z</dcterms:modified>
</cp:coreProperties>
</file>