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066C6B">
            <w:pPr>
              <w:jc w:val="left"/>
              <w:rPr>
                <w:rFonts w:ascii="Verdana Bold" w:hAnsi="Verdana Bold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</w:t>
            </w:r>
            <w:r w:rsidR="00253E92">
              <w:rPr>
                <w:b/>
                <w:bCs/>
                <w:sz w:val="28"/>
                <w:szCs w:val="40"/>
              </w:rPr>
              <w:t>8</w:t>
            </w:r>
            <w:r w:rsidRPr="00202773">
              <w:rPr>
                <w:b/>
                <w:bCs/>
                <w:sz w:val="28"/>
                <w:szCs w:val="40"/>
              </w:rPr>
              <w:t>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="00253E92" w:rsidRPr="00253E92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دبي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</w:t>
            </w:r>
            <w:r w:rsidR="00253E92">
              <w:rPr>
                <w:b/>
                <w:bCs/>
                <w:sz w:val="24"/>
                <w:szCs w:val="32"/>
              </w:rPr>
              <w:t>9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="00253E92">
              <w:rPr>
                <w:b/>
                <w:bCs/>
                <w:sz w:val="24"/>
                <w:szCs w:val="32"/>
              </w:rPr>
              <w:t>16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</w:t>
            </w:r>
            <w:r w:rsidR="00253E92"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066C6B" w:rsidRPr="009F279B" w:rsidTr="00400692">
        <w:trPr>
          <w:cantSplit/>
        </w:trPr>
        <w:tc>
          <w:tcPr>
            <w:tcW w:w="6619" w:type="dxa"/>
          </w:tcPr>
          <w:p w:rsidR="00066C6B" w:rsidRPr="00066C6B" w:rsidRDefault="00066C6B" w:rsidP="00066C6B">
            <w:pPr>
              <w:spacing w:before="20" w:after="20" w:line="300" w:lineRule="exact"/>
              <w:rPr>
                <w:b/>
                <w:bCs/>
                <w:rtl/>
              </w:rPr>
            </w:pPr>
            <w:r w:rsidRPr="00066C6B">
              <w:rPr>
                <w:rFonts w:hint="cs"/>
                <w:b/>
                <w:bCs/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066C6B" w:rsidRPr="001100B7" w:rsidRDefault="00066C6B" w:rsidP="00066C6B">
            <w:pPr>
              <w:spacing w:before="20" w:after="20" w:line="300" w:lineRule="exact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الإضافة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rtl/>
                <w:lang w:val="en-US"/>
              </w:rPr>
              <w:br/>
            </w:r>
            <w:r>
              <w:rPr>
                <w:rFonts w:hint="cs"/>
                <w:b/>
                <w:bCs/>
                <w:rtl/>
                <w:lang w:val="en-US"/>
              </w:rPr>
              <w:t>ل</w:t>
            </w:r>
            <w:r w:rsidRPr="001100B7">
              <w:rPr>
                <w:b/>
                <w:bCs/>
                <w:rtl/>
              </w:rPr>
              <w:t>لوثيقة</w:t>
            </w:r>
            <w:r w:rsidRPr="001100B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lang w:bidi="ar-SY"/>
              </w:rPr>
              <w:t>18</w:t>
            </w:r>
            <w:r w:rsidRPr="001100B7">
              <w:rPr>
                <w:b/>
                <w:bCs/>
                <w:lang w:bidi="ar-SY"/>
              </w:rPr>
              <w:t>-A</w:t>
            </w:r>
          </w:p>
        </w:tc>
      </w:tr>
      <w:tr w:rsidR="00066C6B" w:rsidRPr="009F279B" w:rsidTr="00400692">
        <w:trPr>
          <w:cantSplit/>
        </w:trPr>
        <w:tc>
          <w:tcPr>
            <w:tcW w:w="6619" w:type="dxa"/>
          </w:tcPr>
          <w:p w:rsidR="00066C6B" w:rsidRPr="001100B7" w:rsidRDefault="00066C6B" w:rsidP="00066C6B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066C6B" w:rsidRPr="001100B7" w:rsidRDefault="00066C6B" w:rsidP="00066C6B">
            <w:pPr>
              <w:spacing w:before="20" w:after="20" w:line="300" w:lineRule="exact"/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lang w:bidi="ar-SY"/>
              </w:rPr>
              <w:t>12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أكتوبر </w:t>
            </w:r>
            <w:r>
              <w:rPr>
                <w:b/>
                <w:bCs/>
                <w:lang w:bidi="ar-SY"/>
              </w:rPr>
              <w:t>2018</w:t>
            </w:r>
          </w:p>
        </w:tc>
      </w:tr>
      <w:tr w:rsidR="00066C6B" w:rsidRPr="009F279B" w:rsidTr="00400692">
        <w:trPr>
          <w:cantSplit/>
        </w:trPr>
        <w:tc>
          <w:tcPr>
            <w:tcW w:w="6619" w:type="dxa"/>
          </w:tcPr>
          <w:p w:rsidR="00066C6B" w:rsidRPr="001100B7" w:rsidRDefault="00066C6B" w:rsidP="00066C6B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066C6B" w:rsidRPr="001100B7" w:rsidRDefault="00066C6B" w:rsidP="00066C6B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</w:rPr>
              <w:t>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C061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/>
                <w:b/>
                <w:bCs/>
                <w:sz w:val="24"/>
                <w:szCs w:val="32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71582E">
            <w:pPr>
              <w:pStyle w:val="Source"/>
              <w:rPr>
                <w:snapToGrid w:val="0"/>
                <w:rtl/>
              </w:rPr>
            </w:pPr>
            <w:r w:rsidRPr="009F279B">
              <w:rPr>
                <w:snapToGrid w:val="0"/>
                <w:rtl/>
              </w:rPr>
              <w:t>الولايات المتحدة الأمريكية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71582E" w:rsidRDefault="009F279B" w:rsidP="0071582E">
            <w:pPr>
              <w:pStyle w:val="Title1"/>
              <w:framePr w:hSpace="0" w:wrap="auto" w:hAnchor="text" w:yAlign="inline"/>
              <w:rPr>
                <w:rtl/>
              </w:rPr>
            </w:pPr>
            <w:r w:rsidRPr="0071582E">
              <w:rPr>
                <w:rtl/>
              </w:rPr>
              <w:t>مقترحات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422F54" w:rsidP="0071582E">
            <w:pPr>
              <w:pStyle w:val="Title2"/>
              <w:rPr>
                <w:w w:val="110"/>
                <w:rtl/>
              </w:rPr>
            </w:pPr>
            <w:r>
              <w:rPr>
                <w:rFonts w:hint="cs"/>
                <w:w w:val="110"/>
                <w:rtl/>
                <w:lang w:bidi="ar-EG"/>
              </w:rPr>
              <w:t>الإعلان عن</w:t>
            </w:r>
            <w:r w:rsidR="00D44454">
              <w:rPr>
                <w:rFonts w:hint="cs"/>
                <w:w w:val="110"/>
                <w:rtl/>
                <w:lang w:bidi="ar-EG"/>
              </w:rPr>
              <w:t xml:space="preserve"> </w:t>
            </w:r>
            <w:r w:rsidR="00AD201C" w:rsidRPr="00AD201C">
              <w:rPr>
                <w:w w:val="110"/>
                <w:rtl/>
                <w:lang w:bidi="ar-EG"/>
              </w:rPr>
              <w:t>ا</w:t>
            </w:r>
            <w:r w:rsidR="00AD201C">
              <w:rPr>
                <w:rFonts w:hint="cs"/>
                <w:w w:val="110"/>
                <w:rtl/>
                <w:lang w:bidi="ar-SY"/>
              </w:rPr>
              <w:t>لا</w:t>
            </w:r>
            <w:proofErr w:type="spellStart"/>
            <w:r w:rsidR="00AD201C" w:rsidRPr="00AD201C">
              <w:rPr>
                <w:w w:val="110"/>
                <w:rtl/>
                <w:lang w:bidi="ar-EG"/>
              </w:rPr>
              <w:t>ختيار</w:t>
            </w:r>
            <w:proofErr w:type="spellEnd"/>
            <w:r w:rsidR="00AD201C">
              <w:rPr>
                <w:rFonts w:hint="cs"/>
                <w:w w:val="110"/>
                <w:rtl/>
                <w:lang w:bidi="ar-EG"/>
              </w:rPr>
              <w:t xml:space="preserve"> النهائي</w:t>
            </w:r>
            <w:r w:rsidR="00AD201C" w:rsidRPr="00AD201C">
              <w:rPr>
                <w:w w:val="110"/>
                <w:rtl/>
                <w:lang w:bidi="ar-EG"/>
              </w:rPr>
              <w:t xml:space="preserve"> </w:t>
            </w:r>
            <w:r w:rsidR="00AD201C" w:rsidRPr="00422F54">
              <w:rPr>
                <w:rFonts w:hint="cs"/>
                <w:w w:val="110"/>
                <w:rtl/>
                <w:lang w:bidi="ar-EG"/>
              </w:rPr>
              <w:t>ل</w:t>
            </w:r>
            <w:r w:rsidR="00D44454" w:rsidRPr="00422F54">
              <w:rPr>
                <w:w w:val="110"/>
                <w:rtl/>
                <w:lang w:bidi="ar-EG"/>
              </w:rPr>
              <w:t>فئ</w:t>
            </w:r>
            <w:r w:rsidR="00D44454" w:rsidRPr="00422F54">
              <w:rPr>
                <w:rFonts w:hint="cs"/>
                <w:w w:val="110"/>
                <w:rtl/>
                <w:lang w:bidi="ar-EG"/>
              </w:rPr>
              <w:t>ات</w:t>
            </w:r>
            <w:r w:rsidR="00AD201C" w:rsidRPr="00AD201C">
              <w:rPr>
                <w:w w:val="110"/>
                <w:rtl/>
                <w:lang w:bidi="ar-EG"/>
              </w:rPr>
              <w:t xml:space="preserve"> </w:t>
            </w:r>
            <w:proofErr w:type="spellStart"/>
            <w:r w:rsidR="00AD201C" w:rsidRPr="00AD201C">
              <w:rPr>
                <w:w w:val="110"/>
                <w:rtl/>
                <w:lang w:bidi="ar-EG"/>
              </w:rPr>
              <w:t>ال‍مساه‍مة</w:t>
            </w:r>
            <w:proofErr w:type="spellEnd"/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253E92">
            <w:pPr>
              <w:pStyle w:val="Agendaitem"/>
            </w:pPr>
          </w:p>
        </w:tc>
      </w:tr>
    </w:tbl>
    <w:p w:rsidR="00066C6B" w:rsidRPr="00670934" w:rsidRDefault="00066C6B" w:rsidP="00066C6B">
      <w:pPr>
        <w:pStyle w:val="Heading1"/>
        <w:rPr>
          <w:rtl/>
        </w:rPr>
      </w:pPr>
      <w:r w:rsidRPr="00670934">
        <w:rPr>
          <w:rtl/>
        </w:rPr>
        <w:t>مقدمة</w:t>
      </w:r>
    </w:p>
    <w:p w:rsidR="00066C6B" w:rsidRPr="00D44454" w:rsidRDefault="00FD2118" w:rsidP="00D44454">
      <w:pPr>
        <w:rPr>
          <w:rtl/>
        </w:rPr>
      </w:pPr>
      <w:r w:rsidRPr="00D44454">
        <w:rPr>
          <w:rtl/>
        </w:rPr>
        <w:t>جرت في دور</w:t>
      </w:r>
      <w:r w:rsidRPr="00D44454">
        <w:rPr>
          <w:rFonts w:hint="cs"/>
          <w:rtl/>
          <w:lang w:bidi="ar-SY"/>
        </w:rPr>
        <w:t>ات</w:t>
      </w:r>
      <w:r w:rsidR="00066C6B" w:rsidRPr="00D44454">
        <w:rPr>
          <w:rtl/>
        </w:rPr>
        <w:t xml:space="preserve"> المجلس </w:t>
      </w:r>
      <w:r w:rsidR="00066C6B" w:rsidRPr="00D44454">
        <w:rPr>
          <w:rFonts w:hint="cs"/>
          <w:rtl/>
        </w:rPr>
        <w:t>للفترة</w:t>
      </w:r>
      <w:r w:rsidR="00066C6B" w:rsidRPr="00D44454">
        <w:rPr>
          <w:rtl/>
        </w:rPr>
        <w:t xml:space="preserve"> </w:t>
      </w:r>
      <w:r w:rsidR="00066C6B" w:rsidRPr="00D44454">
        <w:t>2018-2015</w:t>
      </w:r>
      <w:r w:rsidR="00066C6B" w:rsidRPr="00D44454">
        <w:rPr>
          <w:rFonts w:hint="cs"/>
          <w:rtl/>
        </w:rPr>
        <w:t xml:space="preserve"> </w:t>
      </w:r>
      <w:r w:rsidR="00066C6B" w:rsidRPr="00D44454">
        <w:rPr>
          <w:rtl/>
        </w:rPr>
        <w:t xml:space="preserve">مناقشة عدد من الوثائق بشأن السبل الممكنة لتحسين </w:t>
      </w:r>
      <w:r w:rsidR="00066C6B" w:rsidRPr="00D44454">
        <w:rPr>
          <w:color w:val="000000" w:themeColor="text1"/>
          <w:rtl/>
        </w:rPr>
        <w:t>تنظيم</w:t>
      </w:r>
      <w:r w:rsidR="00066C6B" w:rsidRPr="00D44454">
        <w:rPr>
          <w:rtl/>
        </w:rPr>
        <w:t xml:space="preserve"> مؤتمر المندوبين المفوضين</w:t>
      </w:r>
      <w:r w:rsidR="00066C6B" w:rsidRPr="00D44454">
        <w:rPr>
          <w:rFonts w:hint="cs"/>
          <w:rtl/>
        </w:rPr>
        <w:t> </w:t>
      </w:r>
      <w:r w:rsidR="00066C6B" w:rsidRPr="00D44454">
        <w:rPr>
          <w:lang w:val="en-US"/>
        </w:rPr>
        <w:t>(PP)</w:t>
      </w:r>
      <w:r w:rsidR="00066C6B" w:rsidRPr="00D44454">
        <w:rPr>
          <w:rtl/>
        </w:rPr>
        <w:t xml:space="preserve">. وأحد المقترحات التي نظر فيها المجلس كان المقترح بشأن ضمان أن يعتمد مؤتمر المندوبين المفوضين </w:t>
      </w:r>
      <w:r w:rsidR="00A23F5F" w:rsidRPr="00D44454">
        <w:rPr>
          <w:rFonts w:hint="cs"/>
          <w:rtl/>
        </w:rPr>
        <w:t>لعام</w:t>
      </w:r>
      <w:r w:rsidR="00D44454" w:rsidRPr="00D44454">
        <w:rPr>
          <w:rFonts w:hint="eastAsia"/>
          <w:rtl/>
        </w:rPr>
        <w:t> </w:t>
      </w:r>
      <w:r w:rsidR="00A23F5F" w:rsidRPr="00D44454">
        <w:rPr>
          <w:lang w:val="en-US"/>
        </w:rPr>
        <w:t>2018</w:t>
      </w:r>
      <w:r w:rsidR="00A23F5F" w:rsidRPr="00D44454">
        <w:rPr>
          <w:rFonts w:hint="cs"/>
          <w:rtl/>
          <w:lang w:val="en-US" w:bidi="ar-SY"/>
        </w:rPr>
        <w:t xml:space="preserve"> </w:t>
      </w:r>
      <w:r w:rsidR="00066C6B" w:rsidRPr="00D44454">
        <w:rPr>
          <w:rtl/>
        </w:rPr>
        <w:t>خطة استراتيجية واقعية وميزانية الاتحاد والحدود المالية</w:t>
      </w:r>
      <w:r w:rsidR="00A23F5F" w:rsidRPr="00D44454">
        <w:rPr>
          <w:rFonts w:hint="cs"/>
          <w:rtl/>
        </w:rPr>
        <w:t xml:space="preserve"> للاتحاد</w:t>
      </w:r>
      <w:r w:rsidR="00066C6B" w:rsidRPr="00D44454">
        <w:rPr>
          <w:rtl/>
        </w:rPr>
        <w:t xml:space="preserve"> للفترة </w:t>
      </w:r>
      <w:r w:rsidR="00066C6B" w:rsidRPr="00D44454">
        <w:t>2023-2020</w:t>
      </w:r>
      <w:r w:rsidR="00066C6B" w:rsidRPr="00D44454">
        <w:rPr>
          <w:rtl/>
        </w:rPr>
        <w:t>. وتتوافق هذه المقترحات مع أحكام المادة</w:t>
      </w:r>
      <w:r w:rsidR="00D44454" w:rsidRPr="00D44454">
        <w:rPr>
          <w:rFonts w:hint="cs"/>
          <w:rtl/>
        </w:rPr>
        <w:t> </w:t>
      </w:r>
      <w:r w:rsidR="00066C6B" w:rsidRPr="00D44454">
        <w:t>8</w:t>
      </w:r>
      <w:r w:rsidR="00066C6B" w:rsidRPr="00D44454">
        <w:rPr>
          <w:rtl/>
        </w:rPr>
        <w:t xml:space="preserve"> </w:t>
      </w:r>
      <w:r w:rsidR="00066C6B" w:rsidRPr="00D44454">
        <w:rPr>
          <w:rFonts w:hint="cs"/>
          <w:rtl/>
        </w:rPr>
        <w:t xml:space="preserve">من </w:t>
      </w:r>
      <w:r w:rsidR="00066C6B" w:rsidRPr="00D44454">
        <w:rPr>
          <w:rtl/>
        </w:rPr>
        <w:t xml:space="preserve">دستور الاتحاد مع </w:t>
      </w:r>
      <w:r w:rsidR="00066C6B" w:rsidRPr="00D44454">
        <w:rPr>
          <w:rFonts w:hint="cs"/>
          <w:rtl/>
        </w:rPr>
        <w:t>مراعاة الممارسة المتبعة في</w:t>
      </w:r>
      <w:r w:rsidR="00066C6B" w:rsidRPr="00D44454">
        <w:rPr>
          <w:rtl/>
        </w:rPr>
        <w:t xml:space="preserve"> عدد من مؤتمرات </w:t>
      </w:r>
      <w:r w:rsidR="00066C6B" w:rsidRPr="00D44454">
        <w:rPr>
          <w:rFonts w:hint="cs"/>
          <w:rtl/>
        </w:rPr>
        <w:t xml:space="preserve">الاتحاد </w:t>
      </w:r>
      <w:r w:rsidR="00066C6B" w:rsidRPr="00D44454">
        <w:rPr>
          <w:rtl/>
        </w:rPr>
        <w:t>السابقة للمندوبين المفوضين.</w:t>
      </w:r>
    </w:p>
    <w:p w:rsidR="00066C6B" w:rsidRPr="00D44454" w:rsidRDefault="00066C6B" w:rsidP="00D44454">
      <w:pPr>
        <w:rPr>
          <w:rtl/>
        </w:rPr>
      </w:pPr>
      <w:r w:rsidRPr="00D44454">
        <w:rPr>
          <w:rtl/>
        </w:rPr>
        <w:t>وجد</w:t>
      </w:r>
      <w:r w:rsidRPr="00D44454">
        <w:rPr>
          <w:rFonts w:hint="cs"/>
          <w:rtl/>
        </w:rPr>
        <w:t>ي</w:t>
      </w:r>
      <w:r w:rsidRPr="00D44454">
        <w:rPr>
          <w:rtl/>
        </w:rPr>
        <w:t xml:space="preserve">ر </w:t>
      </w:r>
      <w:r w:rsidRPr="00D44454">
        <w:rPr>
          <w:rFonts w:hint="cs"/>
          <w:rtl/>
        </w:rPr>
        <w:t>ب</w:t>
      </w:r>
      <w:r w:rsidRPr="00D44454">
        <w:rPr>
          <w:rtl/>
        </w:rPr>
        <w:t>الإشارة</w:t>
      </w:r>
      <w:r w:rsidRPr="00D44454">
        <w:rPr>
          <w:rFonts w:hint="cs"/>
          <w:rtl/>
        </w:rPr>
        <w:t xml:space="preserve"> </w:t>
      </w:r>
      <w:r w:rsidRPr="00D44454">
        <w:rPr>
          <w:rtl/>
        </w:rPr>
        <w:t xml:space="preserve">أنه، اعتباراً من مؤتمر المندوبين المفوضين لعام </w:t>
      </w:r>
      <w:r w:rsidRPr="00D44454">
        <w:t>2002</w:t>
      </w:r>
      <w:r w:rsidRPr="00D44454">
        <w:rPr>
          <w:rtl/>
        </w:rPr>
        <w:t xml:space="preserve"> في مراكش، </w:t>
      </w:r>
      <w:r w:rsidRPr="00D44454">
        <w:rPr>
          <w:rFonts w:hint="cs"/>
          <w:rtl/>
        </w:rPr>
        <w:t xml:space="preserve">ظل مبلغ </w:t>
      </w:r>
      <w:r w:rsidRPr="00D44454">
        <w:rPr>
          <w:rtl/>
        </w:rPr>
        <w:t xml:space="preserve">وحدة المساهمة على حاله. </w:t>
      </w:r>
      <w:r w:rsidRPr="00D44454">
        <w:rPr>
          <w:rFonts w:hint="cs"/>
          <w:rtl/>
        </w:rPr>
        <w:t>و</w:t>
      </w:r>
      <w:r w:rsidRPr="00D44454">
        <w:rPr>
          <w:rtl/>
        </w:rPr>
        <w:t>إضافة</w:t>
      </w:r>
      <w:r w:rsidRPr="00D44454">
        <w:rPr>
          <w:rFonts w:hint="cs"/>
          <w:rtl/>
        </w:rPr>
        <w:t>ً</w:t>
      </w:r>
      <w:r w:rsidRPr="00D44454">
        <w:rPr>
          <w:rtl/>
        </w:rPr>
        <w:t xml:space="preserve"> إلى ذلك، </w:t>
      </w:r>
      <w:r w:rsidRPr="00D44454">
        <w:rPr>
          <w:rFonts w:hint="cs"/>
          <w:rtl/>
        </w:rPr>
        <w:t>لم تُستعرض الوحدة</w:t>
      </w:r>
      <w:r w:rsidRPr="00D44454">
        <w:rPr>
          <w:rtl/>
        </w:rPr>
        <w:t xml:space="preserve"> منذ أن أعلنت الدول الأعضاء في الاتحاد </w:t>
      </w:r>
      <w:r w:rsidRPr="00D44454">
        <w:rPr>
          <w:rFonts w:hint="cs"/>
          <w:rtl/>
        </w:rPr>
        <w:t>اختيارها النهائي</w:t>
      </w:r>
      <w:r w:rsidRPr="00D44454">
        <w:rPr>
          <w:rtl/>
        </w:rPr>
        <w:t xml:space="preserve"> </w:t>
      </w:r>
      <w:r w:rsidRPr="00D44454">
        <w:rPr>
          <w:rFonts w:hint="cs"/>
          <w:rtl/>
        </w:rPr>
        <w:t>ل</w:t>
      </w:r>
      <w:r w:rsidRPr="00D44454">
        <w:rPr>
          <w:rtl/>
        </w:rPr>
        <w:t>فئة المساهمة. وإذا طبقت الممارسة الم</w:t>
      </w:r>
      <w:r w:rsidRPr="00D44454">
        <w:rPr>
          <w:rFonts w:hint="cs"/>
          <w:rtl/>
        </w:rPr>
        <w:t>تبع</w:t>
      </w:r>
      <w:r w:rsidRPr="00D44454">
        <w:rPr>
          <w:rtl/>
        </w:rPr>
        <w:t>ة سابقا</w:t>
      </w:r>
      <w:r w:rsidRPr="00D44454">
        <w:rPr>
          <w:rFonts w:hint="cs"/>
          <w:rtl/>
        </w:rPr>
        <w:t>ً</w:t>
      </w:r>
      <w:r w:rsidRPr="00D44454">
        <w:rPr>
          <w:rtl/>
        </w:rPr>
        <w:t xml:space="preserve"> في</w:t>
      </w:r>
      <w:r w:rsidRPr="00D44454">
        <w:rPr>
          <w:rFonts w:hint="cs"/>
          <w:rtl/>
        </w:rPr>
        <w:t> </w:t>
      </w:r>
      <w:r w:rsidRPr="00D44454">
        <w:rPr>
          <w:rtl/>
        </w:rPr>
        <w:t>عدد من مؤتمرات المندوبين المفوضين</w:t>
      </w:r>
      <w:r w:rsidRPr="00D44454">
        <w:rPr>
          <w:rFonts w:hint="cs"/>
          <w:rtl/>
        </w:rPr>
        <w:t>، أي تحديد</w:t>
      </w:r>
      <w:r w:rsidRPr="00D44454">
        <w:rPr>
          <w:rtl/>
        </w:rPr>
        <w:t xml:space="preserve"> وضع مبلغ وحدة المساهمة في بداية مؤتمر المندوبين المفوضين</w:t>
      </w:r>
      <w:r w:rsidRPr="00D44454">
        <w:rPr>
          <w:rFonts w:hint="cs"/>
          <w:rtl/>
        </w:rPr>
        <w:t>،</w:t>
      </w:r>
      <w:r w:rsidRPr="00D44454">
        <w:rPr>
          <w:rtl/>
        </w:rPr>
        <w:t xml:space="preserve"> </w:t>
      </w:r>
      <w:r w:rsidR="00AD201C" w:rsidRPr="00D44454">
        <w:rPr>
          <w:rFonts w:hint="cs"/>
          <w:rtl/>
        </w:rPr>
        <w:t>فإن الجانب الوحيد من</w:t>
      </w:r>
      <w:r w:rsidRPr="00D44454">
        <w:rPr>
          <w:rtl/>
        </w:rPr>
        <w:t xml:space="preserve"> </w:t>
      </w:r>
      <w:r w:rsidRPr="00D44454">
        <w:rPr>
          <w:rFonts w:hint="cs"/>
          <w:rtl/>
        </w:rPr>
        <w:t>إجراء</w:t>
      </w:r>
      <w:r w:rsidRPr="00D44454">
        <w:rPr>
          <w:rtl/>
        </w:rPr>
        <w:t xml:space="preserve"> استعراض الحد الأعلى النهائي لمبلغ وحدة المساهمة</w:t>
      </w:r>
      <w:r w:rsidR="00AD201C" w:rsidRPr="00D44454">
        <w:rPr>
          <w:rFonts w:hint="cs"/>
          <w:rtl/>
        </w:rPr>
        <w:t xml:space="preserve"> الذي </w:t>
      </w:r>
      <w:r w:rsidR="00A23F5F" w:rsidRPr="00D44454">
        <w:rPr>
          <w:rFonts w:hint="cs"/>
          <w:rtl/>
        </w:rPr>
        <w:t>يلزم تطبيقه</w:t>
      </w:r>
      <w:r w:rsidR="00AD201C" w:rsidRPr="00D44454">
        <w:rPr>
          <w:rFonts w:hint="cs"/>
          <w:rtl/>
        </w:rPr>
        <w:t xml:space="preserve"> يتمثل في</w:t>
      </w:r>
      <w:r w:rsidRPr="00D44454">
        <w:rPr>
          <w:rtl/>
        </w:rPr>
        <w:t xml:space="preserve"> إقرار مبلغ وحدة المساهمة نهائياً في</w:t>
      </w:r>
      <w:r w:rsidR="00D44454">
        <w:rPr>
          <w:rFonts w:hint="cs"/>
          <w:rtl/>
        </w:rPr>
        <w:t> </w:t>
      </w:r>
      <w:r w:rsidRPr="00D44454">
        <w:rPr>
          <w:rtl/>
        </w:rPr>
        <w:t>اليوم الأول من عمل مؤتمر المندوبين المفوضين.</w:t>
      </w:r>
    </w:p>
    <w:p w:rsidR="00066C6B" w:rsidRPr="00D44454" w:rsidRDefault="00066C6B" w:rsidP="00D44454">
      <w:pPr>
        <w:rPr>
          <w:rtl/>
        </w:rPr>
      </w:pPr>
      <w:r w:rsidRPr="00D44454">
        <w:rPr>
          <w:rtl/>
        </w:rPr>
        <w:t>وفي هذه الحالة يمكن للدول الأعضاء بالفعل الإعلان عن فئة المساهمة التي اختارتها نهائياً في اليوم الثالث من مؤتمر المندوبين المفوضين لعام</w:t>
      </w:r>
      <w:r w:rsidR="00D44454">
        <w:rPr>
          <w:rFonts w:hint="cs"/>
          <w:rtl/>
        </w:rPr>
        <w:t> </w:t>
      </w:r>
      <w:r w:rsidRPr="00D44454">
        <w:t>2018</w:t>
      </w:r>
      <w:r w:rsidRPr="00D44454">
        <w:rPr>
          <w:rtl/>
        </w:rPr>
        <w:t xml:space="preserve"> </w:t>
      </w:r>
      <w:r w:rsidRPr="00D44454">
        <w:rPr>
          <w:rFonts w:hint="cs"/>
          <w:rtl/>
        </w:rPr>
        <w:t>طبقاً للرقم</w:t>
      </w:r>
      <w:r w:rsidRPr="00D44454">
        <w:rPr>
          <w:rtl/>
        </w:rPr>
        <w:t xml:space="preserve"> </w:t>
      </w:r>
      <w:r w:rsidRPr="00D44454">
        <w:t>161E</w:t>
      </w:r>
      <w:r w:rsidRPr="00D44454">
        <w:rPr>
          <w:rtl/>
        </w:rPr>
        <w:t xml:space="preserve"> من الدستور.</w:t>
      </w:r>
    </w:p>
    <w:p w:rsidR="00066C6B" w:rsidRDefault="00066C6B" w:rsidP="00066C6B">
      <w:pPr>
        <w:rPr>
          <w:highlight w:val="yellow"/>
          <w:rtl/>
        </w:rPr>
      </w:pPr>
      <w:r>
        <w:rPr>
          <w:highlight w:val="yellow"/>
          <w:rtl/>
        </w:rPr>
        <w:br w:type="page"/>
      </w:r>
    </w:p>
    <w:p w:rsidR="00066C6B" w:rsidRPr="00670934" w:rsidRDefault="00066C6B" w:rsidP="00575ABF">
      <w:pPr>
        <w:pStyle w:val="Headingb"/>
        <w:rPr>
          <w:rtl/>
        </w:rPr>
      </w:pPr>
      <w:r w:rsidRPr="00670934">
        <w:rPr>
          <w:rtl/>
        </w:rPr>
        <w:lastRenderedPageBreak/>
        <w:t>المقترحات</w:t>
      </w:r>
      <w:bookmarkStart w:id="1" w:name="_GoBack"/>
      <w:bookmarkEnd w:id="1"/>
    </w:p>
    <w:p w:rsidR="00ED2556" w:rsidRDefault="00066C6B">
      <w:pPr>
        <w:pStyle w:val="Proposal"/>
      </w:pPr>
      <w:r>
        <w:tab/>
        <w:t>USA/18A2/1</w:t>
      </w:r>
    </w:p>
    <w:p w:rsidR="00066C6B" w:rsidRPr="00A23F5F" w:rsidRDefault="00066C6B" w:rsidP="00AD201C">
      <w:pPr>
        <w:rPr>
          <w:rtl/>
        </w:rPr>
      </w:pPr>
      <w:r w:rsidRPr="00A23F5F">
        <w:rPr>
          <w:rFonts w:hint="cs"/>
          <w:rtl/>
        </w:rPr>
        <w:t>بغية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ضمان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وضع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خطة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استراتيجية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واقعية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وأساس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ميزانية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الاتحاد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والحدود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المالية</w:t>
      </w:r>
      <w:r w:rsidRPr="00A23F5F">
        <w:rPr>
          <w:rtl/>
        </w:rPr>
        <w:t xml:space="preserve"> </w:t>
      </w:r>
      <w:r w:rsidR="00A23F5F">
        <w:rPr>
          <w:rFonts w:hint="cs"/>
          <w:rtl/>
        </w:rPr>
        <w:t xml:space="preserve">للاتحاد </w:t>
      </w:r>
      <w:r w:rsidRPr="00A23F5F">
        <w:rPr>
          <w:rFonts w:hint="cs"/>
          <w:rtl/>
        </w:rPr>
        <w:t>للفترة</w:t>
      </w:r>
      <w:r w:rsidRPr="00A23F5F">
        <w:rPr>
          <w:rtl/>
        </w:rPr>
        <w:t xml:space="preserve"> </w:t>
      </w:r>
      <w:r w:rsidRPr="00A23F5F">
        <w:t>2023-2020</w:t>
      </w:r>
      <w:r w:rsidRPr="00A23F5F">
        <w:rPr>
          <w:rFonts w:hint="cs"/>
          <w:rtl/>
        </w:rPr>
        <w:t>،</w:t>
      </w:r>
      <w:r w:rsidR="00AD201C" w:rsidRPr="00A23F5F">
        <w:rPr>
          <w:rtl/>
        </w:rPr>
        <w:t xml:space="preserve"> </w:t>
      </w:r>
      <w:r w:rsidR="00AD201C" w:rsidRPr="00A23F5F">
        <w:rPr>
          <w:rFonts w:hint="cs"/>
          <w:rtl/>
        </w:rPr>
        <w:t>تقترح</w:t>
      </w:r>
      <w:r w:rsidR="00AD201C" w:rsidRPr="00A23F5F">
        <w:rPr>
          <w:rtl/>
        </w:rPr>
        <w:t xml:space="preserve"> </w:t>
      </w:r>
      <w:r w:rsidR="00AD201C" w:rsidRPr="00A23F5F">
        <w:rPr>
          <w:rFonts w:hint="cs"/>
          <w:rtl/>
        </w:rPr>
        <w:t>الولايات</w:t>
      </w:r>
      <w:r w:rsidR="00AD201C" w:rsidRPr="00A23F5F">
        <w:rPr>
          <w:rtl/>
        </w:rPr>
        <w:t xml:space="preserve"> </w:t>
      </w:r>
      <w:r w:rsidR="00AD201C" w:rsidRPr="00A23F5F">
        <w:rPr>
          <w:rFonts w:hint="cs"/>
          <w:rtl/>
        </w:rPr>
        <w:t>المتحدة</w:t>
      </w:r>
      <w:r w:rsidR="00AD201C" w:rsidRPr="00A23F5F">
        <w:rPr>
          <w:rtl/>
        </w:rPr>
        <w:t xml:space="preserve"> </w:t>
      </w:r>
      <w:r w:rsidRPr="00A23F5F">
        <w:rPr>
          <w:rFonts w:hint="cs"/>
          <w:rtl/>
        </w:rPr>
        <w:t>أن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يقوم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مؤتمر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المندوبين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المفوضين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لعام</w:t>
      </w:r>
      <w:r w:rsidRPr="00A23F5F">
        <w:rPr>
          <w:rtl/>
        </w:rPr>
        <w:t xml:space="preserve"> </w:t>
      </w:r>
      <w:r w:rsidRPr="00A23F5F">
        <w:t>2018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بما</w:t>
      </w:r>
      <w:r w:rsidRPr="00A23F5F">
        <w:rPr>
          <w:rtl/>
        </w:rPr>
        <w:t xml:space="preserve"> </w:t>
      </w:r>
      <w:r w:rsidRPr="00A23F5F">
        <w:rPr>
          <w:rFonts w:hint="cs"/>
          <w:rtl/>
        </w:rPr>
        <w:t>يلي</w:t>
      </w:r>
      <w:r w:rsidRPr="00A23F5F">
        <w:rPr>
          <w:rtl/>
        </w:rPr>
        <w:t>:</w:t>
      </w:r>
    </w:p>
    <w:p w:rsidR="00066C6B" w:rsidRPr="00216DED" w:rsidRDefault="00066C6B" w:rsidP="00B96854">
      <w:pPr>
        <w:tabs>
          <w:tab w:val="clear" w:pos="567"/>
          <w:tab w:val="left" w:pos="848"/>
        </w:tabs>
        <w:rPr>
          <w:rtl/>
        </w:rPr>
      </w:pPr>
      <w:r w:rsidRPr="00216DED">
        <w:rPr>
          <w:rtl/>
        </w:rPr>
        <w:t> </w:t>
      </w:r>
      <w:proofErr w:type="gramStart"/>
      <w:r w:rsidRPr="00216DED">
        <w:rPr>
          <w:rtl/>
        </w:rPr>
        <w:t>أ )</w:t>
      </w:r>
      <w:proofErr w:type="gramEnd"/>
      <w:r w:rsidRPr="00216DED">
        <w:rPr>
          <w:rtl/>
        </w:rPr>
        <w:tab/>
      </w:r>
      <w:r w:rsidR="00AD201C" w:rsidRPr="00216DED">
        <w:rPr>
          <w:rFonts w:hint="cs"/>
          <w:rtl/>
        </w:rPr>
        <w:t xml:space="preserve">تحديد </w:t>
      </w:r>
      <w:r w:rsidRPr="00216DED">
        <w:rPr>
          <w:rtl/>
        </w:rPr>
        <w:t xml:space="preserve">الحد الأعلى </w:t>
      </w:r>
      <w:r w:rsidR="00093038" w:rsidRPr="00216DED">
        <w:rPr>
          <w:rFonts w:hint="cs"/>
          <w:rtl/>
        </w:rPr>
        <w:t>المؤقت</w:t>
      </w:r>
      <w:r w:rsidR="00093038" w:rsidRPr="00216DED">
        <w:rPr>
          <w:rtl/>
        </w:rPr>
        <w:t xml:space="preserve"> </w:t>
      </w:r>
      <w:r w:rsidRPr="00216DED">
        <w:rPr>
          <w:rtl/>
        </w:rPr>
        <w:t>لمقدار وحدة المساهمة</w:t>
      </w:r>
      <w:r w:rsidR="00093038" w:rsidRPr="00216DED">
        <w:rPr>
          <w:rFonts w:hint="cs"/>
          <w:rtl/>
        </w:rPr>
        <w:t xml:space="preserve"> (طبقاً للرقم </w:t>
      </w:r>
      <w:r w:rsidR="00093038" w:rsidRPr="00216DED">
        <w:t>161D</w:t>
      </w:r>
      <w:r w:rsidR="00093038" w:rsidRPr="00216DED">
        <w:rPr>
          <w:rFonts w:hint="cs"/>
          <w:rtl/>
        </w:rPr>
        <w:t xml:space="preserve"> من الدستور) وإقرار</w:t>
      </w:r>
      <w:r w:rsidR="00093038" w:rsidRPr="00216DED">
        <w:rPr>
          <w:rtl/>
        </w:rPr>
        <w:t xml:space="preserve"> الحد الأعلى</w:t>
      </w:r>
      <w:r w:rsidR="00093038" w:rsidRPr="00216DED">
        <w:rPr>
          <w:rFonts w:hint="cs"/>
          <w:rtl/>
        </w:rPr>
        <w:t xml:space="preserve"> النهائي له (طبقاً</w:t>
      </w:r>
      <w:r w:rsidR="00023A17">
        <w:rPr>
          <w:rFonts w:hint="eastAsia"/>
          <w:rtl/>
        </w:rPr>
        <w:t> </w:t>
      </w:r>
      <w:r w:rsidR="00093038" w:rsidRPr="00023A17">
        <w:rPr>
          <w:rFonts w:hint="cs"/>
          <w:rtl/>
        </w:rPr>
        <w:t>للرقم</w:t>
      </w:r>
      <w:r w:rsidR="00023A17">
        <w:rPr>
          <w:rFonts w:hint="eastAsia"/>
          <w:rtl/>
        </w:rPr>
        <w:t> </w:t>
      </w:r>
      <w:r w:rsidR="00093038" w:rsidRPr="00216DED">
        <w:t>161E</w:t>
      </w:r>
      <w:r w:rsidR="00093038" w:rsidRPr="00216DED">
        <w:rPr>
          <w:rFonts w:hint="cs"/>
          <w:rtl/>
        </w:rPr>
        <w:t xml:space="preserve"> من الدستور) البالغ </w:t>
      </w:r>
      <w:r w:rsidR="00093038" w:rsidRPr="00216DED">
        <w:t>318</w:t>
      </w:r>
      <w:r w:rsidR="00B96854">
        <w:t> </w:t>
      </w:r>
      <w:r w:rsidR="00093038" w:rsidRPr="00216DED">
        <w:t>000</w:t>
      </w:r>
      <w:r w:rsidR="00093038" w:rsidRPr="00216DED">
        <w:rPr>
          <w:rFonts w:hint="cs"/>
          <w:rtl/>
        </w:rPr>
        <w:t xml:space="preserve"> فرنك سويسري</w:t>
      </w:r>
      <w:r w:rsidRPr="00216DED">
        <w:rPr>
          <w:rtl/>
        </w:rPr>
        <w:t xml:space="preserve"> في أول يوم لمؤتمر المندوبين المفوضين لعام </w:t>
      </w:r>
      <w:r w:rsidRPr="00216DED">
        <w:rPr>
          <w:lang w:val="fr-CH"/>
        </w:rPr>
        <w:t>2018</w:t>
      </w:r>
      <w:r w:rsidRPr="00216DED">
        <w:rPr>
          <w:rtl/>
        </w:rPr>
        <w:t xml:space="preserve"> (على النحو الذي جرى في مؤتمر المندوبين المفوضين لعام </w:t>
      </w:r>
      <w:r w:rsidRPr="00216DED">
        <w:rPr>
          <w:lang w:val="fr-CH"/>
        </w:rPr>
        <w:t>2014</w:t>
      </w:r>
      <w:r w:rsidRPr="00216DED">
        <w:rPr>
          <w:rtl/>
        </w:rPr>
        <w:t>)؛</w:t>
      </w:r>
    </w:p>
    <w:p w:rsidR="00066C6B" w:rsidRPr="00216DED" w:rsidRDefault="00066C6B" w:rsidP="00023A17">
      <w:pPr>
        <w:tabs>
          <w:tab w:val="clear" w:pos="567"/>
          <w:tab w:val="left" w:pos="848"/>
        </w:tabs>
        <w:rPr>
          <w:rtl/>
        </w:rPr>
      </w:pPr>
      <w:r w:rsidRPr="00216DED">
        <w:rPr>
          <w:rtl/>
        </w:rPr>
        <w:t>ب)</w:t>
      </w:r>
      <w:r w:rsidRPr="00216DED">
        <w:rPr>
          <w:rtl/>
        </w:rPr>
        <w:tab/>
        <w:t xml:space="preserve">تحديد اليوم الثالث لمؤتمر </w:t>
      </w:r>
      <w:r w:rsidRPr="00216DED">
        <w:rPr>
          <w:rFonts w:hint="cs"/>
          <w:rtl/>
        </w:rPr>
        <w:t xml:space="preserve">المندوبين المفوضين </w:t>
      </w:r>
      <w:r w:rsidRPr="00216DED">
        <w:rPr>
          <w:rtl/>
        </w:rPr>
        <w:t>ليكون اليوم الذي تعلن فيه الدول الأعضاء في الاتحاد اختيارها النهائي لفئة</w:t>
      </w:r>
      <w:r w:rsidRPr="00216DED">
        <w:rPr>
          <w:rFonts w:hint="cs"/>
          <w:rtl/>
        </w:rPr>
        <w:t> </w:t>
      </w:r>
      <w:r w:rsidRPr="00216DED">
        <w:rPr>
          <w:rtl/>
        </w:rPr>
        <w:t>المساهمة</w:t>
      </w:r>
      <w:r w:rsidRPr="00216DED">
        <w:rPr>
          <w:rFonts w:hint="cs"/>
          <w:rtl/>
        </w:rPr>
        <w:t> (</w:t>
      </w:r>
      <w:r w:rsidR="00093038" w:rsidRPr="00216DED">
        <w:rPr>
          <w:rFonts w:hint="cs"/>
          <w:rtl/>
        </w:rPr>
        <w:t xml:space="preserve">طبقاً للرقم </w:t>
      </w:r>
      <w:r w:rsidRPr="00216DED">
        <w:t>161E</w:t>
      </w:r>
      <w:r w:rsidRPr="00216DED">
        <w:rPr>
          <w:rtl/>
        </w:rPr>
        <w:t xml:space="preserve"> من الدستور</w:t>
      </w:r>
      <w:r w:rsidRPr="00216DED">
        <w:rPr>
          <w:rFonts w:hint="cs"/>
          <w:rtl/>
        </w:rPr>
        <w:t>)</w:t>
      </w:r>
      <w:r w:rsidRPr="00216DED">
        <w:rPr>
          <w:rtl/>
        </w:rPr>
        <w:t>؛</w:t>
      </w:r>
    </w:p>
    <w:p w:rsidR="00066C6B" w:rsidRPr="00670934" w:rsidRDefault="00066C6B" w:rsidP="00B96854">
      <w:pPr>
        <w:tabs>
          <w:tab w:val="clear" w:pos="567"/>
          <w:tab w:val="left" w:pos="848"/>
        </w:tabs>
        <w:rPr>
          <w:rtl/>
        </w:rPr>
      </w:pPr>
      <w:proofErr w:type="gramStart"/>
      <w:r w:rsidRPr="00216DED">
        <w:rPr>
          <w:rtl/>
        </w:rPr>
        <w:t>ج)</w:t>
      </w:r>
      <w:r w:rsidRPr="00216DED">
        <w:rPr>
          <w:rtl/>
        </w:rPr>
        <w:tab/>
      </w:r>
      <w:proofErr w:type="gramEnd"/>
      <w:r w:rsidRPr="00216DED">
        <w:rPr>
          <w:rtl/>
        </w:rPr>
        <w:t xml:space="preserve">نشر فئات المساهمة التي اختارتها الدول الأعضاء في الاتحاد اختياراً نهائياً </w:t>
      </w:r>
      <w:r w:rsidR="00093038" w:rsidRPr="00216DED">
        <w:rPr>
          <w:rFonts w:hint="cs"/>
          <w:rtl/>
        </w:rPr>
        <w:t>مباشرةً بعد تنفيذ الفقرة</w:t>
      </w:r>
      <w:r w:rsidR="00B96854">
        <w:rPr>
          <w:rFonts w:hint="eastAsia"/>
          <w:rtl/>
        </w:rPr>
        <w:t> </w:t>
      </w:r>
      <w:r w:rsidR="00093038" w:rsidRPr="00216DED">
        <w:rPr>
          <w:rFonts w:hint="cs"/>
          <w:rtl/>
        </w:rPr>
        <w:t>ب) أعلاه</w:t>
      </w:r>
      <w:r w:rsidRPr="00216DED">
        <w:rPr>
          <w:rFonts w:hint="cs"/>
          <w:rtl/>
        </w:rPr>
        <w:t>.</w:t>
      </w:r>
    </w:p>
    <w:p w:rsidR="00093038" w:rsidRPr="00A23F5F" w:rsidRDefault="00066C6B" w:rsidP="00422F54">
      <w:pPr>
        <w:pStyle w:val="Reasons"/>
        <w:rPr>
          <w:rtl/>
        </w:rPr>
      </w:pPr>
      <w:proofErr w:type="gramStart"/>
      <w:r w:rsidRPr="00A23F5F">
        <w:rPr>
          <w:sz w:val="30"/>
          <w:rtl/>
        </w:rPr>
        <w:t>الأسباب:</w:t>
      </w:r>
      <w:r w:rsidRPr="00216DED">
        <w:tab/>
      </w:r>
      <w:proofErr w:type="gramEnd"/>
      <w:r w:rsidR="00093038" w:rsidRPr="00F35259">
        <w:rPr>
          <w:b w:val="0"/>
          <w:bCs w:val="0"/>
          <w:rtl/>
        </w:rPr>
        <w:t>إقرار الحد الأعلى النهائي لمقدار وحدة المساهمة</w:t>
      </w:r>
      <w:r w:rsidR="00216DED" w:rsidRPr="00F35259">
        <w:rPr>
          <w:rFonts w:hint="cs"/>
          <w:b w:val="0"/>
          <w:bCs w:val="0"/>
          <w:rtl/>
        </w:rPr>
        <w:t xml:space="preserve"> طبقاً للرقمين </w:t>
      </w:r>
      <w:r w:rsidR="00216DED" w:rsidRPr="00F35259">
        <w:rPr>
          <w:b w:val="0"/>
          <w:bCs w:val="0"/>
        </w:rPr>
        <w:t>161D</w:t>
      </w:r>
      <w:r w:rsidR="00216DED" w:rsidRPr="00F35259">
        <w:rPr>
          <w:rFonts w:hint="cs"/>
          <w:b w:val="0"/>
          <w:bCs w:val="0"/>
          <w:rtl/>
        </w:rPr>
        <w:t xml:space="preserve"> و</w:t>
      </w:r>
      <w:r w:rsidR="00216DED" w:rsidRPr="00F35259">
        <w:rPr>
          <w:b w:val="0"/>
          <w:bCs w:val="0"/>
        </w:rPr>
        <w:t>161E</w:t>
      </w:r>
      <w:r w:rsidR="00216DED" w:rsidRPr="00F35259">
        <w:rPr>
          <w:rFonts w:hint="cs"/>
          <w:b w:val="0"/>
          <w:bCs w:val="0"/>
          <w:rtl/>
        </w:rPr>
        <w:t xml:space="preserve"> من الدستور </w:t>
      </w:r>
      <w:r w:rsidR="00093038" w:rsidRPr="00F35259">
        <w:rPr>
          <w:rFonts w:hint="cs"/>
          <w:b w:val="0"/>
          <w:bCs w:val="0"/>
          <w:rtl/>
          <w:lang w:bidi="ar"/>
        </w:rPr>
        <w:t xml:space="preserve">بحيث يمكن للمؤتمر </w:t>
      </w:r>
      <w:r w:rsidR="00216DED" w:rsidRPr="00F35259">
        <w:rPr>
          <w:rFonts w:hint="cs"/>
          <w:b w:val="0"/>
          <w:bCs w:val="0"/>
          <w:rtl/>
          <w:lang w:bidi="ar"/>
        </w:rPr>
        <w:t>استكمال</w:t>
      </w:r>
      <w:r w:rsidR="00093038" w:rsidRPr="00F35259">
        <w:rPr>
          <w:rFonts w:hint="cs"/>
          <w:b w:val="0"/>
          <w:bCs w:val="0"/>
          <w:rtl/>
          <w:lang w:bidi="ar"/>
        </w:rPr>
        <w:t xml:space="preserve"> الخطة المالية للفترة</w:t>
      </w:r>
      <w:r w:rsidR="00A23F5F" w:rsidRPr="00F35259">
        <w:rPr>
          <w:rFonts w:hint="cs"/>
          <w:b w:val="0"/>
          <w:bCs w:val="0"/>
          <w:rtl/>
          <w:lang w:bidi="ar"/>
        </w:rPr>
        <w:t xml:space="preserve"> </w:t>
      </w:r>
      <w:r w:rsidR="00A23F5F" w:rsidRPr="00F35259">
        <w:rPr>
          <w:b w:val="0"/>
          <w:bCs w:val="0"/>
          <w:lang w:val="en-US" w:bidi="ar"/>
        </w:rPr>
        <w:t>2023-2020</w:t>
      </w:r>
      <w:r w:rsidR="00093038" w:rsidRPr="00F35259">
        <w:rPr>
          <w:rFonts w:hint="cs"/>
          <w:b w:val="0"/>
          <w:bCs w:val="0"/>
          <w:rtl/>
          <w:lang w:bidi="ar"/>
        </w:rPr>
        <w:t>.</w:t>
      </w:r>
    </w:p>
    <w:p w:rsidR="00066C6B" w:rsidRDefault="00066C6B" w:rsidP="00066C6B">
      <w:pPr>
        <w:spacing w:before="600"/>
        <w:jc w:val="center"/>
      </w:pPr>
      <w:r>
        <w:rPr>
          <w:rFonts w:hint="cs"/>
          <w:rtl/>
        </w:rPr>
        <w:t>__________</w:t>
      </w:r>
    </w:p>
    <w:sectPr w:rsidR="00066C6B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9B" w:rsidRDefault="006E769B" w:rsidP="00FE7FCA">
      <w:r>
        <w:separator/>
      </w:r>
    </w:p>
  </w:endnote>
  <w:endnote w:type="continuationSeparator" w:id="0">
    <w:p w:rsidR="006E769B" w:rsidRDefault="006E769B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066C6B" w:rsidRDefault="00066C6B" w:rsidP="00066C6B">
    <w:pPr>
      <w:pStyle w:val="Footer"/>
      <w:tabs>
        <w:tab w:val="clear" w:pos="9360"/>
        <w:tab w:val="center" w:pos="6804"/>
        <w:tab w:val="right" w:pos="9639"/>
      </w:tabs>
      <w:bidi w:val="0"/>
      <w:spacing w:before="120"/>
    </w:pPr>
    <w:r w:rsidRPr="001100B7">
      <w:rPr>
        <w:rFonts w:cs="Calibri"/>
        <w:sz w:val="16"/>
        <w:szCs w:val="16"/>
      </w:rPr>
      <w:fldChar w:fldCharType="begin"/>
    </w:r>
    <w:r w:rsidRPr="00066C6B">
      <w:rPr>
        <w:rFonts w:cs="Calibri"/>
        <w:sz w:val="16"/>
        <w:szCs w:val="16"/>
        <w:lang w:val="en-US"/>
      </w:rPr>
      <w:instrText xml:space="preserve"> FILENAME \p \* MERGEFORMAT </w:instrText>
    </w:r>
    <w:r w:rsidRPr="001100B7">
      <w:rPr>
        <w:rFonts w:cs="Calibri"/>
        <w:sz w:val="16"/>
        <w:szCs w:val="16"/>
      </w:rPr>
      <w:fldChar w:fldCharType="separate"/>
    </w:r>
    <w:r w:rsidR="00023A17">
      <w:rPr>
        <w:rFonts w:cs="Calibri"/>
        <w:noProof/>
        <w:sz w:val="16"/>
        <w:szCs w:val="16"/>
        <w:lang w:val="en-US"/>
      </w:rPr>
      <w:t>P:\ARA\SG\CONF-SG\PP18\000\018ADD02A.docx</w:t>
    </w:r>
    <w:r w:rsidRPr="001100B7">
      <w:rPr>
        <w:rFonts w:cs="Calibri"/>
        <w:sz w:val="16"/>
        <w:szCs w:val="16"/>
      </w:rPr>
      <w:fldChar w:fldCharType="end"/>
    </w:r>
    <w:r w:rsidRPr="00066C6B">
      <w:rPr>
        <w:rFonts w:cs="Calibri"/>
        <w:sz w:val="16"/>
        <w:szCs w:val="16"/>
        <w:lang w:val="en-US"/>
      </w:rPr>
      <w:t>   (</w:t>
    </w:r>
    <w:r>
      <w:rPr>
        <w:rFonts w:cs="Calibri"/>
        <w:sz w:val="16"/>
        <w:szCs w:val="16"/>
        <w:lang w:val="en-US"/>
      </w:rPr>
      <w:t>445020</w:t>
    </w:r>
    <w:r w:rsidRPr="00066C6B">
      <w:rPr>
        <w:rFonts w:cs="Calibri"/>
        <w:sz w:val="16"/>
        <w:szCs w:val="16"/>
        <w:lang w:val="en-US"/>
      </w:rPr>
      <w:t>)</w:t>
    </w:r>
    <w:r w:rsidR="00023A17">
      <w:rPr>
        <w:rFonts w:cs="Calibri"/>
        <w:sz w:val="16"/>
        <w:szCs w:val="16"/>
        <w:lang w:val="en-US"/>
      </w:rPr>
      <w:tab/>
    </w:r>
    <w:r w:rsidRPr="00066C6B">
      <w:rPr>
        <w:rFonts w:cs="Calibri"/>
        <w:sz w:val="16"/>
        <w:szCs w:val="16"/>
        <w:lang w:val="en-US"/>
      </w:rPr>
      <w:tab/>
    </w:r>
    <w:r w:rsidRPr="001100B7">
      <w:rPr>
        <w:rFonts w:cs="Calibri"/>
        <w:sz w:val="16"/>
        <w:szCs w:val="16"/>
      </w:rPr>
      <w:fldChar w:fldCharType="begin"/>
    </w:r>
    <w:r w:rsidRPr="001100B7">
      <w:rPr>
        <w:rFonts w:cs="Calibri"/>
        <w:sz w:val="16"/>
        <w:szCs w:val="16"/>
      </w:rPr>
      <w:instrText xml:space="preserve"> savedate \@ dd.MM.yy </w:instrText>
    </w:r>
    <w:r w:rsidRPr="001100B7">
      <w:rPr>
        <w:rFonts w:cs="Calibri"/>
        <w:sz w:val="16"/>
        <w:szCs w:val="16"/>
      </w:rPr>
      <w:fldChar w:fldCharType="separate"/>
    </w:r>
    <w:r w:rsidR="0071582E">
      <w:rPr>
        <w:rFonts w:cs="Calibri"/>
        <w:noProof/>
        <w:sz w:val="16"/>
        <w:szCs w:val="16"/>
      </w:rPr>
      <w:t>19.10.18</w:t>
    </w:r>
    <w:r w:rsidRPr="001100B7">
      <w:rPr>
        <w:rFonts w:cs="Calibri"/>
        <w:sz w:val="16"/>
        <w:szCs w:val="16"/>
      </w:rPr>
      <w:fldChar w:fldCharType="end"/>
    </w:r>
    <w:r w:rsidRPr="00066C6B">
      <w:rPr>
        <w:rFonts w:cs="Calibri"/>
        <w:sz w:val="16"/>
        <w:szCs w:val="16"/>
        <w:lang w:val="en-US"/>
      </w:rPr>
      <w:tab/>
    </w:r>
    <w:r w:rsidRPr="001100B7">
      <w:rPr>
        <w:rFonts w:cs="Calibri"/>
        <w:sz w:val="16"/>
        <w:szCs w:val="16"/>
      </w:rPr>
      <w:fldChar w:fldCharType="begin"/>
    </w:r>
    <w:r w:rsidRPr="001100B7">
      <w:rPr>
        <w:rFonts w:cs="Calibri"/>
        <w:sz w:val="16"/>
        <w:szCs w:val="16"/>
      </w:rPr>
      <w:instrText xml:space="preserve"> printdate \@ dd.MM.yy </w:instrText>
    </w:r>
    <w:r w:rsidRPr="001100B7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00.00.00</w:t>
    </w:r>
    <w:r w:rsidRPr="001100B7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C6B" w:rsidRPr="001100B7" w:rsidRDefault="00066C6B" w:rsidP="00066C6B">
    <w:pPr>
      <w:pStyle w:val="Footer"/>
      <w:spacing w:before="120"/>
      <w:jc w:val="center"/>
      <w:rPr>
        <w:rFonts w:cs="Calibri" w:hint="cs"/>
        <w:szCs w:val="22"/>
        <w:rtl/>
      </w:rPr>
    </w:pPr>
    <w:r w:rsidRPr="001100B7">
      <w:rPr>
        <w:rFonts w:ascii="Symbol" w:hAnsi="Symbol"/>
        <w:szCs w:val="22"/>
      </w:rPr>
      <w:t></w:t>
    </w:r>
    <w:r w:rsidRPr="00AD201C">
      <w:rPr>
        <w:rFonts w:cs="Calibri"/>
        <w:szCs w:val="22"/>
      </w:rPr>
      <w:t xml:space="preserve"> </w:t>
    </w:r>
    <w:r w:rsidRPr="00AD201C">
      <w:rPr>
        <w:rStyle w:val="Hyperlink"/>
        <w:rFonts w:cs="Calibri"/>
        <w:szCs w:val="22"/>
      </w:rPr>
      <w:t>www.itu.int/plenipotentiary/</w:t>
    </w:r>
    <w:r w:rsidRPr="00AD201C">
      <w:rPr>
        <w:rFonts w:cs="Calibri"/>
        <w:szCs w:val="22"/>
      </w:rPr>
      <w:t xml:space="preserve"> </w:t>
    </w:r>
    <w:r w:rsidRPr="001100B7">
      <w:rPr>
        <w:rFonts w:ascii="Symbol" w:hAnsi="Symbol"/>
        <w:szCs w:val="22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9B" w:rsidRDefault="006E769B">
      <w:r>
        <w:t>_______________</w:t>
      </w:r>
    </w:p>
  </w:footnote>
  <w:footnote w:type="continuationSeparator" w:id="0">
    <w:p w:rsidR="006E769B" w:rsidRDefault="006E769B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253E92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575ABF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</w:t>
    </w:r>
    <w:r w:rsidR="00253E92">
      <w:rPr>
        <w:rStyle w:val="PageNumber"/>
        <w:rFonts w:asciiTheme="minorHAnsi" w:hAnsiTheme="minorHAnsi"/>
      </w:rPr>
      <w:t>8</w:t>
    </w:r>
    <w:r w:rsidRPr="00F502DF">
      <w:rPr>
        <w:rStyle w:val="PageNumber"/>
        <w:rFonts w:asciiTheme="minorHAnsi" w:hAnsiTheme="minorHAnsi"/>
      </w:rPr>
      <w:t>/18(Add.2)-A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3A17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66C6B"/>
    <w:rsid w:val="000715BE"/>
    <w:rsid w:val="00074E5D"/>
    <w:rsid w:val="00075C7A"/>
    <w:rsid w:val="00083144"/>
    <w:rsid w:val="00093038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1293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C35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6DED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0435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2F54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5ABF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7B94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69B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582E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3F5F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201C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96854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454"/>
    <w:rsid w:val="00D44B82"/>
    <w:rsid w:val="00D44C4B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377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537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D2556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259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2118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4A1638C-EC61-410C-8863-B914BBD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9C06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36"/>
      <w:lang w:bidi="ar-SA"/>
    </w:rPr>
  </w:style>
  <w:style w:type="paragraph" w:customStyle="1" w:styleId="Source">
    <w:name w:val="Source"/>
    <w:basedOn w:val="Normal"/>
    <w:next w:val="Normal"/>
    <w:rsid w:val="007158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71582E"/>
    <w:pPr>
      <w:framePr w:hSpace="180" w:wrap="around" w:hAnchor="margin" w:y="-645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F35259"/>
    <w:pPr>
      <w:spacing w:before="480"/>
    </w:pPr>
    <w:rPr>
      <w:b/>
      <w:bCs/>
    </w:rPr>
  </w:style>
  <w:style w:type="character" w:customStyle="1" w:styleId="ReasonsChar">
    <w:name w:val="Reasons Char"/>
    <w:basedOn w:val="DefaultParagraphFont"/>
    <w:link w:val="Reasons"/>
    <w:rsid w:val="00F35259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3E92"/>
    <w:pPr>
      <w:bidi/>
      <w:spacing w:before="240"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enumlev10">
    <w:name w:val="enumlev 1"/>
    <w:basedOn w:val="Normal"/>
    <w:qFormat/>
    <w:rsid w:val="00066C6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80"/>
      <w:ind w:left="1134" w:hanging="1134"/>
      <w:textAlignment w:val="auto"/>
      <w:outlineLvl w:val="0"/>
    </w:pPr>
    <w:rPr>
      <w:rFonts w:eastAsiaTheme="minorEastAsia"/>
      <w:lang w:val="en-US"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e49c7b-28d8-42f2-b0bb-8fc1271125d0">DPM</DPM_x0020_Author>
    <DPM_x0020_File_x0020_name xmlns="77e49c7b-28d8-42f2-b0bb-8fc1271125d0">S18-PP-C-0018!A2!MSW-A</DPM_x0020_File_x0020_name>
    <DPM_x0020_Version xmlns="77e49c7b-28d8-42f2-b0bb-8fc1271125d0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e49c7b-28d8-42f2-b0bb-8fc1271125d0" targetNamespace="http://schemas.microsoft.com/office/2006/metadata/properties" ma:root="true" ma:fieldsID="d41af5c836d734370eb92e7ee5f83852" ns2:_="" ns3:_="">
    <xsd:import namespace="996b2e75-67fd-4955-a3b0-5ab9934cb50b"/>
    <xsd:import namespace="77e49c7b-28d8-42f2-b0bb-8fc1271125d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9c7b-28d8-42f2-b0bb-8fc1271125d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http://schemas.openxmlformats.org/package/2006/metadata/core-properties"/>
    <ds:schemaRef ds:uri="77e49c7b-28d8-42f2-b0bb-8fc1271125d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e49c7b-28d8-42f2-b0bb-8fc127112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S18-PP-C-0018!A2!MSW-A</vt:lpstr>
    </vt:vector>
  </TitlesOfParts>
  <Manager/>
  <Company/>
  <LinksUpToDate>false</LinksUpToDate>
  <CharactersWithSpaces>2314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S18-PP-C-0018!A2!MSW-A</dc:title>
  <dc:subject>Plenipotentiary Conference (PP-18)</dc:subject>
  <dc:creator>Documents Proposals Manager (DPM)</dc:creator>
  <cp:keywords>DPM_v2018.10.12.1_prod</cp:keywords>
  <dc:description/>
  <cp:lastModifiedBy>Awad, Samy</cp:lastModifiedBy>
  <cp:revision>12</cp:revision>
  <dcterms:created xsi:type="dcterms:W3CDTF">2018-10-19T11:43:00Z</dcterms:created>
  <dcterms:modified xsi:type="dcterms:W3CDTF">2018-10-21T15:46:00Z</dcterms:modified>
  <cp:category>Conference document</cp:category>
</cp:coreProperties>
</file>