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FD528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FD5280">
            <w:bookmarkStart w:id="2" w:name="ditulogo"/>
            <w:bookmarkEnd w:id="2"/>
            <w:r w:rsidRPr="00622560">
              <w:rPr>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FD5280">
        <w:trPr>
          <w:cantSplit/>
        </w:trPr>
        <w:tc>
          <w:tcPr>
            <w:tcW w:w="6911" w:type="dxa"/>
            <w:tcBorders>
              <w:bottom w:val="single" w:sz="12" w:space="0" w:color="auto"/>
            </w:tcBorders>
          </w:tcPr>
          <w:p w:rsidR="00C710E5" w:rsidRPr="00617BE4" w:rsidRDefault="00C710E5" w:rsidP="00FD528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FD5280">
        <w:trPr>
          <w:cantSplit/>
        </w:trPr>
        <w:tc>
          <w:tcPr>
            <w:tcW w:w="6911" w:type="dxa"/>
            <w:tcBorders>
              <w:top w:val="single" w:sz="12" w:space="0" w:color="auto"/>
            </w:tcBorders>
          </w:tcPr>
          <w:p w:rsidR="00C710E5" w:rsidRPr="00CB4E5A" w:rsidRDefault="00C710E5" w:rsidP="00FD528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FD5280">
            <w:pPr>
              <w:spacing w:line="240" w:lineRule="atLeast"/>
              <w:rPr>
                <w:rFonts w:ascii="Verdana" w:hAnsi="Verdana"/>
                <w:b/>
                <w:bCs/>
                <w:sz w:val="20"/>
              </w:rPr>
            </w:pPr>
          </w:p>
        </w:tc>
      </w:tr>
      <w:tr w:rsidR="000C0900" w:rsidRPr="00C324A8" w:rsidTr="00FD5280">
        <w:trPr>
          <w:cantSplit/>
          <w:trHeight w:val="23"/>
        </w:trPr>
        <w:tc>
          <w:tcPr>
            <w:tcW w:w="6911" w:type="dxa"/>
          </w:tcPr>
          <w:p w:rsidR="000C0900" w:rsidRPr="007F0374" w:rsidRDefault="00FC2542" w:rsidP="000C0900">
            <w:pPr>
              <w:pStyle w:val="Committee"/>
              <w:framePr w:hSpace="0" w:wrap="auto" w:hAnchor="text" w:yAlign="inline"/>
            </w:pPr>
            <w:r w:rsidRPr="007F0374">
              <w:t>全体会议</w:t>
            </w:r>
          </w:p>
        </w:tc>
        <w:tc>
          <w:tcPr>
            <w:tcW w:w="3120" w:type="dxa"/>
          </w:tcPr>
          <w:p w:rsidR="000C0900" w:rsidRPr="007F0374" w:rsidRDefault="00FC2542" w:rsidP="00377FCE">
            <w:pPr>
              <w:spacing w:before="0"/>
              <w:rPr>
                <w:rFonts w:cstheme="minorHAnsi"/>
                <w:szCs w:val="24"/>
              </w:rPr>
            </w:pPr>
            <w:r>
              <w:rPr>
                <w:rFonts w:cstheme="minorHAnsi"/>
                <w:b/>
                <w:szCs w:val="24"/>
              </w:rPr>
              <w:t>文件</w:t>
            </w:r>
            <w:r>
              <w:rPr>
                <w:rFonts w:cstheme="minorHAnsi"/>
                <w:b/>
                <w:szCs w:val="24"/>
              </w:rPr>
              <w:t xml:space="preserve"> 24 (Add.</w:t>
            </w:r>
            <w:r w:rsidR="00377FCE">
              <w:rPr>
                <w:rFonts w:cstheme="minorHAnsi"/>
                <w:b/>
                <w:szCs w:val="24"/>
              </w:rPr>
              <w:t>3</w:t>
            </w:r>
            <w:r>
              <w:rPr>
                <w:rFonts w:cstheme="minorHAnsi"/>
                <w:b/>
                <w:szCs w:val="24"/>
              </w:rPr>
              <w:t>)</w:t>
            </w:r>
            <w:r w:rsidRPr="00F44B1A">
              <w:rPr>
                <w:rFonts w:cstheme="minorHAnsi"/>
                <w:b/>
                <w:szCs w:val="24"/>
              </w:rPr>
              <w:t>-C</w:t>
            </w:r>
          </w:p>
        </w:tc>
      </w:tr>
      <w:tr w:rsidR="00FC2542" w:rsidRPr="00C324A8" w:rsidTr="00FD528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D5280" w:rsidP="00FD5280">
            <w:pPr>
              <w:spacing w:before="0"/>
              <w:rPr>
                <w:rFonts w:cstheme="minorHAnsi"/>
                <w:szCs w:val="24"/>
              </w:rPr>
            </w:pPr>
            <w:r>
              <w:rPr>
                <w:rFonts w:cstheme="minorHAnsi"/>
                <w:b/>
                <w:bCs/>
                <w:szCs w:val="24"/>
              </w:rPr>
              <w:t>2018</w:t>
            </w:r>
            <w:r>
              <w:rPr>
                <w:rFonts w:cstheme="minorHAnsi"/>
                <w:b/>
                <w:bCs/>
                <w:szCs w:val="24"/>
              </w:rPr>
              <w:t>年</w:t>
            </w:r>
            <w:r>
              <w:rPr>
                <w:rFonts w:cstheme="minorHAnsi" w:hint="eastAsia"/>
                <w:b/>
                <w:bCs/>
                <w:szCs w:val="24"/>
                <w:lang w:eastAsia="zh-CN"/>
              </w:rPr>
              <w:t>6</w:t>
            </w:r>
            <w:r w:rsidR="00FC2542" w:rsidRPr="007F0374">
              <w:rPr>
                <w:rFonts w:cstheme="minorHAnsi"/>
                <w:b/>
                <w:bCs/>
                <w:szCs w:val="24"/>
              </w:rPr>
              <w:t>月</w:t>
            </w:r>
            <w:r>
              <w:rPr>
                <w:rFonts w:cstheme="minorHAnsi" w:hint="eastAsia"/>
                <w:b/>
                <w:bCs/>
                <w:szCs w:val="24"/>
                <w:lang w:eastAsia="zh-CN"/>
              </w:rPr>
              <w:t>2</w:t>
            </w:r>
            <w:r>
              <w:rPr>
                <w:rFonts w:cstheme="minorHAnsi"/>
                <w:b/>
                <w:bCs/>
                <w:szCs w:val="24"/>
                <w:lang w:eastAsia="zh-CN"/>
              </w:rPr>
              <w:t>9</w:t>
            </w:r>
            <w:r>
              <w:rPr>
                <w:rFonts w:cstheme="minorHAnsi"/>
                <w:b/>
                <w:bCs/>
                <w:szCs w:val="24"/>
                <w:lang w:eastAsia="zh-CN"/>
              </w:rPr>
              <w:t>日</w:t>
            </w:r>
          </w:p>
        </w:tc>
      </w:tr>
      <w:tr w:rsidR="00FC2542" w:rsidRPr="00C324A8" w:rsidTr="00FD528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rsidTr="00FD5280">
        <w:trPr>
          <w:cantSplit/>
          <w:trHeight w:val="23"/>
        </w:trPr>
        <w:tc>
          <w:tcPr>
            <w:tcW w:w="10031" w:type="dxa"/>
            <w:gridSpan w:val="2"/>
          </w:tcPr>
          <w:p w:rsidR="00C710E5" w:rsidRDefault="00C710E5" w:rsidP="00FD5280">
            <w:pPr>
              <w:spacing w:before="0" w:line="240" w:lineRule="atLeast"/>
              <w:rPr>
                <w:rFonts w:ascii="Verdana" w:hAnsi="Verdana"/>
                <w:b/>
                <w:bCs/>
                <w:sz w:val="20"/>
              </w:rPr>
            </w:pPr>
          </w:p>
        </w:tc>
      </w:tr>
      <w:tr w:rsidR="00C710E5" w:rsidTr="00FD5280">
        <w:trPr>
          <w:cantSplit/>
        </w:trPr>
        <w:tc>
          <w:tcPr>
            <w:tcW w:w="10031" w:type="dxa"/>
            <w:gridSpan w:val="2"/>
          </w:tcPr>
          <w:p w:rsidR="00C710E5" w:rsidRDefault="004D0A9E" w:rsidP="00FD5280">
            <w:pPr>
              <w:pStyle w:val="Source"/>
              <w:rPr>
                <w:lang w:eastAsia="zh-CN"/>
              </w:rPr>
            </w:pPr>
            <w:bookmarkStart w:id="4" w:name="dsource" w:colFirst="0" w:colLast="0"/>
            <w:bookmarkEnd w:id="1"/>
            <w:bookmarkEnd w:id="3"/>
            <w:r>
              <w:rPr>
                <w:rFonts w:hint="eastAsia"/>
                <w:lang w:eastAsia="zh-CN"/>
              </w:rPr>
              <w:t>理事会</w:t>
            </w:r>
            <w:r>
              <w:rPr>
                <w:lang w:eastAsia="zh-CN"/>
              </w:rPr>
              <w:t>的报告</w:t>
            </w:r>
          </w:p>
        </w:tc>
      </w:tr>
      <w:tr w:rsidR="00C710E5" w:rsidTr="00FD5280">
        <w:trPr>
          <w:cantSplit/>
        </w:trPr>
        <w:tc>
          <w:tcPr>
            <w:tcW w:w="10031" w:type="dxa"/>
            <w:gridSpan w:val="2"/>
          </w:tcPr>
          <w:p w:rsidR="00C710E5" w:rsidRDefault="00FD5280" w:rsidP="00FD5280">
            <w:pPr>
              <w:pStyle w:val="Title1"/>
              <w:rPr>
                <w:lang w:eastAsia="zh-CN"/>
              </w:rPr>
            </w:pPr>
            <w:bookmarkStart w:id="5" w:name="dtitle1" w:colFirst="0" w:colLast="0"/>
            <w:bookmarkEnd w:id="4"/>
            <w:r w:rsidRPr="00AA3A09">
              <w:rPr>
                <w:rFonts w:hint="eastAsia"/>
                <w:lang w:eastAsia="zh-CN"/>
              </w:rPr>
              <w:t>理事会</w:t>
            </w:r>
            <w:r w:rsidRPr="00AA3A09">
              <w:rPr>
                <w:szCs w:val="28"/>
                <w:lang w:val="en-US" w:eastAsia="zh-CN"/>
              </w:rPr>
              <w:t>2020-2023</w:t>
            </w:r>
            <w:r w:rsidRPr="00AA3A09">
              <w:rPr>
                <w:rFonts w:hint="eastAsia"/>
                <w:lang w:eastAsia="zh-CN"/>
              </w:rPr>
              <w:t>年《战略规划》和</w:t>
            </w:r>
            <w:r w:rsidRPr="00AA3A09">
              <w:rPr>
                <w:lang w:eastAsia="zh-CN"/>
              </w:rPr>
              <w:br/>
            </w:r>
            <w:r w:rsidRPr="00AA3A09">
              <w:rPr>
                <w:rFonts w:hint="eastAsia"/>
                <w:lang w:eastAsia="zh-CN"/>
              </w:rPr>
              <w:t>《财务规划》工作组</w:t>
            </w:r>
            <w:r>
              <w:rPr>
                <w:rFonts w:hint="eastAsia"/>
                <w:lang w:eastAsia="zh-CN"/>
              </w:rPr>
              <w:t>（</w:t>
            </w:r>
            <w:r>
              <w:rPr>
                <w:rFonts w:hint="eastAsia"/>
                <w:lang w:eastAsia="zh-CN"/>
              </w:rPr>
              <w:t>CWG-SFP</w:t>
            </w:r>
            <w:r>
              <w:rPr>
                <w:rFonts w:hint="eastAsia"/>
                <w:lang w:eastAsia="zh-CN"/>
              </w:rPr>
              <w:t>）报告</w:t>
            </w:r>
          </w:p>
        </w:tc>
      </w:tr>
      <w:tr w:rsidR="00C710E5" w:rsidTr="00FD5280">
        <w:trPr>
          <w:cantSplit/>
        </w:trPr>
        <w:tc>
          <w:tcPr>
            <w:tcW w:w="10031" w:type="dxa"/>
            <w:gridSpan w:val="2"/>
          </w:tcPr>
          <w:p w:rsidR="00C710E5" w:rsidRPr="00377FCE" w:rsidRDefault="00377FCE" w:rsidP="00377FCE">
            <w:pPr>
              <w:pStyle w:val="Title2"/>
              <w:rPr>
                <w:lang w:eastAsia="zh-CN"/>
              </w:rPr>
            </w:pPr>
            <w:bookmarkStart w:id="6" w:name="dtitle2" w:colFirst="0" w:colLast="0"/>
            <w:bookmarkEnd w:id="5"/>
            <w:r w:rsidRPr="00377FCE">
              <w:rPr>
                <w:rFonts w:hint="eastAsia"/>
                <w:lang w:eastAsia="zh-CN"/>
              </w:rPr>
              <w:t>第</w:t>
            </w:r>
            <w:r w:rsidRPr="00377FCE">
              <w:rPr>
                <w:lang w:eastAsia="zh-CN"/>
              </w:rPr>
              <w:t>71</w:t>
            </w:r>
            <w:r w:rsidRPr="00377FCE">
              <w:rPr>
                <w:rFonts w:hint="eastAsia"/>
                <w:lang w:eastAsia="zh-CN"/>
              </w:rPr>
              <w:t>号</w:t>
            </w:r>
            <w:r w:rsidRPr="00377FCE">
              <w:rPr>
                <w:lang w:eastAsia="zh-CN"/>
              </w:rPr>
              <w:t>决议附件</w:t>
            </w:r>
            <w:r w:rsidRPr="00377FCE">
              <w:rPr>
                <w:rFonts w:hint="eastAsia"/>
                <w:lang w:eastAsia="zh-CN"/>
              </w:rPr>
              <w:t>3</w:t>
            </w:r>
            <w:r w:rsidRPr="00377FCE">
              <w:rPr>
                <w:rFonts w:hint="eastAsia"/>
                <w:lang w:eastAsia="zh-CN"/>
              </w:rPr>
              <w:t>：</w:t>
            </w:r>
            <w:r w:rsidRPr="00377FCE">
              <w:rPr>
                <w:lang w:eastAsia="zh-CN"/>
              </w:rPr>
              <w:t>术语表</w:t>
            </w:r>
          </w:p>
        </w:tc>
      </w:tr>
      <w:tr w:rsidR="00C710E5" w:rsidTr="00FD5280">
        <w:trPr>
          <w:cantSplit/>
        </w:trPr>
        <w:tc>
          <w:tcPr>
            <w:tcW w:w="10031" w:type="dxa"/>
            <w:gridSpan w:val="2"/>
          </w:tcPr>
          <w:p w:rsidR="00C710E5" w:rsidRDefault="00C710E5" w:rsidP="00FD5280">
            <w:pPr>
              <w:pStyle w:val="Agendaitem"/>
            </w:pPr>
            <w:bookmarkStart w:id="7" w:name="dtitle3" w:colFirst="0" w:colLast="0"/>
            <w:bookmarkEnd w:id="6"/>
          </w:p>
        </w:tc>
      </w:tr>
      <w:bookmarkEnd w:id="7"/>
    </w:tbl>
    <w:p w:rsidR="00C710E5" w:rsidRDefault="00C710E5" w:rsidP="00231ABC">
      <w:pPr>
        <w:rPr>
          <w:lang w:val="en-US"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BD68E7" w:rsidRDefault="00FD5280" w:rsidP="00377FCE">
      <w:pPr>
        <w:pStyle w:val="Proposal"/>
        <w:rPr>
          <w:lang w:eastAsia="zh-CN"/>
        </w:rPr>
      </w:pPr>
      <w:r>
        <w:rPr>
          <w:lang w:eastAsia="zh-CN"/>
        </w:rPr>
        <w:lastRenderedPageBreak/>
        <w:t>MOD</w:t>
      </w:r>
      <w:r>
        <w:rPr>
          <w:lang w:eastAsia="zh-CN"/>
        </w:rPr>
        <w:tab/>
        <w:t>CL/24A</w:t>
      </w:r>
      <w:r w:rsidR="00377FCE">
        <w:rPr>
          <w:lang w:eastAsia="zh-CN"/>
        </w:rPr>
        <w:t>3</w:t>
      </w:r>
      <w:r>
        <w:rPr>
          <w:lang w:eastAsia="zh-CN"/>
        </w:rPr>
        <w:t>/1</w:t>
      </w:r>
    </w:p>
    <w:p w:rsidR="00FD5280" w:rsidRPr="00AF3CB4" w:rsidRDefault="00FD5280" w:rsidP="00377FCE">
      <w:pPr>
        <w:pStyle w:val="ResNo"/>
        <w:rPr>
          <w:lang w:eastAsia="zh-CN"/>
        </w:rPr>
      </w:pPr>
      <w:bookmarkStart w:id="8" w:name="_Toc413838342"/>
      <w:r w:rsidRPr="00464756">
        <w:rPr>
          <w:rStyle w:val="href"/>
          <w:rFonts w:hint="eastAsia"/>
        </w:rPr>
        <w:t>第</w:t>
      </w:r>
      <w:r w:rsidRPr="00464756">
        <w:rPr>
          <w:rStyle w:val="href"/>
        </w:rPr>
        <w:t>71</w:t>
      </w:r>
      <w:r w:rsidRPr="00464756">
        <w:rPr>
          <w:rStyle w:val="href"/>
          <w:rFonts w:hint="eastAsia"/>
        </w:rPr>
        <w:t>号决议</w:t>
      </w:r>
      <w:r w:rsidRPr="001B62A0">
        <w:rPr>
          <w:lang w:eastAsia="zh-CN"/>
        </w:rPr>
        <w:t>附件</w:t>
      </w:r>
      <w:r w:rsidR="00377FCE">
        <w:rPr>
          <w:lang w:eastAsia="zh-CN"/>
        </w:rPr>
        <w:t>3</w:t>
      </w:r>
      <w:r w:rsidRPr="00AF3CB4">
        <w:rPr>
          <w:rFonts w:hint="eastAsia"/>
          <w:lang w:eastAsia="zh-CN"/>
        </w:rPr>
        <w:t>（</w:t>
      </w:r>
      <w:r w:rsidRPr="009B5345">
        <w:rPr>
          <w:lang w:eastAsia="zh-CN"/>
        </w:rPr>
        <w:t>201</w:t>
      </w:r>
      <w:r>
        <w:rPr>
          <w:lang w:eastAsia="zh-CN"/>
        </w:rPr>
        <w:t>8</w:t>
      </w:r>
      <w:r w:rsidRPr="009B5345">
        <w:rPr>
          <w:rFonts w:hint="eastAsia"/>
          <w:lang w:eastAsia="zh-CN"/>
        </w:rPr>
        <w:t>年，</w:t>
      </w:r>
      <w:r>
        <w:rPr>
          <w:rFonts w:hint="eastAsia"/>
          <w:lang w:eastAsia="zh-CN"/>
        </w:rPr>
        <w:t>迪拜</w:t>
      </w:r>
      <w:r w:rsidRPr="009B5345">
        <w:rPr>
          <w:rFonts w:hint="eastAsia"/>
          <w:lang w:eastAsia="zh-CN"/>
        </w:rPr>
        <w:t>，修订版</w:t>
      </w:r>
      <w:r w:rsidRPr="00AF3CB4">
        <w:rPr>
          <w:rFonts w:hint="eastAsia"/>
          <w:lang w:eastAsia="zh-CN"/>
        </w:rPr>
        <w:t>）</w:t>
      </w:r>
      <w:bookmarkEnd w:id="8"/>
    </w:p>
    <w:p w:rsidR="00FD5280" w:rsidRPr="00377FCE" w:rsidRDefault="00377FCE" w:rsidP="00377FCE">
      <w:pPr>
        <w:pStyle w:val="Restitle"/>
        <w:rPr>
          <w:lang w:eastAsia="zh-CN"/>
        </w:rPr>
      </w:pPr>
      <w:r w:rsidRPr="00377FCE">
        <w:rPr>
          <w:lang w:eastAsia="zh-CN"/>
        </w:rPr>
        <w:t>术语表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7532"/>
      </w:tblGrid>
      <w:tr w:rsidR="00377FCE" w:rsidTr="00AF122C">
        <w:trPr>
          <w:cantSplit/>
          <w:trHeight w:val="423"/>
          <w:tblHeader/>
          <w:jc w:val="center"/>
        </w:trPr>
        <w:tc>
          <w:tcPr>
            <w:tcW w:w="1813" w:type="dxa"/>
            <w:tcBorders>
              <w:top w:val="single" w:sz="4" w:space="0" w:color="auto"/>
              <w:left w:val="single" w:sz="4" w:space="0" w:color="auto"/>
              <w:bottom w:val="single" w:sz="4" w:space="0" w:color="auto"/>
              <w:right w:val="single" w:sz="4" w:space="0" w:color="auto"/>
            </w:tcBorders>
            <w:shd w:val="clear" w:color="auto" w:fill="B8CCE4"/>
            <w:hideMark/>
          </w:tcPr>
          <w:p w:rsidR="00377FCE" w:rsidRDefault="00377FCE" w:rsidP="0062008B">
            <w:pPr>
              <w:pStyle w:val="Tablehead"/>
            </w:pPr>
            <w:r>
              <w:rPr>
                <w:rFonts w:hint="eastAsia"/>
              </w:rPr>
              <w:t>术语</w:t>
            </w:r>
          </w:p>
        </w:tc>
        <w:tc>
          <w:tcPr>
            <w:tcW w:w="7532" w:type="dxa"/>
            <w:tcBorders>
              <w:top w:val="single" w:sz="4" w:space="0" w:color="auto"/>
              <w:left w:val="single" w:sz="4" w:space="0" w:color="auto"/>
              <w:bottom w:val="single" w:sz="4" w:space="0" w:color="auto"/>
              <w:right w:val="single" w:sz="4" w:space="0" w:color="auto"/>
            </w:tcBorders>
            <w:shd w:val="clear" w:color="auto" w:fill="B8CCE4"/>
            <w:hideMark/>
          </w:tcPr>
          <w:p w:rsidR="00377FCE" w:rsidRDefault="00377FCE" w:rsidP="0062008B">
            <w:pPr>
              <w:pStyle w:val="Tablehead"/>
              <w:rPr>
                <w:lang w:eastAsia="zh-CN"/>
              </w:rPr>
            </w:pPr>
            <w:r>
              <w:rPr>
                <w:rFonts w:hint="eastAsia"/>
                <w:lang w:eastAsia="zh-CN"/>
              </w:rPr>
              <w:t>工作版本</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活动</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活动系指将资源（投入）转化为输出成果的各种行动</w:t>
            </w:r>
            <w:r>
              <w:rPr>
                <w:lang w:eastAsia="zh-CN"/>
              </w:rPr>
              <w:t>/</w:t>
            </w:r>
            <w:r>
              <w:rPr>
                <w:rFonts w:hint="eastAsia"/>
                <w:lang w:eastAsia="zh-CN"/>
              </w:rPr>
              <w:t>服务</w:t>
            </w:r>
            <w:r>
              <w:rPr>
                <w:rStyle w:val="FootnoteReference"/>
                <w:lang w:eastAsia="zh-CN"/>
              </w:rPr>
              <w:footnoteReference w:id="1"/>
            </w:r>
            <w:r>
              <w:rPr>
                <w:rFonts w:hint="eastAsia"/>
                <w:lang w:eastAsia="zh-CN"/>
              </w:rPr>
              <w:t>。</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财务规划</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财务规划涵括一个四年的时间段，并为双年度预算的制定奠定财务基础。</w:t>
            </w:r>
          </w:p>
          <w:p w:rsidR="00377FCE" w:rsidRDefault="00377FCE" w:rsidP="0062008B">
            <w:pPr>
              <w:pStyle w:val="Tabletext"/>
              <w:rPr>
                <w:lang w:eastAsia="zh-CN"/>
              </w:rPr>
            </w:pPr>
            <w:r>
              <w:rPr>
                <w:rFonts w:hint="eastAsia"/>
                <w:lang w:eastAsia="zh-CN"/>
              </w:rPr>
              <w:t>财务规划在第</w:t>
            </w:r>
            <w:r>
              <w:rPr>
                <w:lang w:eastAsia="zh-CN"/>
              </w:rPr>
              <w:t>5</w:t>
            </w:r>
            <w:r>
              <w:rPr>
                <w:rFonts w:hint="eastAsia"/>
                <w:lang w:eastAsia="zh-CN"/>
              </w:rPr>
              <w:t>号决定（国际电联的收入与支出）的范围内制定，特别反映出全权代表大会批准的会费单位数额。根据第</w:t>
            </w:r>
            <w:r>
              <w:rPr>
                <w:lang w:eastAsia="zh-CN"/>
              </w:rPr>
              <w:t>71</w:t>
            </w:r>
            <w:r>
              <w:rPr>
                <w:rFonts w:hint="eastAsia"/>
                <w:lang w:eastAsia="zh-CN"/>
              </w:rPr>
              <w:t>号决议，财务规划通过将财政资源分配给国际电联的各项战略目标，而与战略规划相关联。</w:t>
            </w:r>
          </w:p>
          <w:p w:rsidR="00377FCE" w:rsidRDefault="00377FCE" w:rsidP="0062008B">
            <w:pPr>
              <w:pStyle w:val="Tabletext"/>
              <w:rPr>
                <w:lang w:eastAsia="zh-CN"/>
              </w:rPr>
            </w:pP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投入</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投入系指各项活动使用的、用以产生输出成果的财务、人力、物质和技术资源之类的资源。</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使命</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使命系《国际电联基本文件》规定的国际电联总体宗旨。</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部门目标</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部门目标系指一特定阶段相关部门的具体目的和跨部门活动。</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运作规划</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各局和总秘书处每年根据战略规划和财务规划制定运作规划，各局与相关顾问组磋商制定。此规划含有各局和总秘书处下一年的详尽规划和之后三年的预测。由理事会审议和批准四年期滚动式运作规划。</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成果</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成果显示一目标是否正在实现的迹象。成果通常只是部分、而不是全部在本组织掌控之中。</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输出成果</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输出成果是国际电联在落实运作规划中所取得的最终有形结果、实际成果、产品或服务。输出成果可为各部门的产品和服务或跨部门产品和服务。输出成果是成本对象，在适用的成本核算系统中以内部订单表示</w:t>
            </w:r>
            <w:r w:rsidRPr="006E51BC">
              <w:rPr>
                <w:szCs w:val="22"/>
                <w:vertAlign w:val="superscript"/>
                <w:lang w:val="ru-RU" w:eastAsia="zh-CN"/>
              </w:rPr>
              <w:t>1</w:t>
            </w:r>
            <w:r>
              <w:rPr>
                <w:rFonts w:hint="eastAsia"/>
                <w:lang w:eastAsia="zh-CN"/>
              </w:rPr>
              <w:t>。</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绩效指标</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业绩指标是用以衡量实现输出成果或成果的标准。这些指标可以质化或量化。</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进程</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进程系为实现预计部门目标</w:t>
            </w:r>
            <w:r>
              <w:rPr>
                <w:lang w:eastAsia="zh-CN"/>
              </w:rPr>
              <w:t>/</w:t>
            </w:r>
            <w:r>
              <w:rPr>
                <w:rFonts w:hint="eastAsia"/>
                <w:lang w:eastAsia="zh-CN"/>
              </w:rPr>
              <w:t>总体目标而一贯开展的活动。</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基于结果的</w:t>
            </w:r>
            <w:r>
              <w:rPr>
                <w:lang w:eastAsia="zh-CN"/>
              </w:rPr>
              <w:br/>
            </w:r>
            <w:r>
              <w:rPr>
                <w:rFonts w:hint="eastAsia"/>
                <w:lang w:eastAsia="zh-CN"/>
              </w:rPr>
              <w:t>预算制定（</w:t>
            </w:r>
            <w:r>
              <w:rPr>
                <w:lang w:eastAsia="zh-CN"/>
              </w:rPr>
              <w:t>RBB</w:t>
            </w:r>
            <w:r>
              <w:rPr>
                <w:rFonts w:hint="eastAsia"/>
                <w:lang w:eastAsia="zh-CN"/>
              </w:rPr>
              <w:t>）</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基于结果的预算制定是项目的预算过程，在此过程中，</w:t>
            </w:r>
            <w:r>
              <w:rPr>
                <w:lang w:eastAsia="zh-CN"/>
              </w:rPr>
              <w:t xml:space="preserve">(a) </w:t>
            </w:r>
            <w:r>
              <w:rPr>
                <w:rFonts w:hint="eastAsia"/>
                <w:lang w:eastAsia="zh-CN"/>
              </w:rPr>
              <w:t>项目为满足一系列预先确定的目标与成果而设立；</w:t>
            </w:r>
            <w:r>
              <w:rPr>
                <w:lang w:eastAsia="zh-CN"/>
              </w:rPr>
              <w:t xml:space="preserve">(b) </w:t>
            </w:r>
            <w:r>
              <w:rPr>
                <w:rFonts w:hint="eastAsia"/>
                <w:lang w:eastAsia="zh-CN"/>
              </w:rPr>
              <w:t>预期结果证实了资源需求，而资源需求项目既源自为实现成果而产生的输出成果又与其相关联；</w:t>
            </w:r>
            <w:r>
              <w:rPr>
                <w:lang w:eastAsia="zh-CN"/>
              </w:rPr>
              <w:t xml:space="preserve">(c) </w:t>
            </w:r>
            <w:r>
              <w:rPr>
                <w:rFonts w:hint="eastAsia"/>
                <w:lang w:eastAsia="zh-CN"/>
              </w:rPr>
              <w:t>利用成果指标来衡量实现成果的实际业绩。</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keepNext/>
              <w:keepLines/>
              <w:rPr>
                <w:lang w:eastAsia="zh-CN"/>
              </w:rPr>
            </w:pPr>
            <w:r>
              <w:rPr>
                <w:rFonts w:hint="eastAsia"/>
                <w:lang w:eastAsia="zh-CN"/>
              </w:rPr>
              <w:lastRenderedPageBreak/>
              <w:t>基于结果的</w:t>
            </w:r>
            <w:r>
              <w:rPr>
                <w:lang w:eastAsia="zh-CN"/>
              </w:rPr>
              <w:br/>
            </w:r>
            <w:r>
              <w:rPr>
                <w:rFonts w:hint="eastAsia"/>
                <w:lang w:eastAsia="zh-CN"/>
              </w:rPr>
              <w:t>管理（</w:t>
            </w:r>
            <w:r>
              <w:rPr>
                <w:lang w:eastAsia="zh-CN"/>
              </w:rPr>
              <w:t>RBM</w:t>
            </w:r>
            <w:r>
              <w:rPr>
                <w:rFonts w:hint="eastAsia"/>
                <w:lang w:eastAsia="zh-CN"/>
              </w:rPr>
              <w:t>）</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keepNext/>
              <w:keepLines/>
              <w:rPr>
                <w:lang w:eastAsia="zh-CN"/>
              </w:rPr>
            </w:pPr>
            <w:r>
              <w:rPr>
                <w:rFonts w:hint="eastAsia"/>
                <w:lang w:eastAsia="zh-CN"/>
              </w:rPr>
              <w:t>基于结果的管理是指导组织性流程、资源、产品和服务、以实现可衡量结果的一种管理方式。这种管理为战略规划、风险管理、业绩监控与评估以及基于目标结果的财务活动提供了管理框架和工具。</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结果框架</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lang w:eastAsia="zh-CN"/>
              </w:rPr>
              <w:t>结果框架是</w:t>
            </w:r>
            <w:r>
              <w:rPr>
                <w:lang w:eastAsia="zh-CN"/>
              </w:rPr>
              <w:t>RBM</w:t>
            </w:r>
            <w:r>
              <w:rPr>
                <w:rFonts w:hint="eastAsia"/>
                <w:lang w:eastAsia="zh-CN"/>
              </w:rPr>
              <w:t>方法中用来规划、监督、评估和报告的战略管理手段。它为实现所期待的结果（结果链）提供了必不可少的程序步骤</w:t>
            </w:r>
            <w:r>
              <w:rPr>
                <w:lang w:eastAsia="zh-CN"/>
              </w:rPr>
              <w:t xml:space="preserve"> – </w:t>
            </w:r>
            <w:r>
              <w:rPr>
                <w:rFonts w:hint="eastAsia"/>
                <w:lang w:eastAsia="zh-CN"/>
              </w:rPr>
              <w:t>从部门层面和部门间目标的投入开始，经过各项活动和输出成果到成果，再到对国际电联层面战略目标和具体目标的影响。该框架解释了结果的实现过程，包括因果关系以及可能的假设和风险。</w:t>
            </w:r>
            <w:r>
              <w:rPr>
                <w:rFonts w:hint="eastAsia"/>
              </w:rPr>
              <w:t>结果框架反映的是整个组织的战略设想。</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总体战略目标</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总体战略目标系指部门目标直接或间接为之做出贡献的国际电联高层目标，是关乎整个国际电联的目标。</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战略规划</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战略规划定义国际电联为完成其使命在一个四年期阶段中的战略。此规划确定战略性总体目标和具体目标并代表国际电联在该阶段内的规划。是体现国际电联战略愿景的主要手段。</w:t>
            </w:r>
          </w:p>
          <w:p w:rsidR="00377FCE" w:rsidRDefault="00377FCE" w:rsidP="0062008B">
            <w:pPr>
              <w:pStyle w:val="Tabletext"/>
              <w:rPr>
                <w:lang w:eastAsia="zh-CN"/>
              </w:rPr>
            </w:pPr>
            <w:r>
              <w:rPr>
                <w:rFonts w:hint="eastAsia"/>
                <w:lang w:eastAsia="zh-CN"/>
              </w:rPr>
              <w:t>战略规划应在全权代表大会确定的财务限制内予以落实。</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战略风险</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战略风险系指影响一组织的战略和战略实施的不确定情况和未开发机会。</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战略风险管理（</w:t>
            </w:r>
            <w:r>
              <w:rPr>
                <w:lang w:eastAsia="zh-CN"/>
              </w:rPr>
              <w:t>SRM</w:t>
            </w:r>
            <w:r>
              <w:rPr>
                <w:rFonts w:hint="eastAsia"/>
                <w:lang w:eastAsia="zh-CN"/>
              </w:rPr>
              <w:t>）</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战略风险管理是一种确定影响一组织实现其使命能力的不确定情况与未开发机会并就此采取行动的管理做法。</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具体战略目标</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val="en-US" w:eastAsia="zh-CN"/>
              </w:rPr>
            </w:pPr>
            <w:r>
              <w:rPr>
                <w:rFonts w:hint="eastAsia"/>
                <w:lang w:eastAsia="zh-CN"/>
              </w:rPr>
              <w:t>具体战略目标是战略规划期中的预期结果；这些目标显示一总体目标是否正在实现的迹象。由于可能属国际电联掌控之外的原因，具体目标不一定总能实现。</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优势、劣势、机会与威胁（</w:t>
            </w:r>
            <w:r>
              <w:rPr>
                <w:lang w:eastAsia="zh-CN"/>
              </w:rPr>
              <w:t>SWOT</w:t>
            </w:r>
            <w:r>
              <w:rPr>
                <w:rFonts w:hint="eastAsia"/>
                <w:lang w:eastAsia="zh-CN"/>
              </w:rPr>
              <w:t>）分析</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某一组织为找到自身的优势和劣势以及应面对的问题或机会所做的一项研究。</w:t>
            </w:r>
            <w:r>
              <w:rPr>
                <w:lang w:eastAsia="zh-CN"/>
              </w:rPr>
              <w:t>SWOT</w:t>
            </w:r>
            <w:r>
              <w:rPr>
                <w:rFonts w:hint="eastAsia"/>
                <w:lang w:eastAsia="zh-CN"/>
              </w:rPr>
              <w:t>由“优势”、“劣势”、“机会”和“威胁”对应的四个英文单词的首字母组成。</w:t>
            </w:r>
          </w:p>
          <w:p w:rsidR="00377FCE" w:rsidRDefault="00377FCE" w:rsidP="0062008B">
            <w:pPr>
              <w:pStyle w:val="Tabletext"/>
              <w:rPr>
                <w:lang w:eastAsia="zh-CN"/>
              </w:rPr>
            </w:pPr>
            <w:r>
              <w:rPr>
                <w:rFonts w:hint="eastAsia"/>
                <w:lang w:eastAsia="zh-CN"/>
              </w:rPr>
              <w:t>内部因素：</w:t>
            </w:r>
          </w:p>
          <w:p w:rsidR="00377FCE" w:rsidRDefault="00377FCE" w:rsidP="0062008B">
            <w:pPr>
              <w:pStyle w:val="Tabletext"/>
              <w:rPr>
                <w:lang w:eastAsia="zh-CN"/>
              </w:rPr>
            </w:pPr>
            <w:r>
              <w:rPr>
                <w:lang w:eastAsia="zh-CN"/>
              </w:rPr>
              <w:t xml:space="preserve">- </w:t>
            </w:r>
            <w:r>
              <w:rPr>
                <w:rFonts w:hint="eastAsia"/>
                <w:lang w:eastAsia="zh-CN"/>
              </w:rPr>
              <w:t>优势是使组织能够实现良好运作的能力——需要加以利用的能力。</w:t>
            </w:r>
          </w:p>
          <w:p w:rsidR="00377FCE" w:rsidRDefault="00377FCE" w:rsidP="0062008B">
            <w:pPr>
              <w:pStyle w:val="Tabletext"/>
              <w:rPr>
                <w:lang w:eastAsia="zh-CN"/>
              </w:rPr>
            </w:pPr>
            <w:r>
              <w:rPr>
                <w:lang w:eastAsia="zh-CN"/>
              </w:rPr>
              <w:t xml:space="preserve">- </w:t>
            </w:r>
            <w:r>
              <w:rPr>
                <w:rFonts w:hint="eastAsia"/>
                <w:lang w:eastAsia="zh-CN"/>
              </w:rPr>
              <w:t>劣势是影响组织良好运作并需要解决的特点。</w:t>
            </w:r>
          </w:p>
          <w:p w:rsidR="00377FCE" w:rsidRDefault="00377FCE" w:rsidP="0062008B">
            <w:pPr>
              <w:pStyle w:val="Tabletext"/>
              <w:rPr>
                <w:lang w:eastAsia="zh-CN"/>
              </w:rPr>
            </w:pPr>
            <w:r>
              <w:rPr>
                <w:rFonts w:hint="eastAsia"/>
                <w:lang w:eastAsia="zh-CN"/>
              </w:rPr>
              <w:t>外部因素：</w:t>
            </w:r>
          </w:p>
          <w:p w:rsidR="00377FCE" w:rsidRDefault="00377FCE" w:rsidP="0062008B">
            <w:pPr>
              <w:pStyle w:val="Tabletext"/>
              <w:rPr>
                <w:lang w:eastAsia="zh-CN"/>
              </w:rPr>
            </w:pPr>
            <w:r>
              <w:rPr>
                <w:lang w:eastAsia="zh-CN"/>
              </w:rPr>
              <w:t xml:space="preserve">- </w:t>
            </w:r>
            <w:r>
              <w:rPr>
                <w:rFonts w:hint="eastAsia"/>
                <w:lang w:eastAsia="zh-CN"/>
              </w:rPr>
              <w:t>机会是组织可以利用的趋势、力量、事件和想法。</w:t>
            </w:r>
          </w:p>
          <w:p w:rsidR="00377FCE" w:rsidRDefault="00377FCE" w:rsidP="0062008B">
            <w:pPr>
              <w:pStyle w:val="Tabletext"/>
              <w:rPr>
                <w:lang w:eastAsia="zh-CN"/>
              </w:rPr>
            </w:pPr>
            <w:r>
              <w:rPr>
                <w:lang w:eastAsia="zh-CN"/>
              </w:rPr>
              <w:t xml:space="preserve">- </w:t>
            </w:r>
            <w:r>
              <w:rPr>
                <w:rFonts w:hint="eastAsia"/>
                <w:lang w:eastAsia="zh-CN"/>
              </w:rPr>
              <w:t>威胁是在组织控制之外的、需要组织减轻的可能性事件或力量。</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价值观</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推动国际电联开展优先工作并引导其所有决策进程的国际电联的共同信念。</w:t>
            </w:r>
          </w:p>
        </w:tc>
      </w:tr>
      <w:tr w:rsidR="00377FCE" w:rsidTr="00AF122C">
        <w:trPr>
          <w:cantSplit/>
          <w:jc w:val="center"/>
        </w:trPr>
        <w:tc>
          <w:tcPr>
            <w:tcW w:w="1813"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pPr>
            <w:r>
              <w:rPr>
                <w:rFonts w:hint="eastAsia"/>
              </w:rPr>
              <w:t>愿景</w:t>
            </w:r>
          </w:p>
        </w:tc>
        <w:tc>
          <w:tcPr>
            <w:tcW w:w="7532" w:type="dxa"/>
            <w:tcBorders>
              <w:top w:val="single" w:sz="4" w:space="0" w:color="auto"/>
              <w:left w:val="single" w:sz="4" w:space="0" w:color="auto"/>
              <w:bottom w:val="single" w:sz="4" w:space="0" w:color="auto"/>
              <w:right w:val="single" w:sz="4" w:space="0" w:color="auto"/>
            </w:tcBorders>
            <w:hideMark/>
          </w:tcPr>
          <w:p w:rsidR="00377FCE" w:rsidRDefault="00377FCE" w:rsidP="0062008B">
            <w:pPr>
              <w:pStyle w:val="Tabletext"/>
              <w:rPr>
                <w:lang w:eastAsia="zh-CN"/>
              </w:rPr>
            </w:pPr>
            <w:r>
              <w:rPr>
                <w:rFonts w:hint="eastAsia"/>
                <w:lang w:eastAsia="zh-CN"/>
              </w:rPr>
              <w:t>国际电联希望看到的更美好世界。</w:t>
            </w:r>
          </w:p>
        </w:tc>
      </w:tr>
    </w:tbl>
    <w:p w:rsidR="00377FCE" w:rsidRDefault="00377FCE" w:rsidP="00377FCE">
      <w:pPr>
        <w:rPr>
          <w:lang w:eastAsia="zh-CN"/>
        </w:rPr>
      </w:pPr>
    </w:p>
    <w:p w:rsidR="00377FCE" w:rsidRDefault="00377FCE" w:rsidP="00377FCE">
      <w:pPr>
        <w:spacing w:after="200"/>
        <w:rPr>
          <w:rFonts w:cs="Calibri"/>
          <w:lang w:eastAsia="zh-CN"/>
        </w:rPr>
      </w:pPr>
      <w:r>
        <w:rPr>
          <w:rFonts w:cs="Calibri"/>
          <w:lang w:eastAsia="zh-CN"/>
        </w:rPr>
        <w:br w:type="page"/>
      </w:r>
    </w:p>
    <w:p w:rsidR="00377FCE" w:rsidRDefault="00377FCE" w:rsidP="00377FCE">
      <w:pPr>
        <w:pStyle w:val="Heading1"/>
        <w:rPr>
          <w:rFonts w:cs="Calibri"/>
          <w:lang w:eastAsia="zh-CN"/>
        </w:rPr>
      </w:pPr>
      <w:r>
        <w:rPr>
          <w:rFonts w:hint="eastAsia"/>
          <w:lang w:eastAsia="zh-CN"/>
        </w:rPr>
        <w:lastRenderedPageBreak/>
        <w:t>所有六种正式语文的术语列表</w:t>
      </w:r>
    </w:p>
    <w:tbl>
      <w:tblPr>
        <w:tblpPr w:leftFromText="180" w:rightFromText="180" w:vertAnchor="text" w:horzAnchor="margin" w:tblpXSpec="center" w:tblpY="4"/>
        <w:tblW w:w="0" w:type="dxa"/>
        <w:tblLayout w:type="fixed"/>
        <w:tblLook w:val="04A0" w:firstRow="1" w:lastRow="0" w:firstColumn="1" w:lastColumn="0" w:noHBand="0" w:noVBand="1"/>
      </w:tblPr>
      <w:tblGrid>
        <w:gridCol w:w="1418"/>
        <w:gridCol w:w="1309"/>
        <w:gridCol w:w="1917"/>
        <w:gridCol w:w="1492"/>
        <w:gridCol w:w="1984"/>
        <w:gridCol w:w="1702"/>
      </w:tblGrid>
      <w:tr w:rsidR="00377FCE" w:rsidTr="0062008B">
        <w:trPr>
          <w:trHeight w:val="406"/>
          <w:tblHeader/>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548DD4" w:themeFill="text2" w:themeFillTint="99"/>
            <w:vAlign w:val="center"/>
            <w:hideMark/>
          </w:tcPr>
          <w:p w:rsidR="00377FCE" w:rsidRDefault="00377FCE" w:rsidP="0062008B">
            <w:pPr>
              <w:pStyle w:val="Tablehead"/>
              <w:rPr>
                <w:rFonts w:asciiTheme="minorHAnsi" w:hAnsiTheme="minorHAnsi" w:cstheme="majorBidi"/>
                <w:i/>
                <w:iCs/>
                <w:color w:val="FFFFFF" w:themeColor="background1"/>
                <w:sz w:val="20"/>
                <w:lang w:eastAsia="zh-CN"/>
              </w:rPr>
            </w:pPr>
            <w:r>
              <w:rPr>
                <w:rFonts w:asciiTheme="minorHAnsi" w:hAnsiTheme="minorHAnsi" w:cstheme="majorBidi" w:hint="eastAsia"/>
                <w:color w:val="FFFFFF" w:themeColor="background1"/>
                <w:sz w:val="20"/>
                <w:lang w:eastAsia="zh-CN"/>
              </w:rPr>
              <w:t>英文</w:t>
            </w:r>
          </w:p>
        </w:tc>
        <w:tc>
          <w:tcPr>
            <w:tcW w:w="1309" w:type="dxa"/>
            <w:tcBorders>
              <w:top w:val="single" w:sz="4" w:space="0" w:color="548DD4" w:themeColor="text2" w:themeTint="99"/>
              <w:left w:val="nil"/>
              <w:bottom w:val="single" w:sz="4" w:space="0" w:color="548DD4" w:themeColor="text2" w:themeTint="99"/>
              <w:right w:val="nil"/>
            </w:tcBorders>
            <w:shd w:val="clear" w:color="auto" w:fill="548DD4" w:themeFill="text2" w:themeFillTint="99"/>
            <w:vAlign w:val="center"/>
            <w:hideMark/>
          </w:tcPr>
          <w:p w:rsidR="00377FCE" w:rsidRDefault="00377FCE" w:rsidP="0062008B">
            <w:pPr>
              <w:spacing w:after="120"/>
              <w:jc w:val="center"/>
              <w:rPr>
                <w:b/>
                <w:color w:val="FFFFFF" w:themeColor="background1"/>
                <w:sz w:val="20"/>
              </w:rPr>
            </w:pPr>
            <w:r>
              <w:rPr>
                <w:rFonts w:hint="eastAsia"/>
                <w:b/>
                <w:color w:val="FFFFFF" w:themeColor="background1"/>
                <w:sz w:val="20"/>
              </w:rPr>
              <w:t>阿拉伯文</w:t>
            </w:r>
          </w:p>
        </w:tc>
        <w:tc>
          <w:tcPr>
            <w:tcW w:w="1917" w:type="dxa"/>
            <w:tcBorders>
              <w:top w:val="single" w:sz="4" w:space="0" w:color="548DD4" w:themeColor="text2" w:themeTint="99"/>
              <w:left w:val="nil"/>
              <w:bottom w:val="single" w:sz="4" w:space="0" w:color="548DD4" w:themeColor="text2" w:themeTint="99"/>
              <w:right w:val="nil"/>
            </w:tcBorders>
            <w:shd w:val="clear" w:color="auto" w:fill="548DD4" w:themeFill="text2" w:themeFillTint="99"/>
            <w:vAlign w:val="center"/>
            <w:hideMark/>
          </w:tcPr>
          <w:p w:rsidR="00377FCE" w:rsidRDefault="00377FCE" w:rsidP="0062008B">
            <w:pPr>
              <w:spacing w:after="120"/>
              <w:jc w:val="center"/>
              <w:rPr>
                <w:b/>
                <w:color w:val="FFFFFF" w:themeColor="background1"/>
                <w:sz w:val="20"/>
              </w:rPr>
            </w:pPr>
            <w:r>
              <w:rPr>
                <w:rFonts w:hint="eastAsia"/>
                <w:b/>
                <w:color w:val="FFFFFF" w:themeColor="background1"/>
                <w:sz w:val="20"/>
              </w:rPr>
              <w:t>中文</w:t>
            </w:r>
          </w:p>
        </w:tc>
        <w:tc>
          <w:tcPr>
            <w:tcW w:w="1492" w:type="dxa"/>
            <w:tcBorders>
              <w:top w:val="single" w:sz="4" w:space="0" w:color="548DD4" w:themeColor="text2" w:themeTint="99"/>
              <w:left w:val="nil"/>
              <w:bottom w:val="single" w:sz="4" w:space="0" w:color="548DD4" w:themeColor="text2" w:themeTint="99"/>
              <w:right w:val="nil"/>
            </w:tcBorders>
            <w:shd w:val="clear" w:color="auto" w:fill="548DD4" w:themeFill="text2" w:themeFillTint="99"/>
            <w:vAlign w:val="center"/>
            <w:hideMark/>
          </w:tcPr>
          <w:p w:rsidR="00377FCE" w:rsidRDefault="00377FCE" w:rsidP="0062008B">
            <w:pPr>
              <w:spacing w:after="120"/>
              <w:jc w:val="center"/>
              <w:rPr>
                <w:b/>
                <w:color w:val="FFFFFF" w:themeColor="background1"/>
                <w:sz w:val="20"/>
              </w:rPr>
            </w:pPr>
            <w:r>
              <w:rPr>
                <w:rFonts w:hint="eastAsia"/>
                <w:b/>
                <w:color w:val="FFFFFF" w:themeColor="background1"/>
                <w:sz w:val="20"/>
              </w:rPr>
              <w:t>法文</w:t>
            </w:r>
          </w:p>
        </w:tc>
        <w:tc>
          <w:tcPr>
            <w:tcW w:w="1984" w:type="dxa"/>
            <w:tcBorders>
              <w:top w:val="nil"/>
              <w:left w:val="nil"/>
              <w:bottom w:val="single" w:sz="4" w:space="0" w:color="548DD4" w:themeColor="text2" w:themeTint="99"/>
              <w:right w:val="nil"/>
            </w:tcBorders>
            <w:shd w:val="clear" w:color="auto" w:fill="548DD4" w:themeFill="text2" w:themeFillTint="99"/>
            <w:vAlign w:val="center"/>
            <w:hideMark/>
          </w:tcPr>
          <w:p w:rsidR="00377FCE" w:rsidRDefault="00377FCE" w:rsidP="0062008B">
            <w:pPr>
              <w:spacing w:after="120"/>
              <w:jc w:val="center"/>
              <w:rPr>
                <w:b/>
                <w:color w:val="FFFFFF" w:themeColor="background1"/>
                <w:sz w:val="20"/>
              </w:rPr>
            </w:pPr>
            <w:r>
              <w:rPr>
                <w:rFonts w:hint="eastAsia"/>
                <w:b/>
                <w:color w:val="FFFFFF" w:themeColor="background1"/>
                <w:sz w:val="20"/>
              </w:rPr>
              <w:t>俄文</w:t>
            </w:r>
          </w:p>
        </w:tc>
        <w:tc>
          <w:tcPr>
            <w:tcW w:w="1702" w:type="dxa"/>
            <w:tcBorders>
              <w:top w:val="nil"/>
              <w:left w:val="nil"/>
              <w:bottom w:val="single" w:sz="4" w:space="0" w:color="548DD4" w:themeColor="text2" w:themeTint="99"/>
              <w:right w:val="single" w:sz="4" w:space="0" w:color="548DD4" w:themeColor="text2" w:themeTint="99"/>
            </w:tcBorders>
            <w:shd w:val="clear" w:color="auto" w:fill="548DD4" w:themeFill="text2" w:themeFillTint="99"/>
            <w:vAlign w:val="center"/>
            <w:hideMark/>
          </w:tcPr>
          <w:p w:rsidR="00377FCE" w:rsidRDefault="00377FCE" w:rsidP="0062008B">
            <w:pPr>
              <w:spacing w:after="120"/>
              <w:jc w:val="center"/>
              <w:rPr>
                <w:b/>
                <w:color w:val="FFFFFF" w:themeColor="background1"/>
                <w:sz w:val="20"/>
              </w:rPr>
            </w:pPr>
            <w:r>
              <w:rPr>
                <w:rFonts w:hint="eastAsia"/>
                <w:b/>
                <w:color w:val="FFFFFF" w:themeColor="background1"/>
                <w:sz w:val="20"/>
              </w:rPr>
              <w:t>西班牙文</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Activities</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الأنشطة</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tl/>
              </w:rPr>
            </w:pPr>
            <w:r>
              <w:rPr>
                <w:rFonts w:hint="eastAsia"/>
                <w:sz w:val="20"/>
              </w:rPr>
              <w:t>活动</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Activités</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lang w:val="ru-RU"/>
              </w:rPr>
            </w:pPr>
            <w:r>
              <w:rPr>
                <w:rFonts w:cs="Calibri"/>
                <w:sz w:val="18"/>
                <w:szCs w:val="18"/>
                <w:lang w:val="ru-RU"/>
              </w:rPr>
              <w:t>Виды деятельности</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Actividades</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Financial Plan</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الخطة المالية</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Pr>
            </w:pPr>
            <w:r>
              <w:rPr>
                <w:rFonts w:hint="eastAsia"/>
                <w:sz w:val="20"/>
              </w:rPr>
              <w:t>财务规划</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Plan financier</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lang w:val="ru-RU"/>
              </w:rPr>
            </w:pPr>
            <w:r>
              <w:rPr>
                <w:rFonts w:cs="Calibri"/>
                <w:sz w:val="18"/>
                <w:szCs w:val="18"/>
                <w:lang w:val="ru-RU"/>
              </w:rPr>
              <w:t>Финансовый план</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Plan Financiero</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Inputs</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المدخلات</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lang w:eastAsia="zh-CN"/>
              </w:rPr>
            </w:pPr>
            <w:r>
              <w:rPr>
                <w:rFonts w:hint="eastAsia"/>
                <w:sz w:val="20"/>
                <w:lang w:eastAsia="zh-CN"/>
              </w:rPr>
              <w:t>投入，输入意见（取决于上下文）</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Contributions</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rPr>
            </w:pPr>
            <w:r>
              <w:rPr>
                <w:rFonts w:cs="Calibri"/>
                <w:sz w:val="18"/>
                <w:szCs w:val="18"/>
                <w:lang w:val="ru-RU"/>
              </w:rPr>
              <w:t>Исходные ресурсы</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Insumos</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i/>
                <w:iCs/>
                <w:sz w:val="20"/>
              </w:rPr>
            </w:pPr>
            <w:r>
              <w:rPr>
                <w:rFonts w:cs="Traditional Arabic"/>
                <w:sz w:val="20"/>
              </w:rPr>
              <w:t>Mission</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الرسالة</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Pr>
            </w:pPr>
            <w:r>
              <w:rPr>
                <w:rFonts w:hint="eastAsia"/>
                <w:sz w:val="20"/>
              </w:rPr>
              <w:t>使命</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Mission</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rPr>
            </w:pPr>
            <w:r>
              <w:rPr>
                <w:rFonts w:cs="Calibri"/>
                <w:sz w:val="18"/>
                <w:szCs w:val="18"/>
                <w:lang w:val="ru-RU"/>
              </w:rPr>
              <w:t>Миссия</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Misión</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Objectives</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الأهداف</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tl/>
              </w:rPr>
            </w:pPr>
            <w:r>
              <w:rPr>
                <w:rFonts w:hint="eastAsia"/>
                <w:sz w:val="20"/>
              </w:rPr>
              <w:t>部门目标</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Objectifs</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rPr>
            </w:pPr>
            <w:r>
              <w:rPr>
                <w:rFonts w:cs="Calibri"/>
                <w:sz w:val="18"/>
                <w:szCs w:val="18"/>
                <w:lang w:val="ru-RU"/>
              </w:rPr>
              <w:t>Задачи</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Objetivos</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Operational Plan</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الخطة التشغيلية</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Pr>
            </w:pPr>
            <w:r>
              <w:rPr>
                <w:rFonts w:hint="eastAsia"/>
                <w:sz w:val="20"/>
              </w:rPr>
              <w:t>运作规划</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Plan opérationnel</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rPr>
            </w:pPr>
            <w:r>
              <w:rPr>
                <w:rFonts w:cs="Calibri"/>
                <w:sz w:val="18"/>
                <w:szCs w:val="18"/>
                <w:lang w:val="ru-RU"/>
              </w:rPr>
              <w:t>Оперативный план</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Plan Operacional</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Outcomes</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النتائج</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Pr>
            </w:pPr>
            <w:r>
              <w:rPr>
                <w:rFonts w:hint="eastAsia"/>
                <w:sz w:val="20"/>
              </w:rPr>
              <w:t>结果</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Résultats</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rPr>
            </w:pPr>
            <w:r>
              <w:rPr>
                <w:rFonts w:cs="Calibri"/>
                <w:sz w:val="18"/>
                <w:szCs w:val="18"/>
                <w:lang w:val="ru-RU"/>
              </w:rPr>
              <w:t>Конечные результаты</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Resultados</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i/>
                <w:iCs/>
                <w:sz w:val="20"/>
              </w:rPr>
            </w:pPr>
            <w:r>
              <w:rPr>
                <w:rFonts w:cs="Traditional Arabic"/>
                <w:sz w:val="20"/>
              </w:rPr>
              <w:t>Outputs</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النواتج</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Pr>
            </w:pPr>
            <w:r>
              <w:rPr>
                <w:rFonts w:hint="eastAsia"/>
                <w:sz w:val="20"/>
              </w:rPr>
              <w:t>输出成果</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Produits</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rPr>
            </w:pPr>
            <w:r>
              <w:rPr>
                <w:rFonts w:cs="Calibri"/>
                <w:sz w:val="18"/>
                <w:szCs w:val="18"/>
                <w:lang w:val="ru-RU"/>
              </w:rPr>
              <w:t>Намеченные результаты деятельности</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Productos</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keepNext/>
              <w:spacing w:before="60"/>
              <w:rPr>
                <w:rFonts w:eastAsia="Times New Roman"/>
                <w:sz w:val="20"/>
                <w:lang w:val="es-ES_tradnl"/>
              </w:rPr>
            </w:pPr>
            <w:r>
              <w:rPr>
                <w:rFonts w:eastAsia="Times New Roman"/>
                <w:sz w:val="20"/>
                <w:lang w:val="es-ES_tradnl"/>
              </w:rPr>
              <w:t>Performance Indicators</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مؤشرات الأداء</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keepNext/>
              <w:spacing w:before="60"/>
              <w:rPr>
                <w:rFonts w:ascii="SimSun" w:hAnsi="SimSun" w:cs="SimSun"/>
                <w:bCs/>
                <w:sz w:val="20"/>
                <w:rtl/>
                <w:lang w:val="es-ES_tradnl"/>
              </w:rPr>
            </w:pPr>
            <w:r>
              <w:rPr>
                <w:rFonts w:ascii="SimSun" w:hAnsi="SimSun" w:cs="SimSun" w:hint="eastAsia"/>
                <w:bCs/>
                <w:sz w:val="20"/>
                <w:lang w:val="es-ES_tradnl"/>
              </w:rPr>
              <w:t>绩效指标</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spacing w:before="60"/>
              <w:rPr>
                <w:rFonts w:eastAsia="Times New Roman"/>
                <w:bCs/>
                <w:sz w:val="20"/>
                <w:lang w:val="es-ES_tradnl"/>
              </w:rPr>
            </w:pPr>
            <w:r>
              <w:rPr>
                <w:rFonts w:eastAsia="Times New Roman"/>
                <w:sz w:val="20"/>
                <w:lang w:val="es-ES_tradnl"/>
              </w:rPr>
              <w:t>Indicateurs de performance</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tabs>
                <w:tab w:val="left" w:pos="284"/>
                <w:tab w:val="left" w:pos="851"/>
                <w:tab w:val="left" w:pos="1418"/>
                <w:tab w:val="left" w:pos="2552"/>
                <w:tab w:val="left" w:pos="3119"/>
                <w:tab w:val="left" w:pos="3402"/>
                <w:tab w:val="left" w:pos="3686"/>
                <w:tab w:val="left" w:pos="3969"/>
              </w:tabs>
              <w:spacing w:before="60"/>
              <w:rPr>
                <w:rFonts w:eastAsia="Times New Roman" w:cs="Traditional Arabic"/>
                <w:sz w:val="20"/>
                <w:lang w:val="es-ES_tradnl"/>
              </w:rPr>
            </w:pPr>
            <w:r>
              <w:rPr>
                <w:rFonts w:eastAsia="Times New Roman"/>
                <w:sz w:val="20"/>
                <w:lang w:val="es-ES_tradnl"/>
              </w:rPr>
              <w:t>Показатели деятельности</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spacing w:before="60"/>
              <w:rPr>
                <w:rFonts w:eastAsia="Times New Roman"/>
                <w:bCs/>
                <w:sz w:val="20"/>
                <w:lang w:val="es-ES_tradnl"/>
              </w:rPr>
            </w:pPr>
            <w:r>
              <w:rPr>
                <w:rFonts w:eastAsia="Times New Roman"/>
                <w:bCs/>
                <w:sz w:val="20"/>
                <w:lang w:val="es-ES_tradnl"/>
              </w:rPr>
              <w:t>Indicadores de rendimiento</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Processes</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العمليات</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Pr>
            </w:pPr>
            <w:r>
              <w:rPr>
                <w:rFonts w:hint="eastAsia"/>
                <w:sz w:val="20"/>
              </w:rPr>
              <w:t>进程</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Processus</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lang w:val="ru-RU"/>
              </w:rPr>
            </w:pPr>
            <w:r>
              <w:rPr>
                <w:rFonts w:cs="Calibri"/>
                <w:sz w:val="18"/>
                <w:szCs w:val="18"/>
                <w:lang w:val="ru-RU"/>
              </w:rPr>
              <w:t>Процессы</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Procesos</w:t>
            </w:r>
          </w:p>
        </w:tc>
      </w:tr>
      <w:tr w:rsidR="00377FCE" w:rsidRPr="00E301A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Results-based budgeting</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الميزنة على أساس النتائج</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Pr>
            </w:pPr>
            <w:r>
              <w:rPr>
                <w:rFonts w:hint="eastAsia"/>
                <w:sz w:val="20"/>
              </w:rPr>
              <w:t>基于结果的预算</w:t>
            </w:r>
            <w:r>
              <w:rPr>
                <w:sz w:val="20"/>
              </w:rPr>
              <w:br/>
            </w:r>
            <w:r>
              <w:rPr>
                <w:rFonts w:hint="eastAsia"/>
                <w:sz w:val="20"/>
              </w:rPr>
              <w:t>制定</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lang w:val="fr-CH"/>
              </w:rPr>
            </w:pPr>
            <w:r>
              <w:rPr>
                <w:sz w:val="18"/>
                <w:szCs w:val="18"/>
                <w:lang w:val="fr-CH"/>
              </w:rPr>
              <w:t>Budgétisation axée sur les résultats</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lang w:val="ru-RU"/>
              </w:rPr>
            </w:pPr>
            <w:r>
              <w:rPr>
                <w:rFonts w:cs="Calibri"/>
                <w:sz w:val="18"/>
                <w:szCs w:val="18"/>
                <w:lang w:val="ru-RU"/>
              </w:rPr>
              <w:t>Составление бюджета, ориентированного на результаты (БОР)</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Elaboración del Presupuesto basado en los resultados</w:t>
            </w:r>
          </w:p>
        </w:tc>
      </w:tr>
      <w:tr w:rsidR="00377FCE" w:rsidRPr="00E301A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 xml:space="preserve">Results-based Management </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الإدارة على أساس النتائج</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Pr>
            </w:pPr>
            <w:r>
              <w:rPr>
                <w:rFonts w:hint="eastAsia"/>
                <w:sz w:val="20"/>
              </w:rPr>
              <w:t>基于结果的管理</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lang w:val="fr-CH"/>
              </w:rPr>
            </w:pPr>
            <w:r>
              <w:rPr>
                <w:sz w:val="18"/>
                <w:szCs w:val="18"/>
                <w:lang w:val="fr-CH"/>
              </w:rPr>
              <w:t>Gestion axée sur les résultats</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lang w:val="ru-RU"/>
              </w:rPr>
            </w:pPr>
            <w:r>
              <w:rPr>
                <w:rFonts w:cs="Calibri"/>
                <w:sz w:val="18"/>
                <w:szCs w:val="18"/>
                <w:lang w:val="ru-RU"/>
              </w:rPr>
              <w:t>Управление, ориентированное на результаты (УОР)</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Gestión basada en los resultados</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keepNext/>
              <w:spacing w:before="60"/>
              <w:rPr>
                <w:rFonts w:eastAsia="Times New Roman"/>
                <w:sz w:val="20"/>
                <w:lang w:val="es-ES_tradnl"/>
              </w:rPr>
            </w:pPr>
            <w:r>
              <w:rPr>
                <w:rFonts w:eastAsia="Times New Roman"/>
                <w:sz w:val="20"/>
                <w:lang w:val="es-ES_tradnl"/>
              </w:rPr>
              <w:t>Results framework</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إطار النتائج</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spacing w:before="60"/>
              <w:rPr>
                <w:rFonts w:eastAsia="Times New Roman"/>
                <w:bCs/>
                <w:sz w:val="20"/>
                <w:rtl/>
                <w:lang w:val="es-ES_tradnl"/>
              </w:rPr>
            </w:pPr>
            <w:r>
              <w:rPr>
                <w:rFonts w:ascii="SimSun" w:hAnsi="SimSun" w:cs="SimSun" w:hint="eastAsia"/>
                <w:bCs/>
                <w:sz w:val="20"/>
                <w:lang w:val="es-ES_tradnl"/>
              </w:rPr>
              <w:t>结果框架</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spacing w:before="60"/>
              <w:rPr>
                <w:rFonts w:eastAsia="Times New Roman"/>
                <w:sz w:val="20"/>
                <w:lang w:val="fr-CH"/>
              </w:rPr>
            </w:pPr>
            <w:r>
              <w:rPr>
                <w:rFonts w:eastAsia="Times New Roman"/>
                <w:sz w:val="20"/>
                <w:lang w:val="fr-CH"/>
              </w:rPr>
              <w:t>Cadre de présentation des résultats</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tabs>
                <w:tab w:val="left" w:pos="284"/>
                <w:tab w:val="left" w:pos="851"/>
                <w:tab w:val="left" w:pos="1418"/>
                <w:tab w:val="left" w:pos="2552"/>
                <w:tab w:val="left" w:pos="3119"/>
                <w:tab w:val="left" w:pos="3402"/>
                <w:tab w:val="left" w:pos="3686"/>
                <w:tab w:val="left" w:pos="3969"/>
              </w:tabs>
              <w:spacing w:before="60"/>
              <w:rPr>
                <w:rFonts w:eastAsia="Times New Roman"/>
                <w:sz w:val="20"/>
                <w:lang w:val="es-ES_tradnl"/>
              </w:rPr>
            </w:pPr>
            <w:r>
              <w:rPr>
                <w:rFonts w:eastAsia="Times New Roman"/>
                <w:sz w:val="20"/>
                <w:lang w:val="es-ES_tradnl"/>
              </w:rPr>
              <w:t>Структура результатов</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keepNext/>
              <w:spacing w:before="60"/>
              <w:rPr>
                <w:rFonts w:eastAsia="Times New Roman"/>
                <w:bCs/>
                <w:sz w:val="20"/>
                <w:lang w:val="es-ES_tradnl"/>
              </w:rPr>
            </w:pPr>
            <w:r>
              <w:rPr>
                <w:rFonts w:eastAsia="Times New Roman"/>
                <w:bCs/>
                <w:sz w:val="20"/>
                <w:lang w:val="es-ES_tradnl"/>
              </w:rPr>
              <w:t>Marco de resultados</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Strategic Goals</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الغايات الاستراتيجية</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Pr>
            </w:pPr>
            <w:r>
              <w:rPr>
                <w:rFonts w:hint="eastAsia"/>
                <w:sz w:val="20"/>
              </w:rPr>
              <w:t>总体战略目标</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Buts stratégiques</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rPr>
            </w:pPr>
            <w:r>
              <w:rPr>
                <w:rFonts w:cs="Calibri"/>
                <w:sz w:val="18"/>
                <w:szCs w:val="18"/>
                <w:lang w:val="ru-RU"/>
              </w:rPr>
              <w:t>Стратегические цели</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Metas estratégicas</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Strategic Plan</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الخطة الاستراتيجية</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Pr>
            </w:pPr>
            <w:r>
              <w:rPr>
                <w:rFonts w:hint="eastAsia"/>
                <w:sz w:val="20"/>
              </w:rPr>
              <w:t>战略规划</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Plan stratégique</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rPr>
            </w:pPr>
            <w:r>
              <w:rPr>
                <w:rFonts w:cs="Calibri"/>
                <w:sz w:val="18"/>
                <w:szCs w:val="18"/>
                <w:lang w:val="ru-RU"/>
              </w:rPr>
              <w:t>Стратегический план</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Plan Estratégico</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Strategic Risks</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المخاطر الاستراتيجية</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Pr>
            </w:pPr>
            <w:r>
              <w:rPr>
                <w:rFonts w:hint="eastAsia"/>
                <w:sz w:val="20"/>
              </w:rPr>
              <w:t>战略风险</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Risques stratégiques</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rPr>
            </w:pPr>
            <w:r>
              <w:rPr>
                <w:rFonts w:cs="Calibri"/>
                <w:sz w:val="18"/>
                <w:szCs w:val="18"/>
                <w:lang w:val="ru-RU"/>
              </w:rPr>
              <w:t>Стратегические риски</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Riesgos estratégicos</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 xml:space="preserve">Strategic Risk Management </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إدارة المخاطر الاستراتيجية</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Pr>
            </w:pPr>
            <w:r>
              <w:rPr>
                <w:rFonts w:hint="eastAsia"/>
                <w:sz w:val="20"/>
              </w:rPr>
              <w:t>战略风险管理</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Gestion des risques stratégiques</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rPr>
            </w:pPr>
            <w:r>
              <w:rPr>
                <w:rFonts w:cs="Calibri"/>
                <w:sz w:val="18"/>
                <w:szCs w:val="18"/>
                <w:lang w:val="ru-RU"/>
              </w:rPr>
              <w:t>Управление стратегическими рисками (УСР)</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Gestión de riesgos estratégicos</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Strategic Target</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المقاصد الاستراتيجية</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Pr>
            </w:pPr>
            <w:r>
              <w:rPr>
                <w:rFonts w:hint="eastAsia"/>
                <w:sz w:val="20"/>
              </w:rPr>
              <w:t>具体战略目标</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Cible stratégique</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rPr>
            </w:pPr>
            <w:r>
              <w:rPr>
                <w:rFonts w:cs="Calibri"/>
                <w:sz w:val="18"/>
                <w:szCs w:val="18"/>
                <w:lang w:val="ru-RU"/>
              </w:rPr>
              <w:t>Стратегический целевой показатель</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Finalidad estratégica</w:t>
            </w:r>
          </w:p>
        </w:tc>
      </w:tr>
      <w:tr w:rsidR="00377FCE" w:rsidRPr="00E301A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lang w:bidi="ar-EG"/>
              </w:rPr>
              <w:t>Strengths, Weakness, Opportunities and Threats (SWOT) analysis</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20"/>
                <w:szCs w:val="26"/>
                <w:rtl/>
              </w:rPr>
              <w:t>ت</w:t>
            </w:r>
            <w:r w:rsidRPr="006E51BC">
              <w:rPr>
                <w:rFonts w:eastAsia="Times New Roman" w:cs="Traditional Arabic" w:hint="cs"/>
                <w:sz w:val="20"/>
                <w:szCs w:val="26"/>
                <w:rtl/>
              </w:rPr>
              <w:t>حليل</w:t>
            </w:r>
            <w:r w:rsidRPr="006E51BC">
              <w:rPr>
                <w:rFonts w:eastAsia="Times New Roman" w:cs="Traditional Arabic"/>
                <w:sz w:val="20"/>
                <w:szCs w:val="26"/>
              </w:rPr>
              <w:t xml:space="preserve"> </w:t>
            </w:r>
            <w:r w:rsidRPr="006E51BC">
              <w:rPr>
                <w:rFonts w:eastAsia="Times New Roman" w:cs="Traditional Arabic" w:hint="cs"/>
                <w:sz w:val="20"/>
                <w:rtl/>
              </w:rPr>
              <w:t>مواطن</w:t>
            </w:r>
            <w:r w:rsidRPr="006E51BC">
              <w:rPr>
                <w:rFonts w:eastAsia="Times New Roman" w:cs="Traditional Arabic"/>
                <w:sz w:val="20"/>
              </w:rPr>
              <w:t xml:space="preserve"> </w:t>
            </w:r>
            <w:r w:rsidRPr="006E51BC">
              <w:rPr>
                <w:rFonts w:eastAsia="Times New Roman" w:cs="Traditional Arabic" w:hint="cs"/>
                <w:sz w:val="20"/>
                <w:rtl/>
              </w:rPr>
              <w:t>القوة</w:t>
            </w:r>
            <w:r w:rsidRPr="006E51BC">
              <w:rPr>
                <w:rFonts w:eastAsia="Times New Roman" w:cs="Traditional Arabic"/>
                <w:sz w:val="20"/>
              </w:rPr>
              <w:t xml:space="preserve"> </w:t>
            </w:r>
            <w:r w:rsidRPr="006E51BC">
              <w:rPr>
                <w:rFonts w:eastAsia="Times New Roman" w:cs="Traditional Arabic" w:hint="cs"/>
                <w:sz w:val="20"/>
                <w:rtl/>
              </w:rPr>
              <w:t>والضَعْف</w:t>
            </w:r>
            <w:r w:rsidRPr="006E51BC">
              <w:rPr>
                <w:rFonts w:eastAsia="Times New Roman" w:cs="Traditional Arabic"/>
                <w:sz w:val="20"/>
              </w:rPr>
              <w:t xml:space="preserve"> </w:t>
            </w:r>
            <w:r w:rsidRPr="006E51BC">
              <w:rPr>
                <w:rFonts w:eastAsia="Times New Roman" w:cs="Traditional Arabic" w:hint="cs"/>
                <w:sz w:val="20"/>
                <w:rtl/>
              </w:rPr>
              <w:t>والفرص</w:t>
            </w:r>
            <w:r w:rsidRPr="006E51BC">
              <w:rPr>
                <w:rFonts w:eastAsia="Times New Roman" w:cs="Traditional Arabic"/>
                <w:sz w:val="20"/>
              </w:rPr>
              <w:t xml:space="preserve"> </w:t>
            </w:r>
            <w:r w:rsidRPr="006E51BC">
              <w:rPr>
                <w:rFonts w:eastAsia="Times New Roman" w:cs="Traditional Arabic" w:hint="cs"/>
                <w:sz w:val="20"/>
                <w:rtl/>
              </w:rPr>
              <w:t>والمخاطر</w:t>
            </w:r>
            <w:r w:rsidRPr="006E51BC">
              <w:rPr>
                <w:rFonts w:eastAsia="Times New Roman" w:cs="Traditional Arabic"/>
                <w:sz w:val="20"/>
              </w:rPr>
              <w:t xml:space="preserve"> (SWOT)</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tl/>
                <w:lang w:eastAsia="zh-CN"/>
              </w:rPr>
            </w:pPr>
            <w:r>
              <w:rPr>
                <w:rFonts w:hint="eastAsia"/>
                <w:sz w:val="20"/>
                <w:lang w:eastAsia="zh-CN"/>
              </w:rPr>
              <w:t>优势、劣势、机会与威胁（</w:t>
            </w:r>
            <w:r>
              <w:rPr>
                <w:sz w:val="20"/>
                <w:lang w:eastAsia="zh-CN"/>
              </w:rPr>
              <w:t>SWOT</w:t>
            </w:r>
            <w:r>
              <w:rPr>
                <w:rFonts w:hint="eastAsia"/>
                <w:sz w:val="20"/>
                <w:lang w:eastAsia="zh-CN"/>
              </w:rPr>
              <w:t>）分析</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lang w:val="fr-CH" w:eastAsia="zh-CN"/>
              </w:rPr>
            </w:pPr>
            <w:r>
              <w:rPr>
                <w:sz w:val="20"/>
                <w:lang w:val="fr-FR"/>
              </w:rPr>
              <w:t>Analyse des forces, faiblesses, possibilités et menaces (SWOT)</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20"/>
                <w:lang w:val="ru-RU" w:eastAsia="zh-CN"/>
              </w:rPr>
            </w:pPr>
            <w:r>
              <w:rPr>
                <w:sz w:val="20"/>
                <w:lang w:val="ru-RU"/>
              </w:rPr>
              <w:t>Анализ сильных и слабых сторон, возможностей и угроз (SWOT)</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20"/>
                <w:lang w:val="es-ES" w:eastAsia="zh-CN"/>
              </w:rPr>
            </w:pPr>
            <w:r>
              <w:rPr>
                <w:sz w:val="20"/>
                <w:lang w:val="es-ES"/>
              </w:rPr>
              <w:t>Análisis de fortalezas, debilidades, oportunidades y amenazas (SWOT)</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Values</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القيم</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Pr>
            </w:pPr>
            <w:r>
              <w:rPr>
                <w:rFonts w:hint="eastAsia"/>
                <w:sz w:val="20"/>
              </w:rPr>
              <w:t>价值观</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Valeurs</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rPr>
            </w:pPr>
            <w:r>
              <w:rPr>
                <w:rFonts w:cs="Calibri"/>
                <w:sz w:val="18"/>
                <w:szCs w:val="18"/>
                <w:lang w:val="ru-RU"/>
              </w:rPr>
              <w:t>Ценности</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Valores</w:t>
            </w:r>
          </w:p>
        </w:tc>
      </w:tr>
      <w:tr w:rsidR="00377FCE" w:rsidTr="0062008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377FCE" w:rsidRDefault="00377FCE" w:rsidP="0062008B">
            <w:pPr>
              <w:pStyle w:val="Tabletext"/>
              <w:rPr>
                <w:rFonts w:cs="Traditional Arabic"/>
                <w:sz w:val="20"/>
              </w:rPr>
            </w:pPr>
            <w:r>
              <w:rPr>
                <w:rFonts w:cs="Traditional Arabic"/>
                <w:sz w:val="20"/>
              </w:rPr>
              <w:t>Vision</w:t>
            </w:r>
          </w:p>
        </w:tc>
        <w:tc>
          <w:tcPr>
            <w:tcW w:w="1309"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bidi/>
              <w:spacing w:before="20" w:after="20" w:line="280" w:lineRule="exact"/>
              <w:rPr>
                <w:rFonts w:cs="Traditional Arabic"/>
                <w:sz w:val="18"/>
              </w:rPr>
            </w:pPr>
            <w:r>
              <w:rPr>
                <w:rFonts w:cs="Traditional Arabic"/>
                <w:sz w:val="18"/>
                <w:rtl/>
              </w:rPr>
              <w:t>الرؤية</w:t>
            </w:r>
          </w:p>
        </w:tc>
        <w:tc>
          <w:tcPr>
            <w:tcW w:w="1917"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20"/>
              </w:rPr>
            </w:pPr>
            <w:r>
              <w:rPr>
                <w:rFonts w:hint="eastAsia"/>
                <w:sz w:val="20"/>
              </w:rPr>
              <w:t>愿景</w:t>
            </w:r>
          </w:p>
        </w:tc>
        <w:tc>
          <w:tcPr>
            <w:tcW w:w="1492"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sz w:val="18"/>
                <w:szCs w:val="18"/>
              </w:rPr>
            </w:pPr>
            <w:r>
              <w:rPr>
                <w:sz w:val="18"/>
                <w:szCs w:val="18"/>
              </w:rPr>
              <w:t>Vision</w:t>
            </w:r>
          </w:p>
        </w:tc>
        <w:tc>
          <w:tcPr>
            <w:tcW w:w="1984" w:type="dxa"/>
            <w:tcBorders>
              <w:top w:val="single" w:sz="4" w:space="0" w:color="548DD4" w:themeColor="text2" w:themeTint="99"/>
              <w:left w:val="nil"/>
              <w:bottom w:val="single" w:sz="4" w:space="0" w:color="548DD4" w:themeColor="text2" w:themeTint="99"/>
              <w:right w:val="nil"/>
            </w:tcBorders>
            <w:hideMark/>
          </w:tcPr>
          <w:p w:rsidR="00377FCE" w:rsidRDefault="00377FCE" w:rsidP="0062008B">
            <w:pPr>
              <w:rPr>
                <w:rFonts w:cs="Calibri"/>
                <w:sz w:val="18"/>
                <w:szCs w:val="18"/>
              </w:rPr>
            </w:pPr>
            <w:r>
              <w:rPr>
                <w:rFonts w:cs="Calibri"/>
                <w:sz w:val="18"/>
                <w:szCs w:val="18"/>
                <w:lang w:val="ru-RU"/>
              </w:rPr>
              <w:t>Концепция</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377FCE" w:rsidRDefault="00377FCE" w:rsidP="0062008B">
            <w:pPr>
              <w:rPr>
                <w:sz w:val="18"/>
                <w:szCs w:val="18"/>
                <w:lang w:val="es-ES"/>
              </w:rPr>
            </w:pPr>
            <w:r>
              <w:rPr>
                <w:sz w:val="18"/>
                <w:szCs w:val="18"/>
                <w:lang w:val="es-ES"/>
              </w:rPr>
              <w:t>Visión</w:t>
            </w:r>
          </w:p>
        </w:tc>
      </w:tr>
    </w:tbl>
    <w:p w:rsidR="00E301AE" w:rsidRPr="00E301AE" w:rsidRDefault="00E301AE" w:rsidP="00E301AE">
      <w:pPr>
        <w:pStyle w:val="Reasons"/>
        <w:rPr>
          <w:sz w:val="2"/>
          <w:szCs w:val="2"/>
        </w:rPr>
      </w:pPr>
      <w:bookmarkStart w:id="9" w:name="_GoBack"/>
    </w:p>
    <w:bookmarkEnd w:id="9"/>
    <w:p w:rsidR="00377FCE" w:rsidRDefault="00377FCE" w:rsidP="00377FCE">
      <w:pPr>
        <w:jc w:val="center"/>
      </w:pPr>
      <w:r>
        <w:t>______________</w:t>
      </w:r>
    </w:p>
    <w:sectPr w:rsidR="00377FCE">
      <w:headerReference w:type="default" r:id="rId10"/>
      <w:footerReference w:type="default" r:id="rId11"/>
      <w:footerReference w:type="first" r:id="rId12"/>
      <w:type w:val="continuous"/>
      <w:pgSz w:w="11907" w:h="16840"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7F8" w:rsidRDefault="006A07F8">
      <w:r>
        <w:separator/>
      </w:r>
    </w:p>
  </w:endnote>
  <w:endnote w:type="continuationSeparator" w:id="0">
    <w:p w:rsidR="006A07F8" w:rsidRDefault="006A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80" w:rsidRPr="003907C4" w:rsidRDefault="003A1711" w:rsidP="0093397B">
    <w:pPr>
      <w:pStyle w:val="Footer"/>
      <w:tabs>
        <w:tab w:val="clear" w:pos="5954"/>
        <w:tab w:val="clear" w:pos="9639"/>
        <w:tab w:val="left" w:pos="7797"/>
        <w:tab w:val="right" w:pos="9356"/>
      </w:tabs>
      <w:rPr>
        <w:lang w:val="en-US"/>
      </w:rPr>
    </w:pPr>
    <w:fldSimple w:instr=" FILENAME \p \* MERGEFORMAT ">
      <w:r w:rsidRPr="003A1711">
        <w:rPr>
          <w:lang w:val="en-US"/>
        </w:rPr>
        <w:t>P</w:t>
      </w:r>
      <w:r>
        <w:t>:\CHI\SG\CONF-SG\PP18\000\024ADD03C.docx</w:t>
      </w:r>
    </w:fldSimple>
    <w:r w:rsidR="00514591">
      <w:rPr>
        <w:lang w:val="en-US"/>
      </w:rPr>
      <w:t xml:space="preserve"> (440</w:t>
    </w:r>
    <w:r w:rsidR="0093397B">
      <w:rPr>
        <w:lang w:val="en-US"/>
      </w:rPr>
      <w:t>701</w:t>
    </w:r>
    <w:r w:rsidR="00514591">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80" w:rsidRDefault="00FD5280"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FD5280" w:rsidRDefault="00FD5280"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7F8" w:rsidRDefault="006A07F8">
      <w:r>
        <w:t>____________________</w:t>
      </w:r>
    </w:p>
  </w:footnote>
  <w:footnote w:type="continuationSeparator" w:id="0">
    <w:p w:rsidR="006A07F8" w:rsidRDefault="006A07F8">
      <w:r>
        <w:continuationSeparator/>
      </w:r>
    </w:p>
  </w:footnote>
  <w:footnote w:id="1">
    <w:p w:rsidR="00377FCE" w:rsidRDefault="00377FCE" w:rsidP="00377FCE">
      <w:pPr>
        <w:pStyle w:val="FootnoteText"/>
        <w:rPr>
          <w:sz w:val="22"/>
          <w:szCs w:val="22"/>
          <w:lang w:eastAsia="zh-CN"/>
        </w:rPr>
      </w:pPr>
      <w:r>
        <w:rPr>
          <w:rStyle w:val="FootnoteReference"/>
        </w:rPr>
        <w:footnoteRef/>
      </w:r>
      <w:r>
        <w:rPr>
          <w:sz w:val="22"/>
          <w:szCs w:val="22"/>
          <w:lang w:eastAsia="zh-CN"/>
        </w:rPr>
        <w:tab/>
      </w:r>
      <w:r>
        <w:rPr>
          <w:rFonts w:hint="eastAsia"/>
          <w:sz w:val="22"/>
          <w:szCs w:val="22"/>
          <w:lang w:eastAsia="zh-CN"/>
        </w:rPr>
        <w:t>活动和输出成果在业务规划过程中作了详细定义，从而确保了战略和运作规划之间的紧密联系。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80" w:rsidRDefault="00FD5280" w:rsidP="00FC2542">
    <w:pPr>
      <w:pStyle w:val="Header"/>
    </w:pPr>
    <w:r>
      <w:fldChar w:fldCharType="begin"/>
    </w:r>
    <w:r>
      <w:instrText xml:space="preserve"> PAGE </w:instrText>
    </w:r>
    <w:r>
      <w:fldChar w:fldCharType="separate"/>
    </w:r>
    <w:r w:rsidR="00E301AE">
      <w:rPr>
        <w:noProof/>
      </w:rPr>
      <w:t>3</w:t>
    </w:r>
    <w:r>
      <w:fldChar w:fldCharType="end"/>
    </w:r>
  </w:p>
  <w:p w:rsidR="00FD5280" w:rsidRPr="00FC2542" w:rsidRDefault="00FD5280" w:rsidP="00AF122C">
    <w:pPr>
      <w:pStyle w:val="Header"/>
    </w:pPr>
    <w:r>
      <w:t>PP18/24(Add.</w:t>
    </w:r>
    <w:r w:rsidR="00AF122C">
      <w:t>3</w:t>
    </w:r>
    <w:r>
      <w:t>)-</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AE61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3AB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5877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00E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8CA4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4ACD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42B7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F441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1AAF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8EA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0969"/>
    <w:multiLevelType w:val="hybridMultilevel"/>
    <w:tmpl w:val="771248CE"/>
    <w:lvl w:ilvl="0" w:tplc="A094C6B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20" w15:restartNumberingAfterBreak="0">
    <w:nsid w:val="1D1C75BE"/>
    <w:multiLevelType w:val="hybridMultilevel"/>
    <w:tmpl w:val="CD30298E"/>
    <w:lvl w:ilvl="0" w:tplc="3D08BCBA">
      <w:start w:val="1"/>
      <w:numFmt w:val="bullet"/>
      <w:lvlText w:val="•"/>
      <w:lvlJc w:val="left"/>
      <w:pPr>
        <w:ind w:left="360" w:hanging="360"/>
      </w:pPr>
      <w:rPr>
        <w:rFonts w:ascii="Calibri" w:eastAsia="SimSun"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C47B34"/>
    <w:multiLevelType w:val="hybridMultilevel"/>
    <w:tmpl w:val="8E943192"/>
    <w:lvl w:ilvl="0" w:tplc="3158820C">
      <w:start w:val="1"/>
      <w:numFmt w:val="bullet"/>
      <w:lvlText w:val=""/>
      <w:lvlJc w:val="left"/>
      <w:pPr>
        <w:tabs>
          <w:tab w:val="num" w:pos="720"/>
        </w:tabs>
        <w:ind w:left="720" w:hanging="360"/>
      </w:pPr>
      <w:rPr>
        <w:rFonts w:ascii="Wingdings" w:hAnsi="Wingdings" w:hint="default"/>
      </w:rPr>
    </w:lvl>
    <w:lvl w:ilvl="1" w:tplc="7048DF16" w:tentative="1">
      <w:start w:val="1"/>
      <w:numFmt w:val="bullet"/>
      <w:lvlText w:val=""/>
      <w:lvlJc w:val="left"/>
      <w:pPr>
        <w:tabs>
          <w:tab w:val="num" w:pos="1440"/>
        </w:tabs>
        <w:ind w:left="1440" w:hanging="360"/>
      </w:pPr>
      <w:rPr>
        <w:rFonts w:ascii="Wingdings" w:hAnsi="Wingdings" w:hint="default"/>
      </w:rPr>
    </w:lvl>
    <w:lvl w:ilvl="2" w:tplc="CAB4FF44" w:tentative="1">
      <w:start w:val="1"/>
      <w:numFmt w:val="bullet"/>
      <w:lvlText w:val=""/>
      <w:lvlJc w:val="left"/>
      <w:pPr>
        <w:tabs>
          <w:tab w:val="num" w:pos="2160"/>
        </w:tabs>
        <w:ind w:left="2160" w:hanging="360"/>
      </w:pPr>
      <w:rPr>
        <w:rFonts w:ascii="Wingdings" w:hAnsi="Wingdings" w:hint="default"/>
      </w:rPr>
    </w:lvl>
    <w:lvl w:ilvl="3" w:tplc="621428E2" w:tentative="1">
      <w:start w:val="1"/>
      <w:numFmt w:val="bullet"/>
      <w:lvlText w:val=""/>
      <w:lvlJc w:val="left"/>
      <w:pPr>
        <w:tabs>
          <w:tab w:val="num" w:pos="2880"/>
        </w:tabs>
        <w:ind w:left="2880" w:hanging="360"/>
      </w:pPr>
      <w:rPr>
        <w:rFonts w:ascii="Wingdings" w:hAnsi="Wingdings" w:hint="default"/>
      </w:rPr>
    </w:lvl>
    <w:lvl w:ilvl="4" w:tplc="D22EAD40" w:tentative="1">
      <w:start w:val="1"/>
      <w:numFmt w:val="bullet"/>
      <w:lvlText w:val=""/>
      <w:lvlJc w:val="left"/>
      <w:pPr>
        <w:tabs>
          <w:tab w:val="num" w:pos="3600"/>
        </w:tabs>
        <w:ind w:left="3600" w:hanging="360"/>
      </w:pPr>
      <w:rPr>
        <w:rFonts w:ascii="Wingdings" w:hAnsi="Wingdings" w:hint="default"/>
      </w:rPr>
    </w:lvl>
    <w:lvl w:ilvl="5" w:tplc="DC8EED3E" w:tentative="1">
      <w:start w:val="1"/>
      <w:numFmt w:val="bullet"/>
      <w:lvlText w:val=""/>
      <w:lvlJc w:val="left"/>
      <w:pPr>
        <w:tabs>
          <w:tab w:val="num" w:pos="4320"/>
        </w:tabs>
        <w:ind w:left="4320" w:hanging="360"/>
      </w:pPr>
      <w:rPr>
        <w:rFonts w:ascii="Wingdings" w:hAnsi="Wingdings" w:hint="default"/>
      </w:rPr>
    </w:lvl>
    <w:lvl w:ilvl="6" w:tplc="EBEE9DA6" w:tentative="1">
      <w:start w:val="1"/>
      <w:numFmt w:val="bullet"/>
      <w:lvlText w:val=""/>
      <w:lvlJc w:val="left"/>
      <w:pPr>
        <w:tabs>
          <w:tab w:val="num" w:pos="5040"/>
        </w:tabs>
        <w:ind w:left="5040" w:hanging="360"/>
      </w:pPr>
      <w:rPr>
        <w:rFonts w:ascii="Wingdings" w:hAnsi="Wingdings" w:hint="default"/>
      </w:rPr>
    </w:lvl>
    <w:lvl w:ilvl="7" w:tplc="768C5B00" w:tentative="1">
      <w:start w:val="1"/>
      <w:numFmt w:val="bullet"/>
      <w:lvlText w:val=""/>
      <w:lvlJc w:val="left"/>
      <w:pPr>
        <w:tabs>
          <w:tab w:val="num" w:pos="5760"/>
        </w:tabs>
        <w:ind w:left="5760" w:hanging="360"/>
      </w:pPr>
      <w:rPr>
        <w:rFonts w:ascii="Wingdings" w:hAnsi="Wingdings" w:hint="default"/>
      </w:rPr>
    </w:lvl>
    <w:lvl w:ilvl="8" w:tplc="9D5C5FF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32"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6A03E3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37"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9"/>
  </w:num>
  <w:num w:numId="2">
    <w:abstractNumId w:val="25"/>
  </w:num>
  <w:num w:numId="3">
    <w:abstractNumId w:val="27"/>
  </w:num>
  <w:num w:numId="4">
    <w:abstractNumId w:val="38"/>
  </w:num>
  <w:num w:numId="5">
    <w:abstractNumId w:val="42"/>
  </w:num>
  <w:num w:numId="6">
    <w:abstractNumId w:val="41"/>
  </w:num>
  <w:num w:numId="7">
    <w:abstractNumId w:val="21"/>
  </w:num>
  <w:num w:numId="8">
    <w:abstractNumId w:val="29"/>
  </w:num>
  <w:num w:numId="9">
    <w:abstractNumId w:val="12"/>
  </w:num>
  <w:num w:numId="10">
    <w:abstractNumId w:val="30"/>
  </w:num>
  <w:num w:numId="11">
    <w:abstractNumId w:val="28"/>
  </w:num>
  <w:num w:numId="12">
    <w:abstractNumId w:val="34"/>
  </w:num>
  <w:num w:numId="13">
    <w:abstractNumId w:val="26"/>
  </w:num>
  <w:num w:numId="14">
    <w:abstractNumId w:val="33"/>
  </w:num>
  <w:num w:numId="15">
    <w:abstractNumId w:val="11"/>
  </w:num>
  <w:num w:numId="16">
    <w:abstractNumId w:val="14"/>
  </w:num>
  <w:num w:numId="17">
    <w:abstractNumId w:val="45"/>
  </w:num>
  <w:num w:numId="18">
    <w:abstractNumId w:val="36"/>
  </w:num>
  <w:num w:numId="19">
    <w:abstractNumId w:val="19"/>
  </w:num>
  <w:num w:numId="20">
    <w:abstractNumId w:val="47"/>
  </w:num>
  <w:num w:numId="21">
    <w:abstractNumId w:val="31"/>
  </w:num>
  <w:num w:numId="22">
    <w:abstractNumId w:val="13"/>
  </w:num>
  <w:num w:numId="23">
    <w:abstractNumId w:val="18"/>
  </w:num>
  <w:num w:numId="24">
    <w:abstractNumId w:val="15"/>
  </w:num>
  <w:num w:numId="25">
    <w:abstractNumId w:val="22"/>
  </w:num>
  <w:num w:numId="26">
    <w:abstractNumId w:val="37"/>
  </w:num>
  <w:num w:numId="27">
    <w:abstractNumId w:val="16"/>
  </w:num>
  <w:num w:numId="28">
    <w:abstractNumId w:val="46"/>
  </w:num>
  <w:num w:numId="29">
    <w:abstractNumId w:val="40"/>
  </w:num>
  <w:num w:numId="30">
    <w:abstractNumId w:val="32"/>
  </w:num>
  <w:num w:numId="31">
    <w:abstractNumId w:val="43"/>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9"/>
  </w:num>
  <w:num w:numId="35">
    <w:abstractNumId w:val="23"/>
  </w:num>
  <w:num w:numId="36">
    <w:abstractNumId w:val="17"/>
  </w:num>
  <w:num w:numId="37">
    <w:abstractNumId w:val="44"/>
  </w:num>
  <w:num w:numId="38">
    <w:abstractNumId w:val="10"/>
  </w:num>
  <w:num w:numId="39">
    <w:abstractNumId w:val="24"/>
  </w:num>
  <w:num w:numId="40">
    <w:abstractNumId w:val="20"/>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41DDB"/>
    <w:rsid w:val="002578B4"/>
    <w:rsid w:val="002A0F5C"/>
    <w:rsid w:val="002A2125"/>
    <w:rsid w:val="002B39F5"/>
    <w:rsid w:val="002E37AF"/>
    <w:rsid w:val="00307225"/>
    <w:rsid w:val="00320A1D"/>
    <w:rsid w:val="00345493"/>
    <w:rsid w:val="003477D4"/>
    <w:rsid w:val="003614CE"/>
    <w:rsid w:val="00375BBA"/>
    <w:rsid w:val="003760D8"/>
    <w:rsid w:val="00377FCE"/>
    <w:rsid w:val="00383A29"/>
    <w:rsid w:val="0038484C"/>
    <w:rsid w:val="0038575F"/>
    <w:rsid w:val="00387EA2"/>
    <w:rsid w:val="003907C4"/>
    <w:rsid w:val="00395CE4"/>
    <w:rsid w:val="003A1711"/>
    <w:rsid w:val="003B74F0"/>
    <w:rsid w:val="004014B0"/>
    <w:rsid w:val="00414872"/>
    <w:rsid w:val="00415EFC"/>
    <w:rsid w:val="00426AC1"/>
    <w:rsid w:val="0045019C"/>
    <w:rsid w:val="004676C0"/>
    <w:rsid w:val="00476923"/>
    <w:rsid w:val="00476CAF"/>
    <w:rsid w:val="00485E71"/>
    <w:rsid w:val="004C2CF2"/>
    <w:rsid w:val="004D0A9E"/>
    <w:rsid w:val="004D3182"/>
    <w:rsid w:val="005061F9"/>
    <w:rsid w:val="00514591"/>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A0092"/>
    <w:rsid w:val="006A07F8"/>
    <w:rsid w:val="006E57C8"/>
    <w:rsid w:val="006E6BA4"/>
    <w:rsid w:val="006F0211"/>
    <w:rsid w:val="00722343"/>
    <w:rsid w:val="007235A4"/>
    <w:rsid w:val="0073319E"/>
    <w:rsid w:val="00750829"/>
    <w:rsid w:val="00770CF8"/>
    <w:rsid w:val="007917DE"/>
    <w:rsid w:val="007A5031"/>
    <w:rsid w:val="007B558F"/>
    <w:rsid w:val="007C4DC3"/>
    <w:rsid w:val="00806BF4"/>
    <w:rsid w:val="00814482"/>
    <w:rsid w:val="008160BF"/>
    <w:rsid w:val="008348AF"/>
    <w:rsid w:val="008433E4"/>
    <w:rsid w:val="00850AEF"/>
    <w:rsid w:val="008652E7"/>
    <w:rsid w:val="008726C7"/>
    <w:rsid w:val="00873D04"/>
    <w:rsid w:val="008B44F5"/>
    <w:rsid w:val="008D3BE2"/>
    <w:rsid w:val="008D7300"/>
    <w:rsid w:val="008E2996"/>
    <w:rsid w:val="008E4324"/>
    <w:rsid w:val="008E45D4"/>
    <w:rsid w:val="008E6AE7"/>
    <w:rsid w:val="008E6BC6"/>
    <w:rsid w:val="00904E65"/>
    <w:rsid w:val="00905B6A"/>
    <w:rsid w:val="0093397B"/>
    <w:rsid w:val="009361C2"/>
    <w:rsid w:val="00950E0F"/>
    <w:rsid w:val="00966EBB"/>
    <w:rsid w:val="0099173A"/>
    <w:rsid w:val="009A47A2"/>
    <w:rsid w:val="009C4B97"/>
    <w:rsid w:val="009D1E93"/>
    <w:rsid w:val="009D6EA5"/>
    <w:rsid w:val="00A03693"/>
    <w:rsid w:val="00A23536"/>
    <w:rsid w:val="00A6085C"/>
    <w:rsid w:val="00A62DA7"/>
    <w:rsid w:val="00A72CA4"/>
    <w:rsid w:val="00A865E4"/>
    <w:rsid w:val="00AC07C0"/>
    <w:rsid w:val="00AC79BA"/>
    <w:rsid w:val="00AD1198"/>
    <w:rsid w:val="00AD2C62"/>
    <w:rsid w:val="00AE49B9"/>
    <w:rsid w:val="00AE6ADC"/>
    <w:rsid w:val="00AF122C"/>
    <w:rsid w:val="00AF45E1"/>
    <w:rsid w:val="00B04E59"/>
    <w:rsid w:val="00B05785"/>
    <w:rsid w:val="00B11373"/>
    <w:rsid w:val="00B15AF8"/>
    <w:rsid w:val="00B1733E"/>
    <w:rsid w:val="00B23943"/>
    <w:rsid w:val="00B60A63"/>
    <w:rsid w:val="00B650EC"/>
    <w:rsid w:val="00B96F78"/>
    <w:rsid w:val="00BA154E"/>
    <w:rsid w:val="00BA20B6"/>
    <w:rsid w:val="00BD68E7"/>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70FF1"/>
    <w:rsid w:val="00D82A9F"/>
    <w:rsid w:val="00D97614"/>
    <w:rsid w:val="00DD26B1"/>
    <w:rsid w:val="00DF23FC"/>
    <w:rsid w:val="00DF39CD"/>
    <w:rsid w:val="00DF51DD"/>
    <w:rsid w:val="00E121F2"/>
    <w:rsid w:val="00E12CDA"/>
    <w:rsid w:val="00E26F09"/>
    <w:rsid w:val="00E301AE"/>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5280"/>
    <w:rsid w:val="00FD7B1D"/>
    <w:rsid w:val="00FE02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uiPriority w:val="9"/>
    <w:qFormat/>
    <w:rsid w:val="00B15AF8"/>
    <w:pPr>
      <w:spacing w:before="200"/>
      <w:outlineLvl w:val="2"/>
    </w:pPr>
    <w:rPr>
      <w:sz w:val="24"/>
    </w:rPr>
  </w:style>
  <w:style w:type="paragraph" w:styleId="Heading4">
    <w:name w:val="heading 4"/>
    <w:basedOn w:val="Heading3"/>
    <w:next w:val="Normal"/>
    <w:link w:val="Heading4Char"/>
    <w:uiPriority w:val="9"/>
    <w:qFormat/>
    <w:rsid w:val="00B15AF8"/>
    <w:pPr>
      <w:ind w:left="1134" w:hanging="1134"/>
      <w:outlineLvl w:val="3"/>
    </w:pPr>
  </w:style>
  <w:style w:type="paragraph" w:styleId="Heading5">
    <w:name w:val="heading 5"/>
    <w:basedOn w:val="Heading4"/>
    <w:next w:val="Normal"/>
    <w:link w:val="Heading5Char"/>
    <w:uiPriority w:val="9"/>
    <w:qFormat/>
    <w:rsid w:val="00B15AF8"/>
    <w:pPr>
      <w:outlineLvl w:val="4"/>
    </w:pPr>
  </w:style>
  <w:style w:type="paragraph" w:styleId="Heading6">
    <w:name w:val="heading 6"/>
    <w:basedOn w:val="Heading4"/>
    <w:next w:val="Normal"/>
    <w:link w:val="Heading6Char"/>
    <w:uiPriority w:val="9"/>
    <w:qFormat/>
    <w:rsid w:val="00B15AF8"/>
    <w:pPr>
      <w:outlineLvl w:val="5"/>
    </w:pPr>
  </w:style>
  <w:style w:type="paragraph" w:styleId="Heading7">
    <w:name w:val="heading 7"/>
    <w:basedOn w:val="Heading4"/>
    <w:next w:val="Normal"/>
    <w:link w:val="Heading7Char"/>
    <w:uiPriority w:val="9"/>
    <w:qFormat/>
    <w:rsid w:val="00B15AF8"/>
    <w:pPr>
      <w:ind w:left="1701" w:hanging="1701"/>
      <w:outlineLvl w:val="6"/>
    </w:pPr>
  </w:style>
  <w:style w:type="paragraph" w:styleId="Heading8">
    <w:name w:val="heading 8"/>
    <w:basedOn w:val="Heading4"/>
    <w:next w:val="Normal"/>
    <w:link w:val="Heading8Char"/>
    <w:uiPriority w:val="9"/>
    <w:qFormat/>
    <w:rsid w:val="00B15AF8"/>
    <w:pPr>
      <w:ind w:left="1701" w:hanging="1701"/>
      <w:outlineLvl w:val="7"/>
    </w:pPr>
  </w:style>
  <w:style w:type="paragraph" w:styleId="Heading9">
    <w:name w:val="heading 9"/>
    <w:basedOn w:val="Heading4"/>
    <w:next w:val="Normal"/>
    <w:link w:val="Heading9Char"/>
    <w:uiPriority w:val="9"/>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AD1198"/>
    <w:rPr>
      <w:rFonts w:ascii="Calibri" w:hAnsi="Calibri"/>
      <w:position w:val="6"/>
      <w:sz w:val="16"/>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uiPriority w:val="99"/>
    <w:rsid w:val="00CB57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Heading1Char">
    <w:name w:val="Heading 1 Char"/>
    <w:basedOn w:val="DefaultParagraphFont"/>
    <w:link w:val="Heading1"/>
    <w:rsid w:val="00FD5280"/>
    <w:rPr>
      <w:rFonts w:ascii="Calibri" w:eastAsia="SimSun" w:hAnsi="Calibri"/>
      <w:b/>
      <w:sz w:val="28"/>
      <w:lang w:val="en-GB" w:eastAsia="en-US"/>
    </w:rPr>
  </w:style>
  <w:style w:type="character" w:customStyle="1" w:styleId="Heading2Char">
    <w:name w:val="Heading 2 Char"/>
    <w:basedOn w:val="DefaultParagraphFont"/>
    <w:link w:val="Heading2"/>
    <w:rsid w:val="00FD5280"/>
    <w:rPr>
      <w:rFonts w:ascii="Calibri" w:eastAsia="SimSun" w:hAnsi="Calibri"/>
      <w:b/>
      <w:sz w:val="24"/>
      <w:lang w:val="en-GB" w:eastAsia="en-US"/>
    </w:rPr>
  </w:style>
  <w:style w:type="character" w:customStyle="1" w:styleId="Heading3Char">
    <w:name w:val="Heading 3 Char"/>
    <w:basedOn w:val="DefaultParagraphFont"/>
    <w:link w:val="Heading3"/>
    <w:uiPriority w:val="9"/>
    <w:rsid w:val="00FD5280"/>
    <w:rPr>
      <w:rFonts w:ascii="Calibri" w:eastAsia="SimSun" w:hAnsi="Calibri"/>
      <w:b/>
      <w:sz w:val="24"/>
      <w:lang w:val="en-GB" w:eastAsia="en-US"/>
    </w:rPr>
  </w:style>
  <w:style w:type="character" w:customStyle="1" w:styleId="Heading4Char">
    <w:name w:val="Heading 4 Char"/>
    <w:basedOn w:val="DefaultParagraphFont"/>
    <w:link w:val="Heading4"/>
    <w:uiPriority w:val="9"/>
    <w:rsid w:val="00FD5280"/>
    <w:rPr>
      <w:rFonts w:ascii="Calibri" w:eastAsia="SimSun" w:hAnsi="Calibri"/>
      <w:b/>
      <w:sz w:val="24"/>
      <w:lang w:val="en-GB" w:eastAsia="en-US"/>
    </w:rPr>
  </w:style>
  <w:style w:type="character" w:customStyle="1" w:styleId="Heading5Char">
    <w:name w:val="Heading 5 Char"/>
    <w:basedOn w:val="DefaultParagraphFont"/>
    <w:link w:val="Heading5"/>
    <w:uiPriority w:val="9"/>
    <w:rsid w:val="00FD5280"/>
    <w:rPr>
      <w:rFonts w:ascii="Calibri" w:eastAsia="SimSun" w:hAnsi="Calibri"/>
      <w:b/>
      <w:sz w:val="24"/>
      <w:lang w:val="en-GB" w:eastAsia="en-US"/>
    </w:rPr>
  </w:style>
  <w:style w:type="character" w:customStyle="1" w:styleId="Heading6Char">
    <w:name w:val="Heading 6 Char"/>
    <w:basedOn w:val="DefaultParagraphFont"/>
    <w:link w:val="Heading6"/>
    <w:uiPriority w:val="9"/>
    <w:rsid w:val="00FD5280"/>
    <w:rPr>
      <w:rFonts w:ascii="Calibri" w:eastAsia="SimSun" w:hAnsi="Calibri"/>
      <w:b/>
      <w:sz w:val="24"/>
      <w:lang w:val="en-GB" w:eastAsia="en-US"/>
    </w:rPr>
  </w:style>
  <w:style w:type="character" w:customStyle="1" w:styleId="Heading7Char">
    <w:name w:val="Heading 7 Char"/>
    <w:basedOn w:val="DefaultParagraphFont"/>
    <w:link w:val="Heading7"/>
    <w:uiPriority w:val="9"/>
    <w:rsid w:val="00FD5280"/>
    <w:rPr>
      <w:rFonts w:ascii="Calibri" w:eastAsia="SimSun" w:hAnsi="Calibri"/>
      <w:b/>
      <w:sz w:val="24"/>
      <w:lang w:val="en-GB" w:eastAsia="en-US"/>
    </w:rPr>
  </w:style>
  <w:style w:type="character" w:customStyle="1" w:styleId="Heading8Char">
    <w:name w:val="Heading 8 Char"/>
    <w:basedOn w:val="DefaultParagraphFont"/>
    <w:link w:val="Heading8"/>
    <w:uiPriority w:val="9"/>
    <w:rsid w:val="00FD5280"/>
    <w:rPr>
      <w:rFonts w:ascii="Calibri" w:eastAsia="SimSun" w:hAnsi="Calibri"/>
      <w:b/>
      <w:sz w:val="24"/>
      <w:lang w:val="en-GB" w:eastAsia="en-US"/>
    </w:rPr>
  </w:style>
  <w:style w:type="character" w:customStyle="1" w:styleId="Heading9Char">
    <w:name w:val="Heading 9 Char"/>
    <w:basedOn w:val="DefaultParagraphFont"/>
    <w:link w:val="Heading9"/>
    <w:uiPriority w:val="9"/>
    <w:rsid w:val="00FD5280"/>
    <w:rPr>
      <w:rFonts w:ascii="Calibri" w:eastAsia="SimSun" w:hAnsi="Calibri"/>
      <w:b/>
      <w:sz w:val="24"/>
      <w:lang w:val="en-GB" w:eastAsia="en-US"/>
    </w:rPr>
  </w:style>
  <w:style w:type="paragraph" w:styleId="Index7">
    <w:name w:val="index 7"/>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1698"/>
    </w:pPr>
  </w:style>
  <w:style w:type="paragraph" w:styleId="Index6">
    <w:name w:val="index 6"/>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1415"/>
    </w:pPr>
  </w:style>
  <w:style w:type="paragraph" w:styleId="Index5">
    <w:name w:val="index 5"/>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1132"/>
    </w:pPr>
  </w:style>
  <w:style w:type="paragraph" w:styleId="Index4">
    <w:name w:val="index 4"/>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849"/>
    </w:pPr>
  </w:style>
  <w:style w:type="paragraph" w:styleId="Index3">
    <w:name w:val="index 3"/>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566"/>
    </w:pPr>
  </w:style>
  <w:style w:type="paragraph" w:styleId="Index2">
    <w:name w:val="index 2"/>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ind w:left="283"/>
    </w:pPr>
  </w:style>
  <w:style w:type="paragraph" w:styleId="Index1">
    <w:name w:val="index 1"/>
    <w:basedOn w:val="Normal"/>
    <w:next w:val="Normal"/>
    <w:semiHidden/>
    <w:rsid w:val="00FD5280"/>
    <w:pPr>
      <w:tabs>
        <w:tab w:val="clear" w:pos="567"/>
        <w:tab w:val="clear" w:pos="1134"/>
        <w:tab w:val="clear" w:pos="1701"/>
        <w:tab w:val="clear" w:pos="2268"/>
        <w:tab w:val="clear" w:pos="2835"/>
        <w:tab w:val="left" w:pos="794"/>
        <w:tab w:val="left" w:pos="1191"/>
        <w:tab w:val="left" w:pos="1588"/>
        <w:tab w:val="left" w:pos="1985"/>
      </w:tabs>
    </w:pPr>
  </w:style>
  <w:style w:type="character" w:styleId="LineNumber">
    <w:name w:val="line number"/>
    <w:basedOn w:val="DefaultParagraphFont"/>
    <w:rsid w:val="00FD5280"/>
  </w:style>
  <w:style w:type="paragraph" w:styleId="IndexHeading">
    <w:name w:val="index heading"/>
    <w:basedOn w:val="Normal"/>
    <w:next w:val="Index1"/>
    <w:semiHidden/>
    <w:rsid w:val="00FD5280"/>
    <w:pPr>
      <w:tabs>
        <w:tab w:val="clear" w:pos="567"/>
        <w:tab w:val="clear" w:pos="1134"/>
        <w:tab w:val="clear" w:pos="1701"/>
        <w:tab w:val="clear" w:pos="2268"/>
        <w:tab w:val="clear" w:pos="2835"/>
        <w:tab w:val="left" w:pos="794"/>
        <w:tab w:val="left" w:pos="1191"/>
        <w:tab w:val="left" w:pos="1588"/>
        <w:tab w:val="left" w:pos="1985"/>
      </w:tabs>
    </w:pPr>
  </w:style>
  <w:style w:type="character" w:customStyle="1" w:styleId="FooterChar">
    <w:name w:val="Footer Char"/>
    <w:basedOn w:val="DefaultParagraphFont"/>
    <w:link w:val="Footer"/>
    <w:uiPriority w:val="99"/>
    <w:rsid w:val="00FD5280"/>
    <w:rPr>
      <w:rFonts w:ascii="Calibri" w:eastAsia="SimSun" w:hAnsi="Calibri"/>
      <w:caps/>
      <w:noProof/>
      <w:sz w:val="16"/>
      <w:lang w:val="en-GB" w:eastAsia="en-US"/>
    </w:rPr>
  </w:style>
  <w:style w:type="character" w:customStyle="1" w:styleId="HeaderChar">
    <w:name w:val="Header Char"/>
    <w:basedOn w:val="DefaultParagraphFont"/>
    <w:link w:val="Header"/>
    <w:uiPriority w:val="99"/>
    <w:rsid w:val="00FD5280"/>
    <w:rPr>
      <w:rFonts w:ascii="Calibri" w:eastAsia="SimSun" w:hAnsi="Calibri"/>
      <w:sz w:val="18"/>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FD5280"/>
    <w:rPr>
      <w:rFonts w:ascii="Calibri" w:eastAsia="SimSun" w:hAnsi="Calibri"/>
      <w:sz w:val="24"/>
      <w:lang w:val="en-GB" w:eastAsia="en-US"/>
    </w:rPr>
  </w:style>
  <w:style w:type="character" w:customStyle="1" w:styleId="NormalaftertitleChar">
    <w:name w:val="Normal after title Char"/>
    <w:link w:val="Normalaftertitle"/>
    <w:locked/>
    <w:rsid w:val="00FD5280"/>
    <w:rPr>
      <w:rFonts w:ascii="Calibri" w:eastAsia="SimSun" w:hAnsi="Calibri"/>
      <w:sz w:val="24"/>
      <w:lang w:val="en-GB" w:eastAsia="en-US"/>
    </w:rPr>
  </w:style>
  <w:style w:type="paragraph" w:customStyle="1" w:styleId="Equation">
    <w:name w:val="Equation"/>
    <w:basedOn w:val="Normal"/>
    <w:rsid w:val="00FD5280"/>
    <w:pPr>
      <w:tabs>
        <w:tab w:val="clear" w:pos="567"/>
        <w:tab w:val="clear" w:pos="1134"/>
        <w:tab w:val="clear" w:pos="1701"/>
        <w:tab w:val="clear" w:pos="2268"/>
        <w:tab w:val="clear" w:pos="2835"/>
        <w:tab w:val="left" w:pos="794"/>
        <w:tab w:val="center" w:pos="4820"/>
        <w:tab w:val="right" w:pos="9639"/>
      </w:tabs>
    </w:pPr>
  </w:style>
  <w:style w:type="paragraph" w:customStyle="1" w:styleId="Head">
    <w:name w:val="Head"/>
    <w:basedOn w:val="Normal"/>
    <w:rsid w:val="00FD5280"/>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style>
  <w:style w:type="paragraph" w:styleId="List">
    <w:name w:val="List"/>
    <w:basedOn w:val="Normal"/>
    <w:rsid w:val="00FD5280"/>
    <w:pPr>
      <w:tabs>
        <w:tab w:val="clear" w:pos="567"/>
        <w:tab w:val="clear" w:pos="1134"/>
        <w:tab w:val="clear" w:pos="2268"/>
        <w:tab w:val="clear" w:pos="2835"/>
        <w:tab w:val="left" w:pos="2127"/>
      </w:tabs>
      <w:ind w:left="2127" w:hanging="2127"/>
    </w:pPr>
  </w:style>
  <w:style w:type="paragraph" w:customStyle="1" w:styleId="docnoted">
    <w:name w:val="docnoted"/>
    <w:basedOn w:val="Normal"/>
    <w:next w:val="Head"/>
    <w:rsid w:val="00FD5280"/>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sz w:val="20"/>
    </w:rPr>
  </w:style>
  <w:style w:type="paragraph" w:customStyle="1" w:styleId="meeting">
    <w:name w:val="meeting"/>
    <w:basedOn w:val="Head"/>
    <w:next w:val="Head"/>
    <w:rsid w:val="00FD5280"/>
    <w:pPr>
      <w:tabs>
        <w:tab w:val="left" w:pos="7371"/>
      </w:tabs>
      <w:spacing w:after="567"/>
    </w:pPr>
  </w:style>
  <w:style w:type="paragraph" w:customStyle="1" w:styleId="Subject">
    <w:name w:val="Subject"/>
    <w:basedOn w:val="Normal"/>
    <w:next w:val="Source"/>
    <w:rsid w:val="00FD5280"/>
    <w:pPr>
      <w:tabs>
        <w:tab w:val="clear" w:pos="567"/>
        <w:tab w:val="clear" w:pos="1701"/>
        <w:tab w:val="clear" w:pos="2268"/>
        <w:tab w:val="clear" w:pos="2835"/>
      </w:tabs>
      <w:spacing w:before="0"/>
      <w:ind w:left="1134" w:hanging="1134"/>
    </w:pPr>
  </w:style>
  <w:style w:type="paragraph" w:customStyle="1" w:styleId="Object">
    <w:name w:val="Object"/>
    <w:basedOn w:val="Subject"/>
    <w:next w:val="Subject"/>
    <w:rsid w:val="00FD5280"/>
  </w:style>
  <w:style w:type="paragraph" w:customStyle="1" w:styleId="Data">
    <w:name w:val="Data"/>
    <w:basedOn w:val="Subject"/>
    <w:next w:val="Subject"/>
    <w:rsid w:val="00FD5280"/>
  </w:style>
  <w:style w:type="paragraph" w:styleId="TOC9">
    <w:name w:val="toc 9"/>
    <w:basedOn w:val="TOC4"/>
    <w:semiHidden/>
    <w:rsid w:val="00FD5280"/>
    <w:pPr>
      <w:keepLines/>
      <w:tabs>
        <w:tab w:val="clear" w:pos="964"/>
        <w:tab w:val="clear" w:pos="9639"/>
        <w:tab w:val="left" w:leader="dot" w:pos="7938"/>
        <w:tab w:val="center" w:pos="8789"/>
      </w:tabs>
      <w:spacing w:before="80"/>
      <w:ind w:left="567" w:hanging="567"/>
    </w:pPr>
  </w:style>
  <w:style w:type="paragraph" w:customStyle="1" w:styleId="Title4">
    <w:name w:val="Title 4"/>
    <w:basedOn w:val="Title3"/>
    <w:next w:val="Heading1"/>
    <w:rsid w:val="00FD5280"/>
    <w:pPr>
      <w:tabs>
        <w:tab w:val="clear" w:pos="567"/>
        <w:tab w:val="clear" w:pos="1134"/>
        <w:tab w:val="clear" w:pos="1701"/>
        <w:tab w:val="clear" w:pos="2268"/>
        <w:tab w:val="clear" w:pos="2835"/>
      </w:tabs>
      <w:overflowPunct/>
      <w:autoSpaceDE/>
      <w:autoSpaceDN/>
      <w:adjustRightInd/>
      <w:textAlignment w:val="auto"/>
    </w:pPr>
    <w:rPr>
      <w:b/>
    </w:rPr>
  </w:style>
  <w:style w:type="paragraph" w:customStyle="1" w:styleId="dnum">
    <w:name w:val="dnum"/>
    <w:basedOn w:val="Normal"/>
    <w:rsid w:val="00FD5280"/>
    <w:pPr>
      <w:framePr w:hSpace="181" w:wrap="around" w:vAnchor="page" w:hAnchor="margin" w:y="852"/>
      <w:shd w:val="solid" w:color="FFFFFF" w:fill="FFFFFF"/>
      <w:tabs>
        <w:tab w:val="clear" w:pos="567"/>
        <w:tab w:val="clear" w:pos="1701"/>
        <w:tab w:val="clear" w:pos="2835"/>
        <w:tab w:val="left" w:pos="1871"/>
      </w:tabs>
    </w:pPr>
    <w:rPr>
      <w:b/>
      <w:bCs/>
    </w:rPr>
  </w:style>
  <w:style w:type="paragraph" w:customStyle="1" w:styleId="ddate">
    <w:name w:val="ddate"/>
    <w:basedOn w:val="Normal"/>
    <w:rsid w:val="00FD5280"/>
    <w:pPr>
      <w:framePr w:hSpace="181" w:wrap="around" w:vAnchor="page" w:hAnchor="margin" w:y="852"/>
      <w:shd w:val="solid" w:color="FFFFFF" w:fill="FFFFFF"/>
      <w:tabs>
        <w:tab w:val="clear" w:pos="567"/>
        <w:tab w:val="clear" w:pos="1701"/>
        <w:tab w:val="clear" w:pos="2835"/>
        <w:tab w:val="left" w:pos="1871"/>
      </w:tabs>
      <w:spacing w:before="0"/>
    </w:pPr>
    <w:rPr>
      <w:b/>
      <w:bCs/>
    </w:rPr>
  </w:style>
  <w:style w:type="paragraph" w:customStyle="1" w:styleId="dorlang">
    <w:name w:val="dorlang"/>
    <w:basedOn w:val="Normal"/>
    <w:rsid w:val="00FD5280"/>
    <w:pPr>
      <w:framePr w:hSpace="181" w:wrap="around" w:vAnchor="page" w:hAnchor="margin" w:y="852"/>
      <w:shd w:val="solid" w:color="FFFFFF" w:fill="FFFFFF"/>
      <w:tabs>
        <w:tab w:val="clear" w:pos="567"/>
        <w:tab w:val="clear" w:pos="1701"/>
        <w:tab w:val="clear" w:pos="2835"/>
        <w:tab w:val="left" w:pos="1871"/>
      </w:tabs>
      <w:spacing w:before="0"/>
    </w:pPr>
    <w:rPr>
      <w:b/>
      <w:bCs/>
    </w:rPr>
  </w:style>
  <w:style w:type="character" w:customStyle="1" w:styleId="AnnextitleChar">
    <w:name w:val="Annex_title Char"/>
    <w:basedOn w:val="DefaultParagraphFont"/>
    <w:link w:val="Annextitle"/>
    <w:locked/>
    <w:rsid w:val="00FD5280"/>
    <w:rPr>
      <w:rFonts w:ascii="Calibri" w:eastAsia="SimSun" w:hAnsi="Calibri"/>
      <w:b/>
      <w:sz w:val="28"/>
      <w:lang w:val="en-GB" w:eastAsia="en-US"/>
    </w:rPr>
  </w:style>
  <w:style w:type="character" w:customStyle="1" w:styleId="CallChar">
    <w:name w:val="Call Char"/>
    <w:basedOn w:val="DefaultParagraphFont"/>
    <w:link w:val="Call"/>
    <w:rsid w:val="00FD5280"/>
    <w:rPr>
      <w:rFonts w:ascii="STKaiti" w:eastAsia="STKaiti" w:hAnsi="STKaiti"/>
      <w:sz w:val="24"/>
      <w:lang w:val="en-GB" w:eastAsia="en-US"/>
    </w:rPr>
  </w:style>
  <w:style w:type="character" w:styleId="EndnoteReference">
    <w:name w:val="endnote reference"/>
    <w:basedOn w:val="DefaultParagraphFont"/>
    <w:semiHidden/>
    <w:rsid w:val="00FD5280"/>
    <w:rPr>
      <w:vertAlign w:val="superscript"/>
    </w:rPr>
  </w:style>
  <w:style w:type="paragraph" w:customStyle="1" w:styleId="Equationlegend">
    <w:name w:val="Equation_legend"/>
    <w:basedOn w:val="Normal"/>
    <w:rsid w:val="00FD5280"/>
    <w:pPr>
      <w:tabs>
        <w:tab w:val="clear" w:pos="567"/>
        <w:tab w:val="clear" w:pos="1134"/>
        <w:tab w:val="clear" w:pos="2268"/>
        <w:tab w:val="clear" w:pos="2835"/>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style>
  <w:style w:type="paragraph" w:customStyle="1" w:styleId="Figuretitle">
    <w:name w:val="Figure_title"/>
    <w:basedOn w:val="Tabletitle"/>
    <w:next w:val="Normalaftertitle"/>
    <w:rsid w:val="00FD5280"/>
    <w:pPr>
      <w:tabs>
        <w:tab w:val="clear" w:pos="2948"/>
        <w:tab w:val="clear" w:pos="4082"/>
        <w:tab w:val="left" w:pos="794"/>
        <w:tab w:val="left" w:pos="1191"/>
        <w:tab w:val="left" w:pos="1588"/>
        <w:tab w:val="left" w:pos="1985"/>
      </w:tabs>
      <w:spacing w:before="240" w:after="480"/>
    </w:pPr>
  </w:style>
  <w:style w:type="paragraph" w:customStyle="1" w:styleId="Figurelegend">
    <w:name w:val="Figure_legend"/>
    <w:basedOn w:val="Normal"/>
    <w:rsid w:val="00FD5280"/>
    <w:pPr>
      <w:keepNext/>
      <w:keepLines/>
      <w:tabs>
        <w:tab w:val="clear" w:pos="567"/>
        <w:tab w:val="clear" w:pos="1134"/>
        <w:tab w:val="clear" w:pos="1701"/>
        <w:tab w:val="clear" w:pos="2268"/>
        <w:tab w:val="clear" w:pos="2835"/>
      </w:tabs>
      <w:spacing w:before="20" w:after="20"/>
    </w:pPr>
    <w:rPr>
      <w:sz w:val="18"/>
    </w:rPr>
  </w:style>
  <w:style w:type="paragraph" w:customStyle="1" w:styleId="FigureNo">
    <w:name w:val="Figure_No"/>
    <w:basedOn w:val="Normal"/>
    <w:next w:val="Figure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caps/>
    </w:rPr>
  </w:style>
  <w:style w:type="paragraph" w:customStyle="1" w:styleId="Figurewithouttitle">
    <w:name w:val="Figure_without_title"/>
    <w:basedOn w:val="Figure"/>
    <w:next w:val="Normalaftertitle"/>
    <w:rsid w:val="00FD5280"/>
    <w:pPr>
      <w:keepNext w:val="0"/>
      <w:spacing w:after="240"/>
    </w:pPr>
  </w:style>
  <w:style w:type="paragraph" w:customStyle="1" w:styleId="PartNo">
    <w:name w:val="Part_No"/>
    <w:basedOn w:val="AnnexNo"/>
    <w:next w:val="Part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Parttitle">
    <w:name w:val="Part_title"/>
    <w:basedOn w:val="Annextitle"/>
    <w:next w:val="Partref"/>
    <w:rsid w:val="00FD5280"/>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Partref">
    <w:name w:val="Part_ref"/>
    <w:basedOn w:val="Annexref"/>
    <w:next w:val="Normalafter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Recref">
    <w:name w:val="Rec_ref"/>
    <w:basedOn w:val="Rectitle"/>
    <w:next w:val="Recdate"/>
    <w:rsid w:val="00FD5280"/>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customStyle="1" w:styleId="Recdate">
    <w:name w:val="Rec_date"/>
    <w:basedOn w:val="Recref"/>
    <w:next w:val="Normalaftertitle"/>
    <w:rsid w:val="00FD5280"/>
    <w:pPr>
      <w:jc w:val="right"/>
    </w:pPr>
    <w:rPr>
      <w:sz w:val="22"/>
    </w:rPr>
  </w:style>
  <w:style w:type="paragraph" w:customStyle="1" w:styleId="Questiondate">
    <w:name w:val="Question_date"/>
    <w:basedOn w:val="Recdate"/>
    <w:next w:val="Normalaftertitle"/>
    <w:rsid w:val="00FD5280"/>
  </w:style>
  <w:style w:type="paragraph" w:customStyle="1" w:styleId="QuestionNo">
    <w:name w:val="Question_No"/>
    <w:basedOn w:val="RecNo"/>
    <w:next w:val="Question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Questiontitle">
    <w:name w:val="Question_title"/>
    <w:basedOn w:val="Rectitle"/>
    <w:next w:val="Questionref"/>
    <w:rsid w:val="00FD5280"/>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Questionref">
    <w:name w:val="Question_ref"/>
    <w:basedOn w:val="Recref"/>
    <w:next w:val="Questiondate"/>
    <w:rsid w:val="00FD5280"/>
  </w:style>
  <w:style w:type="paragraph" w:customStyle="1" w:styleId="Repdate">
    <w:name w:val="Rep_date"/>
    <w:basedOn w:val="Recdate"/>
    <w:next w:val="Normalaftertitle"/>
    <w:rsid w:val="00FD5280"/>
  </w:style>
  <w:style w:type="paragraph" w:customStyle="1" w:styleId="RepNo">
    <w:name w:val="Rep_No"/>
    <w:basedOn w:val="RecNo"/>
    <w:next w:val="Reptitle"/>
    <w:rsid w:val="00FD5280"/>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Reptitle">
    <w:name w:val="Rep_title"/>
    <w:basedOn w:val="Rectitle"/>
    <w:next w:val="Repref"/>
    <w:rsid w:val="00FD5280"/>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ref">
    <w:name w:val="Rep_ref"/>
    <w:basedOn w:val="Recref"/>
    <w:next w:val="Repdate"/>
    <w:rsid w:val="00FD5280"/>
  </w:style>
  <w:style w:type="paragraph" w:customStyle="1" w:styleId="Resdate">
    <w:name w:val="Res_date"/>
    <w:basedOn w:val="Recdate"/>
    <w:next w:val="Normalaftertitle"/>
    <w:rsid w:val="00FD5280"/>
  </w:style>
  <w:style w:type="paragraph" w:customStyle="1" w:styleId="Resref">
    <w:name w:val="Res_ref"/>
    <w:basedOn w:val="Recref"/>
    <w:next w:val="Resdate"/>
    <w:rsid w:val="00FD5280"/>
  </w:style>
  <w:style w:type="paragraph" w:customStyle="1" w:styleId="SpecialFooter">
    <w:name w:val="Special Footer"/>
    <w:basedOn w:val="Footer"/>
    <w:rsid w:val="00FD5280"/>
    <w:pPr>
      <w:tabs>
        <w:tab w:val="left" w:pos="567"/>
        <w:tab w:val="left" w:pos="1134"/>
        <w:tab w:val="left" w:pos="1701"/>
        <w:tab w:val="left" w:pos="2268"/>
        <w:tab w:val="left" w:pos="2835"/>
      </w:tabs>
      <w:jc w:val="both"/>
    </w:pPr>
    <w:rPr>
      <w:caps w:val="0"/>
      <w:noProof w:val="0"/>
      <w:lang w:val="fr-FR"/>
    </w:rPr>
  </w:style>
  <w:style w:type="paragraph" w:customStyle="1" w:styleId="Tableref">
    <w:name w:val="Table_ref"/>
    <w:basedOn w:val="Normal"/>
    <w:next w:val="Tabletitle"/>
    <w:rsid w:val="00FD5280"/>
    <w:pPr>
      <w:keepNext/>
      <w:tabs>
        <w:tab w:val="clear" w:pos="567"/>
        <w:tab w:val="clear" w:pos="1134"/>
        <w:tab w:val="clear" w:pos="1701"/>
        <w:tab w:val="clear" w:pos="2268"/>
        <w:tab w:val="clear" w:pos="2835"/>
        <w:tab w:val="left" w:pos="794"/>
        <w:tab w:val="left" w:pos="1191"/>
        <w:tab w:val="left" w:pos="1588"/>
        <w:tab w:val="left" w:pos="1985"/>
      </w:tabs>
      <w:spacing w:before="567"/>
      <w:jc w:val="center"/>
    </w:pPr>
  </w:style>
  <w:style w:type="paragraph" w:styleId="BodyTextIndent3">
    <w:name w:val="Body Text Indent 3"/>
    <w:basedOn w:val="Normal"/>
    <w:link w:val="BodyTextIndent3Char"/>
    <w:rsid w:val="00FD5280"/>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FD5280"/>
    <w:rPr>
      <w:rFonts w:ascii="Calibri" w:eastAsia="SimSun" w:hAnsi="Calibri"/>
      <w:sz w:val="22"/>
      <w:lang w:val="fr-FR"/>
    </w:rPr>
  </w:style>
  <w:style w:type="paragraph" w:styleId="ListParagraph">
    <w:name w:val="List Paragraph"/>
    <w:basedOn w:val="Normal"/>
    <w:uiPriority w:val="34"/>
    <w:qFormat/>
    <w:rsid w:val="00FD5280"/>
    <w:pPr>
      <w:ind w:left="720"/>
      <w:contextualSpacing/>
    </w:pPr>
    <w:rPr>
      <w:rFonts w:eastAsia="Times New Roman"/>
    </w:rPr>
  </w:style>
  <w:style w:type="table" w:styleId="TableGrid">
    <w:name w:val="Table Grid"/>
    <w:basedOn w:val="TableNormal"/>
    <w:uiPriority w:val="39"/>
    <w:rsid w:val="00FD52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FD5280"/>
    <w:rPr>
      <w:sz w:val="16"/>
      <w:szCs w:val="16"/>
    </w:rPr>
  </w:style>
  <w:style w:type="paragraph" w:styleId="CommentText">
    <w:name w:val="annotation text"/>
    <w:basedOn w:val="Normal"/>
    <w:link w:val="CommentTextChar"/>
    <w:uiPriority w:val="99"/>
    <w:rsid w:val="00FD5280"/>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sz w:val="20"/>
      <w:lang w:val="en-US" w:eastAsia="zh-CN"/>
    </w:rPr>
  </w:style>
  <w:style w:type="character" w:customStyle="1" w:styleId="CommentTextChar">
    <w:name w:val="Comment Text Char"/>
    <w:basedOn w:val="DefaultParagraphFont"/>
    <w:link w:val="CommentText"/>
    <w:uiPriority w:val="99"/>
    <w:rsid w:val="00FD5280"/>
    <w:rPr>
      <w:rFonts w:asciiTheme="minorHAnsi" w:eastAsia="SimSun" w:hAnsiTheme="minorHAnsi"/>
    </w:rPr>
  </w:style>
  <w:style w:type="paragraph" w:styleId="Title">
    <w:name w:val="Title"/>
    <w:basedOn w:val="Normal"/>
    <w:next w:val="Normal"/>
    <w:link w:val="TitleChar"/>
    <w:uiPriority w:val="10"/>
    <w:qFormat/>
    <w:rsid w:val="00FD5280"/>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40"/>
      <w:szCs w:val="56"/>
      <w:lang w:val="en-US"/>
    </w:rPr>
  </w:style>
  <w:style w:type="character" w:customStyle="1" w:styleId="TitleChar">
    <w:name w:val="Title Char"/>
    <w:basedOn w:val="DefaultParagraphFont"/>
    <w:link w:val="Title"/>
    <w:uiPriority w:val="10"/>
    <w:rsid w:val="00FD5280"/>
    <w:rPr>
      <w:rFonts w:asciiTheme="majorHAnsi" w:eastAsiaTheme="majorEastAsia" w:hAnsiTheme="majorHAnsi" w:cstheme="majorBidi"/>
      <w:spacing w:val="-10"/>
      <w:kern w:val="28"/>
      <w:sz w:val="40"/>
      <w:szCs w:val="56"/>
      <w:lang w:eastAsia="en-US"/>
    </w:rPr>
  </w:style>
  <w:style w:type="character" w:styleId="Strong">
    <w:name w:val="Strong"/>
    <w:basedOn w:val="DefaultParagraphFont"/>
    <w:uiPriority w:val="22"/>
    <w:qFormat/>
    <w:rsid w:val="00FD5280"/>
    <w:rPr>
      <w:b/>
      <w:bCs/>
    </w:rPr>
  </w:style>
  <w:style w:type="paragraph" w:styleId="IntenseQuote">
    <w:name w:val="Intense Quote"/>
    <w:basedOn w:val="Normal"/>
    <w:next w:val="Normal"/>
    <w:link w:val="IntenseQuoteChar"/>
    <w:uiPriority w:val="30"/>
    <w:qFormat/>
    <w:rsid w:val="00FD5280"/>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D5280"/>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D5280"/>
    <w:rPr>
      <w:b/>
      <w:bCs/>
      <w:smallCaps/>
      <w:color w:val="4F81BD" w:themeColor="accent1"/>
      <w:spacing w:val="5"/>
    </w:rPr>
  </w:style>
  <w:style w:type="character" w:styleId="SubtleReference">
    <w:name w:val="Subtle Reference"/>
    <w:basedOn w:val="DefaultParagraphFont"/>
    <w:uiPriority w:val="31"/>
    <w:qFormat/>
    <w:rsid w:val="00FD5280"/>
    <w:rPr>
      <w:smallCaps/>
      <w:color w:val="5A5A5A" w:themeColor="text1" w:themeTint="A5"/>
    </w:rPr>
  </w:style>
  <w:style w:type="paragraph" w:customStyle="1" w:styleId="SimpleHeading">
    <w:name w:val="Simple Heading"/>
    <w:basedOn w:val="Normal"/>
    <w:link w:val="SimpleHeadingChar"/>
    <w:qFormat/>
    <w:rsid w:val="00FD5280"/>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D5280"/>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D5280"/>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D5280"/>
    <w:rPr>
      <w:rFonts w:asciiTheme="majorHAnsi" w:eastAsiaTheme="majorEastAsia" w:hAnsiTheme="majorHAnsi" w:cstheme="majorBidi"/>
      <w:b w:val="0"/>
      <w:color w:val="F79646" w:themeColor="accent6"/>
      <w:sz w:val="32"/>
      <w:szCs w:val="32"/>
      <w:lang w:val="en-GB" w:eastAsia="en-US"/>
    </w:rPr>
  </w:style>
  <w:style w:type="character" w:customStyle="1" w:styleId="CommentSubjectChar">
    <w:name w:val="Comment Subject Char"/>
    <w:basedOn w:val="CommentTextChar"/>
    <w:link w:val="CommentSubject"/>
    <w:uiPriority w:val="99"/>
    <w:semiHidden/>
    <w:rsid w:val="00FD5280"/>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FD5280"/>
    <w:pPr>
      <w:spacing w:after="160"/>
      <w:jc w:val="both"/>
    </w:pPr>
    <w:rPr>
      <w:rFonts w:eastAsiaTheme="minorHAnsi" w:cstheme="minorBidi"/>
      <w:b/>
      <w:bCs/>
    </w:rPr>
  </w:style>
  <w:style w:type="character" w:customStyle="1" w:styleId="CommentSubjectChar1">
    <w:name w:val="Comment Subject Char1"/>
    <w:basedOn w:val="CommentTextChar"/>
    <w:semiHidden/>
    <w:rsid w:val="00FD5280"/>
    <w:rPr>
      <w:rFonts w:asciiTheme="minorHAnsi" w:eastAsia="SimSun" w:hAnsiTheme="minorHAnsi"/>
      <w:b/>
      <w:bCs/>
    </w:rPr>
  </w:style>
  <w:style w:type="paragraph" w:customStyle="1" w:styleId="Otherideas">
    <w:name w:val="Other ideas"/>
    <w:basedOn w:val="Heading2"/>
    <w:link w:val="OtherideasChar"/>
    <w:qFormat/>
    <w:rsid w:val="00FD5280"/>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D5280"/>
    <w:rPr>
      <w:rFonts w:asciiTheme="majorHAnsi" w:eastAsiaTheme="majorEastAsia" w:hAnsiTheme="majorHAnsi" w:cstheme="majorBidi"/>
      <w:b w:val="0"/>
      <w:color w:val="E36C0A" w:themeColor="accent6" w:themeShade="BF"/>
      <w:sz w:val="26"/>
      <w:szCs w:val="26"/>
      <w:lang w:val="en-GB" w:eastAsia="en-US"/>
    </w:rPr>
  </w:style>
  <w:style w:type="paragraph" w:styleId="Caption">
    <w:name w:val="caption"/>
    <w:basedOn w:val="Normal"/>
    <w:next w:val="Normal"/>
    <w:uiPriority w:val="35"/>
    <w:unhideWhenUsed/>
    <w:qFormat/>
    <w:rsid w:val="00FD5280"/>
    <w:pPr>
      <w:tabs>
        <w:tab w:val="clear" w:pos="567"/>
        <w:tab w:val="clear" w:pos="1134"/>
        <w:tab w:val="clear" w:pos="1701"/>
        <w:tab w:val="clear" w:pos="2268"/>
        <w:tab w:val="clear" w:pos="2835"/>
      </w:tabs>
      <w:overflowPunct/>
      <w:autoSpaceDE/>
      <w:autoSpaceDN/>
      <w:adjustRightInd/>
      <w:spacing w:before="0" w:after="200"/>
      <w:jc w:val="both"/>
      <w:textAlignment w:val="auto"/>
    </w:pPr>
    <w:rPr>
      <w:rFonts w:asciiTheme="minorHAnsi" w:eastAsiaTheme="minorHAnsi" w:hAnsiTheme="minorHAnsi" w:cstheme="minorBidi"/>
      <w:b/>
      <w:i/>
      <w:iCs/>
      <w:color w:val="1F497D" w:themeColor="text2"/>
      <w:sz w:val="22"/>
      <w:szCs w:val="18"/>
      <w:lang w:val="en-US"/>
    </w:rPr>
  </w:style>
  <w:style w:type="table" w:customStyle="1" w:styleId="PlainTable21">
    <w:name w:val="Plain Table 21"/>
    <w:basedOn w:val="TableNormal"/>
    <w:uiPriority w:val="42"/>
    <w:rsid w:val="00FD5280"/>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FD5280"/>
  </w:style>
  <w:style w:type="character" w:styleId="PlaceholderText">
    <w:name w:val="Placeholder Text"/>
    <w:basedOn w:val="DefaultParagraphFont"/>
    <w:uiPriority w:val="99"/>
    <w:semiHidden/>
    <w:rsid w:val="00FD5280"/>
    <w:rPr>
      <w:color w:val="808080"/>
    </w:rPr>
  </w:style>
  <w:style w:type="table" w:customStyle="1" w:styleId="TableGrid1">
    <w:name w:val="Table Grid1"/>
    <w:basedOn w:val="TableNormal"/>
    <w:next w:val="TableGrid"/>
    <w:uiPriority w:val="39"/>
    <w:rsid w:val="00FD528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FD528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11">
    <w:name w:val="List Table 1 Light - Accent 11"/>
    <w:basedOn w:val="TableNormal"/>
    <w:next w:val="ListTable1Light-Accent12"/>
    <w:uiPriority w:val="46"/>
    <w:rsid w:val="00FD5280"/>
    <w:rPr>
      <w:rFonts w:ascii="Calibri" w:eastAsia="Calibri" w:hAnsi="Calibri" w:cs="Arial"/>
      <w:sz w:val="22"/>
      <w:szCs w:val="22"/>
      <w:lang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FD5280"/>
    <w:rPr>
      <w:rFonts w:ascii="Calibri" w:eastAsia="Calibri" w:hAnsi="Calibri" w:cs="Arial"/>
      <w:sz w:val="22"/>
      <w:szCs w:val="22"/>
      <w:lang w:eastAsia="en-US"/>
    </w:rPr>
  </w:style>
  <w:style w:type="table" w:customStyle="1" w:styleId="GridTable1Light-Accent11">
    <w:name w:val="Grid Table 1 Light - Accent 11"/>
    <w:basedOn w:val="TableNormal"/>
    <w:next w:val="GridTable1Light-Accent12"/>
    <w:uiPriority w:val="46"/>
    <w:rsid w:val="00FD5280"/>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Table1Light-Accent12">
    <w:name w:val="List Table 1 Light - Accent 12"/>
    <w:basedOn w:val="TableNormal"/>
    <w:uiPriority w:val="46"/>
    <w:rsid w:val="00FD5280"/>
    <w:rPr>
      <w:rFonts w:eastAsia="SimSu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2">
    <w:name w:val="Grid Table 1 Light - Accent 12"/>
    <w:basedOn w:val="TableNormal"/>
    <w:uiPriority w:val="46"/>
    <w:rsid w:val="00FD5280"/>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FD5280"/>
  </w:style>
  <w:style w:type="table" w:customStyle="1" w:styleId="TableGrid2">
    <w:name w:val="Table Grid2"/>
    <w:basedOn w:val="TableNormal"/>
    <w:next w:val="TableGrid"/>
    <w:uiPriority w:val="39"/>
    <w:rsid w:val="00FD528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FD528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22">
    <w:name w:val="Plain Table 22"/>
    <w:basedOn w:val="TableNormal"/>
    <w:next w:val="PlainTable21"/>
    <w:uiPriority w:val="42"/>
    <w:rsid w:val="00FD5280"/>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semiHidden/>
    <w:unhideWhenUsed/>
    <w:rsid w:val="00FD528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eastAsia="zh-CN"/>
    </w:rPr>
  </w:style>
  <w:style w:type="character" w:customStyle="1" w:styleId="apple-converted-space">
    <w:name w:val="apple-converted-space"/>
    <w:basedOn w:val="DefaultParagraphFont"/>
    <w:rsid w:val="00FD5280"/>
  </w:style>
  <w:style w:type="character" w:customStyle="1" w:styleId="enumlev1Char">
    <w:name w:val="enumlev1 Char"/>
    <w:basedOn w:val="DefaultParagraphFont"/>
    <w:link w:val="enumlev1"/>
    <w:uiPriority w:val="99"/>
    <w:locked/>
    <w:rsid w:val="00FD5280"/>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40cd450-77fb-487b-b25d-f72e03af98ad">DPM</DPM_x0020_Author>
    <DPM_x0020_File_x0020_name xmlns="e40cd450-77fb-487b-b25d-f72e03af98ad">S18-PP-C-24!A1!MSW-C</DPM_x0020_File_x0020_name>
    <DPM_x0020_Version xmlns="e40cd450-77fb-487b-b25d-f72e03af98ad">DPM_2018.06.12.1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0cd450-77fb-487b-b25d-f72e03af98ad" targetNamespace="http://schemas.microsoft.com/office/2006/metadata/properties" ma:root="true" ma:fieldsID="d41af5c836d734370eb92e7ee5f83852" ns2:_="" ns3:_="">
    <xsd:import namespace="996b2e75-67fd-4955-a3b0-5ab9934cb50b"/>
    <xsd:import namespace="e40cd450-77fb-487b-b25d-f72e03af98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0cd450-77fb-487b-b25d-f72e03af98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40cd450-77fb-487b-b25d-f72e03af98a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0cd450-77fb-487b-b25d-f72e03af9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PC_PP18.dotx</Template>
  <TotalTime>0</TotalTime>
  <Pages>4</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S18-PP-C-24!A1!MSW-C</vt:lpstr>
    </vt:vector>
  </TitlesOfParts>
  <LinksUpToDate>false</LinksUpToDate>
  <CharactersWithSpaces>4097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S18-PP-C-24!A1!MSW-C</dc:title>
  <dc:subject>Plenipotentiary Conference (PP-18)</dc:subject>
  <dc:creator/>
  <cp:keywords>DPM_v2018.6.21.1_prod</cp:keywords>
  <cp:lastModifiedBy/>
  <cp:revision>1</cp:revision>
  <dcterms:created xsi:type="dcterms:W3CDTF">2018-07-04T12:40:00Z</dcterms:created>
  <dcterms:modified xsi:type="dcterms:W3CDTF">2018-07-11T14:02:00Z</dcterms:modified>
  <cp:category>Conference document</cp:category>
</cp:coreProperties>
</file>