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907DB" w:rsidTr="00471653">
        <w:trPr>
          <w:cantSplit/>
        </w:trPr>
        <w:tc>
          <w:tcPr>
            <w:tcW w:w="6911" w:type="dxa"/>
          </w:tcPr>
          <w:p w:rsidR="00F96AB4" w:rsidRPr="002907DB" w:rsidRDefault="00F96AB4" w:rsidP="004C4D3C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907D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71572" w:rsidRPr="002907D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907D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907DB">
              <w:rPr>
                <w:rFonts w:ascii="Verdana" w:hAnsi="Verdana"/>
                <w:szCs w:val="22"/>
                <w:lang w:val="ru-RU"/>
              </w:rPr>
              <w:br/>
            </w:r>
            <w:r w:rsidR="00C71572" w:rsidRPr="002907DB">
              <w:rPr>
                <w:b/>
                <w:bCs/>
                <w:lang w:val="ru-RU"/>
              </w:rPr>
              <w:t>Дубай</w:t>
            </w:r>
            <w:r w:rsidRPr="002907DB">
              <w:rPr>
                <w:b/>
                <w:bCs/>
                <w:lang w:val="ru-RU"/>
              </w:rPr>
              <w:t>, 2</w:t>
            </w:r>
            <w:r w:rsidR="00C71572" w:rsidRPr="002907DB">
              <w:rPr>
                <w:b/>
                <w:bCs/>
                <w:lang w:val="ru-RU"/>
              </w:rPr>
              <w:t>9</w:t>
            </w:r>
            <w:r w:rsidRPr="002907DB">
              <w:rPr>
                <w:b/>
                <w:bCs/>
                <w:lang w:val="ru-RU"/>
              </w:rPr>
              <w:t xml:space="preserve"> октября – </w:t>
            </w:r>
            <w:r w:rsidR="00C71572" w:rsidRPr="002907DB">
              <w:rPr>
                <w:b/>
                <w:bCs/>
                <w:lang w:val="ru-RU"/>
              </w:rPr>
              <w:t>16</w:t>
            </w:r>
            <w:r w:rsidRPr="002907DB">
              <w:rPr>
                <w:b/>
                <w:bCs/>
                <w:lang w:val="ru-RU"/>
              </w:rPr>
              <w:t xml:space="preserve"> ноября 201</w:t>
            </w:r>
            <w:r w:rsidR="00C71572" w:rsidRPr="002907DB">
              <w:rPr>
                <w:b/>
                <w:bCs/>
                <w:lang w:val="ru-RU"/>
              </w:rPr>
              <w:t>8</w:t>
            </w:r>
            <w:r w:rsidRPr="002907D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907DB" w:rsidRDefault="00F96AB4" w:rsidP="004C4D3C">
            <w:pPr>
              <w:rPr>
                <w:lang w:val="ru-RU"/>
              </w:rPr>
            </w:pPr>
            <w:bookmarkStart w:id="1" w:name="ditulogo"/>
            <w:bookmarkEnd w:id="1"/>
            <w:r w:rsidRPr="002907DB">
              <w:rPr>
                <w:noProof/>
                <w:lang w:eastAsia="zh-CN"/>
              </w:rPr>
              <w:drawing>
                <wp:inline distT="0" distB="0" distL="0" distR="0" wp14:anchorId="2AD09683" wp14:editId="1F2AED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907DB" w:rsidTr="004716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907DB" w:rsidRDefault="00F96AB4" w:rsidP="004C4D3C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907DB" w:rsidRDefault="00F96AB4" w:rsidP="004C4D3C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2907DB" w:rsidTr="004716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907DB" w:rsidRDefault="00F96AB4" w:rsidP="004C4D3C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907DB" w:rsidRDefault="00F96AB4" w:rsidP="004C4D3C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913013" w:rsidTr="00471653">
        <w:trPr>
          <w:cantSplit/>
        </w:trPr>
        <w:tc>
          <w:tcPr>
            <w:tcW w:w="6911" w:type="dxa"/>
          </w:tcPr>
          <w:p w:rsidR="00131286" w:rsidRPr="002907DB" w:rsidRDefault="00131286" w:rsidP="004C4D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907D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2907DB" w:rsidRDefault="00913013" w:rsidP="0091301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C8225D" w:rsidRPr="002907D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C8225D" w:rsidRPr="002907D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71572" w:rsidRPr="002907DB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5571D7" w:rsidRPr="002907DB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131286" w:rsidRPr="002907D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913013" w:rsidTr="00471653">
        <w:trPr>
          <w:cantSplit/>
        </w:trPr>
        <w:tc>
          <w:tcPr>
            <w:tcW w:w="6911" w:type="dxa"/>
          </w:tcPr>
          <w:p w:rsidR="00131286" w:rsidRPr="002907DB" w:rsidRDefault="00131286" w:rsidP="004C4D3C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907DB" w:rsidRDefault="00EB40A6" w:rsidP="004C4D3C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907DB">
              <w:rPr>
                <w:rFonts w:cstheme="minorHAnsi"/>
                <w:b/>
                <w:bCs/>
                <w:szCs w:val="28"/>
                <w:lang w:val="ru-RU"/>
              </w:rPr>
              <w:t>12 октября</w:t>
            </w:r>
            <w:r w:rsidR="00131286" w:rsidRPr="002907DB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71572" w:rsidRPr="002907DB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="00131286" w:rsidRPr="002907D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913013" w:rsidTr="00471653">
        <w:trPr>
          <w:cantSplit/>
        </w:trPr>
        <w:tc>
          <w:tcPr>
            <w:tcW w:w="6911" w:type="dxa"/>
          </w:tcPr>
          <w:p w:rsidR="00131286" w:rsidRPr="002907DB" w:rsidRDefault="00131286" w:rsidP="004C4D3C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907DB" w:rsidRDefault="00131286" w:rsidP="004C4D3C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907DB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C71572" w:rsidRPr="002907DB">
              <w:rPr>
                <w:rFonts w:cstheme="minorHAnsi"/>
                <w:b/>
                <w:bCs/>
                <w:szCs w:val="28"/>
                <w:lang w:val="ru-RU"/>
              </w:rPr>
              <w:t>англий</w:t>
            </w:r>
            <w:r w:rsidR="00C8225D" w:rsidRPr="002907DB">
              <w:rPr>
                <w:rFonts w:cstheme="minorHAnsi"/>
                <w:b/>
                <w:bCs/>
                <w:szCs w:val="28"/>
                <w:lang w:val="ru-RU"/>
              </w:rPr>
              <w:t>ский</w:t>
            </w:r>
          </w:p>
        </w:tc>
      </w:tr>
      <w:tr w:rsidR="00131286" w:rsidRPr="00913013" w:rsidTr="00471653">
        <w:trPr>
          <w:cantSplit/>
        </w:trPr>
        <w:tc>
          <w:tcPr>
            <w:tcW w:w="10031" w:type="dxa"/>
            <w:gridSpan w:val="2"/>
          </w:tcPr>
          <w:p w:rsidR="00131286" w:rsidRPr="002907DB" w:rsidRDefault="00131286" w:rsidP="004C4D3C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913013" w:rsidTr="00471653">
        <w:trPr>
          <w:cantSplit/>
        </w:trPr>
        <w:tc>
          <w:tcPr>
            <w:tcW w:w="10031" w:type="dxa"/>
            <w:gridSpan w:val="2"/>
          </w:tcPr>
          <w:p w:rsidR="00131286" w:rsidRPr="002907DB" w:rsidRDefault="00C8225D" w:rsidP="00EB40A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907DB">
              <w:rPr>
                <w:lang w:val="ru-RU"/>
              </w:rPr>
              <w:t xml:space="preserve">Отчет </w:t>
            </w:r>
            <w:r w:rsidR="00EB40A6" w:rsidRPr="002907DB">
              <w:rPr>
                <w:lang w:val="ru-RU"/>
              </w:rPr>
              <w:t>Совета</w:t>
            </w:r>
          </w:p>
        </w:tc>
      </w:tr>
      <w:tr w:rsidR="00131286" w:rsidRPr="001C4479" w:rsidTr="00471653">
        <w:trPr>
          <w:cantSplit/>
        </w:trPr>
        <w:tc>
          <w:tcPr>
            <w:tcW w:w="10031" w:type="dxa"/>
            <w:gridSpan w:val="2"/>
          </w:tcPr>
          <w:p w:rsidR="00131286" w:rsidRPr="002907DB" w:rsidRDefault="00004AD6" w:rsidP="00B618E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907DB">
              <w:rPr>
                <w:lang w:val="ru-RU"/>
              </w:rPr>
              <w:t>Задолженности, специальные счета задолженностей</w:t>
            </w:r>
            <w:r w:rsidR="00B618EA" w:rsidRPr="002907DB">
              <w:rPr>
                <w:lang w:val="ru-RU"/>
              </w:rPr>
              <w:t xml:space="preserve"> </w:t>
            </w:r>
            <w:r w:rsidR="00B618EA" w:rsidRPr="002907DB">
              <w:rPr>
                <w:lang w:val="ru-RU"/>
              </w:rPr>
              <w:br/>
            </w:r>
            <w:r w:rsidRPr="002907DB">
              <w:rPr>
                <w:lang w:val="ru-RU"/>
              </w:rPr>
              <w:t>и аннулированные специальные счета задолженностей</w:t>
            </w:r>
          </w:p>
        </w:tc>
      </w:tr>
      <w:tr w:rsidR="00131286" w:rsidRPr="001C4479" w:rsidTr="00471653">
        <w:trPr>
          <w:cantSplit/>
        </w:trPr>
        <w:tc>
          <w:tcPr>
            <w:tcW w:w="10031" w:type="dxa"/>
            <w:gridSpan w:val="2"/>
          </w:tcPr>
          <w:p w:rsidR="00131286" w:rsidRPr="002907DB" w:rsidRDefault="00131286" w:rsidP="004C4D3C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004AD6" w:rsidRPr="002907DB" w:rsidRDefault="00004AD6" w:rsidP="004C4D3C">
      <w:pPr>
        <w:pStyle w:val="Heading1"/>
        <w:rPr>
          <w:lang w:val="ru-RU"/>
        </w:rPr>
      </w:pPr>
      <w:r w:rsidRPr="002907DB">
        <w:rPr>
          <w:lang w:val="ru-RU"/>
        </w:rPr>
        <w:t>1</w:t>
      </w:r>
      <w:r w:rsidRPr="002907DB">
        <w:rPr>
          <w:lang w:val="ru-RU"/>
        </w:rPr>
        <w:tab/>
        <w:t>Базовая информация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1.1</w:t>
      </w:r>
      <w:r w:rsidRPr="002907DB">
        <w:rPr>
          <w:lang w:val="ru-RU"/>
        </w:rPr>
        <w:tab/>
        <w:t xml:space="preserve">В своей </w:t>
      </w:r>
      <w:hyperlink r:id="rId9" w:anchor="res41" w:history="1">
        <w:r w:rsidR="003911C1" w:rsidRPr="002907DB">
          <w:rPr>
            <w:rStyle w:val="Hyperlink"/>
            <w:rFonts w:asciiTheme="minorHAnsi" w:hAnsiTheme="minorHAnsi"/>
            <w:lang w:val="ru-RU"/>
          </w:rPr>
          <w:t>Резолюции 41</w:t>
        </w:r>
      </w:hyperlink>
      <w:r w:rsidRPr="002907DB">
        <w:rPr>
          <w:lang w:val="ru-RU"/>
        </w:rPr>
        <w:t xml:space="preserve"> (Пересм. </w:t>
      </w:r>
      <w:r w:rsidR="00C71572" w:rsidRPr="002907DB">
        <w:rPr>
          <w:lang w:val="ru-RU"/>
        </w:rPr>
        <w:t>Пусан, 2014</w:t>
      </w:r>
      <w:r w:rsidR="00471653" w:rsidRPr="002907DB">
        <w:rPr>
          <w:lang w:val="ru-RU"/>
        </w:rPr>
        <w:t xml:space="preserve"> </w:t>
      </w:r>
      <w:r w:rsidRPr="002907DB">
        <w:rPr>
          <w:lang w:val="ru-RU"/>
        </w:rPr>
        <w:t>г.) Полномочная конференция настоятельно призвала все Государства-Члены, имеющие задержки платежей, особенно по которым были аннулированы специальные счета задолженностей, а также имеющих задержки платежей Членов Секторов</w:t>
      </w:r>
      <w:r w:rsidR="00471653" w:rsidRPr="002907DB">
        <w:rPr>
          <w:lang w:val="ru-RU"/>
        </w:rPr>
        <w:t xml:space="preserve"> и Ассоциированных членов</w:t>
      </w:r>
      <w:r w:rsidRPr="002907DB">
        <w:rPr>
          <w:lang w:val="ru-RU"/>
        </w:rPr>
        <w:t xml:space="preserve"> представить Генеральному секретарю и согласовать с ним графики погашения, с тем чтобы погасить свои задолженности. Она подтвердила решение открывать новые специальные счета задолженностей лишь после заключения с Генеральным секретарем соглашения, устанавливающего конкретный график погашения, </w:t>
      </w:r>
      <w:r w:rsidR="009364DE" w:rsidRPr="002907DB">
        <w:rPr>
          <w:lang w:val="ru-RU"/>
        </w:rPr>
        <w:t>не позднее чем</w:t>
      </w:r>
      <w:r w:rsidRPr="002907DB">
        <w:rPr>
          <w:lang w:val="ru-RU"/>
        </w:rPr>
        <w:t xml:space="preserve"> в течение одного года со времени поступления запроса об открытии так</w:t>
      </w:r>
      <w:r w:rsidR="00C71572" w:rsidRPr="002907DB">
        <w:rPr>
          <w:lang w:val="ru-RU"/>
        </w:rPr>
        <w:t>ого</w:t>
      </w:r>
      <w:r w:rsidRPr="002907DB">
        <w:rPr>
          <w:lang w:val="ru-RU"/>
        </w:rPr>
        <w:t xml:space="preserve"> специальн</w:t>
      </w:r>
      <w:r w:rsidR="00C71572" w:rsidRPr="002907DB">
        <w:rPr>
          <w:lang w:val="ru-RU"/>
        </w:rPr>
        <w:t>ого</w:t>
      </w:r>
      <w:r w:rsidRPr="002907DB">
        <w:rPr>
          <w:lang w:val="ru-RU"/>
        </w:rPr>
        <w:t xml:space="preserve"> счет</w:t>
      </w:r>
      <w:r w:rsidR="00C71572" w:rsidRPr="002907DB">
        <w:rPr>
          <w:lang w:val="ru-RU"/>
        </w:rPr>
        <w:t>а задолженностей</w:t>
      </w:r>
      <w:r w:rsidRPr="002907DB">
        <w:rPr>
          <w:lang w:val="ru-RU"/>
        </w:rPr>
        <w:t>. Кроме того, она решила, что причитающиеся суммы не будут приниматься во внимание при применении п. 169 Устава (право голоса) при условии, что соответствующие Государства-Члены представили Генеральному секретарю и согласовали с ним свои графики погашения, и пока они строго соблюдают эти графики и оговоренные в них условия. Несоблюдение указанного графика погашения и оговоренных в нем условий влечет за собой аннулирование специального счета задолженностей. Кроме того, Совету было поручено рассмотреть руководящие указания по графикам погашения, включая их максимальную продолжительность</w:t>
      </w:r>
      <w:r w:rsidR="0017442C" w:rsidRPr="002907DB">
        <w:rPr>
          <w:lang w:val="ru-RU"/>
        </w:rPr>
        <w:t xml:space="preserve">, которая составляла бы </w:t>
      </w:r>
      <w:r w:rsidR="00C71572" w:rsidRPr="002907DB">
        <w:rPr>
          <w:lang w:val="ru-RU"/>
        </w:rPr>
        <w:t xml:space="preserve">до </w:t>
      </w:r>
      <w:r w:rsidR="0017442C" w:rsidRPr="002907DB">
        <w:rPr>
          <w:lang w:val="ru-RU"/>
        </w:rPr>
        <w:t>пят</w:t>
      </w:r>
      <w:r w:rsidR="00C71572" w:rsidRPr="002907DB">
        <w:rPr>
          <w:lang w:val="ru-RU"/>
        </w:rPr>
        <w:t>и</w:t>
      </w:r>
      <w:r w:rsidR="0017442C" w:rsidRPr="002907DB">
        <w:rPr>
          <w:lang w:val="ru-RU"/>
        </w:rPr>
        <w:t xml:space="preserve"> лет для развитых стран, </w:t>
      </w:r>
      <w:r w:rsidR="008A0B92" w:rsidRPr="002907DB">
        <w:rPr>
          <w:lang w:val="ru-RU"/>
        </w:rPr>
        <w:t xml:space="preserve">до </w:t>
      </w:r>
      <w:r w:rsidR="0017442C" w:rsidRPr="002907DB">
        <w:rPr>
          <w:lang w:val="ru-RU"/>
        </w:rPr>
        <w:t>десят</w:t>
      </w:r>
      <w:r w:rsidR="008A0B92" w:rsidRPr="002907DB">
        <w:rPr>
          <w:lang w:val="ru-RU"/>
        </w:rPr>
        <w:t>и</w:t>
      </w:r>
      <w:r w:rsidR="0017442C" w:rsidRPr="002907DB">
        <w:rPr>
          <w:lang w:val="ru-RU"/>
        </w:rPr>
        <w:t xml:space="preserve"> лет для развивающихся стран и </w:t>
      </w:r>
      <w:r w:rsidR="00C71572" w:rsidRPr="002907DB">
        <w:rPr>
          <w:lang w:val="ru-RU"/>
        </w:rPr>
        <w:t xml:space="preserve">до </w:t>
      </w:r>
      <w:r w:rsidR="0017442C" w:rsidRPr="002907DB">
        <w:rPr>
          <w:lang w:val="ru-RU"/>
        </w:rPr>
        <w:t>пятнадцат</w:t>
      </w:r>
      <w:r w:rsidR="00C71572" w:rsidRPr="002907DB">
        <w:rPr>
          <w:lang w:val="ru-RU"/>
        </w:rPr>
        <w:t>и</w:t>
      </w:r>
      <w:r w:rsidR="0017442C" w:rsidRPr="002907DB">
        <w:rPr>
          <w:lang w:val="ru-RU"/>
        </w:rPr>
        <w:t xml:space="preserve"> лет для наименее развитых стран (НРС), а также </w:t>
      </w:r>
      <w:r w:rsidR="008A0B92" w:rsidRPr="002907DB">
        <w:rPr>
          <w:lang w:val="ru-RU"/>
        </w:rPr>
        <w:t xml:space="preserve">до </w:t>
      </w:r>
      <w:r w:rsidR="0017442C" w:rsidRPr="002907DB">
        <w:rPr>
          <w:lang w:val="ru-RU"/>
        </w:rPr>
        <w:t>пят</w:t>
      </w:r>
      <w:r w:rsidR="008A0B92" w:rsidRPr="002907DB">
        <w:rPr>
          <w:lang w:val="ru-RU"/>
        </w:rPr>
        <w:t>и</w:t>
      </w:r>
      <w:r w:rsidR="0017442C" w:rsidRPr="002907DB">
        <w:rPr>
          <w:lang w:val="ru-RU"/>
        </w:rPr>
        <w:t xml:space="preserve"> лет для Членов Секторов и Ассоциированных членов</w:t>
      </w:r>
      <w:r w:rsidRPr="002907DB">
        <w:rPr>
          <w:lang w:val="ru-RU"/>
        </w:rPr>
        <w:t xml:space="preserve">. Совет первоначально разработал эти руководящие указания </w:t>
      </w:r>
      <w:r w:rsidR="0017442C" w:rsidRPr="002907DB">
        <w:rPr>
          <w:lang w:val="ru-RU"/>
        </w:rPr>
        <w:t xml:space="preserve">по графикам погашения </w:t>
      </w:r>
      <w:r w:rsidRPr="002907DB">
        <w:rPr>
          <w:lang w:val="ru-RU"/>
        </w:rPr>
        <w:t>на своей сессии 1999 года (Документ </w:t>
      </w:r>
      <w:r w:rsidR="000B1A99" w:rsidRPr="002907DB">
        <w:rPr>
          <w:rStyle w:val="Hyperlink"/>
          <w:rFonts w:asciiTheme="minorHAnsi" w:hAnsiTheme="minorHAnsi"/>
          <w:lang w:val="ru-RU"/>
        </w:rPr>
        <w:fldChar w:fldCharType="begin"/>
      </w:r>
      <w:r w:rsidR="000B1A99" w:rsidRPr="002907DB">
        <w:rPr>
          <w:rStyle w:val="Hyperlink"/>
          <w:rFonts w:asciiTheme="minorHAnsi" w:hAnsiTheme="minorHAnsi"/>
          <w:lang w:val="ru-RU"/>
        </w:rPr>
        <w:instrText xml:space="preserve"> HYPERLINK "http://www.itu.int/itudoc/gs/council/c99/docs/docs1/027.html" </w:instrText>
      </w:r>
      <w:r w:rsidR="000B1A99" w:rsidRPr="002907DB">
        <w:rPr>
          <w:rStyle w:val="Hyperlink"/>
          <w:rFonts w:asciiTheme="minorHAnsi" w:hAnsiTheme="minorHAnsi"/>
          <w:lang w:val="ru-RU"/>
        </w:rPr>
        <w:fldChar w:fldCharType="separate"/>
      </w:r>
      <w:r w:rsidRPr="002907DB">
        <w:rPr>
          <w:rStyle w:val="Hyperlink"/>
          <w:rFonts w:asciiTheme="minorHAnsi" w:hAnsiTheme="minorHAnsi"/>
          <w:lang w:val="ru-RU"/>
        </w:rPr>
        <w:t>C99/27</w:t>
      </w:r>
      <w:r w:rsidR="000B1A99" w:rsidRPr="002907DB">
        <w:rPr>
          <w:rStyle w:val="Hyperlink"/>
          <w:rFonts w:asciiTheme="minorHAnsi" w:hAnsiTheme="minorHAnsi"/>
          <w:lang w:val="ru-RU"/>
        </w:rPr>
        <w:fldChar w:fldCharType="end"/>
      </w:r>
      <w:r w:rsidRPr="002907DB">
        <w:rPr>
          <w:lang w:val="ru-RU"/>
        </w:rPr>
        <w:t>). Совету также было поручено предусмотреть другие надлежащие меры, например</w:t>
      </w:r>
      <w:r w:rsidR="008A0B92" w:rsidRPr="002907DB">
        <w:rPr>
          <w:lang w:val="ru-RU"/>
        </w:rPr>
        <w:t>, в исключительных случаях:</w:t>
      </w:r>
      <w:r w:rsidRPr="002907DB">
        <w:rPr>
          <w:lang w:val="ru-RU"/>
        </w:rPr>
        <w:t xml:space="preserve"> временное снижение класса взносов</w:t>
      </w:r>
      <w:r w:rsidR="0017442C" w:rsidRPr="002907DB">
        <w:rPr>
          <w:lang w:val="ru-RU"/>
        </w:rPr>
        <w:t>;</w:t>
      </w:r>
      <w:r w:rsidRPr="002907DB">
        <w:rPr>
          <w:lang w:val="ru-RU"/>
        </w:rPr>
        <w:t xml:space="preserve"> аннулирование процентов по просроченным платежам, при условии что каждое соответствующее Государство-Член, Член Сектора или Ассоциированный член строго соблюдают график погашения, согласованный для урегулирования неуплаченных взносов</w:t>
      </w:r>
      <w:r w:rsidR="0017442C" w:rsidRPr="002907DB">
        <w:rPr>
          <w:lang w:val="ru-RU"/>
        </w:rPr>
        <w:t xml:space="preserve">; </w:t>
      </w:r>
      <w:r w:rsidR="00DE08A2" w:rsidRPr="002907DB">
        <w:rPr>
          <w:lang w:val="ru-RU"/>
        </w:rPr>
        <w:t xml:space="preserve">разработка графика погашения максимальной продолжительностью </w:t>
      </w:r>
      <w:r w:rsidR="008A0B92" w:rsidRPr="002907DB">
        <w:rPr>
          <w:lang w:val="ru-RU"/>
        </w:rPr>
        <w:t>до</w:t>
      </w:r>
      <w:r w:rsidR="00DE08A2" w:rsidRPr="002907DB">
        <w:rPr>
          <w:lang w:val="ru-RU"/>
        </w:rPr>
        <w:t xml:space="preserve"> тридцат</w:t>
      </w:r>
      <w:r w:rsidR="008A0B92" w:rsidRPr="002907DB">
        <w:rPr>
          <w:lang w:val="ru-RU"/>
        </w:rPr>
        <w:t>и</w:t>
      </w:r>
      <w:r w:rsidR="00DE08A2" w:rsidRPr="002907DB">
        <w:rPr>
          <w:lang w:val="ru-RU"/>
        </w:rPr>
        <w:t xml:space="preserve"> лет для стран, находящихся в особо трудном положении, обусловленном стихийными бедствиями, гражданскими конфликтами или крайними экономическими трудностями; и корректировка графика погашения на его начальном этапе для обеспечения </w:t>
      </w:r>
      <w:r w:rsidR="008A0B92" w:rsidRPr="002907DB">
        <w:rPr>
          <w:lang w:val="ru-RU"/>
        </w:rPr>
        <w:t>вы</w:t>
      </w:r>
      <w:r w:rsidR="00DE08A2" w:rsidRPr="002907DB">
        <w:rPr>
          <w:lang w:val="ru-RU"/>
        </w:rPr>
        <w:t>платы меньшей ежегодной суммы, при условии что общая начисленная сумма будет такой же в конце г</w:t>
      </w:r>
      <w:bookmarkStart w:id="7" w:name="_GoBack"/>
      <w:bookmarkEnd w:id="7"/>
      <w:r w:rsidR="00DE08A2" w:rsidRPr="002907DB">
        <w:rPr>
          <w:lang w:val="ru-RU"/>
        </w:rPr>
        <w:t xml:space="preserve">рафика погашения. </w:t>
      </w:r>
    </w:p>
    <w:p w:rsidR="00DE08A2" w:rsidRPr="002907DB" w:rsidRDefault="00DE08A2" w:rsidP="004C4D3C">
      <w:pPr>
        <w:rPr>
          <w:rFonts w:asciiTheme="minorHAnsi" w:hAnsiTheme="minorHAnsi"/>
          <w:szCs w:val="22"/>
          <w:lang w:val="ru-RU"/>
        </w:rPr>
      </w:pPr>
      <w:r w:rsidRPr="002907DB">
        <w:rPr>
          <w:rFonts w:asciiTheme="minorHAnsi" w:hAnsiTheme="minorHAnsi"/>
          <w:szCs w:val="22"/>
          <w:lang w:val="ru-RU"/>
        </w:rPr>
        <w:lastRenderedPageBreak/>
        <w:t>1.2</w:t>
      </w:r>
      <w:r w:rsidRPr="002907DB">
        <w:rPr>
          <w:rFonts w:asciiTheme="minorHAnsi" w:hAnsiTheme="minorHAnsi"/>
          <w:szCs w:val="22"/>
          <w:lang w:val="ru-RU"/>
        </w:rPr>
        <w:tab/>
      </w:r>
      <w:r w:rsidR="00472E3C" w:rsidRPr="002907DB">
        <w:rPr>
          <w:rFonts w:asciiTheme="minorHAnsi" w:hAnsiTheme="minorHAnsi"/>
          <w:szCs w:val="22"/>
          <w:lang w:val="ru-RU"/>
        </w:rPr>
        <w:t>В соответствии с</w:t>
      </w:r>
      <w:r w:rsidRPr="002907DB">
        <w:rPr>
          <w:rFonts w:asciiTheme="minorHAnsi" w:hAnsiTheme="minorHAnsi"/>
          <w:szCs w:val="22"/>
          <w:lang w:val="ru-RU"/>
        </w:rPr>
        <w:t xml:space="preserve"> </w:t>
      </w:r>
      <w:hyperlink r:id="rId10" w:anchor="res169" w:history="1">
        <w:r w:rsidR="00472E3C" w:rsidRPr="002907DB">
          <w:rPr>
            <w:rStyle w:val="Hyperlink"/>
            <w:rFonts w:asciiTheme="minorHAnsi" w:hAnsiTheme="minorHAnsi"/>
            <w:szCs w:val="22"/>
            <w:lang w:val="ru-RU"/>
          </w:rPr>
          <w:t>Резолюцией</w:t>
        </w:r>
        <w:r w:rsidRPr="002907DB">
          <w:rPr>
            <w:rStyle w:val="Hyperlink"/>
            <w:rFonts w:asciiTheme="minorHAnsi" w:hAnsiTheme="minorHAnsi"/>
            <w:szCs w:val="22"/>
            <w:lang w:val="ru-RU"/>
          </w:rPr>
          <w:t xml:space="preserve"> 169</w:t>
        </w:r>
      </w:hyperlink>
      <w:r w:rsidRPr="002907DB">
        <w:rPr>
          <w:rFonts w:asciiTheme="minorHAnsi" w:hAnsiTheme="minorHAnsi"/>
          <w:szCs w:val="22"/>
          <w:lang w:val="ru-RU"/>
        </w:rPr>
        <w:t xml:space="preserve"> (</w:t>
      </w:r>
      <w:r w:rsidR="008A0B92" w:rsidRPr="002907DB">
        <w:rPr>
          <w:rFonts w:asciiTheme="minorHAnsi" w:hAnsiTheme="minorHAnsi"/>
          <w:szCs w:val="22"/>
          <w:lang w:val="ru-RU"/>
        </w:rPr>
        <w:t>Пересм. Пусан, 2014</w:t>
      </w:r>
      <w:r w:rsidR="00472E3C" w:rsidRPr="002907DB">
        <w:rPr>
          <w:rFonts w:asciiTheme="minorHAnsi" w:hAnsiTheme="minorHAnsi"/>
          <w:szCs w:val="22"/>
          <w:lang w:val="ru-RU"/>
        </w:rPr>
        <w:t xml:space="preserve"> г.</w:t>
      </w:r>
      <w:r w:rsidRPr="002907DB">
        <w:rPr>
          <w:rFonts w:asciiTheme="minorHAnsi" w:hAnsiTheme="minorHAnsi"/>
          <w:szCs w:val="22"/>
          <w:lang w:val="ru-RU"/>
        </w:rPr>
        <w:t>)</w:t>
      </w:r>
      <w:r w:rsidR="00472E3C" w:rsidRPr="002907DB">
        <w:rPr>
          <w:rFonts w:asciiTheme="minorHAnsi" w:hAnsiTheme="minorHAnsi"/>
          <w:szCs w:val="22"/>
          <w:lang w:val="ru-RU"/>
        </w:rPr>
        <w:t xml:space="preserve"> академические организации, университеты и </w:t>
      </w:r>
      <w:r w:rsidR="008A0B92" w:rsidRPr="002907DB">
        <w:rPr>
          <w:rFonts w:asciiTheme="minorHAnsi" w:hAnsiTheme="minorHAnsi"/>
          <w:szCs w:val="22"/>
          <w:lang w:val="ru-RU"/>
        </w:rPr>
        <w:t>связанные с ними исследовательские</w:t>
      </w:r>
      <w:r w:rsidR="00472E3C" w:rsidRPr="002907DB">
        <w:rPr>
          <w:rFonts w:asciiTheme="minorHAnsi" w:hAnsiTheme="minorHAnsi"/>
          <w:szCs w:val="22"/>
          <w:lang w:val="ru-RU"/>
        </w:rPr>
        <w:t xml:space="preserve"> учреждения (далее: "</w:t>
      </w:r>
      <w:r w:rsidR="008A0B92" w:rsidRPr="002907DB">
        <w:rPr>
          <w:rFonts w:asciiTheme="minorHAnsi" w:hAnsiTheme="minorHAnsi"/>
          <w:szCs w:val="22"/>
          <w:lang w:val="ru-RU"/>
        </w:rPr>
        <w:t>А</w:t>
      </w:r>
      <w:r w:rsidR="00472E3C" w:rsidRPr="002907DB">
        <w:rPr>
          <w:rFonts w:asciiTheme="minorHAnsi" w:hAnsiTheme="minorHAnsi"/>
          <w:szCs w:val="22"/>
          <w:lang w:val="ru-RU"/>
        </w:rPr>
        <w:t xml:space="preserve">кадемические организации") допускаются на испытательный срок к участию в работе Секторов. По аналогии к ним применяется Резолюция </w:t>
      </w:r>
      <w:r w:rsidRPr="002907DB">
        <w:rPr>
          <w:rFonts w:asciiTheme="minorHAnsi" w:hAnsiTheme="minorHAnsi"/>
          <w:szCs w:val="22"/>
          <w:lang w:val="ru-RU"/>
        </w:rPr>
        <w:t>41 (</w:t>
      </w:r>
      <w:r w:rsidR="008A0B92" w:rsidRPr="002907DB">
        <w:rPr>
          <w:rFonts w:asciiTheme="minorHAnsi" w:hAnsiTheme="minorHAnsi"/>
          <w:szCs w:val="22"/>
          <w:lang w:val="ru-RU"/>
        </w:rPr>
        <w:t xml:space="preserve">Пересм. Пусан, 2014 </w:t>
      </w:r>
      <w:r w:rsidR="003B493E" w:rsidRPr="002907DB">
        <w:rPr>
          <w:rFonts w:asciiTheme="minorHAnsi" w:hAnsiTheme="minorHAnsi"/>
          <w:szCs w:val="22"/>
          <w:lang w:val="ru-RU"/>
        </w:rPr>
        <w:t>г.</w:t>
      </w:r>
      <w:r w:rsidRPr="002907DB">
        <w:rPr>
          <w:rFonts w:asciiTheme="minorHAnsi" w:hAnsiTheme="minorHAnsi"/>
          <w:szCs w:val="22"/>
          <w:lang w:val="ru-RU"/>
        </w:rPr>
        <w:t>)</w:t>
      </w:r>
      <w:r w:rsidR="003B493E" w:rsidRPr="002907DB">
        <w:rPr>
          <w:rFonts w:asciiTheme="minorHAnsi" w:hAnsiTheme="minorHAnsi"/>
          <w:szCs w:val="22"/>
          <w:lang w:val="ru-RU"/>
        </w:rPr>
        <w:t>. Если данная категория будет подтверждена настоящей Полномочной конференцией, то было бы целесообразно в связи с этим внести поправки в Резолюцию</w:t>
      </w:r>
      <w:r w:rsidRPr="002907DB">
        <w:rPr>
          <w:rFonts w:asciiTheme="minorHAnsi" w:hAnsiTheme="minorHAnsi"/>
          <w:szCs w:val="22"/>
          <w:lang w:val="ru-RU"/>
        </w:rPr>
        <w:t> 41 (</w:t>
      </w:r>
      <w:r w:rsidR="008A0B92" w:rsidRPr="002907DB">
        <w:rPr>
          <w:rFonts w:asciiTheme="minorHAnsi" w:hAnsiTheme="minorHAnsi"/>
          <w:szCs w:val="22"/>
          <w:lang w:val="ru-RU"/>
        </w:rPr>
        <w:t xml:space="preserve">Пересм. Пусан, 2014 </w:t>
      </w:r>
      <w:r w:rsidR="003B493E" w:rsidRPr="002907DB">
        <w:rPr>
          <w:rFonts w:asciiTheme="minorHAnsi" w:hAnsiTheme="minorHAnsi"/>
          <w:szCs w:val="22"/>
          <w:lang w:val="ru-RU"/>
        </w:rPr>
        <w:t>г.</w:t>
      </w:r>
      <w:r w:rsidRPr="002907DB">
        <w:rPr>
          <w:rFonts w:asciiTheme="minorHAnsi" w:hAnsiTheme="minorHAnsi"/>
          <w:szCs w:val="22"/>
          <w:lang w:val="ru-RU"/>
        </w:rPr>
        <w:t>).</w:t>
      </w:r>
    </w:p>
    <w:p w:rsidR="00004AD6" w:rsidRPr="002907DB" w:rsidRDefault="003B493E" w:rsidP="004C4D3C">
      <w:pPr>
        <w:rPr>
          <w:lang w:val="ru-RU"/>
        </w:rPr>
      </w:pPr>
      <w:r w:rsidRPr="002907DB">
        <w:rPr>
          <w:lang w:val="ru-RU"/>
        </w:rPr>
        <w:t>1.3</w:t>
      </w:r>
      <w:r w:rsidR="00004AD6" w:rsidRPr="002907DB">
        <w:rPr>
          <w:lang w:val="ru-RU"/>
        </w:rPr>
        <w:tab/>
        <w:t xml:space="preserve">Кроме того, Совету было поручено </w:t>
      </w:r>
      <w:r w:rsidR="009364DE" w:rsidRPr="002907DB">
        <w:rPr>
          <w:lang w:val="ru-RU"/>
        </w:rPr>
        <w:t>принима</w:t>
      </w:r>
      <w:r w:rsidR="00004AD6" w:rsidRPr="002907DB">
        <w:rPr>
          <w:lang w:val="ru-RU"/>
        </w:rPr>
        <w:t>ть дополнительные меры в случае несоблюдения согласованных условий погашения и/или задержек в уплате ежегодных членских взносов, не включенных в график погашения, которые, в частности, будут включать временное прекращение участия соответствующих Членов Секторов</w:t>
      </w:r>
      <w:r w:rsidR="00EE5FB9" w:rsidRPr="002907DB">
        <w:rPr>
          <w:lang w:val="ru-RU"/>
        </w:rPr>
        <w:t>,</w:t>
      </w:r>
      <w:r w:rsidR="00004AD6" w:rsidRPr="002907DB">
        <w:rPr>
          <w:lang w:val="ru-RU"/>
        </w:rPr>
        <w:t xml:space="preserve"> Ассоциированных членов </w:t>
      </w:r>
      <w:r w:rsidR="00EE5FB9" w:rsidRPr="002907DB">
        <w:rPr>
          <w:lang w:val="ru-RU"/>
        </w:rPr>
        <w:t xml:space="preserve">и Академических организаций </w:t>
      </w:r>
      <w:r w:rsidR="00004AD6" w:rsidRPr="002907DB">
        <w:rPr>
          <w:lang w:val="ru-RU"/>
        </w:rPr>
        <w:t xml:space="preserve">в работе Союза. Наконец, Совету было поручено изучить надлежащий уровень Резервного фонда для счетов должников, обеспечить его надлежащее покрытие и представить </w:t>
      </w:r>
      <w:r w:rsidR="00D443D4" w:rsidRPr="002907DB">
        <w:rPr>
          <w:lang w:val="ru-RU"/>
        </w:rPr>
        <w:t>следующей полномочной</w:t>
      </w:r>
      <w:r w:rsidR="00004AD6" w:rsidRPr="002907DB">
        <w:rPr>
          <w:lang w:val="ru-RU"/>
        </w:rPr>
        <w:t xml:space="preserve"> </w:t>
      </w:r>
      <w:r w:rsidR="00D443D4" w:rsidRPr="002907DB">
        <w:rPr>
          <w:lang w:val="ru-RU"/>
        </w:rPr>
        <w:t>к</w:t>
      </w:r>
      <w:r w:rsidR="00004AD6" w:rsidRPr="002907DB">
        <w:rPr>
          <w:lang w:val="ru-RU"/>
        </w:rPr>
        <w:t>онференции отчет о результатах, полученных при применении Резолюции 41 (</w:t>
      </w:r>
      <w:r w:rsidR="00D443D4" w:rsidRPr="002907DB">
        <w:rPr>
          <w:rFonts w:asciiTheme="minorHAnsi" w:hAnsiTheme="minorHAnsi"/>
          <w:szCs w:val="22"/>
          <w:lang w:val="ru-RU"/>
        </w:rPr>
        <w:t>Пересм. Пусан, 2014 </w:t>
      </w:r>
      <w:r w:rsidR="00004AD6" w:rsidRPr="002907DB">
        <w:rPr>
          <w:lang w:val="ru-RU"/>
        </w:rPr>
        <w:t xml:space="preserve">г.). </w:t>
      </w:r>
    </w:p>
    <w:p w:rsidR="00004AD6" w:rsidRPr="002907DB" w:rsidRDefault="003B493E" w:rsidP="004C4D3C">
      <w:pPr>
        <w:rPr>
          <w:lang w:val="ru-RU"/>
        </w:rPr>
      </w:pPr>
      <w:r w:rsidRPr="002907DB">
        <w:rPr>
          <w:lang w:val="ru-RU"/>
        </w:rPr>
        <w:t>1.4</w:t>
      </w:r>
      <w:r w:rsidR="00004AD6" w:rsidRPr="002907DB">
        <w:rPr>
          <w:lang w:val="ru-RU"/>
        </w:rPr>
        <w:tab/>
        <w:t>В связи с этим Конференция поручила Генеральному секретарю обсудить условия и разработать</w:t>
      </w:r>
      <w:r w:rsidR="009364DE" w:rsidRPr="002907DB">
        <w:rPr>
          <w:lang w:val="ru-RU"/>
        </w:rPr>
        <w:t>,</w:t>
      </w:r>
      <w:r w:rsidR="00004AD6" w:rsidRPr="002907DB">
        <w:rPr>
          <w:lang w:val="ru-RU"/>
        </w:rPr>
        <w:t xml:space="preserve"> при общем согласии со всеми Государствами-Членами, имеющими задержки платежей, особенно по которым были аннулированы специальные счета задолженностей, а также с имеющими задержки платежей Членами Секторов</w:t>
      </w:r>
      <w:r w:rsidR="00D443D4" w:rsidRPr="002907DB">
        <w:rPr>
          <w:lang w:val="ru-RU"/>
        </w:rPr>
        <w:t>,</w:t>
      </w:r>
      <w:r w:rsidR="00004AD6" w:rsidRPr="002907DB">
        <w:rPr>
          <w:lang w:val="ru-RU"/>
        </w:rPr>
        <w:t xml:space="preserve"> Ассоциированными членами</w:t>
      </w:r>
      <w:r w:rsidR="00D443D4" w:rsidRPr="002907DB">
        <w:rPr>
          <w:lang w:val="ru-RU"/>
        </w:rPr>
        <w:t xml:space="preserve"> и Академическими организациями</w:t>
      </w:r>
      <w:r w:rsidR="009364DE" w:rsidRPr="002907DB">
        <w:rPr>
          <w:lang w:val="ru-RU"/>
        </w:rPr>
        <w:t>,</w:t>
      </w:r>
      <w:r w:rsidR="00004AD6" w:rsidRPr="002907DB">
        <w:rPr>
          <w:lang w:val="ru-RU"/>
        </w:rPr>
        <w:t xml:space="preserve"> графики погашения их задолженности в соответствии с разработанными Советом руководящими указаниями. </w:t>
      </w:r>
    </w:p>
    <w:p w:rsidR="00004AD6" w:rsidRPr="002907DB" w:rsidRDefault="00004AD6" w:rsidP="00E249E5">
      <w:pPr>
        <w:pStyle w:val="Heading1"/>
        <w:rPr>
          <w:lang w:val="ru-RU"/>
        </w:rPr>
      </w:pPr>
      <w:r w:rsidRPr="002907DB">
        <w:rPr>
          <w:lang w:val="ru-RU"/>
        </w:rPr>
        <w:t>2</w:t>
      </w:r>
      <w:r w:rsidRPr="002907DB">
        <w:rPr>
          <w:lang w:val="ru-RU"/>
        </w:rPr>
        <w:tab/>
        <w:t xml:space="preserve">Меры, принятые для урегулирования задолженностей и специальных счетов задолженностей </w:t>
      </w:r>
      <w:r w:rsidR="002D733E" w:rsidRPr="002907DB">
        <w:rPr>
          <w:lang w:val="ru-RU"/>
        </w:rPr>
        <w:t>и исполнения</w:t>
      </w:r>
      <w:r w:rsidRPr="002907DB">
        <w:rPr>
          <w:lang w:val="ru-RU"/>
        </w:rPr>
        <w:t xml:space="preserve"> Резолюци</w:t>
      </w:r>
      <w:r w:rsidR="00E249E5" w:rsidRPr="002907DB">
        <w:rPr>
          <w:lang w:val="ru-RU"/>
        </w:rPr>
        <w:t>й</w:t>
      </w:r>
      <w:r w:rsidRPr="002907DB">
        <w:rPr>
          <w:lang w:val="ru-RU"/>
        </w:rPr>
        <w:t xml:space="preserve"> 41 </w:t>
      </w:r>
      <w:r w:rsidR="00E249E5" w:rsidRPr="002907DB">
        <w:rPr>
          <w:lang w:val="ru-RU"/>
        </w:rPr>
        <w:t xml:space="preserve">и 152 </w:t>
      </w:r>
      <w:r w:rsidRPr="002907DB">
        <w:rPr>
          <w:lang w:val="ru-RU"/>
        </w:rPr>
        <w:t>(</w:t>
      </w:r>
      <w:r w:rsidR="00D443D4" w:rsidRPr="002907DB">
        <w:rPr>
          <w:rFonts w:asciiTheme="minorHAnsi" w:hAnsiTheme="minorHAnsi"/>
          <w:szCs w:val="22"/>
          <w:lang w:val="ru-RU"/>
        </w:rPr>
        <w:t xml:space="preserve">Пересм. Пусан, 2014 </w:t>
      </w:r>
      <w:r w:rsidRPr="002907DB">
        <w:rPr>
          <w:lang w:val="ru-RU"/>
        </w:rPr>
        <w:t xml:space="preserve">г.) </w:t>
      </w:r>
    </w:p>
    <w:p w:rsidR="00004AD6" w:rsidRPr="002907DB" w:rsidRDefault="00004AD6" w:rsidP="004C4D3C">
      <w:pPr>
        <w:rPr>
          <w:rFonts w:eastAsia="SimSun"/>
          <w:lang w:val="ru-RU" w:eastAsia="zh-CN"/>
        </w:rPr>
      </w:pPr>
      <w:r w:rsidRPr="002907DB">
        <w:rPr>
          <w:rFonts w:eastAsia="SimSun"/>
          <w:lang w:val="ru-RU" w:eastAsia="zh-CN"/>
        </w:rPr>
        <w:t>2.1</w:t>
      </w:r>
      <w:r w:rsidRPr="002907DB">
        <w:rPr>
          <w:rFonts w:eastAsia="SimSun"/>
          <w:lang w:val="ru-RU" w:eastAsia="zh-CN"/>
        </w:rPr>
        <w:tab/>
      </w:r>
      <w:r w:rsidRPr="002907DB">
        <w:rPr>
          <w:lang w:val="ru-RU"/>
        </w:rPr>
        <w:t>Согласно п. 169 Устава "</w:t>
      </w:r>
      <w:r w:rsidRPr="002907DB">
        <w:rPr>
          <w:i/>
          <w:iCs/>
          <w:lang w:val="ru-RU"/>
        </w:rPr>
        <w:t>Государство-Член, задержавшее оплату своего взноса Союзу, теряет право голоса, [...] если сумма его просроченных взносов равна или выше суммы взносов за два предшествующих года</w:t>
      </w:r>
      <w:r w:rsidRPr="002907DB">
        <w:rPr>
          <w:lang w:val="ru-RU"/>
        </w:rPr>
        <w:t>"</w:t>
      </w:r>
      <w:r w:rsidRPr="002907DB">
        <w:rPr>
          <w:iCs/>
          <w:lang w:val="ru-RU"/>
        </w:rPr>
        <w:t>.</w:t>
      </w:r>
    </w:p>
    <w:p w:rsidR="00004AD6" w:rsidRPr="002907DB" w:rsidRDefault="00004AD6" w:rsidP="00B71332">
      <w:pPr>
        <w:rPr>
          <w:lang w:val="ru-RU"/>
        </w:rPr>
      </w:pPr>
      <w:r w:rsidRPr="002907DB">
        <w:rPr>
          <w:lang w:val="ru-RU"/>
        </w:rPr>
        <w:t>2.2</w:t>
      </w:r>
      <w:r w:rsidRPr="002907DB">
        <w:rPr>
          <w:lang w:val="ru-RU"/>
        </w:rPr>
        <w:tab/>
        <w:t xml:space="preserve">Кроме того, в </w:t>
      </w:r>
      <w:hyperlink r:id="rId11" w:anchor="res152" w:history="1">
        <w:r w:rsidR="00A1558C" w:rsidRPr="002907DB">
          <w:rPr>
            <w:rStyle w:val="Hyperlink"/>
            <w:rFonts w:asciiTheme="minorHAnsi" w:eastAsia="SimSun" w:hAnsiTheme="minorHAnsi"/>
            <w:lang w:val="ru-RU" w:eastAsia="zh-CN"/>
          </w:rPr>
          <w:t>Резолюции 152</w:t>
        </w:r>
      </w:hyperlink>
      <w:r w:rsidRPr="002907DB">
        <w:rPr>
          <w:lang w:val="ru-RU"/>
        </w:rPr>
        <w:t xml:space="preserve"> (</w:t>
      </w:r>
      <w:r w:rsidR="00D443D4" w:rsidRPr="002907DB">
        <w:rPr>
          <w:rFonts w:asciiTheme="minorHAnsi" w:hAnsiTheme="minorHAnsi"/>
          <w:szCs w:val="22"/>
          <w:lang w:val="ru-RU"/>
        </w:rPr>
        <w:t xml:space="preserve">Пересм. Пусан, 2014 </w:t>
      </w:r>
      <w:r w:rsidRPr="002907DB">
        <w:rPr>
          <w:lang w:val="ru-RU"/>
        </w:rPr>
        <w:t xml:space="preserve">г.) </w:t>
      </w:r>
      <w:r w:rsidR="00D443D4" w:rsidRPr="002907DB">
        <w:rPr>
          <w:lang w:val="ru-RU"/>
        </w:rPr>
        <w:t>предусматривается</w:t>
      </w:r>
      <w:r w:rsidRPr="002907DB">
        <w:rPr>
          <w:lang w:val="ru-RU"/>
        </w:rPr>
        <w:t>, что в случае просрочки платежа Членом Сектора или Ассоциированным членом "</w:t>
      </w:r>
      <w:r w:rsidRPr="002907DB">
        <w:rPr>
          <w:i/>
          <w:iCs/>
          <w:lang w:val="ru-RU"/>
        </w:rPr>
        <w:t xml:space="preserve">приостановление участия в деятельности МСЭ должно последовать через </w:t>
      </w:r>
      <w:r w:rsidR="00A1558C" w:rsidRPr="002907DB">
        <w:rPr>
          <w:i/>
          <w:iCs/>
          <w:lang w:val="ru-RU"/>
        </w:rPr>
        <w:t>шесть</w:t>
      </w:r>
      <w:r w:rsidRPr="002907DB">
        <w:rPr>
          <w:i/>
          <w:iCs/>
          <w:lang w:val="ru-RU"/>
        </w:rPr>
        <w:t xml:space="preserve"> месяц</w:t>
      </w:r>
      <w:r w:rsidR="00A1558C" w:rsidRPr="002907DB">
        <w:rPr>
          <w:i/>
          <w:iCs/>
          <w:lang w:val="ru-RU"/>
        </w:rPr>
        <w:t>ев</w:t>
      </w:r>
      <w:r w:rsidRPr="002907DB">
        <w:rPr>
          <w:i/>
          <w:iCs/>
          <w:lang w:val="ru-RU"/>
        </w:rPr>
        <w:t xml:space="preserve"> (</w:t>
      </w:r>
      <w:r w:rsidR="00A1558C" w:rsidRPr="002907DB">
        <w:rPr>
          <w:i/>
          <w:iCs/>
          <w:lang w:val="ru-RU"/>
        </w:rPr>
        <w:t>180</w:t>
      </w:r>
      <w:r w:rsidRPr="002907DB">
        <w:rPr>
          <w:i/>
          <w:iCs/>
          <w:lang w:val="ru-RU"/>
        </w:rPr>
        <w:t xml:space="preserve"> дней) после истечения срока выплаты ежегодных взносов,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</w:t>
      </w:r>
      <w:r w:rsidR="00B71332" w:rsidRPr="002907DB">
        <w:rPr>
          <w:i/>
          <w:iCs/>
          <w:lang w:val="ru-RU"/>
        </w:rPr>
        <w:t>происходит</w:t>
      </w:r>
      <w:r w:rsidRPr="002907DB">
        <w:rPr>
          <w:i/>
          <w:iCs/>
          <w:lang w:val="ru-RU"/>
        </w:rPr>
        <w:t xml:space="preserve"> через </w:t>
      </w:r>
      <w:r w:rsidR="00A1558C" w:rsidRPr="002907DB">
        <w:rPr>
          <w:i/>
          <w:iCs/>
          <w:lang w:val="ru-RU"/>
        </w:rPr>
        <w:t>три</w:t>
      </w:r>
      <w:r w:rsidRPr="002907DB">
        <w:rPr>
          <w:i/>
          <w:iCs/>
          <w:lang w:val="ru-RU"/>
        </w:rPr>
        <w:t xml:space="preserve"> месяц</w:t>
      </w:r>
      <w:r w:rsidR="00A1558C" w:rsidRPr="002907DB">
        <w:rPr>
          <w:i/>
          <w:iCs/>
          <w:lang w:val="ru-RU"/>
        </w:rPr>
        <w:t>а</w:t>
      </w:r>
      <w:r w:rsidRPr="002907DB">
        <w:rPr>
          <w:i/>
          <w:iCs/>
          <w:lang w:val="ru-RU"/>
        </w:rPr>
        <w:t xml:space="preserve"> (</w:t>
      </w:r>
      <w:r w:rsidR="00A1558C" w:rsidRPr="002907DB">
        <w:rPr>
          <w:i/>
          <w:iCs/>
          <w:lang w:val="ru-RU"/>
        </w:rPr>
        <w:t>90</w:t>
      </w:r>
      <w:r w:rsidRPr="002907DB">
        <w:rPr>
          <w:i/>
          <w:iCs/>
          <w:lang w:val="ru-RU"/>
        </w:rPr>
        <w:t xml:space="preserve"> дней) со дня получения уведомления о приостановлении участия</w:t>
      </w:r>
      <w:r w:rsidRPr="002907DB">
        <w:rPr>
          <w:lang w:val="ru-RU"/>
        </w:rPr>
        <w:t xml:space="preserve">".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rFonts w:eastAsia="SimSun"/>
          <w:lang w:val="ru-RU" w:eastAsia="zh-CN"/>
        </w:rPr>
        <w:t>2.3</w:t>
      </w:r>
      <w:r w:rsidRPr="002907DB">
        <w:rPr>
          <w:rFonts w:eastAsia="SimSun"/>
          <w:lang w:val="ru-RU" w:eastAsia="zh-CN"/>
        </w:rPr>
        <w:tab/>
      </w:r>
      <w:r w:rsidRPr="002907DB">
        <w:rPr>
          <w:lang w:val="ru-RU"/>
        </w:rPr>
        <w:t xml:space="preserve">И наконец, согласно </w:t>
      </w:r>
      <w:hyperlink r:id="rId12" w:anchor="cv474" w:history="1">
        <w:r w:rsidR="00263D9A" w:rsidRPr="002907DB">
          <w:rPr>
            <w:rStyle w:val="Hyperlink"/>
            <w:rFonts w:asciiTheme="minorHAnsi" w:eastAsia="SimSun" w:hAnsiTheme="minorHAnsi"/>
            <w:lang w:val="ru-RU" w:eastAsia="zh-CN"/>
          </w:rPr>
          <w:t>п. 474</w:t>
        </w:r>
      </w:hyperlink>
      <w:r w:rsidR="00263D9A" w:rsidRPr="002907DB">
        <w:rPr>
          <w:rStyle w:val="Hyperlink"/>
          <w:rFonts w:asciiTheme="minorHAnsi" w:eastAsia="SimSun" w:hAnsiTheme="minorHAnsi"/>
          <w:u w:val="none"/>
          <w:lang w:val="ru-RU" w:eastAsia="zh-CN"/>
        </w:rPr>
        <w:t xml:space="preserve"> </w:t>
      </w:r>
      <w:r w:rsidRPr="002907DB">
        <w:rPr>
          <w:lang w:val="ru-RU"/>
        </w:rPr>
        <w:t>Конвенции "</w:t>
      </w:r>
      <w:r w:rsidRPr="002907DB">
        <w:rPr>
          <w:i/>
          <w:lang w:val="ru-RU"/>
        </w:rPr>
        <w:t xml:space="preserve">на задолженные суммы </w:t>
      </w:r>
      <w:r w:rsidRPr="002907DB">
        <w:rPr>
          <w:iCs/>
          <w:lang w:val="ru-RU"/>
        </w:rPr>
        <w:t>[по взносам Союзу]</w:t>
      </w:r>
      <w:r w:rsidRPr="002907DB">
        <w:rPr>
          <w:i/>
          <w:lang w:val="ru-RU"/>
        </w:rPr>
        <w:t xml:space="preserve"> начисляются проценты с начала четвертого месяца каждого финансового года Союза в размере 3% (трех процентов) годовых в течение следующих трех месяцев и в размере 6% (шести процентов) годовых начиная с седьмого месяца</w:t>
      </w:r>
      <w:r w:rsidRPr="002907DB">
        <w:rPr>
          <w:lang w:val="ru-RU"/>
        </w:rPr>
        <w:t xml:space="preserve">".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2.4</w:t>
      </w:r>
      <w:r w:rsidRPr="002907DB">
        <w:rPr>
          <w:lang w:val="ru-RU"/>
        </w:rPr>
        <w:tab/>
        <w:t>Генеральный секретарь довел Резолюцию 41 (</w:t>
      </w:r>
      <w:r w:rsidR="00D443D4" w:rsidRPr="002907DB">
        <w:rPr>
          <w:rFonts w:asciiTheme="minorHAnsi" w:hAnsiTheme="minorHAnsi"/>
          <w:szCs w:val="22"/>
          <w:lang w:val="ru-RU"/>
        </w:rPr>
        <w:t xml:space="preserve">Пересм. Пусан, 2014 </w:t>
      </w:r>
      <w:r w:rsidRPr="002907DB">
        <w:rPr>
          <w:lang w:val="ru-RU"/>
        </w:rPr>
        <w:t>г.) до сведения всех заинтересованных Государств-Членов</w:t>
      </w:r>
      <w:r w:rsidR="00A156D5" w:rsidRPr="002907DB">
        <w:rPr>
          <w:lang w:val="ru-RU"/>
        </w:rPr>
        <w:t>,</w:t>
      </w:r>
      <w:r w:rsidRPr="002907DB">
        <w:rPr>
          <w:lang w:val="ru-RU"/>
        </w:rPr>
        <w:t xml:space="preserve"> Членов Секторов</w:t>
      </w:r>
      <w:r w:rsidR="00D443D4" w:rsidRPr="002907DB">
        <w:rPr>
          <w:lang w:val="ru-RU"/>
        </w:rPr>
        <w:t>,</w:t>
      </w:r>
      <w:r w:rsidR="00A156D5" w:rsidRPr="002907DB">
        <w:rPr>
          <w:lang w:val="ru-RU"/>
        </w:rPr>
        <w:t xml:space="preserve"> Ассоциированных членов</w:t>
      </w:r>
      <w:r w:rsidR="00D443D4" w:rsidRPr="002907DB">
        <w:rPr>
          <w:lang w:val="ru-RU"/>
        </w:rPr>
        <w:t xml:space="preserve"> и Академических организаций</w:t>
      </w:r>
      <w:r w:rsidRPr="002907DB">
        <w:rPr>
          <w:lang w:val="ru-RU"/>
        </w:rPr>
        <w:t xml:space="preserve">, а также принял следующие меры.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2.5</w:t>
      </w:r>
      <w:r w:rsidRPr="002907DB">
        <w:rPr>
          <w:lang w:val="ru-RU"/>
        </w:rPr>
        <w:tab/>
        <w:t xml:space="preserve">Каждому должнику четыре раза в год направляется выписка со счета, а причитающиеся суммы также четыре раза в год публикуются в </w:t>
      </w:r>
      <w:r w:rsidR="00D443D4" w:rsidRPr="002907DB">
        <w:rPr>
          <w:lang w:val="ru-RU"/>
        </w:rPr>
        <w:t xml:space="preserve">финансовом </w:t>
      </w:r>
      <w:r w:rsidRPr="002907DB">
        <w:rPr>
          <w:lang w:val="ru-RU"/>
        </w:rPr>
        <w:t xml:space="preserve">циркулярном письме, издаваемом Департаментом </w:t>
      </w:r>
      <w:r w:rsidR="00A156D5" w:rsidRPr="002907DB">
        <w:rPr>
          <w:lang w:val="ru-RU"/>
        </w:rPr>
        <w:t>управления финансовыми ресурсами</w:t>
      </w:r>
      <w:r w:rsidRPr="002907DB">
        <w:rPr>
          <w:lang w:val="ru-RU"/>
        </w:rPr>
        <w:t xml:space="preserve">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2.6</w:t>
      </w:r>
      <w:r w:rsidRPr="002907DB">
        <w:rPr>
          <w:lang w:val="ru-RU"/>
        </w:rPr>
        <w:tab/>
        <w:t xml:space="preserve">Ежегодно Государствам-Членам, утратившим право голоса, а также тем государствам, которые рискуют его утратить на будущий год в случае, если они не погасят свои задолженности, направляется напоминание. Государствам-Членам, имеющим задолженности по оплате публикаций, </w:t>
      </w:r>
      <w:r w:rsidRPr="002907DB">
        <w:rPr>
          <w:lang w:val="ru-RU"/>
        </w:rPr>
        <w:lastRenderedPageBreak/>
        <w:t xml:space="preserve">также направляются напоминания о том, что в случае непогашения задолженностей публикации будут доставляться лишь на условиях предварительной оплаты.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2.7</w:t>
      </w:r>
      <w:r w:rsidRPr="002907DB">
        <w:rPr>
          <w:lang w:val="ru-RU"/>
        </w:rPr>
        <w:tab/>
        <w:t>Генеральный секретарь принял все нео</w:t>
      </w:r>
      <w:r w:rsidR="003A0002" w:rsidRPr="002907DB">
        <w:rPr>
          <w:lang w:val="ru-RU"/>
        </w:rPr>
        <w:t>бходимые меры для сокращения невы</w:t>
      </w:r>
      <w:r w:rsidRPr="002907DB">
        <w:rPr>
          <w:lang w:val="ru-RU"/>
        </w:rPr>
        <w:t xml:space="preserve">плаченных сумм, в частности путем направления специальных напоминаний, встреч в ходе конференций, ассамблей и собраний, а также с помощью постоянных действий всех региональных отделений Союза.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2.8</w:t>
      </w:r>
      <w:r w:rsidRPr="002907DB">
        <w:rPr>
          <w:lang w:val="ru-RU"/>
        </w:rPr>
        <w:tab/>
        <w:t xml:space="preserve">Государствам-Членам, которым открыты специальные счета задолженностей, направлена просьба представить Генеральному секретарю и согласовать с ним свои графики погашения, а также строго соблюдать согласованные условия погашения задолженности. Государства, не выполнившие этих условий, поставлены в известность о санкциях, </w:t>
      </w:r>
      <w:r w:rsidR="0024774D" w:rsidRPr="002907DB">
        <w:rPr>
          <w:lang w:val="ru-RU"/>
        </w:rPr>
        <w:t xml:space="preserve">безотлагательно к ним применяемых, </w:t>
      </w:r>
      <w:r w:rsidRPr="002907DB">
        <w:rPr>
          <w:lang w:val="ru-RU"/>
        </w:rPr>
        <w:t xml:space="preserve">в том числе об аннулировании специального счета задолженностей </w:t>
      </w:r>
      <w:r w:rsidR="0024774D" w:rsidRPr="002907DB">
        <w:rPr>
          <w:lang w:val="ru-RU"/>
        </w:rPr>
        <w:t xml:space="preserve">и </w:t>
      </w:r>
      <w:r w:rsidRPr="002907DB">
        <w:rPr>
          <w:lang w:val="ru-RU"/>
        </w:rPr>
        <w:t>согласовани</w:t>
      </w:r>
      <w:r w:rsidR="0024774D" w:rsidRPr="002907DB">
        <w:rPr>
          <w:lang w:val="ru-RU"/>
        </w:rPr>
        <w:t>и</w:t>
      </w:r>
      <w:r w:rsidRPr="002907DB">
        <w:rPr>
          <w:lang w:val="ru-RU"/>
        </w:rPr>
        <w:t xml:space="preserve"> нового </w:t>
      </w:r>
      <w:r w:rsidRPr="002907DB">
        <w:rPr>
          <w:spacing w:val="-2"/>
          <w:lang w:val="ru-RU"/>
        </w:rPr>
        <w:t xml:space="preserve">графика погашения в соответствии с руководящими указаниями, разработанными Советом. 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2.9</w:t>
      </w:r>
      <w:r w:rsidRPr="002907DB">
        <w:rPr>
          <w:lang w:val="ru-RU"/>
        </w:rPr>
        <w:tab/>
        <w:t>Членам Секторов</w:t>
      </w:r>
      <w:r w:rsidR="00A156D5" w:rsidRPr="002907DB">
        <w:rPr>
          <w:lang w:val="ru-RU"/>
        </w:rPr>
        <w:t>,</w:t>
      </w:r>
      <w:r w:rsidRPr="002907DB">
        <w:rPr>
          <w:lang w:val="ru-RU"/>
        </w:rPr>
        <w:t xml:space="preserve"> Ассоциированным членам</w:t>
      </w:r>
      <w:r w:rsidR="00A156D5" w:rsidRPr="002907DB">
        <w:rPr>
          <w:lang w:val="ru-RU"/>
        </w:rPr>
        <w:t xml:space="preserve"> и </w:t>
      </w:r>
      <w:r w:rsidR="0024774D" w:rsidRPr="002907DB">
        <w:rPr>
          <w:lang w:val="ru-RU"/>
        </w:rPr>
        <w:t>А</w:t>
      </w:r>
      <w:r w:rsidR="00A156D5" w:rsidRPr="002907DB">
        <w:rPr>
          <w:lang w:val="ru-RU"/>
        </w:rPr>
        <w:t>кадемическим организациям</w:t>
      </w:r>
      <w:r w:rsidRPr="002907DB">
        <w:rPr>
          <w:lang w:val="ru-RU"/>
        </w:rPr>
        <w:t xml:space="preserve">, имеющим задержку платежей, </w:t>
      </w:r>
      <w:r w:rsidR="0024774D" w:rsidRPr="002907DB">
        <w:rPr>
          <w:lang w:val="ru-RU"/>
        </w:rPr>
        <w:t xml:space="preserve">также была </w:t>
      </w:r>
      <w:r w:rsidRPr="002907DB">
        <w:rPr>
          <w:lang w:val="ru-RU"/>
        </w:rPr>
        <w:t xml:space="preserve">направлена просьба представить и согласовать свои графики погашения задолженности. Те из них, кто не выполнил это требование или </w:t>
      </w:r>
      <w:r w:rsidR="0024774D" w:rsidRPr="002907DB">
        <w:rPr>
          <w:lang w:val="ru-RU"/>
        </w:rPr>
        <w:t xml:space="preserve">не соблюдает </w:t>
      </w:r>
      <w:r w:rsidRPr="002907DB">
        <w:rPr>
          <w:lang w:val="ru-RU"/>
        </w:rPr>
        <w:t>согласованные условия, поставлены в известность о приостановке и</w:t>
      </w:r>
      <w:r w:rsidR="0024774D" w:rsidRPr="002907DB">
        <w:rPr>
          <w:lang w:val="ru-RU"/>
        </w:rPr>
        <w:t>,</w:t>
      </w:r>
      <w:r w:rsidRPr="002907DB">
        <w:rPr>
          <w:lang w:val="ru-RU"/>
        </w:rPr>
        <w:t xml:space="preserve"> в соответствующих случаях, если они не урегулировали свое положение, о прекращении их участия в работе Секторов, членами которых они являются. Им</w:t>
      </w:r>
      <w:r w:rsidR="008A0989" w:rsidRPr="002907DB">
        <w:rPr>
          <w:lang w:val="ru-RU"/>
        </w:rPr>
        <w:t> </w:t>
      </w:r>
      <w:r w:rsidRPr="002907DB">
        <w:rPr>
          <w:lang w:val="ru-RU"/>
        </w:rPr>
        <w:t xml:space="preserve">регулярно направляются напоминания об уплате, которую они должны произвести для возобновления своего права на участие в работе Секторов. </w:t>
      </w:r>
    </w:p>
    <w:p w:rsidR="00004AD6" w:rsidRPr="002907DB" w:rsidRDefault="00004AD6" w:rsidP="004C4D3C">
      <w:pPr>
        <w:pStyle w:val="Heading1"/>
        <w:rPr>
          <w:lang w:val="ru-RU"/>
        </w:rPr>
      </w:pPr>
      <w:r w:rsidRPr="002907DB">
        <w:rPr>
          <w:lang w:val="ru-RU"/>
        </w:rPr>
        <w:t>3</w:t>
      </w:r>
      <w:r w:rsidRPr="002907DB">
        <w:rPr>
          <w:lang w:val="ru-RU"/>
        </w:rPr>
        <w:tab/>
        <w:t>Результаты, полученные при выполнении Резолюци</w:t>
      </w:r>
      <w:r w:rsidR="003A0002" w:rsidRPr="002907DB">
        <w:rPr>
          <w:lang w:val="ru-RU"/>
        </w:rPr>
        <w:t>й</w:t>
      </w:r>
      <w:r w:rsidRPr="002907DB">
        <w:rPr>
          <w:lang w:val="ru-RU"/>
        </w:rPr>
        <w:t xml:space="preserve"> 41 </w:t>
      </w:r>
      <w:r w:rsidR="003A0002" w:rsidRPr="002907DB">
        <w:rPr>
          <w:lang w:val="ru-RU"/>
        </w:rPr>
        <w:t xml:space="preserve">и 152 </w:t>
      </w:r>
      <w:r w:rsidRPr="002907DB">
        <w:rPr>
          <w:lang w:val="ru-RU"/>
        </w:rPr>
        <w:t>(Пересм. </w:t>
      </w:r>
      <w:r w:rsidR="0024774D" w:rsidRPr="002907DB">
        <w:rPr>
          <w:rFonts w:asciiTheme="minorHAnsi" w:hAnsiTheme="minorHAnsi"/>
          <w:szCs w:val="22"/>
          <w:lang w:val="ru-RU"/>
        </w:rPr>
        <w:t>Пусан, 2014 </w:t>
      </w:r>
      <w:r w:rsidRPr="002907DB">
        <w:rPr>
          <w:lang w:val="ru-RU"/>
        </w:rPr>
        <w:t xml:space="preserve">г.) </w:t>
      </w:r>
    </w:p>
    <w:p w:rsidR="00004AD6" w:rsidRPr="002907DB" w:rsidRDefault="00004AD6" w:rsidP="00701E77">
      <w:pPr>
        <w:rPr>
          <w:lang w:val="ru-RU"/>
        </w:rPr>
      </w:pPr>
      <w:r w:rsidRPr="002907DB">
        <w:rPr>
          <w:lang w:val="ru-RU"/>
        </w:rPr>
        <w:t>3.1</w:t>
      </w:r>
      <w:r w:rsidRPr="002907DB">
        <w:rPr>
          <w:lang w:val="ru-RU"/>
        </w:rPr>
        <w:tab/>
      </w:r>
      <w:r w:rsidR="0024774D" w:rsidRPr="002907DB">
        <w:rPr>
          <w:lang w:val="ru-RU"/>
        </w:rPr>
        <w:t>Ситуация с задолженностями развивалась благоприятно</w:t>
      </w:r>
      <w:r w:rsidRPr="002907DB">
        <w:rPr>
          <w:lang w:val="ru-RU"/>
        </w:rPr>
        <w:t xml:space="preserve"> после Полномочной конференции (</w:t>
      </w:r>
      <w:r w:rsidR="0024774D" w:rsidRPr="002907DB">
        <w:rPr>
          <w:rFonts w:asciiTheme="minorHAnsi" w:hAnsiTheme="minorHAnsi"/>
          <w:szCs w:val="22"/>
          <w:lang w:val="ru-RU"/>
        </w:rPr>
        <w:t>Пусан, 2014 </w:t>
      </w:r>
      <w:r w:rsidRPr="002907DB">
        <w:rPr>
          <w:lang w:val="ru-RU"/>
        </w:rPr>
        <w:t xml:space="preserve">г.). Принятые санкции и меры, направленные на списание безнадежных долгов и взыскание причитающихся сумм, привели в последние годы </w:t>
      </w:r>
      <w:r w:rsidR="00A156D5" w:rsidRPr="002907DB">
        <w:rPr>
          <w:lang w:val="ru-RU"/>
        </w:rPr>
        <w:t xml:space="preserve">к заметному и постоянному </w:t>
      </w:r>
      <w:r w:rsidRPr="002907DB">
        <w:rPr>
          <w:lang w:val="ru-RU"/>
        </w:rPr>
        <w:t>сокращени</w:t>
      </w:r>
      <w:r w:rsidR="00A156D5" w:rsidRPr="002907DB">
        <w:rPr>
          <w:lang w:val="ru-RU"/>
        </w:rPr>
        <w:t>ю</w:t>
      </w:r>
      <w:r w:rsidRPr="002907DB">
        <w:rPr>
          <w:lang w:val="ru-RU"/>
        </w:rPr>
        <w:t xml:space="preserve"> задолженностей. </w:t>
      </w:r>
      <w:r w:rsidR="00A156D5" w:rsidRPr="002907DB">
        <w:rPr>
          <w:rFonts w:asciiTheme="minorHAnsi" w:hAnsiTheme="minorHAnsi"/>
          <w:lang w:val="ru-RU"/>
        </w:rPr>
        <w:t xml:space="preserve">Так, в Приложении А, где приводится </w:t>
      </w:r>
      <w:r w:rsidR="00A97F2F" w:rsidRPr="002907DB">
        <w:rPr>
          <w:rFonts w:asciiTheme="minorHAnsi" w:hAnsiTheme="minorHAnsi"/>
          <w:lang w:val="ru-RU"/>
        </w:rPr>
        <w:t xml:space="preserve">динамика за последние </w:t>
      </w:r>
      <w:r w:rsidR="0024774D" w:rsidRPr="002907DB">
        <w:rPr>
          <w:rFonts w:asciiTheme="minorHAnsi" w:hAnsiTheme="minorHAnsi"/>
          <w:lang w:val="ru-RU"/>
        </w:rPr>
        <w:t>восемь</w:t>
      </w:r>
      <w:r w:rsidR="00A97F2F" w:rsidRPr="002907DB">
        <w:rPr>
          <w:rFonts w:asciiTheme="minorHAnsi" w:hAnsiTheme="minorHAnsi"/>
          <w:lang w:val="ru-RU"/>
        </w:rPr>
        <w:t xml:space="preserve"> лет, показано, что с 20</w:t>
      </w:r>
      <w:r w:rsidR="0024774D" w:rsidRPr="002907DB">
        <w:rPr>
          <w:rFonts w:asciiTheme="minorHAnsi" w:hAnsiTheme="minorHAnsi"/>
          <w:lang w:val="ru-RU"/>
        </w:rPr>
        <w:t>11</w:t>
      </w:r>
      <w:r w:rsidR="00A97F2F" w:rsidRPr="002907DB">
        <w:rPr>
          <w:rFonts w:asciiTheme="minorHAnsi" w:hAnsiTheme="minorHAnsi"/>
          <w:lang w:val="ru-RU"/>
        </w:rPr>
        <w:t xml:space="preserve"> года общая сумма задолженностей сократилась с </w:t>
      </w:r>
      <w:r w:rsidR="0024774D" w:rsidRPr="002907DB">
        <w:rPr>
          <w:rFonts w:asciiTheme="minorHAnsi" w:hAnsiTheme="minorHAnsi"/>
          <w:lang w:val="ru-RU"/>
        </w:rPr>
        <w:t>61,5</w:t>
      </w:r>
      <w:r w:rsidR="00A156D5" w:rsidRPr="002907DB">
        <w:rPr>
          <w:rFonts w:asciiTheme="minorHAnsi" w:hAnsiTheme="minorHAnsi"/>
          <w:lang w:val="ru-RU"/>
        </w:rPr>
        <w:t xml:space="preserve"> </w:t>
      </w:r>
      <w:r w:rsidR="00A97F2F" w:rsidRPr="002907DB">
        <w:rPr>
          <w:rFonts w:asciiTheme="minorHAnsi" w:hAnsiTheme="minorHAnsi"/>
          <w:lang w:val="ru-RU"/>
        </w:rPr>
        <w:t>млн. швейцарских франков по состоянию на 31 декабря 20</w:t>
      </w:r>
      <w:r w:rsidR="0024774D" w:rsidRPr="002907DB">
        <w:rPr>
          <w:rFonts w:asciiTheme="minorHAnsi" w:hAnsiTheme="minorHAnsi"/>
          <w:lang w:val="ru-RU"/>
        </w:rPr>
        <w:t>11</w:t>
      </w:r>
      <w:r w:rsidR="00A97F2F" w:rsidRPr="002907DB">
        <w:rPr>
          <w:rFonts w:asciiTheme="minorHAnsi" w:hAnsiTheme="minorHAnsi"/>
          <w:lang w:val="ru-RU"/>
        </w:rPr>
        <w:t xml:space="preserve"> года до </w:t>
      </w:r>
      <w:r w:rsidR="001A3937" w:rsidRPr="002907DB">
        <w:rPr>
          <w:rFonts w:asciiTheme="minorHAnsi" w:hAnsiTheme="minorHAnsi"/>
          <w:lang w:val="ru-RU"/>
        </w:rPr>
        <w:t>36,9</w:t>
      </w:r>
      <w:r w:rsidR="00A156D5" w:rsidRPr="002907DB">
        <w:rPr>
          <w:rFonts w:asciiTheme="minorHAnsi" w:hAnsiTheme="minorHAnsi"/>
          <w:lang w:val="ru-RU"/>
        </w:rPr>
        <w:t xml:space="preserve"> </w:t>
      </w:r>
      <w:r w:rsidR="00A97F2F" w:rsidRPr="002907DB">
        <w:rPr>
          <w:rFonts w:asciiTheme="minorHAnsi" w:hAnsiTheme="minorHAnsi"/>
          <w:lang w:val="ru-RU"/>
        </w:rPr>
        <w:t>млн. швейцарских франков на</w:t>
      </w:r>
      <w:r w:rsidR="00A156D5" w:rsidRPr="002907DB">
        <w:rPr>
          <w:rFonts w:asciiTheme="minorHAnsi" w:hAnsiTheme="minorHAnsi"/>
          <w:lang w:val="ru-RU"/>
        </w:rPr>
        <w:t xml:space="preserve"> 30 </w:t>
      </w:r>
      <w:r w:rsidR="00701E77" w:rsidRPr="002907DB">
        <w:rPr>
          <w:rFonts w:asciiTheme="minorHAnsi" w:hAnsiTheme="minorHAnsi"/>
          <w:lang w:val="ru-RU"/>
        </w:rPr>
        <w:t>сентября</w:t>
      </w:r>
      <w:r w:rsidR="00A156D5" w:rsidRPr="002907DB">
        <w:rPr>
          <w:rFonts w:asciiTheme="minorHAnsi" w:hAnsiTheme="minorHAnsi"/>
          <w:lang w:val="ru-RU"/>
        </w:rPr>
        <w:t xml:space="preserve"> 201</w:t>
      </w:r>
      <w:r w:rsidR="0024774D" w:rsidRPr="002907DB">
        <w:rPr>
          <w:rFonts w:asciiTheme="minorHAnsi" w:hAnsiTheme="minorHAnsi"/>
          <w:lang w:val="ru-RU"/>
        </w:rPr>
        <w:t>8</w:t>
      </w:r>
      <w:r w:rsidR="00A97F2F" w:rsidRPr="002907DB">
        <w:rPr>
          <w:rFonts w:asciiTheme="minorHAnsi" w:hAnsiTheme="minorHAnsi"/>
          <w:lang w:val="ru-RU"/>
        </w:rPr>
        <w:t xml:space="preserve"> года</w:t>
      </w:r>
      <w:r w:rsidR="00A156D5" w:rsidRPr="002907DB">
        <w:rPr>
          <w:rFonts w:asciiTheme="minorHAnsi" w:hAnsiTheme="minorHAnsi"/>
          <w:lang w:val="ru-RU"/>
        </w:rPr>
        <w:t xml:space="preserve">, </w:t>
      </w:r>
      <w:r w:rsidR="00A97F2F" w:rsidRPr="002907DB">
        <w:rPr>
          <w:rFonts w:asciiTheme="minorHAnsi" w:hAnsiTheme="minorHAnsi"/>
          <w:lang w:val="ru-RU"/>
        </w:rPr>
        <w:t>т</w:t>
      </w:r>
      <w:r w:rsidR="008A0989" w:rsidRPr="002907DB">
        <w:rPr>
          <w:rFonts w:asciiTheme="minorHAnsi" w:hAnsiTheme="minorHAnsi"/>
          <w:lang w:val="ru-RU"/>
        </w:rPr>
        <w:t>. е. </w:t>
      </w:r>
      <w:r w:rsidR="00A97F2F" w:rsidRPr="002907DB">
        <w:rPr>
          <w:rFonts w:asciiTheme="minorHAnsi" w:hAnsiTheme="minorHAnsi"/>
          <w:lang w:val="ru-RU"/>
        </w:rPr>
        <w:t xml:space="preserve">уменьшилась на </w:t>
      </w:r>
      <w:r w:rsidR="00701E77" w:rsidRPr="002907DB">
        <w:rPr>
          <w:rFonts w:asciiTheme="minorHAnsi" w:hAnsiTheme="minorHAnsi"/>
          <w:lang w:val="ru-RU"/>
        </w:rPr>
        <w:t>40</w:t>
      </w:r>
      <w:r w:rsidR="00A156D5" w:rsidRPr="002907DB">
        <w:rPr>
          <w:rFonts w:asciiTheme="minorHAnsi" w:hAnsiTheme="minorHAnsi"/>
          <w:lang w:val="ru-RU"/>
        </w:rPr>
        <w:t>%.</w:t>
      </w:r>
      <w:r w:rsidR="00A97F2F" w:rsidRPr="002907DB">
        <w:rPr>
          <w:rFonts w:asciiTheme="minorHAnsi" w:hAnsiTheme="minorHAnsi"/>
          <w:lang w:val="ru-RU"/>
        </w:rPr>
        <w:t xml:space="preserve"> </w:t>
      </w:r>
    </w:p>
    <w:p w:rsidR="00482038" w:rsidRPr="002907DB" w:rsidRDefault="00004AD6" w:rsidP="00426D64">
      <w:pPr>
        <w:rPr>
          <w:rFonts w:asciiTheme="minorHAnsi" w:hAnsiTheme="minorHAnsi"/>
          <w:lang w:val="ru-RU"/>
        </w:rPr>
      </w:pPr>
      <w:r w:rsidRPr="002907DB">
        <w:rPr>
          <w:lang w:val="ru-RU"/>
        </w:rPr>
        <w:t>3.2</w:t>
      </w:r>
      <w:r w:rsidRPr="002907DB">
        <w:rPr>
          <w:lang w:val="ru-RU"/>
        </w:rPr>
        <w:tab/>
      </w:r>
      <w:r w:rsidR="00F009A0" w:rsidRPr="002907DB">
        <w:rPr>
          <w:lang w:val="ru-RU"/>
        </w:rPr>
        <w:t>Вместе с тем</w:t>
      </w:r>
      <w:r w:rsidR="00482038" w:rsidRPr="002907DB">
        <w:rPr>
          <w:lang w:val="ru-RU"/>
        </w:rPr>
        <w:t xml:space="preserve"> за последние </w:t>
      </w:r>
      <w:r w:rsidR="0024774D" w:rsidRPr="002907DB">
        <w:rPr>
          <w:lang w:val="ru-RU"/>
        </w:rPr>
        <w:t>восемь</w:t>
      </w:r>
      <w:r w:rsidR="00482038" w:rsidRPr="002907DB">
        <w:rPr>
          <w:lang w:val="ru-RU"/>
        </w:rPr>
        <w:t xml:space="preserve"> лет, в течение периода с 31 декабря 20</w:t>
      </w:r>
      <w:r w:rsidR="0024774D" w:rsidRPr="002907DB">
        <w:rPr>
          <w:lang w:val="ru-RU"/>
        </w:rPr>
        <w:t>11</w:t>
      </w:r>
      <w:r w:rsidR="00482038" w:rsidRPr="002907DB">
        <w:rPr>
          <w:lang w:val="ru-RU"/>
        </w:rPr>
        <w:t xml:space="preserve"> года по 30 </w:t>
      </w:r>
      <w:r w:rsidR="00426D64" w:rsidRPr="002907DB">
        <w:rPr>
          <w:rFonts w:asciiTheme="minorHAnsi" w:hAnsiTheme="minorHAnsi"/>
          <w:lang w:val="ru-RU"/>
        </w:rPr>
        <w:t>сентября</w:t>
      </w:r>
      <w:r w:rsidR="00426D64" w:rsidRPr="002907DB">
        <w:rPr>
          <w:lang w:val="ru-RU"/>
        </w:rPr>
        <w:t xml:space="preserve"> </w:t>
      </w:r>
      <w:r w:rsidR="00482038" w:rsidRPr="002907DB">
        <w:rPr>
          <w:lang w:val="ru-RU"/>
        </w:rPr>
        <w:t>201</w:t>
      </w:r>
      <w:r w:rsidR="0024774D" w:rsidRPr="002907DB">
        <w:rPr>
          <w:lang w:val="ru-RU"/>
        </w:rPr>
        <w:t>8</w:t>
      </w:r>
      <w:r w:rsidR="00482038" w:rsidRPr="002907DB">
        <w:rPr>
          <w:lang w:val="ru-RU"/>
        </w:rPr>
        <w:t xml:space="preserve"> года, сумма задолженностей </w:t>
      </w:r>
      <w:r w:rsidR="0024774D" w:rsidRPr="002907DB">
        <w:rPr>
          <w:lang w:val="ru-RU"/>
        </w:rPr>
        <w:t xml:space="preserve">(по взносам и публикациям) </w:t>
      </w:r>
      <w:r w:rsidR="00482038" w:rsidRPr="002907DB">
        <w:rPr>
          <w:lang w:val="ru-RU"/>
        </w:rPr>
        <w:t>Государств-Членов существенно сократилась</w:t>
      </w:r>
      <w:r w:rsidR="0024774D" w:rsidRPr="002907DB">
        <w:rPr>
          <w:lang w:val="ru-RU"/>
        </w:rPr>
        <w:t>,</w:t>
      </w:r>
      <w:r w:rsidR="00482038" w:rsidRPr="002907DB">
        <w:rPr>
          <w:lang w:val="ru-RU"/>
        </w:rPr>
        <w:t xml:space="preserve"> на</w:t>
      </w:r>
      <w:r w:rsidR="00482038" w:rsidRPr="002907DB">
        <w:rPr>
          <w:rFonts w:asciiTheme="minorHAnsi" w:hAnsiTheme="minorHAnsi"/>
          <w:lang w:val="ru-RU"/>
        </w:rPr>
        <w:t xml:space="preserve"> </w:t>
      </w:r>
      <w:r w:rsidR="00426D64" w:rsidRPr="002907DB">
        <w:rPr>
          <w:rFonts w:asciiTheme="minorHAnsi" w:hAnsiTheme="minorHAnsi"/>
          <w:lang w:val="ru-RU"/>
        </w:rPr>
        <w:t>47</w:t>
      </w:r>
      <w:r w:rsidR="00482038" w:rsidRPr="002907DB">
        <w:rPr>
          <w:rFonts w:asciiTheme="minorHAnsi" w:hAnsiTheme="minorHAnsi"/>
          <w:lang w:val="ru-RU"/>
        </w:rPr>
        <w:t>% − с</w:t>
      </w:r>
      <w:r w:rsidR="002C5797" w:rsidRPr="002907DB">
        <w:rPr>
          <w:rFonts w:asciiTheme="minorHAnsi" w:hAnsiTheme="minorHAnsi"/>
          <w:lang w:val="ru-RU"/>
        </w:rPr>
        <w:t> </w:t>
      </w:r>
      <w:r w:rsidR="00F009A0" w:rsidRPr="002907DB">
        <w:rPr>
          <w:rFonts w:asciiTheme="minorHAnsi" w:hAnsiTheme="minorHAnsi"/>
          <w:lang w:val="ru-RU"/>
        </w:rPr>
        <w:t>1</w:t>
      </w:r>
      <w:r w:rsidR="0024774D" w:rsidRPr="002907DB">
        <w:rPr>
          <w:rFonts w:asciiTheme="minorHAnsi" w:hAnsiTheme="minorHAnsi"/>
          <w:lang w:val="ru-RU"/>
        </w:rPr>
        <w:t>3</w:t>
      </w:r>
      <w:r w:rsidR="00F009A0" w:rsidRPr="002907DB">
        <w:rPr>
          <w:rFonts w:asciiTheme="minorHAnsi" w:hAnsiTheme="minorHAnsi"/>
          <w:lang w:val="ru-RU"/>
        </w:rPr>
        <w:t>,</w:t>
      </w:r>
      <w:r w:rsidR="0024774D" w:rsidRPr="002907DB">
        <w:rPr>
          <w:rFonts w:asciiTheme="minorHAnsi" w:hAnsiTheme="minorHAnsi"/>
          <w:lang w:val="ru-RU"/>
        </w:rPr>
        <w:t>1</w:t>
      </w:r>
      <w:r w:rsidR="00F009A0" w:rsidRPr="002907DB">
        <w:rPr>
          <w:rFonts w:asciiTheme="minorHAnsi" w:hAnsiTheme="minorHAnsi"/>
          <w:lang w:val="ru-RU"/>
        </w:rPr>
        <w:t> </w:t>
      </w:r>
      <w:r w:rsidR="00482038" w:rsidRPr="002907DB">
        <w:rPr>
          <w:rFonts w:asciiTheme="minorHAnsi" w:hAnsiTheme="minorHAnsi"/>
          <w:lang w:val="ru-RU"/>
        </w:rPr>
        <w:t>млн. швейцарских франков на 31 декабря 20</w:t>
      </w:r>
      <w:r w:rsidR="0024774D" w:rsidRPr="002907DB">
        <w:rPr>
          <w:rFonts w:asciiTheme="minorHAnsi" w:hAnsiTheme="minorHAnsi"/>
          <w:lang w:val="ru-RU"/>
        </w:rPr>
        <w:t>11</w:t>
      </w:r>
      <w:r w:rsidR="00482038" w:rsidRPr="002907DB">
        <w:rPr>
          <w:rFonts w:asciiTheme="minorHAnsi" w:hAnsiTheme="minorHAnsi"/>
          <w:lang w:val="ru-RU"/>
        </w:rPr>
        <w:t xml:space="preserve"> года до </w:t>
      </w:r>
      <w:r w:rsidR="00426D64" w:rsidRPr="002907DB">
        <w:rPr>
          <w:rFonts w:asciiTheme="minorHAnsi" w:hAnsiTheme="minorHAnsi"/>
          <w:lang w:val="ru-RU"/>
        </w:rPr>
        <w:t>6,9</w:t>
      </w:r>
      <w:r w:rsidR="002907DB">
        <w:rPr>
          <w:rFonts w:asciiTheme="minorHAnsi" w:hAnsiTheme="minorHAnsi"/>
        </w:rPr>
        <w:t> </w:t>
      </w:r>
      <w:r w:rsidR="00482038" w:rsidRPr="002907DB">
        <w:rPr>
          <w:rFonts w:asciiTheme="minorHAnsi" w:hAnsiTheme="minorHAnsi"/>
          <w:lang w:val="ru-RU"/>
        </w:rPr>
        <w:t>млн. швейцарских франков на 30 </w:t>
      </w:r>
      <w:r w:rsidR="00426D64" w:rsidRPr="002907DB">
        <w:rPr>
          <w:rFonts w:asciiTheme="minorHAnsi" w:hAnsiTheme="minorHAnsi"/>
          <w:lang w:val="ru-RU"/>
        </w:rPr>
        <w:t xml:space="preserve">сентября </w:t>
      </w:r>
      <w:r w:rsidR="00482038" w:rsidRPr="002907DB">
        <w:rPr>
          <w:rFonts w:asciiTheme="minorHAnsi" w:hAnsiTheme="minorHAnsi"/>
          <w:lang w:val="ru-RU"/>
        </w:rPr>
        <w:t>201</w:t>
      </w:r>
      <w:r w:rsidR="0024774D" w:rsidRPr="002907DB">
        <w:rPr>
          <w:rFonts w:asciiTheme="minorHAnsi" w:hAnsiTheme="minorHAnsi"/>
          <w:lang w:val="ru-RU"/>
        </w:rPr>
        <w:t>8</w:t>
      </w:r>
      <w:r w:rsidR="00482038" w:rsidRPr="002907DB">
        <w:rPr>
          <w:rFonts w:asciiTheme="minorHAnsi" w:hAnsiTheme="minorHAnsi"/>
          <w:lang w:val="ru-RU"/>
        </w:rPr>
        <w:t xml:space="preserve"> года. Кроме того, </w:t>
      </w:r>
      <w:r w:rsidR="00482038" w:rsidRPr="002907DB">
        <w:rPr>
          <w:lang w:val="ru-RU"/>
        </w:rPr>
        <w:t>сумма задолженностей Членов Секторов также заметно уменьшилась</w:t>
      </w:r>
      <w:r w:rsidR="0024774D" w:rsidRPr="002907DB">
        <w:rPr>
          <w:lang w:val="ru-RU"/>
        </w:rPr>
        <w:t>,</w:t>
      </w:r>
      <w:r w:rsidR="00482038" w:rsidRPr="002907DB">
        <w:rPr>
          <w:lang w:val="ru-RU"/>
        </w:rPr>
        <w:t xml:space="preserve"> на </w:t>
      </w:r>
      <w:r w:rsidR="0024774D" w:rsidRPr="002907DB">
        <w:rPr>
          <w:rFonts w:asciiTheme="minorHAnsi" w:hAnsiTheme="minorHAnsi"/>
          <w:lang w:val="ru-RU"/>
        </w:rPr>
        <w:t>4</w:t>
      </w:r>
      <w:r w:rsidR="00426D64" w:rsidRPr="002907DB">
        <w:rPr>
          <w:rFonts w:asciiTheme="minorHAnsi" w:hAnsiTheme="minorHAnsi"/>
          <w:lang w:val="ru-RU"/>
        </w:rPr>
        <w:t>6</w:t>
      </w:r>
      <w:r w:rsidR="00482038" w:rsidRPr="002907DB">
        <w:rPr>
          <w:rFonts w:asciiTheme="minorHAnsi" w:hAnsiTheme="minorHAnsi"/>
          <w:lang w:val="ru-RU"/>
        </w:rPr>
        <w:t>%</w:t>
      </w:r>
      <w:r w:rsidR="00F009A0" w:rsidRPr="002907DB">
        <w:rPr>
          <w:rFonts w:asciiTheme="minorHAnsi" w:hAnsiTheme="minorHAnsi"/>
          <w:lang w:val="ru-RU"/>
        </w:rPr>
        <w:t> </w:t>
      </w:r>
      <w:r w:rsidR="00482038" w:rsidRPr="002907DB">
        <w:rPr>
          <w:rFonts w:asciiTheme="minorHAnsi" w:hAnsiTheme="minorHAnsi"/>
          <w:lang w:val="ru-RU"/>
        </w:rPr>
        <w:t xml:space="preserve">− с </w:t>
      </w:r>
      <w:r w:rsidR="0024774D" w:rsidRPr="002907DB">
        <w:rPr>
          <w:rFonts w:asciiTheme="minorHAnsi" w:hAnsiTheme="minorHAnsi"/>
          <w:lang w:val="ru-RU"/>
        </w:rPr>
        <w:t>19,1</w:t>
      </w:r>
      <w:r w:rsidR="00482038" w:rsidRPr="002907DB">
        <w:rPr>
          <w:rFonts w:asciiTheme="minorHAnsi" w:hAnsiTheme="minorHAnsi"/>
          <w:lang w:val="ru-RU"/>
        </w:rPr>
        <w:t xml:space="preserve"> млн. швейцарских франков на 31 декабря 20</w:t>
      </w:r>
      <w:r w:rsidR="0024774D" w:rsidRPr="002907DB">
        <w:rPr>
          <w:rFonts w:asciiTheme="minorHAnsi" w:hAnsiTheme="minorHAnsi"/>
          <w:lang w:val="ru-RU"/>
        </w:rPr>
        <w:t>11</w:t>
      </w:r>
      <w:r w:rsidR="002907DB">
        <w:rPr>
          <w:rFonts w:asciiTheme="minorHAnsi" w:hAnsiTheme="minorHAnsi"/>
        </w:rPr>
        <w:t> </w:t>
      </w:r>
      <w:r w:rsidR="00482038" w:rsidRPr="002907DB">
        <w:rPr>
          <w:rFonts w:asciiTheme="minorHAnsi" w:hAnsiTheme="minorHAnsi"/>
          <w:lang w:val="ru-RU"/>
        </w:rPr>
        <w:t>года до 1</w:t>
      </w:r>
      <w:r w:rsidR="0024774D" w:rsidRPr="002907DB">
        <w:rPr>
          <w:rFonts w:asciiTheme="minorHAnsi" w:hAnsiTheme="minorHAnsi"/>
          <w:lang w:val="ru-RU"/>
        </w:rPr>
        <w:t>0</w:t>
      </w:r>
      <w:r w:rsidR="00482038" w:rsidRPr="002907DB">
        <w:rPr>
          <w:rFonts w:asciiTheme="minorHAnsi" w:hAnsiTheme="minorHAnsi"/>
          <w:lang w:val="ru-RU"/>
        </w:rPr>
        <w:t>,</w:t>
      </w:r>
      <w:r w:rsidR="00426D64" w:rsidRPr="002907DB">
        <w:rPr>
          <w:rFonts w:asciiTheme="minorHAnsi" w:hAnsiTheme="minorHAnsi"/>
          <w:lang w:val="ru-RU"/>
        </w:rPr>
        <w:t>4</w:t>
      </w:r>
      <w:r w:rsidR="00482038" w:rsidRPr="002907DB">
        <w:rPr>
          <w:rFonts w:asciiTheme="minorHAnsi" w:hAnsiTheme="minorHAnsi"/>
          <w:lang w:val="ru-RU"/>
        </w:rPr>
        <w:t xml:space="preserve"> млн. швейцарских франков на</w:t>
      </w:r>
      <w:r w:rsidR="00F009A0" w:rsidRPr="002907DB">
        <w:rPr>
          <w:rFonts w:asciiTheme="minorHAnsi" w:hAnsiTheme="minorHAnsi"/>
          <w:lang w:val="ru-RU"/>
        </w:rPr>
        <w:t xml:space="preserve"> 30 </w:t>
      </w:r>
      <w:r w:rsidR="00426D64" w:rsidRPr="002907DB">
        <w:rPr>
          <w:rFonts w:asciiTheme="minorHAnsi" w:hAnsiTheme="minorHAnsi"/>
          <w:lang w:val="ru-RU"/>
        </w:rPr>
        <w:t xml:space="preserve">сентября </w:t>
      </w:r>
      <w:r w:rsidR="00482038" w:rsidRPr="002907DB">
        <w:rPr>
          <w:rFonts w:asciiTheme="minorHAnsi" w:hAnsiTheme="minorHAnsi"/>
          <w:lang w:val="ru-RU"/>
        </w:rPr>
        <w:t>201</w:t>
      </w:r>
      <w:r w:rsidR="0024774D" w:rsidRPr="002907DB">
        <w:rPr>
          <w:rFonts w:asciiTheme="minorHAnsi" w:hAnsiTheme="minorHAnsi"/>
          <w:lang w:val="ru-RU"/>
        </w:rPr>
        <w:t>8</w:t>
      </w:r>
      <w:r w:rsidR="00482038" w:rsidRPr="002907DB">
        <w:rPr>
          <w:rFonts w:asciiTheme="minorHAnsi" w:hAnsiTheme="minorHAnsi"/>
          <w:lang w:val="ru-RU"/>
        </w:rPr>
        <w:t xml:space="preserve"> года.</w:t>
      </w:r>
    </w:p>
    <w:p w:rsidR="00482038" w:rsidRPr="002907DB" w:rsidRDefault="00482038" w:rsidP="004C4D3C">
      <w:pPr>
        <w:rPr>
          <w:lang w:val="ru-RU"/>
        </w:rPr>
      </w:pPr>
      <w:r w:rsidRPr="002907DB">
        <w:rPr>
          <w:lang w:val="ru-RU"/>
        </w:rPr>
        <w:t>3.3</w:t>
      </w:r>
      <w:r w:rsidRPr="002907DB">
        <w:rPr>
          <w:lang w:val="ru-RU"/>
        </w:rPr>
        <w:tab/>
        <w:t xml:space="preserve">Следует отметить, что выполнение Резолюции 152 (Пересм. </w:t>
      </w:r>
      <w:r w:rsidR="0024774D" w:rsidRPr="002907DB">
        <w:rPr>
          <w:lang w:val="ru-RU"/>
        </w:rPr>
        <w:t>Пусан, 2014 </w:t>
      </w:r>
      <w:r w:rsidRPr="002907DB">
        <w:rPr>
          <w:lang w:val="ru-RU"/>
        </w:rPr>
        <w:t>г.) положительно сказалось на уплате членских взносов, что привело к повышению уровня собираемости взносов и, следовательно, к сокращению долгов Членов Секторов и Ассоциированных члено</w:t>
      </w:r>
      <w:r w:rsidR="0024774D" w:rsidRPr="002907DB">
        <w:rPr>
          <w:lang w:val="ru-RU"/>
        </w:rPr>
        <w:t>в, а также к сокращению числа компаний, членство которых приостановлено и которые окончательно исключены из членов</w:t>
      </w:r>
      <w:r w:rsidRPr="002907DB">
        <w:rPr>
          <w:lang w:val="ru-RU"/>
        </w:rPr>
        <w:t xml:space="preserve">. </w:t>
      </w:r>
      <w:r w:rsidR="0024774D" w:rsidRPr="002907DB">
        <w:rPr>
          <w:lang w:val="ru-RU"/>
        </w:rPr>
        <w:t xml:space="preserve">Тем не менее, </w:t>
      </w:r>
      <w:r w:rsidRPr="002907DB">
        <w:rPr>
          <w:lang w:val="ru-RU"/>
        </w:rPr>
        <w:t xml:space="preserve">Секретариат хотел бы подчеркнуть трудности, которые встречались при взыскании долгов </w:t>
      </w:r>
      <w:r w:rsidR="0033191A" w:rsidRPr="002907DB">
        <w:rPr>
          <w:lang w:val="ru-RU"/>
        </w:rPr>
        <w:t xml:space="preserve">с исключенных из списка объединений в связи с отсутствием стимулирующих механизмов поиска решений путем переговоров. </w:t>
      </w:r>
    </w:p>
    <w:p w:rsidR="00004AD6" w:rsidRPr="002907DB" w:rsidRDefault="00482038" w:rsidP="004C4D3C">
      <w:pPr>
        <w:rPr>
          <w:lang w:val="ru-RU"/>
        </w:rPr>
      </w:pPr>
      <w:r w:rsidRPr="002907DB">
        <w:rPr>
          <w:lang w:val="ru-RU"/>
        </w:rPr>
        <w:t>3.4</w:t>
      </w:r>
      <w:r w:rsidRPr="002907DB">
        <w:rPr>
          <w:lang w:val="ru-RU"/>
        </w:rPr>
        <w:tab/>
      </w:r>
      <w:r w:rsidR="0033191A" w:rsidRPr="002907DB">
        <w:rPr>
          <w:lang w:val="ru-RU"/>
        </w:rPr>
        <w:t xml:space="preserve">В связи с этим Секретариат Союза обращается с просьбой к администрациям продолжать оказывать ему постоянную поддержку при взыскании таких долгов. Опыт свидетельствует о том, что вмешательство администраций играет важнейшую роль в отношении объединений, имеющих задолженности перед Союзом. </w:t>
      </w:r>
    </w:p>
    <w:p w:rsidR="00004AD6" w:rsidRPr="002907DB" w:rsidRDefault="0033191A" w:rsidP="004C4D3C">
      <w:pPr>
        <w:rPr>
          <w:lang w:val="ru-RU"/>
        </w:rPr>
      </w:pPr>
      <w:r w:rsidRPr="002907DB">
        <w:rPr>
          <w:lang w:val="ru-RU"/>
        </w:rPr>
        <w:lastRenderedPageBreak/>
        <w:t>3.5</w:t>
      </w:r>
      <w:r w:rsidR="00004AD6" w:rsidRPr="002907DB">
        <w:rPr>
          <w:lang w:val="ru-RU"/>
        </w:rPr>
        <w:tab/>
        <w:t xml:space="preserve">В Приложениях A, B, C, D и E содержатся подробные данные о динамике и состоянии задолженностей, специальных счетов задолженностей и аннулированных специальных счетов задолженностей. </w:t>
      </w:r>
    </w:p>
    <w:p w:rsidR="00004AD6" w:rsidRPr="002907DB" w:rsidRDefault="0033191A" w:rsidP="00426D64">
      <w:pPr>
        <w:rPr>
          <w:lang w:val="ru-RU"/>
        </w:rPr>
      </w:pPr>
      <w:r w:rsidRPr="002907DB">
        <w:rPr>
          <w:lang w:val="ru-RU"/>
        </w:rPr>
        <w:t>3.6</w:t>
      </w:r>
      <w:r w:rsidR="00004AD6" w:rsidRPr="002907DB">
        <w:rPr>
          <w:lang w:val="ru-RU"/>
        </w:rPr>
        <w:tab/>
        <w:t xml:space="preserve">Во исполнение положений Резолюции 41 (Пересм. </w:t>
      </w:r>
      <w:r w:rsidR="008229FB" w:rsidRPr="002907DB">
        <w:rPr>
          <w:rFonts w:asciiTheme="minorHAnsi" w:hAnsiTheme="minorHAnsi"/>
          <w:szCs w:val="22"/>
          <w:lang w:val="ru-RU"/>
        </w:rPr>
        <w:t>Пусан, 2014 </w:t>
      </w:r>
      <w:r w:rsidR="00004AD6" w:rsidRPr="002907DB">
        <w:rPr>
          <w:lang w:val="ru-RU"/>
        </w:rPr>
        <w:t xml:space="preserve">г.) </w:t>
      </w:r>
      <w:r w:rsidRPr="002907DB">
        <w:rPr>
          <w:lang w:val="ru-RU"/>
        </w:rPr>
        <w:t xml:space="preserve">на 30 </w:t>
      </w:r>
      <w:r w:rsidR="00426D64" w:rsidRPr="002907DB">
        <w:rPr>
          <w:rFonts w:asciiTheme="minorHAnsi" w:hAnsiTheme="minorHAnsi"/>
          <w:lang w:val="ru-RU"/>
        </w:rPr>
        <w:t>сентября</w:t>
      </w:r>
      <w:r w:rsidR="00426D64" w:rsidRPr="002907DB">
        <w:rPr>
          <w:lang w:val="ru-RU"/>
        </w:rPr>
        <w:t xml:space="preserve"> </w:t>
      </w:r>
      <w:r w:rsidRPr="002907DB">
        <w:rPr>
          <w:lang w:val="ru-RU"/>
        </w:rPr>
        <w:t>201</w:t>
      </w:r>
      <w:r w:rsidR="00426D64" w:rsidRPr="002907DB">
        <w:rPr>
          <w:lang w:val="ru-RU"/>
        </w:rPr>
        <w:t>8</w:t>
      </w:r>
      <w:r w:rsidR="00004AD6" w:rsidRPr="002907DB">
        <w:rPr>
          <w:lang w:val="ru-RU"/>
        </w:rPr>
        <w:t xml:space="preserve"> года были аннулированы </w:t>
      </w:r>
      <w:r w:rsidR="00426D64" w:rsidRPr="002907DB">
        <w:rPr>
          <w:lang w:val="ru-RU"/>
        </w:rPr>
        <w:t>шесть</w:t>
      </w:r>
      <w:r w:rsidR="00004AD6" w:rsidRPr="002907DB">
        <w:rPr>
          <w:lang w:val="ru-RU"/>
        </w:rPr>
        <w:t xml:space="preserve"> специальных счетов задолженностей</w:t>
      </w:r>
      <w:r w:rsidRPr="002907DB">
        <w:rPr>
          <w:lang w:val="ru-RU"/>
        </w:rPr>
        <w:t xml:space="preserve"> (см. Приложение Е, п. 2)</w:t>
      </w:r>
      <w:r w:rsidR="00004AD6" w:rsidRPr="002907DB">
        <w:rPr>
          <w:lang w:val="ru-RU"/>
        </w:rPr>
        <w:t xml:space="preserve">. </w:t>
      </w:r>
      <w:r w:rsidR="008229FB" w:rsidRPr="002907DB">
        <w:rPr>
          <w:lang w:val="ru-RU"/>
        </w:rPr>
        <w:t xml:space="preserve">Соответствующие </w:t>
      </w:r>
      <w:r w:rsidR="00004AD6" w:rsidRPr="002907DB">
        <w:rPr>
          <w:lang w:val="ru-RU"/>
        </w:rPr>
        <w:t>Государств</w:t>
      </w:r>
      <w:r w:rsidR="008229FB" w:rsidRPr="002907DB">
        <w:rPr>
          <w:lang w:val="ru-RU"/>
        </w:rPr>
        <w:t>а</w:t>
      </w:r>
      <w:r w:rsidR="00004AD6" w:rsidRPr="002907DB">
        <w:rPr>
          <w:lang w:val="ru-RU"/>
        </w:rPr>
        <w:noBreakHyphen/>
        <w:t>Член</w:t>
      </w:r>
      <w:r w:rsidR="008229FB" w:rsidRPr="002907DB">
        <w:rPr>
          <w:lang w:val="ru-RU"/>
        </w:rPr>
        <w:t>ы</w:t>
      </w:r>
      <w:r w:rsidR="00004AD6" w:rsidRPr="002907DB">
        <w:rPr>
          <w:lang w:val="ru-RU"/>
        </w:rPr>
        <w:t xml:space="preserve"> (</w:t>
      </w:r>
      <w:r w:rsidR="00426D64" w:rsidRPr="002907DB">
        <w:rPr>
          <w:lang w:val="ru-RU"/>
        </w:rPr>
        <w:t xml:space="preserve">Гамбия и </w:t>
      </w:r>
      <w:r w:rsidR="008229FB" w:rsidRPr="002907DB">
        <w:rPr>
          <w:lang w:val="ru-RU"/>
        </w:rPr>
        <w:t>Никарагуа</w:t>
      </w:r>
      <w:r w:rsidR="00004AD6" w:rsidRPr="002907DB">
        <w:rPr>
          <w:lang w:val="ru-RU"/>
        </w:rPr>
        <w:t xml:space="preserve">), а также </w:t>
      </w:r>
      <w:r w:rsidRPr="002907DB">
        <w:rPr>
          <w:lang w:val="ru-RU"/>
        </w:rPr>
        <w:t>четыре</w:t>
      </w:r>
      <w:r w:rsidR="00004AD6" w:rsidRPr="002907DB">
        <w:rPr>
          <w:lang w:val="ru-RU"/>
        </w:rPr>
        <w:t xml:space="preserve"> компании/организации (</w:t>
      </w:r>
      <w:r w:rsidR="008229FB" w:rsidRPr="002907DB">
        <w:rPr>
          <w:lang w:val="ru-RU"/>
        </w:rPr>
        <w:t>(Apprentissages sans Frontières (Швейцария), Cameroon Telecommunications, Ellipsat (Соединенные Штаты Америки) и TIT (Ливан))</w:t>
      </w:r>
      <w:r w:rsidR="00004AD6" w:rsidRPr="002907DB">
        <w:rPr>
          <w:lang w:val="ru-RU"/>
        </w:rPr>
        <w:t xml:space="preserve"> должны будут согласовать графики погашения своей задолженности в соответствии с разработанными Советом руководящими указаниями. </w:t>
      </w:r>
    </w:p>
    <w:p w:rsidR="00004AD6" w:rsidRPr="002907DB" w:rsidRDefault="00C1414A" w:rsidP="006218EB">
      <w:pPr>
        <w:rPr>
          <w:lang w:val="ru-RU"/>
        </w:rPr>
      </w:pPr>
      <w:r w:rsidRPr="002907DB">
        <w:rPr>
          <w:lang w:val="ru-RU"/>
        </w:rPr>
        <w:t>3.7</w:t>
      </w:r>
      <w:r w:rsidR="00004AD6" w:rsidRPr="002907DB">
        <w:rPr>
          <w:lang w:val="ru-RU"/>
        </w:rPr>
        <w:tab/>
      </w:r>
      <w:r w:rsidR="0023623C" w:rsidRPr="002907DB">
        <w:rPr>
          <w:lang w:val="ru-RU"/>
        </w:rPr>
        <w:t xml:space="preserve">После Полномочной конференции </w:t>
      </w:r>
      <w:r w:rsidR="007B214C" w:rsidRPr="002907DB">
        <w:rPr>
          <w:lang w:val="ru-RU"/>
        </w:rPr>
        <w:t>(Пусан, 2014 г.)</w:t>
      </w:r>
      <w:r w:rsidR="0023623C" w:rsidRPr="002907DB">
        <w:rPr>
          <w:lang w:val="ru-RU"/>
        </w:rPr>
        <w:t xml:space="preserve"> был</w:t>
      </w:r>
      <w:r w:rsidR="00340C9F" w:rsidRPr="002907DB">
        <w:rPr>
          <w:lang w:val="ru-RU"/>
        </w:rPr>
        <w:t>и</w:t>
      </w:r>
      <w:r w:rsidR="0023623C" w:rsidRPr="002907DB">
        <w:rPr>
          <w:lang w:val="ru-RU"/>
        </w:rPr>
        <w:t xml:space="preserve"> подписан</w:t>
      </w:r>
      <w:r w:rsidR="00340C9F" w:rsidRPr="002907DB">
        <w:rPr>
          <w:lang w:val="ru-RU"/>
        </w:rPr>
        <w:t>ы</w:t>
      </w:r>
      <w:r w:rsidR="0023623C" w:rsidRPr="002907DB">
        <w:rPr>
          <w:lang w:val="ru-RU"/>
        </w:rPr>
        <w:t xml:space="preserve"> много</w:t>
      </w:r>
      <w:r w:rsidR="00340C9F" w:rsidRPr="002907DB">
        <w:rPr>
          <w:lang w:val="ru-RU"/>
        </w:rPr>
        <w:t>численные</w:t>
      </w:r>
      <w:r w:rsidR="0023623C" w:rsidRPr="002907DB">
        <w:rPr>
          <w:lang w:val="ru-RU"/>
        </w:rPr>
        <w:t xml:space="preserve"> график</w:t>
      </w:r>
      <w:r w:rsidR="00340C9F" w:rsidRPr="002907DB">
        <w:rPr>
          <w:lang w:val="ru-RU"/>
        </w:rPr>
        <w:t>и</w:t>
      </w:r>
      <w:r w:rsidR="0023623C" w:rsidRPr="002907DB">
        <w:rPr>
          <w:lang w:val="ru-RU"/>
        </w:rPr>
        <w:t xml:space="preserve"> погашения задолженности. На 30 </w:t>
      </w:r>
      <w:r w:rsidR="00A0398C" w:rsidRPr="002907DB">
        <w:rPr>
          <w:rFonts w:asciiTheme="minorHAnsi" w:hAnsiTheme="minorHAnsi"/>
          <w:lang w:val="ru-RU"/>
        </w:rPr>
        <w:t>сентября</w:t>
      </w:r>
      <w:r w:rsidR="00A0398C" w:rsidRPr="002907DB">
        <w:rPr>
          <w:lang w:val="ru-RU"/>
        </w:rPr>
        <w:t xml:space="preserve"> </w:t>
      </w:r>
      <w:r w:rsidR="0023623C" w:rsidRPr="002907DB">
        <w:rPr>
          <w:lang w:val="ru-RU"/>
        </w:rPr>
        <w:t>201</w:t>
      </w:r>
      <w:r w:rsidR="00990DA2" w:rsidRPr="002907DB">
        <w:rPr>
          <w:lang w:val="ru-RU"/>
        </w:rPr>
        <w:t>8</w:t>
      </w:r>
      <w:r w:rsidR="0023623C" w:rsidRPr="002907DB">
        <w:rPr>
          <w:lang w:val="ru-RU"/>
        </w:rPr>
        <w:t xml:space="preserve"> года (см. Приложение Е, </w:t>
      </w:r>
      <w:r w:rsidR="00990DA2" w:rsidRPr="002907DB">
        <w:rPr>
          <w:lang w:val="ru-RU"/>
        </w:rPr>
        <w:t>часть</w:t>
      </w:r>
      <w:r w:rsidR="0023623C" w:rsidRPr="002907DB">
        <w:rPr>
          <w:lang w:val="ru-RU"/>
        </w:rPr>
        <w:t xml:space="preserve"> 1)</w:t>
      </w:r>
      <w:r w:rsidR="002806CE" w:rsidRPr="002907DB">
        <w:rPr>
          <w:lang w:val="ru-RU"/>
        </w:rPr>
        <w:t xml:space="preserve"> </w:t>
      </w:r>
      <w:r w:rsidR="00A0398C" w:rsidRPr="002907DB">
        <w:rPr>
          <w:lang w:val="ru-RU"/>
        </w:rPr>
        <w:t>подписан</w:t>
      </w:r>
      <w:r w:rsidR="00393E66" w:rsidRPr="002907DB">
        <w:rPr>
          <w:lang w:val="ru-RU"/>
        </w:rPr>
        <w:t>ы</w:t>
      </w:r>
      <w:r w:rsidR="00A0398C" w:rsidRPr="002907DB">
        <w:rPr>
          <w:lang w:val="ru-RU"/>
        </w:rPr>
        <w:t xml:space="preserve"> один график погашения между МСЭ и </w:t>
      </w:r>
      <w:r w:rsidR="00444F18" w:rsidRPr="002907DB">
        <w:rPr>
          <w:lang w:val="ru-RU"/>
        </w:rPr>
        <w:t>бывшим Членом Сектора и</w:t>
      </w:r>
      <w:r w:rsidR="0023623C" w:rsidRPr="002907DB">
        <w:rPr>
          <w:lang w:val="ru-RU"/>
        </w:rPr>
        <w:t xml:space="preserve"> </w:t>
      </w:r>
      <w:r w:rsidR="00444F18" w:rsidRPr="002907DB">
        <w:rPr>
          <w:lang w:val="ru-RU"/>
        </w:rPr>
        <w:t xml:space="preserve">12 </w:t>
      </w:r>
      <w:r w:rsidR="0023623C" w:rsidRPr="002907DB">
        <w:rPr>
          <w:lang w:val="ru-RU"/>
        </w:rPr>
        <w:t>графиков погашения между МСЭ и Государствами-Членами (</w:t>
      </w:r>
      <w:r w:rsidR="00444F18" w:rsidRPr="002907DB">
        <w:rPr>
          <w:lang w:val="ru-RU"/>
        </w:rPr>
        <w:t xml:space="preserve">Бенин, </w:t>
      </w:r>
      <w:r w:rsidR="00990DA2" w:rsidRPr="002907DB">
        <w:rPr>
          <w:lang w:val="ru-RU"/>
        </w:rPr>
        <w:t>Центральноафриканская Республика, Коморские Острова,</w:t>
      </w:r>
      <w:r w:rsidR="00444F18" w:rsidRPr="002907DB">
        <w:rPr>
          <w:lang w:val="ru-RU"/>
        </w:rPr>
        <w:t xml:space="preserve"> Республика Конго,</w:t>
      </w:r>
      <w:r w:rsidR="00990DA2" w:rsidRPr="002907DB">
        <w:rPr>
          <w:lang w:val="ru-RU"/>
        </w:rPr>
        <w:t xml:space="preserve"> Экваториальная Гвинея, </w:t>
      </w:r>
      <w:r w:rsidR="005C7B33" w:rsidRPr="002907DB">
        <w:rPr>
          <w:lang w:val="ru-RU"/>
        </w:rPr>
        <w:t>Федерация Сент-Китс и Невис</w:t>
      </w:r>
      <w:r w:rsidR="00990DA2" w:rsidRPr="002907DB">
        <w:rPr>
          <w:lang w:val="ru-RU"/>
        </w:rPr>
        <w:t xml:space="preserve">, </w:t>
      </w:r>
      <w:r w:rsidR="00444F18" w:rsidRPr="002907DB">
        <w:rPr>
          <w:lang w:val="ru-RU"/>
        </w:rPr>
        <w:t xml:space="preserve">Гвинея-Бисау, Либерия, Сьерра-Леоне, </w:t>
      </w:r>
      <w:r w:rsidR="005C7B33" w:rsidRPr="002907DB">
        <w:rPr>
          <w:lang w:val="ru-RU"/>
        </w:rPr>
        <w:t>Сомали</w:t>
      </w:r>
      <w:r w:rsidR="00990DA2" w:rsidRPr="002907DB">
        <w:rPr>
          <w:lang w:val="ru-RU"/>
        </w:rPr>
        <w:t xml:space="preserve">, </w:t>
      </w:r>
      <w:r w:rsidR="005C7B33" w:rsidRPr="002907DB">
        <w:rPr>
          <w:lang w:val="ru-RU"/>
        </w:rPr>
        <w:t>Судан и Таджикистан</w:t>
      </w:r>
      <w:r w:rsidR="00EE763F" w:rsidRPr="002907DB">
        <w:rPr>
          <w:lang w:val="ru-RU"/>
        </w:rPr>
        <w:t>)</w:t>
      </w:r>
      <w:r w:rsidR="0023623C" w:rsidRPr="002907DB">
        <w:rPr>
          <w:lang w:val="ru-RU"/>
        </w:rPr>
        <w:t xml:space="preserve">. </w:t>
      </w:r>
      <w:r w:rsidR="00EE763F" w:rsidRPr="002907DB">
        <w:rPr>
          <w:lang w:val="ru-RU"/>
        </w:rPr>
        <w:t xml:space="preserve">Среди </w:t>
      </w:r>
      <w:r w:rsidR="00A0398C" w:rsidRPr="002907DB">
        <w:rPr>
          <w:lang w:val="ru-RU"/>
        </w:rPr>
        <w:t>12</w:t>
      </w:r>
      <w:r w:rsidR="00F009A0" w:rsidRPr="002907DB">
        <w:rPr>
          <w:lang w:val="ru-RU"/>
        </w:rPr>
        <w:t xml:space="preserve"> Государств-Членов, с которыми подписаны</w:t>
      </w:r>
      <w:r w:rsidR="00EE763F" w:rsidRPr="002907DB">
        <w:rPr>
          <w:lang w:val="ru-RU"/>
        </w:rPr>
        <w:t xml:space="preserve"> график</w:t>
      </w:r>
      <w:r w:rsidR="00F009A0" w:rsidRPr="002907DB">
        <w:rPr>
          <w:lang w:val="ru-RU"/>
        </w:rPr>
        <w:t>и</w:t>
      </w:r>
      <w:r w:rsidR="00EE763F" w:rsidRPr="002907DB">
        <w:rPr>
          <w:lang w:val="ru-RU"/>
        </w:rPr>
        <w:t xml:space="preserve"> погашения, </w:t>
      </w:r>
      <w:r w:rsidR="000A1931" w:rsidRPr="002907DB">
        <w:rPr>
          <w:lang w:val="ru-RU"/>
        </w:rPr>
        <w:t>восемь</w:t>
      </w:r>
      <w:r w:rsidR="00EE763F" w:rsidRPr="002907DB">
        <w:rPr>
          <w:lang w:val="ru-RU"/>
        </w:rPr>
        <w:t xml:space="preserve"> относятся к странам категории наименее развитых стран (НРС), которые могут пользоваться максимальной отсрочкой в </w:t>
      </w:r>
      <w:r w:rsidR="006218EB" w:rsidRPr="002907DB">
        <w:rPr>
          <w:lang w:val="ru-RU"/>
        </w:rPr>
        <w:t>15</w:t>
      </w:r>
      <w:r w:rsidR="00EE763F" w:rsidRPr="002907DB">
        <w:rPr>
          <w:lang w:val="ru-RU"/>
        </w:rPr>
        <w:t xml:space="preserve"> лет для погашения своей задолженности. </w:t>
      </w:r>
      <w:r w:rsidR="008C35FD" w:rsidRPr="002907DB">
        <w:rPr>
          <w:lang w:val="ru-RU"/>
        </w:rPr>
        <w:t>Наряду с этим Государства-Члены</w:t>
      </w:r>
      <w:r w:rsidR="00EF14DB" w:rsidRPr="002907DB">
        <w:rPr>
          <w:lang w:val="ru-RU"/>
        </w:rPr>
        <w:t xml:space="preserve"> (</w:t>
      </w:r>
      <w:r w:rsidR="008C35FD" w:rsidRPr="002907DB">
        <w:rPr>
          <w:lang w:val="ru-RU"/>
        </w:rPr>
        <w:t>Боливия и Гренада</w:t>
      </w:r>
      <w:r w:rsidR="00EF14DB" w:rsidRPr="002907DB">
        <w:rPr>
          <w:lang w:val="ru-RU"/>
        </w:rPr>
        <w:t xml:space="preserve">) </w:t>
      </w:r>
      <w:r w:rsidR="008C35FD" w:rsidRPr="002907DB">
        <w:rPr>
          <w:lang w:val="ru-RU"/>
        </w:rPr>
        <w:t>и объединения</w:t>
      </w:r>
      <w:r w:rsidR="00EF14DB" w:rsidRPr="002907DB">
        <w:rPr>
          <w:lang w:val="ru-RU"/>
        </w:rPr>
        <w:t xml:space="preserve"> (Alphion Corporation </w:t>
      </w:r>
      <w:r w:rsidR="008C35FD" w:rsidRPr="002907DB">
        <w:rPr>
          <w:lang w:val="ru-RU"/>
        </w:rPr>
        <w:t>и</w:t>
      </w:r>
      <w:r w:rsidR="00EF14DB" w:rsidRPr="002907DB">
        <w:rPr>
          <w:lang w:val="ru-RU"/>
        </w:rPr>
        <w:t xml:space="preserve"> Bay Microsystems (</w:t>
      </w:r>
      <w:r w:rsidR="008C35FD" w:rsidRPr="002907DB">
        <w:rPr>
          <w:lang w:val="ru-RU"/>
        </w:rPr>
        <w:t>Соединенные Штаты Америки</w:t>
      </w:r>
      <w:r w:rsidR="00EF14DB" w:rsidRPr="002907DB">
        <w:rPr>
          <w:lang w:val="ru-RU"/>
        </w:rPr>
        <w:t>), Marcatel (</w:t>
      </w:r>
      <w:r w:rsidR="008C35FD" w:rsidRPr="002907DB">
        <w:rPr>
          <w:lang w:val="ru-RU"/>
        </w:rPr>
        <w:t>Мексика</w:t>
      </w:r>
      <w:r w:rsidR="00EF14DB" w:rsidRPr="002907DB">
        <w:rPr>
          <w:lang w:val="ru-RU"/>
        </w:rPr>
        <w:t xml:space="preserve">) </w:t>
      </w:r>
      <w:r w:rsidR="008C35FD" w:rsidRPr="002907DB">
        <w:rPr>
          <w:lang w:val="ru-RU"/>
        </w:rPr>
        <w:t>и</w:t>
      </w:r>
      <w:r w:rsidR="00EF14DB" w:rsidRPr="002907DB">
        <w:rPr>
          <w:lang w:val="ru-RU"/>
        </w:rPr>
        <w:t xml:space="preserve"> INTTIC (</w:t>
      </w:r>
      <w:r w:rsidR="008C35FD" w:rsidRPr="002907DB">
        <w:rPr>
          <w:lang w:val="ru-RU"/>
        </w:rPr>
        <w:t>Алжир</w:t>
      </w:r>
      <w:r w:rsidR="00EF14DB" w:rsidRPr="002907DB">
        <w:rPr>
          <w:lang w:val="ru-RU"/>
        </w:rPr>
        <w:t xml:space="preserve">)) </w:t>
      </w:r>
      <w:r w:rsidR="003B2A99" w:rsidRPr="002907DB">
        <w:rPr>
          <w:lang w:val="ru-RU"/>
        </w:rPr>
        <w:t>полностью произвели выплаты по своим соглашениям о по</w:t>
      </w:r>
      <w:r w:rsidR="007F4DB5" w:rsidRPr="002907DB">
        <w:rPr>
          <w:lang w:val="ru-RU"/>
        </w:rPr>
        <w:t>г</w:t>
      </w:r>
      <w:r w:rsidR="003B2A99" w:rsidRPr="002907DB">
        <w:rPr>
          <w:lang w:val="ru-RU"/>
        </w:rPr>
        <w:t>ашении задолженности в первом полугодии</w:t>
      </w:r>
      <w:r w:rsidR="00EF14DB" w:rsidRPr="002907DB">
        <w:rPr>
          <w:lang w:val="ru-RU"/>
        </w:rPr>
        <w:t xml:space="preserve"> 2018</w:t>
      </w:r>
      <w:r w:rsidR="003B2A99" w:rsidRPr="002907DB">
        <w:rPr>
          <w:lang w:val="ru-RU"/>
        </w:rPr>
        <w:t> года</w:t>
      </w:r>
      <w:r w:rsidR="00EF14DB" w:rsidRPr="002907DB">
        <w:rPr>
          <w:lang w:val="ru-RU"/>
        </w:rPr>
        <w:t xml:space="preserve">. </w:t>
      </w:r>
      <w:r w:rsidR="007F4DB5" w:rsidRPr="002907DB">
        <w:rPr>
          <w:lang w:val="ru-RU"/>
        </w:rPr>
        <w:t xml:space="preserve">В соответствии с этим Совету на его сессии в апреле 2018 года </w:t>
      </w:r>
      <w:r w:rsidR="00750EE1" w:rsidRPr="002907DB">
        <w:rPr>
          <w:lang w:val="ru-RU"/>
        </w:rPr>
        <w:t xml:space="preserve">была подана просьба </w:t>
      </w:r>
      <w:r w:rsidR="000C61BB" w:rsidRPr="002907DB">
        <w:rPr>
          <w:lang w:val="ru-RU"/>
        </w:rPr>
        <w:t>о списании процентов по просроченным платежам, которую Совет удовлетворил</w:t>
      </w:r>
      <w:r w:rsidR="00773033" w:rsidRPr="002907DB">
        <w:rPr>
          <w:lang w:val="ru-RU"/>
        </w:rPr>
        <w:t xml:space="preserve">. </w:t>
      </w:r>
    </w:p>
    <w:p w:rsidR="00004AD6" w:rsidRPr="002907DB" w:rsidRDefault="00773033" w:rsidP="004C4D3C">
      <w:pPr>
        <w:rPr>
          <w:lang w:val="ru-RU"/>
        </w:rPr>
      </w:pPr>
      <w:r w:rsidRPr="002907DB">
        <w:rPr>
          <w:lang w:val="ru-RU"/>
        </w:rPr>
        <w:t>3.8</w:t>
      </w:r>
      <w:r w:rsidR="00004AD6" w:rsidRPr="002907DB">
        <w:rPr>
          <w:lang w:val="ru-RU"/>
        </w:rPr>
        <w:tab/>
        <w:t xml:space="preserve">В том что касается заявок на регистрацию спутниковых сетей, в соответствии </w:t>
      </w:r>
      <w:r w:rsidR="00340C9F" w:rsidRPr="002907DB">
        <w:rPr>
          <w:lang w:val="ru-RU"/>
        </w:rPr>
        <w:t xml:space="preserve">с </w:t>
      </w:r>
      <w:hyperlink r:id="rId13" w:history="1">
        <w:r w:rsidR="00626C3E" w:rsidRPr="002907DB">
          <w:rPr>
            <w:rStyle w:val="Hyperlink"/>
            <w:rFonts w:asciiTheme="minorHAnsi" w:eastAsia="SimSun" w:hAnsiTheme="minorHAnsi"/>
            <w:szCs w:val="24"/>
            <w:lang w:val="ru-RU" w:eastAsia="zh-CN"/>
          </w:rPr>
          <w:t>Решением 545</w:t>
        </w:r>
      </w:hyperlink>
      <w:r w:rsidR="00626C3E" w:rsidRPr="002907DB">
        <w:rPr>
          <w:rFonts w:eastAsia="SimSun"/>
          <w:lang w:val="ru-RU" w:eastAsia="zh-CN"/>
        </w:rPr>
        <w:t xml:space="preserve"> </w:t>
      </w:r>
      <w:r w:rsidR="00626C3E" w:rsidRPr="002907DB">
        <w:rPr>
          <w:lang w:val="ru-RU"/>
        </w:rPr>
        <w:t>Совета (2007 г.) из числа 28 администраций/операторов, которые получили право на пересмотр их счетов-фактур, 2</w:t>
      </w:r>
      <w:r w:rsidR="000C61BB" w:rsidRPr="002907DB">
        <w:rPr>
          <w:lang w:val="ru-RU"/>
        </w:rPr>
        <w:t>6</w:t>
      </w:r>
      <w:r w:rsidR="00626C3E" w:rsidRPr="002907DB">
        <w:rPr>
          <w:lang w:val="ru-RU"/>
        </w:rPr>
        <w:t> урегулировали свои долги</w:t>
      </w:r>
      <w:r w:rsidR="00340C9F" w:rsidRPr="002907DB">
        <w:rPr>
          <w:lang w:val="ru-RU"/>
        </w:rPr>
        <w:t>,</w:t>
      </w:r>
      <w:r w:rsidR="00626C3E" w:rsidRPr="002907DB">
        <w:rPr>
          <w:lang w:val="ru-RU"/>
        </w:rPr>
        <w:t xml:space="preserve"> и одно объединение подписало соглашение о погашении задолженности (Ellipsat, Соединенные Штаты Америки</w:t>
      </w:r>
      <w:r w:rsidR="000C61BB" w:rsidRPr="002907DB">
        <w:rPr>
          <w:lang w:val="ru-RU"/>
        </w:rPr>
        <w:t>, включая задолженность бывшей компании Virtual Geosatellite, приобретенной Ellipsat</w:t>
      </w:r>
      <w:r w:rsidR="00626C3E" w:rsidRPr="002907DB">
        <w:rPr>
          <w:lang w:val="ru-RU"/>
        </w:rPr>
        <w:t xml:space="preserve">). </w:t>
      </w:r>
    </w:p>
    <w:p w:rsidR="00004AD6" w:rsidRPr="002907DB" w:rsidRDefault="005E0101" w:rsidP="004C4D3C">
      <w:pPr>
        <w:rPr>
          <w:lang w:val="ru-RU"/>
        </w:rPr>
      </w:pPr>
      <w:r w:rsidRPr="002907DB">
        <w:rPr>
          <w:lang w:val="ru-RU"/>
        </w:rPr>
        <w:t>3.9</w:t>
      </w:r>
      <w:r w:rsidR="00004AD6" w:rsidRPr="002907DB">
        <w:rPr>
          <w:lang w:val="ru-RU"/>
        </w:rPr>
        <w:tab/>
      </w:r>
      <w:r w:rsidR="00786449" w:rsidRPr="002907DB">
        <w:rPr>
          <w:lang w:val="ru-RU"/>
        </w:rPr>
        <w:t>На 31 декабря 201</w:t>
      </w:r>
      <w:r w:rsidR="000C61BB" w:rsidRPr="002907DB">
        <w:rPr>
          <w:lang w:val="ru-RU"/>
        </w:rPr>
        <w:t>7</w:t>
      </w:r>
      <w:r w:rsidR="00786449" w:rsidRPr="002907DB">
        <w:rPr>
          <w:lang w:val="ru-RU"/>
        </w:rPr>
        <w:t xml:space="preserve"> года сумма средств Резервного фонда </w:t>
      </w:r>
      <w:r w:rsidR="003662C3" w:rsidRPr="002907DB">
        <w:rPr>
          <w:lang w:val="ru-RU"/>
        </w:rPr>
        <w:t xml:space="preserve">для счетов должников </w:t>
      </w:r>
      <w:r w:rsidR="00786449" w:rsidRPr="002907DB">
        <w:rPr>
          <w:lang w:val="ru-RU"/>
        </w:rPr>
        <w:t>составляла 5</w:t>
      </w:r>
      <w:r w:rsidR="003662C3" w:rsidRPr="002907DB">
        <w:rPr>
          <w:lang w:val="ru-RU"/>
        </w:rPr>
        <w:t>3</w:t>
      </w:r>
      <w:r w:rsidR="00786449" w:rsidRPr="002907DB">
        <w:rPr>
          <w:lang w:val="ru-RU"/>
        </w:rPr>
        <w:t>,</w:t>
      </w:r>
      <w:r w:rsidR="003662C3" w:rsidRPr="002907DB">
        <w:rPr>
          <w:lang w:val="ru-RU"/>
        </w:rPr>
        <w:t>8</w:t>
      </w:r>
      <w:r w:rsidR="00786449" w:rsidRPr="002907DB">
        <w:rPr>
          <w:lang w:val="ru-RU"/>
        </w:rPr>
        <w:t xml:space="preserve"> млн. швейцарских франков и покрывала 100% сумм, которые </w:t>
      </w:r>
      <w:r w:rsidR="0008544B" w:rsidRPr="002907DB">
        <w:rPr>
          <w:lang w:val="ru-RU"/>
        </w:rPr>
        <w:t xml:space="preserve">необходимо учитывать в Фонде согласно указанным выше новым принципам. Впредь средства Резервного </w:t>
      </w:r>
      <w:r w:rsidR="00346893" w:rsidRPr="002907DB">
        <w:rPr>
          <w:lang w:val="ru-RU"/>
        </w:rPr>
        <w:t>фонда</w:t>
      </w:r>
      <w:r w:rsidR="0008544B" w:rsidRPr="002907DB">
        <w:rPr>
          <w:lang w:val="ru-RU"/>
        </w:rPr>
        <w:t xml:space="preserve"> для </w:t>
      </w:r>
      <w:r w:rsidR="00C95B08" w:rsidRPr="002907DB">
        <w:rPr>
          <w:lang w:val="ru-RU"/>
        </w:rPr>
        <w:t>с</w:t>
      </w:r>
      <w:r w:rsidR="0008544B" w:rsidRPr="002907DB">
        <w:rPr>
          <w:lang w:val="ru-RU"/>
        </w:rPr>
        <w:t xml:space="preserve">четов должников будут систематически переоцениваться по состоянию на 31 декабря каждого года. Следует отметить, что </w:t>
      </w:r>
      <w:r w:rsidR="00346893" w:rsidRPr="002907DB">
        <w:rPr>
          <w:lang w:val="ru-RU"/>
        </w:rPr>
        <w:t>тако</w:t>
      </w:r>
      <w:r w:rsidR="0008544B" w:rsidRPr="002907DB">
        <w:rPr>
          <w:lang w:val="ru-RU"/>
        </w:rPr>
        <w:t xml:space="preserve">е 100-процентное покрытие не освобождает Государства-Члены, Членов Секторов, Ассоциированных членов и </w:t>
      </w:r>
      <w:r w:rsidR="003662C3" w:rsidRPr="002907DB">
        <w:rPr>
          <w:lang w:val="ru-RU"/>
        </w:rPr>
        <w:t>А</w:t>
      </w:r>
      <w:r w:rsidR="0008544B" w:rsidRPr="002907DB">
        <w:rPr>
          <w:lang w:val="ru-RU"/>
        </w:rPr>
        <w:t xml:space="preserve">кадемические организации от их обязательств перед Союзом. </w:t>
      </w:r>
    </w:p>
    <w:p w:rsidR="00004AD6" w:rsidRPr="002907DB" w:rsidRDefault="00004AD6" w:rsidP="004C4D3C">
      <w:pPr>
        <w:pStyle w:val="Heading1"/>
        <w:rPr>
          <w:lang w:val="ru-RU"/>
        </w:rPr>
      </w:pPr>
      <w:r w:rsidRPr="002907DB">
        <w:rPr>
          <w:lang w:val="ru-RU"/>
        </w:rPr>
        <w:t>4</w:t>
      </w:r>
      <w:r w:rsidRPr="002907DB">
        <w:rPr>
          <w:lang w:val="ru-RU"/>
        </w:rPr>
        <w:tab/>
        <w:t>Рекомендации</w:t>
      </w:r>
    </w:p>
    <w:p w:rsidR="00004AD6" w:rsidRPr="002907DB" w:rsidRDefault="00004AD6" w:rsidP="004C4D3C">
      <w:pPr>
        <w:rPr>
          <w:lang w:val="ru-RU"/>
        </w:rPr>
      </w:pPr>
      <w:r w:rsidRPr="002907DB">
        <w:rPr>
          <w:lang w:val="ru-RU"/>
        </w:rPr>
        <w:t>4.1</w:t>
      </w:r>
      <w:r w:rsidRPr="002907DB">
        <w:rPr>
          <w:lang w:val="ru-RU"/>
        </w:rPr>
        <w:tab/>
        <w:t xml:space="preserve">В свете представленной в настоящем документе информации Полномочной конференции </w:t>
      </w:r>
      <w:r w:rsidR="00346893" w:rsidRPr="002907DB">
        <w:rPr>
          <w:lang w:val="ru-RU"/>
        </w:rPr>
        <w:t>направляется</w:t>
      </w:r>
      <w:r w:rsidR="004C4D3C" w:rsidRPr="002907DB">
        <w:rPr>
          <w:lang w:val="ru-RU"/>
        </w:rPr>
        <w:t xml:space="preserve"> просьба:</w:t>
      </w:r>
    </w:p>
    <w:p w:rsidR="00004AD6" w:rsidRPr="002907DB" w:rsidRDefault="00004AD6" w:rsidP="004C4D3C">
      <w:pPr>
        <w:pStyle w:val="enumlev1"/>
        <w:rPr>
          <w:lang w:val="ru-RU"/>
        </w:rPr>
      </w:pPr>
      <w:r w:rsidRPr="002907DB">
        <w:rPr>
          <w:lang w:val="ru-RU"/>
        </w:rPr>
        <w:t>1)</w:t>
      </w:r>
      <w:r w:rsidRPr="002907DB">
        <w:rPr>
          <w:lang w:val="ru-RU"/>
        </w:rPr>
        <w:tab/>
      </w:r>
      <w:r w:rsidR="003662C3" w:rsidRPr="002907DB">
        <w:rPr>
          <w:lang w:val="ru-RU"/>
        </w:rPr>
        <w:t>подтвердить данны</w:t>
      </w:r>
      <w:r w:rsidRPr="002907DB">
        <w:rPr>
          <w:lang w:val="ru-RU"/>
        </w:rPr>
        <w:t>е Совету по</w:t>
      </w:r>
      <w:r w:rsidR="003662C3" w:rsidRPr="002907DB">
        <w:rPr>
          <w:lang w:val="ru-RU"/>
        </w:rPr>
        <w:t>лномочия</w:t>
      </w:r>
      <w:r w:rsidRPr="002907DB">
        <w:rPr>
          <w:lang w:val="ru-RU"/>
        </w:rPr>
        <w:t xml:space="preserve"> пересматривать при необходимости условия составления графиков погашения задолженности, включая такие меры, как временное снижение класса взносов, максимальная продолжительность периода погашения</w:t>
      </w:r>
      <w:r w:rsidR="00C95B08" w:rsidRPr="002907DB">
        <w:rPr>
          <w:lang w:val="ru-RU"/>
        </w:rPr>
        <w:t xml:space="preserve">, корректировки сумм ежегодных выплат на начальном этапе графиков погашения или </w:t>
      </w:r>
      <w:r w:rsidRPr="002907DB">
        <w:rPr>
          <w:lang w:val="ru-RU"/>
        </w:rPr>
        <w:t xml:space="preserve">списание процентов по просроченным платежам с целью ускорения урегулирования причитающихся к оплате сумм; </w:t>
      </w:r>
    </w:p>
    <w:p w:rsidR="00004AD6" w:rsidRPr="002907DB" w:rsidRDefault="003662C3" w:rsidP="004C4D3C">
      <w:pPr>
        <w:pStyle w:val="enumlev1"/>
        <w:rPr>
          <w:lang w:val="ru-RU"/>
        </w:rPr>
      </w:pPr>
      <w:r w:rsidRPr="002907DB">
        <w:rPr>
          <w:lang w:val="ru-RU"/>
        </w:rPr>
        <w:t>2</w:t>
      </w:r>
      <w:r w:rsidR="00004AD6" w:rsidRPr="002907DB">
        <w:rPr>
          <w:lang w:val="ru-RU"/>
        </w:rPr>
        <w:t>)</w:t>
      </w:r>
      <w:r w:rsidR="00004AD6" w:rsidRPr="002907DB">
        <w:rPr>
          <w:lang w:val="ru-RU"/>
        </w:rPr>
        <w:tab/>
        <w:t xml:space="preserve">подтвердить решение не открывать каких-либо новых специальных счетов задолженностей во время полномочных конференций, поскольку Генеральный секретарь уполномочен открывать новые специальные счета согласно руководящим указаниям, утвержденным Советом. </w:t>
      </w:r>
    </w:p>
    <w:p w:rsidR="00C8225D" w:rsidRPr="002907DB" w:rsidRDefault="00C8225D" w:rsidP="004C4D3C">
      <w:pPr>
        <w:pStyle w:val="AnnexNo"/>
        <w:spacing w:before="0"/>
        <w:rPr>
          <w:lang w:val="ru-RU"/>
        </w:rPr>
      </w:pPr>
      <w:r w:rsidRPr="002907DB">
        <w:rPr>
          <w:lang w:val="ru-RU"/>
        </w:rPr>
        <w:br w:type="page"/>
      </w:r>
      <w:r w:rsidR="002E2593" w:rsidRPr="002907DB">
        <w:rPr>
          <w:lang w:val="ru-RU"/>
        </w:rPr>
        <w:lastRenderedPageBreak/>
        <w:t xml:space="preserve">ПРИЛОЖЕНИЕ </w:t>
      </w:r>
      <w:r w:rsidRPr="002907DB">
        <w:rPr>
          <w:lang w:val="ru-RU"/>
        </w:rPr>
        <w:t>A</w:t>
      </w:r>
    </w:p>
    <w:p w:rsidR="00C8225D" w:rsidRPr="002907DB" w:rsidRDefault="002C5797" w:rsidP="004C4D3C">
      <w:pPr>
        <w:pStyle w:val="Annextitle"/>
        <w:spacing w:after="0"/>
        <w:rPr>
          <w:lang w:val="ru-RU"/>
        </w:rPr>
      </w:pPr>
      <w:r w:rsidRPr="002907DB">
        <w:rPr>
          <w:lang w:val="ru-RU"/>
        </w:rPr>
        <w:t>Динамика задолженностей и специальных счетов задолженностей</w:t>
      </w:r>
    </w:p>
    <w:p w:rsidR="00C8225D" w:rsidRPr="002907DB" w:rsidRDefault="002E2593" w:rsidP="004C4D3C">
      <w:pPr>
        <w:spacing w:after="240"/>
        <w:jc w:val="center"/>
        <w:rPr>
          <w:b/>
          <w:i/>
          <w:lang w:val="ru-RU"/>
        </w:rPr>
      </w:pPr>
      <w:r w:rsidRPr="002907DB">
        <w:rPr>
          <w:b/>
          <w:i/>
          <w:lang w:val="ru-RU"/>
        </w:rPr>
        <w:t>(в тыс. швейцарских франков)</w:t>
      </w:r>
    </w:p>
    <w:tbl>
      <w:tblPr>
        <w:tblW w:w="10050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743"/>
        <w:gridCol w:w="851"/>
        <w:gridCol w:w="852"/>
        <w:gridCol w:w="852"/>
        <w:gridCol w:w="852"/>
        <w:gridCol w:w="852"/>
        <w:gridCol w:w="852"/>
        <w:gridCol w:w="852"/>
        <w:gridCol w:w="1344"/>
      </w:tblGrid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2011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2012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2013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2014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2015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2016 г.</w:t>
            </w:r>
          </w:p>
        </w:tc>
        <w:tc>
          <w:tcPr>
            <w:tcW w:w="852" w:type="dxa"/>
            <w:vAlign w:val="center"/>
          </w:tcPr>
          <w:p w:rsidR="004C4D3C" w:rsidRPr="002907DB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2017 г.</w:t>
            </w:r>
          </w:p>
        </w:tc>
        <w:tc>
          <w:tcPr>
            <w:tcW w:w="1344" w:type="dxa"/>
            <w:vAlign w:val="center"/>
          </w:tcPr>
          <w:p w:rsidR="004C4D3C" w:rsidRPr="002907DB" w:rsidRDefault="004C4D3C" w:rsidP="000B1A99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2907DB">
              <w:rPr>
                <w:rFonts w:eastAsia="Arial Unicode MS"/>
                <w:lang w:val="ru-RU"/>
              </w:rPr>
              <w:t>2018 г.</w:t>
            </w:r>
            <w:r w:rsidRPr="002907DB">
              <w:rPr>
                <w:rFonts w:eastAsia="Arial Unicode MS"/>
                <w:lang w:val="ru-RU"/>
              </w:rPr>
              <w:br/>
            </w:r>
            <w:r w:rsidRPr="002907DB">
              <w:rPr>
                <w:rFonts w:eastAsia="Arial Unicode MS"/>
                <w:b w:val="0"/>
                <w:bCs/>
                <w:lang w:val="ru-RU"/>
              </w:rPr>
              <w:t xml:space="preserve">(30 </w:t>
            </w:r>
            <w:r w:rsidR="000B1A99" w:rsidRPr="002907DB">
              <w:rPr>
                <w:rFonts w:eastAsia="Arial Unicode MS"/>
                <w:b w:val="0"/>
                <w:bCs/>
                <w:lang w:val="ru-RU"/>
              </w:rPr>
              <w:t>сентября</w:t>
            </w:r>
            <w:r w:rsidRPr="002907DB">
              <w:rPr>
                <w:rFonts w:eastAsia="Arial Unicode MS"/>
                <w:b w:val="0"/>
                <w:bCs/>
                <w:lang w:val="ru-RU"/>
              </w:rPr>
              <w:t>)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b/>
                <w:lang w:val="ru-RU"/>
              </w:rPr>
            </w:pPr>
            <w:r w:rsidRPr="002907DB">
              <w:rPr>
                <w:b/>
                <w:lang w:val="ru-RU"/>
              </w:rPr>
              <w:t>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 xml:space="preserve">Государства-Члены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12 917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10 542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7 825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8 450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10 070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9 639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6 923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140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37</w:t>
            </w: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37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13 057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10 591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7 861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8 486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10 106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9 676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6 960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19 149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17 758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16 729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16 300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15 367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13 938</w:t>
            </w:r>
          </w:p>
        </w:tc>
        <w:tc>
          <w:tcPr>
            <w:tcW w:w="1344" w:type="dxa"/>
            <w:vAlign w:val="bottom"/>
          </w:tcPr>
          <w:p w:rsidR="004C4D3C" w:rsidRPr="002907DB" w:rsidRDefault="004C4D3C" w:rsidP="000B1A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10 4</w:t>
            </w:r>
            <w:r w:rsidR="000B1A99" w:rsidRPr="002907DB">
              <w:rPr>
                <w:rFonts w:asciiTheme="minorHAnsi" w:hAnsiTheme="minorHAnsi"/>
                <w:sz w:val="20"/>
                <w:lang w:val="ru-RU" w:eastAsia="zh-CN"/>
              </w:rPr>
              <w:t>23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6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5</w:t>
            </w: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u w:val="single"/>
                <w:lang w:val="ru-RU" w:eastAsia="zh-CN"/>
              </w:rPr>
              <w:t>5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2907D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19 151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17 762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16 738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16 312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15 373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13 943</w:t>
            </w:r>
          </w:p>
        </w:tc>
        <w:tc>
          <w:tcPr>
            <w:tcW w:w="1344" w:type="dxa"/>
            <w:vAlign w:val="bottom"/>
          </w:tcPr>
          <w:p w:rsidR="004C4D3C" w:rsidRPr="002907DB" w:rsidRDefault="004C4D3C" w:rsidP="000B1A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10 4</w:t>
            </w:r>
            <w:r w:rsidR="000B1A99" w:rsidRPr="002907DB">
              <w:rPr>
                <w:rFonts w:asciiTheme="minorHAnsi" w:hAnsiTheme="minorHAnsi"/>
                <w:sz w:val="20"/>
                <w:lang w:val="ru-RU" w:eastAsia="zh-CN"/>
              </w:rPr>
              <w:t>28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i/>
                <w:iCs/>
                <w:lang w:val="ru-RU"/>
              </w:rPr>
            </w:pPr>
            <w:r w:rsidRPr="002907DB">
              <w:rPr>
                <w:b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32 066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28 300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26 625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24 554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24 750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25 437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23 577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17 346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i/>
                <w:iCs/>
                <w:lang w:val="ru-RU"/>
              </w:rPr>
            </w:pPr>
            <w:r w:rsidRPr="002907DB">
              <w:rPr>
                <w:b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142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>ВСЕГО: ВЗНОСЫ И 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32 208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28 353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26 679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24 599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24 798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25 479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23 619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17 388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>СОГЛАШЕНИЯ О ПОГАШЕНИИ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9 686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15 919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10 019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18 392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15 823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8 094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7 601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17 022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18 932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15 587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17 768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8 582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10 418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12 547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13 394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2 087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1344" w:type="dxa"/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b/>
                <w:lang w:val="ru-RU"/>
              </w:rPr>
            </w:pPr>
            <w:r w:rsidRPr="002907DB">
              <w:rPr>
                <w:b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  <w:r w:rsidRPr="002907DB">
              <w:rPr>
                <w:rFonts w:asciiTheme="minorHAnsi" w:eastAsia="Arial Unicode MS" w:hAnsiTheme="minorHAnsi"/>
                <w:b/>
                <w:u w:val="double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563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584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371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b/>
                <w:lang w:val="ru-RU"/>
              </w:rPr>
            </w:pPr>
            <w:r w:rsidRPr="002907DB">
              <w:rPr>
                <w:b/>
                <w:lang w:val="ru-RU"/>
              </w:rPr>
              <w:t>РАЗЛИЧНЫЕ СЧЕТА</w:t>
            </w:r>
            <w:r w:rsidRPr="002907DB">
              <w:rPr>
                <w:b/>
                <w:lang w:val="ru-RU"/>
              </w:rPr>
              <w:noBreakHyphen/>
              <w:t>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71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68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62</w:t>
            </w:r>
          </w:p>
        </w:tc>
      </w:tr>
      <w:tr w:rsidR="004C4D3C" w:rsidRPr="002907DB" w:rsidTr="000B1A99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2907DB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2907DB">
              <w:rPr>
                <w:b/>
                <w:lang w:val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61 538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60 576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55 102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52 222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51 673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46 772</w:t>
            </w:r>
          </w:p>
        </w:tc>
        <w:tc>
          <w:tcPr>
            <w:tcW w:w="852" w:type="dxa"/>
            <w:vAlign w:val="bottom"/>
          </w:tcPr>
          <w:p w:rsidR="004C4D3C" w:rsidRPr="002907DB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45 264</w:t>
            </w:r>
          </w:p>
        </w:tc>
        <w:tc>
          <w:tcPr>
            <w:tcW w:w="1344" w:type="dxa"/>
            <w:vAlign w:val="bottom"/>
          </w:tcPr>
          <w:p w:rsidR="004C4D3C" w:rsidRPr="002907DB" w:rsidRDefault="000B1A99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36 930</w:t>
            </w:r>
          </w:p>
        </w:tc>
      </w:tr>
    </w:tbl>
    <w:p w:rsidR="00C8225D" w:rsidRPr="002907DB" w:rsidRDefault="002E2593" w:rsidP="000B1A99">
      <w:pPr>
        <w:spacing w:before="360"/>
        <w:rPr>
          <w:rFonts w:asciiTheme="minorHAnsi" w:hAnsiTheme="minorHAnsi"/>
          <w:lang w:val="ru-RU"/>
        </w:rPr>
      </w:pPr>
      <w:r w:rsidRPr="002907DB">
        <w:rPr>
          <w:lang w:val="ru-RU"/>
        </w:rPr>
        <w:t>Не включена текущая дебиторская задолженность, т. е. задолженность за 201</w:t>
      </w:r>
      <w:r w:rsidR="004B5498" w:rsidRPr="002907DB">
        <w:rPr>
          <w:lang w:val="ru-RU"/>
        </w:rPr>
        <w:t>7</w:t>
      </w:r>
      <w:r w:rsidRPr="002907DB">
        <w:rPr>
          <w:lang w:val="ru-RU"/>
        </w:rPr>
        <w:t> год, объем которой на</w:t>
      </w:r>
      <w:r w:rsidR="00346893" w:rsidRPr="002907DB">
        <w:rPr>
          <w:lang w:val="ru-RU"/>
        </w:rPr>
        <w:t xml:space="preserve"> 30 </w:t>
      </w:r>
      <w:r w:rsidR="000B1A99" w:rsidRPr="002907DB">
        <w:rPr>
          <w:lang w:val="ru-RU"/>
        </w:rPr>
        <w:t>сентября</w:t>
      </w:r>
      <w:r w:rsidRPr="002907DB">
        <w:rPr>
          <w:lang w:val="ru-RU"/>
        </w:rPr>
        <w:t xml:space="preserve"> 201</w:t>
      </w:r>
      <w:r w:rsidR="004B5498" w:rsidRPr="002907DB">
        <w:rPr>
          <w:lang w:val="ru-RU"/>
        </w:rPr>
        <w:t>8</w:t>
      </w:r>
      <w:r w:rsidRPr="002907DB">
        <w:rPr>
          <w:lang w:val="ru-RU"/>
        </w:rPr>
        <w:t xml:space="preserve"> года составил </w:t>
      </w:r>
      <w:r w:rsidR="000B1A99" w:rsidRPr="002907DB">
        <w:rPr>
          <w:lang w:val="ru-RU"/>
        </w:rPr>
        <w:t>2</w:t>
      </w:r>
      <w:r w:rsidR="004B5498" w:rsidRPr="002907DB">
        <w:rPr>
          <w:rFonts w:asciiTheme="minorHAnsi" w:hAnsiTheme="minorHAnsi"/>
          <w:lang w:val="ru-RU"/>
        </w:rPr>
        <w:t> </w:t>
      </w:r>
      <w:r w:rsidR="000B1A99" w:rsidRPr="002907DB">
        <w:rPr>
          <w:rFonts w:asciiTheme="minorHAnsi" w:hAnsiTheme="minorHAnsi"/>
          <w:lang w:val="ru-RU"/>
        </w:rPr>
        <w:t>291</w:t>
      </w:r>
      <w:r w:rsidR="004B5498" w:rsidRPr="002907DB">
        <w:rPr>
          <w:rFonts w:asciiTheme="minorHAnsi" w:hAnsiTheme="minorHAnsi"/>
          <w:lang w:val="ru-RU"/>
        </w:rPr>
        <w:t xml:space="preserve"> 000 </w:t>
      </w:r>
      <w:r w:rsidRPr="002907DB">
        <w:rPr>
          <w:lang w:val="ru-RU"/>
        </w:rPr>
        <w:t xml:space="preserve">швейцарских франков и с учетом которой общий объем причитающихся сумм составляет </w:t>
      </w:r>
      <w:r w:rsidR="000B1A99" w:rsidRPr="002907DB">
        <w:rPr>
          <w:lang w:val="ru-RU"/>
        </w:rPr>
        <w:t>39</w:t>
      </w:r>
      <w:r w:rsidR="004B5498" w:rsidRPr="002907DB">
        <w:rPr>
          <w:rFonts w:asciiTheme="minorHAnsi" w:hAnsiTheme="minorHAnsi"/>
          <w:lang w:val="ru-RU"/>
        </w:rPr>
        <w:t> </w:t>
      </w:r>
      <w:r w:rsidR="000B1A99" w:rsidRPr="002907DB">
        <w:rPr>
          <w:rFonts w:asciiTheme="minorHAnsi" w:hAnsiTheme="minorHAnsi"/>
          <w:lang w:val="ru-RU"/>
        </w:rPr>
        <w:t>221</w:t>
      </w:r>
      <w:r w:rsidR="004B5498" w:rsidRPr="002907DB">
        <w:rPr>
          <w:rFonts w:asciiTheme="minorHAnsi" w:hAnsiTheme="minorHAnsi"/>
          <w:lang w:val="ru-RU"/>
        </w:rPr>
        <w:t> 000</w:t>
      </w:r>
      <w:r w:rsidRPr="002907DB">
        <w:rPr>
          <w:rFonts w:asciiTheme="minorHAnsi" w:hAnsiTheme="minorHAnsi"/>
          <w:lang w:val="ru-RU"/>
        </w:rPr>
        <w:t xml:space="preserve"> </w:t>
      </w:r>
      <w:r w:rsidRPr="002907DB">
        <w:rPr>
          <w:lang w:val="ru-RU"/>
        </w:rPr>
        <w:t xml:space="preserve">швейцарских франков. </w:t>
      </w:r>
    </w:p>
    <w:p w:rsidR="002C5797" w:rsidRPr="002907DB" w:rsidRDefault="002C5797" w:rsidP="004C4D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bookmarkStart w:id="8" w:name="RANGE!A1:E45"/>
      <w:bookmarkEnd w:id="8"/>
      <w:r w:rsidRPr="002907DB">
        <w:rPr>
          <w:lang w:val="ru-RU"/>
        </w:rPr>
        <w:br w:type="page"/>
      </w:r>
    </w:p>
    <w:p w:rsidR="00C8225D" w:rsidRPr="002907DB" w:rsidRDefault="00E00D29" w:rsidP="004C4D3C">
      <w:pPr>
        <w:pStyle w:val="AnnexNo"/>
        <w:rPr>
          <w:b/>
          <w:lang w:val="ru-RU"/>
        </w:rPr>
      </w:pPr>
      <w:r w:rsidRPr="002907DB">
        <w:rPr>
          <w:lang w:val="ru-RU"/>
        </w:rPr>
        <w:lastRenderedPageBreak/>
        <w:t>ПРИЛОЖЕНИЕ</w:t>
      </w:r>
      <w:r w:rsidR="00C8225D" w:rsidRPr="002907DB">
        <w:rPr>
          <w:lang w:val="ru-RU"/>
        </w:rPr>
        <w:t xml:space="preserve"> B</w:t>
      </w:r>
    </w:p>
    <w:p w:rsidR="00C8225D" w:rsidRPr="002907DB" w:rsidRDefault="005E0616" w:rsidP="004C4D3C">
      <w:pPr>
        <w:pStyle w:val="Annextitle"/>
        <w:spacing w:after="0"/>
        <w:rPr>
          <w:lang w:val="ru-RU"/>
        </w:rPr>
      </w:pPr>
      <w:r w:rsidRPr="002907DB">
        <w:rPr>
          <w:lang w:val="ru-RU"/>
        </w:rPr>
        <w:t>Ситуация с задолженностями по годам</w:t>
      </w:r>
    </w:p>
    <w:p w:rsidR="00C8225D" w:rsidRPr="002907DB" w:rsidRDefault="00E00D29" w:rsidP="004C4D3C">
      <w:pPr>
        <w:spacing w:after="240"/>
        <w:jc w:val="center"/>
        <w:rPr>
          <w:b/>
          <w:i/>
          <w:lang w:val="ru-RU"/>
        </w:rPr>
      </w:pPr>
      <w:r w:rsidRPr="002907DB">
        <w:rPr>
          <w:b/>
          <w:i/>
          <w:lang w:val="ru-RU"/>
        </w:rPr>
        <w:t>(в швейцарских франках)</w:t>
      </w:r>
    </w:p>
    <w:tbl>
      <w:tblPr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252"/>
        <w:gridCol w:w="1526"/>
        <w:gridCol w:w="252"/>
        <w:gridCol w:w="1246"/>
        <w:gridCol w:w="238"/>
        <w:gridCol w:w="1315"/>
        <w:gridCol w:w="238"/>
        <w:gridCol w:w="1246"/>
        <w:gridCol w:w="243"/>
        <w:gridCol w:w="1437"/>
      </w:tblGrid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Год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Взносы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ind w:left="-57" w:right="-57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Публикации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Заявки на спутниковые сети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Различные счета-фактуры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Всего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137 926,70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137 926,70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164 516,45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164 516,45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276 093,05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276 093,05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166 395,95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638,85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167 034,80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89 593,55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12 707,40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102 300,95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143 084,20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23 276,20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166 360,40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213 323,65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213 323,65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363 205,15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363 205,15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354 520,05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354 520,05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336 746,65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336 746,65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338 996,90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338 996,90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442 706,45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442 706,45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414 343,95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414 343,95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344 352,45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344 352,45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433 612,75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433 612,75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1 204 280,15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1 204 280,15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1 107 253,60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156 663,86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1 263 917,46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1 426 449,90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1 426 449,90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1 414 611,53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1 414 611,53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1 498 047,45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1 498 047,45</w:t>
            </w:r>
          </w:p>
        </w:tc>
      </w:tr>
      <w:tr w:rsidR="004241F9" w:rsidRPr="002907DB" w:rsidTr="000B1A99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797 833,07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797 833,07</w:t>
            </w:r>
          </w:p>
        </w:tc>
      </w:tr>
      <w:tr w:rsidR="008A41E2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395 365,60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83 189,85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2907DB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478 555,45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2009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453 137,00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38 123,75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491 260,75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213 437,45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262,70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62 560,00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276 260,15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246 720,10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5 149,45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251 869,55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273 626,86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5 364,15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278 991,01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271 440,28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59,20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271 499,48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900 663,41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87 926,95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988 590,36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1 402 986,68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1 402 986,68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1 520 519,62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73,00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1 520 592,62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  <w:r w:rsidRPr="002907DB">
              <w:rPr>
                <w:b/>
                <w:bCs/>
                <w:lang w:val="ru-RU" w:eastAsia="zh-CN"/>
              </w:rPr>
              <w:t>Всего: задолженность на 30.09.2018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17 345 790,60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42 166,80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371 268,56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62 560,00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17 821 785,96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jc w:val="center"/>
              <w:rPr>
                <w:b/>
                <w:bCs/>
                <w:lang w:val="ru-RU" w:eastAsia="zh-CN"/>
              </w:rPr>
            </w:pPr>
            <w:r w:rsidRPr="002907DB">
              <w:rPr>
                <w:b/>
                <w:bCs/>
                <w:lang w:val="ru-RU" w:eastAsia="zh-CN"/>
              </w:rPr>
              <w:t>2017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2 219 427,74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58 510,00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12 632,85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2 290 570,59</w:t>
            </w: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</w:tr>
      <w:tr w:rsidR="004241F9" w:rsidRPr="002907DB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  <w:r w:rsidRPr="002907DB">
              <w:rPr>
                <w:b/>
                <w:bCs/>
                <w:lang w:val="ru-RU" w:eastAsia="zh-CN"/>
              </w:rPr>
              <w:t xml:space="preserve">Всего </w:t>
            </w:r>
            <w:r w:rsidRPr="002907DB">
              <w:rPr>
                <w:b/>
                <w:bCs/>
                <w:lang w:val="ru-RU" w:eastAsia="zh-CN"/>
              </w:rPr>
              <w:br/>
              <w:t>на 30.09.2018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19 565 218,34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100 676,80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383 901,41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62 560,00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620E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20 112 356,55</w:t>
            </w:r>
          </w:p>
        </w:tc>
      </w:tr>
    </w:tbl>
    <w:p w:rsidR="00C8225D" w:rsidRPr="002907DB" w:rsidRDefault="00C8225D" w:rsidP="004C4D3C">
      <w:pPr>
        <w:pStyle w:val="TableText0"/>
        <w:spacing w:before="0"/>
        <w:jc w:val="center"/>
        <w:rPr>
          <w:rFonts w:asciiTheme="minorHAnsi" w:hAnsiTheme="minorHAnsi"/>
          <w:lang w:val="ru-RU"/>
        </w:rPr>
      </w:pPr>
      <w:r w:rsidRPr="002907DB">
        <w:rPr>
          <w:rFonts w:asciiTheme="minorHAnsi" w:hAnsiTheme="minorHAnsi"/>
          <w:lang w:val="ru-RU"/>
        </w:rPr>
        <w:br w:type="page"/>
      </w:r>
    </w:p>
    <w:p w:rsidR="00C8225D" w:rsidRPr="002907DB" w:rsidRDefault="00E00D29" w:rsidP="004C4D3C">
      <w:pPr>
        <w:pStyle w:val="AnnexNo"/>
        <w:rPr>
          <w:lang w:val="ru-RU"/>
        </w:rPr>
      </w:pPr>
      <w:r w:rsidRPr="002907DB">
        <w:rPr>
          <w:lang w:val="ru-RU"/>
        </w:rPr>
        <w:lastRenderedPageBreak/>
        <w:t>приложение</w:t>
      </w:r>
      <w:r w:rsidR="00C8225D" w:rsidRPr="002907DB">
        <w:rPr>
          <w:lang w:val="ru-RU"/>
        </w:rPr>
        <w:t xml:space="preserve"> c</w:t>
      </w:r>
    </w:p>
    <w:p w:rsidR="00C8225D" w:rsidRPr="002907DB" w:rsidRDefault="009C4A5F" w:rsidP="004241F9">
      <w:pPr>
        <w:pStyle w:val="Annextitle"/>
        <w:spacing w:after="0"/>
        <w:rPr>
          <w:lang w:val="ru-RU"/>
        </w:rPr>
      </w:pPr>
      <w:r w:rsidRPr="002907DB">
        <w:rPr>
          <w:lang w:val="ru-RU"/>
        </w:rPr>
        <w:t xml:space="preserve">Ситуация с задолженностями на 30 </w:t>
      </w:r>
      <w:r w:rsidR="004241F9" w:rsidRPr="002907DB">
        <w:rPr>
          <w:lang w:val="ru-RU"/>
        </w:rPr>
        <w:t>сентября</w:t>
      </w:r>
      <w:r w:rsidRPr="002907DB">
        <w:rPr>
          <w:lang w:val="ru-RU"/>
        </w:rPr>
        <w:t xml:space="preserve"> 201</w:t>
      </w:r>
      <w:r w:rsidR="00575200" w:rsidRPr="002907DB">
        <w:rPr>
          <w:lang w:val="ru-RU"/>
        </w:rPr>
        <w:t>8</w:t>
      </w:r>
      <w:r w:rsidRPr="002907DB">
        <w:rPr>
          <w:lang w:val="ru-RU"/>
        </w:rPr>
        <w:t xml:space="preserve"> года</w:t>
      </w:r>
    </w:p>
    <w:p w:rsidR="009C4A5F" w:rsidRPr="002907DB" w:rsidRDefault="00E00D29" w:rsidP="00580FC8">
      <w:pPr>
        <w:pStyle w:val="Annextitle"/>
        <w:spacing w:before="160" w:after="0"/>
        <w:rPr>
          <w:i/>
          <w:iCs/>
          <w:sz w:val="22"/>
          <w:szCs w:val="22"/>
          <w:lang w:val="ru-RU"/>
        </w:rPr>
      </w:pPr>
      <w:r w:rsidRPr="002907DB">
        <w:rPr>
          <w:i/>
          <w:iCs/>
          <w:sz w:val="22"/>
          <w:szCs w:val="22"/>
          <w:lang w:val="ru-RU"/>
        </w:rPr>
        <w:t>Причитающие суммы по взносам и публикациям</w:t>
      </w:r>
    </w:p>
    <w:p w:rsidR="00E00D29" w:rsidRPr="002907DB" w:rsidRDefault="009C4A5F" w:rsidP="004C4D3C">
      <w:pPr>
        <w:spacing w:after="240"/>
        <w:jc w:val="center"/>
        <w:rPr>
          <w:b/>
          <w:i/>
          <w:lang w:val="ru-RU"/>
        </w:rPr>
      </w:pPr>
      <w:r w:rsidRPr="002907DB">
        <w:rPr>
          <w:b/>
          <w:i/>
          <w:lang w:val="ru-RU"/>
        </w:rPr>
        <w:t>(</w:t>
      </w:r>
      <w:r w:rsidR="00E00D29" w:rsidRPr="002907DB">
        <w:rPr>
          <w:b/>
          <w:i/>
          <w:lang w:val="ru-RU"/>
        </w:rPr>
        <w:t xml:space="preserve">в швейцарских </w:t>
      </w:r>
      <w:r w:rsidRPr="002907DB">
        <w:rPr>
          <w:b/>
          <w:i/>
          <w:lang w:val="ru-RU"/>
        </w:rPr>
        <w:t>франках)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6"/>
        <w:gridCol w:w="1316"/>
        <w:gridCol w:w="1385"/>
        <w:gridCol w:w="1358"/>
        <w:gridCol w:w="1400"/>
      </w:tblGrid>
      <w:tr w:rsidR="003C49D2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0A35E6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A</w:t>
            </w:r>
            <w:r w:rsidRPr="002907DB">
              <w:rPr>
                <w:b/>
                <w:bCs/>
                <w:sz w:val="20"/>
                <w:lang w:val="ru-RU" w:eastAsia="zh-CN"/>
              </w:rPr>
              <w:tab/>
            </w:r>
            <w:r w:rsidR="00E00D29" w:rsidRPr="002907DB">
              <w:rPr>
                <w:b/>
                <w:bCs/>
                <w:sz w:val="20"/>
                <w:lang w:val="ru-RU" w:eastAsia="zh-CN"/>
              </w:rPr>
              <w:t>Государства – Члены Союза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0A35E6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5E6" w:rsidRPr="002907DB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2907DB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2907DB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2907DB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2907DB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</w:tr>
      <w:tr w:rsidR="00313513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 xml:space="preserve">Антигуа и Барбуда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1987–2016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1 773 686,15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36 622,45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1 810 308,60</w:t>
            </w:r>
          </w:p>
        </w:tc>
      </w:tr>
      <w:tr w:rsidR="00313513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Бразилия</w:t>
            </w:r>
            <w:r w:rsidR="00D60A78" w:rsidRPr="002907DB">
              <w:rPr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9 539,32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2907DB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9 539,32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Камерун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20 019,35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20 019,35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Доминика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2001–2016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413 617,55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413 617,55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Габон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181 071,30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181 071,30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Гамбия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44 841,35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44 841,35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 xml:space="preserve">Гвинея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92 004,75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90,20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92 094,95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C05914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Лаосская Н.</w:t>
            </w:r>
            <w:r w:rsidR="004241F9" w:rsidRPr="002907DB">
              <w:rPr>
                <w:sz w:val="20"/>
                <w:lang w:val="ru-RU" w:eastAsia="zh-CN"/>
              </w:rPr>
              <w:t>Д.Р.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8 090,40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8 090,40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Ливия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1 112 609,00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1 112 609,00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Науру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1991–2016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1 465 741,70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1 465 741,70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 xml:space="preserve">Непал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6 713,65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6 755,65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 xml:space="preserve">Никарагуа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180 106,10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180 106,10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Перу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7 128,50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7 128,50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 xml:space="preserve">Южный Судан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22 632,35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22 632,35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812 211,75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812 211,75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Вануату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10 340,29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10 340,29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Венесуэла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731 081,08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731 081,08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6 891 434,59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36 754,65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6 928 189,24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B</w:t>
            </w:r>
            <w:r w:rsidRPr="002907DB">
              <w:rPr>
                <w:b/>
                <w:bCs/>
                <w:sz w:val="20"/>
                <w:lang w:val="ru-RU" w:eastAsia="zh-CN"/>
              </w:rPr>
              <w:tab/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Centre de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dévelop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des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tech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avancées,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2 316,90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2 316,90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Institut National de la Poste et des Technologies de l'Information et de la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Comm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3 074,25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3 074,25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Orascom Telecom Algérie, 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6 201,10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6 201,10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Wataniya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Telecom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Algérie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Spa,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2005–2007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7 512,10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7 512,10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Аргентина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E663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es-ES" w:eastAsia="zh-CN"/>
              </w:rPr>
            </w:pPr>
            <w:r w:rsidRPr="00913013">
              <w:rPr>
                <w:rFonts w:asciiTheme="minorHAnsi" w:hAnsiTheme="minorHAnsi"/>
                <w:sz w:val="20"/>
                <w:lang w:val="es-ES" w:eastAsia="zh-CN"/>
              </w:rPr>
              <w:t xml:space="preserve">− Cooperativa Telefónica (COTELCAM),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Буэнос</w:t>
            </w:r>
            <w:r w:rsidRPr="00913013">
              <w:rPr>
                <w:rFonts w:asciiTheme="minorHAnsi" w:hAnsiTheme="minorHAnsi"/>
                <w:sz w:val="20"/>
                <w:lang w:val="es-ES" w:eastAsia="zh-CN"/>
              </w:rPr>
              <w:noBreakHyphen/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Айрес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33 981,90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33 981,90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IMPSAT Corp. S.A.,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Буэнос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Айрес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1999–2006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54 284,00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54 284,00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Австралия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NewSat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Limited Pty.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Сидней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5 300,10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5 300,10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Азербайджан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AZ-EVRO TEL, Баку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11 037,90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11 037,90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Azerbaijan Technical University, Баку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2 209,60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2 209,60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Бахрейн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Gateway Gulf LLC, Манама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6 201,10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6 201,10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Беларусь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Belarsat LLC, Минск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2009–2010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19 615,05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19 615,05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Бельгия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AnSem, Хеверлее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16 536,20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16 536,20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1416E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lastRenderedPageBreak/>
              <w:t>Ботсвана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Mascom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Wireless Botswana (Pty),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Габороне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5 242,30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5 242,30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Канада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Avvasi Inc., Ватерлоо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12 356,80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12 356,80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The Institute of Mobile Technologies,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Торонто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5 978,80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5 978,80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Китай (Народная Республика)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PCCW Limited, Гонконг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956 595,25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956 595,25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Кот-д'Ивуар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Associat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des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Consommat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de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Télécomm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Абиджан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7 744,60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7 744,60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Côte d'Ivoire Telecom, Абиджан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735 397,35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735 397,35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Экваториальная Гвинея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GETESA, Малабо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2 480,40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2 480,40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Египет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Barkotel Communications,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41 891,20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41 891,20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LINKdoNET,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6 695,05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6 695,05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Telecom Consultants,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43 751,65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43 751,65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Trade Fairs International,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2000–2006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57 597,80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57 597,80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Фиджи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South Pacific Commission, Сува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5 239,00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5 239,00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Финляндия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Octagon Telecom Oy (Ex. Oy Cubio Communications Ltd.), Хельсинки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14 406,65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14 406,65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LegalBox, Париж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Viable France, Париж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13 095,30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13 095,30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Гана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Regional Maritime University, Аккра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2 094,96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2 094,96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Гвинея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− SOTELGUI, Конакри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6 524,58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6 524,58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Гаити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Haiti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Télécommunicat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Int. S.A.,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Петьонвиль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55 740,10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55 740,10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Гондурас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UNITEC, Тегусигальпа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2 759,45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2 759,45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Centre for Internet and Society,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Бангалор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4 657,30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4 657,30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Luna Ergonomics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Pvt.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Нойда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5 850,10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5 850,10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Mahanagar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Telephone Nigam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noBreakHyphen/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49 670,35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49 670,35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Raitel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Corporation of India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Reliance Infocom Ltd., Нави-Мумбаи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111 743,15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111 743,15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Shyam Telecom Limited, Гургаон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5 537,15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5 537,15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Sinhgad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Tech. Education Society,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Пуне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3 934,20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3 934,20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Tata Communications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Pr="00913013">
              <w:rPr>
                <w:rFonts w:asciiTheme="minorHAnsi" w:hAnsiTheme="minorHAnsi"/>
                <w:sz w:val="20"/>
                <w:lang w:val="fr-CH"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Telecommunications Consultants, Нью-Дели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2006–2007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121 714,05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121 714,05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TranSwitch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India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Pvt.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14 717,15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14 717,15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Vihaan Networks Ltd., Гургаон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46 858,80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46 858,80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Индонезия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PT Bakrie Telecom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Tbk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Джакарта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1997–2002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60 836,10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60 836,10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Израиль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Gilat Satellite Networks Ltd., Петах-Тиква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1997–2002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101 130,05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101 130,05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TangoTec, Хайфа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11 880,85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11 880,85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Telrad Networks Ltd., ЛОД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1998–2006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88 316,00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88 316,00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Италия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Aethra S.p.A.,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Паломбина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35 276,45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35 276,45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Selex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 Communications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S.p.A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Генуя</w:t>
            </w: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2001–2007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515 526,40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515 526,40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1416E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lastRenderedPageBreak/>
              <w:t>Иордания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1416E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Jordan Mobile Telecomm., 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1416E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Middle East Communications (MEC),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6 604,25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6 604,25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Talal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Abu-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Ghazaleh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&amp; Co.,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2006–2007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15 214,35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15 214,35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Казахстан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Казахская академия транспорта и коммуникаций, Алматы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7 168,40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7 168,40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Кения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−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Intersat Africa Limited, Найроби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5 724,90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5 724,90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Telcom Kenya Limited, Найроби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2005–2007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314 529,60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314 529,60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Корея (Республика)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Ericsson-LG, Анян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13 186,55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13 186,55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Кувейт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The Arabian Business Franchise,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Хавалли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2006–2007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15 214,35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15 214,35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Кыргызстан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Kyrgyztelecom OJSC, Бишкек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Ливан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>− Al-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Iktissad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Wal-Aamal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Group,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4 633,80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4 633,80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Arabcom Hitek, 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2001–2006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54 099,50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54 099,50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ExiCon International Group, 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5 885,65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5 885,65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IDMI Sal offshore, 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5 850,10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5 850,10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MNT/Investcom LLC, 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6 967,55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6 967,55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Либерия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West Africa Telecomm. Inc.,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Монровия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7 385,60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7 385,60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Ливия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Libyana Mobile Phone Company, Триполи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131 734,30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131 734,30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Мавритания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Agence de Promotion de l'Accès Universel aux Services (APAUS),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5 518,95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5 518,95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Chinguitel SA, 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4 681,50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4 681,50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42" w:right="-57" w:hanging="142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Société mauritanienne des télécommunications (MAURITEL S.A.),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62 707,70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62 707,70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Мексика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CANITEC, Мехико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5 385,40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5 385,40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Нидерланды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Smitcoms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N.V.,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Синт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Маартен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514 292,65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514 292,65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Пакистан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CMPak Limited, 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2 316,90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2 316,90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 Worlwide Group, 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5 286,05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5 286,05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Pakistan Institute of Human Rights,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6 740,70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6 740,70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Paktel Limited, 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7 385,60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7 385,60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Sysnet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Pakistan (Pvt)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Карачи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29 174,30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29 174,30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Филиппины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PhilCom, Макати-Сити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6 697,05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6 697,05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Румыния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Polytechnic School Bucharest, Бухарест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2009–2010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6 294,40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6 294,40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IRPO ACISO, 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4 679,55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4 679,55</w:t>
            </w:r>
          </w:p>
        </w:tc>
      </w:tr>
      <w:tr w:rsidR="004241F9" w:rsidRPr="002907DB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Mobix Chip LLC, 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13 162,70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13 162,70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42" w:right="-57" w:hanging="142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Национальное телемедицинское агентство, 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4 139,20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4 139,20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Саудовская Аравия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Bayanat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Aloula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for Network Services,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Рияд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2005–2008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7 220,65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7 220,65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Electronia, Ltd., Эль-Хубар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6 221,80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6 221,80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Saudi Telecom, Рияд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5 128,20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5 128,20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Tuwaiq Communications Company, Рияд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70 175,50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70 175,50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lastRenderedPageBreak/>
              <w:t>Сомали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Telcom Somalia, Могадишу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2005–2007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15 837,10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15 837,10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Южно-Африканская Республика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Cell C (Pty)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Бенмор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491 642,40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491 642,40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Vodacom SA (Pty)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Мидранд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3 716,60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3 716,60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Шри-Ланка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Sri Lanka Telecom Ltd.,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Коломбо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6 954,45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6 954,45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Судан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Canartel, 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46 858,80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46 858,80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Garden City College for Science &amp; Technology,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Open University of Sudan,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Pulse Company Ltd., 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University of Khartoum, 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3 179,60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Швеция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GlobeTouch AB, Стокгольм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UpZide Labs AB, Лулео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17 528,35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17 528,35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Швейцария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ACN Advanced Comm. Networks SA,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Невшатель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Сирийская Арабская Республика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Arab Regional Isps Association (ARISPA), Манама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6 573,15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6 573,15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Тоголезская Республика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Centre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Rég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de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Maintenan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. des Télécom (CMTL),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Ломе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223 191,90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223 191,90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>Ecole</w:t>
            </w:r>
            <w:proofErr w:type="spellEnd"/>
            <w:r w:rsidRPr="00913013">
              <w:rPr>
                <w:rFonts w:asciiTheme="minorHAnsi" w:hAnsiTheme="minorHAnsi"/>
                <w:sz w:val="20"/>
                <w:lang w:val="fr-CH" w:eastAsia="zh-CN"/>
              </w:rPr>
              <w:t xml:space="preserve"> Nationale d'Ingénieurs de Tunis,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10 529,69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10 529,69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Orascom Telecom Tunisie, 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5 206,55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University of Sfax, Сфакс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2011–2012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3 509,83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3 509,83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Украина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Ukrainian National Information Systems, Киев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2014–2015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19 137,74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19 137,74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Объединенные Арабские Эмираты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American University in Dubai,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Дубай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2 455,90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2 455,90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Teralight FZ LLC, Дубай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4 371,50</w:t>
            </w:r>
          </w:p>
        </w:tc>
      </w:tr>
      <w:tr w:rsidR="004241F9" w:rsidRPr="001C4479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Соединенное Королевство Великобритании и Северной Ирландии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KRE Corporate Recovery LLP (Ex.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ICO Satellite Limited), Беркшир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2012–2013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26 815,50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26 815,50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Malden Electronics, Юэлл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11 657,35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Times Publications Ltd., Лондон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1998–2002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78 148,15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78 148,15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Actiontec Electronics, Inc., Саннивейл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18 580,05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18 580,05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Animatele Inc., 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15 600,20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15 600,20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AOL, 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189 939,10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189 939,10</w:t>
            </w:r>
          </w:p>
        </w:tc>
      </w:tr>
      <w:tr w:rsidR="004241F9" w:rsidRPr="002907DB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Calient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Networks Inc.,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Сан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271 854,55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271 854,55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Compuware Corporation, Детройт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2009–2010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12 581,25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12 581,25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 xml:space="preserve">− ConceroConnect, L3C, Парк-Сити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9 267,65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9 267,65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Conversay, Редмонд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74 877,60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74 877,60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Covad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Communications Company,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Сан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2001–2002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118 950,75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118 950,75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Cypress Semiconductor Corp.,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Сан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35 648,75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35 648,75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Dynasat Inc., Остин, Техас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8 743,05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8 743,05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E-MAC Corporation, Арлингтон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2005–2007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45 280,95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45 280,95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EnVerv Inc., Милпитас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12 356,80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12 356,80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ESS Technology Inc., Фремонт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69 671,05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69 671,05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Extreme Networks, Санта-Клара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3 679,15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3 679,15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Ezenia Inc., Салем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2000–2006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350 451,50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350 451,50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lastRenderedPageBreak/>
              <w:t>− Graphnet Inc., 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1987–2002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1 378 163,10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1 378 163,10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Ikanos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Communications,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Ред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Бэнк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noBreakHyphen/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Джерси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34 972,05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34 972,05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ITXC Corporation, Принстон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64 286,70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64 286,70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Lighsand Communications Inc., Плано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2001–2002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18 522,75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18 522,75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Lightwaves Inc., Остин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17 528,35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17 528,35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Nextwave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Wireless Inc.,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Сан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Диего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29 565,90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29 565,90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Nortel Networks USA, Ричардсон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29 812,50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29 812,50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>− Overture Networks Inc. (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ранее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Ceterus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&amp; Hatteras Networks 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Моррисвиль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35 454,20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35 454,20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Range Networks, Inc.,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Санта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Клара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13 144,60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13 144,60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Razoom Inc., Пало-Алто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16 536,20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16 536,20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Teraburst Networks Inc., Саннивейл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108 671,25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108 671,25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>− The Gores Technology Group LLC (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ранее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Forgent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 Networks Inc.),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Лос</w:t>
            </w:r>
            <w:r w:rsidRPr="00913013">
              <w:rPr>
                <w:rFonts w:asciiTheme="minorHAnsi" w:hAnsiTheme="minorHAnsi"/>
                <w:sz w:val="20"/>
                <w:lang w:eastAsia="zh-CN"/>
              </w:rPr>
              <w:t>-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Анджелес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1998–2006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403 947,25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403 947,25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The Village Group Inc.,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Уолтам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13 972,10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13 972,10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UTStarcom, Inc., Фремонт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55 837,15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55 837,15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Visible Energy Inc., Пало-Алто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15 157,65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15 157,65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Vocal Technologies Ltd., Амхерст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1998–2002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408 896,15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408 896,15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WI-FI Alliance, Остин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41 652,20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41 652,20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Xerox Ltd., Вашингтон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2004–2007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75 784,90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75 784,90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Zhone Technologies, Оукленд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2002–2005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272 851,85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272 851,85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Узбекистан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Ташкентский университет информационных технологий, Ташкент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2 455,90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2 455,90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Замбия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Airtel Zambia, Лусака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79 824,55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79 824,55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Зимбабве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NetOne Cellular Ltd., Хараре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2003–2006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303 489,98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303 489,98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University of Zimbabwe, Хараре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2008–2009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21 166,70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21 166,70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Резолюция 99 (Пересм. Пусан, 2014 г.)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913013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− BCI </w:t>
            </w:r>
            <w:proofErr w:type="spellStart"/>
            <w:r w:rsidRPr="00913013">
              <w:rPr>
                <w:rFonts w:asciiTheme="minorHAnsi" w:hAnsiTheme="minorHAnsi"/>
                <w:sz w:val="20"/>
                <w:lang w:eastAsia="zh-CN"/>
              </w:rPr>
              <w:t>Communicat</w:t>
            </w:r>
            <w:proofErr w:type="spellEnd"/>
            <w:r w:rsidRPr="00913013">
              <w:rPr>
                <w:rFonts w:asciiTheme="minorHAnsi" w:hAnsiTheme="minorHAnsi"/>
                <w:sz w:val="20"/>
                <w:lang w:eastAsia="zh-CN"/>
              </w:rPr>
              <w:t xml:space="preserve">. &amp; Advanced Tech., 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Рамалла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2007–2008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8 747,30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8 747,30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1416E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10 413 014,33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1416E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10 413 014,33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C</w:t>
            </w: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ab/>
            </w: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Прочие должники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− Ministry of Information, Рияд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5 073,15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5 073,15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5 073,15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5 073,15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41416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D</w:t>
            </w:r>
            <w:r w:rsidRPr="002907DB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ab/>
            </w: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Прочие различные должники</w:t>
            </w: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1F9" w:rsidRPr="002907DB" w:rsidRDefault="0041416E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41 341,68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1F9" w:rsidRPr="002907DB" w:rsidRDefault="004241F9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339,00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1F9" w:rsidRPr="002907DB" w:rsidRDefault="0041416E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41 680,68</w:t>
            </w: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4241F9" w:rsidRPr="002907DB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1F9" w:rsidRPr="002907DB" w:rsidRDefault="004241F9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Всего на 30.0</w:t>
            </w:r>
            <w:r w:rsidR="0041416E"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9</w:t>
            </w:r>
            <w:r w:rsidRPr="002907DB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.2018 г.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1416E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17 345 790,60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42 166,80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1F9" w:rsidRPr="002907DB" w:rsidRDefault="0041416E" w:rsidP="00414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Fonts w:asciiTheme="minorHAnsi" w:hAnsiTheme="minorHAnsi"/>
                <w:sz w:val="20"/>
                <w:lang w:val="ru-RU" w:eastAsia="zh-CN"/>
              </w:rPr>
              <w:t>17 387 957,40</w:t>
            </w:r>
          </w:p>
        </w:tc>
      </w:tr>
      <w:tr w:rsidR="004241F9" w:rsidRPr="00423811" w:rsidTr="005571D7"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1F9" w:rsidRPr="002907DB" w:rsidRDefault="004241F9" w:rsidP="004241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2"/>
              </w:tabs>
              <w:overflowPunct/>
              <w:autoSpaceDE/>
              <w:autoSpaceDN/>
              <w:adjustRightInd/>
              <w:spacing w:before="40"/>
              <w:ind w:left="284" w:hanging="284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2907DB">
              <w:rPr>
                <w:rStyle w:val="FootnoteReference"/>
                <w:lang w:val="ru-RU"/>
              </w:rPr>
              <w:t>*</w:t>
            </w:r>
            <w:r w:rsidRPr="002907DB">
              <w:rPr>
                <w:color w:val="000000"/>
                <w:sz w:val="20"/>
                <w:lang w:val="ru-RU" w:eastAsia="zh-CN"/>
              </w:rPr>
              <w:tab/>
            </w:r>
            <w:r w:rsidRPr="002907DB">
              <w:rPr>
                <w:sz w:val="18"/>
                <w:szCs w:val="18"/>
                <w:lang w:val="ru-RU"/>
              </w:rPr>
              <w:t>Включены должники с суммами задолженности свыше 5000 швейцарских франков для Государств </w:t>
            </w:r>
            <w:r w:rsidRPr="002907DB">
              <w:rPr>
                <w:sz w:val="18"/>
                <w:szCs w:val="18"/>
                <w:lang w:val="ru-RU"/>
              </w:rPr>
              <w:sym w:font="Symbol" w:char="F02D"/>
            </w:r>
            <w:r w:rsidRPr="002907DB">
              <w:rPr>
                <w:sz w:val="18"/>
                <w:szCs w:val="18"/>
                <w:lang w:val="ru-RU"/>
              </w:rPr>
              <w:t> Членов Союза и свыше 2000 швейцарских франков для Членов Секторов, других объединений или организаций и прочих должников.</w:t>
            </w:r>
          </w:p>
        </w:tc>
      </w:tr>
    </w:tbl>
    <w:p w:rsidR="00C8225D" w:rsidRPr="002907DB" w:rsidRDefault="00C8225D" w:rsidP="004C4D3C">
      <w:pPr>
        <w:spacing w:before="0"/>
        <w:rPr>
          <w:rFonts w:asciiTheme="minorHAnsi" w:hAnsiTheme="minorHAnsi"/>
          <w:sz w:val="6"/>
          <w:szCs w:val="6"/>
          <w:lang w:val="ru-RU"/>
        </w:rPr>
      </w:pPr>
      <w:r w:rsidRPr="002907DB">
        <w:rPr>
          <w:rFonts w:asciiTheme="minorHAnsi" w:hAnsiTheme="minorHAnsi"/>
          <w:sz w:val="6"/>
          <w:szCs w:val="6"/>
          <w:lang w:val="ru-RU"/>
        </w:rPr>
        <w:br w:type="page"/>
      </w:r>
    </w:p>
    <w:p w:rsidR="00C8225D" w:rsidRPr="002907DB" w:rsidRDefault="00FB7FCB" w:rsidP="004C4D3C">
      <w:pPr>
        <w:pStyle w:val="AnnexNo"/>
        <w:rPr>
          <w:lang w:val="ru-RU"/>
        </w:rPr>
      </w:pPr>
      <w:r w:rsidRPr="002907DB">
        <w:rPr>
          <w:lang w:val="ru-RU"/>
        </w:rPr>
        <w:lastRenderedPageBreak/>
        <w:t xml:space="preserve">ПРИЛОЖЕНИЕ </w:t>
      </w:r>
      <w:r w:rsidR="00C8225D" w:rsidRPr="002907DB">
        <w:rPr>
          <w:lang w:val="ru-RU"/>
        </w:rPr>
        <w:t>D</w:t>
      </w:r>
    </w:p>
    <w:p w:rsidR="00C8225D" w:rsidRPr="002907DB" w:rsidRDefault="00C8225D" w:rsidP="004C4D3C">
      <w:pPr>
        <w:rPr>
          <w:lang w:val="ru-RU"/>
        </w:rPr>
      </w:pP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417"/>
        <w:gridCol w:w="1721"/>
      </w:tblGrid>
      <w:tr w:rsidR="00C8225D" w:rsidRPr="001C4479" w:rsidTr="004E3F65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25D" w:rsidRPr="002907DB" w:rsidRDefault="00FB7FCB" w:rsidP="004C4D3C">
            <w:pPr>
              <w:pStyle w:val="Tablehead"/>
              <w:rPr>
                <w:szCs w:val="24"/>
                <w:lang w:val="ru-RU" w:eastAsia="zh-CN"/>
              </w:rPr>
            </w:pPr>
            <w:r w:rsidRPr="002907DB">
              <w:rPr>
                <w:lang w:val="ru-RU"/>
              </w:rPr>
              <w:t xml:space="preserve">ПРИЧИТАЮЩИЕСЯ СУММЫ, ОТНОСЯЩИЕСЯ К </w:t>
            </w:r>
            <w:r w:rsidR="008A0989" w:rsidRPr="002907DB">
              <w:rPr>
                <w:lang w:val="ru-RU"/>
              </w:rPr>
              <w:t>СЧЕТАМ</w:t>
            </w:r>
            <w:r w:rsidRPr="002907DB">
              <w:rPr>
                <w:lang w:val="ru-RU"/>
              </w:rPr>
              <w:t xml:space="preserve">-ФАКТУРАМ </w:t>
            </w:r>
            <w:r w:rsidR="007709D4" w:rsidRPr="002907DB">
              <w:rPr>
                <w:lang w:val="ru-RU"/>
              </w:rPr>
              <w:br/>
            </w:r>
            <w:r w:rsidRPr="002907DB">
              <w:rPr>
                <w:lang w:val="ru-RU"/>
              </w:rPr>
              <w:t>ЗА ОБРАБОТКУ ЗАЯВОК НА РЕГИСТРАЦИЮ СПУТНИКОВЫХ СЕТЕЙ</w:t>
            </w:r>
          </w:p>
        </w:tc>
      </w:tr>
      <w:tr w:rsidR="00C8225D" w:rsidRPr="002907DB" w:rsidTr="00B618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2907DB">
              <w:rPr>
                <w:bCs/>
                <w:lang w:val="ru-RU"/>
              </w:rPr>
              <w:t>Заявляющая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2907DB">
              <w:rPr>
                <w:bCs/>
                <w:lang w:val="ru-RU"/>
              </w:rPr>
              <w:t>Эксплуатационный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2907DB">
              <w:rPr>
                <w:bCs/>
                <w:lang w:val="ru-RU" w:eastAsia="zh-CN"/>
              </w:rPr>
              <w:t>Год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2907DB">
              <w:rPr>
                <w:bCs/>
                <w:lang w:val="ru-RU" w:eastAsia="zh-CN"/>
              </w:rPr>
              <w:t>Причитающаяся сумма, шв. фр.</w:t>
            </w:r>
          </w:p>
        </w:tc>
      </w:tr>
      <w:tr w:rsidR="000755E5" w:rsidRPr="002907DB" w:rsidTr="00B618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Иран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Министерство информационно-коммуникационных технологий</w:t>
            </w:r>
            <w:r w:rsidR="000755E5" w:rsidRPr="002907DB">
              <w:rPr>
                <w:sz w:val="20"/>
                <w:lang w:val="ru-RU" w:eastAsia="zh-CN"/>
              </w:rPr>
              <w:t xml:space="preserve"> (MICT), </w:t>
            </w:r>
            <w:r w:rsidRPr="002907DB">
              <w:rPr>
                <w:sz w:val="20"/>
                <w:lang w:val="ru-RU" w:eastAsia="zh-CN"/>
              </w:rPr>
              <w:t>Тегеран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3</w:t>
            </w:r>
            <w:r w:rsidR="0002145A" w:rsidRPr="002907DB">
              <w:rPr>
                <w:sz w:val="20"/>
                <w:lang w:val="ru-RU" w:eastAsia="zh-CN"/>
              </w:rPr>
              <w:t xml:space="preserve"> </w:t>
            </w:r>
            <w:r w:rsidRPr="002907DB">
              <w:rPr>
                <w:sz w:val="20"/>
                <w:lang w:val="ru-RU" w:eastAsia="zh-CN"/>
              </w:rPr>
              <w:t>315</w:t>
            </w:r>
            <w:r w:rsidR="0002145A" w:rsidRPr="002907DB">
              <w:rPr>
                <w:sz w:val="20"/>
                <w:lang w:val="ru-RU" w:eastAsia="zh-CN"/>
              </w:rPr>
              <w:t>,</w:t>
            </w:r>
            <w:r w:rsidRPr="002907DB">
              <w:rPr>
                <w:sz w:val="20"/>
                <w:lang w:val="ru-RU" w:eastAsia="zh-CN"/>
              </w:rPr>
              <w:t>15</w:t>
            </w:r>
          </w:p>
        </w:tc>
      </w:tr>
      <w:tr w:rsidR="000755E5" w:rsidRPr="002907DB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Нигерия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Федеральное министерство коммуникационных технологий</w:t>
            </w:r>
            <w:r w:rsidR="000755E5" w:rsidRPr="002907DB">
              <w:rPr>
                <w:sz w:val="20"/>
                <w:lang w:val="ru-RU" w:eastAsia="zh-CN"/>
              </w:rPr>
              <w:t xml:space="preserve">, </w:t>
            </w:r>
            <w:r w:rsidRPr="002907DB">
              <w:rPr>
                <w:sz w:val="20"/>
                <w:lang w:val="ru-RU" w:eastAsia="zh-CN"/>
              </w:rPr>
              <w:t>Абуджа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</w:t>
            </w:r>
            <w:r w:rsidR="0002145A" w:rsidRPr="002907DB">
              <w:rPr>
                <w:sz w:val="20"/>
                <w:lang w:val="ru-RU" w:eastAsia="zh-CN"/>
              </w:rPr>
              <w:t xml:space="preserve"> </w:t>
            </w:r>
            <w:r w:rsidRPr="002907DB">
              <w:rPr>
                <w:sz w:val="20"/>
                <w:lang w:val="ru-RU" w:eastAsia="zh-CN"/>
              </w:rPr>
              <w:t>049</w:t>
            </w:r>
            <w:r w:rsidR="0002145A" w:rsidRPr="002907DB">
              <w:rPr>
                <w:sz w:val="20"/>
                <w:lang w:val="ru-RU" w:eastAsia="zh-CN"/>
              </w:rPr>
              <w:t>,</w:t>
            </w:r>
            <w:r w:rsidRPr="002907DB">
              <w:rPr>
                <w:sz w:val="20"/>
                <w:lang w:val="ru-RU" w:eastAsia="zh-CN"/>
              </w:rPr>
              <w:t>00</w:t>
            </w:r>
          </w:p>
        </w:tc>
      </w:tr>
      <w:tr w:rsidR="000755E5" w:rsidRPr="002907DB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ЗАО "Еа С</w:t>
            </w:r>
            <w:r w:rsidR="005471F1" w:rsidRPr="002907DB">
              <w:rPr>
                <w:sz w:val="20"/>
                <w:lang w:val="ru-RU" w:eastAsia="zh-CN"/>
              </w:rPr>
              <w:t>ат</w:t>
            </w:r>
            <w:r w:rsidRPr="002907DB">
              <w:rPr>
                <w:sz w:val="20"/>
                <w:lang w:val="ru-RU" w:eastAsia="zh-CN"/>
              </w:rPr>
              <w:t>", Москва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87</w:t>
            </w:r>
            <w:r w:rsidR="0002145A" w:rsidRPr="002907DB">
              <w:rPr>
                <w:sz w:val="20"/>
                <w:lang w:val="ru-RU" w:eastAsia="zh-CN"/>
              </w:rPr>
              <w:t xml:space="preserve"> </w:t>
            </w:r>
            <w:r w:rsidRPr="002907DB">
              <w:rPr>
                <w:sz w:val="20"/>
                <w:lang w:val="ru-RU" w:eastAsia="zh-CN"/>
              </w:rPr>
              <w:t>926</w:t>
            </w:r>
            <w:r w:rsidR="0002145A" w:rsidRPr="002907DB">
              <w:rPr>
                <w:sz w:val="20"/>
                <w:lang w:val="ru-RU" w:eastAsia="zh-CN"/>
              </w:rPr>
              <w:t>,</w:t>
            </w:r>
            <w:r w:rsidRPr="002907DB">
              <w:rPr>
                <w:sz w:val="20"/>
                <w:lang w:val="ru-RU" w:eastAsia="zh-CN"/>
              </w:rPr>
              <w:t>95</w:t>
            </w:r>
          </w:p>
        </w:tc>
      </w:tr>
      <w:tr w:rsidR="00EA5022" w:rsidRPr="002907DB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5022" w:rsidRPr="002907DB" w:rsidRDefault="00EA5022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5022" w:rsidRPr="002907DB" w:rsidRDefault="00EA5022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Глобальные информационные системы ГИС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5022" w:rsidRPr="002907DB" w:rsidRDefault="00EA5022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2003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5022" w:rsidRPr="002907DB" w:rsidRDefault="00EA5022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156 663,86</w:t>
            </w:r>
          </w:p>
        </w:tc>
      </w:tr>
      <w:tr w:rsidR="000755E5" w:rsidRPr="002907DB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2907DB">
              <w:rPr>
                <w:b/>
                <w:bCs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Leading Technologies, LLC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2008</w:t>
            </w:r>
            <w:r w:rsidR="0002145A" w:rsidRPr="002907DB">
              <w:rPr>
                <w:sz w:val="20"/>
                <w:lang w:val="ru-RU" w:eastAsia="zh-CN"/>
              </w:rPr>
              <w:t>–</w:t>
            </w:r>
            <w:r w:rsidRPr="002907DB">
              <w:rPr>
                <w:sz w:val="20"/>
                <w:lang w:val="ru-RU" w:eastAsia="zh-CN"/>
              </w:rPr>
              <w:t>2009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2907DB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2907DB">
              <w:rPr>
                <w:sz w:val="20"/>
                <w:lang w:val="ru-RU" w:eastAsia="zh-CN"/>
              </w:rPr>
              <w:t>121</w:t>
            </w:r>
            <w:r w:rsidR="0002145A" w:rsidRPr="002907DB">
              <w:rPr>
                <w:sz w:val="20"/>
                <w:lang w:val="ru-RU" w:eastAsia="zh-CN"/>
              </w:rPr>
              <w:t xml:space="preserve"> </w:t>
            </w:r>
            <w:r w:rsidRPr="002907DB">
              <w:rPr>
                <w:sz w:val="20"/>
                <w:lang w:val="ru-RU" w:eastAsia="zh-CN"/>
              </w:rPr>
              <w:t>313</w:t>
            </w:r>
            <w:r w:rsidR="0002145A" w:rsidRPr="002907DB">
              <w:rPr>
                <w:sz w:val="20"/>
                <w:lang w:val="ru-RU" w:eastAsia="zh-CN"/>
              </w:rPr>
              <w:t>,</w:t>
            </w:r>
            <w:r w:rsidRPr="002907DB">
              <w:rPr>
                <w:sz w:val="20"/>
                <w:lang w:val="ru-RU" w:eastAsia="zh-CN"/>
              </w:rPr>
              <w:t>60</w:t>
            </w:r>
          </w:p>
        </w:tc>
      </w:tr>
      <w:tr w:rsidR="00C8225D" w:rsidRPr="002907DB" w:rsidTr="00B618EA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FB7FCB" w:rsidP="007D1DD6">
            <w:pPr>
              <w:pStyle w:val="Tabletext"/>
              <w:rPr>
                <w:b/>
                <w:lang w:val="ru-RU" w:eastAsia="zh-CN"/>
              </w:rPr>
            </w:pPr>
            <w:r w:rsidRPr="002907DB">
              <w:rPr>
                <w:b/>
                <w:lang w:val="ru-RU" w:eastAsia="zh-CN"/>
              </w:rPr>
              <w:t xml:space="preserve">Всего: задолженности </w:t>
            </w:r>
            <w:r w:rsidR="007709D4" w:rsidRPr="002907DB">
              <w:rPr>
                <w:b/>
                <w:lang w:val="ru-RU" w:eastAsia="zh-CN"/>
              </w:rPr>
              <w:br/>
            </w:r>
            <w:r w:rsidRPr="002907DB">
              <w:rPr>
                <w:b/>
                <w:lang w:val="ru-RU" w:eastAsia="zh-CN"/>
              </w:rPr>
              <w:t>на</w:t>
            </w:r>
            <w:r w:rsidR="00C8225D" w:rsidRPr="002907DB">
              <w:rPr>
                <w:b/>
                <w:lang w:val="ru-RU" w:eastAsia="zh-CN"/>
              </w:rPr>
              <w:t xml:space="preserve"> 30.0</w:t>
            </w:r>
            <w:r w:rsidR="007D1DD6" w:rsidRPr="002907DB">
              <w:rPr>
                <w:b/>
                <w:lang w:val="ru-RU" w:eastAsia="zh-CN"/>
              </w:rPr>
              <w:t>9</w:t>
            </w:r>
            <w:r w:rsidR="00C8225D" w:rsidRPr="002907DB">
              <w:rPr>
                <w:b/>
                <w:lang w:val="ru-RU" w:eastAsia="zh-CN"/>
              </w:rPr>
              <w:t>.201</w:t>
            </w:r>
            <w:r w:rsidR="000755E5" w:rsidRPr="002907DB">
              <w:rPr>
                <w:b/>
                <w:lang w:val="ru-RU" w:eastAsia="zh-CN"/>
              </w:rPr>
              <w:t>8</w:t>
            </w:r>
            <w:r w:rsidR="007709D4" w:rsidRPr="002907DB">
              <w:rPr>
                <w:b/>
                <w:lang w:val="ru-RU" w:eastAsia="zh-CN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5D" w:rsidRPr="002907DB" w:rsidRDefault="00C8225D" w:rsidP="00805070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805070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7D1DD6" w:rsidP="00805070">
            <w:pPr>
              <w:pStyle w:val="Tabletext"/>
              <w:jc w:val="right"/>
              <w:rPr>
                <w:b/>
                <w:lang w:val="ru-RU" w:eastAsia="zh-CN"/>
              </w:rPr>
            </w:pPr>
            <w:r w:rsidRPr="002907DB">
              <w:rPr>
                <w:b/>
                <w:lang w:val="ru-RU" w:eastAsia="zh-CN"/>
              </w:rPr>
              <w:t>371 268,56</w:t>
            </w:r>
          </w:p>
        </w:tc>
      </w:tr>
    </w:tbl>
    <w:p w:rsidR="00C8225D" w:rsidRPr="002907DB" w:rsidRDefault="00C8225D" w:rsidP="004C4D3C">
      <w:pPr>
        <w:rPr>
          <w:lang w:val="ru-RU"/>
        </w:rPr>
      </w:pPr>
    </w:p>
    <w:p w:rsidR="00C8225D" w:rsidRPr="002907DB" w:rsidRDefault="00C8225D" w:rsidP="004C4D3C">
      <w:pPr>
        <w:rPr>
          <w:lang w:val="ru-RU"/>
        </w:rPr>
      </w:pPr>
    </w:p>
    <w:p w:rsidR="003477B1" w:rsidRPr="002907DB" w:rsidRDefault="003477B1" w:rsidP="004C4D3C">
      <w:pPr>
        <w:rPr>
          <w:lang w:val="ru-RU"/>
        </w:rPr>
      </w:pP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3117"/>
        <w:gridCol w:w="3401"/>
        <w:gridCol w:w="1414"/>
        <w:gridCol w:w="1722"/>
      </w:tblGrid>
      <w:tr w:rsidR="00C8225D" w:rsidRPr="001C4479" w:rsidTr="004E3F65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25D" w:rsidRPr="002907DB" w:rsidRDefault="009A52E9" w:rsidP="004C4D3C">
            <w:pPr>
              <w:pStyle w:val="Tablehead"/>
              <w:rPr>
                <w:szCs w:val="24"/>
                <w:lang w:val="ru-RU" w:eastAsia="zh-CN"/>
              </w:rPr>
            </w:pPr>
            <w:r w:rsidRPr="002907DB">
              <w:rPr>
                <w:lang w:val="ru-RU"/>
              </w:rPr>
              <w:t>ПРИЧИТАЮЩИЕСЯ СУММЫ, ОТНОСЯЩИЕСЯ К РАЗЛИЧНЫМ СЧЕТАМ-ФАКТУРАМ</w:t>
            </w:r>
          </w:p>
        </w:tc>
      </w:tr>
      <w:tr w:rsidR="00C8225D" w:rsidRPr="002907DB" w:rsidTr="00B618E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2907DB">
              <w:rPr>
                <w:szCs w:val="22"/>
                <w:lang w:val="ru-RU" w:eastAsia="zh-CN"/>
              </w:rPr>
              <w:t>Страна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2907DB">
              <w:rPr>
                <w:szCs w:val="22"/>
                <w:lang w:val="ru-RU" w:eastAsia="zh-CN"/>
              </w:rPr>
              <w:t>Объединение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2907DB">
              <w:rPr>
                <w:szCs w:val="22"/>
                <w:lang w:val="ru-RU" w:eastAsia="zh-CN"/>
              </w:rPr>
              <w:t>Год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2907DB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2907DB">
              <w:rPr>
                <w:szCs w:val="22"/>
                <w:lang w:val="ru-RU" w:eastAsia="zh-CN"/>
              </w:rPr>
              <w:t>Причитающаяся сумма, шв. фр</w:t>
            </w:r>
            <w:r w:rsidR="00B618EA" w:rsidRPr="002907DB">
              <w:rPr>
                <w:szCs w:val="22"/>
                <w:lang w:val="ru-RU" w:eastAsia="zh-CN"/>
              </w:rPr>
              <w:t>.</w:t>
            </w:r>
          </w:p>
        </w:tc>
      </w:tr>
      <w:tr w:rsidR="00C8225D" w:rsidRPr="002907DB" w:rsidTr="00B618E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DC3F86" w:rsidP="004C4D3C">
            <w:pPr>
              <w:pStyle w:val="Tabletext"/>
              <w:rPr>
                <w:b/>
                <w:lang w:val="ru-RU" w:eastAsia="zh-CN"/>
              </w:rPr>
            </w:pPr>
            <w:r w:rsidRPr="002907DB">
              <w:rPr>
                <w:b/>
                <w:lang w:val="ru-RU" w:eastAsia="zh-CN"/>
              </w:rPr>
              <w:t xml:space="preserve">Саудовская Аравия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4C4D3C">
            <w:pPr>
              <w:pStyle w:val="Tabletext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Saudi Telecom</w:t>
            </w:r>
            <w:r w:rsidR="0002145A" w:rsidRPr="002907DB">
              <w:rPr>
                <w:lang w:val="ru-RU" w:eastAsia="zh-CN"/>
              </w:rPr>
              <w:t>, Рияд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225D" w:rsidRPr="002907DB" w:rsidRDefault="00C8225D" w:rsidP="004C4D3C">
            <w:pPr>
              <w:pStyle w:val="Tabletext"/>
              <w:jc w:val="center"/>
              <w:rPr>
                <w:lang w:val="ru-RU" w:eastAsia="zh-CN"/>
              </w:rPr>
            </w:pPr>
            <w:r w:rsidRPr="002907DB">
              <w:rPr>
                <w:lang w:val="ru-RU" w:eastAsia="zh-CN"/>
              </w:rPr>
              <w:t>2010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4C4D3C">
            <w:pPr>
              <w:pStyle w:val="Tabletext"/>
              <w:jc w:val="right"/>
              <w:rPr>
                <w:color w:val="000000"/>
                <w:lang w:val="ru-RU" w:eastAsia="zh-CN"/>
              </w:rPr>
            </w:pPr>
            <w:r w:rsidRPr="002907DB">
              <w:rPr>
                <w:color w:val="000000"/>
                <w:lang w:val="ru-RU" w:eastAsia="zh-CN"/>
              </w:rPr>
              <w:t>62</w:t>
            </w:r>
            <w:r w:rsidR="009A52E9" w:rsidRPr="002907DB">
              <w:rPr>
                <w:color w:val="000000"/>
                <w:lang w:val="ru-RU" w:eastAsia="zh-CN"/>
              </w:rPr>
              <w:t> </w:t>
            </w:r>
            <w:r w:rsidRPr="002907DB">
              <w:rPr>
                <w:color w:val="000000"/>
                <w:lang w:val="ru-RU" w:eastAsia="zh-CN"/>
              </w:rPr>
              <w:t>560</w:t>
            </w:r>
            <w:r w:rsidR="009A52E9" w:rsidRPr="002907DB">
              <w:rPr>
                <w:color w:val="000000"/>
                <w:lang w:val="ru-RU" w:eastAsia="zh-CN"/>
              </w:rPr>
              <w:t>,</w:t>
            </w:r>
            <w:r w:rsidRPr="002907DB">
              <w:rPr>
                <w:color w:val="000000"/>
                <w:lang w:val="ru-RU" w:eastAsia="zh-CN"/>
              </w:rPr>
              <w:t>00</w:t>
            </w:r>
          </w:p>
        </w:tc>
      </w:tr>
      <w:tr w:rsidR="00C8225D" w:rsidRPr="002907DB" w:rsidTr="00B618EA"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DC3F86" w:rsidP="007D1DD6">
            <w:pPr>
              <w:pStyle w:val="Tabletext"/>
              <w:rPr>
                <w:b/>
                <w:lang w:val="ru-RU" w:eastAsia="zh-CN"/>
              </w:rPr>
            </w:pPr>
            <w:r w:rsidRPr="002907DB">
              <w:rPr>
                <w:b/>
                <w:lang w:val="ru-RU" w:eastAsia="zh-CN"/>
              </w:rPr>
              <w:t xml:space="preserve">Всего: задолженности </w:t>
            </w:r>
            <w:r w:rsidR="007709D4" w:rsidRPr="002907DB">
              <w:rPr>
                <w:b/>
                <w:lang w:val="ru-RU" w:eastAsia="zh-CN"/>
              </w:rPr>
              <w:br/>
            </w:r>
            <w:r w:rsidRPr="002907DB">
              <w:rPr>
                <w:b/>
                <w:lang w:val="ru-RU" w:eastAsia="zh-CN"/>
              </w:rPr>
              <w:t xml:space="preserve">на </w:t>
            </w:r>
            <w:r w:rsidR="00C8225D" w:rsidRPr="002907DB">
              <w:rPr>
                <w:b/>
                <w:lang w:val="ru-RU" w:eastAsia="zh-CN"/>
              </w:rPr>
              <w:t>30.0</w:t>
            </w:r>
            <w:r w:rsidR="007D1DD6" w:rsidRPr="002907DB">
              <w:rPr>
                <w:b/>
                <w:lang w:val="ru-RU" w:eastAsia="zh-CN"/>
              </w:rPr>
              <w:t>9</w:t>
            </w:r>
            <w:r w:rsidR="00C8225D" w:rsidRPr="002907DB">
              <w:rPr>
                <w:b/>
                <w:lang w:val="ru-RU" w:eastAsia="zh-CN"/>
              </w:rPr>
              <w:t>.201</w:t>
            </w:r>
            <w:r w:rsidR="0002145A" w:rsidRPr="002907DB">
              <w:rPr>
                <w:b/>
                <w:lang w:val="ru-RU" w:eastAsia="zh-CN"/>
              </w:rPr>
              <w:t>8</w:t>
            </w:r>
            <w:r w:rsidR="007709D4" w:rsidRPr="002907DB">
              <w:rPr>
                <w:b/>
                <w:lang w:val="ru-RU" w:eastAsia="zh-CN"/>
              </w:rPr>
              <w:t xml:space="preserve"> г.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5D" w:rsidRPr="002907DB" w:rsidRDefault="00C8225D" w:rsidP="004C4D3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5D" w:rsidRPr="002907DB" w:rsidRDefault="00C8225D" w:rsidP="004C4D3C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4C4D3C">
            <w:pPr>
              <w:pStyle w:val="Tabletext"/>
              <w:jc w:val="right"/>
              <w:rPr>
                <w:b/>
                <w:lang w:val="ru-RU" w:eastAsia="zh-CN"/>
              </w:rPr>
            </w:pPr>
            <w:r w:rsidRPr="002907DB">
              <w:rPr>
                <w:b/>
                <w:lang w:val="ru-RU" w:eastAsia="zh-CN"/>
              </w:rPr>
              <w:t>6</w:t>
            </w:r>
            <w:r w:rsidR="0002145A" w:rsidRPr="002907DB">
              <w:rPr>
                <w:b/>
                <w:lang w:val="ru-RU" w:eastAsia="zh-CN"/>
              </w:rPr>
              <w:t>2</w:t>
            </w:r>
            <w:r w:rsidR="009A52E9" w:rsidRPr="002907DB">
              <w:rPr>
                <w:b/>
                <w:lang w:val="ru-RU" w:eastAsia="zh-CN"/>
              </w:rPr>
              <w:t> </w:t>
            </w:r>
            <w:r w:rsidR="0002145A" w:rsidRPr="002907DB">
              <w:rPr>
                <w:b/>
                <w:lang w:val="ru-RU" w:eastAsia="zh-CN"/>
              </w:rPr>
              <w:t>5</w:t>
            </w:r>
            <w:r w:rsidRPr="002907DB">
              <w:rPr>
                <w:b/>
                <w:lang w:val="ru-RU" w:eastAsia="zh-CN"/>
              </w:rPr>
              <w:t>60</w:t>
            </w:r>
            <w:r w:rsidR="009A52E9" w:rsidRPr="002907DB">
              <w:rPr>
                <w:b/>
                <w:lang w:val="ru-RU" w:eastAsia="zh-CN"/>
              </w:rPr>
              <w:t>,</w:t>
            </w:r>
            <w:r w:rsidRPr="002907DB">
              <w:rPr>
                <w:b/>
                <w:lang w:val="ru-RU" w:eastAsia="zh-CN"/>
              </w:rPr>
              <w:t>00</w:t>
            </w:r>
          </w:p>
        </w:tc>
      </w:tr>
    </w:tbl>
    <w:p w:rsidR="00C8225D" w:rsidRPr="002907DB" w:rsidRDefault="00C8225D" w:rsidP="004C4D3C">
      <w:pPr>
        <w:rPr>
          <w:lang w:val="ru-RU"/>
        </w:rPr>
      </w:pPr>
    </w:p>
    <w:p w:rsidR="00C8225D" w:rsidRPr="002907DB" w:rsidRDefault="00C8225D" w:rsidP="004C4D3C">
      <w:pPr>
        <w:rPr>
          <w:lang w:val="ru-RU"/>
        </w:rPr>
        <w:sectPr w:rsidR="00C8225D" w:rsidRPr="002907DB" w:rsidSect="00F47F48">
          <w:headerReference w:type="default" r:id="rId14"/>
          <w:footerReference w:type="first" r:id="rId15"/>
          <w:type w:val="continuous"/>
          <w:pgSz w:w="11913" w:h="16834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C8225D" w:rsidRPr="002907DB" w:rsidRDefault="002A49C5" w:rsidP="004C4D3C">
      <w:pPr>
        <w:pStyle w:val="AnnexNo"/>
        <w:spacing w:before="0"/>
        <w:rPr>
          <w:lang w:val="ru-RU"/>
        </w:rPr>
      </w:pPr>
      <w:r w:rsidRPr="002907DB">
        <w:rPr>
          <w:lang w:val="ru-RU"/>
        </w:rPr>
        <w:lastRenderedPageBreak/>
        <w:t xml:space="preserve">ПРИЛОЖЕНИЕ </w:t>
      </w:r>
      <w:r w:rsidR="00C8225D" w:rsidRPr="002907DB">
        <w:rPr>
          <w:lang w:val="ru-RU"/>
        </w:rPr>
        <w:t>E</w:t>
      </w:r>
    </w:p>
    <w:p w:rsidR="00C8225D" w:rsidRPr="002907DB" w:rsidRDefault="00AC165F" w:rsidP="00D545FF">
      <w:pPr>
        <w:pStyle w:val="Annextitle"/>
        <w:rPr>
          <w:lang w:val="ru-RU"/>
        </w:rPr>
      </w:pPr>
      <w:r w:rsidRPr="002907DB">
        <w:rPr>
          <w:lang w:val="ru-RU"/>
        </w:rPr>
        <w:t>1</w:t>
      </w:r>
      <w:r w:rsidRPr="002907DB">
        <w:rPr>
          <w:lang w:val="ru-RU"/>
        </w:rPr>
        <w:tab/>
        <w:t>Причитающиеся суммы, относящиеся к специальным счетам задолженностей (соглашения о погашении задолженности)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4326"/>
        <w:gridCol w:w="1679"/>
        <w:gridCol w:w="1582"/>
        <w:gridCol w:w="1498"/>
        <w:gridCol w:w="1372"/>
        <w:gridCol w:w="1497"/>
        <w:gridCol w:w="1371"/>
        <w:gridCol w:w="1247"/>
      </w:tblGrid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/>
              </w:rPr>
              <w:t>Государства-Члены – 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Резолюции ПК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Сумма, переведенная на специальный счет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Остаток на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31.12.201</w:t>
            </w:r>
            <w:r w:rsidR="0002145A" w:rsidRPr="002907DB">
              <w:rPr>
                <w:sz w:val="18"/>
                <w:szCs w:val="18"/>
                <w:lang w:val="ru-RU" w:eastAsia="zh-CN"/>
              </w:rPr>
              <w:t>7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25D" w:rsidRPr="002907DB" w:rsidRDefault="003A4EC0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Движение средств</w:t>
            </w:r>
            <w:r w:rsidR="00900A27" w:rsidRPr="002907DB">
              <w:rPr>
                <w:sz w:val="18"/>
                <w:szCs w:val="18"/>
                <w:lang w:val="ru-RU" w:eastAsia="zh-CN"/>
              </w:rPr>
              <w:t>,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201</w:t>
            </w:r>
            <w:r w:rsidRPr="002907DB">
              <w:rPr>
                <w:sz w:val="18"/>
                <w:szCs w:val="18"/>
                <w:lang w:val="ru-RU" w:eastAsia="zh-CN"/>
              </w:rPr>
              <w:t>8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Проценты</w:t>
            </w:r>
            <w:r w:rsidR="003A4EC0" w:rsidRPr="002907DB">
              <w:rPr>
                <w:sz w:val="18"/>
                <w:szCs w:val="18"/>
                <w:lang w:val="ru-RU" w:eastAsia="zh-CN"/>
              </w:rPr>
              <w:t>/</w:t>
            </w:r>
            <w:r w:rsidR="003A2387" w:rsidRPr="002907DB">
              <w:rPr>
                <w:sz w:val="18"/>
                <w:szCs w:val="18"/>
                <w:lang w:val="ru-RU" w:eastAsia="zh-CN"/>
              </w:rPr>
              <w:br/>
            </w:r>
            <w:r w:rsidR="003A4EC0" w:rsidRPr="002907DB">
              <w:rPr>
                <w:sz w:val="18"/>
                <w:szCs w:val="18"/>
                <w:lang w:val="ru-RU" w:eastAsia="zh-CN"/>
              </w:rPr>
              <w:t>списание</w:t>
            </w:r>
            <w:r w:rsidRPr="002907DB">
              <w:rPr>
                <w:sz w:val="18"/>
                <w:szCs w:val="18"/>
                <w:lang w:val="ru-RU" w:eastAsia="zh-CN"/>
              </w:rPr>
              <w:t>,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201</w:t>
            </w:r>
            <w:r w:rsidR="003A4EC0" w:rsidRPr="002907DB">
              <w:rPr>
                <w:sz w:val="18"/>
                <w:szCs w:val="18"/>
                <w:lang w:val="ru-RU" w:eastAsia="zh-CN"/>
              </w:rPr>
              <w:t>8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Платежи,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</w:t>
            </w:r>
            <w:r w:rsidR="0002433A" w:rsidRPr="002907DB">
              <w:rPr>
                <w:sz w:val="18"/>
                <w:szCs w:val="18"/>
                <w:lang w:val="ru-RU" w:eastAsia="zh-CN"/>
              </w:rPr>
              <w:br/>
              <w:t>201</w:t>
            </w:r>
            <w:r w:rsidR="003A4EC0" w:rsidRPr="002907DB">
              <w:rPr>
                <w:sz w:val="18"/>
                <w:szCs w:val="18"/>
                <w:lang w:val="ru-RU" w:eastAsia="zh-CN"/>
              </w:rPr>
              <w:t>8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900A27" w:rsidP="00D545FF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Остаток на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30.0</w:t>
            </w:r>
            <w:r w:rsidR="00D545FF" w:rsidRPr="002907DB">
              <w:rPr>
                <w:sz w:val="18"/>
                <w:szCs w:val="18"/>
                <w:lang w:val="ru-RU" w:eastAsia="zh-CN"/>
              </w:rPr>
              <w:t>9</w:t>
            </w:r>
            <w:r w:rsidR="0002433A" w:rsidRPr="002907DB">
              <w:rPr>
                <w:sz w:val="18"/>
                <w:szCs w:val="18"/>
                <w:lang w:val="ru-RU" w:eastAsia="zh-CN"/>
              </w:rPr>
              <w:t>.201</w:t>
            </w:r>
            <w:r w:rsidR="003A4EC0" w:rsidRPr="002907DB">
              <w:rPr>
                <w:sz w:val="18"/>
                <w:szCs w:val="18"/>
                <w:lang w:val="ru-RU" w:eastAsia="zh-CN"/>
              </w:rPr>
              <w:t>8</w:t>
            </w:r>
            <w:r w:rsidR="0002433A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B426BF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sz w:val="18"/>
                <w:szCs w:val="18"/>
                <w:lang w:val="ru-RU" w:eastAsia="zh-CN"/>
              </w:rPr>
              <w:t>Государства-Члены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color w:val="00B050"/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Судан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38 ПК − 1989 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567 047,95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141 028,45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87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738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53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289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73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Гренада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41 − 2008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662 554,65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239 033,00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−239 033,00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</w:t>
            </w:r>
            <w:r w:rsidR="00FC67C4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Боливия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41 − 2009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6 515 226,72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3 559 066,20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−3 230 603,92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−328 462,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Бенин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41 − 2011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462 317,50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158 176,74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86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897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71 279,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38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Таджикистан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41 − 2011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745 617,40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558 581,32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−23 379,51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535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201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81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92246C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Коморские О</w:t>
            </w:r>
            <w:r w:rsidR="0092246C">
              <w:rPr>
                <w:sz w:val="18"/>
                <w:szCs w:val="18"/>
                <w:lang w:val="ru-RU" w:eastAsia="zh-CN"/>
              </w:rPr>
              <w:t>стро</w:t>
            </w:r>
            <w:r w:rsidRPr="002907DB">
              <w:rPr>
                <w:sz w:val="18"/>
                <w:szCs w:val="18"/>
                <w:lang w:val="ru-RU" w:eastAsia="zh-CN"/>
              </w:rPr>
              <w:t>ва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41 − 2012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376 005,93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233 796,27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</w:t>
            </w:r>
            <w:r w:rsidR="00FC67C4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233 796,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27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Центральноафриканская Республика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– 2014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159 474,68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126 459,76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−8 253,73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118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206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03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Экваториальная Гвинея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171 043,75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118 043,75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118 043,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75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Федерация Сент-Китс и Невис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251 777,75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198 115,25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−17 887,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180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227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75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Сомали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2 281 017,16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2 218 432,35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</w:t>
            </w:r>
            <w:r w:rsidR="00FC67C4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2 218 432,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35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Конго (Республика)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A566E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1 730 027,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1 730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027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−84 263,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</w:t>
            </w:r>
            <w:r w:rsidR="00FC67C4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645 764,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39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Гвинея-Бисау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A566E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4 430 568,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4 430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568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79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225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4 351 343,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35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Либерия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A566E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4 885 078,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4 885 078,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−116 061,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4 769 016,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24</w:t>
            </w:r>
          </w:p>
        </w:tc>
      </w:tr>
      <w:tr w:rsidR="00A34947" w:rsidRPr="002907DB" w:rsidTr="00AA566E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Сьерра-Леоне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AA566E" w:rsidP="00AA56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2 827 393,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64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2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827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393,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136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490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947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2 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690</w:t>
            </w:r>
            <w:r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902,</w:t>
            </w:r>
            <w:r w:rsidR="00A34947" w:rsidRPr="002907DB">
              <w:rPr>
                <w:rFonts w:asciiTheme="minorHAnsi" w:hAnsiTheme="minorHAnsi"/>
                <w:sz w:val="18"/>
                <w:szCs w:val="18"/>
                <w:lang w:val="ru-RU" w:eastAsia="zh-CN"/>
              </w:rPr>
              <w:t>73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B426BF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sz w:val="18"/>
                <w:szCs w:val="18"/>
                <w:lang w:val="ru-RU" w:eastAsia="zh-CN"/>
              </w:rPr>
              <w:t>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Bay Microsystems Inc.,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19 503,76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6 314,90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</w:t>
            </w:r>
            <w:r w:rsidR="0081298A" w:rsidRPr="002907DB">
              <w:rPr>
                <w:sz w:val="18"/>
                <w:szCs w:val="18"/>
                <w:lang w:val="ru-RU" w:eastAsia="zh-CN"/>
              </w:rPr>
              <w:t>6 314,90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Marcatel Com. S.A. de C.V., Мексика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4 392,35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417,35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</w:t>
            </w:r>
            <w:r w:rsidR="0081298A" w:rsidRPr="002907DB">
              <w:rPr>
                <w:sz w:val="18"/>
                <w:szCs w:val="18"/>
                <w:lang w:val="ru-RU" w:eastAsia="zh-CN"/>
              </w:rPr>
              <w:t>417,35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Systel, Египет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47 918,25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40 141,70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D545FF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A3494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−3 937,50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36</w:t>
            </w:r>
            <w:r w:rsidR="00FC67C4" w:rsidRPr="002907DB">
              <w:rPr>
                <w:sz w:val="18"/>
                <w:szCs w:val="18"/>
                <w:lang w:val="ru-RU" w:eastAsia="zh-CN"/>
              </w:rPr>
              <w:t xml:space="preserve"> </w:t>
            </w:r>
            <w:r w:rsidRPr="002907DB">
              <w:rPr>
                <w:sz w:val="18"/>
                <w:szCs w:val="18"/>
                <w:lang w:val="ru-RU" w:eastAsia="zh-CN"/>
              </w:rPr>
              <w:t>204</w:t>
            </w:r>
            <w:r w:rsidR="00FC67C4" w:rsidRPr="002907DB">
              <w:rPr>
                <w:sz w:val="18"/>
                <w:szCs w:val="18"/>
                <w:lang w:val="ru-RU" w:eastAsia="zh-CN"/>
              </w:rPr>
              <w:t>,</w:t>
            </w:r>
            <w:r w:rsidRPr="002907DB">
              <w:rPr>
                <w:sz w:val="18"/>
                <w:szCs w:val="18"/>
                <w:lang w:val="ru-RU" w:eastAsia="zh-CN"/>
              </w:rPr>
              <w:t>20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Alphion Corporation,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11 657,35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1 057,35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</w:t>
            </w:r>
            <w:r w:rsidR="0081298A" w:rsidRPr="002907DB">
              <w:rPr>
                <w:sz w:val="18"/>
                <w:szCs w:val="18"/>
                <w:lang w:val="ru-RU" w:eastAsia="zh-CN"/>
              </w:rPr>
              <w:t>1 057,35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INTTIC, Алжир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7 856,74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2 391,55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</w:t>
            </w:r>
            <w:r w:rsidR="0081298A" w:rsidRPr="002907DB">
              <w:rPr>
                <w:sz w:val="18"/>
                <w:szCs w:val="18"/>
                <w:lang w:val="ru-RU" w:eastAsia="zh-CN"/>
              </w:rPr>
              <w:t>2 391,55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2907DB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2907DB" w:rsidTr="00A34947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25D" w:rsidRPr="002907DB" w:rsidRDefault="00C8225D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2907DB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2907DB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2907DB" w:rsidTr="00FC67C4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2907DB" w:rsidRDefault="0081298A" w:rsidP="00D545FF">
            <w:pPr>
              <w:pStyle w:val="Tabletext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 xml:space="preserve">Всего на 30 </w:t>
            </w:r>
            <w:r w:rsidR="00D545FF"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>сентября</w:t>
            </w:r>
            <w:r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 xml:space="preserve"> 201</w:t>
            </w:r>
            <w:r w:rsidR="005471F1"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>8</w:t>
            </w:r>
            <w:r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FC67C4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26 </w:t>
            </w:r>
            <w:r w:rsidR="00A34947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156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="00A34947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480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="00A34947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81298A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7 601 055,94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13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873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068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3A238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−</w:t>
            </w:r>
            <w:r w:rsidR="0081298A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3 479 818,07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−972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598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2907DB" w:rsidRDefault="00A34947" w:rsidP="00FC67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ind w:left="-57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17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021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707</w:t>
            </w:r>
            <w:r w:rsidR="00FC67C4"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Pr="002907DB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98</w:t>
            </w:r>
          </w:p>
        </w:tc>
      </w:tr>
    </w:tbl>
    <w:p w:rsidR="00C8225D" w:rsidRPr="002907DB" w:rsidRDefault="0002433A" w:rsidP="004C4D3C">
      <w:pPr>
        <w:pStyle w:val="Annextitle"/>
        <w:rPr>
          <w:rFonts w:asciiTheme="minorHAnsi" w:hAnsiTheme="minorHAnsi"/>
          <w:lang w:val="ru-RU"/>
        </w:rPr>
      </w:pPr>
      <w:r w:rsidRPr="002907DB">
        <w:rPr>
          <w:lang w:val="ru-RU"/>
        </w:rPr>
        <w:lastRenderedPageBreak/>
        <w:t>2</w:t>
      </w:r>
      <w:r w:rsidRPr="002907DB">
        <w:rPr>
          <w:lang w:val="ru-RU"/>
        </w:rPr>
        <w:tab/>
        <w:t xml:space="preserve">Причитающиеся суммы, относящиеся к аннулированным специальным счетам задолженностей </w:t>
      </w:r>
      <w:r w:rsidRPr="002907DB">
        <w:rPr>
          <w:lang w:val="ru-RU"/>
        </w:rPr>
        <w:br/>
        <w:t>(соглашение о погашении задолженности аннулировано вследствие неуплаты причитающихся сумм</w:t>
      </w:r>
      <w:r w:rsidRPr="002907DB">
        <w:rPr>
          <w:rFonts w:asciiTheme="minorHAnsi" w:hAnsiTheme="minorHAnsi"/>
          <w:lang w:val="ru-RU"/>
        </w:rPr>
        <w:t>)</w:t>
      </w:r>
    </w:p>
    <w:tbl>
      <w:tblPr>
        <w:tblW w:w="14558" w:type="dxa"/>
        <w:tblLayout w:type="fixed"/>
        <w:tblLook w:val="04A0" w:firstRow="1" w:lastRow="0" w:firstColumn="1" w:lastColumn="0" w:noHBand="0" w:noVBand="1"/>
      </w:tblPr>
      <w:tblGrid>
        <w:gridCol w:w="4326"/>
        <w:gridCol w:w="1679"/>
        <w:gridCol w:w="1582"/>
        <w:gridCol w:w="1498"/>
        <w:gridCol w:w="1372"/>
        <w:gridCol w:w="1497"/>
        <w:gridCol w:w="1232"/>
        <w:gridCol w:w="1372"/>
      </w:tblGrid>
      <w:tr w:rsidR="00620E61" w:rsidRPr="001C4479" w:rsidTr="00620E61">
        <w:tc>
          <w:tcPr>
            <w:tcW w:w="13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E61" w:rsidRPr="002907DB" w:rsidRDefault="00F11DE7" w:rsidP="00620E61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lang w:val="ru-RU"/>
              </w:rPr>
              <w:t xml:space="preserve">ПРИЧИТАЮЩИЕСЯ СУММЫ, ОТНОСЯЩИЕСЯ К АННУЛИРОВАННЫМ СПЕЦИАЛЬНЫМ СЧЕТАМ ЗАДОЛЖЕННОСТЕЙ </w:t>
            </w:r>
            <w:r>
              <w:rPr>
                <w:lang w:val="ru-RU"/>
              </w:rPr>
              <w:br/>
            </w:r>
            <w:r w:rsidRPr="002907DB">
              <w:rPr>
                <w:lang w:val="ru-RU"/>
              </w:rPr>
              <w:t>(СОГЛАШЕНИЕ О ПОГАШЕНИИ ЗАДОЛЖЕННОСТИ АННУЛИРОВАНО ВСЛЕДСТВИЕ НЕУПЛАТЫ</w:t>
            </w:r>
            <w:r w:rsidRPr="002907DB">
              <w:rPr>
                <w:rFonts w:asciiTheme="minorHAnsi" w:hAnsiTheme="minorHAnsi"/>
                <w:lang w:val="ru-RU"/>
              </w:rPr>
              <w:t>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E61" w:rsidRPr="002907DB" w:rsidRDefault="00620E61" w:rsidP="00A3494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/>
              </w:rPr>
              <w:t>Государства-Члены – 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Резолюции ПК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Сумма, переведенная на специальный счет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Остаток на </w:t>
            </w:r>
            <w:r w:rsidRPr="002907DB">
              <w:rPr>
                <w:sz w:val="18"/>
                <w:szCs w:val="18"/>
                <w:lang w:val="ru-RU" w:eastAsia="zh-CN"/>
              </w:rPr>
              <w:br/>
              <w:t>31.12.201</w:t>
            </w:r>
            <w:r w:rsidR="007037CA" w:rsidRPr="002907DB">
              <w:rPr>
                <w:sz w:val="18"/>
                <w:szCs w:val="18"/>
                <w:lang w:val="ru-RU" w:eastAsia="zh-CN"/>
              </w:rPr>
              <w:t>7</w:t>
            </w:r>
            <w:r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F90" w:rsidRPr="002907DB" w:rsidRDefault="0081298A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Движение </w:t>
            </w:r>
            <w:r w:rsidR="007037CA" w:rsidRPr="002907DB">
              <w:rPr>
                <w:sz w:val="18"/>
                <w:szCs w:val="18"/>
                <w:lang w:val="ru-RU" w:eastAsia="zh-CN"/>
              </w:rPr>
              <w:t>средств</w:t>
            </w:r>
            <w:r w:rsidR="006F1F90" w:rsidRPr="002907DB">
              <w:rPr>
                <w:sz w:val="18"/>
                <w:szCs w:val="18"/>
                <w:lang w:val="ru-RU" w:eastAsia="zh-CN"/>
              </w:rPr>
              <w:t>, 201</w:t>
            </w:r>
            <w:r w:rsidR="007037CA" w:rsidRPr="002907DB">
              <w:rPr>
                <w:sz w:val="18"/>
                <w:szCs w:val="18"/>
                <w:lang w:val="ru-RU" w:eastAsia="zh-CN"/>
              </w:rPr>
              <w:t>8</w:t>
            </w:r>
            <w:r w:rsidR="006F1F90"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Проценты, </w:t>
            </w:r>
            <w:r w:rsidR="00AE458A" w:rsidRPr="002907DB">
              <w:rPr>
                <w:sz w:val="18"/>
                <w:szCs w:val="18"/>
                <w:lang w:val="ru-RU" w:eastAsia="zh-CN"/>
              </w:rPr>
              <w:br/>
            </w:r>
            <w:r w:rsidRPr="002907DB">
              <w:rPr>
                <w:sz w:val="18"/>
                <w:szCs w:val="18"/>
                <w:lang w:val="ru-RU" w:eastAsia="zh-CN"/>
              </w:rPr>
              <w:t>201</w:t>
            </w:r>
            <w:r w:rsidR="007037CA" w:rsidRPr="002907DB">
              <w:rPr>
                <w:sz w:val="18"/>
                <w:szCs w:val="18"/>
                <w:lang w:val="ru-RU" w:eastAsia="zh-CN"/>
              </w:rPr>
              <w:t>8</w:t>
            </w:r>
            <w:r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Платежи, </w:t>
            </w:r>
            <w:r w:rsidRPr="002907DB">
              <w:rPr>
                <w:sz w:val="18"/>
                <w:szCs w:val="18"/>
                <w:lang w:val="ru-RU" w:eastAsia="zh-CN"/>
              </w:rPr>
              <w:br/>
              <w:t>201</w:t>
            </w:r>
            <w:r w:rsidR="007037CA" w:rsidRPr="002907DB">
              <w:rPr>
                <w:sz w:val="18"/>
                <w:szCs w:val="18"/>
                <w:lang w:val="ru-RU" w:eastAsia="zh-CN"/>
              </w:rPr>
              <w:t>8</w:t>
            </w:r>
            <w:r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2907DB" w:rsidRDefault="006F1F90" w:rsidP="00A3494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Остаток на 30.0</w:t>
            </w:r>
            <w:r w:rsidR="00A34947" w:rsidRPr="002907DB">
              <w:rPr>
                <w:sz w:val="18"/>
                <w:szCs w:val="18"/>
                <w:lang w:val="ru-RU" w:eastAsia="zh-CN"/>
              </w:rPr>
              <w:t>9</w:t>
            </w:r>
            <w:r w:rsidRPr="002907DB">
              <w:rPr>
                <w:sz w:val="18"/>
                <w:szCs w:val="18"/>
                <w:lang w:val="ru-RU" w:eastAsia="zh-CN"/>
              </w:rPr>
              <w:t>.201</w:t>
            </w:r>
            <w:r w:rsidR="007037CA" w:rsidRPr="002907DB">
              <w:rPr>
                <w:sz w:val="18"/>
                <w:szCs w:val="18"/>
                <w:lang w:val="ru-RU" w:eastAsia="zh-CN"/>
              </w:rPr>
              <w:t>8</w:t>
            </w:r>
            <w:r w:rsidRPr="002907DB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F92E22" w:rsidP="00AE458A">
            <w:pPr>
              <w:pStyle w:val="Tabletext"/>
              <w:jc w:val="center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sz w:val="18"/>
                <w:szCs w:val="18"/>
                <w:lang w:val="ru-RU" w:eastAsia="zh-CN"/>
              </w:rPr>
              <w:t>Государства-Члены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Либерия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38 ПК − 1989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1 001 829,30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2 788 586,10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−2 </w:t>
            </w:r>
            <w:r w:rsidR="00A34947" w:rsidRPr="002907DB">
              <w:rPr>
                <w:sz w:val="18"/>
                <w:szCs w:val="18"/>
                <w:lang w:val="ru-RU" w:eastAsia="zh-CN"/>
              </w:rPr>
              <w:t>788</w:t>
            </w:r>
            <w:r w:rsidRPr="002907DB">
              <w:rPr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sz w:val="18"/>
                <w:szCs w:val="18"/>
                <w:lang w:val="ru-RU" w:eastAsia="zh-CN"/>
              </w:rPr>
              <w:t>586</w:t>
            </w:r>
            <w:r w:rsidRPr="002907DB">
              <w:rPr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Конго (Республика)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1 258 821,17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1 428 555,57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220D1E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−</w:t>
            </w:r>
            <w:r w:rsidR="00D969EA" w:rsidRPr="002907DB">
              <w:rPr>
                <w:sz w:val="18"/>
                <w:szCs w:val="18"/>
                <w:lang w:val="ru-RU" w:eastAsia="zh-CN"/>
              </w:rPr>
              <w:t>1 428 555,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Гвинея-Бисау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3 867 914,36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4 345 988,56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220D1E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−</w:t>
            </w:r>
            <w:r w:rsidR="00D969EA" w:rsidRPr="002907DB">
              <w:rPr>
                <w:sz w:val="18"/>
                <w:szCs w:val="18"/>
                <w:lang w:val="ru-RU" w:eastAsia="zh-CN"/>
              </w:rPr>
              <w:t xml:space="preserve">4 </w:t>
            </w:r>
            <w:r w:rsidR="00A34947" w:rsidRPr="002907DB">
              <w:rPr>
                <w:sz w:val="18"/>
                <w:szCs w:val="18"/>
                <w:lang w:val="ru-RU" w:eastAsia="zh-CN"/>
              </w:rPr>
              <w:t>345</w:t>
            </w:r>
            <w:r w:rsidR="00D969EA" w:rsidRPr="002907DB">
              <w:rPr>
                <w:sz w:val="18"/>
                <w:szCs w:val="18"/>
                <w:lang w:val="ru-RU" w:eastAsia="zh-CN"/>
              </w:rPr>
              <w:t xml:space="preserve"> </w:t>
            </w:r>
            <w:r w:rsidR="00A34947" w:rsidRPr="002907DB">
              <w:rPr>
                <w:sz w:val="18"/>
                <w:szCs w:val="18"/>
                <w:lang w:val="ru-RU" w:eastAsia="zh-CN"/>
              </w:rPr>
              <w:t>988</w:t>
            </w:r>
            <w:r w:rsidR="00D969EA" w:rsidRPr="002907DB">
              <w:rPr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Гамбия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192 014,03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206 553,98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206 553,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98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Никарагуа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1 462 488,98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1 642 994,28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1 642 </w:t>
            </w:r>
            <w:r w:rsidR="00A34947" w:rsidRPr="002907DB">
              <w:rPr>
                <w:sz w:val="18"/>
                <w:szCs w:val="18"/>
                <w:lang w:val="ru-RU" w:eastAsia="zh-CN"/>
              </w:rPr>
              <w:t>994</w:t>
            </w:r>
            <w:r w:rsidRPr="002907DB">
              <w:rPr>
                <w:sz w:val="18"/>
                <w:szCs w:val="18"/>
                <w:lang w:val="ru-RU" w:eastAsia="zh-CN"/>
              </w:rPr>
              <w:t>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28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Сьерра-Леоне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2 744 076,19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2 744 076,19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−2 744 076,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A34947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 xml:space="preserve">Бенин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158 176,74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</w:t>
            </w:r>
            <w:r w:rsidR="00A34947" w:rsidRPr="002907DB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465E7" w:rsidP="00AE458A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sz w:val="18"/>
                <w:szCs w:val="18"/>
                <w:lang w:val="ru-RU" w:eastAsia="zh-CN"/>
              </w:rPr>
              <w:t>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2907DB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TIT, Ливан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41 − 2008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25 000,00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42 236,90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42 236,90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9224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Cameroon Telecomm, Камерун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41 − 2014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149 588,50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159 765,85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159 765,85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Ellipsat Inc.,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27 865,90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27 865,90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27 865,90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Apprentissages sans Frontières, Швейцария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6 658,15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7 269,40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A34947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2907DB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2907DB">
              <w:rPr>
                <w:sz w:val="18"/>
                <w:szCs w:val="18"/>
                <w:lang w:val="ru-RU" w:eastAsia="zh-CN"/>
              </w:rPr>
              <w:t>7 269,40</w:t>
            </w:r>
          </w:p>
        </w:tc>
      </w:tr>
      <w:tr w:rsidR="00B618EA" w:rsidRPr="002907DB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26" w:rsidRPr="002907DB" w:rsidRDefault="00696426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2907DB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34947" w:rsidRPr="002907DB" w:rsidTr="00D969EA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2907DB">
              <w:rPr>
                <w:b/>
                <w:color w:val="000000"/>
                <w:sz w:val="18"/>
                <w:szCs w:val="18"/>
                <w:lang w:val="ru-RU" w:eastAsia="zh-CN"/>
              </w:rPr>
              <w:t>Всего на 30 июня 2018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47" w:rsidRPr="002907DB" w:rsidRDefault="00A34947" w:rsidP="00A34947">
            <w:pPr>
              <w:pStyle w:val="Tabletext"/>
              <w:rPr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10 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894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433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13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393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892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73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−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11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307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206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0,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D969EA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0,</w:t>
            </w:r>
            <w:r w:rsidR="00A34947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947" w:rsidRPr="002907DB" w:rsidRDefault="00A34947" w:rsidP="00D969E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2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086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 xml:space="preserve"> 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686</w:t>
            </w:r>
            <w:r w:rsidR="00D969EA"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,</w:t>
            </w:r>
            <w:r w:rsidRPr="002907DB">
              <w:rPr>
                <w:rFonts w:cs="Calibri"/>
                <w:b/>
                <w:bCs/>
                <w:sz w:val="18"/>
                <w:szCs w:val="18"/>
                <w:u w:val="single"/>
                <w:lang w:val="ru-RU" w:eastAsia="zh-CN"/>
              </w:rPr>
              <w:t>31</w:t>
            </w:r>
          </w:p>
        </w:tc>
      </w:tr>
    </w:tbl>
    <w:p w:rsidR="00AC165F" w:rsidRPr="002907DB" w:rsidRDefault="00AC165F" w:rsidP="004C4D3C">
      <w:pPr>
        <w:spacing w:before="720"/>
        <w:jc w:val="center"/>
        <w:rPr>
          <w:lang w:val="ru-RU"/>
        </w:rPr>
      </w:pPr>
      <w:r w:rsidRPr="002907DB">
        <w:rPr>
          <w:lang w:val="ru-RU"/>
        </w:rPr>
        <w:t>______________</w:t>
      </w:r>
    </w:p>
    <w:sectPr w:rsidR="00AC165F" w:rsidRPr="002907DB" w:rsidSect="00F47F48">
      <w:headerReference w:type="default" r:id="rId16"/>
      <w:footerReference w:type="default" r:id="rId17"/>
      <w:headerReference w:type="first" r:id="rId18"/>
      <w:footerReference w:type="first" r:id="rId19"/>
      <w:pgSz w:w="16834" w:h="11913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61" w:rsidRDefault="00620E61" w:rsidP="0079159C">
      <w:r>
        <w:separator/>
      </w:r>
    </w:p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4B3A6C"/>
    <w:p w:rsidR="00620E61" w:rsidRDefault="00620E61" w:rsidP="004B3A6C"/>
  </w:endnote>
  <w:endnote w:type="continuationSeparator" w:id="0">
    <w:p w:rsidR="00620E61" w:rsidRDefault="00620E61" w:rsidP="0079159C">
      <w:r>
        <w:continuationSeparator/>
      </w:r>
    </w:p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4B3A6C"/>
    <w:p w:rsidR="00620E61" w:rsidRDefault="00620E6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Default="00620E61" w:rsidP="00F47F4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Pr="00423811" w:rsidRDefault="00620E61" w:rsidP="00423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Pr="00423811" w:rsidRDefault="00620E61" w:rsidP="0042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61" w:rsidRDefault="00620E61" w:rsidP="0079159C">
      <w:r>
        <w:t>____________________</w:t>
      </w:r>
    </w:p>
  </w:footnote>
  <w:footnote w:type="continuationSeparator" w:id="0">
    <w:p w:rsidR="00620E61" w:rsidRDefault="00620E61" w:rsidP="0079159C">
      <w:r>
        <w:continuationSeparator/>
      </w:r>
    </w:p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79159C"/>
    <w:p w:rsidR="00620E61" w:rsidRDefault="00620E61" w:rsidP="004B3A6C"/>
    <w:p w:rsidR="00620E61" w:rsidRDefault="00620E6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Pr="00434A7C" w:rsidRDefault="00620E61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41EB">
      <w:rPr>
        <w:noProof/>
      </w:rPr>
      <w:t>2</w:t>
    </w:r>
    <w:r>
      <w:fldChar w:fldCharType="end"/>
    </w:r>
  </w:p>
  <w:p w:rsidR="00620E61" w:rsidRPr="00F47F48" w:rsidRDefault="00620E61" w:rsidP="00F84AF9">
    <w:pPr>
      <w:pStyle w:val="Header"/>
    </w:pPr>
    <w:r>
      <w:t>PP18/</w:t>
    </w:r>
    <w:r>
      <w:rPr>
        <w:lang w:val="en-US"/>
      </w:rPr>
      <w:t>45(Rev.1)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Pr="00434A7C" w:rsidRDefault="00620E61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41EB">
      <w:rPr>
        <w:noProof/>
      </w:rPr>
      <w:t>14</w:t>
    </w:r>
    <w:r>
      <w:fldChar w:fldCharType="end"/>
    </w:r>
  </w:p>
  <w:p w:rsidR="00620E61" w:rsidRPr="00F47F48" w:rsidRDefault="00620E61" w:rsidP="00F84AF9">
    <w:pPr>
      <w:pStyle w:val="Header"/>
    </w:pPr>
    <w:r>
      <w:t>PP18/</w:t>
    </w:r>
    <w:r>
      <w:rPr>
        <w:lang w:val="en-US"/>
      </w:rPr>
      <w:t>45</w:t>
    </w:r>
    <w:r>
      <w:t>(Rev.1)-R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1" w:rsidRPr="00434A7C" w:rsidRDefault="00620E61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41EB">
      <w:rPr>
        <w:noProof/>
      </w:rPr>
      <w:t>13</w:t>
    </w:r>
    <w:r>
      <w:fldChar w:fldCharType="end"/>
    </w:r>
  </w:p>
  <w:p w:rsidR="00620E61" w:rsidRPr="00F47F48" w:rsidRDefault="00620E61" w:rsidP="00F47F48">
    <w:pPr>
      <w:pStyle w:val="Header"/>
    </w:pPr>
    <w:r>
      <w:t>PP18/</w:t>
    </w:r>
    <w:r>
      <w:rPr>
        <w:lang w:val="en-US"/>
      </w:rPr>
      <w:t>45(Rev.1)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F87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C3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083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247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82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08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C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80F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11" w15:restartNumberingAfterBreak="0">
    <w:nsid w:val="13473519"/>
    <w:multiLevelType w:val="hybridMultilevel"/>
    <w:tmpl w:val="870A2C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7C7"/>
    <w:multiLevelType w:val="hybridMultilevel"/>
    <w:tmpl w:val="E3607C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29AA"/>
    <w:multiLevelType w:val="hybridMultilevel"/>
    <w:tmpl w:val="285E2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8000F"/>
    <w:multiLevelType w:val="hybridMultilevel"/>
    <w:tmpl w:val="5EB483E0"/>
    <w:lvl w:ilvl="0" w:tplc="798C5B70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415"/>
    <w:multiLevelType w:val="hybridMultilevel"/>
    <w:tmpl w:val="CEBA6D94"/>
    <w:lvl w:ilvl="0" w:tplc="2FFAE15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677AA"/>
    <w:multiLevelType w:val="hybridMultilevel"/>
    <w:tmpl w:val="7FC2CD86"/>
    <w:lvl w:ilvl="0" w:tplc="D560551C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E606C"/>
    <w:multiLevelType w:val="hybridMultilevel"/>
    <w:tmpl w:val="DA4E7C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978BA82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B15F4"/>
    <w:multiLevelType w:val="hybridMultilevel"/>
    <w:tmpl w:val="E3607C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41756"/>
    <w:multiLevelType w:val="hybridMultilevel"/>
    <w:tmpl w:val="CCE0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17FF"/>
    <w:multiLevelType w:val="hybridMultilevel"/>
    <w:tmpl w:val="BB5C5EA0"/>
    <w:lvl w:ilvl="0" w:tplc="74A090B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DA23AE6"/>
    <w:multiLevelType w:val="hybridMultilevel"/>
    <w:tmpl w:val="CCFED390"/>
    <w:lvl w:ilvl="0" w:tplc="2990F88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0107"/>
    <w:multiLevelType w:val="hybridMultilevel"/>
    <w:tmpl w:val="A33244DA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66DBA"/>
    <w:multiLevelType w:val="multilevel"/>
    <w:tmpl w:val="7BBA21B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0"/>
  </w:num>
  <w:num w:numId="21">
    <w:abstractNumId w:val="26"/>
  </w:num>
  <w:num w:numId="22">
    <w:abstractNumId w:val="19"/>
  </w:num>
  <w:num w:numId="23">
    <w:abstractNumId w:val="16"/>
  </w:num>
  <w:num w:numId="24">
    <w:abstractNumId w:val="17"/>
  </w:num>
  <w:num w:numId="25">
    <w:abstractNumId w:val="22"/>
  </w:num>
  <w:num w:numId="26">
    <w:abstractNumId w:val="18"/>
  </w:num>
  <w:num w:numId="27">
    <w:abstractNumId w:val="25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1"/>
    <w:rsid w:val="00004AD6"/>
    <w:rsid w:val="00010ED8"/>
    <w:rsid w:val="00014808"/>
    <w:rsid w:val="00016EB5"/>
    <w:rsid w:val="0002145A"/>
    <w:rsid w:val="0002174D"/>
    <w:rsid w:val="0002433A"/>
    <w:rsid w:val="0003029E"/>
    <w:rsid w:val="00044FA9"/>
    <w:rsid w:val="000626B1"/>
    <w:rsid w:val="00063CA3"/>
    <w:rsid w:val="00065F00"/>
    <w:rsid w:val="00071D10"/>
    <w:rsid w:val="000755E5"/>
    <w:rsid w:val="0008544B"/>
    <w:rsid w:val="000968F5"/>
    <w:rsid w:val="000A149A"/>
    <w:rsid w:val="000A1931"/>
    <w:rsid w:val="000A35E6"/>
    <w:rsid w:val="000A54B5"/>
    <w:rsid w:val="000A68C5"/>
    <w:rsid w:val="000B0096"/>
    <w:rsid w:val="000B062A"/>
    <w:rsid w:val="000B1A99"/>
    <w:rsid w:val="000B3566"/>
    <w:rsid w:val="000B751C"/>
    <w:rsid w:val="000C305D"/>
    <w:rsid w:val="000C4701"/>
    <w:rsid w:val="000C5120"/>
    <w:rsid w:val="000C61BB"/>
    <w:rsid w:val="000E3AAE"/>
    <w:rsid w:val="000E4C7A"/>
    <w:rsid w:val="000E63E8"/>
    <w:rsid w:val="00100DF6"/>
    <w:rsid w:val="00111E07"/>
    <w:rsid w:val="00120697"/>
    <w:rsid w:val="00131286"/>
    <w:rsid w:val="00142ED7"/>
    <w:rsid w:val="0014768F"/>
    <w:rsid w:val="00151A91"/>
    <w:rsid w:val="001636BD"/>
    <w:rsid w:val="00167668"/>
    <w:rsid w:val="00170AC3"/>
    <w:rsid w:val="00171990"/>
    <w:rsid w:val="00171E2E"/>
    <w:rsid w:val="0017442C"/>
    <w:rsid w:val="001814A9"/>
    <w:rsid w:val="00187AB3"/>
    <w:rsid w:val="001A0EEB"/>
    <w:rsid w:val="001A3937"/>
    <w:rsid w:val="001B2BFF"/>
    <w:rsid w:val="001B5341"/>
    <w:rsid w:val="001B6F99"/>
    <w:rsid w:val="001C4479"/>
    <w:rsid w:val="001D4D19"/>
    <w:rsid w:val="00200992"/>
    <w:rsid w:val="00202880"/>
    <w:rsid w:val="0020313F"/>
    <w:rsid w:val="00220D1E"/>
    <w:rsid w:val="00232D57"/>
    <w:rsid w:val="002356E7"/>
    <w:rsid w:val="0023623C"/>
    <w:rsid w:val="0024774D"/>
    <w:rsid w:val="002578B4"/>
    <w:rsid w:val="00263D9A"/>
    <w:rsid w:val="00273A0B"/>
    <w:rsid w:val="00277F85"/>
    <w:rsid w:val="002806CE"/>
    <w:rsid w:val="00281032"/>
    <w:rsid w:val="002907DB"/>
    <w:rsid w:val="002A409A"/>
    <w:rsid w:val="002A41EB"/>
    <w:rsid w:val="002A49C5"/>
    <w:rsid w:val="002A5402"/>
    <w:rsid w:val="002B033B"/>
    <w:rsid w:val="002B2265"/>
    <w:rsid w:val="002C5477"/>
    <w:rsid w:val="002C5797"/>
    <w:rsid w:val="002C78FF"/>
    <w:rsid w:val="002D0055"/>
    <w:rsid w:val="002D733E"/>
    <w:rsid w:val="002E2593"/>
    <w:rsid w:val="00300CFE"/>
    <w:rsid w:val="00313513"/>
    <w:rsid w:val="0033191A"/>
    <w:rsid w:val="0033571B"/>
    <w:rsid w:val="00340C9F"/>
    <w:rsid w:val="00342705"/>
    <w:rsid w:val="003429D1"/>
    <w:rsid w:val="00346893"/>
    <w:rsid w:val="003477B1"/>
    <w:rsid w:val="003662C3"/>
    <w:rsid w:val="00375742"/>
    <w:rsid w:val="00375AD2"/>
    <w:rsid w:val="00375BBA"/>
    <w:rsid w:val="003911C1"/>
    <w:rsid w:val="00393E66"/>
    <w:rsid w:val="00395CE4"/>
    <w:rsid w:val="003A0002"/>
    <w:rsid w:val="003A2387"/>
    <w:rsid w:val="003A4EC0"/>
    <w:rsid w:val="003B2A99"/>
    <w:rsid w:val="003B493E"/>
    <w:rsid w:val="003C49D2"/>
    <w:rsid w:val="003E7EAA"/>
    <w:rsid w:val="004014B0"/>
    <w:rsid w:val="0041416E"/>
    <w:rsid w:val="00423811"/>
    <w:rsid w:val="004241F9"/>
    <w:rsid w:val="00426AC1"/>
    <w:rsid w:val="00426D64"/>
    <w:rsid w:val="00444F18"/>
    <w:rsid w:val="004676C0"/>
    <w:rsid w:val="00471653"/>
    <w:rsid w:val="00471ABB"/>
    <w:rsid w:val="00472E3C"/>
    <w:rsid w:val="004800EF"/>
    <w:rsid w:val="00482038"/>
    <w:rsid w:val="0048452B"/>
    <w:rsid w:val="0049524D"/>
    <w:rsid w:val="004B03E9"/>
    <w:rsid w:val="004B3A6C"/>
    <w:rsid w:val="004B5498"/>
    <w:rsid w:val="004C029D"/>
    <w:rsid w:val="004C4D3C"/>
    <w:rsid w:val="004C79E4"/>
    <w:rsid w:val="004D72A3"/>
    <w:rsid w:val="004E3F65"/>
    <w:rsid w:val="0052010F"/>
    <w:rsid w:val="005356FD"/>
    <w:rsid w:val="005471F1"/>
    <w:rsid w:val="00554E24"/>
    <w:rsid w:val="005571D7"/>
    <w:rsid w:val="00563711"/>
    <w:rsid w:val="00565240"/>
    <w:rsid w:val="005653D6"/>
    <w:rsid w:val="00567130"/>
    <w:rsid w:val="00575200"/>
    <w:rsid w:val="00580FC8"/>
    <w:rsid w:val="00584918"/>
    <w:rsid w:val="0059265A"/>
    <w:rsid w:val="005A478E"/>
    <w:rsid w:val="005C3DE4"/>
    <w:rsid w:val="005C67E8"/>
    <w:rsid w:val="005C7B33"/>
    <w:rsid w:val="005D0C15"/>
    <w:rsid w:val="005E0101"/>
    <w:rsid w:val="005E0616"/>
    <w:rsid w:val="005E2255"/>
    <w:rsid w:val="005E2D6F"/>
    <w:rsid w:val="005F526C"/>
    <w:rsid w:val="00600272"/>
    <w:rsid w:val="00602773"/>
    <w:rsid w:val="0061434A"/>
    <w:rsid w:val="00617BE4"/>
    <w:rsid w:val="00620E61"/>
    <w:rsid w:val="006218EB"/>
    <w:rsid w:val="00626C3E"/>
    <w:rsid w:val="006418E6"/>
    <w:rsid w:val="0067722F"/>
    <w:rsid w:val="006958CB"/>
    <w:rsid w:val="00696426"/>
    <w:rsid w:val="00697375"/>
    <w:rsid w:val="006A4536"/>
    <w:rsid w:val="006B7F84"/>
    <w:rsid w:val="006C1A71"/>
    <w:rsid w:val="006E57C8"/>
    <w:rsid w:val="006F1F90"/>
    <w:rsid w:val="006F602F"/>
    <w:rsid w:val="00701E77"/>
    <w:rsid w:val="007037CA"/>
    <w:rsid w:val="00710760"/>
    <w:rsid w:val="0073319E"/>
    <w:rsid w:val="007340B5"/>
    <w:rsid w:val="007412A2"/>
    <w:rsid w:val="00750829"/>
    <w:rsid w:val="00750EE1"/>
    <w:rsid w:val="007511B1"/>
    <w:rsid w:val="00760830"/>
    <w:rsid w:val="007619BC"/>
    <w:rsid w:val="007709D4"/>
    <w:rsid w:val="00773033"/>
    <w:rsid w:val="00786449"/>
    <w:rsid w:val="0079159C"/>
    <w:rsid w:val="007B214C"/>
    <w:rsid w:val="007C50AF"/>
    <w:rsid w:val="007D1DD6"/>
    <w:rsid w:val="007D7FAC"/>
    <w:rsid w:val="007E4D0F"/>
    <w:rsid w:val="007F4DB5"/>
    <w:rsid w:val="008034F1"/>
    <w:rsid w:val="00805070"/>
    <w:rsid w:val="008102A6"/>
    <w:rsid w:val="0081298A"/>
    <w:rsid w:val="00814A41"/>
    <w:rsid w:val="008229FB"/>
    <w:rsid w:val="00822AB5"/>
    <w:rsid w:val="00826A7C"/>
    <w:rsid w:val="00844F4F"/>
    <w:rsid w:val="00850AEF"/>
    <w:rsid w:val="00870059"/>
    <w:rsid w:val="0087777A"/>
    <w:rsid w:val="00896C9C"/>
    <w:rsid w:val="008A0989"/>
    <w:rsid w:val="008A0B92"/>
    <w:rsid w:val="008A2FB3"/>
    <w:rsid w:val="008A41E2"/>
    <w:rsid w:val="008C03F9"/>
    <w:rsid w:val="008C35FD"/>
    <w:rsid w:val="008D2DE6"/>
    <w:rsid w:val="008D3134"/>
    <w:rsid w:val="008D3BE2"/>
    <w:rsid w:val="00900A27"/>
    <w:rsid w:val="009125CE"/>
    <w:rsid w:val="00913013"/>
    <w:rsid w:val="0092246C"/>
    <w:rsid w:val="009266DA"/>
    <w:rsid w:val="0093377B"/>
    <w:rsid w:val="00934241"/>
    <w:rsid w:val="009364DE"/>
    <w:rsid w:val="009408CF"/>
    <w:rsid w:val="00950E0F"/>
    <w:rsid w:val="00961D55"/>
    <w:rsid w:val="00962CCF"/>
    <w:rsid w:val="0097690C"/>
    <w:rsid w:val="00986948"/>
    <w:rsid w:val="00990DA2"/>
    <w:rsid w:val="00996435"/>
    <w:rsid w:val="009A47A2"/>
    <w:rsid w:val="009A52E9"/>
    <w:rsid w:val="009A66C7"/>
    <w:rsid w:val="009A6D9A"/>
    <w:rsid w:val="009B0B6E"/>
    <w:rsid w:val="009C4A5F"/>
    <w:rsid w:val="009C7EA3"/>
    <w:rsid w:val="009D63F7"/>
    <w:rsid w:val="009E328F"/>
    <w:rsid w:val="009E4F4B"/>
    <w:rsid w:val="00A0398C"/>
    <w:rsid w:val="00A072B2"/>
    <w:rsid w:val="00A07498"/>
    <w:rsid w:val="00A1558C"/>
    <w:rsid w:val="00A156D5"/>
    <w:rsid w:val="00A3200E"/>
    <w:rsid w:val="00A34947"/>
    <w:rsid w:val="00A54F56"/>
    <w:rsid w:val="00A97F2F"/>
    <w:rsid w:val="00AA566E"/>
    <w:rsid w:val="00AC165F"/>
    <w:rsid w:val="00AC20C0"/>
    <w:rsid w:val="00AD6841"/>
    <w:rsid w:val="00AE458A"/>
    <w:rsid w:val="00AF7B0B"/>
    <w:rsid w:val="00B14377"/>
    <w:rsid w:val="00B1733E"/>
    <w:rsid w:val="00B421DF"/>
    <w:rsid w:val="00B426BF"/>
    <w:rsid w:val="00B45785"/>
    <w:rsid w:val="00B51A4C"/>
    <w:rsid w:val="00B618EA"/>
    <w:rsid w:val="00B62568"/>
    <w:rsid w:val="00B71332"/>
    <w:rsid w:val="00BA154E"/>
    <w:rsid w:val="00BC25D8"/>
    <w:rsid w:val="00BE05C7"/>
    <w:rsid w:val="00BF720B"/>
    <w:rsid w:val="00C04511"/>
    <w:rsid w:val="00C05914"/>
    <w:rsid w:val="00C1414A"/>
    <w:rsid w:val="00C16846"/>
    <w:rsid w:val="00C37B10"/>
    <w:rsid w:val="00C40979"/>
    <w:rsid w:val="00C465E7"/>
    <w:rsid w:val="00C46ECA"/>
    <w:rsid w:val="00C62242"/>
    <w:rsid w:val="00C6326D"/>
    <w:rsid w:val="00C6415E"/>
    <w:rsid w:val="00C71572"/>
    <w:rsid w:val="00C8225D"/>
    <w:rsid w:val="00C95B08"/>
    <w:rsid w:val="00CA38C9"/>
    <w:rsid w:val="00CC0840"/>
    <w:rsid w:val="00CC6362"/>
    <w:rsid w:val="00CD163A"/>
    <w:rsid w:val="00CE40BB"/>
    <w:rsid w:val="00D06FB0"/>
    <w:rsid w:val="00D25909"/>
    <w:rsid w:val="00D37275"/>
    <w:rsid w:val="00D37469"/>
    <w:rsid w:val="00D3798C"/>
    <w:rsid w:val="00D419AE"/>
    <w:rsid w:val="00D443D4"/>
    <w:rsid w:val="00D50E12"/>
    <w:rsid w:val="00D545FF"/>
    <w:rsid w:val="00D55DD9"/>
    <w:rsid w:val="00D60A78"/>
    <w:rsid w:val="00D955EF"/>
    <w:rsid w:val="00D969EA"/>
    <w:rsid w:val="00DA0BFC"/>
    <w:rsid w:val="00DC3F86"/>
    <w:rsid w:val="00DC7337"/>
    <w:rsid w:val="00DD26B1"/>
    <w:rsid w:val="00DD6770"/>
    <w:rsid w:val="00DE08A2"/>
    <w:rsid w:val="00DE24EF"/>
    <w:rsid w:val="00DF23FC"/>
    <w:rsid w:val="00DF39CD"/>
    <w:rsid w:val="00DF449B"/>
    <w:rsid w:val="00DF4F81"/>
    <w:rsid w:val="00E00D29"/>
    <w:rsid w:val="00E00F11"/>
    <w:rsid w:val="00E06932"/>
    <w:rsid w:val="00E17F8D"/>
    <w:rsid w:val="00E227E4"/>
    <w:rsid w:val="00E249E5"/>
    <w:rsid w:val="00E445BA"/>
    <w:rsid w:val="00E54E66"/>
    <w:rsid w:val="00E56E57"/>
    <w:rsid w:val="00E6637B"/>
    <w:rsid w:val="00E74106"/>
    <w:rsid w:val="00E86DC6"/>
    <w:rsid w:val="00E91D24"/>
    <w:rsid w:val="00EA5022"/>
    <w:rsid w:val="00EB40A6"/>
    <w:rsid w:val="00EC064C"/>
    <w:rsid w:val="00ED279F"/>
    <w:rsid w:val="00EE3168"/>
    <w:rsid w:val="00EE5FB9"/>
    <w:rsid w:val="00EE763F"/>
    <w:rsid w:val="00EF14DB"/>
    <w:rsid w:val="00EF2642"/>
    <w:rsid w:val="00EF3681"/>
    <w:rsid w:val="00F009A0"/>
    <w:rsid w:val="00F0169E"/>
    <w:rsid w:val="00F06FDE"/>
    <w:rsid w:val="00F076D9"/>
    <w:rsid w:val="00F11DE7"/>
    <w:rsid w:val="00F20BC2"/>
    <w:rsid w:val="00F27805"/>
    <w:rsid w:val="00F342E4"/>
    <w:rsid w:val="00F42B81"/>
    <w:rsid w:val="00F44625"/>
    <w:rsid w:val="00F44B70"/>
    <w:rsid w:val="00F4654B"/>
    <w:rsid w:val="00F47F48"/>
    <w:rsid w:val="00F649D6"/>
    <w:rsid w:val="00F654DD"/>
    <w:rsid w:val="00F67131"/>
    <w:rsid w:val="00F84AF9"/>
    <w:rsid w:val="00F92E22"/>
    <w:rsid w:val="00F96AB4"/>
    <w:rsid w:val="00FA0C94"/>
    <w:rsid w:val="00FB7FCB"/>
    <w:rsid w:val="00FC0298"/>
    <w:rsid w:val="00FC67C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258EF6C-D712-4CDB-BF9C-574FB4F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5D"/>
    <w:rPr>
      <w:rFonts w:ascii="Calibri" w:hAnsi="Calibri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"/>
    <w:rsid w:val="004B3A6C"/>
    <w:pPr>
      <w:spacing w:before="240" w:after="240"/>
      <w:jc w:val="center"/>
    </w:pPr>
    <w:rPr>
      <w:b/>
      <w:sz w:val="26"/>
    </w:rPr>
  </w:style>
  <w:style w:type="character" w:customStyle="1" w:styleId="AnnextitleChar">
    <w:name w:val="Annex_title Char"/>
    <w:basedOn w:val="DefaultParagraphFont"/>
    <w:link w:val="Annextitle"/>
    <w:rsid w:val="00004AD6"/>
    <w:rPr>
      <w:rFonts w:ascii="Calibri" w:hAnsi="Calibri"/>
      <w:b/>
      <w:sz w:val="26"/>
      <w:lang w:val="en-GB" w:eastAsia="en-US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C5797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8225D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uiPriority w:val="99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6027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602773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TOC9">
    <w:name w:val="toc 9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  <w:rPr>
      <w:sz w:val="24"/>
      <w:lang w:val="fr-FR"/>
    </w:rPr>
  </w:style>
  <w:style w:type="paragraph" w:styleId="Index7">
    <w:name w:val="index 7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rFonts w:ascii="Times New Roman" w:hAnsi="Times New Roman"/>
      <w:sz w:val="24"/>
      <w:lang w:val="fr-FR"/>
    </w:rPr>
  </w:style>
  <w:style w:type="paragraph" w:styleId="Index6">
    <w:name w:val="index 6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rFonts w:ascii="Times New Roman" w:hAnsi="Times New Roman"/>
      <w:sz w:val="24"/>
      <w:lang w:val="fr-FR"/>
    </w:rPr>
  </w:style>
  <w:style w:type="paragraph" w:styleId="Index5">
    <w:name w:val="index 5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rFonts w:ascii="Times New Roman" w:hAnsi="Times New Roman"/>
      <w:sz w:val="24"/>
      <w:lang w:val="fr-FR"/>
    </w:rPr>
  </w:style>
  <w:style w:type="paragraph" w:styleId="Index4">
    <w:name w:val="index 4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  <w:lang w:val="fr-FR"/>
    </w:rPr>
  </w:style>
  <w:style w:type="paragraph" w:styleId="Index2">
    <w:name w:val="index 2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  <w:lang w:val="fr-FR"/>
    </w:rPr>
  </w:style>
  <w:style w:type="paragraph" w:styleId="Index1">
    <w:name w:val="index 1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fr-FR"/>
    </w:rPr>
  </w:style>
  <w:style w:type="character" w:styleId="LineNumber">
    <w:name w:val="line number"/>
    <w:basedOn w:val="DefaultParagraphFont"/>
    <w:rsid w:val="00C8225D"/>
  </w:style>
  <w:style w:type="paragraph" w:styleId="IndexHeading">
    <w:name w:val="index heading"/>
    <w:basedOn w:val="Normal"/>
    <w:next w:val="Index1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fr-FR"/>
    </w:rPr>
  </w:style>
  <w:style w:type="paragraph" w:customStyle="1" w:styleId="TableLegend0">
    <w:name w:val="Table_Legend"/>
    <w:basedOn w:val="TableText0"/>
    <w:rsid w:val="00C8225D"/>
    <w:pPr>
      <w:spacing w:before="120"/>
    </w:pPr>
  </w:style>
  <w:style w:type="paragraph" w:customStyle="1" w:styleId="TableText0">
    <w:name w:val="Table_Text"/>
    <w:basedOn w:val="Normal"/>
    <w:rsid w:val="00C8225D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fr-FR"/>
    </w:rPr>
  </w:style>
  <w:style w:type="paragraph" w:customStyle="1" w:styleId="TableTitle0">
    <w:name w:val="Table_Title"/>
    <w:basedOn w:val="Table"/>
    <w:next w:val="TableText0"/>
    <w:rsid w:val="00C822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8225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TableHead0">
    <w:name w:val="Table_Head"/>
    <w:basedOn w:val="TableText0"/>
    <w:rsid w:val="00C822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rFonts w:ascii="Times New Roman" w:hAnsi="Times New Roman"/>
      <w:sz w:val="18"/>
      <w:lang w:val="fr-FR"/>
    </w:rPr>
  </w:style>
  <w:style w:type="paragraph" w:customStyle="1" w:styleId="Figure">
    <w:name w:val="Figure_#"/>
    <w:basedOn w:val="Table"/>
    <w:next w:val="FigureTitle"/>
    <w:rsid w:val="00C8225D"/>
    <w:pPr>
      <w:spacing w:before="480"/>
    </w:pPr>
  </w:style>
  <w:style w:type="paragraph" w:customStyle="1" w:styleId="FigureTitle">
    <w:name w:val="Figure_Title"/>
    <w:basedOn w:val="TableTitle0"/>
    <w:next w:val="Normal"/>
    <w:rsid w:val="00C8225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  <w:lang w:val="fr-FR"/>
    </w:rPr>
  </w:style>
  <w:style w:type="paragraph" w:customStyle="1" w:styleId="AnnexTitle0">
    <w:name w:val="Annex_Title"/>
    <w:basedOn w:val="Normal"/>
    <w:next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">
    <w:name w:val="Appendix_#"/>
    <w:basedOn w:val="Normal"/>
    <w:next w:val="AppendixRef0"/>
    <w:rsid w:val="000B009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ppendixRef0">
    <w:name w:val="Appendix_Ref"/>
    <w:basedOn w:val="AnnexRef0"/>
    <w:next w:val="AppendixTitle0"/>
    <w:rsid w:val="00C8225D"/>
  </w:style>
  <w:style w:type="paragraph" w:customStyle="1" w:styleId="AppendixTitle0">
    <w:name w:val="Appendix_Title"/>
    <w:basedOn w:val="AnnexTitle0"/>
    <w:next w:val="Normal"/>
    <w:rsid w:val="00C8225D"/>
  </w:style>
  <w:style w:type="paragraph" w:customStyle="1" w:styleId="RefTitle0">
    <w:name w:val="Ref_Title"/>
    <w:basedOn w:val="Normal"/>
    <w:next w:val="RefText0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RefText0">
    <w:name w:val="Ref_Text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  <w:lang w:val="fr-FR"/>
    </w:rPr>
  </w:style>
  <w:style w:type="paragraph" w:customStyle="1" w:styleId="Equation">
    <w:name w:val="Equation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76"/>
        <w:tab w:val="right" w:pos="9752"/>
      </w:tabs>
    </w:pPr>
    <w:rPr>
      <w:rFonts w:ascii="Times New Roman" w:hAnsi="Times New Roman"/>
      <w:sz w:val="24"/>
      <w:lang w:val="fr-FR"/>
    </w:rPr>
  </w:style>
  <w:style w:type="paragraph" w:customStyle="1" w:styleId="Head">
    <w:name w:val="Head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663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RecTitle0">
    <w:name w:val="Rec_Title"/>
    <w:basedOn w:val="Normal"/>
    <w:next w:val="Heading1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all0">
    <w:name w:val="call"/>
    <w:basedOn w:val="Normal"/>
    <w:next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  <w:lang w:val="fr-FR"/>
    </w:rPr>
  </w:style>
  <w:style w:type="paragraph" w:customStyle="1" w:styleId="Rec">
    <w:name w:val="Rec_#"/>
    <w:basedOn w:val="Normal"/>
    <w:next w:val="RecTitle0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styleId="List">
    <w:name w:val="List"/>
    <w:basedOn w:val="Normal"/>
    <w:rsid w:val="00C8225D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rFonts w:ascii="Times New Roman" w:hAnsi="Times New Roman"/>
      <w:sz w:val="24"/>
      <w:lang w:val="fr-FR"/>
    </w:rPr>
  </w:style>
  <w:style w:type="paragraph" w:customStyle="1" w:styleId="Infodoc">
    <w:name w:val="Infodoc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</w:pPr>
    <w:rPr>
      <w:rFonts w:ascii="Times New Roman" w:hAnsi="Times New Roman"/>
      <w:sz w:val="24"/>
      <w:lang w:val="fr-FR"/>
    </w:rPr>
  </w:style>
  <w:style w:type="paragraph" w:customStyle="1" w:styleId="Address">
    <w:name w:val="Address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</w:pPr>
    <w:rPr>
      <w:rFonts w:ascii="Times New Roman" w:hAnsi="Times New Roman"/>
      <w:sz w:val="24"/>
      <w:lang w:val="fr-FR"/>
    </w:rPr>
  </w:style>
  <w:style w:type="paragraph" w:customStyle="1" w:styleId="docnottitle">
    <w:name w:val="docnot_title"/>
    <w:basedOn w:val="Normal"/>
    <w:rsid w:val="00C822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enter" w:pos="7088"/>
      </w:tabs>
      <w:jc w:val="center"/>
    </w:pPr>
    <w:rPr>
      <w:rFonts w:ascii="Times New Roman" w:hAnsi="Times New Roman"/>
      <w:sz w:val="20"/>
      <w:lang w:val="fr-FR"/>
    </w:rPr>
  </w:style>
  <w:style w:type="paragraph" w:customStyle="1" w:styleId="Keywords">
    <w:name w:val="Keywords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</w:pPr>
    <w:rPr>
      <w:rFonts w:ascii="Times New Roman" w:hAnsi="Times New Roman"/>
      <w:sz w:val="24"/>
      <w:lang w:val="fr-FR"/>
    </w:rPr>
  </w:style>
  <w:style w:type="paragraph" w:styleId="BodyText">
    <w:name w:val="Body Text"/>
    <w:basedOn w:val="Normal"/>
    <w:link w:val="BodyText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" w:hAnsi="Times New Roman"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C8225D"/>
    <w:rPr>
      <w:rFonts w:ascii="Times New Roman" w:hAnsi="Times New Roman"/>
      <w:sz w:val="24"/>
      <w:lang w:val="fr-FR" w:eastAsia="en-US"/>
    </w:rPr>
  </w:style>
  <w:style w:type="paragraph" w:customStyle="1" w:styleId="EquationLegend">
    <w:name w:val="Equation_Legend"/>
    <w:basedOn w:val="Normal"/>
    <w:rsid w:val="00C8225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</w:pPr>
    <w:rPr>
      <w:rFonts w:ascii="Times New Roman" w:hAnsi="Times New Roman"/>
      <w:sz w:val="24"/>
      <w:lang w:val="fr-FR"/>
    </w:rPr>
  </w:style>
  <w:style w:type="paragraph" w:customStyle="1" w:styleId="listitem">
    <w:name w:val="listitem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meeting">
    <w:name w:val="meeting"/>
    <w:basedOn w:val="Head"/>
    <w:next w:val="Head"/>
    <w:rsid w:val="00C8225D"/>
    <w:pPr>
      <w:tabs>
        <w:tab w:val="left" w:pos="7371"/>
      </w:tabs>
      <w:spacing w:after="560"/>
    </w:pPr>
  </w:style>
  <w:style w:type="paragraph" w:customStyle="1" w:styleId="Subject">
    <w:name w:val="Subject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23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Object">
    <w:name w:val="Object"/>
    <w:basedOn w:val="Subject"/>
    <w:next w:val="Subject"/>
    <w:rsid w:val="00C8225D"/>
  </w:style>
  <w:style w:type="paragraph" w:customStyle="1" w:styleId="Data">
    <w:name w:val="Data"/>
    <w:basedOn w:val="Subject"/>
    <w:next w:val="Subject"/>
    <w:rsid w:val="00C8225D"/>
  </w:style>
  <w:style w:type="paragraph" w:customStyle="1" w:styleId="docnoted">
    <w:name w:val="docnoted"/>
    <w:basedOn w:val="Normal"/>
    <w:rsid w:val="00C822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  <w:lang w:val="fr-FR"/>
    </w:rPr>
  </w:style>
  <w:style w:type="paragraph" w:customStyle="1" w:styleId="headingb0">
    <w:name w:val="heading_b"/>
    <w:basedOn w:val="Heading3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sz w:val="24"/>
      <w:lang w:val="fr-FR"/>
    </w:rPr>
  </w:style>
  <w:style w:type="paragraph" w:customStyle="1" w:styleId="headingi0">
    <w:name w:val="heading_i"/>
    <w:basedOn w:val="Heading3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b w:val="0"/>
      <w:i/>
      <w:sz w:val="24"/>
      <w:lang w:val="fr-FR"/>
    </w:rPr>
  </w:style>
  <w:style w:type="paragraph" w:customStyle="1" w:styleId="Qlist">
    <w:name w:val="Qlist"/>
    <w:basedOn w:val="Normal"/>
    <w:rsid w:val="00C8225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</w:pPr>
    <w:rPr>
      <w:rFonts w:ascii="Times New Roman" w:hAnsi="Times New Roman"/>
      <w:b/>
      <w:sz w:val="24"/>
      <w:lang w:val="fr-FR"/>
    </w:rPr>
  </w:style>
  <w:style w:type="paragraph" w:customStyle="1" w:styleId="ASN1">
    <w:name w:val="ASN.1"/>
    <w:basedOn w:val="Normal"/>
    <w:rsid w:val="00C8225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" w:hAnsi="Times New Roman"/>
      <w:b/>
      <w:noProof/>
      <w:sz w:val="20"/>
      <w:lang w:val="fr-FR"/>
    </w:rPr>
  </w:style>
  <w:style w:type="paragraph" w:styleId="BodyText2">
    <w:name w:val="Body Text 2"/>
    <w:basedOn w:val="Normal"/>
    <w:link w:val="BodyText2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ind w:right="1134"/>
    </w:pPr>
    <w:rPr>
      <w:rFonts w:ascii="Times New Roman" w:hAnsi="Times New Roman"/>
      <w:sz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C8225D"/>
    <w:rPr>
      <w:rFonts w:ascii="Times New Roman" w:hAnsi="Times New Roman"/>
      <w:sz w:val="24"/>
      <w:lang w:val="fr-FR" w:eastAsia="en-US"/>
    </w:rPr>
  </w:style>
  <w:style w:type="paragraph" w:customStyle="1" w:styleId="xl20">
    <w:name w:val="xl20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1">
    <w:name w:val="xl21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2">
    <w:name w:val="xl2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lang w:val="en-US"/>
    </w:rPr>
  </w:style>
  <w:style w:type="paragraph" w:customStyle="1" w:styleId="xl23">
    <w:name w:val="xl23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lang w:val="en-US"/>
    </w:rPr>
  </w:style>
  <w:style w:type="paragraph" w:customStyle="1" w:styleId="xl24">
    <w:name w:val="xl24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5">
    <w:name w:val="xl25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6">
    <w:name w:val="xl26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lang w:val="en-US"/>
    </w:rPr>
  </w:style>
  <w:style w:type="paragraph" w:customStyle="1" w:styleId="xl27">
    <w:name w:val="xl27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lang w:val="en-US"/>
    </w:rPr>
  </w:style>
  <w:style w:type="paragraph" w:customStyle="1" w:styleId="xl28">
    <w:name w:val="xl28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Arial Unicode MS" w:eastAsia="Arial Unicode MS" w:hAnsi="Times New Roman"/>
      <w:lang w:val="en-US"/>
    </w:rPr>
  </w:style>
  <w:style w:type="paragraph" w:customStyle="1" w:styleId="xl29">
    <w:name w:val="xl29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right"/>
    </w:pPr>
    <w:rPr>
      <w:rFonts w:ascii="Times New Roman" w:hAnsi="Times New Roman"/>
      <w:lang w:val="en-US"/>
    </w:rPr>
  </w:style>
  <w:style w:type="paragraph" w:customStyle="1" w:styleId="xl30">
    <w:name w:val="xl30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sz w:val="20"/>
      <w:lang w:val="en-US"/>
    </w:rPr>
  </w:style>
  <w:style w:type="paragraph" w:customStyle="1" w:styleId="xl31">
    <w:name w:val="xl31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sz w:val="20"/>
      <w:lang w:val="en-US"/>
    </w:rPr>
  </w:style>
  <w:style w:type="paragraph" w:customStyle="1" w:styleId="xl32">
    <w:name w:val="xl3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lang w:val="en-US"/>
    </w:rPr>
  </w:style>
  <w:style w:type="paragraph" w:styleId="ListBullet">
    <w:name w:val="List Bullet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ind w:left="360" w:hanging="360"/>
    </w:pPr>
    <w:rPr>
      <w:rFonts w:ascii="Times New Roman" w:hAnsi="Times New Roman"/>
      <w:sz w:val="24"/>
      <w:lang w:val="fr-FR"/>
    </w:rPr>
  </w:style>
  <w:style w:type="paragraph" w:styleId="ListBullet2">
    <w:name w:val="List Bullet 2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643"/>
        <w:tab w:val="left" w:pos="794"/>
        <w:tab w:val="left" w:pos="1191"/>
        <w:tab w:val="left" w:pos="1588"/>
        <w:tab w:val="left" w:pos="1985"/>
      </w:tabs>
      <w:ind w:left="643" w:hanging="360"/>
    </w:pPr>
    <w:rPr>
      <w:rFonts w:ascii="Times New Roman" w:hAnsi="Times New Roman"/>
      <w:sz w:val="24"/>
      <w:lang w:val="fr-FR"/>
    </w:rPr>
  </w:style>
  <w:style w:type="paragraph" w:styleId="ListBullet3">
    <w:name w:val="List Bullet 3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926"/>
        <w:tab w:val="left" w:pos="1191"/>
        <w:tab w:val="left" w:pos="1588"/>
        <w:tab w:val="left" w:pos="1985"/>
      </w:tabs>
      <w:ind w:left="926" w:hanging="360"/>
    </w:pPr>
    <w:rPr>
      <w:rFonts w:ascii="Times New Roman" w:hAnsi="Times New Roman"/>
      <w:sz w:val="24"/>
      <w:lang w:val="fr-FR"/>
    </w:rPr>
  </w:style>
  <w:style w:type="paragraph" w:styleId="ListBullet4">
    <w:name w:val="List Bullet 4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209"/>
        <w:tab w:val="left" w:pos="1588"/>
        <w:tab w:val="left" w:pos="1985"/>
      </w:tabs>
      <w:ind w:left="1209" w:hanging="360"/>
    </w:pPr>
    <w:rPr>
      <w:rFonts w:ascii="Times New Roman" w:hAnsi="Times New Roman"/>
      <w:sz w:val="24"/>
      <w:lang w:val="fr-FR"/>
    </w:rPr>
  </w:style>
  <w:style w:type="paragraph" w:styleId="ListBullet5">
    <w:name w:val="List Bullet 5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92"/>
        <w:tab w:val="left" w:pos="1588"/>
        <w:tab w:val="left" w:pos="1985"/>
      </w:tabs>
      <w:ind w:left="1492" w:hanging="360"/>
    </w:pPr>
    <w:rPr>
      <w:rFonts w:ascii="Times New Roman" w:hAnsi="Times New Roman"/>
      <w:sz w:val="24"/>
      <w:lang w:val="fr-FR"/>
    </w:rPr>
  </w:style>
  <w:style w:type="paragraph" w:styleId="ListNumber">
    <w:name w:val="List Number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ind w:left="360" w:hanging="360"/>
    </w:pPr>
    <w:rPr>
      <w:rFonts w:ascii="Times New Roman" w:hAnsi="Times New Roman"/>
      <w:sz w:val="24"/>
      <w:lang w:val="fr-FR"/>
    </w:rPr>
  </w:style>
  <w:style w:type="paragraph" w:styleId="ListNumber2">
    <w:name w:val="List Number 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643"/>
        <w:tab w:val="left" w:pos="794"/>
        <w:tab w:val="left" w:pos="1191"/>
        <w:tab w:val="left" w:pos="1588"/>
        <w:tab w:val="left" w:pos="1985"/>
      </w:tabs>
      <w:ind w:left="643" w:hanging="360"/>
    </w:pPr>
    <w:rPr>
      <w:rFonts w:ascii="Times New Roman" w:hAnsi="Times New Roman"/>
      <w:sz w:val="24"/>
      <w:lang w:val="fr-FR"/>
    </w:rPr>
  </w:style>
  <w:style w:type="paragraph" w:styleId="ListNumber3">
    <w:name w:val="List Number 3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926"/>
        <w:tab w:val="left" w:pos="1191"/>
        <w:tab w:val="left" w:pos="1588"/>
        <w:tab w:val="left" w:pos="1985"/>
      </w:tabs>
      <w:ind w:left="926" w:hanging="360"/>
    </w:pPr>
    <w:rPr>
      <w:rFonts w:ascii="Times New Roman" w:hAnsi="Times New Roman"/>
      <w:sz w:val="24"/>
      <w:lang w:val="fr-FR"/>
    </w:rPr>
  </w:style>
  <w:style w:type="paragraph" w:styleId="ListNumber4">
    <w:name w:val="List Number 4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209"/>
        <w:tab w:val="left" w:pos="1588"/>
        <w:tab w:val="left" w:pos="1985"/>
      </w:tabs>
      <w:ind w:left="1209" w:hanging="360"/>
    </w:pPr>
    <w:rPr>
      <w:rFonts w:ascii="Times New Roman" w:hAnsi="Times New Roman"/>
      <w:sz w:val="24"/>
      <w:lang w:val="fr-FR"/>
    </w:rPr>
  </w:style>
  <w:style w:type="paragraph" w:styleId="ListNumber5">
    <w:name w:val="List Number 5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92"/>
        <w:tab w:val="left" w:pos="1588"/>
        <w:tab w:val="left" w:pos="1985"/>
      </w:tabs>
      <w:ind w:left="1492" w:hanging="360"/>
    </w:pPr>
    <w:rPr>
      <w:rFonts w:ascii="Times New Roman" w:hAnsi="Times New Roman"/>
      <w:sz w:val="24"/>
      <w:lang w:val="fr-FR"/>
    </w:rPr>
  </w:style>
  <w:style w:type="paragraph" w:customStyle="1" w:styleId="Figuretitle0">
    <w:name w:val="Figure_title"/>
    <w:basedOn w:val="Tabletitle"/>
    <w:next w:val="Normalaftertitle"/>
    <w:rsid w:val="00C8225D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rFonts w:ascii="Times New Roman Bold" w:hAnsi="Times New Roman Bold"/>
      <w:sz w:val="24"/>
      <w:lang w:val="fr-FR"/>
    </w:rPr>
  </w:style>
  <w:style w:type="paragraph" w:customStyle="1" w:styleId="Recdate">
    <w:name w:val="Rec_date"/>
    <w:basedOn w:val="Recref"/>
    <w:next w:val="Normalaftertitle"/>
    <w:rsid w:val="00C8225D"/>
    <w:pPr>
      <w:jc w:val="right"/>
    </w:pPr>
    <w:rPr>
      <w:sz w:val="22"/>
    </w:rPr>
  </w:style>
  <w:style w:type="paragraph" w:customStyle="1" w:styleId="Recref">
    <w:name w:val="Rec_ref"/>
    <w:basedOn w:val="Rectitle"/>
    <w:next w:val="Recdate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fr-FR"/>
    </w:rPr>
  </w:style>
  <w:style w:type="paragraph" w:styleId="BodyText3">
    <w:name w:val="Body Text 3"/>
    <w:basedOn w:val="Normal"/>
    <w:link w:val="BodyText3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color w:val="FF0000"/>
      <w:sz w:val="24"/>
      <w:lang w:val="fr-FR"/>
    </w:rPr>
  </w:style>
  <w:style w:type="character" w:customStyle="1" w:styleId="BodyText3Char">
    <w:name w:val="Body Text 3 Char"/>
    <w:basedOn w:val="DefaultParagraphFont"/>
    <w:link w:val="BodyText3"/>
    <w:rsid w:val="00C8225D"/>
    <w:rPr>
      <w:rFonts w:ascii="Times New Roman" w:hAnsi="Times New Roman"/>
      <w:color w:val="FF0000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C8225D"/>
    <w:pPr>
      <w:ind w:left="720"/>
      <w:contextualSpacing/>
    </w:pPr>
    <w:rPr>
      <w:sz w:val="24"/>
      <w:lang w:val="fr-FR"/>
    </w:rPr>
  </w:style>
  <w:style w:type="character" w:styleId="CommentReference">
    <w:name w:val="annotation reference"/>
    <w:basedOn w:val="DefaultParagraphFont"/>
    <w:rsid w:val="00C82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25D"/>
    <w:rPr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C8225D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2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25D"/>
    <w:rPr>
      <w:rFonts w:ascii="Calibri" w:hAnsi="Calibri"/>
      <w:b/>
      <w:bCs/>
      <w:lang w:val="fr-FR" w:eastAsia="en-US"/>
    </w:rPr>
  </w:style>
  <w:style w:type="paragraph" w:customStyle="1" w:styleId="SpecialFooter">
    <w:name w:val="Special Footer"/>
    <w:basedOn w:val="Footer"/>
    <w:rsid w:val="00C37B1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C37B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C37B10"/>
  </w:style>
  <w:style w:type="paragraph" w:customStyle="1" w:styleId="OP">
    <w:name w:val="OP"/>
    <w:basedOn w:val="Normal"/>
    <w:next w:val="Normal"/>
    <w:qFormat/>
    <w:rsid w:val="00C37B1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C37B10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C37B10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customStyle="1" w:styleId="Annextitle1">
    <w:name w:val="Annex title"/>
    <w:basedOn w:val="TableTitle0"/>
    <w:rsid w:val="00C37B10"/>
    <w:pPr>
      <w:spacing w:after="40"/>
    </w:pPr>
    <w:rPr>
      <w:rFonts w:asciiTheme="minorHAnsi" w:hAnsiTheme="minorHAnsi"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07-CL-C-0085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Basic-Texts/convention-f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Basic-Texts/ResDecRec-PP10-f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Basic-Texts/ResDecRec-PP10-f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f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B082-F596-4FA8-9854-7AD5266A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73</TotalTime>
  <Pages>14</Pages>
  <Words>5211</Words>
  <Characters>29616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</dc:title>
  <dc:subject>Plenipotentiary Conference (PP-18)</dc:subject>
  <dc:creator>Maloletkova, Svetlana</dc:creator>
  <cp:keywords>PP-18, PP18</cp:keywords>
  <dc:description/>
  <cp:lastModifiedBy>Botalla, Sabine</cp:lastModifiedBy>
  <cp:revision>21</cp:revision>
  <cp:lastPrinted>2018-10-16T08:36:00Z</cp:lastPrinted>
  <dcterms:created xsi:type="dcterms:W3CDTF">2018-10-16T08:37:00Z</dcterms:created>
  <dcterms:modified xsi:type="dcterms:W3CDTF">2018-10-23T15:22:00Z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