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F29B5">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E26429" w:rsidP="006F29B5">
            <w:pPr>
              <w:tabs>
                <w:tab w:val="left" w:pos="851"/>
              </w:tabs>
              <w:spacing w:before="0"/>
              <w:rPr>
                <w:rFonts w:cstheme="minorHAnsi"/>
                <w:b/>
                <w:szCs w:val="24"/>
              </w:rPr>
            </w:pPr>
            <w:r>
              <w:rPr>
                <w:rFonts w:cstheme="minorHAnsi"/>
                <w:b/>
                <w:szCs w:val="24"/>
              </w:rPr>
              <w:t xml:space="preserve">Document </w:t>
            </w:r>
            <w:r w:rsidR="006F29B5">
              <w:rPr>
                <w:rFonts w:cstheme="minorHAnsi"/>
                <w:b/>
                <w:szCs w:val="24"/>
              </w:rPr>
              <w:t>46</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6F29B5" w:rsidP="003740BC">
            <w:pPr>
              <w:spacing w:before="0"/>
              <w:rPr>
                <w:rFonts w:cstheme="minorHAnsi"/>
                <w:szCs w:val="24"/>
              </w:rPr>
            </w:pPr>
            <w:r>
              <w:rPr>
                <w:rFonts w:cstheme="minorHAnsi"/>
                <w:b/>
                <w:szCs w:val="24"/>
              </w:rPr>
              <w:t>25 July</w:t>
            </w:r>
            <w:r w:rsidR="00E26429">
              <w:rPr>
                <w:rFonts w:cstheme="minorHAnsi"/>
                <w:b/>
                <w:szCs w:val="24"/>
              </w:rPr>
              <w:t xml:space="preserve">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F29B5">
        <w:trPr>
          <w:cantSplit/>
          <w:trHeight w:val="23"/>
        </w:trPr>
        <w:tc>
          <w:tcPr>
            <w:tcW w:w="10031" w:type="dxa"/>
            <w:gridSpan w:val="2"/>
            <w:shd w:val="clear" w:color="auto" w:fill="auto"/>
          </w:tcPr>
          <w:p w:rsidR="001A16ED" w:rsidRPr="00D96B4B" w:rsidRDefault="001A16ED" w:rsidP="006F29B5">
            <w:pPr>
              <w:tabs>
                <w:tab w:val="left" w:pos="993"/>
              </w:tabs>
              <w:rPr>
                <w:rFonts w:ascii="Verdana" w:hAnsi="Verdana"/>
                <w:b/>
                <w:szCs w:val="24"/>
              </w:rPr>
            </w:pPr>
          </w:p>
        </w:tc>
      </w:tr>
      <w:tr w:rsidR="001A16ED" w:rsidRPr="00C324A8" w:rsidTr="006F29B5">
        <w:trPr>
          <w:cantSplit/>
          <w:trHeight w:val="23"/>
        </w:trPr>
        <w:tc>
          <w:tcPr>
            <w:tcW w:w="10031" w:type="dxa"/>
            <w:gridSpan w:val="2"/>
            <w:shd w:val="clear" w:color="auto" w:fill="auto"/>
          </w:tcPr>
          <w:p w:rsidR="001A16ED" w:rsidRDefault="006F29B5" w:rsidP="006F29B5">
            <w:pPr>
              <w:pStyle w:val="Source"/>
            </w:pPr>
            <w:r>
              <w:t>Report by the Council</w:t>
            </w:r>
          </w:p>
        </w:tc>
      </w:tr>
      <w:tr w:rsidR="001A16ED" w:rsidRPr="00C324A8" w:rsidTr="006F29B5">
        <w:trPr>
          <w:cantSplit/>
          <w:trHeight w:val="23"/>
        </w:trPr>
        <w:tc>
          <w:tcPr>
            <w:tcW w:w="10031" w:type="dxa"/>
            <w:gridSpan w:val="2"/>
            <w:shd w:val="clear" w:color="auto" w:fill="auto"/>
          </w:tcPr>
          <w:p w:rsidR="001A16ED" w:rsidRDefault="006F29B5" w:rsidP="006F29B5">
            <w:pPr>
              <w:pStyle w:val="Title1"/>
            </w:pPr>
            <w:r>
              <w:t xml:space="preserve">EXAMINATION OF THE FINANCIAL MANAGEMENT OF THE UNION </w:t>
            </w:r>
            <w:r>
              <w:br/>
              <w:t>BY THE PLENIPOTENTIARY CONFERENCE</w:t>
            </w:r>
          </w:p>
        </w:tc>
      </w:tr>
      <w:tr w:rsidR="001A16ED" w:rsidRPr="00C324A8" w:rsidTr="006F29B5">
        <w:trPr>
          <w:cantSplit/>
          <w:trHeight w:val="23"/>
        </w:trPr>
        <w:tc>
          <w:tcPr>
            <w:tcW w:w="10031" w:type="dxa"/>
            <w:gridSpan w:val="2"/>
            <w:shd w:val="clear" w:color="auto" w:fill="auto"/>
          </w:tcPr>
          <w:p w:rsidR="001A16ED" w:rsidRDefault="006F29B5" w:rsidP="00E26429">
            <w:pPr>
              <w:pStyle w:val="Title2"/>
            </w:pPr>
            <w:r w:rsidRPr="006F29B5">
              <w:t>(YEARS 2014 TO 2017)</w:t>
            </w:r>
          </w:p>
        </w:tc>
      </w:tr>
      <w:tr w:rsidR="001A16ED" w:rsidRPr="00C324A8" w:rsidTr="006F29B5">
        <w:trPr>
          <w:cantSplit/>
          <w:trHeight w:val="23"/>
        </w:trPr>
        <w:tc>
          <w:tcPr>
            <w:tcW w:w="10031" w:type="dxa"/>
            <w:gridSpan w:val="2"/>
            <w:shd w:val="clear" w:color="auto" w:fill="auto"/>
          </w:tcPr>
          <w:p w:rsidR="001A16ED" w:rsidRPr="006F29B5" w:rsidRDefault="001A16ED" w:rsidP="006F29B5">
            <w:pPr>
              <w:pStyle w:val="Agendaitem"/>
              <w:rPr>
                <w:lang w:val="en-US"/>
              </w:rPr>
            </w:pPr>
          </w:p>
        </w:tc>
      </w:tr>
    </w:tbl>
    <w:bookmarkEnd w:id="7"/>
    <w:bookmarkEnd w:id="8"/>
    <w:p w:rsidR="006F29B5" w:rsidRDefault="006F29B5" w:rsidP="006F29B5">
      <w:pPr>
        <w:tabs>
          <w:tab w:val="clear" w:pos="567"/>
          <w:tab w:val="clear" w:pos="1134"/>
          <w:tab w:val="clear" w:pos="1701"/>
          <w:tab w:val="clear" w:pos="2268"/>
          <w:tab w:val="clear" w:pos="2835"/>
        </w:tabs>
        <w:snapToGrid w:val="0"/>
        <w:spacing w:after="120"/>
        <w:jc w:val="both"/>
      </w:pPr>
      <w:r w:rsidRPr="00486B4E">
        <w:t>1</w:t>
      </w:r>
      <w:r w:rsidRPr="00486B4E">
        <w:tab/>
        <w:t>The Constitution and Convention of the International Telecommunication Union stipulate as follows with regard to the examination of the financial management of the Union:</w:t>
      </w:r>
    </w:p>
    <w:p w:rsidR="006F29B5" w:rsidRPr="00486B4E" w:rsidRDefault="006F29B5" w:rsidP="006F29B5">
      <w:pPr>
        <w:pStyle w:val="Headingb"/>
        <w:keepNext w:val="0"/>
        <w:keepLines w:val="0"/>
        <w:tabs>
          <w:tab w:val="clear" w:pos="567"/>
          <w:tab w:val="clear" w:pos="1134"/>
          <w:tab w:val="clear" w:pos="1701"/>
          <w:tab w:val="clear" w:pos="2268"/>
          <w:tab w:val="clear" w:pos="2835"/>
        </w:tabs>
        <w:snapToGrid w:val="0"/>
        <w:spacing w:before="120" w:after="120"/>
      </w:pPr>
      <w:r w:rsidRPr="00486B4E">
        <w:t>CV/Art. 5, No. 101</w:t>
      </w:r>
    </w:p>
    <w:p w:rsidR="006F29B5" w:rsidRPr="00486B4E" w:rsidRDefault="006F29B5" w:rsidP="006F29B5">
      <w:pPr>
        <w:tabs>
          <w:tab w:val="clear" w:pos="567"/>
          <w:tab w:val="clear" w:pos="1134"/>
          <w:tab w:val="clear" w:pos="1701"/>
          <w:tab w:val="clear" w:pos="2268"/>
          <w:tab w:val="clear" w:pos="2835"/>
        </w:tabs>
        <w:snapToGrid w:val="0"/>
        <w:spacing w:after="120"/>
        <w:jc w:val="both"/>
      </w:pPr>
      <w:r w:rsidRPr="00486B4E">
        <w:t>The Secretary-General shall</w:t>
      </w:r>
    </w:p>
    <w:p w:rsidR="006F29B5" w:rsidRPr="00486B4E" w:rsidRDefault="006F29B5" w:rsidP="00685646">
      <w:pPr>
        <w:tabs>
          <w:tab w:val="clear" w:pos="1134"/>
          <w:tab w:val="clear" w:pos="1701"/>
          <w:tab w:val="clear" w:pos="2268"/>
          <w:tab w:val="clear" w:pos="2835"/>
        </w:tabs>
        <w:snapToGrid w:val="0"/>
        <w:spacing w:after="120"/>
        <w:jc w:val="both"/>
      </w:pPr>
      <w:r w:rsidRPr="00486B4E">
        <w:rPr>
          <w:i/>
        </w:rPr>
        <w:t>r)</w:t>
      </w:r>
      <w:r w:rsidRPr="00486B4E">
        <w:tab/>
        <w:t>with the assistance of the Coordination Committee, prepare an annual financial operating report in accordance with the Financial Regulations of the Union and submit it to the Council. A</w:t>
      </w:r>
      <w:r>
        <w:t xml:space="preserve"> </w:t>
      </w:r>
      <w:r w:rsidRPr="00486B4E">
        <w:t>recapitulative financial operating report and accounts shall be prepared and submitted to the next plenipotentiary conference for examination and final approval;</w:t>
      </w:r>
    </w:p>
    <w:p w:rsidR="006F29B5" w:rsidRPr="00486B4E" w:rsidRDefault="006F29B5" w:rsidP="006F29B5">
      <w:pPr>
        <w:pStyle w:val="Headingb"/>
        <w:keepNext w:val="0"/>
        <w:keepLines w:val="0"/>
        <w:tabs>
          <w:tab w:val="clear" w:pos="567"/>
          <w:tab w:val="clear" w:pos="1134"/>
          <w:tab w:val="clear" w:pos="1701"/>
          <w:tab w:val="clear" w:pos="2268"/>
          <w:tab w:val="clear" w:pos="2835"/>
        </w:tabs>
        <w:snapToGrid w:val="0"/>
        <w:spacing w:before="120" w:after="120"/>
        <w:jc w:val="both"/>
      </w:pPr>
      <w:r w:rsidRPr="00486B4E">
        <w:t>CV/Art. 4, No. 74</w:t>
      </w:r>
    </w:p>
    <w:p w:rsidR="006F29B5" w:rsidRPr="00486B4E" w:rsidRDefault="006F29B5" w:rsidP="006F29B5">
      <w:pPr>
        <w:tabs>
          <w:tab w:val="clear" w:pos="567"/>
          <w:tab w:val="clear" w:pos="1134"/>
          <w:tab w:val="clear" w:pos="1701"/>
          <w:tab w:val="clear" w:pos="2268"/>
          <w:tab w:val="clear" w:pos="2835"/>
        </w:tabs>
        <w:snapToGrid w:val="0"/>
        <w:spacing w:after="120"/>
        <w:jc w:val="both"/>
      </w:pPr>
      <w:r w:rsidRPr="00486B4E">
        <w:t>The Council shall</w:t>
      </w:r>
    </w:p>
    <w:p w:rsidR="006F29B5" w:rsidRPr="00486B4E" w:rsidRDefault="006F29B5" w:rsidP="00685646">
      <w:pPr>
        <w:tabs>
          <w:tab w:val="clear" w:pos="1134"/>
          <w:tab w:val="clear" w:pos="1701"/>
          <w:tab w:val="clear" w:pos="2268"/>
          <w:tab w:val="clear" w:pos="2835"/>
        </w:tabs>
        <w:snapToGrid w:val="0"/>
        <w:spacing w:after="120"/>
        <w:jc w:val="both"/>
      </w:pPr>
      <w:r w:rsidRPr="00486B4E">
        <w:t>8)</w:t>
      </w:r>
      <w:r w:rsidRPr="00486B4E">
        <w:tab/>
        <w:t>arrange for the annual audit of the accounts of the Union prepared by the Secretary-General and approve them, if appropriate, for submission to the next plenipotentiary conference;</w:t>
      </w:r>
    </w:p>
    <w:p w:rsidR="006F29B5" w:rsidRPr="00486B4E" w:rsidRDefault="006F29B5" w:rsidP="006F29B5">
      <w:pPr>
        <w:pStyle w:val="Headingb"/>
        <w:keepNext w:val="0"/>
        <w:keepLines w:val="0"/>
        <w:tabs>
          <w:tab w:val="clear" w:pos="567"/>
          <w:tab w:val="clear" w:pos="1134"/>
          <w:tab w:val="clear" w:pos="1701"/>
          <w:tab w:val="clear" w:pos="2268"/>
          <w:tab w:val="clear" w:pos="2835"/>
        </w:tabs>
        <w:snapToGrid w:val="0"/>
        <w:spacing w:before="120" w:after="120"/>
        <w:jc w:val="both"/>
      </w:pPr>
      <w:r>
        <w:t>CS</w:t>
      </w:r>
      <w:r w:rsidRPr="00486B4E">
        <w:t>/Art. 8, No. 53</w:t>
      </w:r>
    </w:p>
    <w:p w:rsidR="006F29B5" w:rsidRPr="00486B4E" w:rsidRDefault="006F29B5" w:rsidP="006F29B5">
      <w:pPr>
        <w:tabs>
          <w:tab w:val="clear" w:pos="567"/>
          <w:tab w:val="clear" w:pos="1134"/>
          <w:tab w:val="clear" w:pos="1701"/>
          <w:tab w:val="clear" w:pos="2268"/>
          <w:tab w:val="clear" w:pos="2835"/>
        </w:tabs>
        <w:snapToGrid w:val="0"/>
        <w:spacing w:after="120"/>
        <w:jc w:val="both"/>
      </w:pPr>
      <w:r w:rsidRPr="00486B4E">
        <w:t>The Plenipotentiary Conference shall</w:t>
      </w:r>
    </w:p>
    <w:p w:rsidR="006F29B5" w:rsidRPr="00486B4E" w:rsidRDefault="006F29B5" w:rsidP="006F29B5">
      <w:pPr>
        <w:pStyle w:val="enumlev1"/>
        <w:tabs>
          <w:tab w:val="clear" w:pos="567"/>
          <w:tab w:val="clear" w:pos="1134"/>
          <w:tab w:val="clear" w:pos="1701"/>
          <w:tab w:val="clear" w:pos="2268"/>
          <w:tab w:val="clear" w:pos="2835"/>
        </w:tabs>
        <w:snapToGrid w:val="0"/>
        <w:spacing w:before="120" w:after="120"/>
        <w:jc w:val="both"/>
      </w:pPr>
      <w:r w:rsidRPr="00486B4E">
        <w:rPr>
          <w:i/>
          <w:iCs/>
        </w:rPr>
        <w:t>e)</w:t>
      </w:r>
      <w:r w:rsidRPr="00486B4E">
        <w:tab/>
        <w:t>examine the accounts of the Union and final</w:t>
      </w:r>
      <w:r>
        <w:t>ly approve them, if appropriate;</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6F29B5" w:rsidRPr="00486B4E" w:rsidRDefault="006F29B5" w:rsidP="006F29B5">
      <w:pPr>
        <w:tabs>
          <w:tab w:val="left" w:pos="1418"/>
        </w:tabs>
        <w:ind w:left="1418" w:hanging="1418"/>
        <w:jc w:val="both"/>
        <w:rPr>
          <w:b/>
        </w:rPr>
      </w:pPr>
    </w:p>
    <w:p w:rsidR="006F29B5" w:rsidRPr="00206CCB" w:rsidRDefault="006F29B5" w:rsidP="006F29B5">
      <w:pPr>
        <w:tabs>
          <w:tab w:val="clear" w:pos="567"/>
        </w:tabs>
        <w:spacing w:before="360" w:after="360"/>
        <w:jc w:val="center"/>
        <w:rPr>
          <w:b/>
          <w:bCs/>
        </w:rPr>
      </w:pPr>
      <w:r w:rsidRPr="00206CCB">
        <w:rPr>
          <w:b/>
          <w:bCs/>
        </w:rPr>
        <w:t>Statements of the accounts of the Union for the years 2014 to 2017 as published</w:t>
      </w:r>
      <w:r>
        <w:rPr>
          <w:b/>
          <w:bCs/>
        </w:rPr>
        <w:br/>
      </w:r>
      <w:r w:rsidRPr="00206CCB">
        <w:rPr>
          <w:b/>
          <w:bCs/>
        </w:rPr>
        <w:t>in the financial operating reports and approved by the Council</w:t>
      </w:r>
    </w:p>
    <w:p w:rsidR="006F29B5" w:rsidRPr="00EA2378" w:rsidRDefault="006F29B5" w:rsidP="006F29B5">
      <w:pPr>
        <w:ind w:left="567" w:hanging="567"/>
        <w:jc w:val="both"/>
      </w:pPr>
      <w:r w:rsidRPr="00486B4E">
        <w:t>A</w:t>
      </w:r>
      <w:r w:rsidRPr="00486B4E">
        <w:tab/>
      </w:r>
      <w:r>
        <w:t>Statements of financial position, Statement of financial performance, Statement of changes in net assets, Cash Flow Statement and Comparison of Budgeted and actual amounts</w:t>
      </w:r>
      <w:r w:rsidRPr="00486B4E">
        <w:t xml:space="preserve"> of the International Telec</w:t>
      </w:r>
      <w:r>
        <w:t>ommunication Union for the 2014 financial period</w:t>
      </w:r>
    </w:p>
    <w:p w:rsidR="006F29B5" w:rsidRPr="00486B4E" w:rsidRDefault="006F29B5" w:rsidP="006F29B5">
      <w:pPr>
        <w:ind w:left="567" w:hanging="567"/>
        <w:jc w:val="both"/>
      </w:pPr>
      <w:r w:rsidRPr="00486B4E">
        <w:t>B</w:t>
      </w:r>
      <w:r w:rsidRPr="00486B4E">
        <w:tab/>
      </w:r>
      <w:r>
        <w:t>Statements of financial position, Statement of financial performance, Statement of changes in net assets, Cash Flow Statement and Comparison of Budgeted and actual amounts</w:t>
      </w:r>
      <w:r w:rsidRPr="00486B4E">
        <w:t xml:space="preserve"> of the International Telec</w:t>
      </w:r>
      <w:r>
        <w:t>ommunication Union for the 2015 financial period</w:t>
      </w:r>
    </w:p>
    <w:p w:rsidR="006F29B5" w:rsidRPr="00486B4E" w:rsidRDefault="006F29B5" w:rsidP="006F29B5">
      <w:pPr>
        <w:ind w:left="567" w:hanging="567"/>
        <w:jc w:val="both"/>
      </w:pPr>
      <w:r>
        <w:t>C</w:t>
      </w:r>
      <w:r>
        <w:tab/>
        <w:t>Statements of financial position, Statement of financial performance, Statement of changes in net assets, Cash Flow Statement and Comparison of Budgeted and actual amounts</w:t>
      </w:r>
      <w:r w:rsidRPr="00486B4E">
        <w:t xml:space="preserve"> of the International Telec</w:t>
      </w:r>
      <w:r>
        <w:t>ommunication Union for the 2016 financial period</w:t>
      </w:r>
    </w:p>
    <w:p w:rsidR="006F29B5" w:rsidRPr="00486B4E" w:rsidRDefault="006F29B5" w:rsidP="006F29B5">
      <w:pPr>
        <w:ind w:left="567" w:hanging="567"/>
        <w:jc w:val="both"/>
      </w:pPr>
      <w:r>
        <w:t>D</w:t>
      </w:r>
      <w:r>
        <w:tab/>
        <w:t>Statements of financial position, Statement of financial performance, Statement of changes in net assets, Cash Flow Statement and Comparison of Budgeted and actual amounts</w:t>
      </w:r>
      <w:r w:rsidRPr="00486B4E">
        <w:t xml:space="preserve"> of the International Telec</w:t>
      </w:r>
      <w:r>
        <w:t>ommunication Union for the 2017 financial period</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6F29B5" w:rsidRPr="00486B4E" w:rsidRDefault="006F29B5" w:rsidP="006F29B5">
      <w:pPr>
        <w:pStyle w:val="AnnexNo"/>
      </w:pPr>
      <w:r>
        <w:t>A</w:t>
      </w:r>
    </w:p>
    <w:p w:rsidR="006F29B5" w:rsidRPr="00486B4E" w:rsidRDefault="006F29B5" w:rsidP="006F29B5">
      <w:pPr>
        <w:pStyle w:val="Annextitle"/>
      </w:pPr>
      <w:r>
        <w:t>Statements of financial position, Statement of financial performance, Statement of changes in net assets, Cash Flow Statement and Comparison of Budgeted and actual amounts</w:t>
      </w:r>
      <w:r w:rsidRPr="00486B4E">
        <w:t xml:space="preserve"> of the International Telec</w:t>
      </w:r>
      <w:r>
        <w:t xml:space="preserve">ommunication Union </w:t>
      </w:r>
      <w:r>
        <w:br/>
        <w:t>for the 2014 financial period</w:t>
      </w:r>
    </w:p>
    <w:p w:rsidR="006F29B5" w:rsidRDefault="006F29B5" w:rsidP="006F29B5">
      <w:pPr>
        <w:spacing w:before="480"/>
        <w:jc w:val="both"/>
      </w:pPr>
      <w:r w:rsidRPr="00486B4E">
        <w:t xml:space="preserve">The financial statements are published in the financial operating report of </w:t>
      </w:r>
      <w:r>
        <w:t xml:space="preserve">the Union for the 2014 </w:t>
      </w:r>
      <w:r w:rsidRPr="007702E8">
        <w:t>financial period and approved by the Council.</w:t>
      </w:r>
    </w:p>
    <w:p w:rsidR="006F29B5" w:rsidRPr="00486B4E" w:rsidRDefault="006F29B5" w:rsidP="006F29B5">
      <w:pPr>
        <w:jc w:val="both"/>
      </w:pPr>
      <w:r w:rsidRPr="001C40CA">
        <w:t>(</w:t>
      </w:r>
      <w:r>
        <w:t xml:space="preserve">Council </w:t>
      </w:r>
      <w:r w:rsidRPr="001C40CA">
        <w:t>Resolution 13</w:t>
      </w:r>
      <w:r>
        <w:t>76</w:t>
      </w:r>
      <w:r w:rsidRPr="001C40CA">
        <w:t xml:space="preserve"> relating to the approval of the financial operating reports audited by the External Auditor of the ITU accounts for the period from 1 January 201</w:t>
      </w:r>
      <w:r>
        <w:t>4</w:t>
      </w:r>
      <w:r w:rsidRPr="001C40CA">
        <w:t xml:space="preserve"> to 31 December 201</w:t>
      </w:r>
      <w:r>
        <w:t>4</w:t>
      </w:r>
      <w:r w:rsidRPr="001C40CA">
        <w:t>)</w:t>
      </w:r>
      <w:r>
        <w:t>.</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pPr>
      <w:r>
        <w:br w:type="page"/>
      </w:r>
    </w:p>
    <w:p w:rsidR="006F29B5" w:rsidRPr="001C2A98" w:rsidRDefault="006F29B5" w:rsidP="006F29B5">
      <w:pPr>
        <w:pStyle w:val="Tabletitle"/>
        <w:rPr>
          <w:sz w:val="28"/>
          <w:szCs w:val="28"/>
          <w:lang w:val="en-US"/>
        </w:rPr>
      </w:pPr>
      <w:bookmarkStart w:id="9" w:name="_Toc305764056"/>
      <w:r w:rsidRPr="001C2A98">
        <w:rPr>
          <w:sz w:val="28"/>
          <w:szCs w:val="28"/>
          <w:lang w:val="en-US"/>
        </w:rPr>
        <w:t>I – Statement of financial position – Balance sheet at 31 December 201</w:t>
      </w:r>
      <w:bookmarkEnd w:id="9"/>
      <w:r>
        <w:rPr>
          <w:sz w:val="28"/>
          <w:szCs w:val="28"/>
          <w:lang w:val="en-US"/>
        </w:rPr>
        <w:t>4</w:t>
      </w:r>
      <w:r w:rsidRPr="001C2A98">
        <w:rPr>
          <w:sz w:val="28"/>
          <w:szCs w:val="28"/>
          <w:lang w:val="en-US"/>
        </w:rPr>
        <w:t xml:space="preserve"> with comparative figures as at 31 December 201</w:t>
      </w:r>
      <w:r>
        <w:rPr>
          <w:sz w:val="28"/>
          <w:szCs w:val="28"/>
          <w:lang w:val="en-US"/>
        </w:rPr>
        <w:t>3</w:t>
      </w:r>
    </w:p>
    <w:tbl>
      <w:tblPr>
        <w:tblW w:w="781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67"/>
        <w:gridCol w:w="1867"/>
      </w:tblGrid>
      <w:tr w:rsidR="006F29B5" w:rsidRPr="00F27F1A" w:rsidTr="006F29B5">
        <w:trPr>
          <w:trHeight w:val="510"/>
          <w:jc w:val="center"/>
        </w:trPr>
        <w:tc>
          <w:tcPr>
            <w:tcW w:w="4077" w:type="dxa"/>
            <w:tcBorders>
              <w:bottom w:val="single" w:sz="4" w:space="0" w:color="auto"/>
              <w:right w:val="single" w:sz="4" w:space="0" w:color="auto"/>
            </w:tcBorders>
            <w:vAlign w:val="center"/>
          </w:tcPr>
          <w:p w:rsidR="006F29B5" w:rsidRPr="00F27F1A" w:rsidRDefault="006F29B5" w:rsidP="006F29B5">
            <w:pPr>
              <w:pStyle w:val="Tablehead"/>
              <w:spacing w:before="20" w:after="20"/>
              <w:jc w:val="left"/>
              <w:rPr>
                <w:sz w:val="20"/>
                <w:lang w:val="en-US"/>
              </w:rPr>
            </w:pPr>
            <w:r w:rsidRPr="001577D5">
              <w:rPr>
                <w:bCs/>
                <w:sz w:val="20"/>
                <w:lang w:val="en-US"/>
              </w:rPr>
              <w:t>(in thousands of CHF)</w:t>
            </w:r>
          </w:p>
        </w:tc>
        <w:tc>
          <w:tcPr>
            <w:tcW w:w="1867" w:type="dxa"/>
            <w:tcBorders>
              <w:left w:val="single" w:sz="4" w:space="0" w:color="auto"/>
              <w:bottom w:val="single" w:sz="4" w:space="0" w:color="auto"/>
              <w:right w:val="single" w:sz="4" w:space="0" w:color="auto"/>
            </w:tcBorders>
            <w:vAlign w:val="center"/>
          </w:tcPr>
          <w:p w:rsidR="006F29B5" w:rsidRPr="00F27F1A" w:rsidRDefault="006F29B5" w:rsidP="006F29B5">
            <w:pPr>
              <w:pStyle w:val="Tablehead"/>
              <w:spacing w:before="20" w:after="20"/>
              <w:ind w:right="130"/>
              <w:jc w:val="right"/>
              <w:rPr>
                <w:sz w:val="20"/>
                <w:lang w:val="en-US"/>
              </w:rPr>
            </w:pPr>
            <w:r w:rsidRPr="00F27F1A">
              <w:rPr>
                <w:sz w:val="20"/>
                <w:lang w:val="en-US"/>
              </w:rPr>
              <w:t>31.12.201</w:t>
            </w:r>
            <w:r>
              <w:rPr>
                <w:sz w:val="20"/>
                <w:lang w:val="en-US"/>
              </w:rPr>
              <w:t>4</w:t>
            </w:r>
          </w:p>
        </w:tc>
        <w:tc>
          <w:tcPr>
            <w:tcW w:w="1867" w:type="dxa"/>
            <w:tcBorders>
              <w:left w:val="single" w:sz="4" w:space="0" w:color="auto"/>
              <w:bottom w:val="single" w:sz="4" w:space="0" w:color="auto"/>
              <w:right w:val="single" w:sz="4" w:space="0" w:color="auto"/>
            </w:tcBorders>
            <w:vAlign w:val="center"/>
          </w:tcPr>
          <w:p w:rsidR="006F29B5" w:rsidRPr="00F27F1A" w:rsidRDefault="006F29B5" w:rsidP="006F29B5">
            <w:pPr>
              <w:pStyle w:val="Tablehead"/>
              <w:spacing w:before="20" w:after="20"/>
              <w:ind w:right="130"/>
              <w:jc w:val="right"/>
              <w:rPr>
                <w:sz w:val="20"/>
                <w:lang w:val="en-US"/>
              </w:rPr>
            </w:pPr>
            <w:r w:rsidRPr="00F27F1A">
              <w:rPr>
                <w:sz w:val="20"/>
                <w:lang w:val="en-US"/>
              </w:rPr>
              <w:t>31.12.201</w:t>
            </w:r>
            <w:r>
              <w:rPr>
                <w:sz w:val="20"/>
                <w:lang w:val="en-US"/>
              </w:rPr>
              <w:t>3</w:t>
            </w:r>
          </w:p>
        </w:tc>
      </w:tr>
      <w:tr w:rsidR="006F29B5" w:rsidRPr="00F27F1A" w:rsidTr="006F29B5">
        <w:trPr>
          <w:trHeight w:val="272"/>
          <w:jc w:val="center"/>
        </w:trPr>
        <w:tc>
          <w:tcPr>
            <w:tcW w:w="4077" w:type="dxa"/>
            <w:tcBorders>
              <w:top w:val="single" w:sz="4" w:space="0" w:color="auto"/>
              <w:bottom w:val="nil"/>
              <w:right w:val="single" w:sz="4" w:space="0" w:color="auto"/>
            </w:tcBorders>
            <w:vAlign w:val="center"/>
          </w:tcPr>
          <w:p w:rsidR="006F29B5" w:rsidRPr="00F27F1A" w:rsidRDefault="006F29B5" w:rsidP="006F29B5">
            <w:pPr>
              <w:pStyle w:val="Tablehead"/>
              <w:spacing w:before="20" w:after="20"/>
              <w:jc w:val="left"/>
              <w:rPr>
                <w:sz w:val="20"/>
                <w:lang w:val="en-US"/>
              </w:rPr>
            </w:pPr>
            <w:r w:rsidRPr="00F27F1A">
              <w:rPr>
                <w:sz w:val="20"/>
                <w:lang w:val="en-US"/>
              </w:rPr>
              <w:t>ASSETS</w:t>
            </w:r>
          </w:p>
        </w:tc>
        <w:tc>
          <w:tcPr>
            <w:tcW w:w="1867" w:type="dxa"/>
            <w:tcBorders>
              <w:top w:val="single" w:sz="4" w:space="0" w:color="auto"/>
              <w:left w:val="single" w:sz="4" w:space="0" w:color="auto"/>
              <w:bottom w:val="nil"/>
              <w:right w:val="single" w:sz="4" w:space="0" w:color="auto"/>
            </w:tcBorders>
            <w:vAlign w:val="center"/>
          </w:tcPr>
          <w:p w:rsidR="006F29B5" w:rsidRPr="00F27F1A" w:rsidRDefault="006F29B5" w:rsidP="006F29B5">
            <w:pPr>
              <w:pStyle w:val="Tablehead"/>
              <w:spacing w:before="20" w:after="20"/>
              <w:ind w:right="130"/>
              <w:jc w:val="right"/>
              <w:rPr>
                <w:sz w:val="20"/>
                <w:lang w:val="en-US"/>
              </w:rPr>
            </w:pPr>
          </w:p>
        </w:tc>
        <w:tc>
          <w:tcPr>
            <w:tcW w:w="1867" w:type="dxa"/>
            <w:tcBorders>
              <w:top w:val="single" w:sz="4" w:space="0" w:color="auto"/>
              <w:left w:val="single" w:sz="4" w:space="0" w:color="auto"/>
              <w:bottom w:val="nil"/>
              <w:right w:val="single" w:sz="4" w:space="0" w:color="auto"/>
            </w:tcBorders>
            <w:vAlign w:val="center"/>
          </w:tcPr>
          <w:p w:rsidR="006F29B5" w:rsidRPr="00F27F1A" w:rsidRDefault="006F29B5" w:rsidP="006F29B5">
            <w:pPr>
              <w:pStyle w:val="Tablehead"/>
              <w:spacing w:before="20" w:after="20"/>
              <w:ind w:right="130"/>
              <w:jc w:val="right"/>
              <w:rPr>
                <w:sz w:val="20"/>
                <w:lang w:val="en-US"/>
              </w:rPr>
            </w:pPr>
          </w:p>
        </w:tc>
      </w:tr>
      <w:tr w:rsidR="006F29B5" w:rsidRPr="00F27F1A" w:rsidTr="006F29B5">
        <w:trPr>
          <w:jc w:val="center"/>
        </w:trPr>
        <w:tc>
          <w:tcPr>
            <w:tcW w:w="4077" w:type="dxa"/>
            <w:tcBorders>
              <w:top w:val="nil"/>
              <w:bottom w:val="nil"/>
              <w:right w:val="single" w:sz="4" w:space="0" w:color="auto"/>
            </w:tcBorders>
            <w:vAlign w:val="bottom"/>
          </w:tcPr>
          <w:p w:rsidR="006F29B5" w:rsidRPr="00F27F1A" w:rsidRDefault="006F29B5" w:rsidP="006F29B5">
            <w:pPr>
              <w:pStyle w:val="Tabletext"/>
              <w:spacing w:before="0" w:after="0"/>
              <w:rPr>
                <w:sz w:val="20"/>
                <w:lang w:val="en-US" w:eastAsia="fr-FR"/>
              </w:rPr>
            </w:pPr>
            <w:r w:rsidRPr="00F27F1A">
              <w:rPr>
                <w:b/>
                <w:bCs/>
                <w:sz w:val="20"/>
                <w:lang w:val="en-US"/>
              </w:rPr>
              <w:t>Current assets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0" w:after="0"/>
              <w:ind w:right="130"/>
              <w:jc w:val="right"/>
              <w:rPr>
                <w:sz w:val="20"/>
                <w:lang w:val="en-US" w:eastAsia="fr-FR"/>
              </w:rPr>
            </w:pP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Cash and cash equivalents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75’430</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59’616</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Investments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87’074</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88’244</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 xml:space="preserve">Receivables </w:t>
            </w:r>
            <w:r w:rsidRPr="00F27F1A">
              <w:rPr>
                <w:sz w:val="20"/>
                <w:lang w:val="en-US"/>
              </w:rPr>
              <w:sym w:font="Symbol" w:char="F02D"/>
            </w:r>
            <w:r w:rsidRPr="00F27F1A">
              <w:rPr>
                <w:sz w:val="20"/>
                <w:lang w:val="en-US"/>
              </w:rPr>
              <w:t xml:space="preserve"> exchange transactions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7’361</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6’385</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fr-CH" w:eastAsia="fr-FR"/>
              </w:rPr>
            </w:pPr>
            <w:r w:rsidRPr="00F27F1A">
              <w:rPr>
                <w:sz w:val="20"/>
                <w:lang w:val="fr-CH"/>
              </w:rPr>
              <w:t xml:space="preserve">Receivables </w:t>
            </w:r>
            <w:r w:rsidRPr="00F27F1A">
              <w:rPr>
                <w:sz w:val="20"/>
                <w:lang w:val="en-US"/>
              </w:rPr>
              <w:sym w:font="Symbol" w:char="F02D"/>
            </w:r>
            <w:r w:rsidRPr="00F27F1A">
              <w:rPr>
                <w:sz w:val="20"/>
                <w:lang w:val="fr-CH"/>
              </w:rPr>
              <w:t xml:space="preserve"> non-exchange transactions (Contributions)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79’448</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77’046</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Inventories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650</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815</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Other receivables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8’831</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8’974</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b/>
                <w:bCs/>
                <w:sz w:val="20"/>
                <w:lang w:val="en-US" w:eastAsia="fr-FR"/>
              </w:rPr>
            </w:pPr>
            <w:r w:rsidRPr="00F27F1A">
              <w:rPr>
                <w:b/>
                <w:bCs/>
                <w:sz w:val="20"/>
                <w:lang w:val="en-US"/>
              </w:rPr>
              <w:t>Total current assets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b/>
                <w:bCs/>
                <w:sz w:val="20"/>
                <w:lang w:val="en-US"/>
              </w:rPr>
            </w:pPr>
            <w:r w:rsidRPr="00FD0927">
              <w:rPr>
                <w:b/>
                <w:bCs/>
                <w:sz w:val="20"/>
                <w:lang w:val="en-US"/>
              </w:rPr>
              <w:t>258’794</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b/>
                <w:bCs/>
                <w:sz w:val="20"/>
                <w:lang w:val="en-US"/>
              </w:rPr>
            </w:pPr>
            <w:r>
              <w:rPr>
                <w:b/>
                <w:bCs/>
                <w:sz w:val="20"/>
                <w:lang w:val="en-US"/>
              </w:rPr>
              <w:t>241’080</w:t>
            </w:r>
          </w:p>
        </w:tc>
      </w:tr>
      <w:tr w:rsidR="006F29B5" w:rsidRPr="00F27F1A" w:rsidTr="006F29B5">
        <w:trPr>
          <w:trHeight w:val="454"/>
          <w:jc w:val="center"/>
        </w:trPr>
        <w:tc>
          <w:tcPr>
            <w:tcW w:w="4077" w:type="dxa"/>
            <w:tcBorders>
              <w:top w:val="nil"/>
              <w:bottom w:val="nil"/>
              <w:right w:val="single" w:sz="4" w:space="0" w:color="auto"/>
            </w:tcBorders>
            <w:vAlign w:val="bottom"/>
          </w:tcPr>
          <w:p w:rsidR="006F29B5" w:rsidRPr="00F27F1A" w:rsidRDefault="006F29B5" w:rsidP="006F29B5">
            <w:pPr>
              <w:pStyle w:val="Tabletext"/>
              <w:spacing w:before="0" w:after="0"/>
              <w:rPr>
                <w:sz w:val="20"/>
                <w:lang w:val="en-US" w:eastAsia="fr-FR"/>
              </w:rPr>
            </w:pPr>
            <w:r w:rsidRPr="00F27F1A">
              <w:rPr>
                <w:b/>
                <w:bCs/>
                <w:sz w:val="20"/>
                <w:lang w:val="en-US"/>
              </w:rPr>
              <w:t>Non-current assets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Property, plant and equipment</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107’449</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112’098</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Intangible assets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4’077</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2’862</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b/>
                <w:bCs/>
                <w:sz w:val="20"/>
                <w:lang w:val="en-US" w:eastAsia="fr-FR"/>
              </w:rPr>
            </w:pPr>
            <w:r w:rsidRPr="00F27F1A">
              <w:rPr>
                <w:b/>
                <w:bCs/>
                <w:sz w:val="20"/>
                <w:lang w:val="en-US"/>
              </w:rPr>
              <w:t>Total non-current assets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b/>
                <w:bCs/>
                <w:sz w:val="20"/>
                <w:lang w:val="en-US"/>
              </w:rPr>
            </w:pPr>
            <w:r w:rsidRPr="00FD0927">
              <w:rPr>
                <w:b/>
                <w:bCs/>
                <w:sz w:val="20"/>
                <w:lang w:val="en-US"/>
              </w:rPr>
              <w:t>111’526</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b/>
                <w:bCs/>
                <w:sz w:val="20"/>
                <w:lang w:val="en-US"/>
              </w:rPr>
            </w:pPr>
            <w:r>
              <w:rPr>
                <w:b/>
                <w:bCs/>
                <w:sz w:val="20"/>
                <w:lang w:val="en-US"/>
              </w:rPr>
              <w:t>114’960</w:t>
            </w:r>
          </w:p>
        </w:tc>
      </w:tr>
      <w:tr w:rsidR="006F29B5" w:rsidRPr="00F27F1A" w:rsidTr="006F29B5">
        <w:trPr>
          <w:jc w:val="center"/>
        </w:trPr>
        <w:tc>
          <w:tcPr>
            <w:tcW w:w="4077" w:type="dxa"/>
            <w:tcBorders>
              <w:right w:val="single" w:sz="4" w:space="0" w:color="auto"/>
            </w:tcBorders>
          </w:tcPr>
          <w:p w:rsidR="006F29B5" w:rsidRPr="00F27F1A" w:rsidRDefault="006F29B5" w:rsidP="006F29B5">
            <w:pPr>
              <w:pStyle w:val="Tabletext"/>
              <w:spacing w:before="0" w:after="0"/>
              <w:rPr>
                <w:b/>
                <w:bCs/>
                <w:sz w:val="20"/>
                <w:lang w:val="en-US" w:eastAsia="fr-FR"/>
              </w:rPr>
            </w:pPr>
            <w:r w:rsidRPr="00F27F1A">
              <w:rPr>
                <w:b/>
                <w:bCs/>
                <w:sz w:val="20"/>
                <w:lang w:val="en-US"/>
              </w:rPr>
              <w:t>TOTAL ASSETS</w:t>
            </w:r>
          </w:p>
        </w:tc>
        <w:tc>
          <w:tcPr>
            <w:tcW w:w="1867" w:type="dxa"/>
            <w:tcBorders>
              <w:left w:val="single" w:sz="4" w:space="0" w:color="auto"/>
              <w:right w:val="single" w:sz="4" w:space="0" w:color="auto"/>
            </w:tcBorders>
          </w:tcPr>
          <w:p w:rsidR="006F29B5" w:rsidRPr="00FD0927" w:rsidRDefault="006F29B5" w:rsidP="006F29B5">
            <w:pPr>
              <w:pStyle w:val="Tabletext"/>
              <w:spacing w:before="20" w:after="20"/>
              <w:jc w:val="right"/>
              <w:rPr>
                <w:b/>
                <w:bCs/>
                <w:sz w:val="20"/>
                <w:lang w:val="en-US"/>
              </w:rPr>
            </w:pPr>
            <w:r w:rsidRPr="00FD0927">
              <w:rPr>
                <w:b/>
                <w:bCs/>
                <w:sz w:val="20"/>
                <w:lang w:val="en-US"/>
              </w:rPr>
              <w:t>370’320</w:t>
            </w:r>
          </w:p>
        </w:tc>
        <w:tc>
          <w:tcPr>
            <w:tcW w:w="1867" w:type="dxa"/>
            <w:tcBorders>
              <w:left w:val="single" w:sz="4" w:space="0" w:color="auto"/>
              <w:right w:val="single" w:sz="4" w:space="0" w:color="auto"/>
            </w:tcBorders>
          </w:tcPr>
          <w:p w:rsidR="006F29B5" w:rsidRPr="00F27F1A" w:rsidRDefault="006F29B5" w:rsidP="006F29B5">
            <w:pPr>
              <w:pStyle w:val="Tabletext"/>
              <w:spacing w:before="20" w:after="20"/>
              <w:jc w:val="right"/>
              <w:rPr>
                <w:b/>
                <w:bCs/>
                <w:sz w:val="20"/>
                <w:lang w:val="en-US"/>
              </w:rPr>
            </w:pPr>
            <w:r>
              <w:rPr>
                <w:b/>
                <w:bCs/>
                <w:sz w:val="20"/>
                <w:lang w:val="en-US"/>
              </w:rPr>
              <w:t>356’040</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head"/>
              <w:spacing w:before="0" w:after="0"/>
              <w:jc w:val="left"/>
              <w:rPr>
                <w:sz w:val="20"/>
                <w:lang w:val="en-US" w:eastAsia="fr-FR"/>
              </w:rPr>
            </w:pPr>
            <w:r w:rsidRPr="00F27F1A">
              <w:rPr>
                <w:bCs/>
                <w:sz w:val="20"/>
                <w:lang w:val="en-US"/>
              </w:rPr>
              <w:t>LIABILITIES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head"/>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rsidR="006F29B5" w:rsidRPr="00F27F1A" w:rsidRDefault="006F29B5" w:rsidP="006F29B5">
            <w:pPr>
              <w:pStyle w:val="Tablehead"/>
              <w:spacing w:before="0" w:after="0"/>
              <w:ind w:right="130"/>
              <w:jc w:val="right"/>
              <w:rPr>
                <w:sz w:val="20"/>
                <w:lang w:val="en-US" w:eastAsia="fr-FR"/>
              </w:rPr>
            </w:pPr>
          </w:p>
        </w:tc>
      </w:tr>
      <w:tr w:rsidR="006F29B5" w:rsidRPr="00F27F1A" w:rsidTr="006F29B5">
        <w:trPr>
          <w:trHeight w:val="272"/>
          <w:jc w:val="center"/>
        </w:trPr>
        <w:tc>
          <w:tcPr>
            <w:tcW w:w="4077" w:type="dxa"/>
            <w:tcBorders>
              <w:top w:val="nil"/>
              <w:bottom w:val="nil"/>
              <w:right w:val="single" w:sz="4" w:space="0" w:color="auto"/>
            </w:tcBorders>
            <w:vAlign w:val="bottom"/>
          </w:tcPr>
          <w:p w:rsidR="006F29B5" w:rsidRPr="00F27F1A" w:rsidRDefault="006F29B5" w:rsidP="006F29B5">
            <w:pPr>
              <w:pStyle w:val="Tabletext"/>
              <w:spacing w:before="0" w:after="0"/>
              <w:rPr>
                <w:sz w:val="20"/>
                <w:lang w:val="en-US" w:eastAsia="fr-FR"/>
              </w:rPr>
            </w:pPr>
            <w:r w:rsidRPr="00F27F1A">
              <w:rPr>
                <w:b/>
                <w:bCs/>
                <w:sz w:val="20"/>
                <w:lang w:val="en-US"/>
              </w:rPr>
              <w:t>Current liabilities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0" w:after="0"/>
              <w:ind w:right="130"/>
              <w:jc w:val="right"/>
              <w:rPr>
                <w:sz w:val="20"/>
                <w:lang w:val="en-US" w:eastAsia="fr-FR"/>
              </w:rPr>
            </w:pP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Suppliers and other creditors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9’154</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9’686</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Deferred revenue</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129’486</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127’951</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Borrowings and financial debts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1’493</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1’493</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Employee benefits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484</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481</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Provisions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845</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897</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Other debts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2’977</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1’614</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current liabilities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b/>
                <w:bCs/>
                <w:sz w:val="20"/>
                <w:lang w:val="en-US"/>
              </w:rPr>
            </w:pPr>
            <w:r w:rsidRPr="00FD0927">
              <w:rPr>
                <w:b/>
                <w:bCs/>
                <w:sz w:val="20"/>
                <w:lang w:val="en-US"/>
              </w:rPr>
              <w:t>144’439</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b/>
                <w:bCs/>
                <w:sz w:val="20"/>
                <w:lang w:val="en-US"/>
              </w:rPr>
            </w:pPr>
            <w:r>
              <w:rPr>
                <w:b/>
                <w:bCs/>
                <w:sz w:val="20"/>
                <w:lang w:val="en-US"/>
              </w:rPr>
              <w:t>142’122</w:t>
            </w:r>
          </w:p>
        </w:tc>
      </w:tr>
      <w:tr w:rsidR="006F29B5" w:rsidRPr="00F27F1A" w:rsidTr="006F29B5">
        <w:trPr>
          <w:trHeight w:val="272"/>
          <w:jc w:val="center"/>
        </w:trPr>
        <w:tc>
          <w:tcPr>
            <w:tcW w:w="4077" w:type="dxa"/>
            <w:tcBorders>
              <w:top w:val="nil"/>
              <w:bottom w:val="nil"/>
              <w:right w:val="single" w:sz="4" w:space="0" w:color="auto"/>
            </w:tcBorders>
            <w:vAlign w:val="bottom"/>
          </w:tcPr>
          <w:p w:rsidR="006F29B5" w:rsidRPr="00F27F1A" w:rsidRDefault="006F29B5" w:rsidP="006F29B5">
            <w:pPr>
              <w:pStyle w:val="Tabletext"/>
              <w:spacing w:before="0" w:after="0"/>
              <w:rPr>
                <w:sz w:val="20"/>
                <w:lang w:val="en-US" w:eastAsia="fr-FR"/>
              </w:rPr>
            </w:pPr>
            <w:r w:rsidRPr="00F27F1A">
              <w:rPr>
                <w:b/>
                <w:bCs/>
                <w:sz w:val="20"/>
                <w:lang w:val="en-US"/>
              </w:rPr>
              <w:t>Non-current liabilities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Borrowings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45’286</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46’779</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Employee benefits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534’358</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335’096</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Allocated third-party funds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30’027</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26’114</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sz w:val="20"/>
                <w:lang w:val="en-US"/>
              </w:rPr>
              <w:t>Third-party funds in process of allocation</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2’233</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2’097</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non-current liabilities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b/>
                <w:bCs/>
                <w:sz w:val="20"/>
                <w:lang w:val="en-US"/>
              </w:rPr>
            </w:pPr>
            <w:r w:rsidRPr="00FD0927">
              <w:rPr>
                <w:b/>
                <w:bCs/>
                <w:sz w:val="20"/>
                <w:lang w:val="en-US"/>
              </w:rPr>
              <w:t>611’904</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b/>
                <w:bCs/>
                <w:sz w:val="20"/>
                <w:lang w:val="en-US"/>
              </w:rPr>
            </w:pPr>
            <w:r>
              <w:rPr>
                <w:b/>
                <w:bCs/>
                <w:sz w:val="20"/>
                <w:lang w:val="en-US"/>
              </w:rPr>
              <w:t>410’086</w:t>
            </w:r>
          </w:p>
        </w:tc>
      </w:tr>
      <w:tr w:rsidR="006F29B5" w:rsidRPr="00F27F1A" w:rsidTr="006F29B5">
        <w:trPr>
          <w:jc w:val="center"/>
        </w:trPr>
        <w:tc>
          <w:tcPr>
            <w:tcW w:w="4077" w:type="dxa"/>
            <w:tcBorders>
              <w:bottom w:val="single" w:sz="4" w:space="0" w:color="auto"/>
              <w:right w:val="single" w:sz="4" w:space="0" w:color="auto"/>
            </w:tcBorders>
          </w:tcPr>
          <w:p w:rsidR="006F29B5" w:rsidRPr="00F27F1A" w:rsidRDefault="006F29B5" w:rsidP="006F29B5">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LIABILITIES</w:t>
            </w:r>
          </w:p>
        </w:tc>
        <w:tc>
          <w:tcPr>
            <w:tcW w:w="1867" w:type="dxa"/>
            <w:tcBorders>
              <w:left w:val="single" w:sz="4" w:space="0" w:color="auto"/>
              <w:bottom w:val="single" w:sz="4" w:space="0" w:color="auto"/>
              <w:right w:val="single" w:sz="4" w:space="0" w:color="auto"/>
            </w:tcBorders>
          </w:tcPr>
          <w:p w:rsidR="006F29B5" w:rsidRPr="00FD0927" w:rsidRDefault="006F29B5" w:rsidP="006F29B5">
            <w:pPr>
              <w:pStyle w:val="Tabletext"/>
              <w:spacing w:before="20" w:after="20"/>
              <w:jc w:val="right"/>
              <w:rPr>
                <w:b/>
                <w:bCs/>
                <w:sz w:val="20"/>
                <w:lang w:val="en-US"/>
              </w:rPr>
            </w:pPr>
            <w:r w:rsidRPr="00FD0927">
              <w:rPr>
                <w:b/>
                <w:bCs/>
                <w:sz w:val="20"/>
                <w:lang w:val="en-US"/>
              </w:rPr>
              <w:t>756’343</w:t>
            </w:r>
          </w:p>
        </w:tc>
        <w:tc>
          <w:tcPr>
            <w:tcW w:w="1867" w:type="dxa"/>
            <w:tcBorders>
              <w:left w:val="single" w:sz="4" w:space="0" w:color="auto"/>
              <w:bottom w:val="single" w:sz="4" w:space="0" w:color="auto"/>
              <w:right w:val="single" w:sz="4" w:space="0" w:color="auto"/>
            </w:tcBorders>
          </w:tcPr>
          <w:p w:rsidR="006F29B5" w:rsidRPr="00F27F1A" w:rsidRDefault="006F29B5" w:rsidP="006F29B5">
            <w:pPr>
              <w:pStyle w:val="Tabletext"/>
              <w:spacing w:before="20" w:after="20"/>
              <w:jc w:val="right"/>
              <w:rPr>
                <w:b/>
                <w:bCs/>
                <w:sz w:val="20"/>
                <w:lang w:val="en-US"/>
              </w:rPr>
            </w:pPr>
            <w:r>
              <w:rPr>
                <w:b/>
                <w:bCs/>
                <w:sz w:val="20"/>
                <w:lang w:val="en-US"/>
              </w:rPr>
              <w:t>552’208</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sidRPr="00F27F1A">
              <w:rPr>
                <w:b/>
                <w:bCs/>
                <w:sz w:val="20"/>
                <w:lang w:val="en-US"/>
              </w:rPr>
              <w:t>NET ASSETS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0" w:after="0"/>
              <w:ind w:right="130"/>
              <w:jc w:val="right"/>
              <w:rPr>
                <w:sz w:val="20"/>
                <w:lang w:val="en-US" w:eastAsia="fr-FR"/>
              </w:rPr>
            </w:pP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rPr>
            </w:pPr>
            <w:r>
              <w:rPr>
                <w:sz w:val="20"/>
                <w:lang w:val="en-US"/>
              </w:rPr>
              <w:t>Effect of transition to IPSAS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-125’100</w:t>
            </w:r>
          </w:p>
        </w:tc>
        <w:tc>
          <w:tcPr>
            <w:tcW w:w="1867" w:type="dxa"/>
            <w:tcBorders>
              <w:top w:val="nil"/>
              <w:left w:val="single" w:sz="4" w:space="0" w:color="auto"/>
              <w:bottom w:val="nil"/>
              <w:right w:val="single" w:sz="4" w:space="0" w:color="auto"/>
            </w:tcBorders>
          </w:tcPr>
          <w:p w:rsidR="006F29B5" w:rsidRPr="00031FC9" w:rsidRDefault="006F29B5" w:rsidP="006F29B5">
            <w:pPr>
              <w:pStyle w:val="Tabletext"/>
              <w:spacing w:before="20" w:after="20"/>
              <w:jc w:val="right"/>
              <w:rPr>
                <w:sz w:val="20"/>
                <w:lang w:val="en-US"/>
              </w:rPr>
            </w:pPr>
            <w:r w:rsidRPr="00031FC9">
              <w:rPr>
                <w:sz w:val="20"/>
                <w:lang w:val="en-US"/>
              </w:rPr>
              <w:t>-</w:t>
            </w:r>
            <w:r w:rsidRPr="00682E1B">
              <w:rPr>
                <w:sz w:val="20"/>
                <w:lang w:val="en-US"/>
              </w:rPr>
              <w:t>125</w:t>
            </w:r>
            <w:r>
              <w:rPr>
                <w:sz w:val="20"/>
                <w:lang w:val="en-US"/>
              </w:rPr>
              <w:t>’</w:t>
            </w:r>
            <w:r w:rsidRPr="00682E1B">
              <w:rPr>
                <w:sz w:val="20"/>
                <w:lang w:val="en-US"/>
              </w:rPr>
              <w:t>100</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rPr>
            </w:pPr>
            <w:r>
              <w:rPr>
                <w:sz w:val="20"/>
                <w:lang w:val="en-US"/>
              </w:rPr>
              <w:t>Reserve Account before reallocation of the surplus/Deficit of the period</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26’325</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28’221</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rPr>
            </w:pPr>
            <w:r>
              <w:rPr>
                <w:sz w:val="20"/>
                <w:lang w:val="en-US"/>
              </w:rPr>
              <w:t>Other allocated reserves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33’129</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24’408</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Pr>
                <w:sz w:val="20"/>
                <w:lang w:val="en-US"/>
              </w:rPr>
              <w:t>Extra-budgetary funds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12’688</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11’469</w:t>
            </w:r>
          </w:p>
        </w:tc>
      </w:tr>
      <w:tr w:rsidR="006F29B5" w:rsidRPr="00F27F1A" w:rsidTr="006F29B5">
        <w:trPr>
          <w:jc w:val="center"/>
        </w:trPr>
        <w:tc>
          <w:tcPr>
            <w:tcW w:w="4077" w:type="dxa"/>
            <w:tcBorders>
              <w:top w:val="nil"/>
              <w:bottom w:val="nil"/>
              <w:right w:val="single" w:sz="4" w:space="0" w:color="auto"/>
            </w:tcBorders>
          </w:tcPr>
          <w:p w:rsidR="006F29B5" w:rsidRPr="00F27F1A" w:rsidRDefault="006F29B5" w:rsidP="006F29B5">
            <w:pPr>
              <w:pStyle w:val="Tabletext"/>
              <w:spacing w:before="0" w:after="0"/>
              <w:rPr>
                <w:sz w:val="20"/>
                <w:lang w:val="en-US" w:eastAsia="fr-FR"/>
              </w:rPr>
            </w:pPr>
            <w:r>
              <w:rPr>
                <w:sz w:val="20"/>
                <w:lang w:val="en-US"/>
              </w:rPr>
              <w:t>ASHI actuarial losses</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-312’708</w:t>
            </w:r>
          </w:p>
        </w:tc>
        <w:tc>
          <w:tcPr>
            <w:tcW w:w="1867" w:type="dxa"/>
            <w:tcBorders>
              <w:top w:val="nil"/>
              <w:left w:val="single" w:sz="4" w:space="0" w:color="auto"/>
              <w:bottom w:val="nil"/>
              <w:right w:val="single" w:sz="4" w:space="0" w:color="auto"/>
            </w:tcBorders>
          </w:tcPr>
          <w:p w:rsidR="006F29B5" w:rsidRPr="00F27F1A" w:rsidRDefault="006F29B5" w:rsidP="006F29B5">
            <w:pPr>
              <w:pStyle w:val="Tabletext"/>
              <w:spacing w:before="20" w:after="20"/>
              <w:jc w:val="right"/>
              <w:rPr>
                <w:sz w:val="20"/>
                <w:lang w:val="en-US"/>
              </w:rPr>
            </w:pPr>
            <w:r>
              <w:rPr>
                <w:sz w:val="20"/>
                <w:lang w:val="en-US"/>
              </w:rPr>
              <w:t>-125’263</w:t>
            </w:r>
          </w:p>
        </w:tc>
      </w:tr>
      <w:tr w:rsidR="006F29B5" w:rsidRPr="00F27F1A" w:rsidTr="006F29B5">
        <w:trPr>
          <w:jc w:val="center"/>
        </w:trPr>
        <w:tc>
          <w:tcPr>
            <w:tcW w:w="4077" w:type="dxa"/>
            <w:tcBorders>
              <w:top w:val="nil"/>
              <w:bottom w:val="nil"/>
              <w:right w:val="single" w:sz="4" w:space="0" w:color="auto"/>
            </w:tcBorders>
          </w:tcPr>
          <w:p w:rsidR="006F29B5" w:rsidRPr="007A3A58" w:rsidRDefault="006F29B5" w:rsidP="006F29B5">
            <w:pPr>
              <w:pStyle w:val="Tabletext"/>
              <w:spacing w:before="0" w:after="0"/>
              <w:rPr>
                <w:sz w:val="20"/>
                <w:lang w:val="en-US"/>
              </w:rPr>
            </w:pPr>
            <w:r w:rsidRPr="007A3A58">
              <w:rPr>
                <w:sz w:val="20"/>
                <w:lang w:val="en-US"/>
              </w:rPr>
              <w:t>Cumulated non budgetary result</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-14’817</w:t>
            </w:r>
          </w:p>
        </w:tc>
        <w:tc>
          <w:tcPr>
            <w:tcW w:w="1867" w:type="dxa"/>
            <w:tcBorders>
              <w:top w:val="nil"/>
              <w:left w:val="single" w:sz="4" w:space="0" w:color="auto"/>
              <w:bottom w:val="nil"/>
              <w:right w:val="single" w:sz="4" w:space="0" w:color="auto"/>
            </w:tcBorders>
          </w:tcPr>
          <w:p w:rsidR="006F29B5" w:rsidRPr="00952504" w:rsidRDefault="006F29B5" w:rsidP="006F29B5">
            <w:pPr>
              <w:pStyle w:val="Tabletext"/>
              <w:spacing w:before="20" w:after="20"/>
              <w:jc w:val="right"/>
              <w:rPr>
                <w:sz w:val="20"/>
                <w:lang w:val="en-US"/>
              </w:rPr>
            </w:pPr>
            <w:r w:rsidRPr="007A3A58">
              <w:rPr>
                <w:sz w:val="20"/>
                <w:lang w:val="en-US"/>
              </w:rPr>
              <w:t>-12</w:t>
            </w:r>
            <w:r>
              <w:rPr>
                <w:sz w:val="20"/>
                <w:lang w:val="en-US"/>
              </w:rPr>
              <w:t>’</w:t>
            </w:r>
            <w:r w:rsidRPr="007A3A58">
              <w:rPr>
                <w:sz w:val="20"/>
                <w:lang w:val="en-US"/>
              </w:rPr>
              <w:t>7</w:t>
            </w:r>
            <w:r>
              <w:rPr>
                <w:sz w:val="20"/>
                <w:lang w:val="en-US"/>
              </w:rPr>
              <w:t>20</w:t>
            </w:r>
          </w:p>
        </w:tc>
      </w:tr>
      <w:tr w:rsidR="006F29B5" w:rsidRPr="00F27F1A" w:rsidTr="006F29B5">
        <w:trPr>
          <w:jc w:val="center"/>
        </w:trPr>
        <w:tc>
          <w:tcPr>
            <w:tcW w:w="4077" w:type="dxa"/>
            <w:tcBorders>
              <w:top w:val="nil"/>
              <w:bottom w:val="nil"/>
              <w:right w:val="single" w:sz="4" w:space="0" w:color="auto"/>
            </w:tcBorders>
          </w:tcPr>
          <w:p w:rsidR="006F29B5" w:rsidRPr="007A3A58" w:rsidRDefault="006F29B5" w:rsidP="006F29B5">
            <w:pPr>
              <w:pStyle w:val="Tabletext"/>
              <w:spacing w:before="0" w:after="0"/>
              <w:rPr>
                <w:sz w:val="20"/>
                <w:lang w:val="en-US"/>
              </w:rPr>
            </w:pPr>
            <w:r w:rsidRPr="007A3A58">
              <w:rPr>
                <w:sz w:val="20"/>
                <w:lang w:val="en-US"/>
              </w:rPr>
              <w:t>Surplus/Deficit for the period</w:t>
            </w:r>
          </w:p>
        </w:tc>
        <w:tc>
          <w:tcPr>
            <w:tcW w:w="1867" w:type="dxa"/>
            <w:tcBorders>
              <w:top w:val="nil"/>
              <w:left w:val="single" w:sz="4" w:space="0" w:color="auto"/>
              <w:bottom w:val="nil"/>
              <w:right w:val="single" w:sz="4" w:space="0" w:color="auto"/>
            </w:tcBorders>
          </w:tcPr>
          <w:p w:rsidR="006F29B5" w:rsidRPr="00FD0927" w:rsidRDefault="006F29B5" w:rsidP="006F29B5">
            <w:pPr>
              <w:pStyle w:val="Tabletext"/>
              <w:spacing w:before="20" w:after="20"/>
              <w:jc w:val="right"/>
              <w:rPr>
                <w:sz w:val="20"/>
                <w:lang w:val="en-US"/>
              </w:rPr>
            </w:pPr>
            <w:r w:rsidRPr="00FD0927">
              <w:rPr>
                <w:sz w:val="20"/>
                <w:lang w:val="en-US"/>
              </w:rPr>
              <w:t>-5’541</w:t>
            </w:r>
          </w:p>
        </w:tc>
        <w:tc>
          <w:tcPr>
            <w:tcW w:w="1867" w:type="dxa"/>
            <w:tcBorders>
              <w:top w:val="nil"/>
              <w:left w:val="single" w:sz="4" w:space="0" w:color="auto"/>
              <w:bottom w:val="nil"/>
              <w:right w:val="single" w:sz="4" w:space="0" w:color="auto"/>
            </w:tcBorders>
          </w:tcPr>
          <w:p w:rsidR="006F29B5" w:rsidRPr="00031FC9" w:rsidRDefault="006F29B5" w:rsidP="006F29B5">
            <w:pPr>
              <w:pStyle w:val="Tabletext"/>
              <w:spacing w:before="20" w:after="20"/>
              <w:jc w:val="right"/>
              <w:rPr>
                <w:sz w:val="20"/>
                <w:lang w:val="en-US"/>
              </w:rPr>
            </w:pPr>
            <w:r w:rsidRPr="007A3A58">
              <w:rPr>
                <w:sz w:val="20"/>
                <w:lang w:val="en-US"/>
              </w:rPr>
              <w:t>2</w:t>
            </w:r>
            <w:r>
              <w:rPr>
                <w:sz w:val="20"/>
                <w:lang w:val="en-US"/>
              </w:rPr>
              <w:t>’817</w:t>
            </w:r>
          </w:p>
        </w:tc>
      </w:tr>
      <w:tr w:rsidR="006F29B5" w:rsidRPr="00F27F1A" w:rsidTr="006F29B5">
        <w:trPr>
          <w:trHeight w:val="397"/>
          <w:jc w:val="center"/>
        </w:trPr>
        <w:tc>
          <w:tcPr>
            <w:tcW w:w="4077" w:type="dxa"/>
            <w:tcBorders>
              <w:right w:val="single" w:sz="4" w:space="0" w:color="auto"/>
            </w:tcBorders>
            <w:vAlign w:val="center"/>
          </w:tcPr>
          <w:p w:rsidR="006F29B5" w:rsidRPr="00F27F1A" w:rsidRDefault="006F29B5" w:rsidP="006F29B5">
            <w:pPr>
              <w:pStyle w:val="Tabletext"/>
              <w:spacing w:before="0" w:after="0"/>
              <w:rPr>
                <w:b/>
                <w:bCs/>
                <w:sz w:val="20"/>
                <w:lang w:val="en-US" w:eastAsia="fr-FR"/>
              </w:rPr>
            </w:pPr>
            <w:r w:rsidRPr="00F27F1A">
              <w:rPr>
                <w:b/>
                <w:bCs/>
                <w:sz w:val="20"/>
                <w:lang w:val="en-US" w:eastAsia="fr-FR"/>
              </w:rPr>
              <w:t>TOTAL</w:t>
            </w:r>
            <w:r w:rsidRPr="00F27F1A">
              <w:rPr>
                <w:b/>
                <w:bCs/>
                <w:sz w:val="20"/>
                <w:lang w:val="en-US"/>
              </w:rPr>
              <w:t xml:space="preserve"> NET ASSETS</w:t>
            </w:r>
          </w:p>
        </w:tc>
        <w:tc>
          <w:tcPr>
            <w:tcW w:w="1867" w:type="dxa"/>
            <w:tcBorders>
              <w:left w:val="single" w:sz="4" w:space="0" w:color="auto"/>
              <w:right w:val="single" w:sz="4" w:space="0" w:color="auto"/>
            </w:tcBorders>
            <w:vAlign w:val="center"/>
          </w:tcPr>
          <w:p w:rsidR="006F29B5" w:rsidRPr="00FD0927" w:rsidRDefault="006F29B5" w:rsidP="006F29B5">
            <w:pPr>
              <w:pStyle w:val="Tabletext"/>
              <w:spacing w:before="20" w:after="20"/>
              <w:jc w:val="right"/>
              <w:rPr>
                <w:b/>
                <w:bCs/>
                <w:sz w:val="20"/>
                <w:lang w:val="en-US"/>
              </w:rPr>
            </w:pPr>
            <w:r w:rsidRPr="00FD0927">
              <w:rPr>
                <w:b/>
                <w:bCs/>
                <w:sz w:val="20"/>
                <w:lang w:val="en-US"/>
              </w:rPr>
              <w:t>-386’024</w:t>
            </w:r>
          </w:p>
        </w:tc>
        <w:tc>
          <w:tcPr>
            <w:tcW w:w="1867" w:type="dxa"/>
            <w:tcBorders>
              <w:left w:val="single" w:sz="4" w:space="0" w:color="auto"/>
              <w:right w:val="single" w:sz="4" w:space="0" w:color="auto"/>
            </w:tcBorders>
            <w:vAlign w:val="center"/>
          </w:tcPr>
          <w:p w:rsidR="006F29B5" w:rsidRPr="00031FC9" w:rsidRDefault="006F29B5" w:rsidP="006F29B5">
            <w:pPr>
              <w:pStyle w:val="Tabletext"/>
              <w:spacing w:before="20" w:after="20"/>
              <w:jc w:val="right"/>
              <w:rPr>
                <w:b/>
                <w:bCs/>
                <w:sz w:val="20"/>
                <w:lang w:val="en-US"/>
              </w:rPr>
            </w:pPr>
            <w:r w:rsidRPr="00031FC9">
              <w:rPr>
                <w:b/>
                <w:bCs/>
                <w:sz w:val="20"/>
                <w:lang w:val="en-US"/>
              </w:rPr>
              <w:t>-196’168</w:t>
            </w:r>
          </w:p>
        </w:tc>
      </w:tr>
    </w:tbl>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bookmarkStart w:id="10" w:name="_Toc305764057"/>
      <w:r>
        <w:rPr>
          <w:sz w:val="28"/>
          <w:szCs w:val="28"/>
          <w:lang w:val="en-US"/>
        </w:rPr>
        <w:br w:type="page"/>
      </w:r>
    </w:p>
    <w:p w:rsidR="006F29B5" w:rsidRDefault="006F29B5" w:rsidP="006F29B5">
      <w:pPr>
        <w:pStyle w:val="Tabletitle"/>
        <w:spacing w:after="0"/>
        <w:rPr>
          <w:sz w:val="28"/>
          <w:szCs w:val="28"/>
          <w:lang w:val="en-US"/>
        </w:rPr>
      </w:pPr>
      <w:r w:rsidRPr="001C2A98">
        <w:rPr>
          <w:sz w:val="28"/>
          <w:szCs w:val="28"/>
          <w:lang w:val="en-US"/>
        </w:rPr>
        <w:t>II – Statement of financial performance for the period which closed on</w:t>
      </w:r>
      <w:r>
        <w:rPr>
          <w:sz w:val="28"/>
          <w:szCs w:val="28"/>
          <w:lang w:val="en-US"/>
        </w:rPr>
        <w:br/>
      </w:r>
      <w:r w:rsidRPr="001C2A98">
        <w:rPr>
          <w:sz w:val="28"/>
          <w:szCs w:val="28"/>
          <w:lang w:val="en-US"/>
        </w:rPr>
        <w:t>31 December 201</w:t>
      </w:r>
      <w:bookmarkEnd w:id="10"/>
      <w:r>
        <w:rPr>
          <w:sz w:val="28"/>
          <w:szCs w:val="28"/>
          <w:lang w:val="en-US"/>
        </w:rPr>
        <w:t>4</w:t>
      </w:r>
      <w:r w:rsidRPr="001C2A98">
        <w:rPr>
          <w:sz w:val="28"/>
          <w:szCs w:val="28"/>
          <w:lang w:val="en-US"/>
        </w:rPr>
        <w:t xml:space="preserve"> with comparative figures as at 31 December 201</w:t>
      </w:r>
      <w:r>
        <w:rPr>
          <w:sz w:val="28"/>
          <w:szCs w:val="28"/>
          <w:lang w:val="en-US"/>
        </w:rPr>
        <w:t>3</w:t>
      </w:r>
      <w:r>
        <w:rPr>
          <w:sz w:val="28"/>
          <w:szCs w:val="28"/>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726"/>
        <w:gridCol w:w="2207"/>
        <w:gridCol w:w="2207"/>
      </w:tblGrid>
      <w:tr w:rsidR="006F29B5" w:rsidRPr="002C74A5" w:rsidTr="006F29B5">
        <w:trPr>
          <w:jc w:val="center"/>
        </w:trPr>
        <w:tc>
          <w:tcPr>
            <w:tcW w:w="3726" w:type="dxa"/>
            <w:tcBorders>
              <w:bottom w:val="single" w:sz="4" w:space="0" w:color="auto"/>
              <w:right w:val="single" w:sz="4" w:space="0" w:color="auto"/>
            </w:tcBorders>
          </w:tcPr>
          <w:p w:rsidR="006F29B5" w:rsidRPr="00BE52DF" w:rsidRDefault="006F29B5" w:rsidP="006F29B5">
            <w:pPr>
              <w:pStyle w:val="Tablehead"/>
              <w:jc w:val="left"/>
              <w:rPr>
                <w:b w:val="0"/>
                <w:szCs w:val="22"/>
                <w:lang w:val="en-US" w:eastAsia="fr-FR"/>
              </w:rPr>
            </w:pPr>
            <w:r w:rsidRPr="001577D5">
              <w:rPr>
                <w:szCs w:val="22"/>
                <w:lang w:val="en-US" w:eastAsia="fr-FR"/>
              </w:rPr>
              <w:t>(in thousands of CHF)</w:t>
            </w:r>
          </w:p>
        </w:tc>
        <w:tc>
          <w:tcPr>
            <w:tcW w:w="2207" w:type="dxa"/>
            <w:tcBorders>
              <w:left w:val="single" w:sz="4" w:space="0" w:color="auto"/>
              <w:bottom w:val="single" w:sz="4" w:space="0" w:color="auto"/>
              <w:right w:val="single" w:sz="4" w:space="0" w:color="auto"/>
            </w:tcBorders>
          </w:tcPr>
          <w:p w:rsidR="006F29B5" w:rsidRPr="002C74A5" w:rsidRDefault="006F29B5" w:rsidP="006F29B5">
            <w:pPr>
              <w:pStyle w:val="Tablehead"/>
              <w:tabs>
                <w:tab w:val="left" w:pos="596"/>
              </w:tabs>
              <w:rPr>
                <w:szCs w:val="22"/>
                <w:lang w:val="en-US" w:eastAsia="fr-FR"/>
              </w:rPr>
            </w:pPr>
            <w:r w:rsidRPr="002C74A5">
              <w:rPr>
                <w:szCs w:val="22"/>
                <w:lang w:val="en-US" w:eastAsia="fr-FR"/>
              </w:rPr>
              <w:t>31.12.201</w:t>
            </w:r>
            <w:r>
              <w:rPr>
                <w:szCs w:val="22"/>
                <w:lang w:val="en-US" w:eastAsia="fr-FR"/>
              </w:rPr>
              <w:t>4</w:t>
            </w:r>
          </w:p>
        </w:tc>
        <w:tc>
          <w:tcPr>
            <w:tcW w:w="2207" w:type="dxa"/>
            <w:tcBorders>
              <w:left w:val="single" w:sz="4" w:space="0" w:color="auto"/>
              <w:bottom w:val="single" w:sz="4" w:space="0" w:color="auto"/>
              <w:right w:val="single" w:sz="4" w:space="0" w:color="auto"/>
            </w:tcBorders>
          </w:tcPr>
          <w:p w:rsidR="006F29B5" w:rsidRPr="002C74A5" w:rsidRDefault="006F29B5" w:rsidP="006F29B5">
            <w:pPr>
              <w:pStyle w:val="Tablehead"/>
              <w:tabs>
                <w:tab w:val="left" w:pos="596"/>
              </w:tabs>
              <w:rPr>
                <w:szCs w:val="22"/>
                <w:lang w:val="en-US" w:eastAsia="fr-FR"/>
              </w:rPr>
            </w:pPr>
            <w:r w:rsidRPr="002C74A5">
              <w:rPr>
                <w:szCs w:val="22"/>
                <w:lang w:val="en-US" w:eastAsia="fr-FR"/>
              </w:rPr>
              <w:t>31.12.201</w:t>
            </w:r>
            <w:r>
              <w:rPr>
                <w:szCs w:val="22"/>
                <w:lang w:val="en-US" w:eastAsia="fr-FR"/>
              </w:rPr>
              <w:t>3</w:t>
            </w:r>
          </w:p>
        </w:tc>
      </w:tr>
      <w:tr w:rsidR="006F29B5" w:rsidRPr="002C74A5" w:rsidTr="006F29B5">
        <w:trPr>
          <w:jc w:val="center"/>
        </w:trPr>
        <w:tc>
          <w:tcPr>
            <w:tcW w:w="3726" w:type="dxa"/>
            <w:tcBorders>
              <w:top w:val="single" w:sz="4" w:space="0" w:color="auto"/>
              <w:bottom w:val="nil"/>
              <w:right w:val="single" w:sz="4" w:space="0" w:color="auto"/>
            </w:tcBorders>
          </w:tcPr>
          <w:p w:rsidR="006F29B5" w:rsidRPr="002C74A5" w:rsidRDefault="006F29B5" w:rsidP="006F29B5">
            <w:pPr>
              <w:pStyle w:val="Tabletext"/>
              <w:rPr>
                <w:b/>
                <w:bCs/>
                <w:szCs w:val="22"/>
                <w:lang w:val="en-US" w:eastAsia="fr-FR"/>
              </w:rPr>
            </w:pPr>
            <w:r w:rsidRPr="002C74A5">
              <w:rPr>
                <w:b/>
                <w:bCs/>
                <w:szCs w:val="22"/>
                <w:lang w:val="en-US" w:eastAsia="fr-FR"/>
              </w:rPr>
              <w:t>REVENUE</w:t>
            </w:r>
          </w:p>
        </w:tc>
        <w:tc>
          <w:tcPr>
            <w:tcW w:w="2207" w:type="dxa"/>
            <w:tcBorders>
              <w:top w:val="single" w:sz="4" w:space="0" w:color="auto"/>
              <w:left w:val="single" w:sz="4" w:space="0" w:color="auto"/>
              <w:bottom w:val="nil"/>
              <w:right w:val="single" w:sz="4" w:space="0" w:color="auto"/>
            </w:tcBorders>
          </w:tcPr>
          <w:p w:rsidR="006F29B5" w:rsidRPr="002C74A5" w:rsidRDefault="006F29B5" w:rsidP="006F29B5">
            <w:pPr>
              <w:pStyle w:val="Tabletext"/>
              <w:ind w:right="318"/>
              <w:jc w:val="right"/>
              <w:rPr>
                <w:szCs w:val="22"/>
                <w:lang w:val="en-US" w:eastAsia="fr-FR"/>
              </w:rPr>
            </w:pPr>
          </w:p>
        </w:tc>
        <w:tc>
          <w:tcPr>
            <w:tcW w:w="2207" w:type="dxa"/>
            <w:tcBorders>
              <w:top w:val="single" w:sz="4" w:space="0" w:color="auto"/>
              <w:left w:val="single" w:sz="4" w:space="0" w:color="auto"/>
              <w:bottom w:val="nil"/>
              <w:right w:val="single" w:sz="4" w:space="0" w:color="auto"/>
            </w:tcBorders>
          </w:tcPr>
          <w:p w:rsidR="006F29B5" w:rsidRPr="002C74A5" w:rsidRDefault="006F29B5" w:rsidP="006F29B5">
            <w:pPr>
              <w:pStyle w:val="Tabletext"/>
              <w:ind w:right="318"/>
              <w:jc w:val="right"/>
              <w:rPr>
                <w:szCs w:val="22"/>
                <w:lang w:val="en-US" w:eastAsia="fr-FR"/>
              </w:rPr>
            </w:pP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Assessed contributions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126’786</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126’949</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Voluntary contributions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11’740</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17’295</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Other operating revenue</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39’824</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44’623</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In-kind contributions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938</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955</w:t>
            </w:r>
          </w:p>
        </w:tc>
      </w:tr>
      <w:tr w:rsidR="006F29B5" w:rsidRPr="002C74A5" w:rsidTr="006F29B5">
        <w:trPr>
          <w:jc w:val="center"/>
        </w:trPr>
        <w:tc>
          <w:tcPr>
            <w:tcW w:w="3726" w:type="dxa"/>
            <w:tcBorders>
              <w:top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Finance revenue</w:t>
            </w:r>
          </w:p>
        </w:tc>
        <w:tc>
          <w:tcPr>
            <w:tcW w:w="2207" w:type="dxa"/>
            <w:tcBorders>
              <w:top w:val="nil"/>
              <w:left w:val="single" w:sz="4" w:space="0" w:color="auto"/>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817</w:t>
            </w:r>
          </w:p>
        </w:tc>
        <w:tc>
          <w:tcPr>
            <w:tcW w:w="2207" w:type="dxa"/>
            <w:tcBorders>
              <w:top w:val="nil"/>
              <w:left w:val="single" w:sz="4" w:space="0" w:color="auto"/>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7’178</w:t>
            </w:r>
          </w:p>
        </w:tc>
      </w:tr>
      <w:tr w:rsidR="006F29B5" w:rsidRPr="002C74A5" w:rsidTr="006F29B5">
        <w:trPr>
          <w:jc w:val="center"/>
        </w:trPr>
        <w:tc>
          <w:tcPr>
            <w:tcW w:w="3726" w:type="dxa"/>
            <w:tcBorders>
              <w:bottom w:val="single" w:sz="4" w:space="0" w:color="auto"/>
              <w:right w:val="single" w:sz="4" w:space="0" w:color="auto"/>
            </w:tcBorders>
          </w:tcPr>
          <w:p w:rsidR="006F29B5" w:rsidRPr="002C74A5" w:rsidRDefault="006F29B5" w:rsidP="006F29B5">
            <w:pPr>
              <w:pStyle w:val="Tabletext"/>
              <w:rPr>
                <w:b/>
                <w:bCs/>
                <w:szCs w:val="22"/>
                <w:lang w:val="en-US" w:eastAsia="fr-FR"/>
              </w:rPr>
            </w:pPr>
            <w:r w:rsidRPr="002C74A5">
              <w:rPr>
                <w:b/>
                <w:bCs/>
                <w:szCs w:val="22"/>
                <w:lang w:val="en-US" w:eastAsia="fr-FR"/>
              </w:rPr>
              <w:t>Total revenue</w:t>
            </w:r>
          </w:p>
        </w:tc>
        <w:tc>
          <w:tcPr>
            <w:tcW w:w="2207" w:type="dxa"/>
            <w:tcBorders>
              <w:left w:val="single" w:sz="4" w:space="0" w:color="auto"/>
              <w:bottom w:val="single" w:sz="4" w:space="0" w:color="auto"/>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FD0927">
              <w:rPr>
                <w:rFonts w:cs="Calibri"/>
                <w:b/>
                <w:bCs/>
                <w:color w:val="000000"/>
                <w:sz w:val="22"/>
                <w:szCs w:val="22"/>
                <w:lang w:val="en-US" w:eastAsia="zh-CN"/>
              </w:rPr>
              <w:t>180’105</w:t>
            </w:r>
          </w:p>
        </w:tc>
        <w:tc>
          <w:tcPr>
            <w:tcW w:w="2207" w:type="dxa"/>
            <w:tcBorders>
              <w:left w:val="single" w:sz="4" w:space="0" w:color="auto"/>
              <w:bottom w:val="single" w:sz="4" w:space="0" w:color="auto"/>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Pr>
                <w:rFonts w:cs="Calibri"/>
                <w:b/>
                <w:bCs/>
                <w:color w:val="000000"/>
                <w:sz w:val="22"/>
                <w:szCs w:val="22"/>
                <w:lang w:val="en-US" w:eastAsia="zh-CN"/>
              </w:rPr>
              <w:t>197’000</w:t>
            </w:r>
          </w:p>
        </w:tc>
      </w:tr>
      <w:tr w:rsidR="006F29B5" w:rsidRPr="002C74A5" w:rsidTr="006F29B5">
        <w:trPr>
          <w:jc w:val="center"/>
        </w:trPr>
        <w:tc>
          <w:tcPr>
            <w:tcW w:w="3726" w:type="dxa"/>
            <w:tcBorders>
              <w:bottom w:val="nil"/>
              <w:right w:val="single" w:sz="4" w:space="0" w:color="auto"/>
            </w:tcBorders>
          </w:tcPr>
          <w:p w:rsidR="006F29B5" w:rsidRPr="002C74A5" w:rsidRDefault="006F29B5" w:rsidP="006F29B5">
            <w:pPr>
              <w:pStyle w:val="Tabletext"/>
              <w:rPr>
                <w:b/>
                <w:bCs/>
                <w:szCs w:val="22"/>
                <w:lang w:val="en-US" w:eastAsia="fr-FR"/>
              </w:rPr>
            </w:pPr>
            <w:r w:rsidRPr="002C74A5">
              <w:rPr>
                <w:b/>
                <w:bCs/>
                <w:szCs w:val="22"/>
                <w:lang w:val="en-US" w:eastAsia="fr-FR"/>
              </w:rPr>
              <w:t>EXPENSES</w:t>
            </w:r>
          </w:p>
        </w:tc>
        <w:tc>
          <w:tcPr>
            <w:tcW w:w="2207" w:type="dxa"/>
            <w:tcBorders>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c>
          <w:tcPr>
            <w:tcW w:w="2207" w:type="dxa"/>
            <w:tcBorders>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Employee expenses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143’701</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146’299</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Mission expenses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6’549</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8’028</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Contractual services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17’010</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20’834</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Rental and maintenance of premises and</w:t>
            </w:r>
            <w:r>
              <w:rPr>
                <w:szCs w:val="22"/>
                <w:lang w:val="en-US" w:eastAsia="fr-FR"/>
              </w:rPr>
              <w:t xml:space="preserve"> </w:t>
            </w:r>
            <w:r w:rsidRPr="002C74A5">
              <w:rPr>
                <w:szCs w:val="22"/>
                <w:lang w:val="en-US" w:eastAsia="fr-FR"/>
              </w:rPr>
              <w:t>equipment</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6’410</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6’422</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Equipment and supplies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4’781</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3’805</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Depreciation and impairment losses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5’718</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6’138</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Shipping, telecommunication and service expenses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2’499</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2’191</w:t>
            </w:r>
          </w:p>
        </w:tc>
      </w:tr>
      <w:tr w:rsidR="006F29B5" w:rsidRPr="002C74A5" w:rsidTr="006F29B5">
        <w:trPr>
          <w:trHeight w:val="321"/>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Pr>
                <w:szCs w:val="22"/>
                <w:lang w:val="en-US" w:eastAsia="fr-FR"/>
              </w:rPr>
              <w:t>Other expenses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-2’42</w:t>
            </w:r>
            <w:r>
              <w:rPr>
                <w:rFonts w:cs="Calibri"/>
                <w:color w:val="000000"/>
                <w:sz w:val="22"/>
                <w:szCs w:val="22"/>
                <w:lang w:val="en-US" w:eastAsia="zh-CN"/>
              </w:rPr>
              <w:t>5</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-1’015</w:t>
            </w:r>
          </w:p>
        </w:tc>
      </w:tr>
      <w:tr w:rsidR="006F29B5" w:rsidRPr="002C74A5" w:rsidTr="006F29B5">
        <w:trPr>
          <w:jc w:val="center"/>
        </w:trPr>
        <w:tc>
          <w:tcPr>
            <w:tcW w:w="3726" w:type="dxa"/>
            <w:tcBorders>
              <w:top w:val="nil"/>
              <w:bottom w:val="nil"/>
              <w:right w:val="single" w:sz="4" w:space="0" w:color="auto"/>
            </w:tcBorders>
          </w:tcPr>
          <w:p w:rsidR="006F29B5" w:rsidRPr="002C74A5" w:rsidRDefault="006F29B5" w:rsidP="006F29B5">
            <w:pPr>
              <w:pStyle w:val="Tabletext"/>
              <w:rPr>
                <w:szCs w:val="22"/>
                <w:lang w:val="en-US" w:eastAsia="fr-FR"/>
              </w:rPr>
            </w:pPr>
            <w:r w:rsidRPr="002C74A5">
              <w:rPr>
                <w:szCs w:val="22"/>
                <w:lang w:val="en-US" w:eastAsia="fr-FR"/>
              </w:rPr>
              <w:t>In-kind expenses</w:t>
            </w:r>
          </w:p>
        </w:tc>
        <w:tc>
          <w:tcPr>
            <w:tcW w:w="2207" w:type="dxa"/>
            <w:tcBorders>
              <w:top w:val="nil"/>
              <w:left w:val="single" w:sz="4" w:space="0" w:color="auto"/>
              <w:bottom w:val="nil"/>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93</w:t>
            </w:r>
            <w:r>
              <w:rPr>
                <w:rFonts w:cs="Calibri"/>
                <w:color w:val="000000"/>
                <w:sz w:val="22"/>
                <w:szCs w:val="22"/>
                <w:lang w:val="en-US" w:eastAsia="zh-CN"/>
              </w:rPr>
              <w:t>8</w:t>
            </w:r>
          </w:p>
        </w:tc>
        <w:tc>
          <w:tcPr>
            <w:tcW w:w="2207" w:type="dxa"/>
            <w:tcBorders>
              <w:top w:val="nil"/>
              <w:left w:val="single" w:sz="4" w:space="0" w:color="auto"/>
              <w:bottom w:val="nil"/>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955</w:t>
            </w:r>
          </w:p>
        </w:tc>
      </w:tr>
      <w:tr w:rsidR="006F29B5" w:rsidRPr="002C74A5" w:rsidTr="006F29B5">
        <w:trPr>
          <w:jc w:val="center"/>
        </w:trPr>
        <w:tc>
          <w:tcPr>
            <w:tcW w:w="3726" w:type="dxa"/>
            <w:tcBorders>
              <w:top w:val="nil"/>
              <w:right w:val="single" w:sz="4" w:space="0" w:color="auto"/>
            </w:tcBorders>
          </w:tcPr>
          <w:p w:rsidR="006F29B5" w:rsidRPr="002C74A5" w:rsidRDefault="006F29B5" w:rsidP="00685646">
            <w:pPr>
              <w:pStyle w:val="Tabletext"/>
              <w:rPr>
                <w:szCs w:val="22"/>
                <w:lang w:val="en-US" w:eastAsia="fr-FR"/>
              </w:rPr>
            </w:pPr>
            <w:r w:rsidRPr="002C74A5">
              <w:rPr>
                <w:szCs w:val="22"/>
                <w:lang w:val="en-US" w:eastAsia="fr-FR"/>
              </w:rPr>
              <w:t>Finance expenses</w:t>
            </w:r>
          </w:p>
        </w:tc>
        <w:tc>
          <w:tcPr>
            <w:tcW w:w="2207" w:type="dxa"/>
            <w:tcBorders>
              <w:top w:val="nil"/>
              <w:left w:val="single" w:sz="4" w:space="0" w:color="auto"/>
              <w:right w:val="single" w:sz="4" w:space="0" w:color="auto"/>
            </w:tcBorders>
          </w:tcPr>
          <w:p w:rsidR="006F29B5" w:rsidRPr="00FD0927"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FD0927">
              <w:rPr>
                <w:rFonts w:cs="Calibri"/>
                <w:color w:val="000000"/>
                <w:sz w:val="22"/>
                <w:szCs w:val="22"/>
                <w:lang w:val="en-US" w:eastAsia="zh-CN"/>
              </w:rPr>
              <w:t>465</w:t>
            </w:r>
          </w:p>
        </w:tc>
        <w:tc>
          <w:tcPr>
            <w:tcW w:w="2207" w:type="dxa"/>
            <w:tcBorders>
              <w:top w:val="nil"/>
              <w:left w:val="single" w:sz="4" w:space="0" w:color="auto"/>
              <w:right w:val="single" w:sz="4" w:space="0" w:color="auto"/>
            </w:tcBorders>
          </w:tcPr>
          <w:p w:rsidR="006F29B5" w:rsidRPr="00D128FC" w:rsidRDefault="006F29B5" w:rsidP="006F29B5">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Pr>
                <w:rFonts w:cs="Calibri"/>
                <w:color w:val="000000"/>
                <w:sz w:val="22"/>
                <w:szCs w:val="22"/>
                <w:lang w:val="en-US" w:eastAsia="zh-CN"/>
              </w:rPr>
              <w:t>526</w:t>
            </w:r>
          </w:p>
        </w:tc>
      </w:tr>
      <w:tr w:rsidR="006F29B5" w:rsidRPr="002C74A5" w:rsidTr="00685646">
        <w:trPr>
          <w:trHeight w:val="510"/>
          <w:jc w:val="center"/>
        </w:trPr>
        <w:tc>
          <w:tcPr>
            <w:tcW w:w="3726" w:type="dxa"/>
            <w:tcBorders>
              <w:right w:val="single" w:sz="4" w:space="0" w:color="auto"/>
            </w:tcBorders>
            <w:vAlign w:val="center"/>
          </w:tcPr>
          <w:p w:rsidR="006F29B5" w:rsidRPr="002C74A5" w:rsidRDefault="006F29B5" w:rsidP="00685646">
            <w:pPr>
              <w:pStyle w:val="Tabletext"/>
              <w:rPr>
                <w:b/>
                <w:bCs/>
                <w:szCs w:val="22"/>
                <w:lang w:val="en-US" w:eastAsia="fr-FR"/>
              </w:rPr>
            </w:pPr>
            <w:r w:rsidRPr="002C74A5">
              <w:rPr>
                <w:b/>
                <w:bCs/>
                <w:szCs w:val="22"/>
                <w:lang w:val="en-US" w:eastAsia="fr-FR"/>
              </w:rPr>
              <w:t>Total expenses</w:t>
            </w:r>
          </w:p>
        </w:tc>
        <w:tc>
          <w:tcPr>
            <w:tcW w:w="2207" w:type="dxa"/>
            <w:tcBorders>
              <w:left w:val="single" w:sz="4" w:space="0" w:color="auto"/>
              <w:right w:val="single" w:sz="4" w:space="0" w:color="auto"/>
            </w:tcBorders>
            <w:vAlign w:val="center"/>
          </w:tcPr>
          <w:p w:rsidR="006F29B5" w:rsidRPr="00692F1E" w:rsidRDefault="006F29B5" w:rsidP="00685646">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val="en-US" w:eastAsia="zh-CN"/>
              </w:rPr>
            </w:pPr>
            <w:r w:rsidRPr="00692F1E">
              <w:rPr>
                <w:rFonts w:cs="Calibri"/>
                <w:b/>
                <w:bCs/>
                <w:color w:val="000000"/>
                <w:sz w:val="22"/>
                <w:szCs w:val="22"/>
                <w:lang w:val="en-US" w:eastAsia="zh-CN"/>
              </w:rPr>
              <w:t>185’646</w:t>
            </w:r>
          </w:p>
        </w:tc>
        <w:tc>
          <w:tcPr>
            <w:tcW w:w="2207" w:type="dxa"/>
            <w:tcBorders>
              <w:left w:val="single" w:sz="4" w:space="0" w:color="auto"/>
              <w:right w:val="single" w:sz="4" w:space="0" w:color="auto"/>
            </w:tcBorders>
            <w:vAlign w:val="center"/>
          </w:tcPr>
          <w:p w:rsidR="006F29B5" w:rsidRPr="00692F1E" w:rsidRDefault="006F29B5" w:rsidP="00685646">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val="en-US" w:eastAsia="zh-CN"/>
              </w:rPr>
            </w:pPr>
            <w:r w:rsidRPr="00692F1E">
              <w:rPr>
                <w:rFonts w:cs="Calibri"/>
                <w:b/>
                <w:bCs/>
                <w:color w:val="000000"/>
                <w:sz w:val="22"/>
                <w:szCs w:val="22"/>
                <w:lang w:val="en-US" w:eastAsia="zh-CN"/>
              </w:rPr>
              <w:t>194’183</w:t>
            </w:r>
          </w:p>
        </w:tc>
      </w:tr>
      <w:tr w:rsidR="006F29B5" w:rsidRPr="002C74A5" w:rsidTr="00685646">
        <w:trPr>
          <w:jc w:val="center"/>
        </w:trPr>
        <w:tc>
          <w:tcPr>
            <w:tcW w:w="3726" w:type="dxa"/>
            <w:tcBorders>
              <w:right w:val="single" w:sz="4" w:space="0" w:color="auto"/>
            </w:tcBorders>
          </w:tcPr>
          <w:p w:rsidR="006F29B5" w:rsidRPr="002C74A5" w:rsidRDefault="006F29B5" w:rsidP="006F29B5">
            <w:pPr>
              <w:pStyle w:val="Tabletext"/>
              <w:rPr>
                <w:b/>
                <w:bCs/>
                <w:szCs w:val="22"/>
                <w:lang w:val="en-US" w:eastAsia="fr-FR"/>
              </w:rPr>
            </w:pPr>
            <w:r w:rsidRPr="002C74A5">
              <w:rPr>
                <w:b/>
                <w:bCs/>
                <w:szCs w:val="22"/>
                <w:lang w:val="en-US" w:eastAsia="fr-FR"/>
              </w:rPr>
              <w:t>Surplus</w:t>
            </w:r>
            <w:r>
              <w:rPr>
                <w:b/>
                <w:bCs/>
                <w:szCs w:val="22"/>
                <w:lang w:val="en-US" w:eastAsia="fr-FR"/>
              </w:rPr>
              <w:t xml:space="preserve"> (</w:t>
            </w:r>
            <w:r w:rsidRPr="002C74A5">
              <w:rPr>
                <w:b/>
                <w:bCs/>
                <w:szCs w:val="22"/>
                <w:lang w:val="en-US" w:eastAsia="fr-FR"/>
              </w:rPr>
              <w:t>deficit</w:t>
            </w:r>
            <w:r>
              <w:rPr>
                <w:b/>
                <w:bCs/>
                <w:szCs w:val="22"/>
                <w:lang w:val="en-US" w:eastAsia="fr-FR"/>
              </w:rPr>
              <w:t>)</w:t>
            </w:r>
            <w:r w:rsidRPr="002C74A5">
              <w:rPr>
                <w:b/>
                <w:bCs/>
                <w:szCs w:val="22"/>
                <w:lang w:val="en-US" w:eastAsia="fr-FR"/>
              </w:rPr>
              <w:t xml:space="preserve"> for the period</w:t>
            </w:r>
          </w:p>
        </w:tc>
        <w:tc>
          <w:tcPr>
            <w:tcW w:w="2207" w:type="dxa"/>
            <w:tcBorders>
              <w:left w:val="single" w:sz="4" w:space="0" w:color="auto"/>
              <w:right w:val="single" w:sz="4" w:space="0" w:color="auto"/>
            </w:tcBorders>
            <w:vAlign w:val="center"/>
          </w:tcPr>
          <w:p w:rsidR="006F29B5" w:rsidRPr="00692F1E" w:rsidRDefault="006F29B5" w:rsidP="00685646">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val="en-US" w:eastAsia="zh-CN"/>
              </w:rPr>
            </w:pPr>
            <w:r w:rsidRPr="00692F1E">
              <w:rPr>
                <w:rFonts w:cs="Calibri"/>
                <w:b/>
                <w:bCs/>
                <w:color w:val="000000"/>
                <w:sz w:val="22"/>
                <w:szCs w:val="22"/>
                <w:lang w:val="en-US" w:eastAsia="zh-CN"/>
              </w:rPr>
              <w:t>-5’541</w:t>
            </w:r>
          </w:p>
        </w:tc>
        <w:tc>
          <w:tcPr>
            <w:tcW w:w="2207" w:type="dxa"/>
            <w:tcBorders>
              <w:left w:val="single" w:sz="4" w:space="0" w:color="auto"/>
              <w:right w:val="single" w:sz="4" w:space="0" w:color="auto"/>
            </w:tcBorders>
            <w:vAlign w:val="center"/>
          </w:tcPr>
          <w:p w:rsidR="006F29B5" w:rsidRPr="00692F1E" w:rsidRDefault="006F29B5" w:rsidP="00685646">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val="en-US" w:eastAsia="zh-CN"/>
              </w:rPr>
            </w:pPr>
            <w:r w:rsidRPr="00692F1E">
              <w:rPr>
                <w:rFonts w:cs="Calibri"/>
                <w:b/>
                <w:bCs/>
                <w:color w:val="000000"/>
                <w:sz w:val="22"/>
                <w:szCs w:val="22"/>
                <w:lang w:val="en-US" w:eastAsia="zh-CN"/>
              </w:rPr>
              <w:t>2’817</w:t>
            </w:r>
          </w:p>
        </w:tc>
      </w:tr>
    </w:tbl>
    <w:p w:rsidR="006F29B5" w:rsidRPr="001C2A98"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6F29B5" w:rsidRDefault="006F29B5" w:rsidP="006F29B5">
      <w:pPr>
        <w:pStyle w:val="Tabletitle"/>
        <w:rPr>
          <w:sz w:val="28"/>
          <w:szCs w:val="28"/>
          <w:lang w:val="en-US"/>
        </w:rPr>
      </w:pPr>
      <w:bookmarkStart w:id="11" w:name="_Toc305764058"/>
      <w:r w:rsidRPr="00983A65">
        <w:rPr>
          <w:sz w:val="28"/>
          <w:szCs w:val="28"/>
          <w:lang w:val="en-US"/>
        </w:rPr>
        <w:t>III – Statement of changes in net assets for the period which closed</w:t>
      </w:r>
      <w:r>
        <w:rPr>
          <w:sz w:val="28"/>
          <w:szCs w:val="28"/>
          <w:lang w:val="en-US"/>
        </w:rPr>
        <w:br/>
      </w:r>
      <w:r w:rsidRPr="00983A65">
        <w:rPr>
          <w:sz w:val="28"/>
          <w:szCs w:val="28"/>
          <w:lang w:val="en-US"/>
        </w:rPr>
        <w:t>on</w:t>
      </w:r>
      <w:r>
        <w:rPr>
          <w:sz w:val="28"/>
          <w:szCs w:val="28"/>
          <w:lang w:val="en-US"/>
        </w:rPr>
        <w:t xml:space="preserve"> </w:t>
      </w:r>
      <w:r w:rsidRPr="00983A65">
        <w:rPr>
          <w:sz w:val="28"/>
          <w:szCs w:val="28"/>
          <w:lang w:val="en-US"/>
        </w:rPr>
        <w:t>31 December 201</w:t>
      </w:r>
      <w:bookmarkEnd w:id="11"/>
      <w:r>
        <w:rPr>
          <w:sz w:val="28"/>
          <w:szCs w:val="28"/>
          <w:lang w:val="en-US"/>
        </w:rPr>
        <w:t>4</w:t>
      </w:r>
    </w:p>
    <w:p w:rsidR="006F29B5" w:rsidRPr="00F459A3" w:rsidRDefault="006F29B5" w:rsidP="006F29B5">
      <w:pPr>
        <w:pStyle w:val="Tabletext"/>
        <w:rPr>
          <w:lang w:val="en-US"/>
        </w:rPr>
      </w:pPr>
    </w:p>
    <w:tbl>
      <w:tblPr>
        <w:tblW w:w="4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34"/>
        <w:gridCol w:w="1375"/>
        <w:gridCol w:w="1530"/>
        <w:gridCol w:w="1134"/>
      </w:tblGrid>
      <w:tr w:rsidR="006F29B5" w:rsidRPr="002C74A5" w:rsidTr="006F29B5">
        <w:trPr>
          <w:jc w:val="center"/>
        </w:trPr>
        <w:tc>
          <w:tcPr>
            <w:tcW w:w="1898" w:type="pct"/>
            <w:tcBorders>
              <w:top w:val="single" w:sz="4" w:space="0" w:color="auto"/>
              <w:left w:val="single" w:sz="4" w:space="0" w:color="auto"/>
            </w:tcBorders>
            <w:tcMar>
              <w:left w:w="57" w:type="dxa"/>
              <w:right w:w="57" w:type="dxa"/>
            </w:tcMar>
          </w:tcPr>
          <w:p w:rsidR="006F29B5" w:rsidRPr="002C74A5" w:rsidRDefault="006F29B5" w:rsidP="006F29B5">
            <w:pPr>
              <w:pStyle w:val="Tablehead"/>
              <w:spacing w:before="20" w:after="20"/>
              <w:rPr>
                <w:sz w:val="20"/>
                <w:lang w:val="en-US" w:eastAsia="fr-FR"/>
              </w:rPr>
            </w:pPr>
            <w:r w:rsidRPr="001577D5">
              <w:rPr>
                <w:bCs/>
                <w:sz w:val="20"/>
                <w:lang w:val="en-US"/>
              </w:rPr>
              <w:t>(in thousands of CHF)</w:t>
            </w:r>
          </w:p>
        </w:tc>
        <w:tc>
          <w:tcPr>
            <w:tcW w:w="726" w:type="pct"/>
            <w:tcBorders>
              <w:top w:val="single" w:sz="4" w:space="0" w:color="auto"/>
            </w:tcBorders>
            <w:tcMar>
              <w:left w:w="57" w:type="dxa"/>
              <w:right w:w="57" w:type="dxa"/>
            </w:tcMar>
            <w:vAlign w:val="center"/>
          </w:tcPr>
          <w:p w:rsidR="006F29B5" w:rsidRPr="002C74A5" w:rsidRDefault="006F29B5" w:rsidP="006F29B5">
            <w:pPr>
              <w:pStyle w:val="Tablehead"/>
              <w:spacing w:before="20" w:after="20"/>
              <w:rPr>
                <w:sz w:val="20"/>
                <w:lang w:val="en-US" w:eastAsia="fr-FR"/>
              </w:rPr>
            </w:pPr>
            <w:r>
              <w:rPr>
                <w:sz w:val="20"/>
                <w:lang w:val="en-US"/>
              </w:rPr>
              <w:t>31.12.2014</w:t>
            </w:r>
          </w:p>
        </w:tc>
        <w:tc>
          <w:tcPr>
            <w:tcW w:w="809" w:type="pct"/>
            <w:tcBorders>
              <w:top w:val="single" w:sz="4" w:space="0" w:color="auto"/>
            </w:tcBorders>
            <w:tcMar>
              <w:left w:w="57" w:type="dxa"/>
              <w:right w:w="57" w:type="dxa"/>
            </w:tcMar>
            <w:vAlign w:val="center"/>
          </w:tcPr>
          <w:p w:rsidR="006F29B5" w:rsidRPr="002C74A5" w:rsidRDefault="006F29B5" w:rsidP="00EE1883">
            <w:pPr>
              <w:pStyle w:val="Tablehead"/>
              <w:spacing w:before="20" w:after="20"/>
              <w:rPr>
                <w:sz w:val="20"/>
                <w:lang w:val="en-US" w:eastAsia="fr-FR"/>
              </w:rPr>
            </w:pPr>
            <w:r>
              <w:rPr>
                <w:sz w:val="20"/>
                <w:lang w:val="en-US"/>
              </w:rPr>
              <w:t>Surplus</w:t>
            </w:r>
            <w:r w:rsidR="00EE1883">
              <w:rPr>
                <w:sz w:val="20"/>
                <w:lang w:val="en-US"/>
              </w:rPr>
              <w:t>/</w:t>
            </w:r>
            <w:r>
              <w:rPr>
                <w:sz w:val="20"/>
                <w:lang w:val="en-US"/>
              </w:rPr>
              <w:t>deficit 2014</w:t>
            </w:r>
          </w:p>
        </w:tc>
        <w:tc>
          <w:tcPr>
            <w:tcW w:w="900" w:type="pct"/>
            <w:tcBorders>
              <w:top w:val="single" w:sz="4" w:space="0" w:color="auto"/>
            </w:tcBorders>
          </w:tcPr>
          <w:p w:rsidR="006F29B5" w:rsidRDefault="006F29B5" w:rsidP="006F29B5">
            <w:pPr>
              <w:pStyle w:val="Tablehead"/>
              <w:spacing w:before="20" w:after="20"/>
              <w:rPr>
                <w:sz w:val="20"/>
                <w:lang w:val="en-US"/>
              </w:rPr>
            </w:pPr>
            <w:r>
              <w:rPr>
                <w:sz w:val="20"/>
                <w:lang w:val="en-US"/>
              </w:rPr>
              <w:t>Other adjustments</w:t>
            </w:r>
          </w:p>
        </w:tc>
        <w:tc>
          <w:tcPr>
            <w:tcW w:w="667" w:type="pct"/>
            <w:tcBorders>
              <w:top w:val="single" w:sz="4" w:space="0" w:color="auto"/>
            </w:tcBorders>
            <w:vAlign w:val="center"/>
          </w:tcPr>
          <w:p w:rsidR="006F29B5" w:rsidRPr="002C74A5" w:rsidRDefault="006F29B5" w:rsidP="006F29B5">
            <w:pPr>
              <w:pStyle w:val="Tablehead"/>
              <w:spacing w:before="20" w:after="20"/>
              <w:rPr>
                <w:sz w:val="20"/>
                <w:lang w:val="en-US" w:eastAsia="fr-FR"/>
              </w:rPr>
            </w:pPr>
            <w:r>
              <w:rPr>
                <w:sz w:val="20"/>
                <w:lang w:val="en-US"/>
              </w:rPr>
              <w:t>01.01.2014</w:t>
            </w:r>
          </w:p>
        </w:tc>
      </w:tr>
      <w:tr w:rsidR="006F29B5" w:rsidRPr="002A63D9" w:rsidTr="006F29B5">
        <w:trPr>
          <w:jc w:val="center"/>
        </w:trPr>
        <w:tc>
          <w:tcPr>
            <w:tcW w:w="1898" w:type="pct"/>
            <w:tcBorders>
              <w:top w:val="nil"/>
              <w:bottom w:val="nil"/>
            </w:tcBorders>
            <w:tcMar>
              <w:left w:w="57" w:type="dxa"/>
              <w:right w:w="57" w:type="dxa"/>
            </w:tcMar>
          </w:tcPr>
          <w:p w:rsidR="006F29B5" w:rsidRPr="00952504" w:rsidRDefault="006F29B5" w:rsidP="006F29B5">
            <w:pPr>
              <w:pStyle w:val="Tabletext"/>
              <w:spacing w:before="20" w:after="20"/>
              <w:rPr>
                <w:b/>
                <w:bCs/>
                <w:sz w:val="18"/>
                <w:szCs w:val="18"/>
                <w:lang w:val="en-US" w:eastAsia="fr-FR"/>
              </w:rPr>
            </w:pPr>
            <w:r>
              <w:rPr>
                <w:b/>
                <w:bCs/>
                <w:sz w:val="18"/>
                <w:szCs w:val="18"/>
                <w:lang w:val="en-US" w:eastAsia="fr-FR"/>
              </w:rPr>
              <w:t xml:space="preserve">IPSAS transition </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-125’100</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0</w:t>
            </w:r>
          </w:p>
        </w:tc>
        <w:tc>
          <w:tcPr>
            <w:tcW w:w="667" w:type="pct"/>
            <w:tcBorders>
              <w:top w:val="nil"/>
              <w:bottom w:val="nil"/>
            </w:tcBorders>
          </w:tcPr>
          <w:p w:rsidR="006F29B5" w:rsidRPr="002A63D9" w:rsidRDefault="006F29B5" w:rsidP="006F29B5">
            <w:pPr>
              <w:pStyle w:val="Tabletext"/>
              <w:spacing w:before="20" w:after="20"/>
              <w:jc w:val="right"/>
              <w:rPr>
                <w:b/>
                <w:bCs/>
                <w:sz w:val="18"/>
                <w:szCs w:val="18"/>
                <w:lang w:val="en-US"/>
              </w:rPr>
            </w:pPr>
            <w:r>
              <w:rPr>
                <w:sz w:val="18"/>
                <w:szCs w:val="18"/>
                <w:lang w:val="en-US"/>
              </w:rPr>
              <w:t>-125’100</w:t>
            </w:r>
          </w:p>
        </w:tc>
      </w:tr>
      <w:tr w:rsidR="006F29B5" w:rsidRPr="002A63D9" w:rsidTr="006F29B5">
        <w:trPr>
          <w:jc w:val="center"/>
        </w:trPr>
        <w:tc>
          <w:tcPr>
            <w:tcW w:w="1898" w:type="pct"/>
            <w:tcBorders>
              <w:top w:val="nil"/>
              <w:bottom w:val="nil"/>
            </w:tcBorders>
            <w:tcMar>
              <w:left w:w="57" w:type="dxa"/>
              <w:right w:w="57" w:type="dxa"/>
            </w:tcMar>
          </w:tcPr>
          <w:p w:rsidR="006F29B5" w:rsidRPr="00952504" w:rsidRDefault="006F29B5" w:rsidP="006F29B5">
            <w:pPr>
              <w:pStyle w:val="Tabletext"/>
              <w:spacing w:before="20" w:after="20"/>
              <w:rPr>
                <w:b/>
                <w:bCs/>
                <w:sz w:val="18"/>
                <w:szCs w:val="18"/>
                <w:lang w:val="en-US" w:eastAsia="fr-FR"/>
              </w:rPr>
            </w:pPr>
            <w:r w:rsidRPr="00952504">
              <w:rPr>
                <w:b/>
                <w:bCs/>
                <w:sz w:val="18"/>
                <w:szCs w:val="18"/>
                <w:lang w:val="en-US" w:eastAsia="fr-FR"/>
              </w:rPr>
              <w:t>Reserve Account</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27’222</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897</w:t>
            </w:r>
          </w:p>
        </w:tc>
        <w:tc>
          <w:tcPr>
            <w:tcW w:w="900" w:type="pct"/>
            <w:tcBorders>
              <w:top w:val="nil"/>
              <w:bottom w:val="nil"/>
            </w:tcBorders>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-4’000</w:t>
            </w:r>
          </w:p>
        </w:tc>
        <w:tc>
          <w:tcPr>
            <w:tcW w:w="667" w:type="pct"/>
            <w:tcBorders>
              <w:top w:val="nil"/>
              <w:bottom w:val="nil"/>
            </w:tcBorders>
          </w:tcPr>
          <w:p w:rsidR="006F29B5" w:rsidRPr="002A63D9" w:rsidRDefault="006F29B5" w:rsidP="006F29B5">
            <w:pPr>
              <w:pStyle w:val="Tabletext"/>
              <w:spacing w:before="20" w:after="20"/>
              <w:jc w:val="right"/>
              <w:rPr>
                <w:b/>
                <w:bCs/>
                <w:sz w:val="18"/>
                <w:szCs w:val="18"/>
                <w:lang w:val="en-US"/>
              </w:rPr>
            </w:pPr>
            <w:r w:rsidRPr="00031FC9">
              <w:rPr>
                <w:b/>
                <w:bCs/>
                <w:sz w:val="18"/>
                <w:szCs w:val="18"/>
                <w:lang w:val="en-US"/>
              </w:rPr>
              <w:t>30’325</w:t>
            </w:r>
          </w:p>
        </w:tc>
      </w:tr>
      <w:tr w:rsidR="006F29B5" w:rsidRPr="004D740A" w:rsidTr="006F29B5">
        <w:trPr>
          <w:jc w:val="center"/>
        </w:trPr>
        <w:tc>
          <w:tcPr>
            <w:tcW w:w="1898" w:type="pct"/>
            <w:tcBorders>
              <w:top w:val="nil"/>
              <w:bottom w:val="nil"/>
            </w:tcBorders>
            <w:tcMar>
              <w:left w:w="57" w:type="dxa"/>
              <w:right w:w="57" w:type="dxa"/>
            </w:tcMar>
          </w:tcPr>
          <w:p w:rsidR="006F29B5" w:rsidRPr="00952504" w:rsidRDefault="006F29B5" w:rsidP="006F29B5">
            <w:pPr>
              <w:pStyle w:val="Tabletext"/>
              <w:spacing w:before="20" w:after="20"/>
              <w:rPr>
                <w:b/>
                <w:bCs/>
                <w:sz w:val="18"/>
                <w:szCs w:val="18"/>
                <w:lang w:val="en-US" w:eastAsia="fr-FR"/>
              </w:rPr>
            </w:pPr>
            <w:r w:rsidRPr="00952504">
              <w:rPr>
                <w:b/>
                <w:bCs/>
                <w:sz w:val="18"/>
                <w:szCs w:val="18"/>
                <w:lang w:val="en-US" w:eastAsia="fr-FR"/>
              </w:rPr>
              <w:t xml:space="preserve">Other </w:t>
            </w:r>
            <w:r>
              <w:rPr>
                <w:b/>
                <w:bCs/>
                <w:sz w:val="18"/>
                <w:szCs w:val="18"/>
                <w:lang w:val="en-US" w:eastAsia="fr-FR"/>
              </w:rPr>
              <w:t xml:space="preserve">allocated </w:t>
            </w:r>
            <w:r w:rsidRPr="00952504">
              <w:rPr>
                <w:b/>
                <w:bCs/>
                <w:sz w:val="18"/>
                <w:szCs w:val="18"/>
                <w:lang w:val="en-US" w:eastAsia="fr-FR"/>
              </w:rPr>
              <w:t>reserves</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35’314</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2’185</w:t>
            </w:r>
          </w:p>
        </w:tc>
        <w:tc>
          <w:tcPr>
            <w:tcW w:w="900" w:type="pct"/>
            <w:tcBorders>
              <w:top w:val="nil"/>
              <w:bottom w:val="nil"/>
            </w:tcBorders>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6’221</w:t>
            </w:r>
          </w:p>
        </w:tc>
        <w:tc>
          <w:tcPr>
            <w:tcW w:w="667" w:type="pct"/>
            <w:tcBorders>
              <w:top w:val="nil"/>
              <w:bottom w:val="nil"/>
            </w:tcBorders>
          </w:tcPr>
          <w:p w:rsidR="006F29B5" w:rsidRPr="00F9049E" w:rsidRDefault="006F29B5" w:rsidP="006F29B5">
            <w:pPr>
              <w:pStyle w:val="Tabletext"/>
              <w:spacing w:before="20" w:after="20"/>
              <w:jc w:val="right"/>
              <w:rPr>
                <w:b/>
                <w:bCs/>
                <w:sz w:val="18"/>
                <w:szCs w:val="18"/>
                <w:lang w:val="en-US"/>
              </w:rPr>
            </w:pPr>
            <w:r w:rsidRPr="00031FC9">
              <w:rPr>
                <w:b/>
                <w:bCs/>
                <w:sz w:val="18"/>
                <w:szCs w:val="18"/>
                <w:lang w:val="en-US"/>
              </w:rPr>
              <w:t>26’908</w:t>
            </w:r>
          </w:p>
        </w:tc>
      </w:tr>
      <w:tr w:rsidR="006F29B5" w:rsidRPr="004D740A" w:rsidTr="006F29B5">
        <w:trPr>
          <w:jc w:val="center"/>
        </w:trPr>
        <w:tc>
          <w:tcPr>
            <w:tcW w:w="1898" w:type="pct"/>
            <w:tcBorders>
              <w:top w:val="nil"/>
              <w:bottom w:val="nil"/>
            </w:tcBorders>
            <w:tcMar>
              <w:left w:w="57" w:type="dxa"/>
              <w:right w:w="57" w:type="dxa"/>
            </w:tcMar>
          </w:tcPr>
          <w:p w:rsidR="006F29B5" w:rsidRPr="004D740A" w:rsidRDefault="006F29B5" w:rsidP="006F29B5">
            <w:pPr>
              <w:pStyle w:val="Tabletext"/>
              <w:spacing w:before="20" w:after="20"/>
              <w:rPr>
                <w:sz w:val="18"/>
                <w:szCs w:val="18"/>
                <w:lang w:val="en-US" w:eastAsia="fr-FR"/>
              </w:rPr>
            </w:pPr>
            <w:r>
              <w:rPr>
                <w:sz w:val="18"/>
                <w:szCs w:val="18"/>
                <w:lang w:val="en-US" w:eastAsia="fr-FR"/>
              </w:rPr>
              <w:t>Investment fund</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7’180</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1’681</w:t>
            </w:r>
          </w:p>
        </w:tc>
        <w:tc>
          <w:tcPr>
            <w:tcW w:w="667" w:type="pct"/>
            <w:tcBorders>
              <w:top w:val="nil"/>
              <w:bottom w:val="nil"/>
            </w:tcBorders>
          </w:tcPr>
          <w:p w:rsidR="006F29B5" w:rsidRPr="002A63D9" w:rsidRDefault="006F29B5" w:rsidP="006F29B5">
            <w:pPr>
              <w:pStyle w:val="Tabletext"/>
              <w:spacing w:before="20" w:after="20"/>
              <w:jc w:val="right"/>
              <w:rPr>
                <w:sz w:val="18"/>
                <w:szCs w:val="18"/>
                <w:lang w:val="en-US"/>
              </w:rPr>
            </w:pPr>
            <w:r>
              <w:rPr>
                <w:sz w:val="18"/>
                <w:szCs w:val="18"/>
                <w:lang w:val="en-US"/>
              </w:rPr>
              <w:t>6’314</w:t>
            </w:r>
          </w:p>
        </w:tc>
      </w:tr>
      <w:tr w:rsidR="006F29B5" w:rsidRPr="004D740A" w:rsidTr="006F29B5">
        <w:trPr>
          <w:jc w:val="center"/>
        </w:trPr>
        <w:tc>
          <w:tcPr>
            <w:tcW w:w="1898" w:type="pct"/>
            <w:tcBorders>
              <w:top w:val="nil"/>
              <w:bottom w:val="nil"/>
            </w:tcBorders>
            <w:tcMar>
              <w:left w:w="57" w:type="dxa"/>
              <w:right w:w="57" w:type="dxa"/>
            </w:tcMar>
          </w:tcPr>
          <w:p w:rsidR="006F29B5" w:rsidRPr="004D740A" w:rsidRDefault="006F29B5" w:rsidP="006F29B5">
            <w:pPr>
              <w:pStyle w:val="Tabletext"/>
              <w:spacing w:before="20" w:after="20"/>
              <w:rPr>
                <w:sz w:val="18"/>
                <w:szCs w:val="18"/>
                <w:lang w:val="en-US" w:eastAsia="fr-FR"/>
              </w:rPr>
            </w:pPr>
            <w:r>
              <w:rPr>
                <w:sz w:val="18"/>
                <w:szCs w:val="18"/>
                <w:lang w:val="en-US" w:eastAsia="fr-FR"/>
              </w:rPr>
              <w:t>Welfare fund</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492</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-29</w:t>
            </w:r>
          </w:p>
        </w:tc>
        <w:tc>
          <w:tcPr>
            <w:tcW w:w="667" w:type="pct"/>
            <w:tcBorders>
              <w:top w:val="nil"/>
              <w:bottom w:val="nil"/>
            </w:tcBorders>
          </w:tcPr>
          <w:p w:rsidR="006F29B5" w:rsidRPr="002A63D9" w:rsidRDefault="006F29B5" w:rsidP="006F29B5">
            <w:pPr>
              <w:pStyle w:val="Tabletext"/>
              <w:spacing w:before="20" w:after="20"/>
              <w:jc w:val="right"/>
              <w:rPr>
                <w:sz w:val="18"/>
                <w:szCs w:val="18"/>
                <w:lang w:val="en-US"/>
              </w:rPr>
            </w:pPr>
            <w:r>
              <w:rPr>
                <w:sz w:val="18"/>
                <w:szCs w:val="18"/>
                <w:lang w:val="en-US"/>
              </w:rPr>
              <w:t>521</w:t>
            </w:r>
          </w:p>
        </w:tc>
      </w:tr>
      <w:tr w:rsidR="006F29B5" w:rsidRPr="004D740A" w:rsidTr="006F29B5">
        <w:trPr>
          <w:jc w:val="center"/>
        </w:trPr>
        <w:tc>
          <w:tcPr>
            <w:tcW w:w="1898" w:type="pct"/>
            <w:tcBorders>
              <w:top w:val="nil"/>
              <w:bottom w:val="nil"/>
            </w:tcBorders>
            <w:tcMar>
              <w:left w:w="57" w:type="dxa"/>
              <w:right w:w="57" w:type="dxa"/>
            </w:tcMar>
          </w:tcPr>
          <w:p w:rsidR="006F29B5" w:rsidRPr="004D740A" w:rsidRDefault="006F29B5" w:rsidP="006F29B5">
            <w:pPr>
              <w:pStyle w:val="Tabletext"/>
              <w:spacing w:before="20" w:after="20"/>
              <w:rPr>
                <w:sz w:val="18"/>
                <w:szCs w:val="18"/>
                <w:lang w:val="en-US"/>
              </w:rPr>
            </w:pPr>
            <w:r>
              <w:rPr>
                <w:sz w:val="18"/>
                <w:szCs w:val="18"/>
                <w:lang w:val="en-US"/>
              </w:rPr>
              <w:t>Centenary fund</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308</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-10</w:t>
            </w:r>
          </w:p>
        </w:tc>
        <w:tc>
          <w:tcPr>
            <w:tcW w:w="667" w:type="pct"/>
            <w:tcBorders>
              <w:top w:val="nil"/>
              <w:bottom w:val="nil"/>
            </w:tcBorders>
          </w:tcPr>
          <w:p w:rsidR="006F29B5" w:rsidRPr="002A63D9" w:rsidRDefault="006F29B5" w:rsidP="006F29B5">
            <w:pPr>
              <w:pStyle w:val="Tabletext"/>
              <w:spacing w:before="20" w:after="20"/>
              <w:jc w:val="right"/>
              <w:rPr>
                <w:sz w:val="18"/>
                <w:szCs w:val="18"/>
                <w:lang w:val="en-US"/>
              </w:rPr>
            </w:pPr>
            <w:r w:rsidRPr="007A3A58">
              <w:rPr>
                <w:sz w:val="18"/>
                <w:szCs w:val="18"/>
                <w:lang w:val="en-US"/>
              </w:rPr>
              <w:t>318</w:t>
            </w:r>
          </w:p>
        </w:tc>
      </w:tr>
      <w:tr w:rsidR="006F29B5" w:rsidRPr="004D740A" w:rsidTr="006F29B5">
        <w:trPr>
          <w:jc w:val="center"/>
        </w:trPr>
        <w:tc>
          <w:tcPr>
            <w:tcW w:w="1898" w:type="pct"/>
            <w:tcBorders>
              <w:top w:val="nil"/>
              <w:bottom w:val="nil"/>
            </w:tcBorders>
            <w:tcMar>
              <w:left w:w="57" w:type="dxa"/>
              <w:right w:w="57" w:type="dxa"/>
            </w:tcMar>
          </w:tcPr>
          <w:p w:rsidR="006F29B5" w:rsidRPr="00952504" w:rsidRDefault="006F29B5" w:rsidP="006F29B5">
            <w:pPr>
              <w:pStyle w:val="Tabletext"/>
              <w:spacing w:before="20" w:after="20"/>
              <w:rPr>
                <w:sz w:val="18"/>
                <w:szCs w:val="18"/>
                <w:lang w:val="en-US" w:eastAsia="fr-FR"/>
              </w:rPr>
            </w:pPr>
            <w:r w:rsidRPr="00952504">
              <w:rPr>
                <w:sz w:val="18"/>
                <w:szCs w:val="18"/>
                <w:lang w:val="en-US" w:eastAsia="fr-FR"/>
              </w:rPr>
              <w:t>SS&amp;B Complement fund</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6’267</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1</w:t>
            </w:r>
          </w:p>
        </w:tc>
        <w:tc>
          <w:tcPr>
            <w:tcW w:w="667" w:type="pct"/>
            <w:tcBorders>
              <w:top w:val="nil"/>
              <w:bottom w:val="nil"/>
            </w:tcBorders>
          </w:tcPr>
          <w:p w:rsidR="006F29B5" w:rsidRPr="004D740A" w:rsidRDefault="006F29B5" w:rsidP="006F29B5">
            <w:pPr>
              <w:pStyle w:val="Tabletext"/>
              <w:spacing w:before="20" w:after="20"/>
              <w:jc w:val="right"/>
              <w:rPr>
                <w:sz w:val="18"/>
                <w:szCs w:val="18"/>
                <w:lang w:val="en-US"/>
              </w:rPr>
            </w:pPr>
            <w:r>
              <w:rPr>
                <w:sz w:val="18"/>
                <w:szCs w:val="18"/>
                <w:lang w:val="en-US"/>
              </w:rPr>
              <w:t>6’266</w:t>
            </w:r>
          </w:p>
        </w:tc>
      </w:tr>
      <w:tr w:rsidR="006F29B5" w:rsidRPr="004D740A" w:rsidTr="006F29B5">
        <w:trPr>
          <w:jc w:val="center"/>
        </w:trPr>
        <w:tc>
          <w:tcPr>
            <w:tcW w:w="1898" w:type="pct"/>
            <w:tcBorders>
              <w:top w:val="nil"/>
              <w:bottom w:val="nil"/>
            </w:tcBorders>
            <w:tcMar>
              <w:left w:w="57" w:type="dxa"/>
              <w:right w:w="57" w:type="dxa"/>
            </w:tcMar>
          </w:tcPr>
          <w:p w:rsidR="006F29B5" w:rsidRPr="00952504" w:rsidRDefault="006F29B5" w:rsidP="006F29B5">
            <w:pPr>
              <w:pStyle w:val="Tabletext"/>
              <w:spacing w:before="20" w:after="20"/>
              <w:rPr>
                <w:sz w:val="18"/>
                <w:szCs w:val="18"/>
                <w:lang w:val="en-US" w:eastAsia="fr-FR"/>
              </w:rPr>
            </w:pPr>
            <w:r w:rsidRPr="00952504">
              <w:rPr>
                <w:sz w:val="18"/>
                <w:szCs w:val="18"/>
                <w:lang w:val="en-US" w:eastAsia="fr-FR"/>
              </w:rPr>
              <w:t>SS&amp;B Provident fund</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1’510</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-3</w:t>
            </w:r>
          </w:p>
        </w:tc>
        <w:tc>
          <w:tcPr>
            <w:tcW w:w="667" w:type="pct"/>
            <w:tcBorders>
              <w:top w:val="nil"/>
              <w:bottom w:val="nil"/>
            </w:tcBorders>
          </w:tcPr>
          <w:p w:rsidR="006F29B5" w:rsidRPr="004D740A" w:rsidRDefault="006F29B5" w:rsidP="006F29B5">
            <w:pPr>
              <w:pStyle w:val="Tabletext"/>
              <w:spacing w:before="20" w:after="20"/>
              <w:jc w:val="right"/>
              <w:rPr>
                <w:sz w:val="18"/>
                <w:szCs w:val="18"/>
                <w:lang w:val="en-US"/>
              </w:rPr>
            </w:pPr>
            <w:r w:rsidRPr="00F84821">
              <w:rPr>
                <w:sz w:val="18"/>
                <w:szCs w:val="18"/>
                <w:lang w:val="en-US"/>
              </w:rPr>
              <w:t>1</w:t>
            </w:r>
            <w:r>
              <w:rPr>
                <w:sz w:val="18"/>
                <w:szCs w:val="18"/>
                <w:lang w:val="en-US"/>
              </w:rPr>
              <w:t>’</w:t>
            </w:r>
            <w:r w:rsidRPr="00F84821">
              <w:rPr>
                <w:sz w:val="18"/>
                <w:szCs w:val="18"/>
                <w:lang w:val="en-US"/>
              </w:rPr>
              <w:t>513</w:t>
            </w:r>
          </w:p>
        </w:tc>
      </w:tr>
      <w:tr w:rsidR="006F29B5" w:rsidRPr="004D740A" w:rsidTr="006F29B5">
        <w:trPr>
          <w:jc w:val="center"/>
        </w:trPr>
        <w:tc>
          <w:tcPr>
            <w:tcW w:w="1898" w:type="pct"/>
            <w:tcBorders>
              <w:top w:val="nil"/>
              <w:bottom w:val="nil"/>
            </w:tcBorders>
            <w:tcMar>
              <w:left w:w="57" w:type="dxa"/>
              <w:right w:w="57" w:type="dxa"/>
            </w:tcMar>
          </w:tcPr>
          <w:p w:rsidR="006F29B5" w:rsidRPr="00952504" w:rsidRDefault="006F29B5" w:rsidP="006F29B5">
            <w:pPr>
              <w:pStyle w:val="Tabletext"/>
              <w:spacing w:before="20" w:after="20"/>
              <w:rPr>
                <w:sz w:val="18"/>
                <w:szCs w:val="18"/>
                <w:lang w:val="en-US" w:eastAsia="fr-FR"/>
              </w:rPr>
            </w:pPr>
            <w:r w:rsidRPr="00952504">
              <w:rPr>
                <w:sz w:val="18"/>
                <w:szCs w:val="18"/>
                <w:lang w:val="en-US" w:eastAsia="fr-FR"/>
              </w:rPr>
              <w:t>SS&amp;B Assistance fund</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183</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1</w:t>
            </w:r>
          </w:p>
        </w:tc>
        <w:tc>
          <w:tcPr>
            <w:tcW w:w="667" w:type="pct"/>
            <w:tcBorders>
              <w:top w:val="nil"/>
              <w:bottom w:val="nil"/>
            </w:tcBorders>
          </w:tcPr>
          <w:p w:rsidR="006F29B5" w:rsidRPr="004D740A" w:rsidRDefault="006F29B5" w:rsidP="006F29B5">
            <w:pPr>
              <w:pStyle w:val="Tabletext"/>
              <w:spacing w:before="20" w:after="20"/>
              <w:jc w:val="right"/>
              <w:rPr>
                <w:sz w:val="18"/>
                <w:szCs w:val="18"/>
                <w:lang w:val="en-US"/>
              </w:rPr>
            </w:pPr>
            <w:r>
              <w:rPr>
                <w:sz w:val="18"/>
                <w:szCs w:val="18"/>
                <w:lang w:val="en-US"/>
              </w:rPr>
              <w:t>182</w:t>
            </w:r>
          </w:p>
        </w:tc>
      </w:tr>
      <w:tr w:rsidR="006F29B5" w:rsidRPr="004D740A" w:rsidTr="006F29B5">
        <w:trPr>
          <w:jc w:val="center"/>
        </w:trPr>
        <w:tc>
          <w:tcPr>
            <w:tcW w:w="1898" w:type="pct"/>
            <w:tcBorders>
              <w:top w:val="nil"/>
              <w:bottom w:val="nil"/>
            </w:tcBorders>
            <w:tcMar>
              <w:left w:w="57" w:type="dxa"/>
              <w:right w:w="57" w:type="dxa"/>
            </w:tcMar>
          </w:tcPr>
          <w:p w:rsidR="006F29B5" w:rsidRPr="004D740A" w:rsidRDefault="006F29B5" w:rsidP="006F29B5">
            <w:pPr>
              <w:pStyle w:val="Tabletext"/>
              <w:spacing w:before="20" w:after="20"/>
              <w:rPr>
                <w:sz w:val="18"/>
                <w:szCs w:val="18"/>
                <w:lang w:val="en-US" w:eastAsia="fr-FR"/>
              </w:rPr>
            </w:pPr>
            <w:r>
              <w:rPr>
                <w:sz w:val="18"/>
                <w:szCs w:val="18"/>
                <w:lang w:val="en-US" w:eastAsia="fr-FR"/>
              </w:rPr>
              <w:t>ASHI fund</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7’000</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1’000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4’000</w:t>
            </w:r>
          </w:p>
        </w:tc>
        <w:tc>
          <w:tcPr>
            <w:tcW w:w="667" w:type="pct"/>
            <w:tcBorders>
              <w:top w:val="nil"/>
              <w:bottom w:val="nil"/>
            </w:tcBorders>
          </w:tcPr>
          <w:p w:rsidR="006F29B5" w:rsidRPr="004D740A" w:rsidRDefault="006F29B5" w:rsidP="006F29B5">
            <w:pPr>
              <w:pStyle w:val="Tabletext"/>
              <w:spacing w:before="20" w:after="20"/>
              <w:jc w:val="right"/>
              <w:rPr>
                <w:sz w:val="18"/>
                <w:szCs w:val="18"/>
                <w:lang w:val="en-US"/>
              </w:rPr>
            </w:pPr>
            <w:r>
              <w:rPr>
                <w:sz w:val="18"/>
                <w:szCs w:val="18"/>
                <w:lang w:val="en-US"/>
              </w:rPr>
              <w:t>2’000</w:t>
            </w:r>
          </w:p>
        </w:tc>
      </w:tr>
      <w:tr w:rsidR="006F29B5" w:rsidRPr="004D740A" w:rsidTr="006F29B5">
        <w:trPr>
          <w:trHeight w:val="207"/>
          <w:jc w:val="center"/>
        </w:trPr>
        <w:tc>
          <w:tcPr>
            <w:tcW w:w="1898" w:type="pct"/>
            <w:vMerge w:val="restart"/>
            <w:tcBorders>
              <w:top w:val="nil"/>
            </w:tcBorders>
            <w:tcMar>
              <w:left w:w="57" w:type="dxa"/>
              <w:right w:w="57" w:type="dxa"/>
            </w:tcMar>
          </w:tcPr>
          <w:p w:rsidR="006F29B5" w:rsidRDefault="006F29B5" w:rsidP="006F29B5">
            <w:pPr>
              <w:pStyle w:val="Tabletext"/>
              <w:spacing w:before="20" w:after="20"/>
              <w:rPr>
                <w:sz w:val="18"/>
                <w:szCs w:val="18"/>
                <w:lang w:val="en-US" w:eastAsia="fr-FR"/>
              </w:rPr>
            </w:pPr>
            <w:r>
              <w:rPr>
                <w:sz w:val="18"/>
                <w:szCs w:val="18"/>
                <w:lang w:val="en-US" w:eastAsia="fr-FR"/>
              </w:rPr>
              <w:t>Health Insurance fund</w:t>
            </w:r>
          </w:p>
          <w:p w:rsidR="006F29B5" w:rsidRDefault="006F29B5" w:rsidP="006F29B5">
            <w:pPr>
              <w:pStyle w:val="Tabletext"/>
              <w:spacing w:before="20" w:after="20"/>
              <w:rPr>
                <w:sz w:val="18"/>
                <w:szCs w:val="18"/>
                <w:lang w:val="en-US" w:eastAsia="fr-FR"/>
              </w:rPr>
            </w:pPr>
            <w:r>
              <w:rPr>
                <w:sz w:val="18"/>
                <w:szCs w:val="18"/>
                <w:lang w:val="en-US" w:eastAsia="fr-FR"/>
              </w:rPr>
              <w:t>Extra budgetary allocated reserves</w:t>
            </w:r>
          </w:p>
        </w:tc>
        <w:tc>
          <w:tcPr>
            <w:tcW w:w="726" w:type="pct"/>
            <w:tcBorders>
              <w:top w:val="nil"/>
              <w:bottom w:val="nil"/>
              <w:right w:val="single" w:sz="4" w:space="0" w:color="auto"/>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 xml:space="preserve">5’877       </w:t>
            </w:r>
          </w:p>
        </w:tc>
        <w:tc>
          <w:tcPr>
            <w:tcW w:w="809" w:type="pct"/>
            <w:tcBorders>
              <w:top w:val="nil"/>
              <w:left w:val="single" w:sz="4" w:space="0" w:color="auto"/>
              <w:bottom w:val="nil"/>
              <w:right w:val="single" w:sz="4" w:space="0" w:color="auto"/>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2’000</w:t>
            </w:r>
          </w:p>
        </w:tc>
        <w:tc>
          <w:tcPr>
            <w:tcW w:w="900" w:type="pct"/>
            <w:tcBorders>
              <w:top w:val="nil"/>
              <w:left w:val="single" w:sz="4" w:space="0" w:color="auto"/>
              <w:bottom w:val="nil"/>
              <w:right w:val="single" w:sz="4" w:space="0" w:color="auto"/>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1’877</w:t>
            </w:r>
          </w:p>
        </w:tc>
        <w:tc>
          <w:tcPr>
            <w:tcW w:w="667" w:type="pct"/>
            <w:vMerge w:val="restart"/>
            <w:tcBorders>
              <w:top w:val="nil"/>
              <w:left w:val="single" w:sz="4" w:space="0" w:color="auto"/>
            </w:tcBorders>
          </w:tcPr>
          <w:p w:rsidR="006F29B5" w:rsidRDefault="006F29B5" w:rsidP="006F29B5">
            <w:pPr>
              <w:pStyle w:val="Tabletext"/>
              <w:spacing w:before="20" w:after="20"/>
              <w:jc w:val="right"/>
              <w:rPr>
                <w:sz w:val="18"/>
                <w:szCs w:val="18"/>
                <w:lang w:val="en-US"/>
              </w:rPr>
            </w:pPr>
            <w:r>
              <w:rPr>
                <w:sz w:val="18"/>
                <w:szCs w:val="18"/>
                <w:lang w:val="en-US"/>
              </w:rPr>
              <w:t>2’000</w:t>
            </w:r>
          </w:p>
          <w:p w:rsidR="006F29B5" w:rsidRDefault="006F29B5" w:rsidP="006F29B5">
            <w:pPr>
              <w:pStyle w:val="Tabletext"/>
              <w:spacing w:before="20" w:after="20"/>
              <w:jc w:val="right"/>
              <w:rPr>
                <w:sz w:val="18"/>
                <w:szCs w:val="18"/>
                <w:lang w:val="en-US"/>
              </w:rPr>
            </w:pPr>
            <w:r>
              <w:rPr>
                <w:sz w:val="18"/>
                <w:szCs w:val="18"/>
                <w:lang w:val="en-US"/>
              </w:rPr>
              <w:t>6’691</w:t>
            </w:r>
          </w:p>
        </w:tc>
      </w:tr>
      <w:tr w:rsidR="006F29B5" w:rsidRPr="004D740A" w:rsidTr="006F29B5">
        <w:trPr>
          <w:trHeight w:val="206"/>
          <w:jc w:val="center"/>
        </w:trPr>
        <w:tc>
          <w:tcPr>
            <w:tcW w:w="1898" w:type="pct"/>
            <w:vMerge/>
            <w:tcBorders>
              <w:bottom w:val="nil"/>
            </w:tcBorders>
            <w:tcMar>
              <w:left w:w="57" w:type="dxa"/>
              <w:right w:w="57" w:type="dxa"/>
            </w:tcMar>
          </w:tcPr>
          <w:p w:rsidR="006F29B5" w:rsidRDefault="006F29B5" w:rsidP="006F29B5">
            <w:pPr>
              <w:pStyle w:val="Tabletext"/>
              <w:spacing w:before="20" w:after="20"/>
              <w:rPr>
                <w:sz w:val="18"/>
                <w:szCs w:val="18"/>
                <w:lang w:val="en-US" w:eastAsia="fr-FR"/>
              </w:rPr>
            </w:pPr>
          </w:p>
        </w:tc>
        <w:tc>
          <w:tcPr>
            <w:tcW w:w="726" w:type="pct"/>
            <w:tcBorders>
              <w:top w:val="nil"/>
              <w:bottom w:val="nil"/>
              <w:right w:val="single" w:sz="4" w:space="0" w:color="auto"/>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5’685</w:t>
            </w:r>
          </w:p>
        </w:tc>
        <w:tc>
          <w:tcPr>
            <w:tcW w:w="809" w:type="pct"/>
            <w:tcBorders>
              <w:top w:val="nil"/>
              <w:left w:val="single" w:sz="4" w:space="0" w:color="auto"/>
              <w:bottom w:val="nil"/>
              <w:right w:val="single" w:sz="4" w:space="0" w:color="auto"/>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left w:val="single" w:sz="4" w:space="0" w:color="auto"/>
              <w:bottom w:val="nil"/>
              <w:right w:val="single" w:sz="4" w:space="0" w:color="auto"/>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-1’006</w:t>
            </w:r>
          </w:p>
        </w:tc>
        <w:tc>
          <w:tcPr>
            <w:tcW w:w="667" w:type="pct"/>
            <w:vMerge/>
            <w:tcBorders>
              <w:left w:val="single" w:sz="4" w:space="0" w:color="auto"/>
              <w:bottom w:val="nil"/>
            </w:tcBorders>
          </w:tcPr>
          <w:p w:rsidR="006F29B5" w:rsidRDefault="006F29B5" w:rsidP="006F29B5">
            <w:pPr>
              <w:pStyle w:val="Tabletext"/>
              <w:spacing w:before="20" w:after="20"/>
              <w:jc w:val="right"/>
              <w:rPr>
                <w:sz w:val="18"/>
                <w:szCs w:val="18"/>
                <w:lang w:val="en-US"/>
              </w:rPr>
            </w:pPr>
          </w:p>
        </w:tc>
      </w:tr>
      <w:tr w:rsidR="006F29B5" w:rsidRPr="004D740A" w:rsidTr="006F29B5">
        <w:trPr>
          <w:jc w:val="center"/>
        </w:trPr>
        <w:tc>
          <w:tcPr>
            <w:tcW w:w="1898" w:type="pct"/>
            <w:tcBorders>
              <w:top w:val="nil"/>
              <w:bottom w:val="nil"/>
            </w:tcBorders>
            <w:tcMar>
              <w:left w:w="57" w:type="dxa"/>
              <w:right w:w="57" w:type="dxa"/>
            </w:tcMar>
          </w:tcPr>
          <w:p w:rsidR="006F29B5" w:rsidRPr="00952504" w:rsidRDefault="006F29B5" w:rsidP="006F29B5">
            <w:pPr>
              <w:pStyle w:val="Tabletext"/>
              <w:spacing w:before="20" w:after="20"/>
              <w:rPr>
                <w:b/>
                <w:sz w:val="18"/>
                <w:szCs w:val="18"/>
                <w:lang w:val="en-US"/>
              </w:rPr>
            </w:pPr>
            <w:r>
              <w:rPr>
                <w:b/>
                <w:sz w:val="18"/>
                <w:szCs w:val="18"/>
                <w:lang w:val="en-US"/>
              </w:rPr>
              <w:t>Currency exchange translation</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812</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-291</w:t>
            </w:r>
          </w:p>
        </w:tc>
        <w:tc>
          <w:tcPr>
            <w:tcW w:w="667" w:type="pct"/>
            <w:tcBorders>
              <w:top w:val="nil"/>
              <w:bottom w:val="nil"/>
            </w:tcBorders>
          </w:tcPr>
          <w:p w:rsidR="006F29B5" w:rsidRDefault="006F29B5" w:rsidP="006F29B5">
            <w:pPr>
              <w:pStyle w:val="Tabletext"/>
              <w:spacing w:before="20" w:after="20"/>
              <w:jc w:val="right"/>
              <w:rPr>
                <w:sz w:val="18"/>
                <w:szCs w:val="18"/>
                <w:lang w:val="en-US"/>
              </w:rPr>
            </w:pPr>
            <w:r>
              <w:rPr>
                <w:sz w:val="18"/>
                <w:szCs w:val="18"/>
                <w:lang w:val="en-US"/>
              </w:rPr>
              <w:t>1’103</w:t>
            </w:r>
          </w:p>
        </w:tc>
      </w:tr>
      <w:tr w:rsidR="006F29B5" w:rsidRPr="004D740A" w:rsidTr="006F29B5">
        <w:trPr>
          <w:jc w:val="center"/>
        </w:trPr>
        <w:tc>
          <w:tcPr>
            <w:tcW w:w="1898" w:type="pct"/>
            <w:tcBorders>
              <w:top w:val="nil"/>
              <w:bottom w:val="nil"/>
            </w:tcBorders>
            <w:tcMar>
              <w:left w:w="57" w:type="dxa"/>
              <w:right w:w="57" w:type="dxa"/>
            </w:tcMar>
          </w:tcPr>
          <w:p w:rsidR="006F29B5" w:rsidRPr="00952504" w:rsidRDefault="006F29B5" w:rsidP="006F29B5">
            <w:pPr>
              <w:pStyle w:val="Tabletext"/>
              <w:spacing w:before="20" w:after="20"/>
              <w:rPr>
                <w:b/>
                <w:sz w:val="18"/>
                <w:szCs w:val="18"/>
                <w:lang w:val="en-US"/>
              </w:rPr>
            </w:pPr>
            <w:r>
              <w:rPr>
                <w:b/>
                <w:sz w:val="18"/>
                <w:szCs w:val="18"/>
                <w:lang w:val="en-US"/>
              </w:rPr>
              <w:t>Extra-budgetary</w:t>
            </w:r>
            <w:r w:rsidRPr="00952504">
              <w:rPr>
                <w:b/>
                <w:sz w:val="18"/>
                <w:szCs w:val="18"/>
                <w:lang w:val="en-US"/>
              </w:rPr>
              <w:t xml:space="preserve"> activities related funds</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12’058</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-630</w:t>
            </w:r>
          </w:p>
        </w:tc>
        <w:tc>
          <w:tcPr>
            <w:tcW w:w="900" w:type="pct"/>
            <w:tcBorders>
              <w:top w:val="nil"/>
              <w:bottom w:val="nil"/>
            </w:tcBorders>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909</w:t>
            </w:r>
          </w:p>
        </w:tc>
        <w:tc>
          <w:tcPr>
            <w:tcW w:w="667" w:type="pct"/>
            <w:tcBorders>
              <w:top w:val="nil"/>
              <w:bottom w:val="nil"/>
            </w:tcBorders>
          </w:tcPr>
          <w:p w:rsidR="006F29B5" w:rsidRPr="00031FC9" w:rsidRDefault="006F29B5" w:rsidP="006F29B5">
            <w:pPr>
              <w:pStyle w:val="Tabletext"/>
              <w:spacing w:before="20" w:after="20"/>
              <w:jc w:val="right"/>
              <w:rPr>
                <w:b/>
                <w:bCs/>
                <w:sz w:val="18"/>
                <w:szCs w:val="18"/>
                <w:lang w:val="en-US"/>
              </w:rPr>
            </w:pPr>
            <w:r w:rsidRPr="00031FC9">
              <w:rPr>
                <w:b/>
                <w:bCs/>
                <w:sz w:val="18"/>
                <w:szCs w:val="18"/>
                <w:lang w:val="en-US"/>
              </w:rPr>
              <w:t>11’779</w:t>
            </w:r>
          </w:p>
        </w:tc>
      </w:tr>
      <w:tr w:rsidR="006F29B5" w:rsidRPr="004D740A" w:rsidTr="006F29B5">
        <w:trPr>
          <w:jc w:val="center"/>
        </w:trPr>
        <w:tc>
          <w:tcPr>
            <w:tcW w:w="1898" w:type="pct"/>
            <w:tcBorders>
              <w:top w:val="nil"/>
              <w:bottom w:val="nil"/>
            </w:tcBorders>
            <w:tcMar>
              <w:left w:w="57" w:type="dxa"/>
              <w:right w:w="57" w:type="dxa"/>
            </w:tcMar>
          </w:tcPr>
          <w:p w:rsidR="006F29B5" w:rsidRDefault="006F29B5" w:rsidP="006F29B5">
            <w:pPr>
              <w:pStyle w:val="Tabletext"/>
              <w:spacing w:before="20" w:after="20"/>
              <w:rPr>
                <w:bCs/>
                <w:sz w:val="18"/>
                <w:szCs w:val="18"/>
                <w:lang w:val="en-US"/>
              </w:rPr>
            </w:pPr>
            <w:r w:rsidRPr="00952504">
              <w:rPr>
                <w:b/>
                <w:sz w:val="18"/>
                <w:szCs w:val="18"/>
                <w:lang w:val="en-US"/>
              </w:rPr>
              <w:t>ASHI actuarial losses</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-312’708</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-187’445</w:t>
            </w:r>
          </w:p>
        </w:tc>
        <w:tc>
          <w:tcPr>
            <w:tcW w:w="667" w:type="pct"/>
            <w:tcBorders>
              <w:top w:val="nil"/>
              <w:bottom w:val="nil"/>
            </w:tcBorders>
          </w:tcPr>
          <w:p w:rsidR="006F29B5" w:rsidRDefault="006F29B5" w:rsidP="006F29B5">
            <w:pPr>
              <w:pStyle w:val="Tabletext"/>
              <w:spacing w:before="20" w:after="20"/>
              <w:jc w:val="right"/>
              <w:rPr>
                <w:sz w:val="18"/>
                <w:szCs w:val="18"/>
                <w:lang w:val="en-US"/>
              </w:rPr>
            </w:pPr>
            <w:r>
              <w:rPr>
                <w:sz w:val="18"/>
                <w:szCs w:val="18"/>
                <w:lang w:val="en-US"/>
              </w:rPr>
              <w:t>-125’263</w:t>
            </w:r>
          </w:p>
        </w:tc>
      </w:tr>
      <w:tr w:rsidR="006F29B5" w:rsidRPr="004D740A" w:rsidTr="006F29B5">
        <w:trPr>
          <w:jc w:val="center"/>
        </w:trPr>
        <w:tc>
          <w:tcPr>
            <w:tcW w:w="1898" w:type="pct"/>
            <w:tcBorders>
              <w:top w:val="nil"/>
              <w:bottom w:val="nil"/>
            </w:tcBorders>
            <w:tcMar>
              <w:left w:w="57" w:type="dxa"/>
              <w:right w:w="57" w:type="dxa"/>
            </w:tcMar>
          </w:tcPr>
          <w:p w:rsidR="006F29B5" w:rsidRDefault="006F29B5" w:rsidP="006F29B5">
            <w:pPr>
              <w:pStyle w:val="Tabletext"/>
              <w:spacing w:before="20" w:after="20"/>
              <w:rPr>
                <w:bCs/>
                <w:sz w:val="18"/>
                <w:szCs w:val="18"/>
                <w:lang w:val="en-US"/>
              </w:rPr>
            </w:pPr>
            <w:r w:rsidRPr="005105FC">
              <w:rPr>
                <w:b/>
                <w:bCs/>
                <w:sz w:val="20"/>
                <w:lang w:val="en-US"/>
              </w:rPr>
              <w:t>IPSAS cumulated deficit (statistical)</w:t>
            </w:r>
          </w:p>
        </w:tc>
        <w:tc>
          <w:tcPr>
            <w:tcW w:w="726"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-22’810</w:t>
            </w:r>
          </w:p>
        </w:tc>
        <w:tc>
          <w:tcPr>
            <w:tcW w:w="809" w:type="pct"/>
            <w:tcBorders>
              <w:top w:val="nil"/>
              <w:bottom w:val="nil"/>
            </w:tcBorders>
            <w:tcMar>
              <w:left w:w="57" w:type="dxa"/>
              <w:right w:w="113" w:type="dxa"/>
            </w:tcMar>
          </w:tcPr>
          <w:p w:rsidR="006F29B5" w:rsidRPr="004158DD" w:rsidRDefault="006F29B5" w:rsidP="006F29B5">
            <w:pPr>
              <w:pStyle w:val="Tabletext"/>
              <w:spacing w:before="20" w:after="20"/>
              <w:jc w:val="right"/>
              <w:rPr>
                <w:sz w:val="18"/>
                <w:szCs w:val="18"/>
                <w:lang w:val="en-US"/>
              </w:rPr>
            </w:pPr>
            <w:r w:rsidRPr="004158DD">
              <w:rPr>
                <w:sz w:val="18"/>
                <w:szCs w:val="18"/>
                <w:lang w:val="en-US"/>
              </w:rPr>
              <w:t>-7’993</w:t>
            </w:r>
          </w:p>
        </w:tc>
        <w:tc>
          <w:tcPr>
            <w:tcW w:w="900" w:type="pct"/>
            <w:tcBorders>
              <w:top w:val="nil"/>
              <w:bottom w:val="nil"/>
            </w:tcBorders>
          </w:tcPr>
          <w:p w:rsidR="006F29B5" w:rsidRPr="004158DD" w:rsidRDefault="006F29B5" w:rsidP="006F29B5">
            <w:pPr>
              <w:pStyle w:val="Tabletext"/>
              <w:spacing w:before="20" w:after="20"/>
              <w:jc w:val="right"/>
              <w:rPr>
                <w:sz w:val="18"/>
                <w:szCs w:val="18"/>
                <w:lang w:val="en-US"/>
              </w:rPr>
            </w:pPr>
            <w:r w:rsidRPr="004158DD">
              <w:rPr>
                <w:sz w:val="18"/>
                <w:szCs w:val="18"/>
                <w:lang w:val="en-US"/>
              </w:rPr>
              <w:t>0</w:t>
            </w:r>
          </w:p>
        </w:tc>
        <w:tc>
          <w:tcPr>
            <w:tcW w:w="667" w:type="pct"/>
            <w:tcBorders>
              <w:top w:val="nil"/>
              <w:bottom w:val="nil"/>
            </w:tcBorders>
          </w:tcPr>
          <w:p w:rsidR="006F29B5" w:rsidRDefault="006F29B5" w:rsidP="006F29B5">
            <w:pPr>
              <w:pStyle w:val="Tabletext"/>
              <w:spacing w:before="20" w:after="20"/>
              <w:jc w:val="right"/>
              <w:rPr>
                <w:sz w:val="18"/>
                <w:szCs w:val="18"/>
                <w:lang w:val="en-US"/>
              </w:rPr>
            </w:pPr>
            <w:r>
              <w:rPr>
                <w:sz w:val="18"/>
                <w:szCs w:val="18"/>
                <w:lang w:val="en-US"/>
              </w:rPr>
              <w:t>-14’817</w:t>
            </w:r>
          </w:p>
        </w:tc>
      </w:tr>
      <w:tr w:rsidR="006F29B5" w:rsidRPr="004D740A" w:rsidTr="006F29B5">
        <w:trPr>
          <w:jc w:val="center"/>
        </w:trPr>
        <w:tc>
          <w:tcPr>
            <w:tcW w:w="1898" w:type="pct"/>
            <w:tcBorders>
              <w:top w:val="single" w:sz="4" w:space="0" w:color="auto"/>
            </w:tcBorders>
            <w:tcMar>
              <w:left w:w="57" w:type="dxa"/>
              <w:right w:w="57" w:type="dxa"/>
            </w:tcMar>
          </w:tcPr>
          <w:p w:rsidR="006F29B5" w:rsidRPr="004D740A" w:rsidRDefault="006F29B5" w:rsidP="006F29B5">
            <w:pPr>
              <w:pStyle w:val="Tabletext"/>
              <w:spacing w:before="20" w:after="20"/>
              <w:rPr>
                <w:b/>
                <w:bCs/>
                <w:sz w:val="18"/>
                <w:szCs w:val="18"/>
                <w:lang w:val="en-US" w:eastAsia="fr-FR"/>
              </w:rPr>
            </w:pPr>
            <w:r>
              <w:rPr>
                <w:b/>
                <w:bCs/>
                <w:sz w:val="18"/>
                <w:szCs w:val="18"/>
                <w:lang w:val="en-US"/>
              </w:rPr>
              <w:t>Total n</w:t>
            </w:r>
            <w:r w:rsidRPr="004D740A">
              <w:rPr>
                <w:b/>
                <w:bCs/>
                <w:sz w:val="18"/>
                <w:szCs w:val="18"/>
                <w:lang w:val="en-US"/>
              </w:rPr>
              <w:t xml:space="preserve">et assets </w:t>
            </w:r>
          </w:p>
        </w:tc>
        <w:tc>
          <w:tcPr>
            <w:tcW w:w="726" w:type="pct"/>
            <w:tcBorders>
              <w:top w:val="single" w:sz="4" w:space="0" w:color="auto"/>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-386’024</w:t>
            </w:r>
          </w:p>
        </w:tc>
        <w:tc>
          <w:tcPr>
            <w:tcW w:w="809" w:type="pct"/>
            <w:tcBorders>
              <w:top w:val="single" w:sz="4" w:space="0" w:color="auto"/>
            </w:tcBorders>
            <w:tcMar>
              <w:left w:w="57" w:type="dxa"/>
              <w:right w:w="113" w:type="dxa"/>
            </w:tcMar>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-5’541</w:t>
            </w:r>
          </w:p>
        </w:tc>
        <w:tc>
          <w:tcPr>
            <w:tcW w:w="900" w:type="pct"/>
            <w:tcBorders>
              <w:top w:val="single" w:sz="4" w:space="0" w:color="auto"/>
            </w:tcBorders>
          </w:tcPr>
          <w:p w:rsidR="006F29B5" w:rsidRPr="004158DD" w:rsidRDefault="006F29B5" w:rsidP="006F29B5">
            <w:pPr>
              <w:pStyle w:val="Tabletext"/>
              <w:spacing w:before="20" w:after="20"/>
              <w:jc w:val="right"/>
              <w:rPr>
                <w:b/>
                <w:bCs/>
                <w:sz w:val="18"/>
                <w:szCs w:val="18"/>
                <w:lang w:val="en-US"/>
              </w:rPr>
            </w:pPr>
            <w:r w:rsidRPr="004158DD">
              <w:rPr>
                <w:b/>
                <w:bCs/>
                <w:sz w:val="18"/>
                <w:szCs w:val="18"/>
                <w:lang w:val="en-US"/>
              </w:rPr>
              <w:t>-184’315</w:t>
            </w:r>
          </w:p>
        </w:tc>
        <w:tc>
          <w:tcPr>
            <w:tcW w:w="667" w:type="pct"/>
            <w:tcBorders>
              <w:top w:val="single" w:sz="4" w:space="0" w:color="auto"/>
            </w:tcBorders>
          </w:tcPr>
          <w:p w:rsidR="006F29B5" w:rsidRPr="004D740A" w:rsidRDefault="006F29B5" w:rsidP="006F29B5">
            <w:pPr>
              <w:pStyle w:val="Tabletext"/>
              <w:spacing w:before="20" w:after="20"/>
              <w:jc w:val="right"/>
              <w:rPr>
                <w:b/>
                <w:bCs/>
                <w:sz w:val="18"/>
                <w:szCs w:val="18"/>
                <w:lang w:val="en-US"/>
              </w:rPr>
            </w:pPr>
            <w:r>
              <w:rPr>
                <w:b/>
                <w:bCs/>
                <w:sz w:val="18"/>
                <w:szCs w:val="18"/>
                <w:lang w:val="en-US"/>
              </w:rPr>
              <w:t>-196’168</w:t>
            </w:r>
          </w:p>
        </w:tc>
      </w:tr>
    </w:tbl>
    <w:p w:rsidR="006F29B5" w:rsidRDefault="006F29B5" w:rsidP="006F29B5">
      <w:pPr>
        <w:pStyle w:val="Tabletitle"/>
        <w:rPr>
          <w:sz w:val="28"/>
          <w:szCs w:val="28"/>
          <w:lang w:val="en-US"/>
        </w:rPr>
      </w:pPr>
      <w:r>
        <w:rPr>
          <w:lang w:val="en-US"/>
        </w:rPr>
        <w:br w:type="page"/>
      </w:r>
      <w:bookmarkStart w:id="12" w:name="_Toc305764059"/>
      <w:r>
        <w:rPr>
          <w:sz w:val="28"/>
          <w:szCs w:val="28"/>
          <w:lang w:val="en-US"/>
        </w:rPr>
        <w:t>IV – Table of cash flows for the period closed on 31 December 201</w:t>
      </w:r>
      <w:bookmarkEnd w:id="12"/>
      <w:r>
        <w:rPr>
          <w:sz w:val="28"/>
          <w:szCs w:val="28"/>
          <w:lang w:val="en-US"/>
        </w:rPr>
        <w:t>4</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48"/>
        <w:gridCol w:w="1452"/>
        <w:gridCol w:w="1534"/>
      </w:tblGrid>
      <w:tr w:rsidR="006F29B5" w:rsidTr="006F29B5">
        <w:tc>
          <w:tcPr>
            <w:tcW w:w="6648"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rPr>
                <w:sz w:val="21"/>
                <w:szCs w:val="21"/>
                <w:lang w:val="en-US"/>
              </w:rPr>
            </w:pPr>
            <w:r>
              <w:rPr>
                <w:b/>
                <w:sz w:val="21"/>
                <w:szCs w:val="21"/>
                <w:lang w:val="en-US"/>
              </w:rPr>
              <w:t>(in thousands of CHF)</w:t>
            </w:r>
          </w:p>
        </w:tc>
        <w:tc>
          <w:tcPr>
            <w:tcW w:w="1452" w:type="dxa"/>
            <w:tcBorders>
              <w:top w:val="single" w:sz="4" w:space="0" w:color="auto"/>
              <w:left w:val="nil"/>
              <w:bottom w:val="single" w:sz="4" w:space="0" w:color="auto"/>
              <w:right w:val="single" w:sz="4" w:space="0" w:color="auto"/>
            </w:tcBorders>
            <w:hideMark/>
          </w:tcPr>
          <w:p w:rsidR="006F29B5" w:rsidRPr="00FD0927" w:rsidRDefault="006F29B5" w:rsidP="006F29B5">
            <w:pPr>
              <w:pStyle w:val="Tabletext"/>
              <w:spacing w:before="20" w:after="20"/>
              <w:jc w:val="center"/>
              <w:rPr>
                <w:b/>
                <w:bCs/>
                <w:sz w:val="21"/>
                <w:szCs w:val="21"/>
                <w:lang w:val="en-US" w:eastAsia="fr-FR"/>
              </w:rPr>
            </w:pPr>
            <w:r w:rsidRPr="00FD0927">
              <w:rPr>
                <w:b/>
                <w:bCs/>
                <w:sz w:val="21"/>
                <w:szCs w:val="21"/>
                <w:lang w:val="en-US" w:eastAsia="fr-FR"/>
              </w:rPr>
              <w:t>31.12.2014</w:t>
            </w:r>
          </w:p>
        </w:tc>
        <w:tc>
          <w:tcPr>
            <w:tcW w:w="1534"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jc w:val="center"/>
              <w:rPr>
                <w:b/>
                <w:bCs/>
                <w:sz w:val="21"/>
                <w:szCs w:val="21"/>
                <w:lang w:val="en-US" w:eastAsia="fr-FR"/>
              </w:rPr>
            </w:pPr>
            <w:r>
              <w:rPr>
                <w:b/>
                <w:bCs/>
                <w:sz w:val="21"/>
                <w:szCs w:val="21"/>
                <w:lang w:val="en-US" w:eastAsia="fr-FR"/>
              </w:rPr>
              <w:t>31.12.2013</w:t>
            </w:r>
          </w:p>
        </w:tc>
      </w:tr>
      <w:tr w:rsidR="006F29B5" w:rsidTr="006F29B5">
        <w:tc>
          <w:tcPr>
            <w:tcW w:w="6648" w:type="dxa"/>
            <w:tcBorders>
              <w:top w:val="single" w:sz="4" w:space="0" w:color="auto"/>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Surplus (deficit) for the period</w:t>
            </w:r>
          </w:p>
        </w:tc>
        <w:tc>
          <w:tcPr>
            <w:tcW w:w="1452" w:type="dxa"/>
            <w:tcBorders>
              <w:top w:val="single" w:sz="4" w:space="0" w:color="auto"/>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-5’541</w:t>
            </w:r>
          </w:p>
        </w:tc>
        <w:tc>
          <w:tcPr>
            <w:tcW w:w="1534" w:type="dxa"/>
            <w:tcBorders>
              <w:top w:val="single" w:sz="4" w:space="0" w:color="auto"/>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2’817</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b/>
                <w:bCs/>
                <w:sz w:val="21"/>
                <w:szCs w:val="21"/>
                <w:lang w:val="en-US"/>
              </w:rPr>
              <w:t>Non-monetary movements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p>
        </w:tc>
        <w:tc>
          <w:tcPr>
            <w:tcW w:w="1534" w:type="dxa"/>
            <w:tcBorders>
              <w:top w:val="nil"/>
              <w:left w:val="single" w:sz="4" w:space="0" w:color="auto"/>
              <w:bottom w:val="nil"/>
              <w:right w:val="single" w:sz="4" w:space="0" w:color="auto"/>
            </w:tcBorders>
          </w:tcPr>
          <w:p w:rsidR="006F29B5" w:rsidRDefault="006F29B5" w:rsidP="006F29B5">
            <w:pPr>
              <w:pStyle w:val="Tabletext"/>
              <w:spacing w:before="20" w:after="20"/>
              <w:ind w:right="282"/>
              <w:jc w:val="right"/>
              <w:rPr>
                <w:sz w:val="21"/>
                <w:szCs w:val="21"/>
                <w:lang w:val="en-US" w:eastAsia="fr-FR"/>
              </w:rPr>
            </w:pP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Depreciation</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6’485</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6’136</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ASHI provision</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11’089</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11’967</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Provisions for repatriation (LT)</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1’324</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742</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Provisions for employee benefits (ST)</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62</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463</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Provisions for accrued leave (LT)</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865</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200</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Other provisions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469</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351</w:t>
            </w:r>
          </w:p>
        </w:tc>
      </w:tr>
      <w:tr w:rsidR="006F29B5" w:rsidTr="006F29B5">
        <w:tc>
          <w:tcPr>
            <w:tcW w:w="6648" w:type="dxa"/>
            <w:tcBorders>
              <w:top w:val="nil"/>
              <w:left w:val="single" w:sz="4" w:space="0" w:color="auto"/>
              <w:bottom w:val="nil"/>
              <w:right w:val="single" w:sz="4" w:space="0" w:color="auto"/>
            </w:tcBorders>
          </w:tcPr>
          <w:p w:rsidR="006F29B5" w:rsidRDefault="006F29B5" w:rsidP="006F29B5">
            <w:pPr>
              <w:pStyle w:val="Tabletext"/>
              <w:spacing w:before="20" w:after="20"/>
              <w:rPr>
                <w:sz w:val="21"/>
                <w:szCs w:val="21"/>
                <w:lang w:val="en-US"/>
              </w:rPr>
            </w:pPr>
            <w:r>
              <w:rPr>
                <w:sz w:val="21"/>
                <w:szCs w:val="21"/>
                <w:lang w:val="en-US"/>
              </w:rPr>
              <w:t>Provision for doubtful receivable release</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-4’355</w:t>
            </w:r>
          </w:p>
        </w:tc>
        <w:tc>
          <w:tcPr>
            <w:tcW w:w="1534" w:type="dxa"/>
            <w:tcBorders>
              <w:top w:val="nil"/>
              <w:left w:val="single" w:sz="4" w:space="0" w:color="auto"/>
              <w:bottom w:val="nil"/>
              <w:right w:val="single" w:sz="4" w:space="0" w:color="auto"/>
            </w:tcBorders>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-5'635</w:t>
            </w:r>
          </w:p>
        </w:tc>
      </w:tr>
      <w:tr w:rsidR="006F29B5" w:rsidTr="006F29B5">
        <w:tc>
          <w:tcPr>
            <w:tcW w:w="6648" w:type="dxa"/>
            <w:tcBorders>
              <w:top w:val="nil"/>
              <w:left w:val="single" w:sz="4" w:space="0" w:color="auto"/>
              <w:bottom w:val="nil"/>
              <w:right w:val="single" w:sz="4" w:space="0" w:color="auto"/>
            </w:tcBorders>
          </w:tcPr>
          <w:p w:rsidR="006F29B5" w:rsidRDefault="006F29B5" w:rsidP="006F29B5">
            <w:pPr>
              <w:pStyle w:val="Tabletext"/>
              <w:spacing w:before="20" w:after="20"/>
              <w:rPr>
                <w:sz w:val="21"/>
                <w:szCs w:val="21"/>
                <w:lang w:val="en-US"/>
              </w:rPr>
            </w:pPr>
            <w:r>
              <w:rPr>
                <w:sz w:val="21"/>
                <w:szCs w:val="21"/>
                <w:lang w:val="en-US"/>
              </w:rPr>
              <w:t>Net loss on sales of fixed assets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w:t>
            </w:r>
          </w:p>
        </w:tc>
        <w:tc>
          <w:tcPr>
            <w:tcW w:w="1534" w:type="dxa"/>
            <w:tcBorders>
              <w:top w:val="nil"/>
              <w:left w:val="single" w:sz="4" w:space="0" w:color="auto"/>
              <w:bottom w:val="nil"/>
              <w:right w:val="single" w:sz="4" w:space="0" w:color="auto"/>
            </w:tcBorders>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2</w:t>
            </w:r>
          </w:p>
        </w:tc>
      </w:tr>
      <w:tr w:rsidR="006F29B5" w:rsidTr="006F29B5">
        <w:tc>
          <w:tcPr>
            <w:tcW w:w="6648" w:type="dxa"/>
            <w:tcBorders>
              <w:top w:val="nil"/>
              <w:left w:val="single" w:sz="4" w:space="0" w:color="auto"/>
              <w:bottom w:val="nil"/>
              <w:right w:val="single" w:sz="4" w:space="0" w:color="auto"/>
            </w:tcBorders>
          </w:tcPr>
          <w:p w:rsidR="006F29B5" w:rsidRDefault="006F29B5" w:rsidP="006F29B5">
            <w:pPr>
              <w:pStyle w:val="Tabletext"/>
              <w:spacing w:before="20" w:after="20"/>
              <w:rPr>
                <w:sz w:val="21"/>
                <w:szCs w:val="21"/>
                <w:lang w:val="en-US"/>
              </w:rPr>
            </w:pPr>
            <w:r>
              <w:rPr>
                <w:sz w:val="21"/>
                <w:szCs w:val="21"/>
                <w:lang w:val="en-US"/>
              </w:rPr>
              <w:t>Inventory depreciation</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42</w:t>
            </w:r>
          </w:p>
        </w:tc>
        <w:tc>
          <w:tcPr>
            <w:tcW w:w="1534" w:type="dxa"/>
            <w:tcBorders>
              <w:top w:val="nil"/>
              <w:left w:val="single" w:sz="4" w:space="0" w:color="auto"/>
              <w:bottom w:val="nil"/>
              <w:right w:val="single" w:sz="4" w:space="0" w:color="auto"/>
            </w:tcBorders>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-36</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Unrealized exchange-rate losses (gains)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-334</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-6’548</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Interest received</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-329</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-423</w:t>
            </w:r>
          </w:p>
        </w:tc>
      </w:tr>
      <w:tr w:rsidR="006F29B5" w:rsidTr="006F29B5">
        <w:tc>
          <w:tcPr>
            <w:tcW w:w="6648" w:type="dxa"/>
            <w:tcBorders>
              <w:top w:val="nil"/>
              <w:left w:val="single" w:sz="4" w:space="0" w:color="auto"/>
              <w:bottom w:val="single" w:sz="4" w:space="0" w:color="auto"/>
              <w:right w:val="single" w:sz="4" w:space="0" w:color="auto"/>
            </w:tcBorders>
          </w:tcPr>
          <w:p w:rsidR="006F29B5" w:rsidRDefault="006F29B5" w:rsidP="006F29B5">
            <w:pPr>
              <w:pStyle w:val="Tabletext"/>
              <w:spacing w:before="20" w:after="20"/>
              <w:rPr>
                <w:b/>
                <w:bCs/>
                <w:sz w:val="21"/>
                <w:szCs w:val="21"/>
                <w:lang w:val="en-US" w:eastAsia="fr-FR"/>
              </w:rPr>
            </w:pPr>
          </w:p>
        </w:tc>
        <w:tc>
          <w:tcPr>
            <w:tcW w:w="1452" w:type="dxa"/>
            <w:tcBorders>
              <w:top w:val="nil"/>
              <w:left w:val="nil"/>
              <w:bottom w:val="single" w:sz="4" w:space="0" w:color="auto"/>
              <w:right w:val="single" w:sz="4" w:space="0" w:color="auto"/>
            </w:tcBorders>
          </w:tcPr>
          <w:p w:rsidR="006F29B5" w:rsidRPr="00FD0927" w:rsidRDefault="006F29B5" w:rsidP="006F29B5">
            <w:pPr>
              <w:pStyle w:val="Tabletext"/>
              <w:rPr>
                <w:sz w:val="20"/>
                <w:lang w:val="en-US"/>
              </w:rPr>
            </w:pPr>
          </w:p>
        </w:tc>
        <w:tc>
          <w:tcPr>
            <w:tcW w:w="1534" w:type="dxa"/>
            <w:tcBorders>
              <w:top w:val="nil"/>
              <w:left w:val="single" w:sz="4" w:space="0" w:color="auto"/>
              <w:bottom w:val="single" w:sz="4" w:space="0" w:color="auto"/>
              <w:right w:val="single" w:sz="4" w:space="0" w:color="auto"/>
            </w:tcBorders>
          </w:tcPr>
          <w:p w:rsidR="006F29B5" w:rsidRDefault="006F29B5" w:rsidP="006F29B5">
            <w:pPr>
              <w:pStyle w:val="Tabletext"/>
              <w:rPr>
                <w:sz w:val="20"/>
                <w:lang w:val="en-US"/>
              </w:rPr>
            </w:pPr>
          </w:p>
        </w:tc>
      </w:tr>
      <w:tr w:rsidR="006F29B5" w:rsidTr="00685646">
        <w:tc>
          <w:tcPr>
            <w:tcW w:w="6648" w:type="dxa"/>
            <w:tcBorders>
              <w:top w:val="single" w:sz="4" w:space="0" w:color="auto"/>
              <w:left w:val="single" w:sz="4" w:space="0" w:color="auto"/>
              <w:bottom w:val="single" w:sz="4" w:space="0" w:color="auto"/>
              <w:right w:val="single" w:sz="4" w:space="0" w:color="auto"/>
            </w:tcBorders>
            <w:hideMark/>
          </w:tcPr>
          <w:p w:rsidR="006F29B5" w:rsidRDefault="006F29B5" w:rsidP="00685646">
            <w:pPr>
              <w:spacing w:before="60" w:after="60"/>
              <w:rPr>
                <w:b/>
                <w:bCs/>
                <w:sz w:val="21"/>
                <w:szCs w:val="21"/>
                <w:lang w:val="en-US" w:eastAsia="fr-FR"/>
              </w:rPr>
            </w:pPr>
            <w:r>
              <w:rPr>
                <w:b/>
                <w:bCs/>
                <w:sz w:val="21"/>
                <w:szCs w:val="21"/>
                <w:lang w:val="en-US"/>
              </w:rPr>
              <w:t>Restated surplus (deficit) from non-monetary movements</w:t>
            </w:r>
          </w:p>
        </w:tc>
        <w:tc>
          <w:tcPr>
            <w:tcW w:w="1452" w:type="dxa"/>
            <w:tcBorders>
              <w:top w:val="single" w:sz="4" w:space="0" w:color="auto"/>
              <w:left w:val="nil"/>
              <w:bottom w:val="single" w:sz="4" w:space="0" w:color="auto"/>
              <w:right w:val="single" w:sz="4" w:space="0" w:color="auto"/>
            </w:tcBorders>
            <w:vAlign w:val="center"/>
          </w:tcPr>
          <w:p w:rsidR="006F29B5" w:rsidRPr="00FD0927" w:rsidRDefault="006F29B5" w:rsidP="00685646">
            <w:pPr>
              <w:pStyle w:val="Tabletext"/>
              <w:ind w:right="282"/>
              <w:jc w:val="right"/>
              <w:rPr>
                <w:b/>
                <w:bCs/>
                <w:sz w:val="20"/>
                <w:lang w:val="en-US"/>
              </w:rPr>
            </w:pPr>
            <w:r w:rsidRPr="00FD0927">
              <w:rPr>
                <w:b/>
                <w:bCs/>
                <w:sz w:val="20"/>
                <w:lang w:val="en-US"/>
              </w:rPr>
              <w:t>9’778</w:t>
            </w:r>
          </w:p>
        </w:tc>
        <w:tc>
          <w:tcPr>
            <w:tcW w:w="1534" w:type="dxa"/>
            <w:tcBorders>
              <w:top w:val="single" w:sz="4" w:space="0" w:color="auto"/>
              <w:left w:val="single" w:sz="4" w:space="0" w:color="auto"/>
              <w:bottom w:val="single" w:sz="4" w:space="0" w:color="auto"/>
              <w:right w:val="single" w:sz="4" w:space="0" w:color="auto"/>
            </w:tcBorders>
            <w:vAlign w:val="center"/>
            <w:hideMark/>
          </w:tcPr>
          <w:p w:rsidR="006F29B5" w:rsidRDefault="006F29B5" w:rsidP="00685646">
            <w:pPr>
              <w:pStyle w:val="Tabletext"/>
              <w:ind w:right="282"/>
              <w:jc w:val="right"/>
              <w:rPr>
                <w:b/>
                <w:bCs/>
                <w:sz w:val="20"/>
                <w:lang w:val="en-US"/>
              </w:rPr>
            </w:pPr>
            <w:r>
              <w:rPr>
                <w:b/>
                <w:bCs/>
                <w:sz w:val="20"/>
                <w:lang w:val="en-US"/>
              </w:rPr>
              <w:t>10’036</w:t>
            </w:r>
          </w:p>
        </w:tc>
      </w:tr>
      <w:tr w:rsidR="006F29B5" w:rsidTr="006F29B5">
        <w:tc>
          <w:tcPr>
            <w:tcW w:w="6648" w:type="dxa"/>
            <w:tcBorders>
              <w:top w:val="single" w:sz="4" w:space="0" w:color="auto"/>
              <w:left w:val="single" w:sz="4" w:space="0" w:color="auto"/>
              <w:bottom w:val="nil"/>
              <w:right w:val="single" w:sz="4" w:space="0" w:color="auto"/>
            </w:tcBorders>
          </w:tcPr>
          <w:p w:rsidR="006F29B5" w:rsidRDefault="006F29B5" w:rsidP="006F29B5">
            <w:pPr>
              <w:pStyle w:val="Tabletext"/>
              <w:spacing w:before="20" w:after="20"/>
              <w:rPr>
                <w:b/>
                <w:bCs/>
                <w:sz w:val="21"/>
                <w:szCs w:val="21"/>
                <w:lang w:val="en-US" w:eastAsia="fr-FR"/>
              </w:rPr>
            </w:pPr>
          </w:p>
        </w:tc>
        <w:tc>
          <w:tcPr>
            <w:tcW w:w="1452" w:type="dxa"/>
            <w:tcBorders>
              <w:top w:val="single" w:sz="4" w:space="0" w:color="auto"/>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p>
        </w:tc>
        <w:tc>
          <w:tcPr>
            <w:tcW w:w="1534" w:type="dxa"/>
            <w:tcBorders>
              <w:top w:val="single" w:sz="4" w:space="0" w:color="auto"/>
              <w:left w:val="single" w:sz="4" w:space="0" w:color="auto"/>
              <w:bottom w:val="nil"/>
              <w:right w:val="single" w:sz="4" w:space="0" w:color="auto"/>
            </w:tcBorders>
          </w:tcPr>
          <w:p w:rsidR="006F29B5" w:rsidRDefault="006F29B5" w:rsidP="006F29B5">
            <w:pPr>
              <w:pStyle w:val="Tabletext"/>
              <w:spacing w:before="20" w:after="20"/>
              <w:ind w:right="282"/>
              <w:jc w:val="right"/>
              <w:rPr>
                <w:sz w:val="21"/>
                <w:szCs w:val="21"/>
                <w:lang w:val="en-US" w:eastAsia="fr-FR"/>
              </w:rPr>
            </w:pP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(Increase) decrease in inventories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123</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-46</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(Increase) decrease in short-term receivables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977</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4’699</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(Increase) decrease in other short-term receivables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143</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-1’020</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Increase (decrease) in suppliers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-532</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2’604</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Increase (decrease) in deferred revenue</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1’535</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-4’289</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Increase (decrease) in other debts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1’363</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-182</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Use of provisions for employee benefits (ST)</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-481</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-1’134</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Use of provision for repatriation (LT)</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-771</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-685</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rPr>
            </w:pPr>
            <w:r>
              <w:rPr>
                <w:sz w:val="21"/>
                <w:szCs w:val="21"/>
                <w:lang w:val="en-US"/>
              </w:rPr>
              <w:t>Use of provision for accrued leave (LT)</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-268</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-309</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rPr>
            </w:pPr>
            <w:r>
              <w:rPr>
                <w:sz w:val="21"/>
                <w:szCs w:val="21"/>
                <w:lang w:val="en-US"/>
              </w:rPr>
              <w:t xml:space="preserve">Increase (decrease) </w:t>
            </w:r>
            <w:r>
              <w:rPr>
                <w:sz w:val="21"/>
                <w:szCs w:val="21"/>
                <w:lang w:val="en-US"/>
              </w:rPr>
              <w:sym w:font="Symbol" w:char="F02D"/>
            </w:r>
            <w:r>
              <w:rPr>
                <w:sz w:val="21"/>
                <w:szCs w:val="21"/>
                <w:lang w:val="en-US"/>
              </w:rPr>
              <w:t xml:space="preserve"> Other provisions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-521</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-644</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Increase (decrease) in third-party funds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4’053</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-10’372</w:t>
            </w:r>
          </w:p>
        </w:tc>
      </w:tr>
      <w:tr w:rsidR="006F29B5" w:rsidTr="006F29B5">
        <w:tc>
          <w:tcPr>
            <w:tcW w:w="6648" w:type="dxa"/>
            <w:tcBorders>
              <w:top w:val="nil"/>
              <w:left w:val="single" w:sz="4" w:space="0" w:color="auto"/>
              <w:bottom w:val="single" w:sz="4" w:space="0" w:color="auto"/>
              <w:right w:val="single" w:sz="4" w:space="0" w:color="auto"/>
            </w:tcBorders>
            <w:hideMark/>
          </w:tcPr>
          <w:p w:rsidR="006F29B5" w:rsidRDefault="006F29B5" w:rsidP="006F29B5">
            <w:pPr>
              <w:pStyle w:val="Tabletext"/>
              <w:spacing w:before="20" w:after="20"/>
              <w:rPr>
                <w:sz w:val="21"/>
                <w:szCs w:val="21"/>
                <w:lang w:val="en-US" w:eastAsia="fr-FR"/>
              </w:rPr>
            </w:pPr>
            <w:r>
              <w:rPr>
                <w:sz w:val="21"/>
                <w:szCs w:val="21"/>
                <w:lang w:val="en-US"/>
              </w:rPr>
              <w:t>Changes in own funds</w:t>
            </w:r>
          </w:p>
        </w:tc>
        <w:tc>
          <w:tcPr>
            <w:tcW w:w="1452" w:type="dxa"/>
            <w:tcBorders>
              <w:top w:val="nil"/>
              <w:left w:val="nil"/>
              <w:bottom w:val="single" w:sz="4" w:space="0" w:color="auto"/>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3’459</w:t>
            </w:r>
          </w:p>
        </w:tc>
        <w:tc>
          <w:tcPr>
            <w:tcW w:w="1534" w:type="dxa"/>
            <w:tcBorders>
              <w:top w:val="nil"/>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2’257</w:t>
            </w:r>
          </w:p>
        </w:tc>
      </w:tr>
      <w:tr w:rsidR="006F29B5" w:rsidTr="006F29B5">
        <w:tc>
          <w:tcPr>
            <w:tcW w:w="6648"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rPr>
                <w:b/>
                <w:bCs/>
                <w:sz w:val="21"/>
                <w:szCs w:val="21"/>
                <w:lang w:val="en-US" w:eastAsia="fr-FR"/>
              </w:rPr>
            </w:pPr>
            <w:r>
              <w:rPr>
                <w:b/>
                <w:bCs/>
                <w:sz w:val="21"/>
                <w:szCs w:val="21"/>
                <w:lang w:val="en-US"/>
              </w:rPr>
              <w:t>Cash flow from operating activities</w:t>
            </w:r>
          </w:p>
        </w:tc>
        <w:tc>
          <w:tcPr>
            <w:tcW w:w="1452" w:type="dxa"/>
            <w:tcBorders>
              <w:top w:val="single" w:sz="4" w:space="0" w:color="auto"/>
              <w:left w:val="nil"/>
              <w:bottom w:val="single" w:sz="4" w:space="0" w:color="auto"/>
              <w:right w:val="single" w:sz="4" w:space="0" w:color="auto"/>
            </w:tcBorders>
          </w:tcPr>
          <w:p w:rsidR="006F29B5" w:rsidRPr="00FD0927" w:rsidRDefault="006F29B5" w:rsidP="006F29B5">
            <w:pPr>
              <w:pStyle w:val="Tabletext"/>
              <w:spacing w:before="20" w:after="20"/>
              <w:ind w:right="282"/>
              <w:jc w:val="right"/>
              <w:rPr>
                <w:b/>
                <w:bCs/>
                <w:sz w:val="21"/>
                <w:szCs w:val="21"/>
                <w:lang w:val="en-US" w:eastAsia="fr-FR"/>
              </w:rPr>
            </w:pPr>
            <w:r w:rsidRPr="00FD0927">
              <w:rPr>
                <w:b/>
                <w:bCs/>
                <w:sz w:val="21"/>
                <w:szCs w:val="21"/>
                <w:lang w:val="en-US" w:eastAsia="fr-FR"/>
              </w:rPr>
              <w:t>9’081</w:t>
            </w:r>
          </w:p>
        </w:tc>
        <w:tc>
          <w:tcPr>
            <w:tcW w:w="1534"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b/>
                <w:bCs/>
                <w:sz w:val="21"/>
                <w:szCs w:val="21"/>
                <w:lang w:val="en-US" w:eastAsia="fr-FR"/>
              </w:rPr>
            </w:pPr>
            <w:r>
              <w:rPr>
                <w:b/>
                <w:bCs/>
                <w:sz w:val="21"/>
                <w:szCs w:val="21"/>
                <w:lang w:val="en-US" w:eastAsia="fr-FR"/>
              </w:rPr>
              <w:t>-9’121</w:t>
            </w:r>
          </w:p>
        </w:tc>
      </w:tr>
      <w:tr w:rsidR="006F29B5" w:rsidTr="006F29B5">
        <w:tc>
          <w:tcPr>
            <w:tcW w:w="6648" w:type="dxa"/>
            <w:tcBorders>
              <w:top w:val="single" w:sz="4" w:space="0" w:color="auto"/>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b/>
                <w:bCs/>
                <w:sz w:val="21"/>
                <w:szCs w:val="21"/>
                <w:lang w:val="en-US"/>
              </w:rPr>
              <w:t>Net cash flows from investment activities</w:t>
            </w:r>
          </w:p>
        </w:tc>
        <w:tc>
          <w:tcPr>
            <w:tcW w:w="1452" w:type="dxa"/>
            <w:tcBorders>
              <w:top w:val="single" w:sz="4" w:space="0" w:color="auto"/>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p>
        </w:tc>
        <w:tc>
          <w:tcPr>
            <w:tcW w:w="1534" w:type="dxa"/>
            <w:tcBorders>
              <w:top w:val="single" w:sz="4" w:space="0" w:color="auto"/>
              <w:left w:val="single" w:sz="4" w:space="0" w:color="auto"/>
              <w:bottom w:val="nil"/>
              <w:right w:val="single" w:sz="4" w:space="0" w:color="auto"/>
            </w:tcBorders>
          </w:tcPr>
          <w:p w:rsidR="006F29B5" w:rsidRDefault="006F29B5" w:rsidP="006F29B5">
            <w:pPr>
              <w:pStyle w:val="Tabletext"/>
              <w:spacing w:before="20" w:after="20"/>
              <w:ind w:right="282"/>
              <w:jc w:val="right"/>
              <w:rPr>
                <w:sz w:val="21"/>
                <w:szCs w:val="21"/>
                <w:lang w:val="en-US" w:eastAsia="fr-FR"/>
              </w:rPr>
            </w:pP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rPr>
            </w:pPr>
            <w:r>
              <w:rPr>
                <w:sz w:val="21"/>
                <w:szCs w:val="21"/>
                <w:lang w:val="en-US"/>
              </w:rPr>
              <w:t xml:space="preserve">(Increase) / decrease </w:t>
            </w:r>
            <w:r>
              <w:rPr>
                <w:sz w:val="21"/>
                <w:szCs w:val="21"/>
                <w:lang w:val="en-US"/>
              </w:rPr>
              <w:sym w:font="Symbol" w:char="F02D"/>
            </w:r>
            <w:r>
              <w:rPr>
                <w:sz w:val="21"/>
                <w:szCs w:val="21"/>
                <w:lang w:val="en-US"/>
              </w:rPr>
              <w:t xml:space="preserve"> Investments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1’170</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-16’201</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rPr>
            </w:pPr>
            <w:r>
              <w:rPr>
                <w:sz w:val="21"/>
                <w:szCs w:val="21"/>
                <w:lang w:val="en-US"/>
              </w:rPr>
              <w:t>Interest from short-term investments</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320</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423</w:t>
            </w:r>
          </w:p>
        </w:tc>
      </w:tr>
      <w:tr w:rsidR="006F29B5" w:rsidTr="006F29B5">
        <w:tc>
          <w:tcPr>
            <w:tcW w:w="6648" w:type="dxa"/>
            <w:tcBorders>
              <w:top w:val="nil"/>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rPr>
            </w:pPr>
            <w:r>
              <w:rPr>
                <w:sz w:val="21"/>
                <w:szCs w:val="21"/>
                <w:lang w:val="en-US"/>
              </w:rPr>
              <w:t>(Acquisition) / sale of property, plant and equipment</w:t>
            </w:r>
          </w:p>
        </w:tc>
        <w:tc>
          <w:tcPr>
            <w:tcW w:w="1452" w:type="dxa"/>
            <w:tcBorders>
              <w:top w:val="nil"/>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-1’142</w:t>
            </w:r>
          </w:p>
        </w:tc>
        <w:tc>
          <w:tcPr>
            <w:tcW w:w="1534" w:type="dxa"/>
            <w:tcBorders>
              <w:top w:val="nil"/>
              <w:left w:val="single" w:sz="4" w:space="0" w:color="auto"/>
              <w:bottom w:val="nil"/>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-3’578</w:t>
            </w:r>
          </w:p>
        </w:tc>
      </w:tr>
      <w:tr w:rsidR="006F29B5" w:rsidTr="006F29B5">
        <w:tc>
          <w:tcPr>
            <w:tcW w:w="6648" w:type="dxa"/>
            <w:tcBorders>
              <w:top w:val="nil"/>
              <w:left w:val="single" w:sz="4" w:space="0" w:color="auto"/>
              <w:bottom w:val="single" w:sz="4" w:space="0" w:color="auto"/>
              <w:right w:val="single" w:sz="4" w:space="0" w:color="auto"/>
            </w:tcBorders>
            <w:hideMark/>
          </w:tcPr>
          <w:p w:rsidR="006F29B5" w:rsidRDefault="006F29B5" w:rsidP="006F29B5">
            <w:pPr>
              <w:pStyle w:val="Tabletext"/>
              <w:spacing w:before="20" w:after="20"/>
              <w:rPr>
                <w:sz w:val="21"/>
                <w:szCs w:val="21"/>
                <w:lang w:val="en-US"/>
              </w:rPr>
            </w:pPr>
            <w:r>
              <w:rPr>
                <w:sz w:val="21"/>
                <w:szCs w:val="21"/>
                <w:lang w:val="en-US"/>
              </w:rPr>
              <w:t>(Acquisition) / sale of intangible assets</w:t>
            </w:r>
          </w:p>
        </w:tc>
        <w:tc>
          <w:tcPr>
            <w:tcW w:w="1452" w:type="dxa"/>
            <w:tcBorders>
              <w:top w:val="nil"/>
              <w:left w:val="nil"/>
              <w:bottom w:val="single" w:sz="4" w:space="0" w:color="auto"/>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-1’909</w:t>
            </w:r>
          </w:p>
        </w:tc>
        <w:tc>
          <w:tcPr>
            <w:tcW w:w="1534" w:type="dxa"/>
            <w:tcBorders>
              <w:top w:val="nil"/>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-235</w:t>
            </w:r>
          </w:p>
        </w:tc>
      </w:tr>
      <w:tr w:rsidR="006F29B5" w:rsidTr="006F29B5">
        <w:tc>
          <w:tcPr>
            <w:tcW w:w="6648"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rPr>
                <w:b/>
                <w:bCs/>
                <w:sz w:val="21"/>
                <w:szCs w:val="21"/>
                <w:lang w:val="en-US" w:eastAsia="fr-FR"/>
              </w:rPr>
            </w:pPr>
            <w:r>
              <w:rPr>
                <w:b/>
                <w:bCs/>
                <w:sz w:val="21"/>
                <w:szCs w:val="21"/>
                <w:lang w:val="en-US"/>
              </w:rPr>
              <w:t>Net cash flows from investment activities</w:t>
            </w:r>
          </w:p>
        </w:tc>
        <w:tc>
          <w:tcPr>
            <w:tcW w:w="1452" w:type="dxa"/>
            <w:tcBorders>
              <w:top w:val="single" w:sz="4" w:space="0" w:color="auto"/>
              <w:left w:val="nil"/>
              <w:bottom w:val="single" w:sz="4" w:space="0" w:color="auto"/>
              <w:right w:val="single" w:sz="4" w:space="0" w:color="auto"/>
            </w:tcBorders>
          </w:tcPr>
          <w:p w:rsidR="006F29B5" w:rsidRPr="00FD0927" w:rsidRDefault="006F29B5" w:rsidP="006F29B5">
            <w:pPr>
              <w:pStyle w:val="Tabletext"/>
              <w:spacing w:before="20" w:after="20"/>
              <w:ind w:right="282"/>
              <w:jc w:val="right"/>
              <w:rPr>
                <w:b/>
                <w:bCs/>
                <w:sz w:val="21"/>
                <w:szCs w:val="21"/>
                <w:lang w:val="en-US" w:eastAsia="fr-FR"/>
              </w:rPr>
            </w:pPr>
            <w:r w:rsidRPr="00FD0927">
              <w:rPr>
                <w:b/>
                <w:bCs/>
                <w:sz w:val="21"/>
                <w:szCs w:val="21"/>
                <w:lang w:val="en-US" w:eastAsia="fr-FR"/>
              </w:rPr>
              <w:t>-1’552</w:t>
            </w:r>
          </w:p>
        </w:tc>
        <w:tc>
          <w:tcPr>
            <w:tcW w:w="1534"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b/>
                <w:bCs/>
                <w:sz w:val="21"/>
                <w:szCs w:val="21"/>
                <w:lang w:val="en-US" w:eastAsia="fr-FR"/>
              </w:rPr>
            </w:pPr>
            <w:r>
              <w:rPr>
                <w:b/>
                <w:bCs/>
                <w:sz w:val="21"/>
                <w:szCs w:val="21"/>
                <w:lang w:val="en-US" w:eastAsia="fr-FR"/>
              </w:rPr>
              <w:t>-19’591</w:t>
            </w:r>
          </w:p>
        </w:tc>
      </w:tr>
      <w:tr w:rsidR="006F29B5" w:rsidTr="006F29B5">
        <w:tc>
          <w:tcPr>
            <w:tcW w:w="6648" w:type="dxa"/>
            <w:tcBorders>
              <w:top w:val="single" w:sz="4" w:space="0" w:color="auto"/>
              <w:left w:val="single" w:sz="4" w:space="0" w:color="auto"/>
              <w:bottom w:val="nil"/>
              <w:right w:val="single" w:sz="4" w:space="0" w:color="auto"/>
            </w:tcBorders>
            <w:hideMark/>
          </w:tcPr>
          <w:p w:rsidR="006F29B5" w:rsidRDefault="006F29B5" w:rsidP="006F29B5">
            <w:pPr>
              <w:pStyle w:val="Tabletext"/>
              <w:spacing w:before="20" w:after="20"/>
              <w:rPr>
                <w:sz w:val="21"/>
                <w:szCs w:val="21"/>
                <w:lang w:val="en-US" w:eastAsia="fr-FR"/>
              </w:rPr>
            </w:pPr>
            <w:r>
              <w:rPr>
                <w:b/>
                <w:bCs/>
                <w:sz w:val="21"/>
                <w:szCs w:val="21"/>
                <w:lang w:val="en-US"/>
              </w:rPr>
              <w:t>Cash flows from finance activities</w:t>
            </w:r>
          </w:p>
        </w:tc>
        <w:tc>
          <w:tcPr>
            <w:tcW w:w="1452" w:type="dxa"/>
            <w:tcBorders>
              <w:top w:val="single" w:sz="4" w:space="0" w:color="auto"/>
              <w:left w:val="nil"/>
              <w:bottom w:val="nil"/>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p>
        </w:tc>
        <w:tc>
          <w:tcPr>
            <w:tcW w:w="1534" w:type="dxa"/>
            <w:tcBorders>
              <w:top w:val="single" w:sz="4" w:space="0" w:color="auto"/>
              <w:left w:val="single" w:sz="4" w:space="0" w:color="auto"/>
              <w:bottom w:val="nil"/>
              <w:right w:val="single" w:sz="4" w:space="0" w:color="auto"/>
            </w:tcBorders>
          </w:tcPr>
          <w:p w:rsidR="006F29B5" w:rsidRDefault="006F29B5" w:rsidP="006F29B5">
            <w:pPr>
              <w:pStyle w:val="Tabletext"/>
              <w:spacing w:before="20" w:after="20"/>
              <w:ind w:right="282"/>
              <w:jc w:val="right"/>
              <w:rPr>
                <w:sz w:val="21"/>
                <w:szCs w:val="21"/>
                <w:lang w:val="en-US" w:eastAsia="fr-FR"/>
              </w:rPr>
            </w:pPr>
          </w:p>
        </w:tc>
      </w:tr>
      <w:tr w:rsidR="006F29B5" w:rsidTr="006F29B5">
        <w:tc>
          <w:tcPr>
            <w:tcW w:w="6648" w:type="dxa"/>
            <w:tcBorders>
              <w:top w:val="nil"/>
              <w:left w:val="single" w:sz="4" w:space="0" w:color="auto"/>
              <w:bottom w:val="single" w:sz="4" w:space="0" w:color="auto"/>
              <w:right w:val="single" w:sz="4" w:space="0" w:color="auto"/>
            </w:tcBorders>
            <w:hideMark/>
          </w:tcPr>
          <w:p w:rsidR="006F29B5" w:rsidRDefault="006F29B5" w:rsidP="006F29B5">
            <w:pPr>
              <w:pStyle w:val="Tabletext"/>
              <w:spacing w:before="20" w:after="20"/>
              <w:rPr>
                <w:sz w:val="21"/>
                <w:szCs w:val="21"/>
                <w:lang w:val="en-US"/>
              </w:rPr>
            </w:pPr>
            <w:r>
              <w:rPr>
                <w:sz w:val="21"/>
                <w:szCs w:val="21"/>
                <w:lang w:val="en-US"/>
              </w:rPr>
              <w:t>Repayment of FIPOI loan</w:t>
            </w:r>
          </w:p>
        </w:tc>
        <w:tc>
          <w:tcPr>
            <w:tcW w:w="1452" w:type="dxa"/>
            <w:tcBorders>
              <w:top w:val="nil"/>
              <w:left w:val="nil"/>
              <w:bottom w:val="single" w:sz="4" w:space="0" w:color="auto"/>
              <w:right w:val="single" w:sz="4" w:space="0" w:color="auto"/>
            </w:tcBorders>
          </w:tcPr>
          <w:p w:rsidR="006F29B5" w:rsidRPr="00FD0927" w:rsidRDefault="006F29B5" w:rsidP="006F29B5">
            <w:pPr>
              <w:pStyle w:val="Tabletext"/>
              <w:spacing w:before="20" w:after="20"/>
              <w:ind w:right="282"/>
              <w:jc w:val="right"/>
              <w:rPr>
                <w:sz w:val="21"/>
                <w:szCs w:val="21"/>
                <w:lang w:val="en-US" w:eastAsia="fr-FR"/>
              </w:rPr>
            </w:pPr>
            <w:r w:rsidRPr="00FD0927">
              <w:rPr>
                <w:sz w:val="21"/>
                <w:szCs w:val="21"/>
                <w:lang w:val="en-US" w:eastAsia="fr-FR"/>
              </w:rPr>
              <w:t>-1’493</w:t>
            </w:r>
          </w:p>
        </w:tc>
        <w:tc>
          <w:tcPr>
            <w:tcW w:w="1534" w:type="dxa"/>
            <w:tcBorders>
              <w:top w:val="nil"/>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sz w:val="21"/>
                <w:szCs w:val="21"/>
                <w:lang w:val="en-US" w:eastAsia="fr-FR"/>
              </w:rPr>
            </w:pPr>
            <w:r>
              <w:rPr>
                <w:sz w:val="21"/>
                <w:szCs w:val="21"/>
                <w:lang w:val="en-US" w:eastAsia="fr-FR"/>
              </w:rPr>
              <w:t>-1’493</w:t>
            </w:r>
          </w:p>
        </w:tc>
      </w:tr>
      <w:tr w:rsidR="006F29B5" w:rsidTr="006F29B5">
        <w:tc>
          <w:tcPr>
            <w:tcW w:w="6648"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rPr>
                <w:b/>
                <w:bCs/>
                <w:sz w:val="21"/>
                <w:szCs w:val="21"/>
                <w:lang w:val="en-US" w:eastAsia="fr-FR"/>
              </w:rPr>
            </w:pPr>
            <w:r>
              <w:rPr>
                <w:b/>
                <w:bCs/>
                <w:sz w:val="21"/>
                <w:szCs w:val="21"/>
                <w:lang w:val="en-US"/>
              </w:rPr>
              <w:t>Cash flows from finance activities</w:t>
            </w:r>
          </w:p>
        </w:tc>
        <w:tc>
          <w:tcPr>
            <w:tcW w:w="1452" w:type="dxa"/>
            <w:tcBorders>
              <w:top w:val="single" w:sz="4" w:space="0" w:color="auto"/>
              <w:left w:val="nil"/>
              <w:bottom w:val="single" w:sz="4" w:space="0" w:color="auto"/>
              <w:right w:val="single" w:sz="4" w:space="0" w:color="auto"/>
            </w:tcBorders>
          </w:tcPr>
          <w:p w:rsidR="006F29B5" w:rsidRPr="00FD0927" w:rsidRDefault="006F29B5" w:rsidP="006F29B5">
            <w:pPr>
              <w:pStyle w:val="Tabletext"/>
              <w:spacing w:before="20" w:after="20"/>
              <w:ind w:right="282"/>
              <w:jc w:val="right"/>
              <w:rPr>
                <w:b/>
                <w:bCs/>
                <w:sz w:val="21"/>
                <w:szCs w:val="21"/>
                <w:lang w:val="en-US" w:eastAsia="fr-FR"/>
              </w:rPr>
            </w:pPr>
            <w:r w:rsidRPr="00FD0927">
              <w:rPr>
                <w:b/>
                <w:bCs/>
                <w:sz w:val="21"/>
                <w:szCs w:val="21"/>
                <w:lang w:val="en-US" w:eastAsia="fr-FR"/>
              </w:rPr>
              <w:t>-1’493</w:t>
            </w:r>
          </w:p>
        </w:tc>
        <w:tc>
          <w:tcPr>
            <w:tcW w:w="1534"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b/>
                <w:bCs/>
                <w:sz w:val="21"/>
                <w:szCs w:val="21"/>
                <w:lang w:val="en-US" w:eastAsia="fr-FR"/>
              </w:rPr>
            </w:pPr>
            <w:r>
              <w:rPr>
                <w:b/>
                <w:bCs/>
                <w:sz w:val="21"/>
                <w:szCs w:val="21"/>
                <w:lang w:val="en-US" w:eastAsia="fr-FR"/>
              </w:rPr>
              <w:t>-1’493</w:t>
            </w:r>
          </w:p>
        </w:tc>
      </w:tr>
      <w:tr w:rsidR="006F29B5" w:rsidTr="006F29B5">
        <w:tc>
          <w:tcPr>
            <w:tcW w:w="6648" w:type="dxa"/>
            <w:tcBorders>
              <w:top w:val="single" w:sz="4" w:space="0" w:color="auto"/>
              <w:left w:val="single" w:sz="4" w:space="0" w:color="auto"/>
              <w:bottom w:val="single" w:sz="4" w:space="0" w:color="auto"/>
              <w:right w:val="single" w:sz="4" w:space="0" w:color="auto"/>
            </w:tcBorders>
          </w:tcPr>
          <w:p w:rsidR="006F29B5" w:rsidRDefault="006F29B5" w:rsidP="006F29B5">
            <w:pPr>
              <w:pStyle w:val="Tabletext"/>
              <w:spacing w:before="20" w:after="20"/>
              <w:rPr>
                <w:b/>
                <w:bCs/>
                <w:sz w:val="21"/>
                <w:szCs w:val="21"/>
                <w:lang w:val="en-US"/>
              </w:rPr>
            </w:pPr>
          </w:p>
        </w:tc>
        <w:tc>
          <w:tcPr>
            <w:tcW w:w="1452" w:type="dxa"/>
            <w:tcBorders>
              <w:top w:val="single" w:sz="4" w:space="0" w:color="auto"/>
              <w:left w:val="nil"/>
              <w:bottom w:val="single" w:sz="4" w:space="0" w:color="auto"/>
              <w:right w:val="single" w:sz="4" w:space="0" w:color="auto"/>
            </w:tcBorders>
          </w:tcPr>
          <w:p w:rsidR="006F29B5" w:rsidRPr="00FD0927" w:rsidRDefault="006F29B5" w:rsidP="006F29B5">
            <w:pPr>
              <w:pStyle w:val="Tabletext"/>
              <w:rPr>
                <w:sz w:val="20"/>
                <w:lang w:val="en-US"/>
              </w:rPr>
            </w:pPr>
          </w:p>
        </w:tc>
        <w:tc>
          <w:tcPr>
            <w:tcW w:w="1534" w:type="dxa"/>
            <w:tcBorders>
              <w:top w:val="single" w:sz="4" w:space="0" w:color="auto"/>
              <w:left w:val="single" w:sz="4" w:space="0" w:color="auto"/>
              <w:bottom w:val="single" w:sz="4" w:space="0" w:color="auto"/>
              <w:right w:val="single" w:sz="4" w:space="0" w:color="auto"/>
            </w:tcBorders>
          </w:tcPr>
          <w:p w:rsidR="006F29B5" w:rsidRDefault="006F29B5" w:rsidP="006F29B5">
            <w:pPr>
              <w:pStyle w:val="Tabletext"/>
              <w:rPr>
                <w:sz w:val="20"/>
                <w:lang w:val="en-US"/>
              </w:rPr>
            </w:pPr>
          </w:p>
        </w:tc>
      </w:tr>
      <w:tr w:rsidR="006F29B5" w:rsidTr="006F29B5">
        <w:tc>
          <w:tcPr>
            <w:tcW w:w="6648"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rPr>
                <w:b/>
                <w:bCs/>
                <w:sz w:val="21"/>
                <w:szCs w:val="21"/>
                <w:lang w:val="en-US" w:eastAsia="fr-FR"/>
              </w:rPr>
            </w:pPr>
            <w:r>
              <w:rPr>
                <w:b/>
                <w:bCs/>
                <w:sz w:val="21"/>
                <w:szCs w:val="21"/>
                <w:lang w:val="en-US"/>
              </w:rPr>
              <w:t>Net increase / (decrease) in cash and cash equivalents</w:t>
            </w:r>
          </w:p>
        </w:tc>
        <w:tc>
          <w:tcPr>
            <w:tcW w:w="1452" w:type="dxa"/>
            <w:tcBorders>
              <w:top w:val="single" w:sz="4" w:space="0" w:color="auto"/>
              <w:left w:val="nil"/>
              <w:bottom w:val="single" w:sz="4" w:space="0" w:color="auto"/>
              <w:right w:val="single" w:sz="4" w:space="0" w:color="auto"/>
            </w:tcBorders>
          </w:tcPr>
          <w:p w:rsidR="006F29B5" w:rsidRPr="00FD0927" w:rsidRDefault="006F29B5" w:rsidP="006F29B5">
            <w:pPr>
              <w:pStyle w:val="Tabletext"/>
              <w:spacing w:before="20" w:after="20"/>
              <w:ind w:right="282"/>
              <w:jc w:val="right"/>
              <w:rPr>
                <w:b/>
                <w:bCs/>
                <w:sz w:val="21"/>
                <w:szCs w:val="21"/>
                <w:lang w:val="en-US" w:eastAsia="fr-FR"/>
              </w:rPr>
            </w:pPr>
            <w:r w:rsidRPr="00FD0927">
              <w:rPr>
                <w:b/>
                <w:bCs/>
                <w:sz w:val="21"/>
                <w:szCs w:val="21"/>
                <w:lang w:val="en-US" w:eastAsia="fr-FR"/>
              </w:rPr>
              <w:t>15’814</w:t>
            </w:r>
          </w:p>
        </w:tc>
        <w:tc>
          <w:tcPr>
            <w:tcW w:w="1534"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b/>
                <w:bCs/>
                <w:sz w:val="21"/>
                <w:szCs w:val="21"/>
                <w:lang w:val="en-US" w:eastAsia="fr-FR"/>
              </w:rPr>
            </w:pPr>
            <w:r>
              <w:rPr>
                <w:b/>
                <w:bCs/>
                <w:sz w:val="21"/>
                <w:szCs w:val="21"/>
                <w:lang w:val="en-US" w:eastAsia="fr-FR"/>
              </w:rPr>
              <w:t>-20’169</w:t>
            </w:r>
          </w:p>
        </w:tc>
      </w:tr>
      <w:tr w:rsidR="006F29B5" w:rsidTr="006F29B5">
        <w:tc>
          <w:tcPr>
            <w:tcW w:w="6648"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rPr>
                <w:b/>
                <w:bCs/>
                <w:sz w:val="21"/>
                <w:szCs w:val="21"/>
                <w:lang w:val="en-US" w:eastAsia="fr-FR"/>
              </w:rPr>
            </w:pPr>
            <w:r>
              <w:rPr>
                <w:b/>
                <w:bCs/>
                <w:sz w:val="21"/>
                <w:szCs w:val="21"/>
                <w:lang w:val="en-US"/>
              </w:rPr>
              <w:t>Cash and cash equivalents at opening of period</w:t>
            </w:r>
          </w:p>
        </w:tc>
        <w:tc>
          <w:tcPr>
            <w:tcW w:w="1452" w:type="dxa"/>
            <w:tcBorders>
              <w:top w:val="single" w:sz="4" w:space="0" w:color="auto"/>
              <w:left w:val="nil"/>
              <w:bottom w:val="single" w:sz="4" w:space="0" w:color="auto"/>
              <w:right w:val="single" w:sz="4" w:space="0" w:color="auto"/>
            </w:tcBorders>
          </w:tcPr>
          <w:p w:rsidR="006F29B5" w:rsidRPr="00FD0927" w:rsidRDefault="006F29B5" w:rsidP="006F29B5">
            <w:pPr>
              <w:pStyle w:val="Tabletext"/>
              <w:spacing w:before="20" w:after="20"/>
              <w:ind w:right="282"/>
              <w:jc w:val="right"/>
              <w:rPr>
                <w:b/>
                <w:bCs/>
                <w:sz w:val="21"/>
                <w:szCs w:val="21"/>
                <w:lang w:val="en-US" w:eastAsia="fr-FR"/>
              </w:rPr>
            </w:pPr>
            <w:r w:rsidRPr="00FD0927">
              <w:rPr>
                <w:b/>
                <w:bCs/>
                <w:sz w:val="21"/>
                <w:szCs w:val="21"/>
                <w:lang w:val="en-US" w:eastAsia="fr-FR"/>
              </w:rPr>
              <w:t>59’616</w:t>
            </w:r>
          </w:p>
        </w:tc>
        <w:tc>
          <w:tcPr>
            <w:tcW w:w="1534"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b/>
                <w:bCs/>
                <w:sz w:val="21"/>
                <w:szCs w:val="21"/>
                <w:lang w:val="en-US" w:eastAsia="fr-FR"/>
              </w:rPr>
            </w:pPr>
            <w:r>
              <w:rPr>
                <w:b/>
                <w:bCs/>
                <w:sz w:val="21"/>
                <w:szCs w:val="21"/>
                <w:lang w:val="en-US" w:eastAsia="fr-FR"/>
              </w:rPr>
              <w:t>79’785</w:t>
            </w:r>
          </w:p>
        </w:tc>
      </w:tr>
      <w:tr w:rsidR="006F29B5" w:rsidTr="006F29B5">
        <w:tc>
          <w:tcPr>
            <w:tcW w:w="6648"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rPr>
                <w:b/>
                <w:bCs/>
                <w:sz w:val="21"/>
                <w:szCs w:val="21"/>
                <w:lang w:val="en-US" w:eastAsia="fr-FR"/>
              </w:rPr>
            </w:pPr>
            <w:r>
              <w:rPr>
                <w:b/>
                <w:bCs/>
                <w:sz w:val="21"/>
                <w:szCs w:val="21"/>
                <w:lang w:val="en-US"/>
              </w:rPr>
              <w:t>Cash and cash equivalents at closure of period</w:t>
            </w:r>
          </w:p>
        </w:tc>
        <w:tc>
          <w:tcPr>
            <w:tcW w:w="1452" w:type="dxa"/>
            <w:tcBorders>
              <w:top w:val="single" w:sz="4" w:space="0" w:color="auto"/>
              <w:left w:val="nil"/>
              <w:bottom w:val="single" w:sz="4" w:space="0" w:color="auto"/>
              <w:right w:val="single" w:sz="4" w:space="0" w:color="auto"/>
            </w:tcBorders>
          </w:tcPr>
          <w:p w:rsidR="006F29B5" w:rsidRPr="00FD0927" w:rsidRDefault="006F29B5" w:rsidP="006F29B5">
            <w:pPr>
              <w:pStyle w:val="Tabletext"/>
              <w:spacing w:before="20" w:after="20"/>
              <w:ind w:right="282"/>
              <w:jc w:val="right"/>
              <w:rPr>
                <w:b/>
                <w:bCs/>
                <w:sz w:val="21"/>
                <w:szCs w:val="21"/>
                <w:lang w:val="en-US" w:eastAsia="fr-FR"/>
              </w:rPr>
            </w:pPr>
            <w:r w:rsidRPr="00FD0927">
              <w:rPr>
                <w:b/>
                <w:bCs/>
                <w:sz w:val="21"/>
                <w:szCs w:val="21"/>
                <w:lang w:val="en-US" w:eastAsia="fr-FR"/>
              </w:rPr>
              <w:t>75’430</w:t>
            </w:r>
          </w:p>
        </w:tc>
        <w:tc>
          <w:tcPr>
            <w:tcW w:w="1534" w:type="dxa"/>
            <w:tcBorders>
              <w:top w:val="single" w:sz="4" w:space="0" w:color="auto"/>
              <w:left w:val="single" w:sz="4" w:space="0" w:color="auto"/>
              <w:bottom w:val="single" w:sz="4" w:space="0" w:color="auto"/>
              <w:right w:val="single" w:sz="4" w:space="0" w:color="auto"/>
            </w:tcBorders>
            <w:hideMark/>
          </w:tcPr>
          <w:p w:rsidR="006F29B5" w:rsidRDefault="006F29B5" w:rsidP="006F29B5">
            <w:pPr>
              <w:pStyle w:val="Tabletext"/>
              <w:spacing w:before="20" w:after="20"/>
              <w:ind w:right="282"/>
              <w:jc w:val="right"/>
              <w:rPr>
                <w:b/>
                <w:bCs/>
                <w:sz w:val="21"/>
                <w:szCs w:val="21"/>
                <w:lang w:val="en-US" w:eastAsia="fr-FR"/>
              </w:rPr>
            </w:pPr>
            <w:r>
              <w:rPr>
                <w:b/>
                <w:bCs/>
                <w:sz w:val="21"/>
                <w:szCs w:val="21"/>
                <w:lang w:val="en-US" w:eastAsia="fr-FR"/>
              </w:rPr>
              <w:t>59’616</w:t>
            </w:r>
          </w:p>
        </w:tc>
      </w:tr>
    </w:tbl>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lang w:val="en-US"/>
        </w:rPr>
      </w:pPr>
      <w:r w:rsidRPr="001C2A98">
        <w:rPr>
          <w:sz w:val="22"/>
          <w:szCs w:val="22"/>
          <w:lang w:val="en-US"/>
        </w:rPr>
        <w:br w:type="page"/>
      </w:r>
    </w:p>
    <w:p w:rsidR="006F29B5" w:rsidRDefault="006F29B5" w:rsidP="006F29B5">
      <w:pPr>
        <w:pStyle w:val="Tabletitle"/>
        <w:spacing w:after="0"/>
        <w:ind w:left="-567" w:right="-567"/>
        <w:rPr>
          <w:sz w:val="28"/>
          <w:szCs w:val="28"/>
          <w:lang w:val="en-US"/>
        </w:rPr>
      </w:pPr>
      <w:r w:rsidRPr="001114BA">
        <w:rPr>
          <w:sz w:val="28"/>
          <w:szCs w:val="28"/>
          <w:lang w:val="en-US"/>
        </w:rPr>
        <w:t xml:space="preserve">V – Comparison of budgeted amounts </w:t>
      </w:r>
      <w:r>
        <w:rPr>
          <w:sz w:val="28"/>
          <w:szCs w:val="28"/>
          <w:lang w:val="en-US"/>
        </w:rPr>
        <w:t xml:space="preserve">and actual amounts for the 2014 </w:t>
      </w:r>
      <w:r w:rsidRPr="001114BA">
        <w:rPr>
          <w:sz w:val="28"/>
          <w:szCs w:val="28"/>
          <w:lang w:val="en-US"/>
        </w:rPr>
        <w:t>financial period</w:t>
      </w:r>
    </w:p>
    <w:p w:rsidR="006F29B5" w:rsidRPr="001202C7" w:rsidRDefault="006F29B5" w:rsidP="006F29B5">
      <w:pPr>
        <w:pStyle w:val="Tabletitle"/>
        <w:spacing w:after="0"/>
        <w:ind w:left="-567" w:right="-567"/>
        <w:rPr>
          <w:lang w:val="en-US"/>
        </w:rPr>
      </w:pPr>
      <w:r w:rsidRPr="001577D5">
        <w:rPr>
          <w:bCs/>
          <w:sz w:val="20"/>
          <w:lang w:val="en-US"/>
        </w:rPr>
        <w:t>(in thousands of CHF)</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6F29B5" w:rsidRPr="001C2A98" w:rsidTr="006F29B5">
        <w:trPr>
          <w:jc w:val="center"/>
        </w:trPr>
        <w:tc>
          <w:tcPr>
            <w:tcW w:w="3781" w:type="dxa"/>
            <w:vMerge w:val="restart"/>
            <w:tcMar>
              <w:left w:w="57" w:type="dxa"/>
              <w:right w:w="57" w:type="dxa"/>
            </w:tcMar>
            <w:vAlign w:val="center"/>
          </w:tcPr>
          <w:p w:rsidR="006F29B5" w:rsidRPr="001C2A98" w:rsidRDefault="006F29B5" w:rsidP="006F29B5">
            <w:pPr>
              <w:pStyle w:val="Tablehead"/>
              <w:spacing w:before="40" w:after="40"/>
              <w:rPr>
                <w:sz w:val="20"/>
                <w:lang w:val="en-US" w:eastAsia="fr-FR"/>
              </w:rPr>
            </w:pPr>
            <w:r w:rsidRPr="001C2A98">
              <w:rPr>
                <w:sz w:val="20"/>
                <w:lang w:val="en-US"/>
              </w:rPr>
              <w:t>Revenue</w:t>
            </w:r>
          </w:p>
        </w:tc>
        <w:tc>
          <w:tcPr>
            <w:tcW w:w="3417" w:type="dxa"/>
            <w:gridSpan w:val="3"/>
            <w:tcMar>
              <w:left w:w="57" w:type="dxa"/>
              <w:right w:w="57" w:type="dxa"/>
            </w:tcMar>
            <w:vAlign w:val="center"/>
          </w:tcPr>
          <w:p w:rsidR="006F29B5" w:rsidRPr="001C2A98" w:rsidRDefault="006F29B5" w:rsidP="006F29B5">
            <w:pPr>
              <w:pStyle w:val="Tablehead"/>
              <w:spacing w:before="40" w:after="40"/>
              <w:rPr>
                <w:sz w:val="20"/>
                <w:lang w:val="en-US" w:eastAsia="fr-FR"/>
              </w:rPr>
            </w:pPr>
            <w:r w:rsidRPr="001C2A98">
              <w:rPr>
                <w:sz w:val="20"/>
                <w:lang w:val="en-US"/>
              </w:rPr>
              <w:t>Budgeted amounts</w:t>
            </w:r>
          </w:p>
        </w:tc>
        <w:tc>
          <w:tcPr>
            <w:tcW w:w="1392" w:type="dxa"/>
            <w:vMerge w:val="restart"/>
            <w:tcMar>
              <w:left w:w="57" w:type="dxa"/>
              <w:right w:w="57" w:type="dxa"/>
            </w:tcMar>
            <w:vAlign w:val="center"/>
          </w:tcPr>
          <w:p w:rsidR="006F29B5" w:rsidRPr="001C2A98" w:rsidRDefault="006F29B5" w:rsidP="006F29B5">
            <w:pPr>
              <w:pStyle w:val="Tablehead"/>
              <w:spacing w:before="40" w:after="40"/>
              <w:rPr>
                <w:sz w:val="20"/>
                <w:lang w:val="en-US" w:eastAsia="fr-FR"/>
              </w:rPr>
            </w:pPr>
            <w:r w:rsidRPr="001C2A98">
              <w:rPr>
                <w:sz w:val="20"/>
                <w:lang w:val="en-US"/>
              </w:rPr>
              <w:t xml:space="preserve">Actual </w:t>
            </w:r>
            <w:r w:rsidRPr="001C2A98">
              <w:rPr>
                <w:sz w:val="20"/>
                <w:lang w:val="en-US"/>
              </w:rPr>
              <w:br/>
              <w:t>amounts on a comparable basis</w:t>
            </w:r>
          </w:p>
        </w:tc>
        <w:tc>
          <w:tcPr>
            <w:tcW w:w="1248" w:type="dxa"/>
            <w:vMerge w:val="restart"/>
            <w:tcMar>
              <w:left w:w="57" w:type="dxa"/>
              <w:right w:w="57" w:type="dxa"/>
            </w:tcMar>
            <w:vAlign w:val="center"/>
          </w:tcPr>
          <w:p w:rsidR="006F29B5" w:rsidRPr="001C2A98" w:rsidRDefault="006F29B5" w:rsidP="006F29B5">
            <w:pPr>
              <w:pStyle w:val="Tablehead"/>
              <w:spacing w:before="40" w:after="40"/>
              <w:rPr>
                <w:sz w:val="20"/>
                <w:lang w:val="en-US" w:eastAsia="fr-FR"/>
              </w:rPr>
            </w:pPr>
            <w:r w:rsidRPr="001C2A98">
              <w:rPr>
                <w:sz w:val="20"/>
                <w:lang w:val="en-US"/>
              </w:rPr>
              <w:t>Difference between final budget and actual amounts</w:t>
            </w:r>
          </w:p>
        </w:tc>
      </w:tr>
      <w:tr w:rsidR="006F29B5" w:rsidRPr="001C2A98" w:rsidTr="006F29B5">
        <w:trPr>
          <w:jc w:val="center"/>
        </w:trPr>
        <w:tc>
          <w:tcPr>
            <w:tcW w:w="3781" w:type="dxa"/>
            <w:vMerge/>
            <w:tcMar>
              <w:left w:w="57" w:type="dxa"/>
              <w:right w:w="57" w:type="dxa"/>
            </w:tcMar>
            <w:vAlign w:val="center"/>
          </w:tcPr>
          <w:p w:rsidR="006F29B5" w:rsidRPr="001C2A98" w:rsidRDefault="006F29B5" w:rsidP="006F29B5">
            <w:pPr>
              <w:pStyle w:val="Tablehead"/>
              <w:spacing w:before="40" w:after="40"/>
              <w:rPr>
                <w:sz w:val="20"/>
                <w:lang w:val="en-US" w:eastAsia="fr-FR"/>
              </w:rPr>
            </w:pPr>
          </w:p>
        </w:tc>
        <w:tc>
          <w:tcPr>
            <w:tcW w:w="1094" w:type="dxa"/>
            <w:tcMar>
              <w:left w:w="57" w:type="dxa"/>
              <w:right w:w="57" w:type="dxa"/>
            </w:tcMar>
            <w:vAlign w:val="center"/>
          </w:tcPr>
          <w:p w:rsidR="006F29B5" w:rsidRPr="004F546C" w:rsidRDefault="006F29B5" w:rsidP="006F29B5">
            <w:pPr>
              <w:pStyle w:val="Tablehead"/>
              <w:spacing w:before="40" w:after="40"/>
              <w:rPr>
                <w:sz w:val="20"/>
                <w:lang w:val="en-US" w:eastAsia="fr-FR"/>
              </w:rPr>
            </w:pPr>
            <w:r w:rsidRPr="004F546C">
              <w:rPr>
                <w:sz w:val="20"/>
                <w:lang w:val="en-US"/>
              </w:rPr>
              <w:t>Initial budget</w:t>
            </w:r>
          </w:p>
        </w:tc>
        <w:tc>
          <w:tcPr>
            <w:tcW w:w="1236" w:type="dxa"/>
            <w:tcMar>
              <w:left w:w="57" w:type="dxa"/>
              <w:right w:w="57" w:type="dxa"/>
            </w:tcMar>
            <w:vAlign w:val="center"/>
          </w:tcPr>
          <w:p w:rsidR="006F29B5" w:rsidRPr="004F546C" w:rsidRDefault="006F29B5" w:rsidP="006F29B5">
            <w:pPr>
              <w:pStyle w:val="Tablehead"/>
              <w:spacing w:before="40" w:after="40"/>
              <w:rPr>
                <w:sz w:val="20"/>
                <w:lang w:val="en-US" w:eastAsia="fr-FR"/>
              </w:rPr>
            </w:pPr>
            <w:r w:rsidRPr="004F546C">
              <w:rPr>
                <w:sz w:val="20"/>
                <w:lang w:val="en-US"/>
              </w:rPr>
              <w:t>Budget transfers</w:t>
            </w:r>
          </w:p>
        </w:tc>
        <w:tc>
          <w:tcPr>
            <w:tcW w:w="1087" w:type="dxa"/>
            <w:tcMar>
              <w:left w:w="57" w:type="dxa"/>
              <w:right w:w="57" w:type="dxa"/>
            </w:tcMar>
            <w:vAlign w:val="center"/>
          </w:tcPr>
          <w:p w:rsidR="006F29B5" w:rsidRPr="004F546C" w:rsidRDefault="006F29B5" w:rsidP="006F29B5">
            <w:pPr>
              <w:pStyle w:val="Tablehead"/>
              <w:spacing w:before="40" w:after="40"/>
              <w:rPr>
                <w:sz w:val="20"/>
                <w:lang w:val="en-US" w:eastAsia="fr-FR"/>
              </w:rPr>
            </w:pPr>
            <w:r w:rsidRPr="004F546C">
              <w:rPr>
                <w:sz w:val="20"/>
                <w:lang w:val="en-US" w:eastAsia="fr-FR"/>
              </w:rPr>
              <w:t>Final budget</w:t>
            </w:r>
          </w:p>
        </w:tc>
        <w:tc>
          <w:tcPr>
            <w:tcW w:w="1392" w:type="dxa"/>
            <w:vMerge/>
            <w:tcMar>
              <w:left w:w="57" w:type="dxa"/>
              <w:right w:w="57" w:type="dxa"/>
            </w:tcMar>
            <w:vAlign w:val="center"/>
          </w:tcPr>
          <w:p w:rsidR="006F29B5" w:rsidRPr="004F546C" w:rsidRDefault="006F29B5" w:rsidP="006F29B5">
            <w:pPr>
              <w:pStyle w:val="Tablehead"/>
              <w:spacing w:before="40" w:after="40"/>
              <w:rPr>
                <w:sz w:val="20"/>
                <w:lang w:val="en-US" w:eastAsia="fr-FR"/>
              </w:rPr>
            </w:pPr>
          </w:p>
        </w:tc>
        <w:tc>
          <w:tcPr>
            <w:tcW w:w="1248" w:type="dxa"/>
            <w:vMerge/>
            <w:tcMar>
              <w:left w:w="57" w:type="dxa"/>
              <w:right w:w="57" w:type="dxa"/>
            </w:tcMar>
            <w:vAlign w:val="center"/>
          </w:tcPr>
          <w:p w:rsidR="006F29B5" w:rsidRPr="004F546C" w:rsidRDefault="006F29B5" w:rsidP="006F29B5">
            <w:pPr>
              <w:pStyle w:val="Tablehead"/>
              <w:spacing w:before="40" w:after="40"/>
              <w:rPr>
                <w:sz w:val="20"/>
                <w:lang w:val="en-US" w:eastAsia="fr-FR"/>
              </w:rPr>
            </w:pPr>
          </w:p>
        </w:tc>
      </w:tr>
      <w:tr w:rsidR="006F29B5" w:rsidRPr="001C2A98" w:rsidTr="006F29B5">
        <w:trPr>
          <w:jc w:val="center"/>
        </w:trPr>
        <w:tc>
          <w:tcPr>
            <w:tcW w:w="3781" w:type="dxa"/>
            <w:vMerge/>
            <w:tcBorders>
              <w:bottom w:val="single" w:sz="4" w:space="0" w:color="auto"/>
            </w:tcBorders>
            <w:tcMar>
              <w:left w:w="57" w:type="dxa"/>
              <w:right w:w="57" w:type="dxa"/>
            </w:tcMar>
            <w:vAlign w:val="center"/>
          </w:tcPr>
          <w:p w:rsidR="006F29B5" w:rsidRPr="001C2A98" w:rsidRDefault="006F29B5" w:rsidP="006F29B5">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rsidR="006F29B5" w:rsidRPr="004F546C" w:rsidRDefault="006F29B5" w:rsidP="006F29B5">
            <w:pPr>
              <w:pStyle w:val="Tablehead"/>
              <w:spacing w:before="40" w:after="40"/>
              <w:rPr>
                <w:sz w:val="20"/>
                <w:lang w:val="en-US" w:eastAsia="fr-FR"/>
              </w:rPr>
            </w:pPr>
            <w:r w:rsidRPr="004F546C">
              <w:rPr>
                <w:sz w:val="20"/>
                <w:lang w:val="en-US" w:eastAsia="fr-FR"/>
              </w:rPr>
              <w:t>2014</w:t>
            </w:r>
          </w:p>
        </w:tc>
        <w:tc>
          <w:tcPr>
            <w:tcW w:w="1236" w:type="dxa"/>
            <w:tcBorders>
              <w:bottom w:val="single" w:sz="4" w:space="0" w:color="auto"/>
            </w:tcBorders>
            <w:tcMar>
              <w:left w:w="57" w:type="dxa"/>
              <w:right w:w="57" w:type="dxa"/>
            </w:tcMar>
            <w:vAlign w:val="center"/>
          </w:tcPr>
          <w:p w:rsidR="006F29B5" w:rsidRPr="004F546C" w:rsidRDefault="006F29B5" w:rsidP="006F29B5">
            <w:pPr>
              <w:pStyle w:val="Tablehead"/>
              <w:spacing w:before="40" w:after="40"/>
              <w:rPr>
                <w:sz w:val="20"/>
                <w:lang w:val="en-US" w:eastAsia="fr-FR"/>
              </w:rPr>
            </w:pPr>
            <w:r w:rsidRPr="004F546C">
              <w:rPr>
                <w:sz w:val="20"/>
                <w:lang w:val="en-US" w:eastAsia="fr-FR"/>
              </w:rPr>
              <w:t>2014</w:t>
            </w:r>
          </w:p>
        </w:tc>
        <w:tc>
          <w:tcPr>
            <w:tcW w:w="1087" w:type="dxa"/>
            <w:tcBorders>
              <w:bottom w:val="single" w:sz="4" w:space="0" w:color="auto"/>
            </w:tcBorders>
            <w:tcMar>
              <w:left w:w="57" w:type="dxa"/>
              <w:right w:w="57" w:type="dxa"/>
            </w:tcMar>
            <w:vAlign w:val="center"/>
          </w:tcPr>
          <w:p w:rsidR="006F29B5" w:rsidRPr="004F546C" w:rsidRDefault="006F29B5" w:rsidP="006F29B5">
            <w:pPr>
              <w:pStyle w:val="Tablehead"/>
              <w:spacing w:before="40" w:after="40"/>
              <w:rPr>
                <w:sz w:val="20"/>
                <w:lang w:val="en-US" w:eastAsia="fr-FR"/>
              </w:rPr>
            </w:pPr>
            <w:r w:rsidRPr="004F546C">
              <w:rPr>
                <w:sz w:val="20"/>
                <w:lang w:val="en-US" w:eastAsia="fr-FR"/>
              </w:rPr>
              <w:t>2014</w:t>
            </w:r>
          </w:p>
        </w:tc>
        <w:tc>
          <w:tcPr>
            <w:tcW w:w="1392" w:type="dxa"/>
            <w:tcBorders>
              <w:bottom w:val="single" w:sz="4" w:space="0" w:color="auto"/>
            </w:tcBorders>
            <w:tcMar>
              <w:left w:w="57" w:type="dxa"/>
              <w:right w:w="57" w:type="dxa"/>
            </w:tcMar>
            <w:vAlign w:val="center"/>
          </w:tcPr>
          <w:p w:rsidR="006F29B5" w:rsidRPr="004F546C" w:rsidRDefault="006F29B5" w:rsidP="006F29B5">
            <w:pPr>
              <w:pStyle w:val="Tablehead"/>
              <w:spacing w:before="40" w:after="40"/>
              <w:rPr>
                <w:sz w:val="20"/>
                <w:lang w:val="en-US" w:eastAsia="fr-FR"/>
              </w:rPr>
            </w:pPr>
            <w:r w:rsidRPr="004F546C">
              <w:rPr>
                <w:sz w:val="20"/>
                <w:lang w:val="en-US" w:eastAsia="fr-FR"/>
              </w:rPr>
              <w:t>2014</w:t>
            </w:r>
          </w:p>
        </w:tc>
        <w:tc>
          <w:tcPr>
            <w:tcW w:w="1248" w:type="dxa"/>
            <w:tcBorders>
              <w:bottom w:val="single" w:sz="4" w:space="0" w:color="auto"/>
            </w:tcBorders>
            <w:tcMar>
              <w:left w:w="57" w:type="dxa"/>
              <w:right w:w="57" w:type="dxa"/>
            </w:tcMar>
            <w:vAlign w:val="center"/>
          </w:tcPr>
          <w:p w:rsidR="006F29B5" w:rsidRPr="004F546C" w:rsidRDefault="006F29B5" w:rsidP="006F29B5">
            <w:pPr>
              <w:pStyle w:val="Tablehead"/>
              <w:spacing w:before="40" w:after="40"/>
              <w:rPr>
                <w:sz w:val="20"/>
                <w:lang w:val="en-US" w:eastAsia="fr-FR"/>
              </w:rPr>
            </w:pPr>
            <w:r w:rsidRPr="004F546C">
              <w:rPr>
                <w:sz w:val="20"/>
                <w:lang w:val="en-US" w:eastAsia="fr-FR"/>
              </w:rPr>
              <w:t>2014</w:t>
            </w:r>
          </w:p>
        </w:tc>
      </w:tr>
      <w:tr w:rsidR="006F29B5" w:rsidRPr="001C2A98" w:rsidTr="006F29B5">
        <w:trPr>
          <w:jc w:val="center"/>
        </w:trPr>
        <w:tc>
          <w:tcPr>
            <w:tcW w:w="3781" w:type="dxa"/>
            <w:tcBorders>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Assessed contributions</w:t>
            </w:r>
          </w:p>
        </w:tc>
        <w:tc>
          <w:tcPr>
            <w:tcW w:w="1094" w:type="dxa"/>
            <w:tcBorders>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129’677</w:t>
            </w:r>
          </w:p>
        </w:tc>
        <w:tc>
          <w:tcPr>
            <w:tcW w:w="1236" w:type="dxa"/>
            <w:tcBorders>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w:t>
            </w:r>
          </w:p>
        </w:tc>
        <w:tc>
          <w:tcPr>
            <w:tcW w:w="1087" w:type="dxa"/>
            <w:tcBorders>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129’677</w:t>
            </w:r>
          </w:p>
        </w:tc>
        <w:tc>
          <w:tcPr>
            <w:tcW w:w="1392" w:type="dxa"/>
            <w:tcBorders>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126’786</w:t>
            </w:r>
          </w:p>
        </w:tc>
        <w:tc>
          <w:tcPr>
            <w:tcW w:w="1248" w:type="dxa"/>
            <w:tcBorders>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-2’891</w:t>
            </w: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Cost recovery</w:t>
            </w:r>
          </w:p>
        </w:tc>
        <w:tc>
          <w:tcPr>
            <w:tcW w:w="1094"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32’750</w:t>
            </w:r>
          </w:p>
        </w:tc>
        <w:tc>
          <w:tcPr>
            <w:tcW w:w="1236"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w:t>
            </w:r>
          </w:p>
        </w:tc>
        <w:tc>
          <w:tcPr>
            <w:tcW w:w="1087"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32’750</w:t>
            </w:r>
          </w:p>
        </w:tc>
        <w:tc>
          <w:tcPr>
            <w:tcW w:w="1392"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32’144</w:t>
            </w:r>
          </w:p>
        </w:tc>
        <w:tc>
          <w:tcPr>
            <w:tcW w:w="1248"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-606</w:t>
            </w: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Other revenue</w:t>
            </w:r>
          </w:p>
        </w:tc>
        <w:tc>
          <w:tcPr>
            <w:tcW w:w="1094"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 xml:space="preserve"> 1’100</w:t>
            </w:r>
          </w:p>
        </w:tc>
        <w:tc>
          <w:tcPr>
            <w:tcW w:w="1236"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w:t>
            </w:r>
          </w:p>
        </w:tc>
        <w:tc>
          <w:tcPr>
            <w:tcW w:w="1087"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1’100</w:t>
            </w:r>
          </w:p>
        </w:tc>
        <w:tc>
          <w:tcPr>
            <w:tcW w:w="1392"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372</w:t>
            </w:r>
          </w:p>
        </w:tc>
        <w:tc>
          <w:tcPr>
            <w:tcW w:w="1248"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-728</w:t>
            </w:r>
          </w:p>
        </w:tc>
      </w:tr>
      <w:tr w:rsidR="006F29B5" w:rsidRPr="001C2A98" w:rsidTr="006F29B5">
        <w:trPr>
          <w:jc w:val="center"/>
        </w:trPr>
        <w:tc>
          <w:tcPr>
            <w:tcW w:w="3781" w:type="dxa"/>
            <w:tcBorders>
              <w:top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Withdrawal from Reserve Account</w:t>
            </w:r>
          </w:p>
        </w:tc>
        <w:tc>
          <w:tcPr>
            <w:tcW w:w="1094" w:type="dxa"/>
            <w:tcBorders>
              <w:top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2’784</w:t>
            </w:r>
          </w:p>
        </w:tc>
        <w:tc>
          <w:tcPr>
            <w:tcW w:w="1236" w:type="dxa"/>
            <w:tcBorders>
              <w:top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w:t>
            </w:r>
          </w:p>
        </w:tc>
        <w:tc>
          <w:tcPr>
            <w:tcW w:w="1087" w:type="dxa"/>
            <w:tcBorders>
              <w:top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2’784</w:t>
            </w:r>
          </w:p>
        </w:tc>
        <w:tc>
          <w:tcPr>
            <w:tcW w:w="1392" w:type="dxa"/>
            <w:tcBorders>
              <w:top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-897</w:t>
            </w:r>
          </w:p>
        </w:tc>
        <w:tc>
          <w:tcPr>
            <w:tcW w:w="1248" w:type="dxa"/>
            <w:tcBorders>
              <w:top w:val="nil"/>
            </w:tcBorders>
            <w:tcMar>
              <w:left w:w="57" w:type="dxa"/>
              <w:right w:w="57" w:type="dxa"/>
            </w:tcMar>
          </w:tcPr>
          <w:p w:rsidR="006F29B5" w:rsidRPr="004F546C" w:rsidRDefault="006F29B5" w:rsidP="006F29B5">
            <w:pPr>
              <w:pStyle w:val="Tabletext"/>
              <w:spacing w:before="20" w:after="20"/>
              <w:ind w:right="170"/>
              <w:jc w:val="right"/>
              <w:rPr>
                <w:sz w:val="20"/>
                <w:lang w:val="en-US" w:eastAsia="fr-FR"/>
              </w:rPr>
            </w:pPr>
            <w:r w:rsidRPr="004F546C">
              <w:rPr>
                <w:sz w:val="20"/>
                <w:lang w:val="en-US" w:eastAsia="fr-FR"/>
              </w:rPr>
              <w:t>-3’681</w:t>
            </w:r>
          </w:p>
        </w:tc>
      </w:tr>
      <w:tr w:rsidR="006F29B5" w:rsidRPr="001C2A98" w:rsidTr="006F29B5">
        <w:trPr>
          <w:jc w:val="center"/>
        </w:trPr>
        <w:tc>
          <w:tcPr>
            <w:tcW w:w="3781" w:type="dxa"/>
            <w:tcMar>
              <w:left w:w="57" w:type="dxa"/>
              <w:right w:w="57" w:type="dxa"/>
            </w:tcMar>
          </w:tcPr>
          <w:p w:rsidR="006F29B5" w:rsidRPr="001C2A98" w:rsidRDefault="006F29B5" w:rsidP="006F29B5">
            <w:pPr>
              <w:pStyle w:val="Tabletext"/>
              <w:spacing w:before="20" w:after="20"/>
              <w:rPr>
                <w:sz w:val="20"/>
                <w:lang w:val="en-US" w:eastAsia="fr-FR"/>
              </w:rPr>
            </w:pPr>
            <w:r w:rsidRPr="001C2A98">
              <w:rPr>
                <w:b/>
                <w:sz w:val="20"/>
                <w:lang w:val="en-US"/>
              </w:rPr>
              <w:t>Total revenue</w:t>
            </w:r>
          </w:p>
        </w:tc>
        <w:tc>
          <w:tcPr>
            <w:tcW w:w="1094" w:type="dxa"/>
            <w:tcMar>
              <w:left w:w="57" w:type="dxa"/>
              <w:right w:w="57" w:type="dxa"/>
            </w:tcMar>
          </w:tcPr>
          <w:p w:rsidR="006F29B5" w:rsidRPr="004F546C" w:rsidRDefault="006F29B5" w:rsidP="006F29B5">
            <w:pPr>
              <w:pStyle w:val="Tabletext"/>
              <w:spacing w:before="20" w:after="20"/>
              <w:ind w:right="170"/>
              <w:jc w:val="right"/>
              <w:rPr>
                <w:b/>
                <w:bCs/>
                <w:sz w:val="20"/>
                <w:lang w:val="en-US" w:eastAsia="fr-FR"/>
              </w:rPr>
            </w:pPr>
            <w:r w:rsidRPr="004F546C">
              <w:rPr>
                <w:b/>
                <w:bCs/>
                <w:sz w:val="20"/>
                <w:lang w:val="en-US" w:eastAsia="fr-FR"/>
              </w:rPr>
              <w:t>166’311</w:t>
            </w:r>
          </w:p>
        </w:tc>
        <w:tc>
          <w:tcPr>
            <w:tcW w:w="1236" w:type="dxa"/>
            <w:tcMar>
              <w:left w:w="57" w:type="dxa"/>
              <w:right w:w="57" w:type="dxa"/>
            </w:tcMar>
          </w:tcPr>
          <w:p w:rsidR="006F29B5" w:rsidRPr="004F546C" w:rsidRDefault="006F29B5" w:rsidP="006F29B5">
            <w:pPr>
              <w:pStyle w:val="Tabletext"/>
              <w:spacing w:before="20" w:after="20"/>
              <w:ind w:right="170"/>
              <w:jc w:val="right"/>
              <w:rPr>
                <w:b/>
                <w:bCs/>
                <w:sz w:val="20"/>
                <w:lang w:val="en-US" w:eastAsia="fr-FR"/>
              </w:rPr>
            </w:pPr>
            <w:r w:rsidRPr="004F546C">
              <w:rPr>
                <w:b/>
                <w:bCs/>
                <w:sz w:val="20"/>
                <w:lang w:val="en-US" w:eastAsia="fr-FR"/>
              </w:rPr>
              <w:t>-</w:t>
            </w:r>
          </w:p>
        </w:tc>
        <w:tc>
          <w:tcPr>
            <w:tcW w:w="1087" w:type="dxa"/>
            <w:tcMar>
              <w:left w:w="57" w:type="dxa"/>
              <w:right w:w="57" w:type="dxa"/>
            </w:tcMar>
          </w:tcPr>
          <w:p w:rsidR="006F29B5" w:rsidRPr="004F546C" w:rsidRDefault="006F29B5" w:rsidP="006F29B5">
            <w:pPr>
              <w:pStyle w:val="Tabletext"/>
              <w:spacing w:before="20" w:after="20"/>
              <w:ind w:right="170"/>
              <w:jc w:val="right"/>
              <w:rPr>
                <w:b/>
                <w:bCs/>
                <w:sz w:val="20"/>
                <w:lang w:val="en-US" w:eastAsia="fr-FR"/>
              </w:rPr>
            </w:pPr>
            <w:r w:rsidRPr="004F546C">
              <w:rPr>
                <w:b/>
                <w:bCs/>
                <w:sz w:val="20"/>
                <w:lang w:val="en-US" w:eastAsia="fr-FR"/>
              </w:rPr>
              <w:t>166’311</w:t>
            </w:r>
          </w:p>
        </w:tc>
        <w:tc>
          <w:tcPr>
            <w:tcW w:w="1392" w:type="dxa"/>
            <w:tcMar>
              <w:left w:w="57" w:type="dxa"/>
              <w:right w:w="57" w:type="dxa"/>
            </w:tcMar>
          </w:tcPr>
          <w:p w:rsidR="006F29B5" w:rsidRPr="004F546C" w:rsidRDefault="006F29B5" w:rsidP="006F29B5">
            <w:pPr>
              <w:pStyle w:val="Tabletext"/>
              <w:spacing w:before="20" w:after="20"/>
              <w:ind w:right="170"/>
              <w:jc w:val="right"/>
              <w:rPr>
                <w:b/>
                <w:bCs/>
                <w:sz w:val="20"/>
                <w:lang w:val="en-US" w:eastAsia="fr-FR"/>
              </w:rPr>
            </w:pPr>
            <w:r w:rsidRPr="004F546C">
              <w:rPr>
                <w:b/>
                <w:bCs/>
                <w:sz w:val="20"/>
                <w:lang w:val="en-US" w:eastAsia="fr-FR"/>
              </w:rPr>
              <w:t>158’405</w:t>
            </w:r>
          </w:p>
        </w:tc>
        <w:tc>
          <w:tcPr>
            <w:tcW w:w="1248" w:type="dxa"/>
            <w:tcMar>
              <w:left w:w="57" w:type="dxa"/>
              <w:right w:w="57" w:type="dxa"/>
            </w:tcMar>
          </w:tcPr>
          <w:p w:rsidR="006F29B5" w:rsidRPr="004F546C" w:rsidRDefault="006F29B5" w:rsidP="006F29B5">
            <w:pPr>
              <w:pStyle w:val="Tabletext"/>
              <w:spacing w:before="20" w:after="20"/>
              <w:ind w:right="170"/>
              <w:jc w:val="right"/>
              <w:rPr>
                <w:b/>
                <w:bCs/>
                <w:sz w:val="20"/>
                <w:lang w:val="en-US" w:eastAsia="fr-FR"/>
              </w:rPr>
            </w:pPr>
            <w:r w:rsidRPr="004F546C">
              <w:rPr>
                <w:b/>
                <w:bCs/>
                <w:sz w:val="20"/>
                <w:lang w:val="en-US" w:eastAsia="fr-FR"/>
              </w:rPr>
              <w:t>-7’906</w:t>
            </w:r>
          </w:p>
        </w:tc>
      </w:tr>
      <w:tr w:rsidR="006F29B5" w:rsidRPr="001C2A98" w:rsidTr="006F29B5">
        <w:trPr>
          <w:jc w:val="center"/>
        </w:trPr>
        <w:tc>
          <w:tcPr>
            <w:tcW w:w="3781" w:type="dxa"/>
            <w:vMerge w:val="restart"/>
            <w:tcMar>
              <w:left w:w="57" w:type="dxa"/>
              <w:right w:w="57" w:type="dxa"/>
            </w:tcMar>
            <w:vAlign w:val="center"/>
          </w:tcPr>
          <w:p w:rsidR="006F29B5" w:rsidRPr="001C2A98" w:rsidRDefault="006F29B5" w:rsidP="006F29B5">
            <w:pPr>
              <w:pStyle w:val="Tablehead"/>
              <w:spacing w:before="40" w:after="40"/>
              <w:rPr>
                <w:sz w:val="20"/>
                <w:lang w:val="en-US"/>
              </w:rPr>
            </w:pPr>
            <w:r w:rsidRPr="001C2A98">
              <w:rPr>
                <w:sz w:val="20"/>
                <w:lang w:val="en-US"/>
              </w:rPr>
              <w:t>Expenses</w:t>
            </w:r>
          </w:p>
        </w:tc>
        <w:tc>
          <w:tcPr>
            <w:tcW w:w="3417" w:type="dxa"/>
            <w:gridSpan w:val="3"/>
            <w:tcMar>
              <w:left w:w="57" w:type="dxa"/>
              <w:right w:w="57" w:type="dxa"/>
            </w:tcMar>
            <w:vAlign w:val="center"/>
          </w:tcPr>
          <w:p w:rsidR="006F29B5" w:rsidRPr="004F546C" w:rsidRDefault="006F29B5" w:rsidP="006F29B5">
            <w:pPr>
              <w:pStyle w:val="Tablehead"/>
              <w:spacing w:before="40" w:after="40"/>
              <w:rPr>
                <w:sz w:val="20"/>
                <w:lang w:val="en-US"/>
              </w:rPr>
            </w:pPr>
            <w:r w:rsidRPr="004F546C">
              <w:rPr>
                <w:sz w:val="20"/>
                <w:lang w:val="en-US"/>
              </w:rPr>
              <w:t>Budgeted amounts</w:t>
            </w:r>
          </w:p>
        </w:tc>
        <w:tc>
          <w:tcPr>
            <w:tcW w:w="1392" w:type="dxa"/>
            <w:vMerge w:val="restart"/>
            <w:tcMar>
              <w:left w:w="57" w:type="dxa"/>
              <w:right w:w="57" w:type="dxa"/>
            </w:tcMar>
            <w:vAlign w:val="center"/>
          </w:tcPr>
          <w:p w:rsidR="006F29B5" w:rsidRPr="004F546C" w:rsidRDefault="006F29B5" w:rsidP="006F29B5">
            <w:pPr>
              <w:pStyle w:val="Tablehead"/>
              <w:spacing w:before="40" w:after="40"/>
              <w:rPr>
                <w:sz w:val="20"/>
                <w:lang w:val="en-US"/>
              </w:rPr>
            </w:pPr>
            <w:r w:rsidRPr="004F546C">
              <w:rPr>
                <w:sz w:val="20"/>
                <w:lang w:val="en-US"/>
              </w:rPr>
              <w:t xml:space="preserve">Actual </w:t>
            </w:r>
            <w:r w:rsidRPr="004F546C">
              <w:rPr>
                <w:sz w:val="20"/>
                <w:lang w:val="en-US"/>
              </w:rPr>
              <w:br/>
              <w:t>amounts on a comparable basis</w:t>
            </w:r>
          </w:p>
        </w:tc>
        <w:tc>
          <w:tcPr>
            <w:tcW w:w="1248" w:type="dxa"/>
            <w:vMerge w:val="restart"/>
            <w:tcMar>
              <w:left w:w="57" w:type="dxa"/>
              <w:right w:w="57" w:type="dxa"/>
            </w:tcMar>
            <w:vAlign w:val="center"/>
          </w:tcPr>
          <w:p w:rsidR="006F29B5" w:rsidRPr="004F546C" w:rsidRDefault="006F29B5" w:rsidP="006F29B5">
            <w:pPr>
              <w:pStyle w:val="Tablehead"/>
              <w:spacing w:before="40" w:after="40"/>
              <w:rPr>
                <w:sz w:val="20"/>
                <w:lang w:val="en-US"/>
              </w:rPr>
            </w:pPr>
            <w:r w:rsidRPr="004F546C">
              <w:rPr>
                <w:sz w:val="20"/>
                <w:lang w:val="en-US"/>
              </w:rPr>
              <w:t>Difference between final budget and actual amounts</w:t>
            </w:r>
          </w:p>
        </w:tc>
      </w:tr>
      <w:tr w:rsidR="006F29B5" w:rsidRPr="001C2A98" w:rsidTr="006F29B5">
        <w:trPr>
          <w:jc w:val="center"/>
        </w:trPr>
        <w:tc>
          <w:tcPr>
            <w:tcW w:w="3781" w:type="dxa"/>
            <w:vMerge/>
            <w:tcMar>
              <w:left w:w="57" w:type="dxa"/>
              <w:right w:w="57" w:type="dxa"/>
            </w:tcMar>
          </w:tcPr>
          <w:p w:rsidR="006F29B5" w:rsidRPr="001C2A98" w:rsidRDefault="006F29B5" w:rsidP="006F29B5">
            <w:pPr>
              <w:pStyle w:val="Tablehead"/>
              <w:spacing w:before="40" w:after="40"/>
              <w:rPr>
                <w:sz w:val="20"/>
                <w:lang w:val="en-US"/>
              </w:rPr>
            </w:pPr>
          </w:p>
        </w:tc>
        <w:tc>
          <w:tcPr>
            <w:tcW w:w="1094" w:type="dxa"/>
            <w:tcMar>
              <w:left w:w="57" w:type="dxa"/>
              <w:right w:w="57" w:type="dxa"/>
            </w:tcMar>
            <w:vAlign w:val="center"/>
          </w:tcPr>
          <w:p w:rsidR="006F29B5" w:rsidRPr="004F546C" w:rsidRDefault="006F29B5" w:rsidP="006F29B5">
            <w:pPr>
              <w:pStyle w:val="Tablehead"/>
              <w:spacing w:before="40" w:after="40"/>
              <w:rPr>
                <w:sz w:val="20"/>
                <w:lang w:val="en-US"/>
              </w:rPr>
            </w:pPr>
            <w:r w:rsidRPr="004F546C">
              <w:rPr>
                <w:sz w:val="20"/>
                <w:lang w:val="en-US"/>
              </w:rPr>
              <w:t>Initial budget</w:t>
            </w:r>
          </w:p>
        </w:tc>
        <w:tc>
          <w:tcPr>
            <w:tcW w:w="1236" w:type="dxa"/>
            <w:tcMar>
              <w:left w:w="57" w:type="dxa"/>
              <w:right w:w="57" w:type="dxa"/>
            </w:tcMar>
            <w:vAlign w:val="center"/>
          </w:tcPr>
          <w:p w:rsidR="006F29B5" w:rsidRPr="004F546C" w:rsidRDefault="006F29B5" w:rsidP="006F29B5">
            <w:pPr>
              <w:pStyle w:val="Tablehead"/>
              <w:spacing w:before="40" w:after="40"/>
              <w:rPr>
                <w:sz w:val="20"/>
                <w:lang w:val="en-US"/>
              </w:rPr>
            </w:pPr>
            <w:r w:rsidRPr="004F546C">
              <w:rPr>
                <w:sz w:val="20"/>
                <w:lang w:val="en-US"/>
              </w:rPr>
              <w:t>Budget transfers</w:t>
            </w:r>
          </w:p>
        </w:tc>
        <w:tc>
          <w:tcPr>
            <w:tcW w:w="1087" w:type="dxa"/>
            <w:tcMar>
              <w:left w:w="57" w:type="dxa"/>
              <w:right w:w="57" w:type="dxa"/>
            </w:tcMar>
            <w:vAlign w:val="center"/>
          </w:tcPr>
          <w:p w:rsidR="006F29B5" w:rsidRPr="004F546C" w:rsidRDefault="006F29B5" w:rsidP="006F29B5">
            <w:pPr>
              <w:pStyle w:val="Tablehead"/>
              <w:spacing w:before="40" w:after="40"/>
              <w:rPr>
                <w:sz w:val="20"/>
                <w:lang w:val="en-US"/>
              </w:rPr>
            </w:pPr>
            <w:r w:rsidRPr="004F546C">
              <w:rPr>
                <w:sz w:val="20"/>
                <w:lang w:val="en-US"/>
              </w:rPr>
              <w:t>Final budget</w:t>
            </w:r>
          </w:p>
        </w:tc>
        <w:tc>
          <w:tcPr>
            <w:tcW w:w="1392" w:type="dxa"/>
            <w:vMerge/>
            <w:tcMar>
              <w:left w:w="57" w:type="dxa"/>
              <w:right w:w="57" w:type="dxa"/>
            </w:tcMar>
          </w:tcPr>
          <w:p w:rsidR="006F29B5" w:rsidRPr="004F546C" w:rsidRDefault="006F29B5" w:rsidP="006F29B5">
            <w:pPr>
              <w:pStyle w:val="Tablehead"/>
              <w:spacing w:before="40" w:after="40"/>
              <w:rPr>
                <w:sz w:val="20"/>
                <w:lang w:val="en-US"/>
              </w:rPr>
            </w:pPr>
          </w:p>
        </w:tc>
        <w:tc>
          <w:tcPr>
            <w:tcW w:w="1248" w:type="dxa"/>
            <w:vMerge/>
            <w:tcMar>
              <w:left w:w="57" w:type="dxa"/>
              <w:right w:w="57" w:type="dxa"/>
            </w:tcMar>
          </w:tcPr>
          <w:p w:rsidR="006F29B5" w:rsidRPr="004F546C" w:rsidRDefault="006F29B5" w:rsidP="006F29B5">
            <w:pPr>
              <w:pStyle w:val="Tablehead"/>
              <w:spacing w:before="40" w:after="40"/>
              <w:rPr>
                <w:sz w:val="20"/>
                <w:lang w:val="en-US"/>
              </w:rPr>
            </w:pPr>
          </w:p>
        </w:tc>
      </w:tr>
      <w:tr w:rsidR="006F29B5" w:rsidRPr="001C2A98" w:rsidTr="006F29B5">
        <w:trPr>
          <w:jc w:val="center"/>
        </w:trPr>
        <w:tc>
          <w:tcPr>
            <w:tcW w:w="3781" w:type="dxa"/>
            <w:vMerge/>
            <w:tcBorders>
              <w:bottom w:val="single" w:sz="4" w:space="0" w:color="auto"/>
            </w:tcBorders>
            <w:tcMar>
              <w:left w:w="57" w:type="dxa"/>
              <w:right w:w="57" w:type="dxa"/>
            </w:tcMar>
          </w:tcPr>
          <w:p w:rsidR="006F29B5" w:rsidRPr="001C2A98" w:rsidRDefault="006F29B5" w:rsidP="006F29B5">
            <w:pPr>
              <w:pStyle w:val="Tablehead"/>
              <w:spacing w:before="40" w:after="40"/>
              <w:rPr>
                <w:sz w:val="20"/>
                <w:lang w:val="en-US"/>
              </w:rPr>
            </w:pPr>
          </w:p>
        </w:tc>
        <w:tc>
          <w:tcPr>
            <w:tcW w:w="1094" w:type="dxa"/>
            <w:tcBorders>
              <w:bottom w:val="single" w:sz="4" w:space="0" w:color="auto"/>
            </w:tcBorders>
            <w:tcMar>
              <w:left w:w="57" w:type="dxa"/>
              <w:right w:w="57" w:type="dxa"/>
            </w:tcMar>
          </w:tcPr>
          <w:p w:rsidR="006F29B5" w:rsidRPr="004F546C" w:rsidRDefault="006F29B5" w:rsidP="006F29B5">
            <w:pPr>
              <w:pStyle w:val="Tablehead"/>
              <w:spacing w:before="40" w:after="40"/>
              <w:rPr>
                <w:sz w:val="20"/>
                <w:lang w:val="en-US"/>
              </w:rPr>
            </w:pPr>
            <w:r w:rsidRPr="004F546C">
              <w:rPr>
                <w:sz w:val="20"/>
                <w:lang w:val="en-US"/>
              </w:rPr>
              <w:t>2014</w:t>
            </w:r>
          </w:p>
        </w:tc>
        <w:tc>
          <w:tcPr>
            <w:tcW w:w="1236" w:type="dxa"/>
            <w:tcBorders>
              <w:bottom w:val="single" w:sz="4" w:space="0" w:color="auto"/>
            </w:tcBorders>
            <w:tcMar>
              <w:left w:w="57" w:type="dxa"/>
              <w:right w:w="57" w:type="dxa"/>
            </w:tcMar>
          </w:tcPr>
          <w:p w:rsidR="006F29B5" w:rsidRPr="004F546C" w:rsidRDefault="006F29B5" w:rsidP="006F29B5">
            <w:pPr>
              <w:pStyle w:val="Tablehead"/>
              <w:spacing w:before="40" w:after="40"/>
              <w:rPr>
                <w:sz w:val="20"/>
                <w:lang w:val="en-US"/>
              </w:rPr>
            </w:pPr>
            <w:r w:rsidRPr="004F546C">
              <w:rPr>
                <w:sz w:val="20"/>
                <w:lang w:val="en-US"/>
              </w:rPr>
              <w:t>2014</w:t>
            </w:r>
          </w:p>
        </w:tc>
        <w:tc>
          <w:tcPr>
            <w:tcW w:w="1087" w:type="dxa"/>
            <w:tcBorders>
              <w:bottom w:val="single" w:sz="4" w:space="0" w:color="auto"/>
            </w:tcBorders>
            <w:tcMar>
              <w:left w:w="57" w:type="dxa"/>
              <w:right w:w="57" w:type="dxa"/>
            </w:tcMar>
          </w:tcPr>
          <w:p w:rsidR="006F29B5" w:rsidRPr="004F546C" w:rsidRDefault="006F29B5" w:rsidP="006F29B5">
            <w:pPr>
              <w:pStyle w:val="Tablehead"/>
              <w:spacing w:before="40" w:after="40"/>
              <w:rPr>
                <w:sz w:val="20"/>
                <w:lang w:val="en-US"/>
              </w:rPr>
            </w:pPr>
            <w:r w:rsidRPr="004F546C">
              <w:rPr>
                <w:sz w:val="20"/>
                <w:lang w:val="en-US"/>
              </w:rPr>
              <w:t>2014</w:t>
            </w:r>
          </w:p>
        </w:tc>
        <w:tc>
          <w:tcPr>
            <w:tcW w:w="1392" w:type="dxa"/>
            <w:tcBorders>
              <w:bottom w:val="single" w:sz="4" w:space="0" w:color="auto"/>
            </w:tcBorders>
            <w:tcMar>
              <w:left w:w="57" w:type="dxa"/>
              <w:right w:w="57" w:type="dxa"/>
            </w:tcMar>
          </w:tcPr>
          <w:p w:rsidR="006F29B5" w:rsidRPr="004F546C" w:rsidRDefault="006F29B5" w:rsidP="006F29B5">
            <w:pPr>
              <w:pStyle w:val="Tablehead"/>
              <w:spacing w:before="40" w:after="40"/>
              <w:rPr>
                <w:sz w:val="20"/>
                <w:lang w:val="en-US"/>
              </w:rPr>
            </w:pPr>
            <w:r w:rsidRPr="004F546C">
              <w:rPr>
                <w:sz w:val="20"/>
                <w:lang w:val="en-US"/>
              </w:rPr>
              <w:t>2014</w:t>
            </w:r>
          </w:p>
        </w:tc>
        <w:tc>
          <w:tcPr>
            <w:tcW w:w="1248" w:type="dxa"/>
            <w:tcBorders>
              <w:bottom w:val="single" w:sz="4" w:space="0" w:color="auto"/>
            </w:tcBorders>
            <w:tcMar>
              <w:left w:w="57" w:type="dxa"/>
              <w:right w:w="57" w:type="dxa"/>
            </w:tcMar>
          </w:tcPr>
          <w:p w:rsidR="006F29B5" w:rsidRPr="004F546C" w:rsidRDefault="006F29B5" w:rsidP="006F29B5">
            <w:pPr>
              <w:pStyle w:val="Tablehead"/>
              <w:spacing w:before="40" w:after="40"/>
              <w:rPr>
                <w:sz w:val="20"/>
                <w:lang w:val="en-US"/>
              </w:rPr>
            </w:pPr>
            <w:r w:rsidRPr="004F546C">
              <w:rPr>
                <w:sz w:val="20"/>
                <w:lang w:val="en-US"/>
              </w:rPr>
              <w:t>2014</w:t>
            </w:r>
          </w:p>
        </w:tc>
      </w:tr>
      <w:tr w:rsidR="006F29B5" w:rsidRPr="001C2A98" w:rsidTr="006F29B5">
        <w:trPr>
          <w:jc w:val="center"/>
        </w:trPr>
        <w:tc>
          <w:tcPr>
            <w:tcW w:w="3781" w:type="dxa"/>
            <w:tcBorders>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General Secretariat</w:t>
            </w:r>
          </w:p>
        </w:tc>
        <w:tc>
          <w:tcPr>
            <w:tcW w:w="1094" w:type="dxa"/>
            <w:tcBorders>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93’662</w:t>
            </w:r>
          </w:p>
        </w:tc>
        <w:tc>
          <w:tcPr>
            <w:tcW w:w="1236" w:type="dxa"/>
            <w:tcBorders>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-272</w:t>
            </w:r>
          </w:p>
        </w:tc>
        <w:tc>
          <w:tcPr>
            <w:tcW w:w="1087" w:type="dxa"/>
            <w:tcBorders>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93’390</w:t>
            </w:r>
          </w:p>
        </w:tc>
        <w:tc>
          <w:tcPr>
            <w:tcW w:w="1392" w:type="dxa"/>
            <w:tcBorders>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87’320</w:t>
            </w:r>
          </w:p>
        </w:tc>
        <w:tc>
          <w:tcPr>
            <w:tcW w:w="1248" w:type="dxa"/>
            <w:tcBorders>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6’070</w:t>
            </w: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Radiocommunication Sector</w:t>
            </w:r>
          </w:p>
        </w:tc>
        <w:tc>
          <w:tcPr>
            <w:tcW w:w="1094"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30’162</w:t>
            </w:r>
          </w:p>
        </w:tc>
        <w:tc>
          <w:tcPr>
            <w:tcW w:w="1236"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72</w:t>
            </w:r>
          </w:p>
        </w:tc>
        <w:tc>
          <w:tcPr>
            <w:tcW w:w="1087"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30’234</w:t>
            </w:r>
          </w:p>
        </w:tc>
        <w:tc>
          <w:tcPr>
            <w:tcW w:w="1392"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26’805</w:t>
            </w:r>
          </w:p>
        </w:tc>
        <w:tc>
          <w:tcPr>
            <w:tcW w:w="1248"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3’429</w:t>
            </w: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Telecommunication Standardization Sector</w:t>
            </w:r>
          </w:p>
        </w:tc>
        <w:tc>
          <w:tcPr>
            <w:tcW w:w="1094"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12’793</w:t>
            </w:r>
          </w:p>
        </w:tc>
        <w:tc>
          <w:tcPr>
            <w:tcW w:w="1236"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w:t>
            </w:r>
          </w:p>
        </w:tc>
        <w:tc>
          <w:tcPr>
            <w:tcW w:w="1087"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12’793</w:t>
            </w:r>
          </w:p>
        </w:tc>
        <w:tc>
          <w:tcPr>
            <w:tcW w:w="1392"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12’200</w:t>
            </w:r>
          </w:p>
        </w:tc>
        <w:tc>
          <w:tcPr>
            <w:tcW w:w="1248"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593</w:t>
            </w: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Telecommunication Development Sector</w:t>
            </w:r>
          </w:p>
        </w:tc>
        <w:tc>
          <w:tcPr>
            <w:tcW w:w="1094"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29’694</w:t>
            </w:r>
          </w:p>
        </w:tc>
        <w:tc>
          <w:tcPr>
            <w:tcW w:w="1236"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200</w:t>
            </w:r>
          </w:p>
        </w:tc>
        <w:tc>
          <w:tcPr>
            <w:tcW w:w="1087"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29’894</w:t>
            </w:r>
          </w:p>
        </w:tc>
        <w:tc>
          <w:tcPr>
            <w:tcW w:w="1392"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28’970</w:t>
            </w:r>
          </w:p>
        </w:tc>
        <w:tc>
          <w:tcPr>
            <w:tcW w:w="1248" w:type="dxa"/>
            <w:tcBorders>
              <w:top w:val="nil"/>
              <w:bottom w:val="nil"/>
            </w:tcBorders>
            <w:tcMar>
              <w:left w:w="57" w:type="dxa"/>
              <w:right w:w="57" w:type="dxa"/>
            </w:tcMar>
          </w:tcPr>
          <w:p w:rsidR="006F29B5" w:rsidRPr="004F546C" w:rsidRDefault="006F29B5" w:rsidP="006F29B5">
            <w:pPr>
              <w:pStyle w:val="Tabletext"/>
              <w:spacing w:before="20" w:after="20"/>
              <w:ind w:right="170"/>
              <w:jc w:val="right"/>
              <w:rPr>
                <w:i/>
                <w:iCs/>
                <w:sz w:val="20"/>
                <w:lang w:val="en-US" w:eastAsia="fr-FR"/>
              </w:rPr>
            </w:pPr>
            <w:r w:rsidRPr="004F546C">
              <w:rPr>
                <w:i/>
                <w:iCs/>
                <w:sz w:val="20"/>
                <w:lang w:val="en-US" w:eastAsia="fr-FR"/>
              </w:rPr>
              <w:t>924</w:t>
            </w:r>
          </w:p>
        </w:tc>
      </w:tr>
      <w:tr w:rsidR="006F29B5" w:rsidRPr="001C2A98" w:rsidTr="006F29B5">
        <w:trPr>
          <w:jc w:val="center"/>
        </w:trPr>
        <w:tc>
          <w:tcPr>
            <w:tcW w:w="3781" w:type="dxa"/>
            <w:tcBorders>
              <w:top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Expenses not foreseen in approved budget</w:t>
            </w:r>
          </w:p>
        </w:tc>
        <w:tc>
          <w:tcPr>
            <w:tcW w:w="1094" w:type="dxa"/>
            <w:tcBorders>
              <w:top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w:t>
            </w:r>
          </w:p>
        </w:tc>
        <w:tc>
          <w:tcPr>
            <w:tcW w:w="1236" w:type="dxa"/>
            <w:tcBorders>
              <w:top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w:t>
            </w:r>
          </w:p>
        </w:tc>
        <w:tc>
          <w:tcPr>
            <w:tcW w:w="1087" w:type="dxa"/>
            <w:tcBorders>
              <w:top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w:t>
            </w:r>
          </w:p>
        </w:tc>
        <w:tc>
          <w:tcPr>
            <w:tcW w:w="1392" w:type="dxa"/>
            <w:tcBorders>
              <w:top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110</w:t>
            </w:r>
          </w:p>
        </w:tc>
        <w:tc>
          <w:tcPr>
            <w:tcW w:w="1248" w:type="dxa"/>
            <w:tcBorders>
              <w:top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r>
      <w:tr w:rsidR="006F29B5" w:rsidRPr="001C2A98" w:rsidTr="006F29B5">
        <w:trPr>
          <w:jc w:val="center"/>
        </w:trPr>
        <w:tc>
          <w:tcPr>
            <w:tcW w:w="3781" w:type="dxa"/>
            <w:tcBorders>
              <w:bottom w:val="single" w:sz="4" w:space="0" w:color="auto"/>
            </w:tcBorders>
            <w:tcMar>
              <w:left w:w="57" w:type="dxa"/>
              <w:right w:w="57" w:type="dxa"/>
            </w:tcMar>
          </w:tcPr>
          <w:p w:rsidR="006F29B5" w:rsidRPr="001C2A98" w:rsidRDefault="006F29B5" w:rsidP="006F29B5">
            <w:pPr>
              <w:pStyle w:val="Tablehead"/>
              <w:spacing w:before="60" w:after="60"/>
              <w:jc w:val="left"/>
              <w:rPr>
                <w:sz w:val="20"/>
                <w:lang w:val="en-US"/>
              </w:rPr>
            </w:pPr>
            <w:r w:rsidRPr="001C2A98">
              <w:rPr>
                <w:sz w:val="20"/>
                <w:lang w:val="en-US"/>
              </w:rPr>
              <w:t>Total expenses</w:t>
            </w:r>
          </w:p>
        </w:tc>
        <w:tc>
          <w:tcPr>
            <w:tcW w:w="1094" w:type="dxa"/>
            <w:tcBorders>
              <w:bottom w:val="single" w:sz="4" w:space="0" w:color="auto"/>
            </w:tcBorders>
            <w:tcMar>
              <w:left w:w="57" w:type="dxa"/>
              <w:right w:w="57" w:type="dxa"/>
            </w:tcMar>
          </w:tcPr>
          <w:p w:rsidR="006F29B5" w:rsidRPr="00AC0769" w:rsidRDefault="006F29B5" w:rsidP="00685646">
            <w:pPr>
              <w:pStyle w:val="Tabletext"/>
              <w:spacing w:after="20"/>
              <w:ind w:right="170"/>
              <w:jc w:val="right"/>
              <w:rPr>
                <w:b/>
                <w:bCs/>
                <w:sz w:val="20"/>
                <w:lang w:val="en-US" w:eastAsia="fr-FR"/>
              </w:rPr>
            </w:pPr>
            <w:r w:rsidRPr="00AC0769">
              <w:rPr>
                <w:b/>
                <w:bCs/>
                <w:sz w:val="20"/>
                <w:lang w:val="en-US" w:eastAsia="fr-FR"/>
              </w:rPr>
              <w:t>166’311</w:t>
            </w:r>
          </w:p>
        </w:tc>
        <w:tc>
          <w:tcPr>
            <w:tcW w:w="1236" w:type="dxa"/>
            <w:tcBorders>
              <w:bottom w:val="single" w:sz="4" w:space="0" w:color="auto"/>
            </w:tcBorders>
            <w:tcMar>
              <w:left w:w="57" w:type="dxa"/>
              <w:right w:w="57" w:type="dxa"/>
            </w:tcMar>
          </w:tcPr>
          <w:p w:rsidR="006F29B5" w:rsidRPr="00AC0769" w:rsidRDefault="006F29B5" w:rsidP="00685646">
            <w:pPr>
              <w:pStyle w:val="Tabletext"/>
              <w:spacing w:after="20"/>
              <w:ind w:right="170"/>
              <w:jc w:val="right"/>
              <w:rPr>
                <w:b/>
                <w:bCs/>
                <w:sz w:val="20"/>
                <w:lang w:val="en-US" w:eastAsia="fr-FR"/>
              </w:rPr>
            </w:pPr>
            <w:r w:rsidRPr="00AC0769">
              <w:rPr>
                <w:b/>
                <w:bCs/>
                <w:sz w:val="20"/>
                <w:lang w:val="en-US" w:eastAsia="fr-FR"/>
              </w:rPr>
              <w:t>-</w:t>
            </w:r>
          </w:p>
        </w:tc>
        <w:tc>
          <w:tcPr>
            <w:tcW w:w="1087" w:type="dxa"/>
            <w:tcBorders>
              <w:bottom w:val="single" w:sz="4" w:space="0" w:color="auto"/>
            </w:tcBorders>
            <w:tcMar>
              <w:left w:w="57" w:type="dxa"/>
              <w:right w:w="57" w:type="dxa"/>
            </w:tcMar>
          </w:tcPr>
          <w:p w:rsidR="006F29B5" w:rsidRPr="00AC0769" w:rsidRDefault="006F29B5" w:rsidP="00685646">
            <w:pPr>
              <w:pStyle w:val="Tabletext"/>
              <w:spacing w:after="20"/>
              <w:ind w:right="170"/>
              <w:jc w:val="right"/>
              <w:rPr>
                <w:b/>
                <w:bCs/>
                <w:sz w:val="20"/>
                <w:lang w:val="en-US" w:eastAsia="fr-FR"/>
              </w:rPr>
            </w:pPr>
            <w:r w:rsidRPr="00AC0769">
              <w:rPr>
                <w:b/>
                <w:bCs/>
                <w:sz w:val="20"/>
                <w:lang w:val="en-US" w:eastAsia="fr-FR"/>
              </w:rPr>
              <w:t>166’311</w:t>
            </w:r>
          </w:p>
        </w:tc>
        <w:tc>
          <w:tcPr>
            <w:tcW w:w="1392" w:type="dxa"/>
            <w:tcBorders>
              <w:bottom w:val="single" w:sz="4" w:space="0" w:color="auto"/>
            </w:tcBorders>
            <w:tcMar>
              <w:left w:w="57" w:type="dxa"/>
              <w:right w:w="57" w:type="dxa"/>
            </w:tcMar>
          </w:tcPr>
          <w:p w:rsidR="006F29B5" w:rsidRPr="00AC0769" w:rsidRDefault="006F29B5" w:rsidP="00685646">
            <w:pPr>
              <w:pStyle w:val="Tabletext"/>
              <w:spacing w:after="20"/>
              <w:ind w:right="170"/>
              <w:jc w:val="right"/>
              <w:rPr>
                <w:b/>
                <w:bCs/>
                <w:sz w:val="20"/>
                <w:lang w:val="en-US" w:eastAsia="fr-FR"/>
              </w:rPr>
            </w:pPr>
            <w:r w:rsidRPr="00AC0769">
              <w:rPr>
                <w:b/>
                <w:bCs/>
                <w:sz w:val="20"/>
                <w:lang w:val="en-US" w:eastAsia="fr-FR"/>
              </w:rPr>
              <w:t>155’405</w:t>
            </w:r>
          </w:p>
        </w:tc>
        <w:tc>
          <w:tcPr>
            <w:tcW w:w="1248" w:type="dxa"/>
            <w:tcBorders>
              <w:bottom w:val="single" w:sz="4" w:space="0" w:color="auto"/>
            </w:tcBorders>
            <w:tcMar>
              <w:left w:w="57" w:type="dxa"/>
              <w:right w:w="57" w:type="dxa"/>
            </w:tcMar>
          </w:tcPr>
          <w:p w:rsidR="006F29B5" w:rsidRPr="00AC0769" w:rsidRDefault="006F29B5" w:rsidP="00685646">
            <w:pPr>
              <w:pStyle w:val="Tabletext"/>
              <w:spacing w:after="20"/>
              <w:ind w:right="170"/>
              <w:jc w:val="right"/>
              <w:rPr>
                <w:b/>
                <w:bCs/>
                <w:sz w:val="20"/>
                <w:lang w:val="en-US" w:eastAsia="fr-FR"/>
              </w:rPr>
            </w:pPr>
            <w:r w:rsidRPr="00AC0769">
              <w:rPr>
                <w:b/>
                <w:bCs/>
                <w:sz w:val="20"/>
                <w:lang w:val="en-US" w:eastAsia="fr-FR"/>
              </w:rPr>
              <w:t>10’906</w:t>
            </w:r>
          </w:p>
        </w:tc>
      </w:tr>
      <w:tr w:rsidR="006F29B5" w:rsidRPr="001C2A98" w:rsidTr="006F29B5">
        <w:trPr>
          <w:jc w:val="center"/>
        </w:trPr>
        <w:tc>
          <w:tcPr>
            <w:tcW w:w="3781" w:type="dxa"/>
            <w:tcBorders>
              <w:bottom w:val="nil"/>
            </w:tcBorders>
            <w:tcMar>
              <w:left w:w="57" w:type="dxa"/>
              <w:right w:w="57" w:type="dxa"/>
            </w:tcMar>
          </w:tcPr>
          <w:p w:rsidR="006F29B5" w:rsidRPr="001C2A98" w:rsidRDefault="006F29B5" w:rsidP="006F29B5">
            <w:pPr>
              <w:pStyle w:val="Tabletext"/>
              <w:spacing w:before="20" w:after="20"/>
              <w:rPr>
                <w:b/>
                <w:sz w:val="20"/>
                <w:lang w:val="en-US" w:eastAsia="fr-FR"/>
              </w:rPr>
            </w:pPr>
            <w:r w:rsidRPr="001C2A98">
              <w:rPr>
                <w:b/>
                <w:sz w:val="20"/>
                <w:lang w:val="en-US"/>
              </w:rPr>
              <w:t>Result</w:t>
            </w:r>
          </w:p>
        </w:tc>
        <w:tc>
          <w:tcPr>
            <w:tcW w:w="1094" w:type="dxa"/>
            <w:tcBorders>
              <w:bottom w:val="nil"/>
            </w:tcBorders>
            <w:tcMar>
              <w:left w:w="57" w:type="dxa"/>
              <w:right w:w="57" w:type="dxa"/>
            </w:tcMar>
          </w:tcPr>
          <w:p w:rsidR="006F29B5" w:rsidRPr="00AC0769" w:rsidRDefault="006F29B5" w:rsidP="006F29B5">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rsidR="006F29B5" w:rsidRPr="00AC0769" w:rsidRDefault="006F29B5" w:rsidP="006F29B5">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rsidR="006F29B5" w:rsidRPr="00AC0769" w:rsidRDefault="006F29B5" w:rsidP="006F29B5">
            <w:pPr>
              <w:pStyle w:val="Tabletext"/>
              <w:spacing w:before="20" w:after="20"/>
              <w:ind w:right="170"/>
              <w:jc w:val="right"/>
              <w:rPr>
                <w:b/>
                <w:bCs/>
                <w:sz w:val="20"/>
                <w:lang w:val="en-US" w:eastAsia="fr-FR"/>
              </w:rPr>
            </w:pPr>
          </w:p>
        </w:tc>
        <w:tc>
          <w:tcPr>
            <w:tcW w:w="1392" w:type="dxa"/>
            <w:tcBorders>
              <w:bottom w:val="nil"/>
            </w:tcBorders>
            <w:tcMar>
              <w:left w:w="57" w:type="dxa"/>
              <w:right w:w="57" w:type="dxa"/>
            </w:tcMar>
          </w:tcPr>
          <w:p w:rsidR="006F29B5" w:rsidRPr="00AC0769" w:rsidRDefault="006F29B5" w:rsidP="006F29B5">
            <w:pPr>
              <w:pStyle w:val="Tabletext"/>
              <w:spacing w:before="20" w:after="20"/>
              <w:ind w:right="170"/>
              <w:jc w:val="right"/>
              <w:rPr>
                <w:b/>
                <w:bCs/>
                <w:sz w:val="20"/>
                <w:lang w:val="en-US" w:eastAsia="fr-FR"/>
              </w:rPr>
            </w:pPr>
          </w:p>
        </w:tc>
        <w:tc>
          <w:tcPr>
            <w:tcW w:w="1248" w:type="dxa"/>
            <w:tcBorders>
              <w:bottom w:val="nil"/>
            </w:tcBorders>
            <w:tcMar>
              <w:left w:w="57" w:type="dxa"/>
              <w:right w:w="57" w:type="dxa"/>
            </w:tcMar>
          </w:tcPr>
          <w:p w:rsidR="006F29B5" w:rsidRPr="00AC0769" w:rsidRDefault="006F29B5" w:rsidP="006F29B5">
            <w:pPr>
              <w:pStyle w:val="Tabletext"/>
              <w:spacing w:before="20" w:after="20"/>
              <w:ind w:right="170"/>
              <w:jc w:val="right"/>
              <w:rPr>
                <w:b/>
                <w:b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ASHI</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-11’089</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Recognition of inventories</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-51</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rFonts w:cs="Calibri"/>
                <w:i/>
                <w:i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rPr>
            </w:pPr>
            <w:r w:rsidRPr="001C2A98">
              <w:rPr>
                <w:i/>
                <w:iCs/>
                <w:sz w:val="20"/>
                <w:lang w:val="en-US"/>
              </w:rPr>
              <w:t>Capitalization of fixed assets</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2’262</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rFonts w:cs="Calibri"/>
                <w:i/>
                <w:i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rPr>
            </w:pPr>
            <w:r w:rsidRPr="001C2A98">
              <w:rPr>
                <w:i/>
                <w:iCs/>
                <w:sz w:val="20"/>
                <w:lang w:val="en-US"/>
              </w:rPr>
              <w:t>Depreciation</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-4’629</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rFonts w:cs="Calibri"/>
                <w:i/>
                <w:i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rPr>
            </w:pPr>
            <w:r>
              <w:rPr>
                <w:i/>
                <w:iCs/>
                <w:sz w:val="20"/>
                <w:lang w:val="en-US"/>
              </w:rPr>
              <w:t>Exchange-rate gains/</w:t>
            </w:r>
            <w:r w:rsidRPr="001C2A98">
              <w:rPr>
                <w:i/>
                <w:iCs/>
                <w:sz w:val="20"/>
                <w:lang w:val="en-US"/>
              </w:rPr>
              <w:t>losses</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165</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rFonts w:cs="Calibri"/>
                <w:i/>
                <w:i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Default="006F29B5" w:rsidP="006F29B5">
            <w:pPr>
              <w:pStyle w:val="Tabletext"/>
              <w:spacing w:before="20" w:after="20"/>
              <w:rPr>
                <w:i/>
                <w:iCs/>
                <w:sz w:val="20"/>
                <w:lang w:val="en-US"/>
              </w:rPr>
            </w:pPr>
            <w:r>
              <w:rPr>
                <w:i/>
                <w:iCs/>
                <w:sz w:val="20"/>
                <w:lang w:val="en-US"/>
              </w:rPr>
              <w:t>P</w:t>
            </w:r>
            <w:r w:rsidRPr="001C2A98">
              <w:rPr>
                <w:i/>
                <w:iCs/>
                <w:sz w:val="20"/>
                <w:lang w:val="en-US"/>
              </w:rPr>
              <w:t>rovision for doubtful debts</w:t>
            </w:r>
            <w:r>
              <w:rPr>
                <w:i/>
                <w:iCs/>
                <w:sz w:val="20"/>
                <w:lang w:val="en-US"/>
              </w:rPr>
              <w:t xml:space="preserve"> release</w:t>
            </w:r>
          </w:p>
          <w:p w:rsidR="006F29B5" w:rsidRPr="001C2A98" w:rsidRDefault="006F29B5" w:rsidP="006F29B5">
            <w:pPr>
              <w:pStyle w:val="Tabletext"/>
              <w:spacing w:before="20" w:after="20"/>
              <w:rPr>
                <w:i/>
                <w:iCs/>
                <w:sz w:val="20"/>
                <w:lang w:val="en-US" w:eastAsia="fr-FR"/>
              </w:rPr>
            </w:pPr>
            <w:r>
              <w:rPr>
                <w:i/>
                <w:iCs/>
                <w:sz w:val="20"/>
                <w:lang w:val="en-US"/>
              </w:rPr>
              <w:t>Inventory impairment</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5’348</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rFonts w:cs="Calibri"/>
                <w:i/>
                <w:i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rPr>
            </w:pPr>
            <w:r w:rsidRPr="001C2A98">
              <w:rPr>
                <w:i/>
                <w:iCs/>
                <w:sz w:val="20"/>
                <w:lang w:val="en-US"/>
              </w:rPr>
              <w:t>Sale of assets</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1</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rFonts w:cs="Calibri"/>
                <w:i/>
                <w:i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highlight w:val="yellow"/>
                <w:lang w:val="en-US"/>
              </w:rPr>
            </w:pPr>
            <w:r w:rsidRPr="001C2A98">
              <w:rPr>
                <w:i/>
                <w:iCs/>
                <w:sz w:val="20"/>
                <w:lang w:val="en-US"/>
              </w:rPr>
              <w:t>In-kind revenue</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-93</w:t>
            </w:r>
            <w:r>
              <w:rPr>
                <w:i/>
                <w:iCs/>
                <w:sz w:val="20"/>
                <w:lang w:val="en-US" w:eastAsia="fr-FR"/>
              </w:rPr>
              <w:t>8</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rFonts w:cs="Calibri"/>
                <w:i/>
                <w:iCs/>
                <w:sz w:val="20"/>
                <w:lang w:val="en-US" w:eastAsia="fr-FR"/>
              </w:rPr>
            </w:pPr>
          </w:p>
        </w:tc>
      </w:tr>
      <w:tr w:rsidR="006F29B5" w:rsidRPr="001C2A98" w:rsidTr="006F29B5">
        <w:trPr>
          <w:jc w:val="center"/>
        </w:trPr>
        <w:tc>
          <w:tcPr>
            <w:tcW w:w="3781" w:type="dxa"/>
            <w:tcBorders>
              <w:top w:val="nil"/>
              <w:bottom w:val="nil"/>
            </w:tcBorders>
            <w:tcMar>
              <w:left w:w="57" w:type="dxa"/>
              <w:right w:w="57" w:type="dxa"/>
            </w:tcMar>
          </w:tcPr>
          <w:p w:rsidR="006F29B5" w:rsidRPr="001C2A98" w:rsidRDefault="006F29B5" w:rsidP="006F29B5">
            <w:pPr>
              <w:pStyle w:val="Tabletext"/>
              <w:spacing w:before="20" w:after="20"/>
              <w:rPr>
                <w:i/>
                <w:iCs/>
                <w:sz w:val="20"/>
                <w:lang w:val="en-US"/>
              </w:rPr>
            </w:pPr>
            <w:r w:rsidRPr="001C2A98">
              <w:rPr>
                <w:i/>
                <w:iCs/>
                <w:sz w:val="20"/>
                <w:lang w:val="en-US"/>
              </w:rPr>
              <w:t>In-kind expense</w:t>
            </w:r>
          </w:p>
        </w:tc>
        <w:tc>
          <w:tcPr>
            <w:tcW w:w="1094"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93</w:t>
            </w:r>
            <w:r>
              <w:rPr>
                <w:i/>
                <w:iCs/>
                <w:sz w:val="20"/>
                <w:lang w:val="en-US" w:eastAsia="fr-FR"/>
              </w:rPr>
              <w:t>8</w:t>
            </w:r>
          </w:p>
        </w:tc>
        <w:tc>
          <w:tcPr>
            <w:tcW w:w="1248" w:type="dxa"/>
            <w:tcBorders>
              <w:top w:val="nil"/>
              <w:bottom w:val="nil"/>
            </w:tcBorders>
            <w:tcMar>
              <w:left w:w="57" w:type="dxa"/>
              <w:right w:w="57" w:type="dxa"/>
            </w:tcMar>
          </w:tcPr>
          <w:p w:rsidR="006F29B5" w:rsidRPr="00AC0769" w:rsidRDefault="006F29B5" w:rsidP="006F29B5">
            <w:pPr>
              <w:pStyle w:val="Tabletext"/>
              <w:spacing w:before="20" w:after="20"/>
              <w:ind w:right="170"/>
              <w:jc w:val="right"/>
              <w:rPr>
                <w:rFonts w:cs="Calibri"/>
                <w:i/>
                <w:iCs/>
                <w:sz w:val="20"/>
                <w:lang w:val="en-US" w:eastAsia="fr-FR"/>
              </w:rPr>
            </w:pPr>
          </w:p>
        </w:tc>
      </w:tr>
      <w:tr w:rsidR="006F29B5" w:rsidRPr="001C2A98" w:rsidTr="006F29B5">
        <w:trPr>
          <w:jc w:val="center"/>
        </w:trPr>
        <w:tc>
          <w:tcPr>
            <w:tcW w:w="3781" w:type="dxa"/>
            <w:tcMar>
              <w:left w:w="57" w:type="dxa"/>
              <w:right w:w="57" w:type="dxa"/>
            </w:tcMar>
          </w:tcPr>
          <w:p w:rsidR="006F29B5" w:rsidRPr="001C2A98" w:rsidRDefault="006F29B5" w:rsidP="006F29B5">
            <w:pPr>
              <w:pStyle w:val="Tablehead"/>
              <w:spacing w:before="60" w:after="60"/>
              <w:jc w:val="left"/>
              <w:rPr>
                <w:sz w:val="20"/>
                <w:lang w:val="en-US"/>
              </w:rPr>
            </w:pPr>
            <w:r w:rsidRPr="001C2A98">
              <w:rPr>
                <w:sz w:val="20"/>
                <w:lang w:val="en-US"/>
              </w:rPr>
              <w:t>Total IPSAS differences</w:t>
            </w:r>
          </w:p>
        </w:tc>
        <w:tc>
          <w:tcPr>
            <w:tcW w:w="1094" w:type="dxa"/>
            <w:tcMar>
              <w:left w:w="57" w:type="dxa"/>
              <w:right w:w="57" w:type="dxa"/>
            </w:tcMar>
          </w:tcPr>
          <w:p w:rsidR="006F29B5" w:rsidRPr="00AC0769" w:rsidRDefault="006F29B5" w:rsidP="00685646">
            <w:pPr>
              <w:pStyle w:val="Tablehead"/>
              <w:spacing w:before="60" w:after="60"/>
              <w:rPr>
                <w:sz w:val="20"/>
                <w:lang w:val="en-US"/>
              </w:rPr>
            </w:pPr>
          </w:p>
        </w:tc>
        <w:tc>
          <w:tcPr>
            <w:tcW w:w="1236" w:type="dxa"/>
            <w:tcMar>
              <w:left w:w="57" w:type="dxa"/>
              <w:right w:w="57" w:type="dxa"/>
            </w:tcMar>
          </w:tcPr>
          <w:p w:rsidR="006F29B5" w:rsidRPr="00AC0769" w:rsidRDefault="006F29B5" w:rsidP="00685646">
            <w:pPr>
              <w:pStyle w:val="Tablehead"/>
              <w:spacing w:before="60" w:after="60"/>
              <w:rPr>
                <w:sz w:val="20"/>
                <w:lang w:val="en-US"/>
              </w:rPr>
            </w:pPr>
          </w:p>
        </w:tc>
        <w:tc>
          <w:tcPr>
            <w:tcW w:w="1087" w:type="dxa"/>
            <w:tcMar>
              <w:left w:w="57" w:type="dxa"/>
              <w:right w:w="57" w:type="dxa"/>
            </w:tcMar>
          </w:tcPr>
          <w:p w:rsidR="006F29B5" w:rsidRPr="00AC0769" w:rsidRDefault="006F29B5" w:rsidP="00685646">
            <w:pPr>
              <w:pStyle w:val="Tablehead"/>
              <w:spacing w:before="60" w:after="60"/>
              <w:rPr>
                <w:sz w:val="20"/>
                <w:lang w:val="en-US"/>
              </w:rPr>
            </w:pPr>
          </w:p>
        </w:tc>
        <w:tc>
          <w:tcPr>
            <w:tcW w:w="1392" w:type="dxa"/>
            <w:tcBorders>
              <w:bottom w:val="single" w:sz="4" w:space="0" w:color="auto"/>
            </w:tcBorders>
            <w:tcMar>
              <w:left w:w="57" w:type="dxa"/>
              <w:right w:w="57" w:type="dxa"/>
            </w:tcMar>
          </w:tcPr>
          <w:p w:rsidR="006F29B5" w:rsidRPr="00AC0769" w:rsidRDefault="006F29B5" w:rsidP="00685646">
            <w:pPr>
              <w:pStyle w:val="Tabletext"/>
              <w:spacing w:after="20"/>
              <w:ind w:right="170"/>
              <w:jc w:val="right"/>
              <w:rPr>
                <w:b/>
                <w:bCs/>
                <w:sz w:val="20"/>
                <w:lang w:val="en-US" w:eastAsia="fr-FR"/>
              </w:rPr>
            </w:pPr>
            <w:r w:rsidRPr="00AC0769">
              <w:rPr>
                <w:b/>
                <w:bCs/>
                <w:sz w:val="20"/>
                <w:lang w:val="en-US" w:eastAsia="fr-FR"/>
              </w:rPr>
              <w:t>-7’992</w:t>
            </w:r>
          </w:p>
        </w:tc>
        <w:tc>
          <w:tcPr>
            <w:tcW w:w="1248" w:type="dxa"/>
            <w:tcMar>
              <w:left w:w="57" w:type="dxa"/>
              <w:right w:w="57" w:type="dxa"/>
            </w:tcMar>
          </w:tcPr>
          <w:p w:rsidR="006F29B5" w:rsidRPr="00AC0769" w:rsidRDefault="006F29B5" w:rsidP="00685646">
            <w:pPr>
              <w:pStyle w:val="Tablehead"/>
              <w:spacing w:before="60" w:after="60"/>
              <w:rPr>
                <w:sz w:val="20"/>
                <w:lang w:val="en-US"/>
              </w:rPr>
            </w:pPr>
          </w:p>
        </w:tc>
      </w:tr>
      <w:tr w:rsidR="006F29B5" w:rsidRPr="001C2A98" w:rsidTr="006F29B5">
        <w:trPr>
          <w:trHeight w:val="398"/>
          <w:jc w:val="center"/>
        </w:trPr>
        <w:tc>
          <w:tcPr>
            <w:tcW w:w="3781" w:type="dxa"/>
            <w:vMerge w:val="restart"/>
            <w:tcMar>
              <w:left w:w="57" w:type="dxa"/>
              <w:right w:w="57" w:type="dxa"/>
            </w:tcMar>
          </w:tcPr>
          <w:p w:rsidR="006F29B5" w:rsidRPr="001C2A98" w:rsidRDefault="006F29B5" w:rsidP="006F29B5">
            <w:pPr>
              <w:pStyle w:val="Tabletext"/>
              <w:spacing w:before="20" w:after="20"/>
              <w:rPr>
                <w:i/>
                <w:iCs/>
                <w:sz w:val="20"/>
                <w:lang w:val="en-US" w:eastAsia="fr-FR"/>
              </w:rPr>
            </w:pPr>
            <w:r>
              <w:rPr>
                <w:i/>
                <w:iCs/>
                <w:sz w:val="20"/>
                <w:lang w:val="en-US"/>
              </w:rPr>
              <w:t>Decrease in Investment fund Reserve</w:t>
            </w:r>
          </w:p>
        </w:tc>
        <w:tc>
          <w:tcPr>
            <w:tcW w:w="1094" w:type="dxa"/>
            <w:vMerge w:val="restart"/>
            <w:tcMar>
              <w:left w:w="57" w:type="dxa"/>
              <w:right w:w="57" w:type="dxa"/>
            </w:tcMar>
          </w:tcPr>
          <w:p w:rsidR="006F29B5" w:rsidRPr="00AC0769" w:rsidRDefault="006F29B5" w:rsidP="006F29B5">
            <w:pPr>
              <w:pStyle w:val="Tabletext"/>
              <w:spacing w:before="20" w:after="20"/>
              <w:ind w:right="570"/>
              <w:rPr>
                <w:sz w:val="20"/>
                <w:lang w:val="en-US" w:eastAsia="fr-FR"/>
              </w:rPr>
            </w:pPr>
          </w:p>
        </w:tc>
        <w:tc>
          <w:tcPr>
            <w:tcW w:w="1236" w:type="dxa"/>
            <w:vMerge w:val="restart"/>
            <w:tcMar>
              <w:left w:w="57" w:type="dxa"/>
              <w:right w:w="57" w:type="dxa"/>
            </w:tcMar>
          </w:tcPr>
          <w:p w:rsidR="006F29B5" w:rsidRPr="00AC0769" w:rsidRDefault="006F29B5" w:rsidP="006F29B5">
            <w:pPr>
              <w:pStyle w:val="Tabletext"/>
              <w:spacing w:before="20" w:after="20"/>
              <w:ind w:right="170"/>
              <w:jc w:val="right"/>
              <w:rPr>
                <w:sz w:val="20"/>
                <w:lang w:val="en-US" w:eastAsia="fr-FR"/>
              </w:rPr>
            </w:pPr>
          </w:p>
        </w:tc>
        <w:tc>
          <w:tcPr>
            <w:tcW w:w="1087" w:type="dxa"/>
            <w:vMerge w:val="restart"/>
            <w:tcBorders>
              <w:right w:val="single" w:sz="4" w:space="0" w:color="auto"/>
            </w:tcBorders>
            <w:tcMar>
              <w:left w:w="57" w:type="dxa"/>
              <w:right w:w="57" w:type="dxa"/>
            </w:tcMar>
          </w:tcPr>
          <w:p w:rsidR="006F29B5" w:rsidRPr="00AC0769" w:rsidRDefault="006F29B5" w:rsidP="006F29B5">
            <w:pPr>
              <w:pStyle w:val="Tabletext"/>
              <w:spacing w:before="20" w:after="20"/>
              <w:ind w:right="170"/>
              <w:jc w:val="right"/>
              <w:rPr>
                <w:sz w:val="20"/>
                <w:lang w:val="en-US" w:eastAsia="fr-FR"/>
              </w:rPr>
            </w:pPr>
          </w:p>
        </w:tc>
        <w:tc>
          <w:tcPr>
            <w:tcW w:w="1392" w:type="dxa"/>
            <w:tcBorders>
              <w:top w:val="single" w:sz="4" w:space="0" w:color="auto"/>
              <w:left w:val="single" w:sz="4" w:space="0" w:color="auto"/>
              <w:bottom w:val="nil"/>
              <w:right w:val="single" w:sz="4" w:space="0" w:color="auto"/>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-815</w:t>
            </w:r>
          </w:p>
        </w:tc>
        <w:tc>
          <w:tcPr>
            <w:tcW w:w="1248" w:type="dxa"/>
            <w:vMerge w:val="restart"/>
            <w:tcBorders>
              <w:left w:val="single" w:sz="4" w:space="0" w:color="auto"/>
            </w:tcBorders>
            <w:tcMar>
              <w:left w:w="57" w:type="dxa"/>
              <w:right w:w="57" w:type="dxa"/>
            </w:tcMar>
          </w:tcPr>
          <w:p w:rsidR="006F29B5" w:rsidRPr="00AC0769" w:rsidRDefault="006F29B5" w:rsidP="006F29B5">
            <w:pPr>
              <w:pStyle w:val="Tabletext"/>
              <w:spacing w:before="20" w:after="20"/>
              <w:ind w:right="170"/>
              <w:jc w:val="right"/>
              <w:rPr>
                <w:rFonts w:cs="Calibri"/>
                <w:sz w:val="20"/>
                <w:lang w:val="en-US" w:eastAsia="fr-FR"/>
              </w:rPr>
            </w:pPr>
          </w:p>
        </w:tc>
      </w:tr>
      <w:tr w:rsidR="006F29B5" w:rsidRPr="001C2A98" w:rsidTr="006F29B5">
        <w:trPr>
          <w:trHeight w:val="60"/>
          <w:jc w:val="center"/>
        </w:trPr>
        <w:tc>
          <w:tcPr>
            <w:tcW w:w="3781" w:type="dxa"/>
            <w:vMerge/>
            <w:tcMar>
              <w:left w:w="57" w:type="dxa"/>
              <w:right w:w="57" w:type="dxa"/>
            </w:tcMar>
          </w:tcPr>
          <w:p w:rsidR="006F29B5" w:rsidRDefault="006F29B5" w:rsidP="006F29B5">
            <w:pPr>
              <w:pStyle w:val="Tabletext"/>
              <w:spacing w:before="20" w:after="20"/>
              <w:rPr>
                <w:i/>
                <w:iCs/>
                <w:sz w:val="20"/>
                <w:lang w:val="en-US"/>
              </w:rPr>
            </w:pPr>
          </w:p>
        </w:tc>
        <w:tc>
          <w:tcPr>
            <w:tcW w:w="1094" w:type="dxa"/>
            <w:vMerge/>
            <w:tcMar>
              <w:left w:w="57" w:type="dxa"/>
              <w:right w:w="57" w:type="dxa"/>
            </w:tcMar>
          </w:tcPr>
          <w:p w:rsidR="006F29B5" w:rsidRPr="00AC0769" w:rsidRDefault="006F29B5" w:rsidP="006F29B5">
            <w:pPr>
              <w:pStyle w:val="Tabletext"/>
              <w:spacing w:before="20" w:after="20"/>
              <w:ind w:right="170"/>
              <w:jc w:val="right"/>
              <w:rPr>
                <w:sz w:val="20"/>
                <w:lang w:val="en-US" w:eastAsia="fr-FR"/>
              </w:rPr>
            </w:pPr>
          </w:p>
        </w:tc>
        <w:tc>
          <w:tcPr>
            <w:tcW w:w="1236" w:type="dxa"/>
            <w:vMerge/>
            <w:tcMar>
              <w:left w:w="57" w:type="dxa"/>
              <w:right w:w="57" w:type="dxa"/>
            </w:tcMar>
          </w:tcPr>
          <w:p w:rsidR="006F29B5" w:rsidRPr="00AC0769" w:rsidRDefault="006F29B5" w:rsidP="006F29B5">
            <w:pPr>
              <w:pStyle w:val="Tabletext"/>
              <w:spacing w:before="20" w:after="20"/>
              <w:ind w:right="170"/>
              <w:jc w:val="right"/>
              <w:rPr>
                <w:sz w:val="20"/>
                <w:lang w:val="en-US" w:eastAsia="fr-FR"/>
              </w:rPr>
            </w:pPr>
          </w:p>
        </w:tc>
        <w:tc>
          <w:tcPr>
            <w:tcW w:w="1087" w:type="dxa"/>
            <w:vMerge/>
            <w:tcBorders>
              <w:right w:val="single" w:sz="4" w:space="0" w:color="auto"/>
            </w:tcBorders>
            <w:tcMar>
              <w:left w:w="57" w:type="dxa"/>
              <w:right w:w="57" w:type="dxa"/>
            </w:tcMar>
          </w:tcPr>
          <w:p w:rsidR="006F29B5" w:rsidRPr="00AC0769" w:rsidRDefault="006F29B5" w:rsidP="006F29B5">
            <w:pPr>
              <w:pStyle w:val="Tabletext"/>
              <w:spacing w:before="20" w:after="20"/>
              <w:ind w:right="170"/>
              <w:jc w:val="right"/>
              <w:rPr>
                <w:sz w:val="20"/>
                <w:lang w:val="en-US" w:eastAsia="fr-FR"/>
              </w:rPr>
            </w:pPr>
          </w:p>
        </w:tc>
        <w:tc>
          <w:tcPr>
            <w:tcW w:w="1392" w:type="dxa"/>
            <w:tcBorders>
              <w:top w:val="nil"/>
              <w:left w:val="single" w:sz="4" w:space="0" w:color="auto"/>
              <w:bottom w:val="single" w:sz="4" w:space="0" w:color="auto"/>
              <w:right w:val="single" w:sz="4" w:space="0" w:color="auto"/>
            </w:tcBorders>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p>
        </w:tc>
        <w:tc>
          <w:tcPr>
            <w:tcW w:w="1248" w:type="dxa"/>
            <w:vMerge/>
            <w:tcBorders>
              <w:left w:val="single" w:sz="4" w:space="0" w:color="auto"/>
            </w:tcBorders>
            <w:tcMar>
              <w:left w:w="57" w:type="dxa"/>
              <w:right w:w="57" w:type="dxa"/>
            </w:tcMar>
          </w:tcPr>
          <w:p w:rsidR="006F29B5" w:rsidRPr="00AC0769" w:rsidRDefault="006F29B5" w:rsidP="006F29B5">
            <w:pPr>
              <w:pStyle w:val="Tabletext"/>
              <w:spacing w:before="20" w:after="20"/>
              <w:ind w:right="170"/>
              <w:jc w:val="right"/>
              <w:rPr>
                <w:rFonts w:cs="Calibri"/>
                <w:sz w:val="20"/>
                <w:lang w:val="en-US" w:eastAsia="fr-FR"/>
              </w:rPr>
            </w:pPr>
          </w:p>
        </w:tc>
      </w:tr>
      <w:tr w:rsidR="006F29B5" w:rsidRPr="001C2A98" w:rsidTr="006F29B5">
        <w:trPr>
          <w:jc w:val="center"/>
        </w:trPr>
        <w:tc>
          <w:tcPr>
            <w:tcW w:w="3781" w:type="dxa"/>
            <w:tcMar>
              <w:left w:w="57" w:type="dxa"/>
              <w:right w:w="57" w:type="dxa"/>
            </w:tcMar>
          </w:tcPr>
          <w:p w:rsidR="006F29B5" w:rsidRPr="001C2A98" w:rsidRDefault="006F29B5" w:rsidP="006F29B5">
            <w:pPr>
              <w:pStyle w:val="Tablehead"/>
              <w:spacing w:before="60" w:after="60"/>
              <w:jc w:val="left"/>
              <w:rPr>
                <w:sz w:val="20"/>
                <w:lang w:val="en-US"/>
              </w:rPr>
            </w:pPr>
            <w:r w:rsidRPr="001C2A98">
              <w:rPr>
                <w:sz w:val="20"/>
                <w:lang w:val="en-US"/>
              </w:rPr>
              <w:t>Total losses covered by reserves</w:t>
            </w:r>
          </w:p>
        </w:tc>
        <w:tc>
          <w:tcPr>
            <w:tcW w:w="1094" w:type="dxa"/>
            <w:tcMar>
              <w:left w:w="57" w:type="dxa"/>
              <w:right w:w="57" w:type="dxa"/>
            </w:tcMar>
          </w:tcPr>
          <w:p w:rsidR="006F29B5" w:rsidRPr="00AC0769" w:rsidRDefault="006F29B5" w:rsidP="00685646">
            <w:pPr>
              <w:pStyle w:val="Tablehead"/>
              <w:spacing w:before="60" w:after="60"/>
              <w:rPr>
                <w:sz w:val="20"/>
                <w:lang w:val="en-US"/>
              </w:rPr>
            </w:pPr>
          </w:p>
        </w:tc>
        <w:tc>
          <w:tcPr>
            <w:tcW w:w="1236" w:type="dxa"/>
            <w:tcMar>
              <w:left w:w="57" w:type="dxa"/>
              <w:right w:w="57" w:type="dxa"/>
            </w:tcMar>
          </w:tcPr>
          <w:p w:rsidR="006F29B5" w:rsidRPr="00AC0769" w:rsidRDefault="006F29B5" w:rsidP="00685646">
            <w:pPr>
              <w:pStyle w:val="Tablehead"/>
              <w:spacing w:before="60" w:after="60"/>
              <w:rPr>
                <w:sz w:val="20"/>
                <w:lang w:val="en-US"/>
              </w:rPr>
            </w:pPr>
          </w:p>
        </w:tc>
        <w:tc>
          <w:tcPr>
            <w:tcW w:w="1087" w:type="dxa"/>
            <w:tcMar>
              <w:left w:w="57" w:type="dxa"/>
              <w:right w:w="57" w:type="dxa"/>
            </w:tcMar>
          </w:tcPr>
          <w:p w:rsidR="006F29B5" w:rsidRPr="00AC0769" w:rsidRDefault="006F29B5" w:rsidP="00685646">
            <w:pPr>
              <w:pStyle w:val="Tablehead"/>
              <w:spacing w:before="60" w:after="60"/>
              <w:rPr>
                <w:sz w:val="20"/>
                <w:lang w:val="en-US"/>
              </w:rPr>
            </w:pPr>
          </w:p>
        </w:tc>
        <w:tc>
          <w:tcPr>
            <w:tcW w:w="1392" w:type="dxa"/>
            <w:tcBorders>
              <w:top w:val="single" w:sz="4" w:space="0" w:color="auto"/>
            </w:tcBorders>
            <w:tcMar>
              <w:left w:w="57" w:type="dxa"/>
              <w:right w:w="57" w:type="dxa"/>
            </w:tcMar>
          </w:tcPr>
          <w:p w:rsidR="006F29B5" w:rsidRPr="00AC0769" w:rsidRDefault="006F29B5" w:rsidP="00685646">
            <w:pPr>
              <w:pStyle w:val="Tabletext"/>
              <w:spacing w:after="20"/>
              <w:ind w:right="170"/>
              <w:jc w:val="right"/>
              <w:rPr>
                <w:b/>
                <w:bCs/>
                <w:sz w:val="20"/>
                <w:lang w:val="en-US" w:eastAsia="fr-FR"/>
              </w:rPr>
            </w:pPr>
            <w:r w:rsidRPr="00AC0769">
              <w:rPr>
                <w:b/>
                <w:bCs/>
                <w:sz w:val="20"/>
                <w:lang w:val="en-US" w:eastAsia="fr-FR"/>
              </w:rPr>
              <w:t>-815</w:t>
            </w:r>
          </w:p>
        </w:tc>
        <w:tc>
          <w:tcPr>
            <w:tcW w:w="1248" w:type="dxa"/>
            <w:tcMar>
              <w:left w:w="57" w:type="dxa"/>
              <w:right w:w="57" w:type="dxa"/>
            </w:tcMar>
          </w:tcPr>
          <w:p w:rsidR="006F29B5" w:rsidRPr="00AC0769" w:rsidRDefault="006F29B5" w:rsidP="00685646">
            <w:pPr>
              <w:pStyle w:val="Tablehead"/>
              <w:spacing w:before="60" w:after="60"/>
              <w:rPr>
                <w:sz w:val="20"/>
                <w:lang w:val="en-US"/>
              </w:rPr>
            </w:pPr>
          </w:p>
        </w:tc>
      </w:tr>
      <w:tr w:rsidR="006F29B5" w:rsidRPr="001C2A98" w:rsidTr="006F29B5">
        <w:trPr>
          <w:jc w:val="center"/>
        </w:trPr>
        <w:tc>
          <w:tcPr>
            <w:tcW w:w="3781" w:type="dxa"/>
            <w:tcMar>
              <w:left w:w="57" w:type="dxa"/>
              <w:right w:w="57" w:type="dxa"/>
            </w:tcMar>
          </w:tcPr>
          <w:p w:rsidR="006F29B5" w:rsidRPr="001C2A98" w:rsidRDefault="006F29B5" w:rsidP="006F29B5">
            <w:pPr>
              <w:pStyle w:val="Tabletext"/>
              <w:spacing w:before="20" w:after="20"/>
              <w:rPr>
                <w:i/>
                <w:iCs/>
                <w:sz w:val="20"/>
                <w:lang w:val="en-US" w:eastAsia="fr-FR"/>
              </w:rPr>
            </w:pPr>
            <w:r w:rsidRPr="001C2A98">
              <w:rPr>
                <w:i/>
                <w:iCs/>
                <w:sz w:val="20"/>
                <w:lang w:val="en-US"/>
              </w:rPr>
              <w:t>Perimeter differences</w:t>
            </w:r>
          </w:p>
        </w:tc>
        <w:tc>
          <w:tcPr>
            <w:tcW w:w="1094" w:type="dxa"/>
            <w:tcMar>
              <w:left w:w="57" w:type="dxa"/>
              <w:right w:w="57" w:type="dxa"/>
            </w:tcMar>
          </w:tcPr>
          <w:p w:rsidR="006F29B5" w:rsidRPr="00AC0769" w:rsidRDefault="006F29B5" w:rsidP="006F29B5">
            <w:pPr>
              <w:pStyle w:val="Tabletext"/>
              <w:spacing w:before="20" w:after="20"/>
              <w:ind w:right="170"/>
              <w:jc w:val="right"/>
              <w:rPr>
                <w:sz w:val="20"/>
                <w:lang w:val="en-US" w:eastAsia="fr-FR"/>
              </w:rPr>
            </w:pPr>
          </w:p>
        </w:tc>
        <w:tc>
          <w:tcPr>
            <w:tcW w:w="1236" w:type="dxa"/>
            <w:tcMar>
              <w:left w:w="57" w:type="dxa"/>
              <w:right w:w="57" w:type="dxa"/>
            </w:tcMar>
          </w:tcPr>
          <w:p w:rsidR="006F29B5" w:rsidRPr="00AC0769" w:rsidRDefault="006F29B5" w:rsidP="006F29B5">
            <w:pPr>
              <w:pStyle w:val="Tabletext"/>
              <w:spacing w:before="20" w:after="20"/>
              <w:ind w:right="170"/>
              <w:jc w:val="right"/>
              <w:rPr>
                <w:sz w:val="20"/>
                <w:lang w:val="en-US" w:eastAsia="fr-FR"/>
              </w:rPr>
            </w:pPr>
          </w:p>
        </w:tc>
        <w:tc>
          <w:tcPr>
            <w:tcW w:w="1087" w:type="dxa"/>
            <w:tcMar>
              <w:left w:w="57" w:type="dxa"/>
              <w:right w:w="57" w:type="dxa"/>
            </w:tcMar>
          </w:tcPr>
          <w:p w:rsidR="006F29B5" w:rsidRPr="00AC0769" w:rsidRDefault="006F29B5" w:rsidP="006F29B5">
            <w:pPr>
              <w:pStyle w:val="Tabletext"/>
              <w:spacing w:before="20" w:after="20"/>
              <w:ind w:right="170"/>
              <w:jc w:val="right"/>
              <w:rPr>
                <w:sz w:val="20"/>
                <w:lang w:val="en-US" w:eastAsia="fr-FR"/>
              </w:rPr>
            </w:pPr>
          </w:p>
        </w:tc>
        <w:tc>
          <w:tcPr>
            <w:tcW w:w="1392" w:type="dxa"/>
            <w:tcMar>
              <w:left w:w="57" w:type="dxa"/>
              <w:right w:w="57" w:type="dxa"/>
            </w:tcMar>
          </w:tcPr>
          <w:p w:rsidR="006F29B5" w:rsidRPr="00AC0769" w:rsidRDefault="006F29B5" w:rsidP="006F29B5">
            <w:pPr>
              <w:pStyle w:val="Tabletext"/>
              <w:spacing w:before="20" w:after="20"/>
              <w:ind w:right="170"/>
              <w:jc w:val="right"/>
              <w:rPr>
                <w:i/>
                <w:iCs/>
                <w:sz w:val="20"/>
                <w:lang w:val="en-US" w:eastAsia="fr-FR"/>
              </w:rPr>
            </w:pPr>
            <w:r w:rsidRPr="00AC0769">
              <w:rPr>
                <w:i/>
                <w:iCs/>
                <w:sz w:val="20"/>
                <w:lang w:val="en-US" w:eastAsia="fr-FR"/>
              </w:rPr>
              <w:t>-631</w:t>
            </w:r>
          </w:p>
        </w:tc>
        <w:tc>
          <w:tcPr>
            <w:tcW w:w="1248" w:type="dxa"/>
            <w:tcMar>
              <w:left w:w="57" w:type="dxa"/>
              <w:right w:w="57" w:type="dxa"/>
            </w:tcMar>
          </w:tcPr>
          <w:p w:rsidR="006F29B5" w:rsidRPr="00AC0769" w:rsidRDefault="006F29B5" w:rsidP="006F29B5">
            <w:pPr>
              <w:pStyle w:val="Tabletext"/>
              <w:spacing w:before="20" w:after="20"/>
              <w:ind w:right="170"/>
              <w:jc w:val="right"/>
              <w:rPr>
                <w:rFonts w:cs="Calibri"/>
                <w:sz w:val="20"/>
                <w:lang w:val="en-US" w:eastAsia="fr-FR"/>
              </w:rPr>
            </w:pPr>
          </w:p>
        </w:tc>
      </w:tr>
      <w:tr w:rsidR="006F29B5" w:rsidRPr="001C2A98" w:rsidTr="006F29B5">
        <w:trPr>
          <w:jc w:val="center"/>
        </w:trPr>
        <w:tc>
          <w:tcPr>
            <w:tcW w:w="3781" w:type="dxa"/>
            <w:tcMar>
              <w:left w:w="57" w:type="dxa"/>
              <w:right w:w="57" w:type="dxa"/>
            </w:tcMar>
          </w:tcPr>
          <w:p w:rsidR="006F29B5" w:rsidRPr="001C2A98" w:rsidRDefault="006F29B5" w:rsidP="006F29B5">
            <w:pPr>
              <w:pStyle w:val="Tablehead"/>
              <w:spacing w:before="60" w:after="60"/>
              <w:jc w:val="left"/>
              <w:rPr>
                <w:sz w:val="20"/>
                <w:lang w:val="en-US"/>
              </w:rPr>
            </w:pPr>
            <w:r>
              <w:rPr>
                <w:sz w:val="20"/>
                <w:lang w:val="en-US"/>
              </w:rPr>
              <w:t>Surplus/</w:t>
            </w:r>
            <w:r w:rsidRPr="001C2A98">
              <w:rPr>
                <w:sz w:val="20"/>
                <w:lang w:val="en-US"/>
              </w:rPr>
              <w:t>Deficit as shown in the statement of financial performance</w:t>
            </w:r>
          </w:p>
        </w:tc>
        <w:tc>
          <w:tcPr>
            <w:tcW w:w="1094" w:type="dxa"/>
            <w:tcMar>
              <w:left w:w="57" w:type="dxa"/>
              <w:right w:w="57" w:type="dxa"/>
            </w:tcMar>
          </w:tcPr>
          <w:p w:rsidR="006F29B5" w:rsidRPr="00AC0769" w:rsidRDefault="006F29B5" w:rsidP="00685646">
            <w:pPr>
              <w:pStyle w:val="Tablehead"/>
              <w:spacing w:before="60" w:after="60"/>
              <w:rPr>
                <w:sz w:val="20"/>
                <w:lang w:val="en-US"/>
              </w:rPr>
            </w:pPr>
          </w:p>
        </w:tc>
        <w:tc>
          <w:tcPr>
            <w:tcW w:w="1236" w:type="dxa"/>
            <w:tcMar>
              <w:left w:w="57" w:type="dxa"/>
              <w:right w:w="57" w:type="dxa"/>
            </w:tcMar>
          </w:tcPr>
          <w:p w:rsidR="006F29B5" w:rsidRPr="00AC0769" w:rsidRDefault="006F29B5" w:rsidP="00685646">
            <w:pPr>
              <w:pStyle w:val="Tablehead"/>
              <w:spacing w:before="60" w:after="60"/>
              <w:rPr>
                <w:sz w:val="20"/>
                <w:lang w:val="en-US"/>
              </w:rPr>
            </w:pPr>
          </w:p>
        </w:tc>
        <w:tc>
          <w:tcPr>
            <w:tcW w:w="1087" w:type="dxa"/>
            <w:tcMar>
              <w:left w:w="57" w:type="dxa"/>
              <w:right w:w="57" w:type="dxa"/>
            </w:tcMar>
          </w:tcPr>
          <w:p w:rsidR="006F29B5" w:rsidRPr="00AC0769" w:rsidRDefault="006F29B5" w:rsidP="00685646">
            <w:pPr>
              <w:pStyle w:val="Tablehead"/>
              <w:spacing w:before="60" w:after="60"/>
              <w:rPr>
                <w:sz w:val="20"/>
                <w:lang w:val="en-US"/>
              </w:rPr>
            </w:pPr>
          </w:p>
        </w:tc>
        <w:tc>
          <w:tcPr>
            <w:tcW w:w="1392" w:type="dxa"/>
            <w:tcMar>
              <w:left w:w="57" w:type="dxa"/>
              <w:right w:w="57" w:type="dxa"/>
            </w:tcMar>
          </w:tcPr>
          <w:p w:rsidR="006F29B5" w:rsidRPr="00AC0769" w:rsidRDefault="006F29B5" w:rsidP="00685646">
            <w:pPr>
              <w:pStyle w:val="Tabletext"/>
              <w:spacing w:after="20"/>
              <w:ind w:right="170"/>
              <w:jc w:val="right"/>
              <w:rPr>
                <w:b/>
                <w:bCs/>
                <w:sz w:val="20"/>
                <w:lang w:val="en-US" w:eastAsia="fr-FR"/>
              </w:rPr>
            </w:pPr>
            <w:r w:rsidRPr="00AC0769">
              <w:rPr>
                <w:b/>
                <w:bCs/>
                <w:sz w:val="20"/>
                <w:lang w:val="en-US" w:eastAsia="fr-FR"/>
              </w:rPr>
              <w:t>-5</w:t>
            </w:r>
            <w:r>
              <w:rPr>
                <w:b/>
                <w:bCs/>
                <w:sz w:val="20"/>
                <w:lang w:val="en-US" w:eastAsia="fr-FR"/>
              </w:rPr>
              <w:t>’</w:t>
            </w:r>
            <w:r w:rsidRPr="00AC0769">
              <w:rPr>
                <w:b/>
                <w:bCs/>
                <w:sz w:val="20"/>
                <w:lang w:val="en-US" w:eastAsia="fr-FR"/>
              </w:rPr>
              <w:t>541</w:t>
            </w:r>
          </w:p>
        </w:tc>
        <w:tc>
          <w:tcPr>
            <w:tcW w:w="1248" w:type="dxa"/>
            <w:tcMar>
              <w:left w:w="57" w:type="dxa"/>
              <w:right w:w="57" w:type="dxa"/>
            </w:tcMar>
          </w:tcPr>
          <w:p w:rsidR="006F29B5" w:rsidRPr="00AC0769" w:rsidRDefault="006F29B5" w:rsidP="00685646">
            <w:pPr>
              <w:pStyle w:val="Tablehead"/>
              <w:spacing w:before="60" w:after="60"/>
              <w:rPr>
                <w:bCs/>
                <w:sz w:val="20"/>
                <w:lang w:val="en-US"/>
              </w:rPr>
            </w:pPr>
          </w:p>
        </w:tc>
      </w:tr>
    </w:tbl>
    <w:p w:rsidR="006F29B5" w:rsidRPr="00486B4E" w:rsidRDefault="006F29B5" w:rsidP="006F29B5">
      <w:pPr>
        <w:spacing w:before="0"/>
        <w:jc w:val="center"/>
        <w:rPr>
          <w:b/>
          <w:bCs/>
          <w:sz w:val="20"/>
        </w:rPr>
      </w:pPr>
      <w:r w:rsidRPr="00486B4E">
        <w:br w:type="page"/>
      </w:r>
    </w:p>
    <w:p w:rsidR="006F29B5" w:rsidRPr="00C62A93" w:rsidRDefault="006F29B5" w:rsidP="006F29B5">
      <w:pPr>
        <w:pStyle w:val="AnnexNo"/>
        <w:rPr>
          <w:sz w:val="4"/>
          <w:szCs w:val="4"/>
        </w:rPr>
      </w:pPr>
    </w:p>
    <w:p w:rsidR="006F29B5" w:rsidRPr="00486B4E" w:rsidRDefault="006F29B5" w:rsidP="006F29B5">
      <w:pPr>
        <w:pStyle w:val="AnnexNo"/>
        <w:spacing w:before="360"/>
      </w:pPr>
      <w:r w:rsidRPr="00486B4E">
        <w:t>b</w:t>
      </w:r>
    </w:p>
    <w:p w:rsidR="006F29B5" w:rsidRDefault="006F29B5" w:rsidP="006F29B5">
      <w:pPr>
        <w:pStyle w:val="Annextitle"/>
      </w:pPr>
      <w:r>
        <w:t>Statements of financial position, Statement of financial performance, Statement of changes in net assets, Cash Flow Statement and Comparison of Budgeted and actual amounts</w:t>
      </w:r>
      <w:r w:rsidRPr="00486B4E">
        <w:t xml:space="preserve"> of the International Telec</w:t>
      </w:r>
      <w:r>
        <w:t xml:space="preserve">ommunication Union </w:t>
      </w:r>
      <w:r>
        <w:br/>
        <w:t>for the 2015 financial period</w:t>
      </w:r>
    </w:p>
    <w:p w:rsidR="006F29B5" w:rsidRDefault="006F29B5" w:rsidP="006F29B5">
      <w:pPr>
        <w:spacing w:before="480"/>
        <w:jc w:val="both"/>
      </w:pPr>
      <w:r>
        <w:t>T</w:t>
      </w:r>
      <w:r w:rsidRPr="00486B4E">
        <w:t xml:space="preserve">he </w:t>
      </w:r>
      <w:r w:rsidRPr="007702E8">
        <w:t>financial statements are published in the financial operating report of the Union for the 201</w:t>
      </w:r>
      <w:r>
        <w:t>5</w:t>
      </w:r>
      <w:r w:rsidRPr="007702E8">
        <w:t xml:space="preserve"> financial period and approved by the Council.</w:t>
      </w:r>
    </w:p>
    <w:p w:rsidR="006F29B5" w:rsidRDefault="006F29B5" w:rsidP="006F29B5">
      <w:pPr>
        <w:jc w:val="both"/>
      </w:pPr>
      <w:r w:rsidRPr="007702E8">
        <w:t>(</w:t>
      </w:r>
      <w:r>
        <w:t xml:space="preserve">Council </w:t>
      </w:r>
      <w:r w:rsidRPr="007702E8">
        <w:t>Resolution 13</w:t>
      </w:r>
      <w:r>
        <w:t>82</w:t>
      </w:r>
      <w:r w:rsidRPr="007702E8">
        <w:t xml:space="preserve"> relating</w:t>
      </w:r>
      <w:r w:rsidRPr="00486B4E">
        <w:t xml:space="preserve"> to the approval of the financial operating report</w:t>
      </w:r>
      <w:r>
        <w:t>s</w:t>
      </w:r>
      <w:r w:rsidRPr="00486B4E">
        <w:t xml:space="preserve"> audited by the External Auditor of the ITU accoun</w:t>
      </w:r>
      <w:r>
        <w:t>ts for the period 1 January 2015 to 31 December 2015</w:t>
      </w:r>
      <w:r w:rsidRPr="00486B4E">
        <w:t>)</w:t>
      </w:r>
      <w:r>
        <w:t>.</w:t>
      </w:r>
    </w:p>
    <w:p w:rsidR="006F29B5" w:rsidRDefault="006F29B5">
      <w:pPr>
        <w:tabs>
          <w:tab w:val="clear" w:pos="567"/>
          <w:tab w:val="clear" w:pos="1134"/>
          <w:tab w:val="clear" w:pos="1701"/>
          <w:tab w:val="clear" w:pos="2268"/>
          <w:tab w:val="clear" w:pos="2835"/>
        </w:tabs>
        <w:overflowPunct/>
        <w:autoSpaceDE/>
        <w:autoSpaceDN/>
        <w:adjustRightInd/>
        <w:spacing w:before="0"/>
        <w:textAlignment w:val="auto"/>
      </w:pPr>
      <w:r>
        <w:br w:type="page"/>
      </w:r>
    </w:p>
    <w:p w:rsidR="006F29B5" w:rsidRDefault="006F29B5" w:rsidP="006F29B5">
      <w:pPr>
        <w:jc w:val="both"/>
      </w:pPr>
    </w:p>
    <w:p w:rsidR="006F29B5" w:rsidRDefault="006F29B5" w:rsidP="006F29B5">
      <w:pPr>
        <w:pStyle w:val="Tabletitle"/>
        <w:spacing w:before="240"/>
        <w:rPr>
          <w:sz w:val="28"/>
          <w:szCs w:val="28"/>
          <w:lang w:val="en-US"/>
        </w:rPr>
      </w:pPr>
      <w:r w:rsidRPr="001C2A98">
        <w:rPr>
          <w:sz w:val="28"/>
          <w:szCs w:val="28"/>
          <w:lang w:val="en-US"/>
        </w:rPr>
        <w:t xml:space="preserve">I – Statement of financial position – Balance sheet at 31 December </w:t>
      </w:r>
      <w:r>
        <w:rPr>
          <w:sz w:val="28"/>
          <w:szCs w:val="28"/>
          <w:lang w:val="en-US"/>
        </w:rPr>
        <w:t>2015</w:t>
      </w:r>
      <w:r w:rsidRPr="001C2A98">
        <w:rPr>
          <w:sz w:val="28"/>
          <w:szCs w:val="28"/>
          <w:lang w:val="en-US"/>
        </w:rPr>
        <w:t xml:space="preserve"> with comparative figures as at 31 December 201</w:t>
      </w:r>
      <w:r>
        <w:rPr>
          <w:sz w:val="28"/>
          <w:szCs w:val="28"/>
          <w:lang w:val="en-US"/>
        </w:rPr>
        <w:t>4</w:t>
      </w:r>
    </w:p>
    <w:p w:rsidR="006F29B5" w:rsidRPr="006E5DF8" w:rsidRDefault="006F29B5" w:rsidP="006F29B5">
      <w:pPr>
        <w:pStyle w:val="Tabletext"/>
        <w:rPr>
          <w:lang w:val="en-US"/>
        </w:rPr>
      </w:pPr>
    </w:p>
    <w:tbl>
      <w:tblPr>
        <w:tblW w:w="4513" w:type="pct"/>
        <w:tblLook w:val="04A0" w:firstRow="1" w:lastRow="0" w:firstColumn="1" w:lastColumn="0" w:noHBand="0" w:noVBand="1"/>
      </w:tblPr>
      <w:tblGrid>
        <w:gridCol w:w="5003"/>
        <w:gridCol w:w="1847"/>
        <w:gridCol w:w="1847"/>
      </w:tblGrid>
      <w:tr w:rsidR="006F29B5" w:rsidRPr="00775BDE" w:rsidTr="006F29B5">
        <w:trPr>
          <w:trHeight w:val="174"/>
        </w:trPr>
        <w:tc>
          <w:tcPr>
            <w:tcW w:w="28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E33D47"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E33D47">
              <w:rPr>
                <w:rFonts w:asciiTheme="minorHAnsi" w:hAnsiTheme="minorHAnsi" w:cs="Arial"/>
                <w:b/>
                <w:bCs/>
                <w:color w:val="000000"/>
                <w:sz w:val="20"/>
                <w:lang w:val="en-US" w:eastAsia="zh-CN"/>
              </w:rPr>
              <w:t>(in thousands of CHF)</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31/12/2015</w:t>
            </w:r>
          </w:p>
        </w:tc>
        <w:tc>
          <w:tcPr>
            <w:tcW w:w="1062" w:type="pct"/>
            <w:tcBorders>
              <w:top w:val="single" w:sz="4" w:space="0" w:color="auto"/>
              <w:left w:val="nil"/>
              <w:bottom w:val="single" w:sz="4" w:space="0" w:color="auto"/>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31/12/2014</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ASSETS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Current assets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Cash and cash equivalents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55,505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75,430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Investments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111,817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87,074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Receivables - exchange transactions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5,982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7,361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Receivables - non-exchange transactions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80,174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79,448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Inventories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575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650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Other receivables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8,071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8,831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Total current assets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262,124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258,794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Non-current assets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Receivables - non-exchange transactions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Property, plant and equipment</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104,912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107,449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Intangible assets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3,241 </w:t>
            </w:r>
          </w:p>
        </w:tc>
        <w:tc>
          <w:tcPr>
            <w:tcW w:w="1062" w:type="pct"/>
            <w:tcBorders>
              <w:top w:val="nil"/>
              <w:left w:val="nil"/>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4,077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Total non-current assets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108,153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111,526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r>
      <w:tr w:rsidR="006F29B5" w:rsidRPr="00775BDE" w:rsidTr="006F29B5">
        <w:trPr>
          <w:trHeight w:val="340"/>
        </w:trPr>
        <w:tc>
          <w:tcPr>
            <w:tcW w:w="2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Total ASSETS</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370,277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370,320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LIABILITIES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Current liabilities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Suppliers and other creditors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7,196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9,154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Deferred revenue</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127,569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129,487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Borrowings and financial debts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1,493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1,493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Employee benefits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481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484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Provisions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1,046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845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Other debts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5,281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2,977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Total current liabilities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143,066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144,440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Non-current liabilities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Borrowings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43,792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45,286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Employee benefits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495,025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534,358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Allocated third-party funds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28,702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30,027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Third-party funds in process of allocation</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2,923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2,233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Total non-current liabilities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570,442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611,904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r>
      <w:tr w:rsidR="006F29B5" w:rsidRPr="00775BDE" w:rsidTr="006F29B5">
        <w:trPr>
          <w:trHeight w:val="340"/>
        </w:trPr>
        <w:tc>
          <w:tcPr>
            <w:tcW w:w="2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TOTAL LIABILITIES</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713,508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756,344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NET ASSETS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Organization's capital</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Effect of transition to IPSAS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-125,100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-125,100 </w:t>
            </w:r>
          </w:p>
        </w:tc>
      </w:tr>
      <w:tr w:rsidR="006F29B5" w:rsidRPr="00775BDE" w:rsidTr="006F29B5">
        <w:trPr>
          <w:trHeight w:val="348"/>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Reserve account before reallocation of the surplus/ deficit of the period</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27,222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26,325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Other allocated reserves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37,707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33,129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Other Extra-budgetary reserves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12,685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12,688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ASHI actuarial losses</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-257,136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-312,708 </w:t>
            </w:r>
          </w:p>
        </w:tc>
      </w:tr>
      <w:tr w:rsidR="006F29B5" w:rsidRPr="00775BDE" w:rsidTr="006F29B5">
        <w:trPr>
          <w:trHeight w:val="174"/>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Cumulated non budgetary result</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C466E7">
              <w:rPr>
                <w:rFonts w:asciiTheme="minorHAnsi" w:hAnsiTheme="minorHAnsi" w:cs="Arial"/>
                <w:sz w:val="20"/>
                <w:lang w:val="en-US" w:eastAsia="zh-CN"/>
              </w:rPr>
              <w:t xml:space="preserve">                -22,810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-14,817 </w:t>
            </w:r>
          </w:p>
        </w:tc>
      </w:tr>
      <w:tr w:rsidR="006F29B5" w:rsidRPr="00775BDE" w:rsidTr="006F29B5">
        <w:trPr>
          <w:trHeight w:val="205"/>
        </w:trPr>
        <w:tc>
          <w:tcPr>
            <w:tcW w:w="2875"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Surplus/Deficit for the period</w:t>
            </w:r>
          </w:p>
        </w:tc>
        <w:tc>
          <w:tcPr>
            <w:tcW w:w="1062" w:type="pct"/>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-15,799 </w:t>
            </w:r>
          </w:p>
        </w:tc>
        <w:tc>
          <w:tcPr>
            <w:tcW w:w="1062" w:type="pct"/>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xml:space="preserve">                  -5,541 </w:t>
            </w:r>
          </w:p>
        </w:tc>
      </w:tr>
      <w:tr w:rsidR="006F29B5" w:rsidRPr="00775BDE" w:rsidTr="006F29B5">
        <w:trPr>
          <w:trHeight w:val="340"/>
        </w:trPr>
        <w:tc>
          <w:tcPr>
            <w:tcW w:w="28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TOTAL NET ASSETS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-343,231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xml:space="preserve">               -386,024 </w:t>
            </w:r>
          </w:p>
        </w:tc>
      </w:tr>
    </w:tbl>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r>
        <w:rPr>
          <w:sz w:val="28"/>
          <w:szCs w:val="28"/>
          <w:lang w:val="en-US"/>
        </w:rPr>
        <w:br w:type="page"/>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lang w:val="en-US"/>
        </w:rPr>
      </w:pPr>
    </w:p>
    <w:p w:rsidR="006F29B5" w:rsidRPr="00E33D47" w:rsidRDefault="006F29B5" w:rsidP="006F29B5">
      <w:pPr>
        <w:tabs>
          <w:tab w:val="clear" w:pos="567"/>
          <w:tab w:val="clear" w:pos="1134"/>
          <w:tab w:val="clear" w:pos="1701"/>
          <w:tab w:val="clear" w:pos="2268"/>
          <w:tab w:val="clear" w:pos="2835"/>
        </w:tabs>
        <w:overflowPunct/>
        <w:autoSpaceDE/>
        <w:autoSpaceDN/>
        <w:adjustRightInd/>
        <w:spacing w:before="240" w:after="360"/>
        <w:jc w:val="center"/>
        <w:textAlignment w:val="auto"/>
        <w:rPr>
          <w:b/>
          <w:bCs/>
          <w:sz w:val="28"/>
          <w:szCs w:val="28"/>
          <w:lang w:val="en-US"/>
        </w:rPr>
      </w:pPr>
      <w:r w:rsidRPr="00E900E0">
        <w:rPr>
          <w:b/>
          <w:sz w:val="28"/>
          <w:szCs w:val="28"/>
          <w:lang w:val="en-US"/>
        </w:rPr>
        <w:t>II – Statement of financial performance for the period which closed on</w:t>
      </w:r>
      <w:r w:rsidRPr="00E900E0">
        <w:rPr>
          <w:b/>
          <w:sz w:val="28"/>
          <w:szCs w:val="28"/>
          <w:lang w:val="en-US"/>
        </w:rPr>
        <w:br/>
        <w:t>31 December 2015 with comparative figures as at 31 December 2014</w:t>
      </w:r>
    </w:p>
    <w:tbl>
      <w:tblPr>
        <w:tblW w:w="8920" w:type="dxa"/>
        <w:tblInd w:w="103" w:type="dxa"/>
        <w:tblLook w:val="04A0" w:firstRow="1" w:lastRow="0" w:firstColumn="1" w:lastColumn="0" w:noHBand="0" w:noVBand="1"/>
      </w:tblPr>
      <w:tblGrid>
        <w:gridCol w:w="5300"/>
        <w:gridCol w:w="1780"/>
        <w:gridCol w:w="1840"/>
      </w:tblGrid>
      <w:tr w:rsidR="006F29B5" w:rsidRPr="00E33D47" w:rsidTr="006F29B5">
        <w:trPr>
          <w:trHeight w:val="255"/>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E33D4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E33D47">
              <w:rPr>
                <w:rFonts w:asciiTheme="minorHAnsi" w:hAnsiTheme="minorHAnsi" w:cs="Arial"/>
                <w:b/>
                <w:bCs/>
                <w:color w:val="000000"/>
                <w:sz w:val="20"/>
                <w:lang w:val="en-US" w:eastAsia="zh-CN"/>
              </w:rPr>
              <w:t>(in thousands of Swiss francs)</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6F29B5" w:rsidRPr="00E33D4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E33D47">
              <w:rPr>
                <w:rFonts w:asciiTheme="minorHAnsi" w:hAnsiTheme="minorHAnsi" w:cs="Arial"/>
                <w:b/>
                <w:bCs/>
                <w:color w:val="000000"/>
                <w:sz w:val="20"/>
                <w:lang w:val="en-US" w:eastAsia="zh-CN"/>
              </w:rPr>
              <w:t>31/12/2015</w:t>
            </w:r>
          </w:p>
        </w:tc>
        <w:tc>
          <w:tcPr>
            <w:tcW w:w="1840" w:type="dxa"/>
            <w:tcBorders>
              <w:top w:val="single" w:sz="4" w:space="0" w:color="auto"/>
              <w:left w:val="nil"/>
              <w:bottom w:val="single" w:sz="4" w:space="0" w:color="auto"/>
              <w:right w:val="single" w:sz="4" w:space="0" w:color="auto"/>
            </w:tcBorders>
            <w:shd w:val="clear" w:color="auto" w:fill="auto"/>
            <w:hideMark/>
          </w:tcPr>
          <w:p w:rsidR="006F29B5" w:rsidRPr="00E33D4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E33D47">
              <w:rPr>
                <w:rFonts w:asciiTheme="minorHAnsi" w:hAnsiTheme="minorHAnsi" w:cs="Arial"/>
                <w:b/>
                <w:bCs/>
                <w:color w:val="000000"/>
                <w:sz w:val="20"/>
                <w:lang w:val="en-US" w:eastAsia="zh-CN"/>
              </w:rPr>
              <w:t>31/12/2014</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775BDE">
              <w:rPr>
                <w:rFonts w:ascii="Arial" w:hAnsi="Arial" w:cs="Arial"/>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REVENUE</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 </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Assessed contributions</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126,447</w:t>
            </w:r>
          </w:p>
        </w:tc>
        <w:tc>
          <w:tcPr>
            <w:tcW w:w="1840" w:type="dxa"/>
            <w:tcBorders>
              <w:top w:val="nil"/>
              <w:left w:val="nil"/>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126,786</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Voluntary contributions</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9,227</w:t>
            </w:r>
          </w:p>
        </w:tc>
        <w:tc>
          <w:tcPr>
            <w:tcW w:w="1840" w:type="dxa"/>
            <w:tcBorders>
              <w:top w:val="nil"/>
              <w:left w:val="nil"/>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11,740</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Other operating revenue</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37,055</w:t>
            </w:r>
          </w:p>
        </w:tc>
        <w:tc>
          <w:tcPr>
            <w:tcW w:w="1840" w:type="dxa"/>
            <w:tcBorders>
              <w:top w:val="nil"/>
              <w:left w:val="nil"/>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39,824</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In-kind contributions</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920</w:t>
            </w:r>
          </w:p>
        </w:tc>
        <w:tc>
          <w:tcPr>
            <w:tcW w:w="1840" w:type="dxa"/>
            <w:tcBorders>
              <w:top w:val="nil"/>
              <w:left w:val="nil"/>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938</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Finance revenue</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658</w:t>
            </w:r>
          </w:p>
        </w:tc>
        <w:tc>
          <w:tcPr>
            <w:tcW w:w="1840" w:type="dxa"/>
            <w:tcBorders>
              <w:top w:val="nil"/>
              <w:left w:val="nil"/>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817</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499"/>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Total revenue</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174,307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180,105</w:t>
            </w:r>
          </w:p>
        </w:tc>
      </w:tr>
      <w:tr w:rsidR="006F29B5" w:rsidRPr="00775BDE" w:rsidTr="006F29B5">
        <w:trPr>
          <w:trHeight w:val="31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C466E7" w:rsidRDefault="006F29B5" w:rsidP="00114D96">
            <w:pPr>
              <w:tabs>
                <w:tab w:val="clear" w:pos="567"/>
                <w:tab w:val="clear" w:pos="1134"/>
                <w:tab w:val="clear" w:pos="1701"/>
                <w:tab w:val="clear" w:pos="2268"/>
                <w:tab w:val="clear" w:pos="2835"/>
              </w:tabs>
              <w:overflowPunct/>
              <w:autoSpaceDE/>
              <w:autoSpaceDN/>
              <w:adjustRightInd/>
              <w:textAlignment w:val="auto"/>
              <w:rPr>
                <w:rFonts w:asciiTheme="minorHAnsi" w:hAnsiTheme="minorHAnsi" w:cs="Arial"/>
                <w:b/>
                <w:bCs/>
                <w:color w:val="000000"/>
                <w:szCs w:val="24"/>
                <w:lang w:val="en-US" w:eastAsia="zh-CN"/>
              </w:rPr>
            </w:pPr>
            <w:r w:rsidRPr="00C466E7">
              <w:rPr>
                <w:rFonts w:asciiTheme="minorHAnsi" w:hAnsiTheme="minorHAnsi" w:cs="Arial"/>
                <w:b/>
                <w:bCs/>
                <w:color w:val="000000"/>
                <w:szCs w:val="24"/>
                <w:lang w:val="en-US" w:eastAsia="zh-CN"/>
              </w:rPr>
              <w:t>EXPENSES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114D96">
            <w:pPr>
              <w:tabs>
                <w:tab w:val="clear" w:pos="567"/>
                <w:tab w:val="clear" w:pos="1134"/>
                <w:tab w:val="clear" w:pos="1701"/>
                <w:tab w:val="clear" w:pos="2268"/>
                <w:tab w:val="clear" w:pos="2835"/>
              </w:tabs>
              <w:overflowPunct/>
              <w:autoSpaceDE/>
              <w:autoSpaceDN/>
              <w:adjustRightInd/>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C466E7" w:rsidRDefault="006F29B5" w:rsidP="00114D96">
            <w:pPr>
              <w:tabs>
                <w:tab w:val="clear" w:pos="567"/>
                <w:tab w:val="clear" w:pos="1134"/>
                <w:tab w:val="clear" w:pos="1701"/>
                <w:tab w:val="clear" w:pos="2268"/>
                <w:tab w:val="clear" w:pos="2835"/>
              </w:tabs>
              <w:overflowPunct/>
              <w:autoSpaceDE/>
              <w:autoSpaceDN/>
              <w:adjustRightInd/>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 </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Employee expenses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150,790</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143,701</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Mission expenses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6,880</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6,549</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Contractual services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13,039</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17,010</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Rental and maintenance of premises and equipment</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5,363</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6,410</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Equipment and supplies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3,759</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4,781</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Depreciation and impairment losses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5,550</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5,718</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Shipping, telecommunication and service expenses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1,909</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2,499</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Other expenses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1,089</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-2,423</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In-kind expenses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920</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937</w:t>
            </w:r>
          </w:p>
        </w:tc>
      </w:tr>
      <w:tr w:rsidR="006F29B5" w:rsidRPr="00775BDE"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Finance expenses</w:t>
            </w:r>
          </w:p>
        </w:tc>
        <w:tc>
          <w:tcPr>
            <w:tcW w:w="1780" w:type="dxa"/>
            <w:tcBorders>
              <w:top w:val="nil"/>
              <w:left w:val="single" w:sz="4" w:space="0" w:color="auto"/>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807</w:t>
            </w:r>
          </w:p>
        </w:tc>
        <w:tc>
          <w:tcPr>
            <w:tcW w:w="1840" w:type="dxa"/>
            <w:tcBorders>
              <w:top w:val="nil"/>
              <w:left w:val="nil"/>
              <w:bottom w:val="nil"/>
              <w:right w:val="single" w:sz="4" w:space="0" w:color="auto"/>
            </w:tcBorders>
            <w:shd w:val="clear" w:color="auto" w:fill="auto"/>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465</w:t>
            </w:r>
          </w:p>
        </w:tc>
      </w:tr>
      <w:tr w:rsidR="006F29B5" w:rsidRPr="00775BDE" w:rsidTr="006F29B5">
        <w:trPr>
          <w:trHeight w:val="499"/>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Total expenses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190,106</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185,646</w:t>
            </w:r>
          </w:p>
        </w:tc>
      </w:tr>
      <w:tr w:rsidR="006F29B5" w:rsidRPr="00775BDE" w:rsidTr="006F29B5">
        <w:trPr>
          <w:trHeight w:val="499"/>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C466E7">
              <w:rPr>
                <w:rFonts w:asciiTheme="minorHAnsi" w:hAnsiTheme="minorHAnsi" w:cs="Arial"/>
                <w:b/>
                <w:bCs/>
                <w:color w:val="000000"/>
                <w:sz w:val="20"/>
                <w:lang w:val="en-US" w:eastAsia="zh-CN"/>
              </w:rPr>
              <w:t>Surplus/deficit for the period</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-15,799</w:t>
            </w:r>
          </w:p>
        </w:tc>
        <w:tc>
          <w:tcPr>
            <w:tcW w:w="1840" w:type="dxa"/>
            <w:tcBorders>
              <w:top w:val="nil"/>
              <w:left w:val="nil"/>
              <w:bottom w:val="single" w:sz="4" w:space="0" w:color="auto"/>
              <w:right w:val="single" w:sz="4" w:space="0" w:color="auto"/>
            </w:tcBorders>
            <w:shd w:val="clear" w:color="auto" w:fill="auto"/>
            <w:noWrap/>
            <w:vAlign w:val="center"/>
            <w:hideMark/>
          </w:tcPr>
          <w:p w:rsidR="006F29B5" w:rsidRPr="00C466E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C466E7">
              <w:rPr>
                <w:rFonts w:asciiTheme="minorHAnsi" w:hAnsiTheme="minorHAnsi" w:cs="Arial"/>
                <w:color w:val="000000"/>
                <w:sz w:val="20"/>
                <w:lang w:val="en-US" w:eastAsia="zh-CN"/>
              </w:rPr>
              <w:t>-5,541</w:t>
            </w:r>
          </w:p>
        </w:tc>
      </w:tr>
    </w:tbl>
    <w:p w:rsidR="006F29B5" w:rsidRPr="001C2A98" w:rsidRDefault="006F29B5" w:rsidP="006F29B5">
      <w:pPr>
        <w:jc w:val="center"/>
        <w:rPr>
          <w:lang w:val="en-US"/>
        </w:rPr>
      </w:pPr>
    </w:p>
    <w:p w:rsidR="006F29B5" w:rsidRPr="001C2A98"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6F29B5" w:rsidRDefault="006F29B5" w:rsidP="006F29B5">
      <w:pPr>
        <w:pStyle w:val="Tabletitle"/>
        <w:rPr>
          <w:sz w:val="28"/>
          <w:szCs w:val="28"/>
          <w:lang w:val="en-US"/>
        </w:rPr>
      </w:pPr>
    </w:p>
    <w:p w:rsidR="006F29B5" w:rsidRPr="00775BDE" w:rsidRDefault="006F29B5" w:rsidP="006F29B5">
      <w:pPr>
        <w:pStyle w:val="Tabletitle"/>
        <w:spacing w:before="360" w:after="360"/>
        <w:rPr>
          <w:lang w:val="en-US"/>
        </w:rPr>
      </w:pPr>
      <w:r w:rsidRPr="00983A65">
        <w:rPr>
          <w:sz w:val="28"/>
          <w:szCs w:val="28"/>
          <w:lang w:val="en-US"/>
        </w:rPr>
        <w:t>III – Statement of changes in net assets for the period which closed</w:t>
      </w:r>
      <w:r>
        <w:rPr>
          <w:sz w:val="28"/>
          <w:szCs w:val="28"/>
          <w:lang w:val="en-US"/>
        </w:rPr>
        <w:br/>
      </w:r>
      <w:r w:rsidRPr="00983A65">
        <w:rPr>
          <w:sz w:val="28"/>
          <w:szCs w:val="28"/>
          <w:lang w:val="en-US"/>
        </w:rPr>
        <w:t>on</w:t>
      </w:r>
      <w:r>
        <w:rPr>
          <w:sz w:val="28"/>
          <w:szCs w:val="28"/>
          <w:lang w:val="en-US"/>
        </w:rPr>
        <w:t xml:space="preserve"> </w:t>
      </w:r>
      <w:r w:rsidRPr="00983A65">
        <w:rPr>
          <w:sz w:val="28"/>
          <w:szCs w:val="28"/>
          <w:lang w:val="en-US"/>
        </w:rPr>
        <w:t xml:space="preserve">31 December </w:t>
      </w:r>
      <w:r>
        <w:rPr>
          <w:sz w:val="28"/>
          <w:szCs w:val="28"/>
          <w:lang w:val="en-US"/>
        </w:rPr>
        <w:t>2015</w:t>
      </w:r>
    </w:p>
    <w:tbl>
      <w:tblPr>
        <w:tblW w:w="9500" w:type="dxa"/>
        <w:tblInd w:w="98" w:type="dxa"/>
        <w:tblLook w:val="04A0" w:firstRow="1" w:lastRow="0" w:firstColumn="1" w:lastColumn="0" w:noHBand="0" w:noVBand="1"/>
      </w:tblPr>
      <w:tblGrid>
        <w:gridCol w:w="3300"/>
        <w:gridCol w:w="1520"/>
        <w:gridCol w:w="1620"/>
        <w:gridCol w:w="1560"/>
        <w:gridCol w:w="1500"/>
      </w:tblGrid>
      <w:tr w:rsidR="006F29B5" w:rsidRPr="00775BDE" w:rsidTr="006F29B5">
        <w:trPr>
          <w:trHeight w:val="78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775BDE">
              <w:rPr>
                <w:rFonts w:cs="Arial"/>
                <w:b/>
                <w:bCs/>
                <w:color w:val="000000"/>
                <w:sz w:val="20"/>
                <w:lang w:val="en-US" w:eastAsia="zh-CN"/>
              </w:rPr>
              <w:t>(in thousands of CHF)</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775BDE">
              <w:rPr>
                <w:rFonts w:cs="Arial"/>
                <w:b/>
                <w:bCs/>
                <w:color w:val="000000"/>
                <w:sz w:val="20"/>
                <w:lang w:val="en-US" w:eastAsia="zh-CN"/>
              </w:rPr>
              <w:t>31.12.2015</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775BDE">
              <w:rPr>
                <w:rFonts w:cs="Arial"/>
                <w:b/>
                <w:bCs/>
                <w:color w:val="000000"/>
                <w:sz w:val="20"/>
                <w:lang w:val="en-US" w:eastAsia="zh-CN"/>
              </w:rPr>
              <w:t>Surplus deficit 2015</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775BDE">
              <w:rPr>
                <w:rFonts w:cs="Arial"/>
                <w:b/>
                <w:bCs/>
                <w:color w:val="000000"/>
                <w:sz w:val="20"/>
                <w:lang w:val="en-US" w:eastAsia="zh-CN"/>
              </w:rPr>
              <w:t>Other adjustments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775BDE">
              <w:rPr>
                <w:rFonts w:cs="Arial"/>
                <w:b/>
                <w:bCs/>
                <w:color w:val="000000"/>
                <w:sz w:val="20"/>
                <w:lang w:val="en-US" w:eastAsia="zh-CN"/>
              </w:rPr>
              <w:t>01-Jan-15</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775BDE">
              <w:rPr>
                <w:rFonts w:cs="Arial"/>
                <w:b/>
                <w:bCs/>
                <w:color w:val="000000"/>
                <w:sz w:val="18"/>
                <w:szCs w:val="18"/>
                <w:lang w:val="en-US" w:eastAsia="zh-CN"/>
              </w:rPr>
              <w:t xml:space="preserve">IPSAS transition </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775BDE">
              <w:rPr>
                <w:rFonts w:cs="Arial"/>
                <w:b/>
                <w:bCs/>
                <w:sz w:val="18"/>
                <w:szCs w:val="18"/>
                <w:lang w:val="en-US" w:eastAsia="zh-CN"/>
              </w:rPr>
              <w:t>-125,100</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775BDE">
              <w:rPr>
                <w:rFonts w:cs="Arial"/>
                <w:b/>
                <w:bCs/>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-125,100</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775BDE">
              <w:rPr>
                <w:rFonts w:cs="Arial"/>
                <w:b/>
                <w:bCs/>
                <w:color w:val="000000"/>
                <w:sz w:val="18"/>
                <w:szCs w:val="18"/>
                <w:lang w:val="en-US" w:eastAsia="zh-CN"/>
              </w:rPr>
              <w:t>Reserve Account</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775BDE">
              <w:rPr>
                <w:rFonts w:cs="Arial"/>
                <w:b/>
                <w:bCs/>
                <w:sz w:val="18"/>
                <w:szCs w:val="18"/>
                <w:lang w:val="en-US" w:eastAsia="zh-CN"/>
              </w:rPr>
              <w:t>27,522</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300</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775BDE">
              <w:rPr>
                <w:rFonts w:cs="Arial"/>
                <w:b/>
                <w:bCs/>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27,222</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775BDE">
              <w:rPr>
                <w:rFonts w:cs="Arial"/>
                <w:b/>
                <w:bCs/>
                <w:color w:val="000000"/>
                <w:sz w:val="18"/>
                <w:szCs w:val="18"/>
                <w:lang w:val="en-US" w:eastAsia="zh-CN"/>
              </w:rPr>
              <w:t>Other reserves</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775BDE">
              <w:rPr>
                <w:rFonts w:cs="Arial"/>
                <w:b/>
                <w:bCs/>
                <w:sz w:val="18"/>
                <w:szCs w:val="18"/>
                <w:lang w:val="en-US" w:eastAsia="zh-CN"/>
              </w:rPr>
              <w:t>38,492</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786</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775BDE">
              <w:rPr>
                <w:rFonts w:cs="Arial"/>
                <w:b/>
                <w:bCs/>
                <w:sz w:val="18"/>
                <w:szCs w:val="18"/>
                <w:lang w:val="en-US" w:eastAsia="zh-CN"/>
              </w:rPr>
              <w:t>2,392</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35,315</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Investment fund</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7,933</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713</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40</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7,180</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Welfare fund</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445</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-47</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492</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Centenary fund</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308</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308</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SS&amp;B Complement fund</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6,244</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-23</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6,267</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SS&amp;B Provident fund</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1,510</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1,510</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SS&amp;B Assistance fund</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178</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-4</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183</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A</w:t>
            </w:r>
            <w:r>
              <w:rPr>
                <w:rFonts w:cs="Arial"/>
                <w:color w:val="000000"/>
                <w:sz w:val="18"/>
                <w:szCs w:val="18"/>
                <w:lang w:val="en-US" w:eastAsia="zh-CN"/>
              </w:rPr>
              <w:t>SHI</w:t>
            </w:r>
            <w:r w:rsidRPr="00775BDE">
              <w:rPr>
                <w:rFonts w:cs="Arial"/>
                <w:color w:val="000000"/>
                <w:sz w:val="18"/>
                <w:szCs w:val="18"/>
                <w:lang w:val="en-US" w:eastAsia="zh-CN"/>
              </w:rPr>
              <w:t xml:space="preserve"> fund</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7,000</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7,000</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Health Insurance fund</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8,012</w:t>
            </w:r>
          </w:p>
        </w:tc>
        <w:tc>
          <w:tcPr>
            <w:tcW w:w="1620" w:type="dxa"/>
            <w:tcBorders>
              <w:top w:val="nil"/>
              <w:left w:val="nil"/>
              <w:bottom w:val="nil"/>
              <w:right w:val="single" w:sz="8" w:space="0" w:color="auto"/>
            </w:tcBorders>
            <w:shd w:val="clear" w:color="auto" w:fill="auto"/>
            <w:noWrap/>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0</w:t>
            </w:r>
          </w:p>
        </w:tc>
        <w:tc>
          <w:tcPr>
            <w:tcW w:w="1560" w:type="dxa"/>
            <w:tcBorders>
              <w:top w:val="nil"/>
              <w:left w:val="nil"/>
              <w:bottom w:val="nil"/>
              <w:right w:val="single" w:sz="8" w:space="0" w:color="auto"/>
            </w:tcBorders>
            <w:shd w:val="clear" w:color="auto" w:fill="auto"/>
            <w:noWrap/>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2,135</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5,877</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Extra budgetary allocated reserves</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6,409</w:t>
            </w:r>
          </w:p>
        </w:tc>
        <w:tc>
          <w:tcPr>
            <w:tcW w:w="1620" w:type="dxa"/>
            <w:tcBorders>
              <w:top w:val="nil"/>
              <w:left w:val="nil"/>
              <w:bottom w:val="nil"/>
              <w:right w:val="single" w:sz="8" w:space="0" w:color="auto"/>
            </w:tcBorders>
            <w:shd w:val="clear" w:color="auto" w:fill="auto"/>
            <w:noWrap/>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100</w:t>
            </w:r>
          </w:p>
        </w:tc>
        <w:tc>
          <w:tcPr>
            <w:tcW w:w="1560" w:type="dxa"/>
            <w:tcBorders>
              <w:top w:val="nil"/>
              <w:left w:val="nil"/>
              <w:bottom w:val="nil"/>
              <w:right w:val="single" w:sz="8" w:space="0" w:color="auto"/>
            </w:tcBorders>
            <w:shd w:val="clear" w:color="auto" w:fill="auto"/>
            <w:noWrap/>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623</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5,686</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Currency exchange translation</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453</w:t>
            </w:r>
          </w:p>
        </w:tc>
        <w:tc>
          <w:tcPr>
            <w:tcW w:w="1620" w:type="dxa"/>
            <w:tcBorders>
              <w:top w:val="nil"/>
              <w:left w:val="nil"/>
              <w:bottom w:val="nil"/>
              <w:right w:val="single" w:sz="8" w:space="0" w:color="auto"/>
            </w:tcBorders>
            <w:shd w:val="clear" w:color="auto" w:fill="auto"/>
            <w:noWrap/>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0</w:t>
            </w:r>
          </w:p>
        </w:tc>
        <w:tc>
          <w:tcPr>
            <w:tcW w:w="1560" w:type="dxa"/>
            <w:tcBorders>
              <w:top w:val="nil"/>
              <w:left w:val="nil"/>
              <w:bottom w:val="nil"/>
              <w:right w:val="single" w:sz="8" w:space="0" w:color="auto"/>
            </w:tcBorders>
            <w:shd w:val="clear" w:color="auto" w:fill="auto"/>
            <w:noWrap/>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-359</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812</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775BDE">
              <w:rPr>
                <w:rFonts w:cs="Arial"/>
                <w:b/>
                <w:bCs/>
                <w:color w:val="000000"/>
                <w:sz w:val="18"/>
                <w:szCs w:val="18"/>
                <w:lang w:val="en-US" w:eastAsia="zh-CN"/>
              </w:rPr>
              <w:t>Extra-budgetary activities related funds</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775BDE">
              <w:rPr>
                <w:rFonts w:cs="Arial"/>
                <w:b/>
                <w:bCs/>
                <w:sz w:val="18"/>
                <w:szCs w:val="18"/>
                <w:lang w:val="en-US" w:eastAsia="zh-CN"/>
              </w:rPr>
              <w:t>11,908</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-777</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627</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12,058</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TLC</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9,210</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255</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59</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8,896</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775BDE">
              <w:rPr>
                <w:rFonts w:cs="Arial"/>
                <w:color w:val="000000"/>
                <w:sz w:val="18"/>
                <w:szCs w:val="18"/>
                <w:lang w:val="en-US" w:eastAsia="zh-CN"/>
              </w:rPr>
              <w:t>Others</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775BDE">
              <w:rPr>
                <w:rFonts w:cs="Arial"/>
                <w:sz w:val="18"/>
                <w:szCs w:val="18"/>
                <w:lang w:val="en-US" w:eastAsia="zh-CN"/>
              </w:rPr>
              <w:t>2,698</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-1,032</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568</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775BDE">
              <w:rPr>
                <w:rFonts w:cs="Arial"/>
                <w:color w:val="000000"/>
                <w:sz w:val="18"/>
                <w:szCs w:val="18"/>
                <w:lang w:val="en-US" w:eastAsia="zh-CN"/>
              </w:rPr>
              <w:t>3,162</w:t>
            </w:r>
          </w:p>
        </w:tc>
      </w:tr>
      <w:tr w:rsidR="006F29B5" w:rsidRPr="00775BDE"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775BDE">
              <w:rPr>
                <w:rFonts w:cs="Arial"/>
                <w:b/>
                <w:bCs/>
                <w:color w:val="000000"/>
                <w:sz w:val="18"/>
                <w:szCs w:val="18"/>
                <w:lang w:val="en-US" w:eastAsia="zh-CN"/>
              </w:rPr>
              <w:t>ASHI actuarial losses</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775BDE">
              <w:rPr>
                <w:rFonts w:cs="Arial"/>
                <w:b/>
                <w:bCs/>
                <w:sz w:val="18"/>
                <w:szCs w:val="18"/>
                <w:lang w:val="en-US" w:eastAsia="zh-CN"/>
              </w:rPr>
              <w:t>-257,136</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55,572</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-312,708</w:t>
            </w:r>
          </w:p>
        </w:tc>
      </w:tr>
      <w:tr w:rsidR="006F29B5" w:rsidRPr="00775BDE" w:rsidTr="006F29B5">
        <w:trPr>
          <w:trHeight w:val="270"/>
        </w:trPr>
        <w:tc>
          <w:tcPr>
            <w:tcW w:w="3300" w:type="dxa"/>
            <w:tcBorders>
              <w:top w:val="nil"/>
              <w:left w:val="single" w:sz="8" w:space="0" w:color="auto"/>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75BDE">
              <w:rPr>
                <w:rFonts w:cs="Arial"/>
                <w:b/>
                <w:bCs/>
                <w:color w:val="000000"/>
                <w:sz w:val="20"/>
                <w:lang w:val="en-US" w:eastAsia="zh-CN"/>
              </w:rPr>
              <w:t>IPSAS cumulated deficit (statistical)</w:t>
            </w:r>
          </w:p>
        </w:tc>
        <w:tc>
          <w:tcPr>
            <w:tcW w:w="15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-38,918</w:t>
            </w:r>
          </w:p>
        </w:tc>
        <w:tc>
          <w:tcPr>
            <w:tcW w:w="162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-16,108</w:t>
            </w:r>
          </w:p>
        </w:tc>
        <w:tc>
          <w:tcPr>
            <w:tcW w:w="156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-22,810</w:t>
            </w:r>
          </w:p>
        </w:tc>
      </w:tr>
      <w:tr w:rsidR="006F29B5" w:rsidRPr="00775BDE" w:rsidTr="006F29B5">
        <w:trPr>
          <w:trHeight w:val="27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 xml:space="preserve">Total net assets </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-343,231</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-15,799</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58,591</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6F29B5" w:rsidRPr="00775BDE"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775BDE">
              <w:rPr>
                <w:rFonts w:cs="Arial"/>
                <w:b/>
                <w:bCs/>
                <w:color w:val="000000"/>
                <w:sz w:val="18"/>
                <w:szCs w:val="18"/>
                <w:lang w:val="en-US" w:eastAsia="zh-CN"/>
              </w:rPr>
              <w:t>-386,023</w:t>
            </w:r>
          </w:p>
        </w:tc>
      </w:tr>
    </w:tbl>
    <w:p w:rsidR="006F29B5" w:rsidRDefault="006F29B5" w:rsidP="006F29B5">
      <w:pPr>
        <w:pStyle w:val="Tabletitle"/>
        <w:rPr>
          <w:lang w:val="en-US"/>
        </w:rPr>
      </w:pPr>
      <w:r>
        <w:rPr>
          <w:lang w:val="en-US"/>
        </w:rPr>
        <w:br w:type="page"/>
      </w:r>
    </w:p>
    <w:p w:rsidR="006F29B5" w:rsidRDefault="006F29B5" w:rsidP="006F29B5">
      <w:pPr>
        <w:pStyle w:val="Tabletitle"/>
        <w:rPr>
          <w:lang w:val="en-US"/>
        </w:rPr>
      </w:pPr>
    </w:p>
    <w:p w:rsidR="006F29B5" w:rsidRDefault="006F29B5" w:rsidP="006F29B5">
      <w:pPr>
        <w:pStyle w:val="Tabletitle"/>
        <w:spacing w:before="360" w:after="240"/>
        <w:rPr>
          <w:sz w:val="28"/>
          <w:szCs w:val="28"/>
          <w:lang w:val="en-US"/>
        </w:rPr>
      </w:pPr>
      <w:r>
        <w:rPr>
          <w:sz w:val="28"/>
          <w:szCs w:val="28"/>
          <w:lang w:val="en-US"/>
        </w:rPr>
        <w:t>IV – Statement of cash flows for the period closed on 31 December 2015</w:t>
      </w:r>
    </w:p>
    <w:tbl>
      <w:tblPr>
        <w:tblW w:w="5000" w:type="pct"/>
        <w:tblLook w:val="04A0" w:firstRow="1" w:lastRow="0" w:firstColumn="1" w:lastColumn="0" w:noHBand="0" w:noVBand="1"/>
      </w:tblPr>
      <w:tblGrid>
        <w:gridCol w:w="6771"/>
        <w:gridCol w:w="1432"/>
        <w:gridCol w:w="1432"/>
      </w:tblGrid>
      <w:tr w:rsidR="006F29B5" w:rsidRPr="00A13182" w:rsidTr="006F29B5">
        <w:trPr>
          <w:trHeight w:val="510"/>
        </w:trPr>
        <w:tc>
          <w:tcPr>
            <w:tcW w:w="3514" w:type="pct"/>
            <w:tcBorders>
              <w:top w:val="single" w:sz="4" w:space="0" w:color="auto"/>
              <w:left w:val="single" w:sz="4" w:space="0" w:color="auto"/>
              <w:bottom w:val="single" w:sz="4" w:space="0" w:color="auto"/>
              <w:right w:val="nil"/>
            </w:tcBorders>
            <w:shd w:val="clear" w:color="auto" w:fill="auto"/>
            <w:noWrap/>
            <w:vAlign w:val="center"/>
            <w:hideMark/>
          </w:tcPr>
          <w:p w:rsidR="006F29B5" w:rsidRPr="00E33D4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E33D47">
              <w:rPr>
                <w:rFonts w:asciiTheme="minorHAnsi" w:hAnsiTheme="minorHAnsi" w:cs="Arial"/>
                <w:b/>
                <w:bCs/>
                <w:color w:val="000000"/>
                <w:sz w:val="20"/>
                <w:lang w:val="en-US" w:eastAsia="zh-CN"/>
              </w:rPr>
              <w:t>(in thousands of CHF)</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31/12/2015</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31/12/2014</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Surplus (deficit) for the period</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-15,799</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-5,541</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Non-monetary movements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Depreciation</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5,550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6,485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ASHI provision</w:t>
            </w:r>
          </w:p>
        </w:tc>
        <w:tc>
          <w:tcPr>
            <w:tcW w:w="743" w:type="pct"/>
            <w:tcBorders>
              <w:top w:val="nil"/>
              <w:left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15,712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11,089 </w:t>
            </w:r>
          </w:p>
        </w:tc>
      </w:tr>
      <w:tr w:rsidR="006F29B5" w:rsidRPr="00A13182" w:rsidTr="006F29B5">
        <w:trPr>
          <w:trHeight w:val="255"/>
        </w:trPr>
        <w:tc>
          <w:tcPr>
            <w:tcW w:w="3514" w:type="pct"/>
            <w:tcBorders>
              <w:top w:val="nil"/>
              <w:left w:val="single" w:sz="4" w:space="0" w:color="auto"/>
              <w:bottom w:val="nil"/>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Provisions for repatriation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1,103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1,324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Provisions for employee benefits (ST)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441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62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Provisions for accrued leave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67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865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Other provisions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803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469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114D9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Provision for doubtful receivable</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-1,119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-4,355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Inventory depreciation</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5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42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Net (gain) or loss on sales of fixed assets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1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1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Unrealized exchange-rate gains/losses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-334 </w:t>
            </w:r>
          </w:p>
        </w:tc>
      </w:tr>
      <w:tr w:rsidR="006F29B5" w:rsidRPr="00A13182" w:rsidTr="006F29B5">
        <w:trPr>
          <w:trHeight w:val="330"/>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Interest received</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-93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-329 </w:t>
            </w:r>
          </w:p>
        </w:tc>
      </w:tr>
      <w:tr w:rsidR="006F29B5" w:rsidRPr="00A13182" w:rsidTr="006F29B5">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Restated surplus (deficit) from non-monetary movements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A13182">
              <w:rPr>
                <w:rFonts w:asciiTheme="minorHAnsi" w:hAnsiTheme="minorHAnsi" w:cs="Arial"/>
                <w:b/>
                <w:bCs/>
                <w:sz w:val="20"/>
                <w:lang w:val="en-US" w:eastAsia="zh-CN"/>
              </w:rPr>
              <w:t xml:space="preserve">          6,671 </w:t>
            </w:r>
          </w:p>
        </w:tc>
        <w:tc>
          <w:tcPr>
            <w:tcW w:w="743" w:type="pct"/>
            <w:tcBorders>
              <w:top w:val="single" w:sz="4" w:space="0" w:color="auto"/>
              <w:left w:val="nil"/>
              <w:bottom w:val="single" w:sz="4" w:space="0" w:color="auto"/>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A13182">
              <w:rPr>
                <w:rFonts w:asciiTheme="minorHAnsi" w:hAnsiTheme="minorHAnsi" w:cs="Arial"/>
                <w:b/>
                <w:bCs/>
                <w:sz w:val="20"/>
                <w:lang w:val="en-US" w:eastAsia="zh-CN"/>
              </w:rPr>
              <w:t xml:space="preserve">          9,778 </w:t>
            </w:r>
          </w:p>
        </w:tc>
      </w:tr>
      <w:tr w:rsidR="006F29B5" w:rsidRPr="00A13182" w:rsidTr="006F29B5">
        <w:trPr>
          <w:trHeight w:val="300"/>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decrease in inventories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70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123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decrease in short-term receivables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1,772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977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decrease in other short-term receivables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760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143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(decrease) in suppliers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-1,958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-532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(decrease) in deferred revenue</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-1,917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1,535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(decrease) in other debts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2,304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1,363 </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Use of provisions for employee benefits (ST)</w:t>
            </w:r>
          </w:p>
        </w:tc>
        <w:tc>
          <w:tcPr>
            <w:tcW w:w="743" w:type="pct"/>
            <w:tcBorders>
              <w:top w:val="nil"/>
              <w:left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-444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-481 </w:t>
            </w:r>
          </w:p>
        </w:tc>
      </w:tr>
      <w:tr w:rsidR="006F29B5" w:rsidRPr="00A13182" w:rsidTr="006F29B5">
        <w:trPr>
          <w:trHeight w:val="285"/>
        </w:trPr>
        <w:tc>
          <w:tcPr>
            <w:tcW w:w="3514" w:type="pct"/>
            <w:tcBorders>
              <w:top w:val="nil"/>
              <w:left w:val="single" w:sz="4" w:space="0" w:color="auto"/>
              <w:bottom w:val="nil"/>
              <w:right w:val="single" w:sz="4" w:space="0" w:color="auto"/>
            </w:tcBorders>
            <w:shd w:val="clear" w:color="000000" w:fill="FFFFFF"/>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Use of provision for repatriation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-535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-771 </w:t>
            </w:r>
          </w:p>
        </w:tc>
      </w:tr>
      <w:tr w:rsidR="006F29B5" w:rsidRPr="00A13182" w:rsidTr="006F29B5">
        <w:trPr>
          <w:trHeight w:val="285"/>
        </w:trPr>
        <w:tc>
          <w:tcPr>
            <w:tcW w:w="3514" w:type="pct"/>
            <w:tcBorders>
              <w:top w:val="nil"/>
              <w:left w:val="single" w:sz="4" w:space="0" w:color="auto"/>
              <w:bottom w:val="nil"/>
              <w:right w:val="nil"/>
            </w:tcBorders>
            <w:shd w:val="clear" w:color="000000" w:fill="FFFFFF"/>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Use of provision for accrued leave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-108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-268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(decrease) Other provisions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-602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-521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(decrease) in third-party funds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-635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4,053 </w:t>
            </w:r>
          </w:p>
        </w:tc>
      </w:tr>
      <w:tr w:rsidR="006F29B5" w:rsidRPr="00A13182" w:rsidTr="006F29B5">
        <w:trPr>
          <w:trHeight w:val="25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Changes in own funds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3,019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3,459 </w:t>
            </w:r>
          </w:p>
        </w:tc>
      </w:tr>
      <w:tr w:rsidR="006F29B5" w:rsidRPr="00A13182" w:rsidTr="006F29B5">
        <w:trPr>
          <w:trHeight w:val="255"/>
        </w:trPr>
        <w:tc>
          <w:tcPr>
            <w:tcW w:w="3514" w:type="pct"/>
            <w:tcBorders>
              <w:top w:val="nil"/>
              <w:left w:val="single" w:sz="4" w:space="0" w:color="auto"/>
              <w:bottom w:val="nil"/>
              <w:right w:val="nil"/>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w:t>
            </w:r>
          </w:p>
        </w:tc>
      </w:tr>
      <w:tr w:rsidR="006F29B5" w:rsidRPr="00A13182" w:rsidTr="006F29B5">
        <w:trPr>
          <w:trHeight w:val="25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Cash flow from operating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A13182">
              <w:rPr>
                <w:rFonts w:asciiTheme="minorHAnsi" w:hAnsiTheme="minorHAnsi" w:cs="Arial"/>
                <w:b/>
                <w:bCs/>
                <w:sz w:val="20"/>
                <w:lang w:val="en-US" w:eastAsia="zh-CN"/>
              </w:rPr>
              <w:t xml:space="preserve">          1,725 </w:t>
            </w:r>
          </w:p>
        </w:tc>
        <w:tc>
          <w:tcPr>
            <w:tcW w:w="743" w:type="pct"/>
            <w:tcBorders>
              <w:top w:val="single" w:sz="4" w:space="0" w:color="auto"/>
              <w:left w:val="nil"/>
              <w:bottom w:val="single" w:sz="4" w:space="0" w:color="auto"/>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9,081 </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Net cash flows from investment activities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(Increase) / decrease Investments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-24,743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1,170 </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Interest from short-term investments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xml:space="preserve">              93 </w:t>
            </w:r>
          </w:p>
        </w:tc>
        <w:tc>
          <w:tcPr>
            <w:tcW w:w="743" w:type="pct"/>
            <w:tcBorders>
              <w:top w:val="nil"/>
              <w:left w:val="nil"/>
              <w:bottom w:val="nil"/>
              <w:right w:val="single" w:sz="4" w:space="0" w:color="auto"/>
            </w:tcBorders>
            <w:shd w:val="clear" w:color="000000" w:fill="FFFFFF"/>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xml:space="preserve">             329 </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(Acquisition) / sale of property, plant and equipment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w:t>
            </w:r>
            <w:r>
              <w:rPr>
                <w:rFonts w:asciiTheme="minorHAnsi" w:hAnsiTheme="minorHAnsi" w:cs="Arial"/>
                <w:sz w:val="20"/>
                <w:lang w:val="en-US" w:eastAsia="zh-CN"/>
              </w:rPr>
              <w:t>1539</w:t>
            </w:r>
          </w:p>
        </w:tc>
        <w:tc>
          <w:tcPr>
            <w:tcW w:w="743" w:type="pct"/>
            <w:tcBorders>
              <w:top w:val="nil"/>
              <w:left w:val="nil"/>
              <w:bottom w:val="nil"/>
              <w:right w:val="single" w:sz="4" w:space="0" w:color="auto"/>
            </w:tcBorders>
            <w:shd w:val="clear" w:color="000000" w:fill="FFFFFF"/>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-1142</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(Acquisition) / sale of intangible assets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-638</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-1909</w:t>
            </w:r>
          </w:p>
        </w:tc>
      </w:tr>
      <w:tr w:rsidR="006F29B5" w:rsidRPr="00A13182" w:rsidTr="006F29B5">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Net cash flows from investment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A13182">
              <w:rPr>
                <w:rFonts w:asciiTheme="minorHAnsi" w:hAnsiTheme="minorHAnsi" w:cs="Arial"/>
                <w:b/>
                <w:bCs/>
                <w:sz w:val="20"/>
                <w:lang w:val="en-US" w:eastAsia="zh-CN"/>
              </w:rPr>
              <w:t xml:space="preserve">       -2</w:t>
            </w:r>
            <w:r>
              <w:rPr>
                <w:rFonts w:asciiTheme="minorHAnsi" w:hAnsiTheme="minorHAnsi" w:cs="Arial"/>
                <w:b/>
                <w:bCs/>
                <w:sz w:val="20"/>
                <w:lang w:val="en-US" w:eastAsia="zh-CN"/>
              </w:rPr>
              <w:t>6</w:t>
            </w:r>
            <w:r w:rsidRPr="00A13182">
              <w:rPr>
                <w:rFonts w:asciiTheme="minorHAnsi" w:hAnsiTheme="minorHAnsi" w:cs="Arial"/>
                <w:b/>
                <w:bCs/>
                <w:sz w:val="20"/>
                <w:lang w:val="en-US" w:eastAsia="zh-CN"/>
              </w:rPr>
              <w:t>,</w:t>
            </w:r>
            <w:r>
              <w:rPr>
                <w:rFonts w:asciiTheme="minorHAnsi" w:hAnsiTheme="minorHAnsi" w:cs="Arial"/>
                <w:b/>
                <w:bCs/>
                <w:sz w:val="20"/>
                <w:lang w:val="en-US" w:eastAsia="zh-CN"/>
              </w:rPr>
              <w:t>827</w:t>
            </w:r>
          </w:p>
        </w:tc>
        <w:tc>
          <w:tcPr>
            <w:tcW w:w="743" w:type="pct"/>
            <w:tcBorders>
              <w:top w:val="single" w:sz="4" w:space="0" w:color="auto"/>
              <w:left w:val="nil"/>
              <w:bottom w:val="single" w:sz="4" w:space="0" w:color="auto"/>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-1,552 </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Cash flows from finance activities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 </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Repayment of FIPOI loan</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13182">
              <w:rPr>
                <w:rFonts w:asciiTheme="minorHAnsi" w:hAnsiTheme="minorHAnsi" w:cs="Arial"/>
                <w:sz w:val="20"/>
                <w:lang w:val="en-US" w:eastAsia="zh-CN"/>
              </w:rPr>
              <w:t>-1493</w:t>
            </w:r>
          </w:p>
        </w:tc>
        <w:tc>
          <w:tcPr>
            <w:tcW w:w="743" w:type="pct"/>
            <w:tcBorders>
              <w:top w:val="nil"/>
              <w:left w:val="nil"/>
              <w:bottom w:val="nil"/>
              <w:right w:val="single" w:sz="4" w:space="0" w:color="auto"/>
            </w:tcBorders>
            <w:shd w:val="clear" w:color="000000" w:fill="FFFFFF"/>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13182">
              <w:rPr>
                <w:rFonts w:asciiTheme="minorHAnsi" w:hAnsiTheme="minorHAnsi" w:cs="Arial"/>
                <w:color w:val="000000"/>
                <w:sz w:val="20"/>
                <w:lang w:val="en-US" w:eastAsia="zh-CN"/>
              </w:rPr>
              <w:t>-1493</w:t>
            </w:r>
          </w:p>
        </w:tc>
      </w:tr>
      <w:tr w:rsidR="006F29B5" w:rsidRPr="00A13182" w:rsidTr="006F29B5">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Cash flows from finance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A13182">
              <w:rPr>
                <w:rFonts w:asciiTheme="minorHAnsi" w:hAnsiTheme="minorHAnsi" w:cs="Arial"/>
                <w:b/>
                <w:bCs/>
                <w:sz w:val="20"/>
                <w:lang w:val="en-US" w:eastAsia="zh-CN"/>
              </w:rPr>
              <w:t xml:space="preserve">         -1,493 </w:t>
            </w:r>
          </w:p>
        </w:tc>
        <w:tc>
          <w:tcPr>
            <w:tcW w:w="743" w:type="pct"/>
            <w:tcBorders>
              <w:top w:val="single" w:sz="4" w:space="0" w:color="auto"/>
              <w:left w:val="nil"/>
              <w:bottom w:val="single" w:sz="4" w:space="0" w:color="auto"/>
              <w:right w:val="single" w:sz="4" w:space="0" w:color="auto"/>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-1,493 </w:t>
            </w:r>
          </w:p>
        </w:tc>
      </w:tr>
      <w:tr w:rsidR="006F29B5" w:rsidRPr="00A13182" w:rsidTr="006F29B5">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Net increase / (decrease) in cash and cash equivalents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A13182">
              <w:rPr>
                <w:rFonts w:asciiTheme="minorHAnsi" w:hAnsiTheme="minorHAnsi" w:cs="Arial"/>
                <w:b/>
                <w:bCs/>
                <w:sz w:val="20"/>
                <w:lang w:val="en-US" w:eastAsia="zh-CN"/>
              </w:rPr>
              <w:t xml:space="preserve">       -</w:t>
            </w:r>
            <w:r>
              <w:rPr>
                <w:rFonts w:asciiTheme="minorHAnsi" w:hAnsiTheme="minorHAnsi" w:cs="Arial"/>
                <w:b/>
                <w:bCs/>
                <w:sz w:val="20"/>
                <w:lang w:val="en-US" w:eastAsia="zh-CN"/>
              </w:rPr>
              <w:t>19</w:t>
            </w:r>
            <w:r w:rsidRPr="00A13182">
              <w:rPr>
                <w:rFonts w:asciiTheme="minorHAnsi" w:hAnsiTheme="minorHAnsi" w:cs="Arial"/>
                <w:b/>
                <w:bCs/>
                <w:sz w:val="20"/>
                <w:lang w:val="en-US" w:eastAsia="zh-CN"/>
              </w:rPr>
              <w:t>,</w:t>
            </w:r>
            <w:r>
              <w:rPr>
                <w:rFonts w:asciiTheme="minorHAnsi" w:hAnsiTheme="minorHAnsi" w:cs="Arial"/>
                <w:b/>
                <w:bCs/>
                <w:sz w:val="20"/>
                <w:lang w:val="en-US" w:eastAsia="zh-CN"/>
              </w:rPr>
              <w:t>924</w:t>
            </w:r>
          </w:p>
        </w:tc>
        <w:tc>
          <w:tcPr>
            <w:tcW w:w="743" w:type="pct"/>
            <w:tcBorders>
              <w:top w:val="single" w:sz="4" w:space="0" w:color="auto"/>
              <w:left w:val="nil"/>
              <w:bottom w:val="single" w:sz="4" w:space="0" w:color="auto"/>
              <w:right w:val="single" w:sz="4" w:space="0" w:color="auto"/>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15,814 </w:t>
            </w:r>
          </w:p>
        </w:tc>
      </w:tr>
      <w:tr w:rsidR="006F29B5" w:rsidRPr="00A13182" w:rsidTr="006F29B5">
        <w:trPr>
          <w:trHeight w:val="285"/>
        </w:trPr>
        <w:tc>
          <w:tcPr>
            <w:tcW w:w="3514" w:type="pct"/>
            <w:tcBorders>
              <w:top w:val="nil"/>
              <w:left w:val="single" w:sz="4" w:space="0" w:color="auto"/>
              <w:bottom w:val="nil"/>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Cash and cash equivalents at opening of period</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A13182">
              <w:rPr>
                <w:rFonts w:asciiTheme="minorHAnsi" w:hAnsiTheme="minorHAnsi" w:cs="Arial"/>
                <w:b/>
                <w:bCs/>
                <w:sz w:val="20"/>
                <w:lang w:val="en-US" w:eastAsia="zh-CN"/>
              </w:rPr>
              <w:t xml:space="preserve">        75,430 </w:t>
            </w:r>
          </w:p>
        </w:tc>
        <w:tc>
          <w:tcPr>
            <w:tcW w:w="743" w:type="pct"/>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59,616 </w:t>
            </w:r>
          </w:p>
        </w:tc>
      </w:tr>
      <w:tr w:rsidR="006F29B5" w:rsidRPr="00A13182" w:rsidTr="006F29B5">
        <w:trPr>
          <w:trHeight w:val="255"/>
        </w:trPr>
        <w:tc>
          <w:tcPr>
            <w:tcW w:w="3514" w:type="pct"/>
            <w:tcBorders>
              <w:top w:val="nil"/>
              <w:left w:val="single" w:sz="4" w:space="0" w:color="auto"/>
              <w:bottom w:val="single" w:sz="4" w:space="0" w:color="auto"/>
              <w:right w:val="nil"/>
            </w:tcBorders>
            <w:shd w:val="clear" w:color="auto" w:fill="auto"/>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Cash and cash equivalents at closure of period</w:t>
            </w:r>
          </w:p>
        </w:tc>
        <w:tc>
          <w:tcPr>
            <w:tcW w:w="743" w:type="pct"/>
            <w:tcBorders>
              <w:top w:val="nil"/>
              <w:left w:val="single" w:sz="4" w:space="0" w:color="auto"/>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A13182">
              <w:rPr>
                <w:rFonts w:asciiTheme="minorHAnsi" w:hAnsiTheme="minorHAnsi" w:cs="Arial"/>
                <w:b/>
                <w:bCs/>
                <w:sz w:val="20"/>
                <w:lang w:val="en-US" w:eastAsia="zh-CN"/>
              </w:rPr>
              <w:t xml:space="preserve">        55,506 </w:t>
            </w:r>
          </w:p>
        </w:tc>
        <w:tc>
          <w:tcPr>
            <w:tcW w:w="743" w:type="pct"/>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75,430 </w:t>
            </w:r>
          </w:p>
        </w:tc>
      </w:tr>
    </w:tbl>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6F29B5" w:rsidRDefault="006F29B5" w:rsidP="006F29B5">
      <w:pPr>
        <w:pStyle w:val="Tabletitle"/>
        <w:spacing w:after="0"/>
        <w:ind w:left="-567" w:right="-567"/>
        <w:rPr>
          <w:sz w:val="28"/>
          <w:szCs w:val="28"/>
          <w:lang w:val="en-US"/>
        </w:rPr>
      </w:pPr>
    </w:p>
    <w:p w:rsidR="006F29B5" w:rsidRDefault="006F29B5" w:rsidP="006F29B5">
      <w:pPr>
        <w:pStyle w:val="Tabletitle"/>
        <w:spacing w:before="360" w:after="0"/>
        <w:ind w:left="-567" w:right="-567"/>
        <w:rPr>
          <w:sz w:val="28"/>
          <w:szCs w:val="28"/>
          <w:lang w:val="en-US"/>
        </w:rPr>
      </w:pPr>
      <w:r w:rsidRPr="001114BA">
        <w:rPr>
          <w:sz w:val="28"/>
          <w:szCs w:val="28"/>
          <w:lang w:val="en-US"/>
        </w:rPr>
        <w:t xml:space="preserve">V – Comparison of budgeted amounts </w:t>
      </w:r>
      <w:r>
        <w:rPr>
          <w:sz w:val="28"/>
          <w:szCs w:val="28"/>
          <w:lang w:val="en-US"/>
        </w:rPr>
        <w:t xml:space="preserve">and actual amounts for the 2015 </w:t>
      </w:r>
      <w:r w:rsidRPr="001114BA">
        <w:rPr>
          <w:sz w:val="28"/>
          <w:szCs w:val="28"/>
          <w:lang w:val="en-US"/>
        </w:rPr>
        <w:t>financial period</w:t>
      </w:r>
    </w:p>
    <w:p w:rsidR="006F29B5" w:rsidRDefault="006F29B5" w:rsidP="006F29B5">
      <w:pPr>
        <w:pStyle w:val="Tabletitle"/>
        <w:tabs>
          <w:tab w:val="center" w:pos="4890"/>
          <w:tab w:val="left" w:pos="6750"/>
        </w:tabs>
        <w:spacing w:after="240"/>
        <w:ind w:left="-567" w:right="-567"/>
        <w:jc w:val="left"/>
        <w:rPr>
          <w:bCs/>
          <w:sz w:val="20"/>
          <w:lang w:val="en-US"/>
        </w:rPr>
      </w:pPr>
      <w:r>
        <w:rPr>
          <w:bCs/>
          <w:sz w:val="20"/>
          <w:lang w:val="en-US"/>
        </w:rPr>
        <w:tab/>
      </w:r>
      <w:r>
        <w:rPr>
          <w:bCs/>
          <w:sz w:val="20"/>
          <w:lang w:val="en-US"/>
        </w:rPr>
        <w:tab/>
      </w:r>
      <w:r w:rsidRPr="001577D5">
        <w:rPr>
          <w:bCs/>
          <w:sz w:val="20"/>
          <w:lang w:val="en-US"/>
        </w:rPr>
        <w:t>(in thousands of CHF)</w:t>
      </w:r>
    </w:p>
    <w:tbl>
      <w:tblPr>
        <w:tblW w:w="9669" w:type="dxa"/>
        <w:tblInd w:w="103" w:type="dxa"/>
        <w:tblLook w:val="04A0" w:firstRow="1" w:lastRow="0" w:firstColumn="1" w:lastColumn="0" w:noHBand="0" w:noVBand="1"/>
      </w:tblPr>
      <w:tblGrid>
        <w:gridCol w:w="3549"/>
        <w:gridCol w:w="951"/>
        <w:gridCol w:w="1261"/>
        <w:gridCol w:w="1182"/>
        <w:gridCol w:w="1434"/>
        <w:gridCol w:w="1292"/>
      </w:tblGrid>
      <w:tr w:rsidR="006F29B5" w:rsidRPr="00A56915" w:rsidTr="006F29B5">
        <w:trPr>
          <w:trHeight w:val="247"/>
        </w:trPr>
        <w:tc>
          <w:tcPr>
            <w:tcW w:w="35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A56915">
              <w:rPr>
                <w:rFonts w:ascii="Arial" w:hAnsi="Arial" w:cs="Arial"/>
                <w:b/>
                <w:bCs/>
                <w:color w:val="000000"/>
                <w:sz w:val="20"/>
                <w:lang w:val="en-US" w:eastAsia="zh-CN"/>
              </w:rPr>
              <w:t>Revenue</w:t>
            </w:r>
          </w:p>
        </w:tc>
        <w:tc>
          <w:tcPr>
            <w:tcW w:w="339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Budgeted amounts</w:t>
            </w:r>
          </w:p>
        </w:tc>
        <w:tc>
          <w:tcPr>
            <w:tcW w:w="14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Actual amounts on a comparable basis</w:t>
            </w:r>
          </w:p>
        </w:tc>
        <w:tc>
          <w:tcPr>
            <w:tcW w:w="1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Difference between final budget and actual amounts</w:t>
            </w:r>
          </w:p>
        </w:tc>
      </w:tr>
      <w:tr w:rsidR="006F29B5" w:rsidRPr="00A56915" w:rsidTr="006F29B5">
        <w:trPr>
          <w:trHeight w:val="609"/>
        </w:trPr>
        <w:tc>
          <w:tcPr>
            <w:tcW w:w="3549" w:type="dxa"/>
            <w:vMerge/>
            <w:tcBorders>
              <w:top w:val="single" w:sz="4" w:space="0" w:color="auto"/>
              <w:left w:val="single" w:sz="4" w:space="0" w:color="auto"/>
              <w:bottom w:val="single" w:sz="4" w:space="0" w:color="000000"/>
              <w:right w:val="single" w:sz="4" w:space="0" w:color="auto"/>
            </w:tcBorders>
            <w:vAlign w:val="center"/>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951" w:type="dxa"/>
            <w:tcBorders>
              <w:top w:val="nil"/>
              <w:left w:val="nil"/>
              <w:bottom w:val="single" w:sz="4" w:space="0" w:color="auto"/>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Initial Budget</w:t>
            </w:r>
          </w:p>
        </w:tc>
        <w:tc>
          <w:tcPr>
            <w:tcW w:w="1261" w:type="dxa"/>
            <w:tcBorders>
              <w:top w:val="nil"/>
              <w:left w:val="nil"/>
              <w:bottom w:val="single" w:sz="4" w:space="0" w:color="auto"/>
              <w:right w:val="nil"/>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Budget transfers</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Final budget</w:t>
            </w:r>
          </w:p>
        </w:tc>
        <w:tc>
          <w:tcPr>
            <w:tcW w:w="1434" w:type="dxa"/>
            <w:vMerge/>
            <w:tcBorders>
              <w:top w:val="single" w:sz="4" w:space="0" w:color="auto"/>
              <w:left w:val="single" w:sz="4" w:space="0" w:color="auto"/>
              <w:bottom w:val="single" w:sz="4" w:space="0" w:color="000000"/>
              <w:right w:val="single" w:sz="4" w:space="0" w:color="auto"/>
            </w:tcBorders>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p>
        </w:tc>
        <w:tc>
          <w:tcPr>
            <w:tcW w:w="1292" w:type="dxa"/>
            <w:vMerge/>
            <w:tcBorders>
              <w:top w:val="single" w:sz="4" w:space="0" w:color="auto"/>
              <w:left w:val="single" w:sz="4" w:space="0" w:color="auto"/>
              <w:bottom w:val="single" w:sz="4" w:space="0" w:color="000000"/>
              <w:right w:val="single" w:sz="4" w:space="0" w:color="auto"/>
            </w:tcBorders>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p>
        </w:tc>
      </w:tr>
      <w:tr w:rsidR="006F29B5" w:rsidRPr="00A56915" w:rsidTr="006F29B5">
        <w:trPr>
          <w:trHeight w:val="421"/>
        </w:trPr>
        <w:tc>
          <w:tcPr>
            <w:tcW w:w="3549" w:type="dxa"/>
            <w:vMerge/>
            <w:tcBorders>
              <w:top w:val="single" w:sz="4" w:space="0" w:color="auto"/>
              <w:left w:val="single" w:sz="4" w:space="0" w:color="auto"/>
              <w:bottom w:val="single" w:sz="4" w:space="0" w:color="000000"/>
              <w:right w:val="single" w:sz="4" w:space="0" w:color="auto"/>
            </w:tcBorders>
            <w:vAlign w:val="center"/>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951" w:type="dxa"/>
            <w:tcBorders>
              <w:top w:val="nil"/>
              <w:left w:val="nil"/>
              <w:bottom w:val="single" w:sz="4" w:space="0" w:color="auto"/>
              <w:right w:val="single" w:sz="4" w:space="0" w:color="auto"/>
            </w:tcBorders>
            <w:shd w:val="clear" w:color="auto" w:fill="auto"/>
            <w:noWrap/>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Pr>
                <w:rFonts w:asciiTheme="minorHAnsi" w:hAnsiTheme="minorHAnsi" w:cs="Arial"/>
                <w:b/>
                <w:bCs/>
                <w:color w:val="000000"/>
                <w:sz w:val="16"/>
                <w:szCs w:val="16"/>
                <w:lang w:val="en-US" w:eastAsia="zh-CN"/>
              </w:rPr>
              <w:t>3</w:t>
            </w:r>
            <w:r w:rsidRPr="00A13182">
              <w:rPr>
                <w:rFonts w:asciiTheme="minorHAnsi" w:hAnsiTheme="minorHAnsi" w:cs="Arial"/>
                <w:b/>
                <w:bCs/>
                <w:color w:val="000000"/>
                <w:sz w:val="16"/>
                <w:szCs w:val="16"/>
                <w:lang w:val="en-US" w:eastAsia="zh-CN"/>
              </w:rPr>
              <w:t xml:space="preserve">1.12.2015 </w:t>
            </w:r>
          </w:p>
        </w:tc>
        <w:tc>
          <w:tcPr>
            <w:tcW w:w="1261" w:type="dxa"/>
            <w:tcBorders>
              <w:top w:val="nil"/>
              <w:left w:val="nil"/>
              <w:bottom w:val="single" w:sz="4" w:space="0" w:color="auto"/>
              <w:right w:val="single" w:sz="4" w:space="0" w:color="auto"/>
            </w:tcBorders>
            <w:shd w:val="clear" w:color="auto" w:fill="auto"/>
            <w:noWrap/>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 xml:space="preserve">31.12.2015 </w:t>
            </w:r>
          </w:p>
        </w:tc>
        <w:tc>
          <w:tcPr>
            <w:tcW w:w="1182" w:type="dxa"/>
            <w:tcBorders>
              <w:top w:val="nil"/>
              <w:left w:val="nil"/>
              <w:bottom w:val="single" w:sz="4" w:space="0" w:color="auto"/>
              <w:right w:val="single" w:sz="4" w:space="0" w:color="auto"/>
            </w:tcBorders>
            <w:shd w:val="clear" w:color="auto" w:fill="auto"/>
            <w:noWrap/>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 xml:space="preserve">31.12.2015 </w:t>
            </w:r>
          </w:p>
        </w:tc>
        <w:tc>
          <w:tcPr>
            <w:tcW w:w="1434" w:type="dxa"/>
            <w:tcBorders>
              <w:top w:val="nil"/>
              <w:left w:val="nil"/>
              <w:bottom w:val="single" w:sz="4" w:space="0" w:color="auto"/>
              <w:right w:val="single" w:sz="4" w:space="0" w:color="auto"/>
            </w:tcBorders>
            <w:shd w:val="clear" w:color="auto" w:fill="auto"/>
            <w:noWrap/>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 xml:space="preserve">31.12.2015 </w:t>
            </w:r>
          </w:p>
        </w:tc>
        <w:tc>
          <w:tcPr>
            <w:tcW w:w="1292" w:type="dxa"/>
            <w:tcBorders>
              <w:top w:val="nil"/>
              <w:left w:val="nil"/>
              <w:bottom w:val="single" w:sz="4" w:space="0" w:color="auto"/>
              <w:right w:val="single" w:sz="4" w:space="0" w:color="auto"/>
            </w:tcBorders>
            <w:shd w:val="clear" w:color="auto" w:fill="auto"/>
            <w:noWrap/>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13182">
              <w:rPr>
                <w:rFonts w:asciiTheme="minorHAnsi" w:hAnsiTheme="minorHAnsi" w:cs="Arial"/>
                <w:b/>
                <w:bCs/>
                <w:color w:val="000000"/>
                <w:sz w:val="16"/>
                <w:szCs w:val="16"/>
                <w:lang w:val="en-US" w:eastAsia="zh-CN"/>
              </w:rPr>
              <w:t xml:space="preserve">31.12.2015 </w:t>
            </w:r>
          </w:p>
        </w:tc>
      </w:tr>
      <w:tr w:rsidR="006F29B5" w:rsidRPr="00A56915" w:rsidTr="006F29B5">
        <w:trPr>
          <w:trHeight w:val="230"/>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Assessed contributions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129,678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129,678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126,448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-3,230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Cost recovery</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114D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32,750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32,750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31,079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-1,671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Interests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800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800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-788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Other revenue</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sz w:val="18"/>
                <w:szCs w:val="18"/>
                <w:lang w:val="en-US" w:eastAsia="zh-CN"/>
              </w:rPr>
            </w:pPr>
            <w:r w:rsidRPr="00A13182">
              <w:rPr>
                <w:rFonts w:asciiTheme="minorHAnsi" w:hAnsiTheme="minorHAnsi" w:cs="Arial"/>
                <w:i/>
                <w:iCs/>
                <w:sz w:val="18"/>
                <w:szCs w:val="18"/>
                <w:lang w:val="en-US" w:eastAsia="zh-CN"/>
              </w:rPr>
              <w:t xml:space="preserve">          300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sz w:val="18"/>
                <w:szCs w:val="18"/>
                <w:lang w:val="en-US" w:eastAsia="zh-CN"/>
              </w:rPr>
            </w:pPr>
            <w:r w:rsidRPr="00A13182">
              <w:rPr>
                <w:rFonts w:asciiTheme="minorHAnsi" w:hAnsiTheme="minorHAnsi" w:cs="Arial"/>
                <w:i/>
                <w:iCs/>
                <w:sz w:val="18"/>
                <w:szCs w:val="18"/>
                <w:lang w:val="en-US" w:eastAsia="zh-CN"/>
              </w:rPr>
              <w:t xml:space="preserve">              300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sz w:val="18"/>
                <w:szCs w:val="18"/>
                <w:lang w:val="en-US" w:eastAsia="zh-CN"/>
              </w:rPr>
            </w:pPr>
            <w:r w:rsidRPr="00A13182">
              <w:rPr>
                <w:rFonts w:asciiTheme="minorHAnsi" w:hAnsiTheme="minorHAnsi" w:cs="Arial"/>
                <w:i/>
                <w:iCs/>
                <w:sz w:val="18"/>
                <w:szCs w:val="18"/>
                <w:lang w:val="en-US" w:eastAsia="zh-CN"/>
              </w:rPr>
              <w:t xml:space="preserve">                     638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sz w:val="18"/>
                <w:szCs w:val="18"/>
                <w:lang w:val="en-US" w:eastAsia="zh-CN"/>
              </w:rPr>
            </w:pPr>
            <w:r w:rsidRPr="00A13182">
              <w:rPr>
                <w:rFonts w:asciiTheme="minorHAnsi" w:hAnsiTheme="minorHAnsi" w:cs="Arial"/>
                <w:i/>
                <w:iCs/>
                <w:sz w:val="18"/>
                <w:szCs w:val="18"/>
                <w:lang w:val="en-US" w:eastAsia="zh-CN"/>
              </w:rPr>
              <w:t xml:space="preserve">                 338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Withdrawal from Reserve Account</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1,216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1,216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-1,216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A56915">
              <w:rPr>
                <w:rFonts w:ascii="Arial" w:hAnsi="Arial" w:cs="Arial"/>
                <w:color w:val="000000"/>
                <w:sz w:val="16"/>
                <w:szCs w:val="16"/>
                <w:lang w:val="en-US" w:eastAsia="zh-CN"/>
              </w:rPr>
              <w:t> </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20"/>
                <w:lang w:val="en-US" w:eastAsia="zh-CN"/>
              </w:rPr>
            </w:pPr>
            <w:r w:rsidRPr="00A13182">
              <w:rPr>
                <w:rFonts w:ascii="Arial" w:hAnsi="Arial" w:cs="Arial"/>
                <w:i/>
                <w:iCs/>
                <w:color w:val="000000"/>
                <w:sz w:val="20"/>
                <w:lang w:val="en-US" w:eastAsia="zh-CN"/>
              </w:rPr>
              <w:t> </w:t>
            </w:r>
          </w:p>
        </w:tc>
        <w:tc>
          <w:tcPr>
            <w:tcW w:w="1261"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20"/>
                <w:lang w:val="en-US" w:eastAsia="zh-CN"/>
              </w:rPr>
            </w:pPr>
            <w:r w:rsidRPr="00A13182">
              <w:rPr>
                <w:rFonts w:ascii="Arial" w:hAnsi="Arial" w:cs="Arial"/>
                <w:i/>
                <w:iCs/>
                <w:color w:val="000000"/>
                <w:sz w:val="20"/>
                <w:lang w:val="en-US" w:eastAsia="zh-CN"/>
              </w:rPr>
              <w:t> </w:t>
            </w:r>
          </w:p>
        </w:tc>
        <w:tc>
          <w:tcPr>
            <w:tcW w:w="1182"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20"/>
                <w:lang w:val="en-US" w:eastAsia="zh-CN"/>
              </w:rPr>
            </w:pPr>
            <w:r w:rsidRPr="00A13182">
              <w:rPr>
                <w:rFonts w:ascii="Arial" w:hAnsi="Arial" w:cs="Arial"/>
                <w:i/>
                <w:iCs/>
                <w:color w:val="000000"/>
                <w:sz w:val="20"/>
                <w:lang w:val="en-US" w:eastAsia="zh-CN"/>
              </w:rPr>
              <w:t> </w:t>
            </w:r>
          </w:p>
        </w:tc>
        <w:tc>
          <w:tcPr>
            <w:tcW w:w="1434"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20"/>
                <w:lang w:val="en-US" w:eastAsia="zh-CN"/>
              </w:rPr>
            </w:pPr>
            <w:r w:rsidRPr="00A13182">
              <w:rPr>
                <w:rFonts w:ascii="Arial" w:hAnsi="Arial" w:cs="Arial"/>
                <w:i/>
                <w:iCs/>
                <w:color w:val="000000"/>
                <w:sz w:val="20"/>
                <w:lang w:val="en-US" w:eastAsia="zh-CN"/>
              </w:rPr>
              <w:t> </w:t>
            </w:r>
          </w:p>
        </w:tc>
        <w:tc>
          <w:tcPr>
            <w:tcW w:w="1292"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20"/>
                <w:lang w:val="en-US" w:eastAsia="zh-CN"/>
              </w:rPr>
            </w:pPr>
            <w:r w:rsidRPr="00A13182">
              <w:rPr>
                <w:rFonts w:ascii="Arial" w:hAnsi="Arial" w:cs="Arial"/>
                <w:i/>
                <w:iCs/>
                <w:color w:val="000000"/>
                <w:sz w:val="20"/>
                <w:lang w:val="en-US" w:eastAsia="zh-CN"/>
              </w:rPr>
              <w:t> </w:t>
            </w:r>
          </w:p>
        </w:tc>
      </w:tr>
      <w:tr w:rsidR="006F29B5" w:rsidRPr="00A56915" w:rsidTr="006F29B5">
        <w:trPr>
          <w:trHeight w:val="247"/>
        </w:trPr>
        <w:tc>
          <w:tcPr>
            <w:tcW w:w="3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8"/>
                <w:szCs w:val="18"/>
                <w:lang w:val="en-US" w:eastAsia="zh-CN"/>
              </w:rPr>
            </w:pPr>
            <w:r w:rsidRPr="00A13182">
              <w:rPr>
                <w:rFonts w:asciiTheme="minorHAnsi" w:hAnsiTheme="minorHAnsi" w:cs="Arial"/>
                <w:b/>
                <w:bCs/>
                <w:color w:val="000000"/>
                <w:sz w:val="18"/>
                <w:szCs w:val="18"/>
                <w:lang w:val="en-US" w:eastAsia="zh-CN"/>
              </w:rPr>
              <w:t>Total revenue</w:t>
            </w:r>
          </w:p>
        </w:tc>
        <w:tc>
          <w:tcPr>
            <w:tcW w:w="951"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A13182">
              <w:rPr>
                <w:rFonts w:asciiTheme="minorHAnsi" w:hAnsiTheme="minorHAnsi" w:cs="Arial"/>
                <w:b/>
                <w:bCs/>
                <w:color w:val="000000"/>
                <w:sz w:val="18"/>
                <w:szCs w:val="18"/>
                <w:lang w:val="en-US" w:eastAsia="zh-CN"/>
              </w:rPr>
              <w:t xml:space="preserve"> 164,744 </w:t>
            </w:r>
          </w:p>
        </w:tc>
        <w:tc>
          <w:tcPr>
            <w:tcW w:w="1261"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A13182">
              <w:rPr>
                <w:rFonts w:asciiTheme="minorHAnsi" w:hAnsiTheme="minorHAnsi" w:cs="Arial"/>
                <w:b/>
                <w:bCs/>
                <w:color w:val="000000"/>
                <w:sz w:val="18"/>
                <w:szCs w:val="18"/>
                <w:lang w:val="en-US" w:eastAsia="zh-CN"/>
              </w:rPr>
              <w:t xml:space="preserve">              -   </w:t>
            </w:r>
          </w:p>
        </w:tc>
        <w:tc>
          <w:tcPr>
            <w:tcW w:w="1182"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A13182">
              <w:rPr>
                <w:rFonts w:asciiTheme="minorHAnsi" w:hAnsiTheme="minorHAnsi" w:cs="Arial"/>
                <w:b/>
                <w:bCs/>
                <w:color w:val="000000"/>
                <w:sz w:val="18"/>
                <w:szCs w:val="18"/>
                <w:lang w:val="en-US" w:eastAsia="zh-CN"/>
              </w:rPr>
              <w:t xml:space="preserve">   164,744 </w:t>
            </w:r>
          </w:p>
        </w:tc>
        <w:tc>
          <w:tcPr>
            <w:tcW w:w="1434"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A13182">
              <w:rPr>
                <w:rFonts w:asciiTheme="minorHAnsi" w:hAnsiTheme="minorHAnsi" w:cs="Arial"/>
                <w:b/>
                <w:bCs/>
                <w:color w:val="000000"/>
                <w:sz w:val="18"/>
                <w:szCs w:val="18"/>
                <w:lang w:val="en-US" w:eastAsia="zh-CN"/>
              </w:rPr>
              <w:t xml:space="preserve">      158,177 </w:t>
            </w:r>
          </w:p>
        </w:tc>
        <w:tc>
          <w:tcPr>
            <w:tcW w:w="1292"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A13182">
              <w:rPr>
                <w:rFonts w:asciiTheme="minorHAnsi" w:hAnsiTheme="minorHAnsi" w:cs="Arial"/>
                <w:b/>
                <w:bCs/>
                <w:color w:val="000000"/>
                <w:sz w:val="18"/>
                <w:szCs w:val="18"/>
                <w:lang w:val="en-US" w:eastAsia="zh-CN"/>
              </w:rPr>
              <w:t xml:space="preserve">      -6,567 </w:t>
            </w:r>
          </w:p>
        </w:tc>
      </w:tr>
      <w:tr w:rsidR="006F29B5" w:rsidRPr="00A56915" w:rsidTr="006F29B5">
        <w:trPr>
          <w:trHeight w:val="247"/>
        </w:trPr>
        <w:tc>
          <w:tcPr>
            <w:tcW w:w="3549" w:type="dxa"/>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DF77D5">
              <w:rPr>
                <w:rFonts w:asciiTheme="minorHAnsi" w:hAnsiTheme="minorHAnsi" w:cs="Arial"/>
                <w:b/>
                <w:bCs/>
                <w:color w:val="000000"/>
                <w:sz w:val="20"/>
                <w:lang w:val="en-US" w:eastAsia="zh-CN"/>
              </w:rPr>
              <w:t>Expenses</w:t>
            </w:r>
          </w:p>
        </w:tc>
        <w:tc>
          <w:tcPr>
            <w:tcW w:w="339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Budgeted amounts</w:t>
            </w:r>
          </w:p>
        </w:tc>
        <w:tc>
          <w:tcPr>
            <w:tcW w:w="1434" w:type="dxa"/>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Actual amounts on a comparable basis</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Difference between final budget and actual amounts</w:t>
            </w:r>
          </w:p>
        </w:tc>
      </w:tr>
      <w:tr w:rsidR="006F29B5" w:rsidRPr="00A56915" w:rsidTr="006F29B5">
        <w:trPr>
          <w:trHeight w:val="609"/>
        </w:trPr>
        <w:tc>
          <w:tcPr>
            <w:tcW w:w="3549" w:type="dxa"/>
            <w:vMerge/>
            <w:tcBorders>
              <w:top w:val="nil"/>
              <w:left w:val="single" w:sz="4" w:space="0" w:color="auto"/>
              <w:bottom w:val="single" w:sz="4" w:space="0" w:color="000000"/>
              <w:right w:val="single" w:sz="4" w:space="0" w:color="auto"/>
            </w:tcBorders>
            <w:vAlign w:val="center"/>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951" w:type="dxa"/>
            <w:tcBorders>
              <w:top w:val="nil"/>
              <w:left w:val="nil"/>
              <w:bottom w:val="single" w:sz="4" w:space="0" w:color="auto"/>
              <w:right w:val="single" w:sz="4" w:space="0" w:color="auto"/>
            </w:tcBorders>
            <w:shd w:val="clear" w:color="auto" w:fill="auto"/>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Initial Budget</w:t>
            </w:r>
          </w:p>
        </w:tc>
        <w:tc>
          <w:tcPr>
            <w:tcW w:w="1261" w:type="dxa"/>
            <w:tcBorders>
              <w:top w:val="nil"/>
              <w:left w:val="nil"/>
              <w:bottom w:val="single" w:sz="4" w:space="0" w:color="auto"/>
              <w:right w:val="nil"/>
            </w:tcBorders>
            <w:shd w:val="clear" w:color="auto" w:fill="auto"/>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Budget transfers</w:t>
            </w:r>
          </w:p>
        </w:tc>
        <w:tc>
          <w:tcPr>
            <w:tcW w:w="1182" w:type="dxa"/>
            <w:tcBorders>
              <w:top w:val="nil"/>
              <w:left w:val="single" w:sz="4" w:space="0" w:color="auto"/>
              <w:bottom w:val="single" w:sz="4" w:space="0" w:color="auto"/>
              <w:right w:val="single" w:sz="4" w:space="0" w:color="auto"/>
            </w:tcBorders>
            <w:shd w:val="clear" w:color="auto" w:fill="auto"/>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Final budget</w:t>
            </w:r>
          </w:p>
        </w:tc>
        <w:tc>
          <w:tcPr>
            <w:tcW w:w="1434" w:type="dxa"/>
            <w:vMerge/>
            <w:tcBorders>
              <w:top w:val="nil"/>
              <w:left w:val="single" w:sz="4" w:space="0" w:color="auto"/>
              <w:bottom w:val="single" w:sz="4" w:space="0" w:color="000000"/>
              <w:right w:val="single" w:sz="4" w:space="0" w:color="auto"/>
            </w:tcBorders>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p>
        </w:tc>
        <w:tc>
          <w:tcPr>
            <w:tcW w:w="1292" w:type="dxa"/>
            <w:vMerge/>
            <w:tcBorders>
              <w:top w:val="nil"/>
              <w:left w:val="single" w:sz="4" w:space="0" w:color="auto"/>
              <w:bottom w:val="single" w:sz="4" w:space="0" w:color="000000"/>
              <w:right w:val="single" w:sz="4" w:space="0" w:color="auto"/>
            </w:tcBorders>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p>
        </w:tc>
      </w:tr>
      <w:tr w:rsidR="006F29B5" w:rsidRPr="00A56915" w:rsidTr="006F29B5">
        <w:trPr>
          <w:trHeight w:val="247"/>
        </w:trPr>
        <w:tc>
          <w:tcPr>
            <w:tcW w:w="3549" w:type="dxa"/>
            <w:vMerge/>
            <w:tcBorders>
              <w:top w:val="nil"/>
              <w:left w:val="single" w:sz="4" w:space="0" w:color="auto"/>
              <w:bottom w:val="single" w:sz="4" w:space="0" w:color="000000"/>
              <w:right w:val="single" w:sz="4" w:space="0" w:color="auto"/>
            </w:tcBorders>
            <w:vAlign w:val="center"/>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951" w:type="dxa"/>
            <w:tcBorders>
              <w:top w:val="nil"/>
              <w:left w:val="nil"/>
              <w:bottom w:val="single" w:sz="4" w:space="0" w:color="auto"/>
              <w:right w:val="single" w:sz="4" w:space="0" w:color="auto"/>
            </w:tcBorders>
            <w:shd w:val="clear" w:color="auto" w:fill="auto"/>
            <w:noWrap/>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 xml:space="preserve"> 31.12.2015 </w:t>
            </w:r>
          </w:p>
        </w:tc>
        <w:tc>
          <w:tcPr>
            <w:tcW w:w="1261" w:type="dxa"/>
            <w:tcBorders>
              <w:top w:val="nil"/>
              <w:left w:val="nil"/>
              <w:bottom w:val="single" w:sz="4" w:space="0" w:color="auto"/>
              <w:right w:val="single" w:sz="4" w:space="0" w:color="auto"/>
            </w:tcBorders>
            <w:shd w:val="clear" w:color="auto" w:fill="auto"/>
            <w:noWrap/>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 xml:space="preserve"> 31.12.2015 </w:t>
            </w:r>
          </w:p>
        </w:tc>
        <w:tc>
          <w:tcPr>
            <w:tcW w:w="1182" w:type="dxa"/>
            <w:tcBorders>
              <w:top w:val="nil"/>
              <w:left w:val="nil"/>
              <w:bottom w:val="single" w:sz="4" w:space="0" w:color="auto"/>
              <w:right w:val="single" w:sz="4" w:space="0" w:color="auto"/>
            </w:tcBorders>
            <w:shd w:val="clear" w:color="auto" w:fill="auto"/>
            <w:noWrap/>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 xml:space="preserve"> 31.12.2015 </w:t>
            </w:r>
          </w:p>
        </w:tc>
        <w:tc>
          <w:tcPr>
            <w:tcW w:w="1434" w:type="dxa"/>
            <w:tcBorders>
              <w:top w:val="nil"/>
              <w:left w:val="nil"/>
              <w:bottom w:val="single" w:sz="4" w:space="0" w:color="auto"/>
              <w:right w:val="single" w:sz="4" w:space="0" w:color="auto"/>
            </w:tcBorders>
            <w:shd w:val="clear" w:color="auto" w:fill="auto"/>
            <w:noWrap/>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 xml:space="preserve"> 31.12.2015 </w:t>
            </w:r>
          </w:p>
        </w:tc>
        <w:tc>
          <w:tcPr>
            <w:tcW w:w="1292" w:type="dxa"/>
            <w:tcBorders>
              <w:top w:val="nil"/>
              <w:left w:val="nil"/>
              <w:bottom w:val="single" w:sz="4" w:space="0" w:color="auto"/>
              <w:right w:val="single" w:sz="4" w:space="0" w:color="auto"/>
            </w:tcBorders>
            <w:shd w:val="clear" w:color="auto" w:fill="auto"/>
            <w:noWrap/>
            <w:vAlign w:val="center"/>
            <w:hideMark/>
          </w:tcPr>
          <w:p w:rsidR="006F29B5" w:rsidRPr="00DF77D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DF77D5">
              <w:rPr>
                <w:rFonts w:asciiTheme="minorHAnsi" w:hAnsiTheme="minorHAnsi" w:cs="Arial"/>
                <w:b/>
                <w:bCs/>
                <w:color w:val="000000"/>
                <w:sz w:val="16"/>
                <w:szCs w:val="16"/>
                <w:lang w:val="en-US" w:eastAsia="zh-CN"/>
              </w:rPr>
              <w:t xml:space="preserve"> 31.12.2015 </w:t>
            </w:r>
          </w:p>
        </w:tc>
      </w:tr>
      <w:tr w:rsidR="006F29B5" w:rsidRPr="00A56915" w:rsidTr="006F29B5">
        <w:trPr>
          <w:cantSplit/>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General Secretariat</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91,853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-272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91,581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86,218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5,363 </w:t>
            </w:r>
          </w:p>
        </w:tc>
      </w:tr>
      <w:tr w:rsidR="006F29B5" w:rsidRPr="00A56915" w:rsidTr="006F29B5">
        <w:trPr>
          <w:cantSplit/>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Radiocommunication Sector</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31,897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72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31,969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29,181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2,788 </w:t>
            </w:r>
          </w:p>
        </w:tc>
      </w:tr>
      <w:tr w:rsidR="006F29B5" w:rsidRPr="00A56915" w:rsidTr="006F29B5">
        <w:trPr>
          <w:cantSplit/>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Telecommunication Standardization Sector</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12,736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12,736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12,611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125 </w:t>
            </w:r>
          </w:p>
        </w:tc>
      </w:tr>
      <w:tr w:rsidR="006F29B5" w:rsidRPr="00A56915" w:rsidTr="006F29B5">
        <w:trPr>
          <w:cantSplit/>
          <w:trHeight w:val="232"/>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Telecommunication Development Sector</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28,258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200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28,458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28,447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11 </w:t>
            </w:r>
          </w:p>
        </w:tc>
      </w:tr>
      <w:tr w:rsidR="006F29B5" w:rsidRPr="00A56915" w:rsidTr="006F29B5">
        <w:trPr>
          <w:cantSplit/>
          <w:trHeight w:val="232"/>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Expenses not foreseen in approved budget</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xml:space="preserve">                      718 </w:t>
            </w:r>
          </w:p>
        </w:tc>
        <w:tc>
          <w:tcPr>
            <w:tcW w:w="129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r>
      <w:tr w:rsidR="006F29B5" w:rsidRPr="00A56915" w:rsidTr="006F29B5">
        <w:trPr>
          <w:trHeight w:val="247"/>
        </w:trPr>
        <w:tc>
          <w:tcPr>
            <w:tcW w:w="3549" w:type="dxa"/>
            <w:tcBorders>
              <w:top w:val="single" w:sz="4" w:space="0" w:color="auto"/>
              <w:left w:val="single" w:sz="4" w:space="0" w:color="auto"/>
              <w:bottom w:val="single" w:sz="4" w:space="0" w:color="auto"/>
              <w:right w:val="nil"/>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Total expenses  </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164,744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164,744 </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157,175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7,569 </w:t>
            </w:r>
          </w:p>
        </w:tc>
      </w:tr>
      <w:tr w:rsidR="006F29B5" w:rsidRPr="00A56915" w:rsidTr="006F29B5">
        <w:trPr>
          <w:trHeight w:val="247"/>
        </w:trPr>
        <w:tc>
          <w:tcPr>
            <w:tcW w:w="3549" w:type="dxa"/>
            <w:tcBorders>
              <w:top w:val="nil"/>
              <w:left w:val="single" w:sz="4" w:space="0" w:color="auto"/>
              <w:bottom w:val="single" w:sz="4" w:space="0" w:color="auto"/>
              <w:right w:val="nil"/>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Result</w:t>
            </w: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261"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182"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434"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xml:space="preserve">              1,002 </w:t>
            </w:r>
          </w:p>
        </w:tc>
        <w:tc>
          <w:tcPr>
            <w:tcW w:w="1292" w:type="dxa"/>
            <w:tcBorders>
              <w:top w:val="nil"/>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ASHI</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-15,712</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Capitalization of fixed assets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2,165</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Recognition of inventories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26</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Depreciation</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-5,296</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Exchange rate gains/losses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-156</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Repayment of FIPOI loan not considered as expense</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1,493</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Changes in and use of provision for doubtful debts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1,385</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Sales of assets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2</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Other expenses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A13182">
              <w:rPr>
                <w:rFonts w:asciiTheme="minorHAnsi" w:hAnsiTheme="minorHAnsi" w:cs="Arial"/>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-3</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4"/>
        </w:trPr>
        <w:tc>
          <w:tcPr>
            <w:tcW w:w="3549" w:type="dxa"/>
            <w:tcBorders>
              <w:top w:val="nil"/>
              <w:left w:val="single" w:sz="4" w:space="0" w:color="auto"/>
              <w:bottom w:val="nil"/>
              <w:right w:val="nil"/>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A13182">
              <w:rPr>
                <w:rFonts w:ascii="Arial" w:hAnsi="Arial" w:cs="Arial"/>
                <w:color w:val="000000"/>
                <w:sz w:val="16"/>
                <w:szCs w:val="16"/>
                <w:lang w:val="en-US" w:eastAsia="zh-CN"/>
              </w:rPr>
              <w:t> </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A13182">
              <w:rPr>
                <w:rFonts w:ascii="Arial" w:hAnsi="Arial" w:cs="Arial"/>
                <w:color w:val="000000"/>
                <w:sz w:val="16"/>
                <w:szCs w:val="16"/>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A13182">
              <w:rPr>
                <w:rFonts w:ascii="Arial" w:hAnsi="Arial" w:cs="Arial"/>
                <w:color w:val="000000"/>
                <w:sz w:val="16"/>
                <w:szCs w:val="16"/>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A13182">
              <w:rPr>
                <w:rFonts w:ascii="Arial" w:hAnsi="Arial" w:cs="Arial"/>
                <w:color w:val="000000"/>
                <w:sz w:val="16"/>
                <w:szCs w:val="16"/>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A13182">
              <w:rPr>
                <w:rFonts w:ascii="Arial" w:hAnsi="Arial" w:cs="Arial"/>
                <w:i/>
                <w:iCs/>
                <w:color w:val="000000"/>
                <w:sz w:val="16"/>
                <w:szCs w:val="16"/>
                <w:lang w:val="en-US" w:eastAsia="zh-CN"/>
              </w:rPr>
              <w:t> </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61"/>
        </w:trPr>
        <w:tc>
          <w:tcPr>
            <w:tcW w:w="3549" w:type="dxa"/>
            <w:tcBorders>
              <w:top w:val="single" w:sz="4" w:space="0" w:color="auto"/>
              <w:left w:val="single" w:sz="4" w:space="0" w:color="auto"/>
              <w:bottom w:val="single" w:sz="4" w:space="0" w:color="auto"/>
              <w:right w:val="nil"/>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Total IPSAS difference</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-16,096</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A56915">
              <w:rPr>
                <w:rFonts w:ascii="Arial" w:hAnsi="Arial" w:cs="Arial"/>
                <w:b/>
                <w:bCs/>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Surplus/ Deficit on Fund 1000</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1,002</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sz w:val="18"/>
                <w:szCs w:val="18"/>
                <w:lang w:val="en-US" w:eastAsia="zh-CN"/>
              </w:rPr>
            </w:pPr>
            <w:r w:rsidRPr="00A13182">
              <w:rPr>
                <w:rFonts w:asciiTheme="minorHAnsi" w:hAnsiTheme="minorHAnsi" w:cs="Arial"/>
                <w:i/>
                <w:iCs/>
                <w:sz w:val="18"/>
                <w:szCs w:val="18"/>
                <w:lang w:val="en-US" w:eastAsia="zh-CN"/>
              </w:rPr>
              <w:t>Increase of the investment fund</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112</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sz w:val="18"/>
                <w:szCs w:val="18"/>
                <w:lang w:val="en-US" w:eastAsia="zh-CN"/>
              </w:rPr>
            </w:pPr>
            <w:r w:rsidRPr="00A13182">
              <w:rPr>
                <w:rFonts w:asciiTheme="minorHAnsi" w:hAnsiTheme="minorHAnsi" w:cs="Arial"/>
                <w:i/>
                <w:iCs/>
                <w:sz w:val="18"/>
                <w:szCs w:val="18"/>
                <w:lang w:val="en-US" w:eastAsia="zh-CN"/>
              </w:rPr>
              <w:t>Perimeter differences</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A13182">
              <w:rPr>
                <w:rFonts w:asciiTheme="minorHAnsi" w:hAnsiTheme="minorHAnsi" w:cs="Arial"/>
                <w:i/>
                <w:iCs/>
                <w:color w:val="000000"/>
                <w:sz w:val="18"/>
                <w:szCs w:val="18"/>
                <w:lang w:val="en-US" w:eastAsia="zh-CN"/>
              </w:rPr>
              <w:t>-817</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247"/>
        </w:trPr>
        <w:tc>
          <w:tcPr>
            <w:tcW w:w="3549" w:type="dxa"/>
            <w:tcBorders>
              <w:top w:val="nil"/>
              <w:left w:val="single" w:sz="4" w:space="0" w:color="auto"/>
              <w:bottom w:val="nil"/>
              <w:right w:val="nil"/>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A56915">
              <w:rPr>
                <w:rFonts w:ascii="Arial" w:hAnsi="Arial" w:cs="Arial"/>
                <w:sz w:val="20"/>
                <w:lang w:val="en-US" w:eastAsia="zh-CN"/>
              </w:rPr>
              <w:t> </w:t>
            </w:r>
          </w:p>
        </w:tc>
        <w:tc>
          <w:tcPr>
            <w:tcW w:w="951" w:type="dxa"/>
            <w:tcBorders>
              <w:top w:val="nil"/>
              <w:left w:val="single" w:sz="4" w:space="0" w:color="auto"/>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c>
          <w:tcPr>
            <w:tcW w:w="1261"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c>
          <w:tcPr>
            <w:tcW w:w="118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c>
          <w:tcPr>
            <w:tcW w:w="1434"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A56915">
              <w:rPr>
                <w:rFonts w:ascii="Arial" w:hAnsi="Arial" w:cs="Arial"/>
                <w:i/>
                <w:iCs/>
                <w:color w:val="000000"/>
                <w:sz w:val="16"/>
                <w:szCs w:val="16"/>
                <w:lang w:val="en-US" w:eastAsia="zh-CN"/>
              </w:rPr>
              <w:t> </w:t>
            </w:r>
          </w:p>
        </w:tc>
        <w:tc>
          <w:tcPr>
            <w:tcW w:w="1292" w:type="dxa"/>
            <w:tcBorders>
              <w:top w:val="nil"/>
              <w:left w:val="nil"/>
              <w:bottom w:val="nil"/>
              <w:right w:val="single" w:sz="4" w:space="0" w:color="auto"/>
            </w:tcBorders>
            <w:shd w:val="clear" w:color="auto" w:fill="auto"/>
            <w:noWrap/>
            <w:vAlign w:val="bottom"/>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A56915">
              <w:rPr>
                <w:rFonts w:ascii="Arial" w:hAnsi="Arial" w:cs="Arial"/>
                <w:color w:val="000000"/>
                <w:sz w:val="20"/>
                <w:lang w:val="en-US" w:eastAsia="zh-CN"/>
              </w:rPr>
              <w:t> </w:t>
            </w:r>
          </w:p>
        </w:tc>
      </w:tr>
      <w:tr w:rsidR="006F29B5" w:rsidRPr="00A56915" w:rsidTr="006F29B5">
        <w:trPr>
          <w:trHeight w:val="493"/>
        </w:trPr>
        <w:tc>
          <w:tcPr>
            <w:tcW w:w="3549" w:type="dxa"/>
            <w:tcBorders>
              <w:top w:val="single" w:sz="4" w:space="0" w:color="auto"/>
              <w:left w:val="single" w:sz="4" w:space="0" w:color="auto"/>
              <w:bottom w:val="single" w:sz="4" w:space="0" w:color="auto"/>
              <w:right w:val="nil"/>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Surplus/Deficit as shown in the statement of financial performance</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 </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6F29B5" w:rsidRPr="00A13182"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13182">
              <w:rPr>
                <w:rFonts w:asciiTheme="minorHAnsi" w:hAnsiTheme="minorHAnsi" w:cs="Arial"/>
                <w:b/>
                <w:bCs/>
                <w:color w:val="000000"/>
                <w:sz w:val="20"/>
                <w:lang w:val="en-US" w:eastAsia="zh-CN"/>
              </w:rPr>
              <w:t>-15,799</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6F29B5" w:rsidRPr="00A56915"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A56915">
              <w:rPr>
                <w:rFonts w:ascii="Arial" w:hAnsi="Arial" w:cs="Arial"/>
                <w:b/>
                <w:bCs/>
                <w:color w:val="000000"/>
                <w:sz w:val="20"/>
                <w:lang w:val="en-US" w:eastAsia="zh-CN"/>
              </w:rPr>
              <w:t> </w:t>
            </w:r>
          </w:p>
        </w:tc>
      </w:tr>
    </w:tbl>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pPr>
      <w:r>
        <w:br w:type="page"/>
      </w:r>
    </w:p>
    <w:p w:rsidR="006F29B5" w:rsidRPr="00C62A93" w:rsidRDefault="006F29B5" w:rsidP="006F29B5">
      <w:pPr>
        <w:pStyle w:val="AnnexNo"/>
        <w:rPr>
          <w:sz w:val="4"/>
          <w:szCs w:val="4"/>
        </w:rPr>
      </w:pPr>
    </w:p>
    <w:p w:rsidR="006F29B5" w:rsidRPr="007359C9" w:rsidRDefault="006F29B5" w:rsidP="006F29B5">
      <w:pPr>
        <w:pStyle w:val="AnnexNo"/>
        <w:spacing w:before="360"/>
      </w:pPr>
      <w:r w:rsidRPr="007359C9">
        <w:t>C</w:t>
      </w:r>
    </w:p>
    <w:p w:rsidR="006F29B5" w:rsidRPr="00486B4E" w:rsidRDefault="006F29B5" w:rsidP="006F29B5">
      <w:pPr>
        <w:pStyle w:val="Annextitle"/>
      </w:pPr>
      <w:r>
        <w:t>Statements of financial position, Statement of financial performance, Statement of changes in net assets, Cash Flow Statement and Comparison of Budgeted and actual amounts</w:t>
      </w:r>
      <w:r w:rsidRPr="00486B4E">
        <w:t xml:space="preserve"> of the International Telec</w:t>
      </w:r>
      <w:r>
        <w:t xml:space="preserve">ommunication Union </w:t>
      </w:r>
      <w:r>
        <w:br/>
        <w:t>for the 2016 financial period</w:t>
      </w:r>
    </w:p>
    <w:p w:rsidR="006F29B5" w:rsidRDefault="006F29B5" w:rsidP="006F29B5">
      <w:pPr>
        <w:spacing w:before="600"/>
        <w:jc w:val="both"/>
      </w:pPr>
      <w:r w:rsidRPr="00486B4E">
        <w:t xml:space="preserve">The financial </w:t>
      </w:r>
      <w:r w:rsidRPr="007702E8">
        <w:t>statements are published in the financial operating report of the Union for the 201</w:t>
      </w:r>
      <w:r>
        <w:t>6</w:t>
      </w:r>
      <w:r w:rsidRPr="007702E8">
        <w:t xml:space="preserve"> financial period and approved by the Council.</w:t>
      </w:r>
    </w:p>
    <w:p w:rsidR="006F29B5" w:rsidRPr="00486B4E" w:rsidRDefault="006F29B5" w:rsidP="006F29B5">
      <w:pPr>
        <w:jc w:val="both"/>
      </w:pPr>
      <w:r w:rsidRPr="007702E8">
        <w:t>(</w:t>
      </w:r>
      <w:r>
        <w:t xml:space="preserve">Council </w:t>
      </w:r>
      <w:r w:rsidRPr="007702E8">
        <w:t>Resolution 13</w:t>
      </w:r>
      <w:r>
        <w:t>89</w:t>
      </w:r>
      <w:r w:rsidRPr="007702E8">
        <w:t xml:space="preserve"> relating to the approval of the financial operating reports audited by the External Auditor of the ITU accounts</w:t>
      </w:r>
      <w:r>
        <w:t xml:space="preserve"> for the period 1 January 2016 to 31 December 2016</w:t>
      </w:r>
      <w:r w:rsidRPr="00486B4E">
        <w:t>)</w:t>
      </w:r>
      <w:r>
        <w:t>.</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pPr>
      <w:r>
        <w:br w:type="page"/>
      </w:r>
    </w:p>
    <w:p w:rsidR="006F29B5" w:rsidRDefault="006F29B5" w:rsidP="006F29B5">
      <w:pPr>
        <w:pStyle w:val="Tabletext"/>
        <w:spacing w:before="0" w:after="0"/>
        <w:rPr>
          <w:b/>
          <w:sz w:val="28"/>
          <w:szCs w:val="28"/>
          <w:lang w:val="en-US"/>
        </w:rPr>
      </w:pPr>
      <w:bookmarkStart w:id="13" w:name="_MON_1396355177"/>
      <w:bookmarkStart w:id="14" w:name="_MON_1401702181"/>
      <w:bookmarkEnd w:id="13"/>
      <w:bookmarkEnd w:id="14"/>
    </w:p>
    <w:p w:rsidR="006F29B5" w:rsidRPr="00CD36F7" w:rsidRDefault="006F29B5" w:rsidP="006F29B5">
      <w:pPr>
        <w:pStyle w:val="Tabletext"/>
        <w:spacing w:before="360" w:after="240"/>
        <w:rPr>
          <w:b/>
          <w:sz w:val="28"/>
          <w:szCs w:val="28"/>
          <w:lang w:val="en-US"/>
        </w:rPr>
      </w:pPr>
      <w:r w:rsidRPr="00CD36F7">
        <w:rPr>
          <w:b/>
          <w:sz w:val="28"/>
          <w:szCs w:val="28"/>
          <w:lang w:val="en-US"/>
        </w:rPr>
        <w:t>I – Statement of financial position – Balance sheet at 31 December 2016 with comparative figures as at 31 December 2015</w:t>
      </w:r>
    </w:p>
    <w:tbl>
      <w:tblPr>
        <w:tblW w:w="8380" w:type="dxa"/>
        <w:tblLook w:val="04A0" w:firstRow="1" w:lastRow="0" w:firstColumn="1" w:lastColumn="0" w:noHBand="0" w:noVBand="1"/>
      </w:tblPr>
      <w:tblGrid>
        <w:gridCol w:w="4820"/>
        <w:gridCol w:w="1780"/>
        <w:gridCol w:w="1780"/>
      </w:tblGrid>
      <w:tr w:rsidR="006F29B5" w:rsidRPr="00782664" w:rsidTr="006F29B5">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w:t>
            </w:r>
            <w:r w:rsidRPr="00E33D47">
              <w:rPr>
                <w:rFonts w:cs="Arial"/>
                <w:b/>
                <w:bCs/>
                <w:color w:val="000000"/>
                <w:sz w:val="20"/>
                <w:lang w:val="en-US" w:eastAsia="zh-CN"/>
              </w:rPr>
              <w:t>in thousands of CHF)</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31/12/2016</w:t>
            </w:r>
          </w:p>
        </w:tc>
        <w:tc>
          <w:tcPr>
            <w:tcW w:w="1780" w:type="dxa"/>
            <w:tcBorders>
              <w:top w:val="single" w:sz="4" w:space="0" w:color="auto"/>
              <w:left w:val="nil"/>
              <w:bottom w:val="single" w:sz="4" w:space="0" w:color="auto"/>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31/12/2015</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ASSETS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Current assets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Cash and cash equivalents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108,435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55,505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Investments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64,980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111,817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Receivables - exchange transactions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9,033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5,982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Receivables - non-exchange transactions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76,469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80,174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Inventories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545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575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Other receivables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9,448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8,071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Total current assets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268,910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262,124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Non-current assets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Receivables - non-exchange transactions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Property, plant and equipment</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101,432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104,912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Intangible assets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2,634 </w:t>
            </w:r>
          </w:p>
        </w:tc>
        <w:tc>
          <w:tcPr>
            <w:tcW w:w="1780" w:type="dxa"/>
            <w:tcBorders>
              <w:top w:val="nil"/>
              <w:left w:val="nil"/>
              <w:bottom w:val="nil"/>
              <w:right w:val="single" w:sz="4" w:space="0" w:color="auto"/>
            </w:tcBorders>
            <w:shd w:val="clear" w:color="auto" w:fill="auto"/>
            <w:noWrap/>
            <w:vAlign w:val="bottom"/>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3,241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Total non-current assets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104,066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108,153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r>
      <w:tr w:rsidR="006F29B5" w:rsidRPr="00782664" w:rsidTr="006F29B5">
        <w:trPr>
          <w:trHeight w:val="49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Total ASSETS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372,976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370,277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LIABILITIES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Current liabilities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Suppliers and other creditors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9,148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7,196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Deferred revenue</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129,022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127,569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Borrowings and financial debts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1,493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1,493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Employee benefits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1,094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481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Provisions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1,452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1,046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Other debts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5,075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5,281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Total current liabilities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147,284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143,066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Non-current liabilities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Borrowings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42,299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43,792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Employee benefits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575,123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495,025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Allocated third-party funds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23,612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28,702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Third-party funds in process of allocation</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3,813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2,923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Total non-current liabilities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644,847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570,442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w:t>
            </w:r>
          </w:p>
        </w:tc>
      </w:tr>
      <w:tr w:rsidR="006F29B5" w:rsidRPr="00782664" w:rsidTr="006F29B5">
        <w:trPr>
          <w:trHeight w:val="49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TOTAL LIABILITIES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792,131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713,508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NET ASSETS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Organization's capital</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w:t>
            </w:r>
          </w:p>
        </w:tc>
      </w:tr>
      <w:tr w:rsidR="006F29B5" w:rsidRPr="00782664" w:rsidTr="006F29B5">
        <w:trPr>
          <w:trHeight w:val="510"/>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Reserve account before reallocation of the surplus/ deficit of the period</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2</w:t>
            </w:r>
            <w:r>
              <w:rPr>
                <w:rFonts w:cs="Arial"/>
                <w:sz w:val="20"/>
                <w:lang w:val="en-US" w:eastAsia="zh-CN"/>
              </w:rPr>
              <w:t>6</w:t>
            </w:r>
            <w:r w:rsidRPr="00782664">
              <w:rPr>
                <w:rFonts w:cs="Arial"/>
                <w:sz w:val="20"/>
                <w:lang w:val="en-US" w:eastAsia="zh-CN"/>
              </w:rPr>
              <w:t>,</w:t>
            </w:r>
            <w:r>
              <w:rPr>
                <w:rFonts w:cs="Arial"/>
                <w:sz w:val="20"/>
                <w:lang w:val="en-US" w:eastAsia="zh-CN"/>
              </w:rPr>
              <w:t>522</w:t>
            </w:r>
            <w:r w:rsidRPr="00782664">
              <w:rPr>
                <w:rFonts w:cs="Arial"/>
                <w:sz w:val="20"/>
                <w:lang w:val="en-US" w:eastAsia="zh-CN"/>
              </w:rPr>
              <w:t xml:space="preserve">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27,222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Other Extra-budgetary reserves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w:t>
            </w:r>
            <w:r>
              <w:rPr>
                <w:rFonts w:cs="Arial"/>
                <w:sz w:val="20"/>
                <w:lang w:val="en-US" w:eastAsia="zh-CN"/>
              </w:rPr>
              <w:t>52</w:t>
            </w:r>
            <w:r w:rsidRPr="00782664">
              <w:rPr>
                <w:rFonts w:cs="Arial"/>
                <w:sz w:val="20"/>
                <w:lang w:val="en-US" w:eastAsia="zh-CN"/>
              </w:rPr>
              <w:t>,</w:t>
            </w:r>
            <w:r>
              <w:rPr>
                <w:rFonts w:cs="Arial"/>
                <w:sz w:val="20"/>
                <w:lang w:val="en-US" w:eastAsia="zh-CN"/>
              </w:rPr>
              <w:t>613</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w:t>
            </w:r>
            <w:r>
              <w:rPr>
                <w:rFonts w:cs="Arial"/>
                <w:color w:val="000000"/>
                <w:sz w:val="20"/>
                <w:lang w:val="en-US" w:eastAsia="zh-CN"/>
              </w:rPr>
              <w:t>50</w:t>
            </w:r>
            <w:r w:rsidRPr="00782664">
              <w:rPr>
                <w:rFonts w:cs="Arial"/>
                <w:color w:val="000000"/>
                <w:sz w:val="20"/>
                <w:lang w:val="en-US" w:eastAsia="zh-CN"/>
              </w:rPr>
              <w:t>,</w:t>
            </w:r>
            <w:r>
              <w:rPr>
                <w:rFonts w:cs="Arial"/>
                <w:color w:val="000000"/>
                <w:sz w:val="20"/>
                <w:lang w:val="en-US" w:eastAsia="zh-CN"/>
              </w:rPr>
              <w:t>392</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ASHI actuarial losses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-322,579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-257,136 </w:t>
            </w:r>
          </w:p>
        </w:tc>
      </w:tr>
      <w:tr w:rsidR="006F29B5" w:rsidRPr="00782664" w:rsidTr="006F29B5">
        <w:trPr>
          <w:trHeight w:val="255"/>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Pr>
                <w:rFonts w:cs="Arial"/>
                <w:color w:val="000000"/>
                <w:sz w:val="20"/>
                <w:lang w:val="en-US" w:eastAsia="zh-CN"/>
              </w:rPr>
              <w:t>C</w:t>
            </w:r>
            <w:r w:rsidRPr="00782664">
              <w:rPr>
                <w:rFonts w:cs="Arial"/>
                <w:color w:val="000000"/>
                <w:sz w:val="20"/>
                <w:lang w:val="en-US" w:eastAsia="zh-CN"/>
              </w:rPr>
              <w:t>u</w:t>
            </w:r>
            <w:r>
              <w:rPr>
                <w:rFonts w:cs="Arial"/>
                <w:color w:val="000000"/>
                <w:sz w:val="20"/>
                <w:lang w:val="en-US" w:eastAsia="zh-CN"/>
              </w:rPr>
              <w:t>mu</w:t>
            </w:r>
            <w:r w:rsidRPr="00782664">
              <w:rPr>
                <w:rFonts w:cs="Arial"/>
                <w:color w:val="000000"/>
                <w:sz w:val="20"/>
                <w:lang w:val="en-US" w:eastAsia="zh-CN"/>
              </w:rPr>
              <w:t xml:space="preserve">lated </w:t>
            </w:r>
            <w:r>
              <w:rPr>
                <w:rFonts w:cs="Arial"/>
                <w:color w:val="000000"/>
                <w:sz w:val="20"/>
                <w:lang w:val="en-US" w:eastAsia="zh-CN"/>
              </w:rPr>
              <w:t>balances</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82664">
              <w:rPr>
                <w:rFonts w:cs="Arial"/>
                <w:sz w:val="20"/>
                <w:lang w:val="en-US" w:eastAsia="zh-CN"/>
              </w:rPr>
              <w:t xml:space="preserve">              </w:t>
            </w:r>
            <w:r>
              <w:rPr>
                <w:rFonts w:cs="Arial"/>
                <w:sz w:val="20"/>
                <w:lang w:val="en-US" w:eastAsia="zh-CN"/>
              </w:rPr>
              <w:t>-164, 018</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w:t>
            </w:r>
            <w:r>
              <w:rPr>
                <w:rFonts w:cs="Arial"/>
                <w:color w:val="000000"/>
                <w:sz w:val="20"/>
                <w:lang w:val="en-US" w:eastAsia="zh-CN"/>
              </w:rPr>
              <w:t>147</w:t>
            </w:r>
            <w:r w:rsidRPr="00782664">
              <w:rPr>
                <w:rFonts w:cs="Arial"/>
                <w:color w:val="000000"/>
                <w:sz w:val="20"/>
                <w:lang w:val="en-US" w:eastAsia="zh-CN"/>
              </w:rPr>
              <w:t>,</w:t>
            </w:r>
            <w:r>
              <w:rPr>
                <w:rFonts w:cs="Arial"/>
                <w:color w:val="000000"/>
                <w:sz w:val="20"/>
                <w:lang w:val="en-US" w:eastAsia="zh-CN"/>
              </w:rPr>
              <w:t>9</w:t>
            </w:r>
            <w:r w:rsidRPr="00782664">
              <w:rPr>
                <w:rFonts w:cs="Arial"/>
                <w:color w:val="000000"/>
                <w:sz w:val="20"/>
                <w:lang w:val="en-US" w:eastAsia="zh-CN"/>
              </w:rPr>
              <w:t xml:space="preserve">10 </w:t>
            </w:r>
          </w:p>
        </w:tc>
      </w:tr>
      <w:tr w:rsidR="006F29B5" w:rsidRPr="00782664" w:rsidTr="006F29B5">
        <w:trPr>
          <w:trHeight w:val="300"/>
        </w:trPr>
        <w:tc>
          <w:tcPr>
            <w:tcW w:w="482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82664">
              <w:rPr>
                <w:rFonts w:cs="Arial"/>
                <w:color w:val="000000"/>
                <w:sz w:val="20"/>
                <w:lang w:val="en-US" w:eastAsia="zh-CN"/>
              </w:rPr>
              <w:t>Surplus/Deficit for the period</w:t>
            </w:r>
          </w:p>
        </w:tc>
        <w:tc>
          <w:tcPr>
            <w:tcW w:w="1780" w:type="dxa"/>
            <w:tcBorders>
              <w:top w:val="nil"/>
              <w:left w:val="single" w:sz="4" w:space="0" w:color="auto"/>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-11,693 </w:t>
            </w:r>
          </w:p>
        </w:tc>
        <w:tc>
          <w:tcPr>
            <w:tcW w:w="1780" w:type="dxa"/>
            <w:tcBorders>
              <w:top w:val="nil"/>
              <w:left w:val="nil"/>
              <w:bottom w:val="nil"/>
              <w:right w:val="single" w:sz="4" w:space="0" w:color="auto"/>
            </w:tcBorders>
            <w:shd w:val="clear" w:color="auto" w:fill="auto"/>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82664">
              <w:rPr>
                <w:rFonts w:cs="Arial"/>
                <w:color w:val="000000"/>
                <w:sz w:val="20"/>
                <w:lang w:val="en-US" w:eastAsia="zh-CN"/>
              </w:rPr>
              <w:t xml:space="preserve">                -15,799 </w:t>
            </w:r>
          </w:p>
        </w:tc>
      </w:tr>
      <w:tr w:rsidR="006F29B5" w:rsidRPr="00782664" w:rsidTr="006F29B5">
        <w:trPr>
          <w:trHeight w:val="49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82664">
              <w:rPr>
                <w:rFonts w:cs="Arial"/>
                <w:b/>
                <w:bCs/>
                <w:color w:val="000000"/>
                <w:sz w:val="20"/>
                <w:lang w:val="en-US" w:eastAsia="zh-CN"/>
              </w:rPr>
              <w:t xml:space="preserve">TOTAL NET ASSETS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-4</w:t>
            </w:r>
            <w:r>
              <w:rPr>
                <w:rFonts w:cs="Arial"/>
                <w:b/>
                <w:bCs/>
                <w:color w:val="000000"/>
                <w:sz w:val="20"/>
                <w:lang w:val="en-US" w:eastAsia="zh-CN"/>
              </w:rPr>
              <w:t>19</w:t>
            </w:r>
            <w:r w:rsidRPr="00782664">
              <w:rPr>
                <w:rFonts w:cs="Arial"/>
                <w:b/>
                <w:bCs/>
                <w:color w:val="000000"/>
                <w:sz w:val="20"/>
                <w:lang w:val="en-US" w:eastAsia="zh-CN"/>
              </w:rPr>
              <w:t>,</w:t>
            </w:r>
            <w:r>
              <w:rPr>
                <w:rFonts w:cs="Arial"/>
                <w:b/>
                <w:bCs/>
                <w:color w:val="000000"/>
                <w:sz w:val="20"/>
                <w:lang w:val="en-US" w:eastAsia="zh-CN"/>
              </w:rPr>
              <w:t>154</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6F29B5" w:rsidRPr="00782664"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82664">
              <w:rPr>
                <w:rFonts w:cs="Arial"/>
                <w:b/>
                <w:bCs/>
                <w:color w:val="000000"/>
                <w:sz w:val="20"/>
                <w:lang w:val="en-US" w:eastAsia="zh-CN"/>
              </w:rPr>
              <w:t xml:space="preserve">             -343,231 </w:t>
            </w:r>
          </w:p>
        </w:tc>
      </w:tr>
    </w:tbl>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sz w:val="28"/>
          <w:szCs w:val="28"/>
          <w:lang w:val="en-US"/>
        </w:rPr>
      </w:pPr>
      <w:r>
        <w:rPr>
          <w:sz w:val="28"/>
          <w:szCs w:val="28"/>
          <w:lang w:val="en-US"/>
        </w:rPr>
        <w:br w:type="page"/>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sz w:val="28"/>
          <w:szCs w:val="28"/>
          <w:lang w:val="en-US"/>
        </w:rPr>
      </w:pPr>
    </w:p>
    <w:p w:rsidR="006F29B5" w:rsidRDefault="006F29B5" w:rsidP="006F29B5">
      <w:pPr>
        <w:tabs>
          <w:tab w:val="clear" w:pos="567"/>
          <w:tab w:val="clear" w:pos="1134"/>
          <w:tab w:val="clear" w:pos="1701"/>
          <w:tab w:val="clear" w:pos="2268"/>
          <w:tab w:val="clear" w:pos="2835"/>
        </w:tabs>
        <w:overflowPunct/>
        <w:autoSpaceDE/>
        <w:autoSpaceDN/>
        <w:adjustRightInd/>
        <w:spacing w:before="360" w:after="240"/>
        <w:jc w:val="center"/>
        <w:textAlignment w:val="auto"/>
        <w:rPr>
          <w:sz w:val="28"/>
          <w:szCs w:val="28"/>
          <w:lang w:val="en-US"/>
        </w:rPr>
      </w:pPr>
      <w:r w:rsidRPr="00CD36F7">
        <w:rPr>
          <w:b/>
          <w:sz w:val="28"/>
          <w:szCs w:val="28"/>
          <w:lang w:val="en-US"/>
        </w:rPr>
        <w:t>II – Statement of financial performance for the period which closed on</w:t>
      </w:r>
      <w:r>
        <w:rPr>
          <w:b/>
          <w:sz w:val="28"/>
          <w:szCs w:val="28"/>
          <w:lang w:val="en-US"/>
        </w:rPr>
        <w:t xml:space="preserve"> </w:t>
      </w:r>
      <w:r w:rsidRPr="00CD36F7">
        <w:rPr>
          <w:b/>
          <w:sz w:val="28"/>
          <w:szCs w:val="28"/>
          <w:lang w:val="en-US"/>
        </w:rPr>
        <w:t>31 December 2016 with comparative figures as at 31 December 2015</w:t>
      </w:r>
    </w:p>
    <w:tbl>
      <w:tblPr>
        <w:tblW w:w="8920" w:type="dxa"/>
        <w:tblLook w:val="04A0" w:firstRow="1" w:lastRow="0" w:firstColumn="1" w:lastColumn="0" w:noHBand="0" w:noVBand="1"/>
      </w:tblPr>
      <w:tblGrid>
        <w:gridCol w:w="5300"/>
        <w:gridCol w:w="1780"/>
        <w:gridCol w:w="1840"/>
      </w:tblGrid>
      <w:tr w:rsidR="006F29B5" w:rsidRPr="00671577" w:rsidTr="006F29B5">
        <w:trPr>
          <w:trHeight w:val="255"/>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E33D4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33D47">
              <w:rPr>
                <w:rFonts w:cs="Arial"/>
                <w:b/>
                <w:bCs/>
                <w:color w:val="000000"/>
                <w:sz w:val="20"/>
                <w:lang w:val="en-US" w:eastAsia="zh-CN"/>
              </w:rPr>
              <w:t>(in thousands of Swiss francs)</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31/12/2016</w:t>
            </w:r>
          </w:p>
        </w:tc>
        <w:tc>
          <w:tcPr>
            <w:tcW w:w="1840" w:type="dxa"/>
            <w:tcBorders>
              <w:top w:val="single" w:sz="4" w:space="0" w:color="auto"/>
              <w:left w:val="nil"/>
              <w:bottom w:val="single" w:sz="4" w:space="0" w:color="auto"/>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31/12/2015</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 </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REVENUE</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 </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 </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Assessed contributions</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122,888</w:t>
            </w:r>
          </w:p>
        </w:tc>
        <w:tc>
          <w:tcPr>
            <w:tcW w:w="1840" w:type="dxa"/>
            <w:tcBorders>
              <w:top w:val="nil"/>
              <w:left w:val="nil"/>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126,447</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Voluntary contributions</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10,232</w:t>
            </w:r>
          </w:p>
        </w:tc>
        <w:tc>
          <w:tcPr>
            <w:tcW w:w="1840" w:type="dxa"/>
            <w:tcBorders>
              <w:top w:val="nil"/>
              <w:left w:val="nil"/>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9,227</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Other operating revenue</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41,919</w:t>
            </w:r>
          </w:p>
        </w:tc>
        <w:tc>
          <w:tcPr>
            <w:tcW w:w="1840" w:type="dxa"/>
            <w:tcBorders>
              <w:top w:val="nil"/>
              <w:left w:val="nil"/>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37,055</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In-kind contributions</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901</w:t>
            </w:r>
          </w:p>
        </w:tc>
        <w:tc>
          <w:tcPr>
            <w:tcW w:w="1840" w:type="dxa"/>
            <w:tcBorders>
              <w:top w:val="nil"/>
              <w:left w:val="nil"/>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920</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Finance revenue</w:t>
            </w:r>
          </w:p>
        </w:tc>
        <w:tc>
          <w:tcPr>
            <w:tcW w:w="1780" w:type="dxa"/>
            <w:tcBorders>
              <w:top w:val="nil"/>
              <w:left w:val="single" w:sz="4" w:space="0" w:color="auto"/>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562</w:t>
            </w:r>
          </w:p>
        </w:tc>
        <w:tc>
          <w:tcPr>
            <w:tcW w:w="1840" w:type="dxa"/>
            <w:tcBorders>
              <w:top w:val="nil"/>
              <w:left w:val="nil"/>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658</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r>
      <w:tr w:rsidR="006F29B5" w:rsidRPr="00671577" w:rsidTr="006F29B5">
        <w:trPr>
          <w:trHeight w:val="499"/>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Total revenue</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176,502</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174,307</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 </w:t>
            </w:r>
          </w:p>
        </w:tc>
      </w:tr>
      <w:tr w:rsidR="006F29B5" w:rsidRPr="00671577" w:rsidTr="006F29B5">
        <w:trPr>
          <w:trHeight w:val="31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Cs w:val="24"/>
                <w:lang w:val="en-US" w:eastAsia="zh-CN"/>
              </w:rPr>
            </w:pPr>
            <w:r w:rsidRPr="00671577">
              <w:rPr>
                <w:rFonts w:cs="Arial"/>
                <w:b/>
                <w:bCs/>
                <w:color w:val="000000"/>
                <w:szCs w:val="24"/>
                <w:lang w:val="en-US" w:eastAsia="zh-CN"/>
              </w:rPr>
              <w:t>EXPENSES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Employee expenses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146,999</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150,790</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Mission expenses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6,997</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6,880</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Contractual services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14,107</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13,039</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Rental and maintenance of premises and equipment</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4,872</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5,363</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Equipment and supplies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3,291</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3,759</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Depreciation and impairment losses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5,610</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5,550</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Shipping, telecommunication and service expenses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1,804</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1,909</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Other expenses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3,207</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1,089</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In-kind expenses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901</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920</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Finance expenses</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407</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807</w:t>
            </w:r>
          </w:p>
        </w:tc>
      </w:tr>
      <w:tr w:rsidR="006F29B5" w:rsidRPr="00671577"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c>
          <w:tcPr>
            <w:tcW w:w="1780" w:type="dxa"/>
            <w:tcBorders>
              <w:top w:val="nil"/>
              <w:left w:val="single" w:sz="4" w:space="0" w:color="auto"/>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c>
          <w:tcPr>
            <w:tcW w:w="1840" w:type="dxa"/>
            <w:tcBorders>
              <w:top w:val="nil"/>
              <w:left w:val="nil"/>
              <w:bottom w:val="nil"/>
              <w:right w:val="single" w:sz="4" w:space="0" w:color="auto"/>
            </w:tcBorders>
            <w:shd w:val="clear" w:color="auto" w:fill="auto"/>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671577">
              <w:rPr>
                <w:rFonts w:cs="Arial"/>
                <w:color w:val="000000"/>
                <w:sz w:val="20"/>
                <w:lang w:val="en-US" w:eastAsia="zh-CN"/>
              </w:rPr>
              <w:t> </w:t>
            </w:r>
          </w:p>
        </w:tc>
      </w:tr>
      <w:tr w:rsidR="006F29B5" w:rsidRPr="00671577" w:rsidTr="006F29B5">
        <w:trPr>
          <w:trHeight w:val="499"/>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Total expenses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188,195</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671577">
              <w:rPr>
                <w:rFonts w:cs="Arial"/>
                <w:b/>
                <w:bCs/>
                <w:color w:val="000000"/>
                <w:sz w:val="20"/>
                <w:lang w:val="en-US" w:eastAsia="zh-CN"/>
              </w:rPr>
              <w:t>190,106</w:t>
            </w:r>
          </w:p>
        </w:tc>
      </w:tr>
      <w:tr w:rsidR="006F29B5" w:rsidRPr="00671577" w:rsidTr="006F29B5">
        <w:trPr>
          <w:trHeight w:val="499"/>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671577">
              <w:rPr>
                <w:rFonts w:cs="Arial"/>
                <w:b/>
                <w:bCs/>
                <w:color w:val="000000"/>
                <w:sz w:val="20"/>
                <w:lang w:val="en-US" w:eastAsia="zh-CN"/>
              </w:rPr>
              <w:t>Surplus/deficit for the period</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-11,693</w:t>
            </w:r>
          </w:p>
        </w:tc>
        <w:tc>
          <w:tcPr>
            <w:tcW w:w="1840" w:type="dxa"/>
            <w:tcBorders>
              <w:top w:val="nil"/>
              <w:left w:val="nil"/>
              <w:bottom w:val="single" w:sz="4" w:space="0" w:color="auto"/>
              <w:right w:val="single" w:sz="4" w:space="0" w:color="auto"/>
            </w:tcBorders>
            <w:shd w:val="clear" w:color="auto" w:fill="auto"/>
            <w:noWrap/>
            <w:vAlign w:val="center"/>
            <w:hideMark/>
          </w:tcPr>
          <w:p w:rsidR="006F29B5" w:rsidRPr="0067157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671577">
              <w:rPr>
                <w:rFonts w:cs="Arial"/>
                <w:color w:val="000000"/>
                <w:sz w:val="20"/>
                <w:lang w:val="en-US" w:eastAsia="zh-CN"/>
              </w:rPr>
              <w:t>-15,799</w:t>
            </w:r>
          </w:p>
        </w:tc>
      </w:tr>
    </w:tbl>
    <w:p w:rsidR="006F29B5" w:rsidRPr="001C2A98"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6F29B5" w:rsidRDefault="006F29B5" w:rsidP="006F29B5">
      <w:pPr>
        <w:pStyle w:val="Tabletitle"/>
        <w:spacing w:after="0"/>
        <w:rPr>
          <w:sz w:val="28"/>
          <w:szCs w:val="28"/>
          <w:lang w:val="en-US"/>
        </w:rPr>
      </w:pPr>
    </w:p>
    <w:p w:rsidR="006F29B5" w:rsidRDefault="006F29B5" w:rsidP="006F29B5">
      <w:pPr>
        <w:pStyle w:val="Tabletitle"/>
        <w:spacing w:before="360" w:after="240"/>
        <w:rPr>
          <w:lang w:val="en-US"/>
        </w:rPr>
      </w:pPr>
      <w:r w:rsidRPr="00983A65">
        <w:rPr>
          <w:sz w:val="28"/>
          <w:szCs w:val="28"/>
          <w:lang w:val="en-US"/>
        </w:rPr>
        <w:t>III – Statement of changes in net assets for the period which closed</w:t>
      </w:r>
      <w:r>
        <w:rPr>
          <w:sz w:val="28"/>
          <w:szCs w:val="28"/>
          <w:lang w:val="en-US"/>
        </w:rPr>
        <w:br/>
      </w:r>
      <w:r w:rsidRPr="00983A65">
        <w:rPr>
          <w:sz w:val="28"/>
          <w:szCs w:val="28"/>
          <w:lang w:val="en-US"/>
        </w:rPr>
        <w:t>on</w:t>
      </w:r>
      <w:r>
        <w:rPr>
          <w:sz w:val="28"/>
          <w:szCs w:val="28"/>
          <w:lang w:val="en-US"/>
        </w:rPr>
        <w:t xml:space="preserve"> </w:t>
      </w:r>
      <w:r w:rsidRPr="00983A65">
        <w:rPr>
          <w:sz w:val="28"/>
          <w:szCs w:val="28"/>
          <w:lang w:val="en-US"/>
        </w:rPr>
        <w:t xml:space="preserve">31 December </w:t>
      </w:r>
      <w:r>
        <w:rPr>
          <w:sz w:val="28"/>
          <w:szCs w:val="28"/>
          <w:lang w:val="en-US"/>
        </w:rPr>
        <w:t>2016</w:t>
      </w:r>
    </w:p>
    <w:tbl>
      <w:tblPr>
        <w:tblW w:w="9500" w:type="dxa"/>
        <w:tblLook w:val="04A0" w:firstRow="1" w:lastRow="0" w:firstColumn="1" w:lastColumn="0" w:noHBand="0" w:noVBand="1"/>
      </w:tblPr>
      <w:tblGrid>
        <w:gridCol w:w="3300"/>
        <w:gridCol w:w="1520"/>
        <w:gridCol w:w="1620"/>
        <w:gridCol w:w="1560"/>
        <w:gridCol w:w="1500"/>
      </w:tblGrid>
      <w:tr w:rsidR="006F29B5" w:rsidRPr="00490446" w:rsidTr="006F29B5">
        <w:trPr>
          <w:trHeight w:val="78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490446">
              <w:rPr>
                <w:rFonts w:cs="Arial"/>
                <w:b/>
                <w:bCs/>
                <w:color w:val="000000"/>
                <w:sz w:val="20"/>
                <w:lang w:val="en-US" w:eastAsia="zh-CN"/>
              </w:rPr>
              <w:t>(in thousands of CHF)</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490446">
              <w:rPr>
                <w:rFonts w:cs="Arial"/>
                <w:b/>
                <w:bCs/>
                <w:color w:val="000000"/>
                <w:sz w:val="20"/>
                <w:lang w:val="en-US" w:eastAsia="zh-CN"/>
              </w:rPr>
              <w:t>31.12.2015</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490446">
              <w:rPr>
                <w:rFonts w:cs="Arial"/>
                <w:b/>
                <w:bCs/>
                <w:color w:val="000000"/>
                <w:sz w:val="20"/>
                <w:lang w:val="en-US" w:eastAsia="zh-CN"/>
              </w:rPr>
              <w:t>Surplus deficit 2016</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490446">
              <w:rPr>
                <w:rFonts w:cs="Arial"/>
                <w:b/>
                <w:bCs/>
                <w:color w:val="000000"/>
                <w:sz w:val="20"/>
                <w:lang w:val="en-US" w:eastAsia="zh-CN"/>
              </w:rPr>
              <w:t>Other adjustments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490446">
              <w:rPr>
                <w:rFonts w:cs="Arial"/>
                <w:b/>
                <w:bCs/>
                <w:color w:val="000000"/>
                <w:sz w:val="20"/>
                <w:lang w:val="en-US" w:eastAsia="zh-CN"/>
              </w:rPr>
              <w:t>31.12.2016</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90446">
              <w:rPr>
                <w:rFonts w:cs="Arial"/>
                <w:b/>
                <w:bCs/>
                <w:color w:val="000000"/>
                <w:sz w:val="18"/>
                <w:szCs w:val="18"/>
                <w:lang w:val="en-US" w:eastAsia="zh-CN"/>
              </w:rPr>
              <w:t xml:space="preserve">IPSAS transition </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90446">
              <w:rPr>
                <w:rFonts w:cs="Arial"/>
                <w:b/>
                <w:bCs/>
                <w:sz w:val="18"/>
                <w:szCs w:val="18"/>
                <w:lang w:val="en-US" w:eastAsia="zh-CN"/>
              </w:rPr>
              <w:t>-125,100</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90446">
              <w:rPr>
                <w:rFonts w:cs="Arial"/>
                <w:b/>
                <w:bCs/>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-125,100</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90446">
              <w:rPr>
                <w:rFonts w:cs="Arial"/>
                <w:b/>
                <w:bCs/>
                <w:color w:val="000000"/>
                <w:sz w:val="18"/>
                <w:szCs w:val="18"/>
                <w:lang w:val="en-US" w:eastAsia="zh-CN"/>
              </w:rPr>
              <w:t>Reserve Account</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90446">
              <w:rPr>
                <w:rFonts w:cs="Arial"/>
                <w:b/>
                <w:bCs/>
                <w:sz w:val="18"/>
                <w:szCs w:val="18"/>
                <w:lang w:val="en-US" w:eastAsia="zh-CN"/>
              </w:rPr>
              <w:t>27,522</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567</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90446">
              <w:rPr>
                <w:rFonts w:cs="Arial"/>
                <w:b/>
                <w:bCs/>
                <w:sz w:val="18"/>
                <w:szCs w:val="18"/>
                <w:lang w:val="en-US" w:eastAsia="zh-CN"/>
              </w:rPr>
              <w:t>-1,000</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27,089</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90446">
              <w:rPr>
                <w:rFonts w:cs="Arial"/>
                <w:b/>
                <w:bCs/>
                <w:color w:val="000000"/>
                <w:sz w:val="18"/>
                <w:szCs w:val="18"/>
                <w:lang w:val="en-US" w:eastAsia="zh-CN"/>
              </w:rPr>
              <w:t>Other reserves</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90446">
              <w:rPr>
                <w:rFonts w:cs="Arial"/>
                <w:b/>
                <w:bCs/>
                <w:sz w:val="18"/>
                <w:szCs w:val="18"/>
                <w:lang w:val="en-US" w:eastAsia="zh-CN"/>
              </w:rPr>
              <w:t>38,492</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4,431</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90446">
              <w:rPr>
                <w:rFonts w:cs="Arial"/>
                <w:b/>
                <w:bCs/>
                <w:sz w:val="18"/>
                <w:szCs w:val="18"/>
                <w:lang w:val="en-US" w:eastAsia="zh-CN"/>
              </w:rPr>
              <w:t>2,133</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45,056</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Investment fund</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7,933</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727</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30</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8,690</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Welfare fund</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445</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-32</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413</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Centenary fund</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308</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-52</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256</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SS&amp;B Complement fund</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6,244</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-21</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6,223</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SS&amp;B Provident fund</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1,510</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-1,510</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0</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SS&amp;B Assist</w:t>
            </w:r>
            <w:r>
              <w:rPr>
                <w:rFonts w:cs="Arial"/>
                <w:color w:val="000000"/>
                <w:sz w:val="18"/>
                <w:szCs w:val="18"/>
                <w:lang w:val="en-US" w:eastAsia="zh-CN"/>
              </w:rPr>
              <w:t>a</w:t>
            </w:r>
            <w:r w:rsidRPr="00490446">
              <w:rPr>
                <w:rFonts w:cs="Arial"/>
                <w:color w:val="000000"/>
                <w:sz w:val="18"/>
                <w:szCs w:val="18"/>
                <w:lang w:val="en-US" w:eastAsia="zh-CN"/>
              </w:rPr>
              <w:t>nce fund</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178</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100</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278</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A</w:t>
            </w:r>
            <w:r>
              <w:rPr>
                <w:rFonts w:cs="Arial"/>
                <w:color w:val="000000"/>
                <w:sz w:val="18"/>
                <w:szCs w:val="18"/>
                <w:lang w:val="en-US" w:eastAsia="zh-CN"/>
              </w:rPr>
              <w:t>SHI</w:t>
            </w:r>
            <w:r w:rsidRPr="00490446">
              <w:rPr>
                <w:rFonts w:cs="Arial"/>
                <w:color w:val="000000"/>
                <w:sz w:val="18"/>
                <w:szCs w:val="18"/>
                <w:lang w:val="en-US" w:eastAsia="zh-CN"/>
              </w:rPr>
              <w:t xml:space="preserve"> fund</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7,000</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500</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1,000</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8,500</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Health Insurance fund</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8,012</w:t>
            </w:r>
          </w:p>
        </w:tc>
        <w:tc>
          <w:tcPr>
            <w:tcW w:w="1620" w:type="dxa"/>
            <w:tcBorders>
              <w:top w:val="nil"/>
              <w:left w:val="nil"/>
              <w:bottom w:val="nil"/>
              <w:right w:val="single" w:sz="8" w:space="0" w:color="auto"/>
            </w:tcBorders>
            <w:shd w:val="clear" w:color="auto" w:fill="auto"/>
            <w:noWrap/>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 xml:space="preserve">                        1,000</w:t>
            </w:r>
          </w:p>
        </w:tc>
        <w:tc>
          <w:tcPr>
            <w:tcW w:w="1560" w:type="dxa"/>
            <w:tcBorders>
              <w:top w:val="nil"/>
              <w:left w:val="nil"/>
              <w:bottom w:val="nil"/>
              <w:right w:val="single" w:sz="8" w:space="0" w:color="auto"/>
            </w:tcBorders>
            <w:shd w:val="clear" w:color="auto" w:fill="auto"/>
            <w:noWrap/>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3,181</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12,193</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Extra budgetary allocated reserves</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6,409</w:t>
            </w:r>
          </w:p>
        </w:tc>
        <w:tc>
          <w:tcPr>
            <w:tcW w:w="1620" w:type="dxa"/>
            <w:tcBorders>
              <w:top w:val="nil"/>
              <w:left w:val="nil"/>
              <w:bottom w:val="nil"/>
              <w:right w:val="single" w:sz="8" w:space="0" w:color="auto"/>
            </w:tcBorders>
            <w:shd w:val="clear" w:color="auto" w:fill="auto"/>
            <w:noWrap/>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2,225</w:t>
            </w:r>
          </w:p>
        </w:tc>
        <w:tc>
          <w:tcPr>
            <w:tcW w:w="1560" w:type="dxa"/>
            <w:tcBorders>
              <w:top w:val="nil"/>
              <w:left w:val="nil"/>
              <w:bottom w:val="nil"/>
              <w:right w:val="single" w:sz="8" w:space="0" w:color="auto"/>
            </w:tcBorders>
            <w:shd w:val="clear" w:color="auto" w:fill="auto"/>
            <w:noWrap/>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-980</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7,654</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Currency exchange translation</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453</w:t>
            </w:r>
          </w:p>
        </w:tc>
        <w:tc>
          <w:tcPr>
            <w:tcW w:w="1620" w:type="dxa"/>
            <w:tcBorders>
              <w:top w:val="nil"/>
              <w:left w:val="nil"/>
              <w:bottom w:val="nil"/>
              <w:right w:val="single" w:sz="8" w:space="0" w:color="auto"/>
            </w:tcBorders>
            <w:shd w:val="clear" w:color="auto" w:fill="auto"/>
            <w:noWrap/>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noWrap/>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396</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849</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90446">
              <w:rPr>
                <w:rFonts w:cs="Arial"/>
                <w:b/>
                <w:bCs/>
                <w:color w:val="000000"/>
                <w:sz w:val="18"/>
                <w:szCs w:val="18"/>
                <w:lang w:val="en-US" w:eastAsia="zh-CN"/>
              </w:rPr>
              <w:t>Extra-budgetary activities related funds</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90446">
              <w:rPr>
                <w:rFonts w:cs="Arial"/>
                <w:b/>
                <w:bCs/>
                <w:sz w:val="18"/>
                <w:szCs w:val="18"/>
                <w:lang w:val="en-US" w:eastAsia="zh-CN"/>
              </w:rPr>
              <w:t>11,908</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847</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80</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12,835</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TLC</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9,210</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926</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-61</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10,075</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90446">
              <w:rPr>
                <w:rFonts w:cs="Arial"/>
                <w:color w:val="000000"/>
                <w:sz w:val="18"/>
                <w:szCs w:val="18"/>
                <w:lang w:val="en-US" w:eastAsia="zh-CN"/>
              </w:rPr>
              <w:t>Others</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90446">
              <w:rPr>
                <w:rFonts w:cs="Arial"/>
                <w:sz w:val="18"/>
                <w:szCs w:val="18"/>
                <w:lang w:val="en-US" w:eastAsia="zh-CN"/>
              </w:rPr>
              <w:t>2,698</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-79</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141</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2,760</w:t>
            </w:r>
          </w:p>
        </w:tc>
      </w:tr>
      <w:tr w:rsidR="006F29B5" w:rsidRPr="00490446"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90446">
              <w:rPr>
                <w:rFonts w:cs="Arial"/>
                <w:b/>
                <w:bCs/>
                <w:color w:val="000000"/>
                <w:sz w:val="18"/>
                <w:szCs w:val="18"/>
                <w:lang w:val="en-US" w:eastAsia="zh-CN"/>
              </w:rPr>
              <w:t>ASHI actuarial losses</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90446">
              <w:rPr>
                <w:rFonts w:cs="Arial"/>
                <w:b/>
                <w:bCs/>
                <w:sz w:val="18"/>
                <w:szCs w:val="18"/>
                <w:lang w:val="en-US" w:eastAsia="zh-CN"/>
              </w:rPr>
              <w:t>-257,136</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-65,443</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-322,579</w:t>
            </w:r>
          </w:p>
        </w:tc>
      </w:tr>
      <w:tr w:rsidR="006F29B5" w:rsidRPr="00490446" w:rsidTr="006F29B5">
        <w:trPr>
          <w:trHeight w:val="270"/>
        </w:trPr>
        <w:tc>
          <w:tcPr>
            <w:tcW w:w="3300" w:type="dxa"/>
            <w:tcBorders>
              <w:top w:val="nil"/>
              <w:left w:val="single" w:sz="8" w:space="0" w:color="auto"/>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90446">
              <w:rPr>
                <w:rFonts w:cs="Arial"/>
                <w:b/>
                <w:bCs/>
                <w:color w:val="000000"/>
                <w:sz w:val="20"/>
                <w:lang w:val="en-US" w:eastAsia="zh-CN"/>
              </w:rPr>
              <w:t>IPSAS cumulated deficit (statistical)</w:t>
            </w:r>
          </w:p>
        </w:tc>
        <w:tc>
          <w:tcPr>
            <w:tcW w:w="15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-38,918</w:t>
            </w:r>
          </w:p>
        </w:tc>
        <w:tc>
          <w:tcPr>
            <w:tcW w:w="162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90446">
              <w:rPr>
                <w:rFonts w:cs="Arial"/>
                <w:color w:val="000000"/>
                <w:sz w:val="18"/>
                <w:szCs w:val="18"/>
                <w:lang w:val="en-US" w:eastAsia="zh-CN"/>
              </w:rPr>
              <w:t>-17,538</w:t>
            </w:r>
          </w:p>
        </w:tc>
        <w:tc>
          <w:tcPr>
            <w:tcW w:w="156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-56,456</w:t>
            </w:r>
          </w:p>
        </w:tc>
      </w:tr>
      <w:tr w:rsidR="006F29B5" w:rsidRPr="00490446" w:rsidTr="006F29B5">
        <w:trPr>
          <w:trHeight w:val="27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90446">
              <w:rPr>
                <w:rFonts w:cs="Arial"/>
                <w:b/>
                <w:bCs/>
                <w:color w:val="000000"/>
                <w:sz w:val="18"/>
                <w:szCs w:val="18"/>
                <w:lang w:val="en-US" w:eastAsia="zh-CN"/>
              </w:rPr>
              <w:t xml:space="preserve">Total net assets </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-343,231</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-11,693</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-64,230</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6F29B5" w:rsidRPr="0049044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90446">
              <w:rPr>
                <w:rFonts w:cs="Arial"/>
                <w:b/>
                <w:bCs/>
                <w:color w:val="000000"/>
                <w:sz w:val="18"/>
                <w:szCs w:val="18"/>
                <w:lang w:val="en-US" w:eastAsia="zh-CN"/>
              </w:rPr>
              <w:t>-419,154</w:t>
            </w:r>
          </w:p>
        </w:tc>
      </w:tr>
    </w:tbl>
    <w:p w:rsidR="006F29B5" w:rsidRDefault="006F29B5" w:rsidP="006F29B5">
      <w:pPr>
        <w:pStyle w:val="Tabletitle"/>
        <w:rPr>
          <w:lang w:val="en-US"/>
        </w:rPr>
      </w:pPr>
      <w:r>
        <w:rPr>
          <w:lang w:val="en-US"/>
        </w:rPr>
        <w:br w:type="page"/>
      </w:r>
    </w:p>
    <w:p w:rsidR="006F29B5" w:rsidRDefault="006F29B5" w:rsidP="006F29B5">
      <w:pPr>
        <w:pStyle w:val="Tabletitle"/>
        <w:rPr>
          <w:lang w:val="en-US"/>
        </w:rPr>
      </w:pPr>
    </w:p>
    <w:p w:rsidR="006F29B5" w:rsidRDefault="006F29B5" w:rsidP="006F29B5">
      <w:pPr>
        <w:pStyle w:val="Tabletitle"/>
        <w:rPr>
          <w:sz w:val="28"/>
          <w:szCs w:val="28"/>
          <w:lang w:val="en-US"/>
        </w:rPr>
      </w:pPr>
      <w:r>
        <w:rPr>
          <w:sz w:val="28"/>
          <w:szCs w:val="28"/>
          <w:lang w:val="en-US"/>
        </w:rPr>
        <w:t>IV – Statement of cash flows for the period closed on 31 December 2016</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C370FC">
        <w:rPr>
          <w:noProof/>
          <w:lang w:val="en-US" w:eastAsia="zh-CN"/>
        </w:rPr>
        <w:drawing>
          <wp:inline distT="0" distB="0" distL="0" distR="0" wp14:anchorId="6B6B723D" wp14:editId="140A8DB1">
            <wp:extent cx="5286375" cy="8886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8886825"/>
                    </a:xfrm>
                    <a:prstGeom prst="rect">
                      <a:avLst/>
                    </a:prstGeom>
                    <a:noFill/>
                    <a:ln>
                      <a:noFill/>
                    </a:ln>
                  </pic:spPr>
                </pic:pic>
              </a:graphicData>
            </a:graphic>
          </wp:inline>
        </w:drawing>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rsidR="006F29B5" w:rsidRDefault="006F29B5" w:rsidP="006F29B5">
      <w:pPr>
        <w:pStyle w:val="Tabletitle"/>
        <w:spacing w:before="360" w:after="0"/>
        <w:ind w:left="-567" w:right="-567"/>
        <w:rPr>
          <w:sz w:val="28"/>
          <w:szCs w:val="28"/>
          <w:lang w:val="en-US"/>
        </w:rPr>
      </w:pPr>
      <w:r w:rsidRPr="001114BA">
        <w:rPr>
          <w:sz w:val="28"/>
          <w:szCs w:val="28"/>
          <w:lang w:val="en-US"/>
        </w:rPr>
        <w:t xml:space="preserve">V – </w:t>
      </w:r>
      <w:r w:rsidRPr="00FF715A">
        <w:rPr>
          <w:sz w:val="28"/>
          <w:szCs w:val="28"/>
          <w:lang w:val="en-US"/>
        </w:rPr>
        <w:t>S</w:t>
      </w:r>
      <w:r>
        <w:rPr>
          <w:sz w:val="28"/>
          <w:szCs w:val="28"/>
          <w:lang w:val="en-US"/>
        </w:rPr>
        <w:t xml:space="preserve">tatement of comparison of budgeted and actual amounts for the 2016 </w:t>
      </w:r>
      <w:r w:rsidRPr="001114BA">
        <w:rPr>
          <w:sz w:val="28"/>
          <w:szCs w:val="28"/>
          <w:lang w:val="en-US"/>
        </w:rPr>
        <w:t>financial period</w:t>
      </w:r>
    </w:p>
    <w:p w:rsidR="006F29B5" w:rsidRDefault="006F29B5" w:rsidP="00114D96">
      <w:pPr>
        <w:pStyle w:val="Tabletitle"/>
        <w:tabs>
          <w:tab w:val="center" w:pos="4890"/>
          <w:tab w:val="left" w:pos="6750"/>
        </w:tabs>
        <w:spacing w:after="240"/>
        <w:ind w:left="-567" w:right="-567"/>
        <w:rPr>
          <w:bCs/>
          <w:sz w:val="20"/>
          <w:lang w:val="en-US"/>
        </w:rPr>
      </w:pPr>
      <w:r w:rsidRPr="001577D5">
        <w:rPr>
          <w:bCs/>
          <w:sz w:val="20"/>
          <w:lang w:val="en-US"/>
        </w:rPr>
        <w:t>(in thousands of CHF)</w:t>
      </w:r>
    </w:p>
    <w:tbl>
      <w:tblPr>
        <w:tblW w:w="10636" w:type="dxa"/>
        <w:tblInd w:w="-431" w:type="dxa"/>
        <w:tblLook w:val="04A0" w:firstRow="1" w:lastRow="0" w:firstColumn="1" w:lastColumn="0" w:noHBand="0" w:noVBand="1"/>
      </w:tblPr>
      <w:tblGrid>
        <w:gridCol w:w="3238"/>
        <w:gridCol w:w="967"/>
        <w:gridCol w:w="1056"/>
        <w:gridCol w:w="1079"/>
        <w:gridCol w:w="1080"/>
        <w:gridCol w:w="1483"/>
        <w:gridCol w:w="1733"/>
      </w:tblGrid>
      <w:tr w:rsidR="006F29B5" w:rsidRPr="00382D49" w:rsidTr="006F29B5">
        <w:trPr>
          <w:trHeight w:val="222"/>
        </w:trPr>
        <w:tc>
          <w:tcPr>
            <w:tcW w:w="3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382D49">
              <w:rPr>
                <w:rFonts w:cs="Arial"/>
                <w:b/>
                <w:bCs/>
                <w:color w:val="000000"/>
                <w:sz w:val="20"/>
                <w:lang w:val="en-US" w:eastAsia="zh-CN"/>
              </w:rPr>
              <w:t>Revenue</w:t>
            </w:r>
          </w:p>
        </w:tc>
        <w:tc>
          <w:tcPr>
            <w:tcW w:w="418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Budgeted amounts</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Actual amounts on a comparable basis</w:t>
            </w:r>
          </w:p>
        </w:tc>
        <w:tc>
          <w:tcPr>
            <w:tcW w:w="17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Difference between final budget and actual amounts</w:t>
            </w:r>
          </w:p>
        </w:tc>
      </w:tr>
      <w:tr w:rsidR="006F29B5" w:rsidRPr="00382D49" w:rsidTr="006F29B5">
        <w:trPr>
          <w:trHeight w:val="551"/>
        </w:trPr>
        <w:tc>
          <w:tcPr>
            <w:tcW w:w="3238" w:type="dxa"/>
            <w:vMerge/>
            <w:tcBorders>
              <w:top w:val="single" w:sz="4" w:space="0" w:color="auto"/>
              <w:left w:val="single" w:sz="4" w:space="0" w:color="auto"/>
              <w:bottom w:val="single" w:sz="4" w:space="0" w:color="000000"/>
              <w:right w:val="single" w:sz="4" w:space="0" w:color="auto"/>
            </w:tcBorders>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967" w:type="dxa"/>
            <w:tcBorders>
              <w:top w:val="nil"/>
              <w:left w:val="nil"/>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Initial Budget</w:t>
            </w:r>
          </w:p>
        </w:tc>
        <w:tc>
          <w:tcPr>
            <w:tcW w:w="1056" w:type="dxa"/>
            <w:tcBorders>
              <w:top w:val="nil"/>
              <w:left w:val="nil"/>
              <w:bottom w:val="single" w:sz="4" w:space="0" w:color="auto"/>
              <w:right w:val="nil"/>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deferred activity</w:t>
            </w: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Budget transfers</w:t>
            </w:r>
          </w:p>
        </w:tc>
        <w:tc>
          <w:tcPr>
            <w:tcW w:w="1079" w:type="dxa"/>
            <w:tcBorders>
              <w:top w:val="nil"/>
              <w:left w:val="nil"/>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Final budget</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733" w:type="dxa"/>
            <w:vMerge/>
            <w:tcBorders>
              <w:top w:val="single" w:sz="4" w:space="0" w:color="auto"/>
              <w:left w:val="single" w:sz="4" w:space="0" w:color="auto"/>
              <w:bottom w:val="single" w:sz="4" w:space="0" w:color="000000"/>
              <w:right w:val="single" w:sz="4" w:space="0" w:color="auto"/>
            </w:tcBorders>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r>
      <w:tr w:rsidR="006F29B5" w:rsidRPr="00382D49" w:rsidTr="006F29B5">
        <w:trPr>
          <w:trHeight w:val="380"/>
        </w:trPr>
        <w:tc>
          <w:tcPr>
            <w:tcW w:w="3238" w:type="dxa"/>
            <w:vMerge/>
            <w:tcBorders>
              <w:top w:val="single" w:sz="4" w:space="0" w:color="auto"/>
              <w:left w:val="single" w:sz="4" w:space="0" w:color="auto"/>
              <w:bottom w:val="single" w:sz="4" w:space="0" w:color="000000"/>
              <w:right w:val="single" w:sz="4" w:space="0" w:color="auto"/>
            </w:tcBorders>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967"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31.12.2016 </w:t>
            </w:r>
          </w:p>
        </w:tc>
        <w:tc>
          <w:tcPr>
            <w:tcW w:w="1056"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31.12.2016 </w:t>
            </w:r>
          </w:p>
        </w:tc>
        <w:tc>
          <w:tcPr>
            <w:tcW w:w="1079"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31.12.2016 </w:t>
            </w:r>
          </w:p>
        </w:tc>
        <w:tc>
          <w:tcPr>
            <w:tcW w:w="1079"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31.12.2016 </w:t>
            </w:r>
          </w:p>
        </w:tc>
        <w:tc>
          <w:tcPr>
            <w:tcW w:w="1483"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31.12.2016 </w:t>
            </w:r>
          </w:p>
        </w:tc>
        <w:tc>
          <w:tcPr>
            <w:tcW w:w="1733"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31.12.2016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382D49">
              <w:rPr>
                <w:rFonts w:cs="Arial"/>
                <w:b/>
                <w:bCs/>
                <w:color w:val="000000"/>
                <w:sz w:val="16"/>
                <w:szCs w:val="16"/>
                <w:lang w:val="en-US" w:eastAsia="zh-CN"/>
              </w:rPr>
              <w:t>Assessed contributions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124,401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124,401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122,891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-1,510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382D49">
              <w:rPr>
                <w:rFonts w:cs="Arial"/>
                <w:b/>
                <w:bCs/>
                <w:color w:val="000000"/>
                <w:sz w:val="16"/>
                <w:szCs w:val="16"/>
                <w:lang w:val="en-US" w:eastAsia="zh-CN"/>
              </w:rPr>
              <w:t>Cost recovery</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4,625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34,625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34,566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-59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382D49">
              <w:rPr>
                <w:rFonts w:cs="Arial"/>
                <w:b/>
                <w:bCs/>
                <w:color w:val="000000"/>
                <w:sz w:val="16"/>
                <w:szCs w:val="16"/>
                <w:lang w:val="en-US" w:eastAsia="zh-CN"/>
              </w:rPr>
              <w:t>Interests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300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300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68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-232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382D49">
              <w:rPr>
                <w:rFonts w:cs="Arial"/>
                <w:b/>
                <w:bCs/>
                <w:color w:val="000000"/>
                <w:sz w:val="16"/>
                <w:szCs w:val="16"/>
                <w:lang w:val="en-US" w:eastAsia="zh-CN"/>
              </w:rPr>
              <w:t>Other revenue</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382D49">
              <w:rPr>
                <w:rFonts w:cs="Arial"/>
                <w:b/>
                <w:bCs/>
                <w:sz w:val="16"/>
                <w:szCs w:val="16"/>
                <w:lang w:val="en-US" w:eastAsia="zh-CN"/>
              </w:rPr>
              <w:t xml:space="preserve">           100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100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382D49">
              <w:rPr>
                <w:rFonts w:cs="Arial"/>
                <w:b/>
                <w:bCs/>
                <w:sz w:val="16"/>
                <w:szCs w:val="16"/>
                <w:lang w:val="en-US" w:eastAsia="zh-CN"/>
              </w:rPr>
              <w:t xml:space="preserve">              208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382D49">
              <w:rPr>
                <w:rFonts w:cs="Arial"/>
                <w:b/>
                <w:bCs/>
                <w:sz w:val="16"/>
                <w:szCs w:val="16"/>
                <w:lang w:val="en-US" w:eastAsia="zh-CN"/>
              </w:rPr>
              <w:t xml:space="preserve">          108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382D49">
              <w:rPr>
                <w:rFonts w:cs="Arial"/>
                <w:b/>
                <w:bCs/>
                <w:color w:val="000000"/>
                <w:sz w:val="16"/>
                <w:szCs w:val="16"/>
                <w:lang w:val="en-US" w:eastAsia="zh-CN"/>
              </w:rPr>
              <w:t>Withdrawal from Reserve Account</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1,334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-317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1,017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-1,017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382D49">
              <w:rPr>
                <w:rFonts w:cs="Arial"/>
                <w:color w:val="000000"/>
                <w:sz w:val="16"/>
                <w:szCs w:val="16"/>
                <w:lang w:val="en-US" w:eastAsia="zh-CN"/>
              </w:rPr>
              <w:t> </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733"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Total revenue</w:t>
            </w:r>
          </w:p>
        </w:tc>
        <w:tc>
          <w:tcPr>
            <w:tcW w:w="967"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160,760 </w:t>
            </w:r>
          </w:p>
        </w:tc>
        <w:tc>
          <w:tcPr>
            <w:tcW w:w="1056"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-317 </w:t>
            </w:r>
          </w:p>
        </w:tc>
        <w:tc>
          <w:tcPr>
            <w:tcW w:w="1079"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p>
        </w:tc>
        <w:tc>
          <w:tcPr>
            <w:tcW w:w="1079"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160,443 </w:t>
            </w:r>
          </w:p>
        </w:tc>
        <w:tc>
          <w:tcPr>
            <w:tcW w:w="1483"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157,733 </w:t>
            </w:r>
          </w:p>
        </w:tc>
        <w:tc>
          <w:tcPr>
            <w:tcW w:w="1733"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-2,710 </w:t>
            </w:r>
          </w:p>
        </w:tc>
      </w:tr>
      <w:tr w:rsidR="006F29B5" w:rsidRPr="00382D49" w:rsidTr="006F29B5">
        <w:trPr>
          <w:trHeight w:val="222"/>
        </w:trPr>
        <w:tc>
          <w:tcPr>
            <w:tcW w:w="3238" w:type="dxa"/>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382D49">
              <w:rPr>
                <w:rFonts w:cs="Arial"/>
                <w:b/>
                <w:bCs/>
                <w:color w:val="000000"/>
                <w:sz w:val="20"/>
                <w:lang w:val="en-US" w:eastAsia="zh-CN"/>
              </w:rPr>
              <w:t>Expenses</w:t>
            </w:r>
          </w:p>
        </w:tc>
        <w:tc>
          <w:tcPr>
            <w:tcW w:w="418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Budgeted amounts</w:t>
            </w:r>
          </w:p>
        </w:tc>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Actual amounts on a comparable basis</w:t>
            </w:r>
          </w:p>
        </w:tc>
        <w:tc>
          <w:tcPr>
            <w:tcW w:w="1733" w:type="dxa"/>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Difference between final budget and actual amounts</w:t>
            </w:r>
          </w:p>
        </w:tc>
      </w:tr>
      <w:tr w:rsidR="006F29B5" w:rsidRPr="00382D49" w:rsidTr="006F29B5">
        <w:trPr>
          <w:trHeight w:val="551"/>
        </w:trPr>
        <w:tc>
          <w:tcPr>
            <w:tcW w:w="3238" w:type="dxa"/>
            <w:vMerge/>
            <w:tcBorders>
              <w:top w:val="nil"/>
              <w:left w:val="single" w:sz="4" w:space="0" w:color="auto"/>
              <w:bottom w:val="single" w:sz="4" w:space="0" w:color="000000"/>
              <w:right w:val="single" w:sz="4" w:space="0" w:color="auto"/>
            </w:tcBorders>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967" w:type="dxa"/>
            <w:tcBorders>
              <w:top w:val="nil"/>
              <w:left w:val="nil"/>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Initial Budget</w:t>
            </w:r>
          </w:p>
        </w:tc>
        <w:tc>
          <w:tcPr>
            <w:tcW w:w="1056" w:type="dxa"/>
            <w:tcBorders>
              <w:top w:val="nil"/>
              <w:left w:val="nil"/>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Deferred activity</w:t>
            </w:r>
          </w:p>
        </w:tc>
        <w:tc>
          <w:tcPr>
            <w:tcW w:w="1079" w:type="dxa"/>
            <w:tcBorders>
              <w:top w:val="nil"/>
              <w:left w:val="nil"/>
              <w:bottom w:val="single" w:sz="4" w:space="0" w:color="auto"/>
              <w:right w:val="nil"/>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Budget transfers</w:t>
            </w: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Final budget</w:t>
            </w:r>
          </w:p>
        </w:tc>
        <w:tc>
          <w:tcPr>
            <w:tcW w:w="1483" w:type="dxa"/>
            <w:vMerge/>
            <w:tcBorders>
              <w:top w:val="nil"/>
              <w:left w:val="single" w:sz="4" w:space="0" w:color="auto"/>
              <w:bottom w:val="single" w:sz="4" w:space="0" w:color="000000"/>
              <w:right w:val="single" w:sz="4" w:space="0" w:color="auto"/>
            </w:tcBorders>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733" w:type="dxa"/>
            <w:vMerge/>
            <w:tcBorders>
              <w:top w:val="nil"/>
              <w:left w:val="single" w:sz="4" w:space="0" w:color="auto"/>
              <w:bottom w:val="single" w:sz="4" w:space="0" w:color="000000"/>
              <w:right w:val="single" w:sz="4" w:space="0" w:color="auto"/>
            </w:tcBorders>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r>
      <w:tr w:rsidR="006F29B5" w:rsidRPr="00382D49" w:rsidTr="006F29B5">
        <w:trPr>
          <w:trHeight w:val="222"/>
        </w:trPr>
        <w:tc>
          <w:tcPr>
            <w:tcW w:w="3238" w:type="dxa"/>
            <w:vMerge/>
            <w:tcBorders>
              <w:top w:val="nil"/>
              <w:left w:val="single" w:sz="4" w:space="0" w:color="auto"/>
              <w:bottom w:val="single" w:sz="4" w:space="0" w:color="000000"/>
              <w:right w:val="single" w:sz="4" w:space="0" w:color="auto"/>
            </w:tcBorders>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967"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1.12.2016 </w:t>
            </w:r>
          </w:p>
        </w:tc>
        <w:tc>
          <w:tcPr>
            <w:tcW w:w="1056"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31.12.2016 </w:t>
            </w:r>
          </w:p>
        </w:tc>
        <w:tc>
          <w:tcPr>
            <w:tcW w:w="1079"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w:t>
            </w:r>
          </w:p>
        </w:tc>
        <w:tc>
          <w:tcPr>
            <w:tcW w:w="1079"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31.12.2016 </w:t>
            </w:r>
          </w:p>
        </w:tc>
        <w:tc>
          <w:tcPr>
            <w:tcW w:w="1483"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31.12.2016 </w:t>
            </w:r>
          </w:p>
        </w:tc>
        <w:tc>
          <w:tcPr>
            <w:tcW w:w="1733" w:type="dxa"/>
            <w:tcBorders>
              <w:top w:val="nil"/>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382D49">
              <w:rPr>
                <w:rFonts w:cs="Arial"/>
                <w:b/>
                <w:bCs/>
                <w:color w:val="000000"/>
                <w:sz w:val="16"/>
                <w:szCs w:val="16"/>
                <w:lang w:val="en-US" w:eastAsia="zh-CN"/>
              </w:rPr>
              <w:t xml:space="preserve"> 31.12.2016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General Secretariat</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90,305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-70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90,235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84,119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6,116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Radiocommunication Sector</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28,898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28,898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26,891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2,007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Telecommunication Standardization Sector</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13,394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70</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13,464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13,460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4 </w:t>
            </w:r>
          </w:p>
        </w:tc>
      </w:tr>
      <w:tr w:rsidR="006F29B5" w:rsidRPr="00382D49" w:rsidTr="006F29B5">
        <w:trPr>
          <w:trHeight w:val="210"/>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Telecommunication Development Sector</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28,163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-317 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27,846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27,676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170 </w:t>
            </w:r>
          </w:p>
        </w:tc>
      </w:tr>
      <w:tr w:rsidR="006F29B5" w:rsidRPr="00382D49" w:rsidTr="006F29B5">
        <w:trPr>
          <w:trHeight w:val="210"/>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Expenses not foreseen in approved budget</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 xml:space="preserve">                        331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-331 </w:t>
            </w:r>
          </w:p>
        </w:tc>
      </w:tr>
      <w:tr w:rsidR="006F29B5" w:rsidRPr="00382D49" w:rsidTr="006F29B5">
        <w:trPr>
          <w:trHeight w:val="222"/>
        </w:trPr>
        <w:tc>
          <w:tcPr>
            <w:tcW w:w="3238" w:type="dxa"/>
            <w:tcBorders>
              <w:top w:val="single" w:sz="4" w:space="0" w:color="auto"/>
              <w:left w:val="single" w:sz="4" w:space="0" w:color="auto"/>
              <w:bottom w:val="single" w:sz="4" w:space="0" w:color="auto"/>
              <w:right w:val="nil"/>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xml:space="preserve"> Total expenses  </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160,760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-317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160,443 </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152,477 </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7,966 </w:t>
            </w:r>
          </w:p>
        </w:tc>
      </w:tr>
      <w:tr w:rsidR="006F29B5" w:rsidRPr="00382D49" w:rsidTr="006F29B5">
        <w:trPr>
          <w:trHeight w:val="222"/>
        </w:trPr>
        <w:tc>
          <w:tcPr>
            <w:tcW w:w="3238" w:type="dxa"/>
            <w:tcBorders>
              <w:top w:val="nil"/>
              <w:left w:val="single" w:sz="4" w:space="0" w:color="auto"/>
              <w:bottom w:val="single" w:sz="4" w:space="0" w:color="auto"/>
              <w:right w:val="nil"/>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Result</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56"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79"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79"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483"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 xml:space="preserve">             5,256 </w:t>
            </w:r>
          </w:p>
        </w:tc>
        <w:tc>
          <w:tcPr>
            <w:tcW w:w="1733" w:type="dxa"/>
            <w:tcBorders>
              <w:top w:val="nil"/>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ASHI</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-13,667</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Capitalization of fixed assets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1,421</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Recognition of inventories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-9</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Depreciation</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-5,026</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Exchange rate gains/losses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-57</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Repayment of FIPOI loan not considered as expense</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1,493</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Changes in and use of provision for doubtful debts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-1,695</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Sales of assets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2</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Other expenses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0</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19"/>
        </w:trPr>
        <w:tc>
          <w:tcPr>
            <w:tcW w:w="3238" w:type="dxa"/>
            <w:tcBorders>
              <w:top w:val="nil"/>
              <w:left w:val="single" w:sz="4" w:space="0" w:color="auto"/>
              <w:bottom w:val="nil"/>
              <w:right w:val="nil"/>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35"/>
        </w:trPr>
        <w:tc>
          <w:tcPr>
            <w:tcW w:w="3238" w:type="dxa"/>
            <w:tcBorders>
              <w:top w:val="single" w:sz="4" w:space="0" w:color="auto"/>
              <w:left w:val="single" w:sz="4" w:space="0" w:color="auto"/>
              <w:bottom w:val="single" w:sz="4" w:space="0" w:color="auto"/>
              <w:right w:val="nil"/>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Total IPSAS difference</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-17,538</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Surplus/ Deficit on Fund 1000</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5,256</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382D49">
              <w:rPr>
                <w:rFonts w:cs="Arial"/>
                <w:sz w:val="20"/>
                <w:lang w:val="en-US" w:eastAsia="zh-CN"/>
              </w:rPr>
              <w:t>Increase of the investment fund</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490</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382D49">
              <w:rPr>
                <w:rFonts w:cs="Arial"/>
                <w:sz w:val="20"/>
                <w:lang w:val="en-US" w:eastAsia="zh-CN"/>
              </w:rPr>
              <w:t>Perimeter differences</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382D49">
              <w:rPr>
                <w:rFonts w:cs="Arial"/>
                <w:i/>
                <w:iCs/>
                <w:color w:val="000000"/>
                <w:sz w:val="16"/>
                <w:szCs w:val="16"/>
                <w:lang w:val="en-US" w:eastAsia="zh-CN"/>
              </w:rPr>
              <w:t>99</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222"/>
        </w:trPr>
        <w:tc>
          <w:tcPr>
            <w:tcW w:w="3238" w:type="dxa"/>
            <w:tcBorders>
              <w:top w:val="nil"/>
              <w:left w:val="single" w:sz="4" w:space="0" w:color="auto"/>
              <w:bottom w:val="nil"/>
              <w:right w:val="nil"/>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382D49">
              <w:rPr>
                <w:rFonts w:cs="Arial"/>
                <w:sz w:val="20"/>
                <w:lang w:val="en-US" w:eastAsia="zh-CN"/>
              </w:rPr>
              <w:t> </w:t>
            </w:r>
          </w:p>
        </w:tc>
        <w:tc>
          <w:tcPr>
            <w:tcW w:w="967" w:type="dxa"/>
            <w:tcBorders>
              <w:top w:val="nil"/>
              <w:left w:val="single" w:sz="4" w:space="0" w:color="auto"/>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56"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079"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c>
          <w:tcPr>
            <w:tcW w:w="148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382D49">
              <w:rPr>
                <w:rFonts w:cs="Arial"/>
                <w:i/>
                <w:iCs/>
                <w:color w:val="000000"/>
                <w:sz w:val="16"/>
                <w:szCs w:val="16"/>
                <w:lang w:val="en-US" w:eastAsia="zh-CN"/>
              </w:rPr>
              <w:t> </w:t>
            </w:r>
          </w:p>
        </w:tc>
        <w:tc>
          <w:tcPr>
            <w:tcW w:w="1733" w:type="dxa"/>
            <w:tcBorders>
              <w:top w:val="nil"/>
              <w:left w:val="nil"/>
              <w:bottom w:val="nil"/>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382D49">
              <w:rPr>
                <w:rFonts w:cs="Arial"/>
                <w:color w:val="000000"/>
                <w:sz w:val="20"/>
                <w:lang w:val="en-US" w:eastAsia="zh-CN"/>
              </w:rPr>
              <w:t> </w:t>
            </w:r>
          </w:p>
        </w:tc>
      </w:tr>
      <w:tr w:rsidR="006F29B5" w:rsidRPr="00382D49" w:rsidTr="006F29B5">
        <w:trPr>
          <w:trHeight w:val="446"/>
        </w:trPr>
        <w:tc>
          <w:tcPr>
            <w:tcW w:w="3238" w:type="dxa"/>
            <w:tcBorders>
              <w:top w:val="single" w:sz="4" w:space="0" w:color="auto"/>
              <w:left w:val="single" w:sz="4" w:space="0" w:color="auto"/>
              <w:bottom w:val="single" w:sz="4" w:space="0" w:color="auto"/>
              <w:right w:val="nil"/>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Surplus/Deficit as shown in the statement of financial performance</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82D49">
              <w:rPr>
                <w:rFonts w:cs="Arial"/>
                <w:b/>
                <w:bCs/>
                <w:color w:val="000000"/>
                <w:sz w:val="20"/>
                <w:lang w:val="en-US" w:eastAsia="zh-CN"/>
              </w:rPr>
              <w:t>-11,693</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rsidR="006F29B5" w:rsidRPr="00382D4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382D49">
              <w:rPr>
                <w:rFonts w:cs="Arial"/>
                <w:b/>
                <w:bCs/>
                <w:color w:val="000000"/>
                <w:sz w:val="20"/>
                <w:lang w:val="en-US" w:eastAsia="zh-CN"/>
              </w:rPr>
              <w:t> </w:t>
            </w:r>
          </w:p>
        </w:tc>
      </w:tr>
    </w:tbl>
    <w:p w:rsidR="006F29B5" w:rsidRPr="00486B4E"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sz w:val="20"/>
        </w:rPr>
      </w:pPr>
      <w:r w:rsidRPr="00486B4E">
        <w:br w:type="page"/>
      </w:r>
    </w:p>
    <w:p w:rsidR="006F29B5" w:rsidRPr="00C62A93" w:rsidRDefault="006F29B5" w:rsidP="006F29B5">
      <w:pPr>
        <w:pStyle w:val="AnnexNo"/>
        <w:jc w:val="left"/>
        <w:rPr>
          <w:sz w:val="4"/>
          <w:szCs w:val="4"/>
        </w:rPr>
      </w:pPr>
    </w:p>
    <w:p w:rsidR="006F29B5" w:rsidRDefault="006F29B5" w:rsidP="006F29B5">
      <w:pPr>
        <w:pStyle w:val="AnnexNo"/>
      </w:pPr>
      <w:r>
        <w:t>D</w:t>
      </w:r>
    </w:p>
    <w:p w:rsidR="006F29B5" w:rsidRPr="00486B4E" w:rsidRDefault="006F29B5" w:rsidP="006F29B5">
      <w:pPr>
        <w:pStyle w:val="Annextitle"/>
      </w:pPr>
      <w:r>
        <w:t>Statements of financial position, Statement of financial performance, Statement of changes in net assets, Cash Flow Statement and Comparison of Budgeted and actual amounts</w:t>
      </w:r>
      <w:r w:rsidRPr="00486B4E">
        <w:t xml:space="preserve"> of the International Telec</w:t>
      </w:r>
      <w:r>
        <w:t xml:space="preserve">ommunication Union </w:t>
      </w:r>
      <w:r>
        <w:br/>
        <w:t>for the 2017 financial period</w:t>
      </w:r>
    </w:p>
    <w:p w:rsidR="006F29B5" w:rsidRPr="004D0036" w:rsidRDefault="006F29B5" w:rsidP="00F62A26">
      <w:pPr>
        <w:spacing w:before="600"/>
        <w:jc w:val="both"/>
      </w:pPr>
      <w:r w:rsidRPr="004D0036">
        <w:t>The financial statements are published in the financial operating report of the Union for the 201</w:t>
      </w:r>
      <w:r>
        <w:t>7</w:t>
      </w:r>
      <w:r w:rsidRPr="004D0036">
        <w:t xml:space="preserve"> financial period to be approved by the Council 201</w:t>
      </w:r>
      <w:r>
        <w:t>8</w:t>
      </w:r>
      <w:r w:rsidRPr="004D0036">
        <w:t xml:space="preserve"> at its </w:t>
      </w:r>
      <w:r>
        <w:t>extraordinary session of October 2018</w:t>
      </w:r>
      <w:r w:rsidRPr="004D0036">
        <w:t>.</w:t>
      </w:r>
    </w:p>
    <w:p w:rsidR="006F29B5" w:rsidRPr="00486B4E" w:rsidRDefault="006F29B5" w:rsidP="006F29B5">
      <w:pPr>
        <w:jc w:val="both"/>
      </w:pPr>
      <w:r w:rsidRPr="004D0036">
        <w:t>(Resolution </w:t>
      </w:r>
      <w:r w:rsidRPr="00CA00D2">
        <w:rPr>
          <w:color w:val="FF0000"/>
        </w:rPr>
        <w:t>xxxx</w:t>
      </w:r>
      <w:r w:rsidRPr="004D0036">
        <w:t xml:space="preserve"> relating to the approval of the financial operating reports audited by the External Auditor of the ITU accounts for the period 1 January 201</w:t>
      </w:r>
      <w:r>
        <w:t>7</w:t>
      </w:r>
      <w:r w:rsidRPr="004D0036">
        <w:t xml:space="preserve"> to 31 December 201</w:t>
      </w:r>
      <w:r>
        <w:t>7</w:t>
      </w:r>
      <w:r w:rsidRPr="004D0036">
        <w:t>.)</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pPr>
      <w:r>
        <w:br w:type="page"/>
      </w:r>
    </w:p>
    <w:p w:rsidR="00F62A26" w:rsidRDefault="00F62A26" w:rsidP="00F62A26">
      <w:pPr>
        <w:pStyle w:val="Tabletitle"/>
        <w:spacing w:after="0"/>
        <w:rPr>
          <w:sz w:val="28"/>
          <w:szCs w:val="28"/>
          <w:lang w:val="en-US"/>
        </w:rPr>
      </w:pPr>
      <w:bookmarkStart w:id="15" w:name="_Toc329011603"/>
    </w:p>
    <w:p w:rsidR="006F29B5" w:rsidRPr="00404E54" w:rsidRDefault="006F29B5" w:rsidP="00F62A26">
      <w:pPr>
        <w:pStyle w:val="Tabletitle"/>
        <w:spacing w:before="360" w:after="240"/>
        <w:rPr>
          <w:lang w:val="en-US"/>
        </w:rPr>
      </w:pPr>
      <w:r w:rsidRPr="001C2A98">
        <w:rPr>
          <w:sz w:val="28"/>
          <w:szCs w:val="28"/>
          <w:lang w:val="en-US"/>
        </w:rPr>
        <w:t>I – Statement of financial position – Balance sheet at 31 December 201</w:t>
      </w:r>
      <w:r>
        <w:rPr>
          <w:sz w:val="28"/>
          <w:szCs w:val="28"/>
          <w:lang w:val="en-US"/>
        </w:rPr>
        <w:t>7</w:t>
      </w:r>
      <w:r w:rsidRPr="001C2A98">
        <w:rPr>
          <w:sz w:val="28"/>
          <w:szCs w:val="28"/>
          <w:lang w:val="en-US"/>
        </w:rPr>
        <w:t xml:space="preserve"> with comparative figures as at 31 December 201</w:t>
      </w:r>
      <w:bookmarkEnd w:id="15"/>
      <w:r>
        <w:rPr>
          <w:sz w:val="28"/>
          <w:szCs w:val="28"/>
          <w:lang w:val="en-US"/>
        </w:rPr>
        <w:t>6</w:t>
      </w:r>
    </w:p>
    <w:tbl>
      <w:tblPr>
        <w:tblW w:w="4525" w:type="pct"/>
        <w:tblLook w:val="04A0" w:firstRow="1" w:lastRow="0" w:firstColumn="1" w:lastColumn="0" w:noHBand="0" w:noVBand="1"/>
      </w:tblPr>
      <w:tblGrid>
        <w:gridCol w:w="5016"/>
        <w:gridCol w:w="1852"/>
        <w:gridCol w:w="1852"/>
      </w:tblGrid>
      <w:tr w:rsidR="006F29B5" w:rsidRPr="000D4435" w:rsidTr="006F29B5">
        <w:trPr>
          <w:trHeight w:val="255"/>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bookmarkStart w:id="16" w:name="_Toc329011604"/>
            <w:r w:rsidRPr="00B809CA">
              <w:rPr>
                <w:rFonts w:cs="Arial"/>
                <w:b/>
                <w:bCs/>
                <w:color w:val="000000"/>
                <w:sz w:val="18"/>
                <w:szCs w:val="18"/>
                <w:lang w:val="en-US" w:eastAsia="zh-CN"/>
              </w:rPr>
              <w:t>(in thousands of CHF)</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31/12/2017</w:t>
            </w:r>
          </w:p>
        </w:tc>
        <w:tc>
          <w:tcPr>
            <w:tcW w:w="1062" w:type="pct"/>
            <w:tcBorders>
              <w:top w:val="single" w:sz="4" w:space="0" w:color="auto"/>
              <w:left w:val="nil"/>
              <w:bottom w:val="single" w:sz="4" w:space="0" w:color="auto"/>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31/12/2016</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ASSETS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Current assets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Cash and cash equivalents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135,297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108,435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Investments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31,363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64,980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Receivables - exchange transactions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8,934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9,033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Receivables - non-exchange transactions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88,139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76,469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Inventories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661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545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Other receivables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7,505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9,448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Total current assets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271,898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268,910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Non-current assets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Receivables - non-exchange transactions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Property, plant and equipment</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99,000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101,432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Intangible assets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967 </w:t>
            </w:r>
          </w:p>
        </w:tc>
        <w:tc>
          <w:tcPr>
            <w:tcW w:w="1062" w:type="pct"/>
            <w:tcBorders>
              <w:top w:val="nil"/>
              <w:left w:val="nil"/>
              <w:bottom w:val="nil"/>
              <w:right w:val="single" w:sz="4" w:space="0" w:color="auto"/>
            </w:tcBorders>
            <w:shd w:val="clear" w:color="auto" w:fill="auto"/>
            <w:noWrap/>
            <w:vAlign w:val="bottom"/>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2,634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Assets under construction</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908 </w:t>
            </w:r>
          </w:p>
        </w:tc>
        <w:tc>
          <w:tcPr>
            <w:tcW w:w="1062" w:type="pct"/>
            <w:tcBorders>
              <w:top w:val="nil"/>
              <w:left w:val="nil"/>
              <w:bottom w:val="nil"/>
              <w:right w:val="single" w:sz="4" w:space="0" w:color="auto"/>
            </w:tcBorders>
            <w:shd w:val="clear" w:color="auto" w:fill="auto"/>
            <w:noWrap/>
            <w:vAlign w:val="bottom"/>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r>
      <w:tr w:rsidR="006F29B5" w:rsidRPr="000D4435" w:rsidTr="006F29B5">
        <w:trPr>
          <w:trHeight w:val="22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Total non-current assets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100,876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104,066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r>
      <w:tr w:rsidR="006F29B5" w:rsidRPr="000D4435" w:rsidTr="006F29B5">
        <w:trPr>
          <w:trHeight w:val="499"/>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Total ASSETS</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372,774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372,976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LIABILITIES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Current liabilities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Suppliers and other creditors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9,671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9,148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Deferred revenue</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134,275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129,022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Borrowings and financial debts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1,493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1,493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Employee benefits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226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1,094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Provisions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1,636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1,452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Other debts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1,810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5,075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Total current liabilities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149,112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147,284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Non-current liabilities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Borrowings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41,526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42,299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Employee benefits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638,365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575,123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Allocated third-party funds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22,994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23,612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Third-party funds in process of allocation</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3,300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3,813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Total non-current liabilities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706,185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644,847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w:t>
            </w:r>
          </w:p>
        </w:tc>
      </w:tr>
      <w:tr w:rsidR="006F29B5" w:rsidRPr="000D4435" w:rsidTr="006F29B5">
        <w:trPr>
          <w:trHeight w:val="499"/>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TOTAL LIABILITIES</w:t>
            </w:r>
          </w:p>
        </w:tc>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855,297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792,131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NET ASSETS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Organization's capital</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w:t>
            </w:r>
          </w:p>
        </w:tc>
      </w:tr>
      <w:tr w:rsidR="006F29B5" w:rsidRPr="000D4435" w:rsidTr="006F29B5">
        <w:trPr>
          <w:trHeight w:val="510"/>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Reserve account before reallocation of the surplus/ deficit of the period</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27,089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26,522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Other Extra-budgetary reserves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58,726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52,613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ASHI actuarial losses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-369,704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-322,579 </w:t>
            </w:r>
          </w:p>
        </w:tc>
      </w:tr>
      <w:tr w:rsidR="006F29B5" w:rsidRPr="000D4435" w:rsidTr="006F29B5">
        <w:trPr>
          <w:trHeight w:val="255"/>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Cumulated balances</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B809CA">
              <w:rPr>
                <w:rFonts w:cs="Arial"/>
                <w:sz w:val="18"/>
                <w:szCs w:val="18"/>
                <w:lang w:val="en-US" w:eastAsia="zh-CN"/>
              </w:rPr>
              <w:t xml:space="preserve">               -181,557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-164,018 </w:t>
            </w:r>
          </w:p>
        </w:tc>
      </w:tr>
      <w:tr w:rsidR="006F29B5" w:rsidRPr="000D4435" w:rsidTr="006F29B5">
        <w:trPr>
          <w:trHeight w:val="300"/>
        </w:trPr>
        <w:tc>
          <w:tcPr>
            <w:tcW w:w="2876"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B809CA">
              <w:rPr>
                <w:rFonts w:cs="Arial"/>
                <w:color w:val="000000"/>
                <w:sz w:val="18"/>
                <w:szCs w:val="18"/>
                <w:lang w:val="en-US" w:eastAsia="zh-CN"/>
              </w:rPr>
              <w:t>Surplus/Deficit for the period</w:t>
            </w:r>
          </w:p>
        </w:tc>
        <w:tc>
          <w:tcPr>
            <w:tcW w:w="1062" w:type="pct"/>
            <w:tcBorders>
              <w:top w:val="nil"/>
              <w:left w:val="single" w:sz="4" w:space="0" w:color="auto"/>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-17,078 </w:t>
            </w:r>
          </w:p>
        </w:tc>
        <w:tc>
          <w:tcPr>
            <w:tcW w:w="1062" w:type="pct"/>
            <w:tcBorders>
              <w:top w:val="nil"/>
              <w:left w:val="nil"/>
              <w:bottom w:val="nil"/>
              <w:right w:val="single" w:sz="4" w:space="0" w:color="auto"/>
            </w:tcBorders>
            <w:shd w:val="clear" w:color="auto" w:fill="auto"/>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B809CA">
              <w:rPr>
                <w:rFonts w:cs="Arial"/>
                <w:color w:val="000000"/>
                <w:sz w:val="18"/>
                <w:szCs w:val="18"/>
                <w:lang w:val="en-US" w:eastAsia="zh-CN"/>
              </w:rPr>
              <w:t xml:space="preserve">                -11,693 </w:t>
            </w:r>
          </w:p>
        </w:tc>
      </w:tr>
      <w:tr w:rsidR="006F29B5" w:rsidRPr="000D4435" w:rsidTr="006F29B5">
        <w:trPr>
          <w:trHeight w:val="499"/>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TOTAL NET ASSETS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-482,524 </w:t>
            </w:r>
          </w:p>
        </w:tc>
        <w:tc>
          <w:tcPr>
            <w:tcW w:w="1062" w:type="pct"/>
            <w:tcBorders>
              <w:top w:val="single" w:sz="4" w:space="0" w:color="auto"/>
              <w:left w:val="nil"/>
              <w:bottom w:val="single" w:sz="4" w:space="0" w:color="auto"/>
              <w:right w:val="single" w:sz="4" w:space="0" w:color="auto"/>
            </w:tcBorders>
            <w:shd w:val="clear" w:color="auto" w:fill="auto"/>
            <w:noWrap/>
            <w:vAlign w:val="center"/>
            <w:hideMark/>
          </w:tcPr>
          <w:p w:rsidR="006F29B5" w:rsidRPr="00B809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B809CA">
              <w:rPr>
                <w:rFonts w:cs="Arial"/>
                <w:b/>
                <w:bCs/>
                <w:color w:val="000000"/>
                <w:sz w:val="18"/>
                <w:szCs w:val="18"/>
                <w:lang w:val="en-US" w:eastAsia="zh-CN"/>
              </w:rPr>
              <w:t xml:space="preserve">               -419,155 </w:t>
            </w:r>
          </w:p>
        </w:tc>
      </w:tr>
    </w:tbl>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sz w:val="28"/>
          <w:szCs w:val="28"/>
          <w:lang w:val="en-US"/>
        </w:rPr>
      </w:pPr>
      <w:r>
        <w:rPr>
          <w:sz w:val="28"/>
          <w:szCs w:val="28"/>
          <w:lang w:val="en-US"/>
        </w:rPr>
        <w:br w:type="page"/>
      </w:r>
    </w:p>
    <w:p w:rsidR="00F62A26" w:rsidRDefault="00F62A26" w:rsidP="006F29B5">
      <w:pPr>
        <w:pStyle w:val="Tabletitle"/>
        <w:spacing w:after="0"/>
        <w:rPr>
          <w:sz w:val="28"/>
          <w:szCs w:val="28"/>
          <w:lang w:val="en-US"/>
        </w:rPr>
      </w:pPr>
    </w:p>
    <w:p w:rsidR="006F29B5" w:rsidRDefault="006F29B5" w:rsidP="00F62A26">
      <w:pPr>
        <w:pStyle w:val="Tabletitle"/>
        <w:spacing w:before="360" w:after="240"/>
        <w:rPr>
          <w:sz w:val="28"/>
          <w:szCs w:val="28"/>
          <w:lang w:val="en-US"/>
        </w:rPr>
      </w:pPr>
      <w:r w:rsidRPr="001C2A98">
        <w:rPr>
          <w:sz w:val="28"/>
          <w:szCs w:val="28"/>
          <w:lang w:val="en-US"/>
        </w:rPr>
        <w:t>II – Statement of financial performance for the period which closed on</w:t>
      </w:r>
      <w:r>
        <w:rPr>
          <w:sz w:val="28"/>
          <w:szCs w:val="28"/>
          <w:lang w:val="en-US"/>
        </w:rPr>
        <w:br/>
      </w:r>
      <w:r w:rsidRPr="001C2A98">
        <w:rPr>
          <w:sz w:val="28"/>
          <w:szCs w:val="28"/>
          <w:lang w:val="en-US"/>
        </w:rPr>
        <w:t>31 December 201</w:t>
      </w:r>
      <w:r w:rsidR="005F6DC4">
        <w:rPr>
          <w:sz w:val="28"/>
          <w:szCs w:val="28"/>
          <w:lang w:val="en-US"/>
        </w:rPr>
        <w:t>7</w:t>
      </w:r>
      <w:r w:rsidRPr="001C2A98">
        <w:rPr>
          <w:sz w:val="28"/>
          <w:szCs w:val="28"/>
          <w:lang w:val="en-US"/>
        </w:rPr>
        <w:t xml:space="preserve"> with comparative figures as at 31 December 201</w:t>
      </w:r>
      <w:bookmarkEnd w:id="16"/>
      <w:r w:rsidR="005F6DC4">
        <w:rPr>
          <w:sz w:val="28"/>
          <w:szCs w:val="28"/>
          <w:lang w:val="en-US"/>
        </w:rPr>
        <w:t>6</w:t>
      </w:r>
    </w:p>
    <w:tbl>
      <w:tblPr>
        <w:tblW w:w="8440" w:type="dxa"/>
        <w:tblInd w:w="-5" w:type="dxa"/>
        <w:tblLook w:val="04A0" w:firstRow="1" w:lastRow="0" w:firstColumn="1" w:lastColumn="0" w:noHBand="0" w:noVBand="1"/>
      </w:tblPr>
      <w:tblGrid>
        <w:gridCol w:w="5300"/>
        <w:gridCol w:w="1460"/>
        <w:gridCol w:w="1680"/>
      </w:tblGrid>
      <w:tr w:rsidR="006F29B5" w:rsidRPr="000D4435" w:rsidTr="006F29B5">
        <w:trPr>
          <w:trHeight w:val="255"/>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(in thousands of Swiss francs)</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31/12/2017</w:t>
            </w:r>
          </w:p>
        </w:tc>
        <w:tc>
          <w:tcPr>
            <w:tcW w:w="1680" w:type="dxa"/>
            <w:tcBorders>
              <w:top w:val="single" w:sz="4" w:space="0" w:color="auto"/>
              <w:left w:val="nil"/>
              <w:bottom w:val="single" w:sz="4" w:space="0" w:color="auto"/>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31/12/2016</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 </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REVENUE</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 </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 </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 </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Assessed contributions</w:t>
            </w:r>
          </w:p>
        </w:tc>
        <w:tc>
          <w:tcPr>
            <w:tcW w:w="1460" w:type="dxa"/>
            <w:tcBorders>
              <w:top w:val="nil"/>
              <w:left w:val="single" w:sz="4" w:space="0" w:color="auto"/>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122,390</w:t>
            </w:r>
          </w:p>
        </w:tc>
        <w:tc>
          <w:tcPr>
            <w:tcW w:w="1680" w:type="dxa"/>
            <w:tcBorders>
              <w:top w:val="nil"/>
              <w:left w:val="nil"/>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122,888</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Voluntary contributions</w:t>
            </w:r>
          </w:p>
        </w:tc>
        <w:tc>
          <w:tcPr>
            <w:tcW w:w="1460" w:type="dxa"/>
            <w:tcBorders>
              <w:top w:val="nil"/>
              <w:left w:val="single" w:sz="4" w:space="0" w:color="auto"/>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10,610</w:t>
            </w:r>
          </w:p>
        </w:tc>
        <w:tc>
          <w:tcPr>
            <w:tcW w:w="1680" w:type="dxa"/>
            <w:tcBorders>
              <w:top w:val="nil"/>
              <w:left w:val="nil"/>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10,232</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Other operating revenue</w:t>
            </w:r>
          </w:p>
        </w:tc>
        <w:tc>
          <w:tcPr>
            <w:tcW w:w="1460" w:type="dxa"/>
            <w:tcBorders>
              <w:top w:val="nil"/>
              <w:left w:val="single" w:sz="4" w:space="0" w:color="auto"/>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44,398</w:t>
            </w:r>
          </w:p>
        </w:tc>
        <w:tc>
          <w:tcPr>
            <w:tcW w:w="1680" w:type="dxa"/>
            <w:tcBorders>
              <w:top w:val="nil"/>
              <w:left w:val="nil"/>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41,919</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In-kind contributions</w:t>
            </w:r>
          </w:p>
        </w:tc>
        <w:tc>
          <w:tcPr>
            <w:tcW w:w="1460" w:type="dxa"/>
            <w:tcBorders>
              <w:top w:val="nil"/>
              <w:left w:val="single" w:sz="4" w:space="0" w:color="auto"/>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882</w:t>
            </w:r>
          </w:p>
        </w:tc>
        <w:tc>
          <w:tcPr>
            <w:tcW w:w="1680" w:type="dxa"/>
            <w:tcBorders>
              <w:top w:val="nil"/>
              <w:left w:val="nil"/>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901</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Finance revenue</w:t>
            </w:r>
          </w:p>
        </w:tc>
        <w:tc>
          <w:tcPr>
            <w:tcW w:w="1460" w:type="dxa"/>
            <w:tcBorders>
              <w:top w:val="nil"/>
              <w:left w:val="single" w:sz="4" w:space="0" w:color="auto"/>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258</w:t>
            </w:r>
          </w:p>
        </w:tc>
        <w:tc>
          <w:tcPr>
            <w:tcW w:w="1680" w:type="dxa"/>
            <w:tcBorders>
              <w:top w:val="nil"/>
              <w:left w:val="nil"/>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562</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r>
      <w:tr w:rsidR="006F29B5" w:rsidRPr="000D4435" w:rsidTr="006F29B5">
        <w:trPr>
          <w:trHeight w:val="499"/>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Total revenue</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178,537</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176,502</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 </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 </w:t>
            </w:r>
          </w:p>
        </w:tc>
      </w:tr>
      <w:tr w:rsidR="006F29B5" w:rsidRPr="000D4435" w:rsidTr="006F29B5">
        <w:trPr>
          <w:trHeight w:val="31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Cs w:val="24"/>
                <w:lang w:val="en-US" w:eastAsia="zh-CN"/>
              </w:rPr>
            </w:pPr>
            <w:r w:rsidRPr="008F708D">
              <w:rPr>
                <w:rFonts w:cs="Arial"/>
                <w:b/>
                <w:bCs/>
                <w:color w:val="000000"/>
                <w:szCs w:val="24"/>
                <w:lang w:val="en-US" w:eastAsia="zh-CN"/>
              </w:rPr>
              <w:t>EXPENSES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 </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noWrap/>
            <w:vAlign w:val="bottom"/>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Employee expenses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148,748</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146,999</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Mission expenses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6,968</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6,997</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Contractual services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15,613</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14,107</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Rental and maintenance of premises and equipment</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4,411</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4,872</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Equipment and supplies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3,875</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3,291</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Depreciation and impairment losses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5,212</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5,610</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Shipping, telecommunication and service expenses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1,576</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1,804</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Other expenses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7,656</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3,207</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In-kind expenses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882</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901</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Finance expenses</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675</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407</w:t>
            </w:r>
          </w:p>
        </w:tc>
      </w:tr>
      <w:tr w:rsidR="006F29B5" w:rsidRPr="000D4435" w:rsidTr="006F29B5">
        <w:trPr>
          <w:trHeight w:val="255"/>
        </w:trPr>
        <w:tc>
          <w:tcPr>
            <w:tcW w:w="530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c>
          <w:tcPr>
            <w:tcW w:w="1460" w:type="dxa"/>
            <w:tcBorders>
              <w:top w:val="nil"/>
              <w:left w:val="single" w:sz="4" w:space="0" w:color="auto"/>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c>
          <w:tcPr>
            <w:tcW w:w="1680" w:type="dxa"/>
            <w:tcBorders>
              <w:top w:val="nil"/>
              <w:left w:val="nil"/>
              <w:bottom w:val="nil"/>
              <w:right w:val="single" w:sz="4" w:space="0" w:color="auto"/>
            </w:tcBorders>
            <w:shd w:val="clear" w:color="auto" w:fill="auto"/>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F708D">
              <w:rPr>
                <w:rFonts w:cs="Arial"/>
                <w:color w:val="000000"/>
                <w:sz w:val="20"/>
                <w:lang w:val="en-US" w:eastAsia="zh-CN"/>
              </w:rPr>
              <w:t> </w:t>
            </w:r>
          </w:p>
        </w:tc>
      </w:tr>
      <w:tr w:rsidR="006F29B5" w:rsidRPr="000D4435" w:rsidTr="006F29B5">
        <w:trPr>
          <w:trHeight w:val="499"/>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Total expenses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195,615</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F708D">
              <w:rPr>
                <w:rFonts w:cs="Arial"/>
                <w:b/>
                <w:bCs/>
                <w:color w:val="000000"/>
                <w:sz w:val="20"/>
                <w:lang w:val="en-US" w:eastAsia="zh-CN"/>
              </w:rPr>
              <w:t>188,195</w:t>
            </w:r>
          </w:p>
        </w:tc>
      </w:tr>
      <w:tr w:rsidR="006F29B5" w:rsidRPr="000D4435" w:rsidTr="006F29B5">
        <w:trPr>
          <w:trHeight w:val="499"/>
        </w:trPr>
        <w:tc>
          <w:tcPr>
            <w:tcW w:w="5300" w:type="dxa"/>
            <w:tcBorders>
              <w:top w:val="nil"/>
              <w:left w:val="single" w:sz="4" w:space="0" w:color="auto"/>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F708D">
              <w:rPr>
                <w:rFonts w:cs="Arial"/>
                <w:b/>
                <w:bCs/>
                <w:color w:val="000000"/>
                <w:sz w:val="20"/>
                <w:lang w:val="en-US" w:eastAsia="zh-CN"/>
              </w:rPr>
              <w:t>Surplus/deficit for the period</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-17,078</w:t>
            </w:r>
          </w:p>
        </w:tc>
        <w:tc>
          <w:tcPr>
            <w:tcW w:w="1680" w:type="dxa"/>
            <w:tcBorders>
              <w:top w:val="nil"/>
              <w:left w:val="nil"/>
              <w:bottom w:val="single" w:sz="4" w:space="0" w:color="auto"/>
              <w:right w:val="single" w:sz="4" w:space="0" w:color="auto"/>
            </w:tcBorders>
            <w:shd w:val="clear" w:color="auto" w:fill="auto"/>
            <w:noWrap/>
            <w:vAlign w:val="center"/>
            <w:hideMark/>
          </w:tcPr>
          <w:p w:rsidR="006F29B5" w:rsidRPr="008F708D"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F708D">
              <w:rPr>
                <w:rFonts w:cs="Arial"/>
                <w:color w:val="000000"/>
                <w:sz w:val="20"/>
                <w:lang w:val="en-US" w:eastAsia="zh-CN"/>
              </w:rPr>
              <w:t>-11,693</w:t>
            </w:r>
          </w:p>
        </w:tc>
      </w:tr>
    </w:tbl>
    <w:p w:rsidR="006F29B5" w:rsidRPr="001C2A98"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F62A26" w:rsidRDefault="00F62A26" w:rsidP="00F62A26">
      <w:pPr>
        <w:pStyle w:val="Tabletitle"/>
        <w:spacing w:after="0"/>
        <w:rPr>
          <w:sz w:val="28"/>
          <w:szCs w:val="28"/>
          <w:lang w:val="en-US"/>
        </w:rPr>
      </w:pPr>
      <w:bookmarkStart w:id="17" w:name="_Toc329011605"/>
    </w:p>
    <w:p w:rsidR="006F29B5" w:rsidRDefault="006F29B5" w:rsidP="00F62A26">
      <w:pPr>
        <w:pStyle w:val="Tabletitle"/>
        <w:spacing w:before="360" w:after="240"/>
        <w:rPr>
          <w:sz w:val="28"/>
          <w:szCs w:val="28"/>
          <w:lang w:val="en-US"/>
        </w:rPr>
      </w:pPr>
      <w:r w:rsidRPr="00983A65">
        <w:rPr>
          <w:sz w:val="28"/>
          <w:szCs w:val="28"/>
          <w:lang w:val="en-US"/>
        </w:rPr>
        <w:t>III – Statement of changes in net assets for the period which closed</w:t>
      </w:r>
      <w:r>
        <w:rPr>
          <w:sz w:val="28"/>
          <w:szCs w:val="28"/>
          <w:lang w:val="en-US"/>
        </w:rPr>
        <w:br/>
      </w:r>
      <w:r w:rsidRPr="00983A65">
        <w:rPr>
          <w:sz w:val="28"/>
          <w:szCs w:val="28"/>
          <w:lang w:val="en-US"/>
        </w:rPr>
        <w:t>on</w:t>
      </w:r>
      <w:r>
        <w:rPr>
          <w:sz w:val="28"/>
          <w:szCs w:val="28"/>
          <w:lang w:val="en-US"/>
        </w:rPr>
        <w:t xml:space="preserve"> </w:t>
      </w:r>
      <w:r w:rsidRPr="00983A65">
        <w:rPr>
          <w:sz w:val="28"/>
          <w:szCs w:val="28"/>
          <w:lang w:val="en-US"/>
        </w:rPr>
        <w:t>31 December 201</w:t>
      </w:r>
      <w:bookmarkEnd w:id="17"/>
      <w:r>
        <w:rPr>
          <w:sz w:val="28"/>
          <w:szCs w:val="28"/>
          <w:lang w:val="en-US"/>
        </w:rPr>
        <w:t>7</w:t>
      </w:r>
    </w:p>
    <w:tbl>
      <w:tblPr>
        <w:tblW w:w="9500" w:type="dxa"/>
        <w:tblInd w:w="-10" w:type="dxa"/>
        <w:tblLook w:val="04A0" w:firstRow="1" w:lastRow="0" w:firstColumn="1" w:lastColumn="0" w:noHBand="0" w:noVBand="1"/>
      </w:tblPr>
      <w:tblGrid>
        <w:gridCol w:w="3300"/>
        <w:gridCol w:w="1520"/>
        <w:gridCol w:w="1620"/>
        <w:gridCol w:w="1560"/>
        <w:gridCol w:w="1500"/>
      </w:tblGrid>
      <w:tr w:rsidR="006F29B5" w:rsidRPr="00C30067" w:rsidTr="006F29B5">
        <w:trPr>
          <w:trHeight w:val="78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bookmarkStart w:id="18" w:name="RANGE!A7:E28"/>
            <w:r w:rsidRPr="00C30067">
              <w:rPr>
                <w:rFonts w:cs="Arial"/>
                <w:b/>
                <w:bCs/>
                <w:color w:val="000000"/>
                <w:sz w:val="20"/>
                <w:lang w:val="en-US" w:eastAsia="zh-CN"/>
              </w:rPr>
              <w:t>(in thousands of CHF)</w:t>
            </w:r>
            <w:bookmarkEnd w:id="18"/>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C30067">
              <w:rPr>
                <w:rFonts w:cs="Arial"/>
                <w:b/>
                <w:bCs/>
                <w:color w:val="000000"/>
                <w:sz w:val="20"/>
                <w:lang w:val="en-US" w:eastAsia="zh-CN"/>
              </w:rPr>
              <w:t>31.12.2016</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C30067">
              <w:rPr>
                <w:rFonts w:cs="Arial"/>
                <w:b/>
                <w:bCs/>
                <w:color w:val="000000"/>
                <w:sz w:val="20"/>
                <w:lang w:val="en-US" w:eastAsia="zh-CN"/>
              </w:rPr>
              <w:t>Surplus deficit 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C30067">
              <w:rPr>
                <w:rFonts w:cs="Arial"/>
                <w:b/>
                <w:bCs/>
                <w:color w:val="000000"/>
                <w:sz w:val="20"/>
                <w:lang w:val="en-US" w:eastAsia="zh-CN"/>
              </w:rPr>
              <w:t>Other adjustments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C30067">
              <w:rPr>
                <w:rFonts w:cs="Arial"/>
                <w:b/>
                <w:bCs/>
                <w:color w:val="000000"/>
                <w:sz w:val="20"/>
                <w:lang w:val="en-US" w:eastAsia="zh-CN"/>
              </w:rPr>
              <w:t>31.12.2017</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 xml:space="preserve">IPSAS transition </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-125,100</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-125,100</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Reserve Account</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27,088</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682</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27,770</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Other reserves</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45,057</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8,101</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480</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53,638</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Pr>
                <w:rFonts w:cs="Arial"/>
                <w:color w:val="000000"/>
                <w:sz w:val="18"/>
                <w:szCs w:val="18"/>
                <w:lang w:val="en-US" w:eastAsia="zh-CN"/>
              </w:rPr>
              <w:t>Savings f</w:t>
            </w:r>
            <w:r w:rsidRPr="00C30067">
              <w:rPr>
                <w:rFonts w:cs="Arial"/>
                <w:color w:val="000000"/>
                <w:sz w:val="18"/>
                <w:szCs w:val="18"/>
                <w:lang w:val="en-US" w:eastAsia="zh-CN"/>
              </w:rPr>
              <w:t>rom previous year</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0</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5,764</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5,764</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Investment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8,690</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176</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1,364</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10,230</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New Building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0</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-671</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-671</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Welfare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413</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-20</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393</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Centenary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256</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-45</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212</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SS&amp;B Complement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6,223</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-21</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6,202</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SS&amp;B Provident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0</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0</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SS&amp;B Assistance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278</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278</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A</w:t>
            </w:r>
            <w:r>
              <w:rPr>
                <w:rFonts w:cs="Arial"/>
                <w:color w:val="000000"/>
                <w:sz w:val="18"/>
                <w:szCs w:val="18"/>
                <w:lang w:val="en-US" w:eastAsia="zh-CN"/>
              </w:rPr>
              <w:t>SHI</w:t>
            </w:r>
            <w:r w:rsidRPr="00C30067">
              <w:rPr>
                <w:rFonts w:cs="Arial"/>
                <w:color w:val="000000"/>
                <w:sz w:val="18"/>
                <w:szCs w:val="18"/>
                <w:lang w:val="en-US" w:eastAsia="zh-CN"/>
              </w:rPr>
              <w:t xml:space="preserve">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8,500</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1,000</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9,500</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Health Insurance fund</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12,193</w:t>
            </w:r>
          </w:p>
        </w:tc>
        <w:tc>
          <w:tcPr>
            <w:tcW w:w="1620" w:type="dxa"/>
            <w:tcBorders>
              <w:top w:val="nil"/>
              <w:left w:val="nil"/>
              <w:bottom w:val="nil"/>
              <w:right w:val="single" w:sz="8" w:space="0" w:color="auto"/>
            </w:tcBorders>
            <w:shd w:val="clear" w:color="auto" w:fill="auto"/>
            <w:noWrap/>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 xml:space="preserve">                        1,500</w:t>
            </w:r>
          </w:p>
        </w:tc>
        <w:tc>
          <w:tcPr>
            <w:tcW w:w="1560" w:type="dxa"/>
            <w:tcBorders>
              <w:top w:val="nil"/>
              <w:left w:val="nil"/>
              <w:bottom w:val="nil"/>
              <w:right w:val="single" w:sz="8" w:space="0" w:color="auto"/>
            </w:tcBorders>
            <w:shd w:val="clear" w:color="auto" w:fill="auto"/>
            <w:noWrap/>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114</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13,808</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Extra budgetary allocated reserves</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7,654</w:t>
            </w:r>
          </w:p>
        </w:tc>
        <w:tc>
          <w:tcPr>
            <w:tcW w:w="1620" w:type="dxa"/>
            <w:tcBorders>
              <w:top w:val="nil"/>
              <w:left w:val="nil"/>
              <w:bottom w:val="nil"/>
              <w:right w:val="single" w:sz="8" w:space="0" w:color="auto"/>
            </w:tcBorders>
            <w:shd w:val="clear" w:color="auto" w:fill="auto"/>
            <w:noWrap/>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397</w:t>
            </w:r>
          </w:p>
        </w:tc>
        <w:tc>
          <w:tcPr>
            <w:tcW w:w="1560" w:type="dxa"/>
            <w:tcBorders>
              <w:top w:val="nil"/>
              <w:left w:val="nil"/>
              <w:bottom w:val="nil"/>
              <w:right w:val="single" w:sz="8" w:space="0" w:color="auto"/>
            </w:tcBorders>
            <w:shd w:val="clear" w:color="auto" w:fill="auto"/>
            <w:noWrap/>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-1,012</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7,039</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Currency exchange translation</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849</w:t>
            </w:r>
          </w:p>
        </w:tc>
        <w:tc>
          <w:tcPr>
            <w:tcW w:w="1620" w:type="dxa"/>
            <w:tcBorders>
              <w:top w:val="nil"/>
              <w:left w:val="nil"/>
              <w:bottom w:val="nil"/>
              <w:right w:val="single" w:sz="8" w:space="0" w:color="auto"/>
            </w:tcBorders>
            <w:shd w:val="clear" w:color="auto" w:fill="auto"/>
            <w:noWrap/>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 </w:t>
            </w:r>
          </w:p>
        </w:tc>
        <w:tc>
          <w:tcPr>
            <w:tcW w:w="1560" w:type="dxa"/>
            <w:tcBorders>
              <w:top w:val="nil"/>
              <w:left w:val="nil"/>
              <w:bottom w:val="nil"/>
              <w:right w:val="single" w:sz="8" w:space="0" w:color="auto"/>
            </w:tcBorders>
            <w:shd w:val="clear" w:color="auto" w:fill="auto"/>
            <w:noWrap/>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35</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884</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Extra-budgetary activities related funds</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12,835</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-40</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353</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13,149</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TLC</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10,076</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23</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-1,966</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8,132</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C30067">
              <w:rPr>
                <w:rFonts w:cs="Arial"/>
                <w:color w:val="000000"/>
                <w:sz w:val="18"/>
                <w:szCs w:val="18"/>
                <w:lang w:val="en-US" w:eastAsia="zh-CN"/>
              </w:rPr>
              <w:t>Others</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C30067">
              <w:rPr>
                <w:rFonts w:cs="Arial"/>
                <w:sz w:val="18"/>
                <w:szCs w:val="18"/>
                <w:lang w:val="en-US" w:eastAsia="zh-CN"/>
              </w:rPr>
              <w:t>2,761</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-63</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2,320</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5,017</w:t>
            </w:r>
          </w:p>
        </w:tc>
      </w:tr>
      <w:tr w:rsidR="006F29B5" w:rsidRPr="00C30067" w:rsidTr="006F29B5">
        <w:trPr>
          <w:trHeight w:val="255"/>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C30067">
              <w:rPr>
                <w:rFonts w:cs="Arial"/>
                <w:b/>
                <w:bCs/>
                <w:color w:val="000000"/>
                <w:sz w:val="18"/>
                <w:szCs w:val="18"/>
                <w:lang w:val="en-US" w:eastAsia="zh-CN"/>
              </w:rPr>
              <w:t>ASHI actuarial losses</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C30067">
              <w:rPr>
                <w:rFonts w:cs="Arial"/>
                <w:b/>
                <w:bCs/>
                <w:sz w:val="18"/>
                <w:szCs w:val="18"/>
                <w:lang w:val="en-US" w:eastAsia="zh-CN"/>
              </w:rPr>
              <w:t>-322,579</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0</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-47,125</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-369,704</w:t>
            </w:r>
          </w:p>
        </w:tc>
      </w:tr>
      <w:tr w:rsidR="006F29B5" w:rsidRPr="00C30067" w:rsidTr="006F29B5">
        <w:trPr>
          <w:trHeight w:val="270"/>
        </w:trPr>
        <w:tc>
          <w:tcPr>
            <w:tcW w:w="3300" w:type="dxa"/>
            <w:tcBorders>
              <w:top w:val="nil"/>
              <w:left w:val="single" w:sz="8" w:space="0" w:color="auto"/>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0067">
              <w:rPr>
                <w:rFonts w:cs="Arial"/>
                <w:b/>
                <w:bCs/>
                <w:color w:val="000000"/>
                <w:sz w:val="20"/>
                <w:lang w:val="en-US" w:eastAsia="zh-CN"/>
              </w:rPr>
              <w:t>IPSAS cumulated deficit (statistical)</w:t>
            </w:r>
          </w:p>
        </w:tc>
        <w:tc>
          <w:tcPr>
            <w:tcW w:w="15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-56,457</w:t>
            </w:r>
          </w:p>
        </w:tc>
        <w:tc>
          <w:tcPr>
            <w:tcW w:w="162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C30067">
              <w:rPr>
                <w:rFonts w:cs="Arial"/>
                <w:color w:val="000000"/>
                <w:sz w:val="18"/>
                <w:szCs w:val="18"/>
                <w:lang w:val="en-US" w:eastAsia="zh-CN"/>
              </w:rPr>
              <w:t>-25,821</w:t>
            </w:r>
          </w:p>
        </w:tc>
        <w:tc>
          <w:tcPr>
            <w:tcW w:w="156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0</w:t>
            </w:r>
          </w:p>
        </w:tc>
        <w:tc>
          <w:tcPr>
            <w:tcW w:w="1500" w:type="dxa"/>
            <w:tcBorders>
              <w:top w:val="nil"/>
              <w:left w:val="nil"/>
              <w:bottom w:val="nil"/>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-82,278</w:t>
            </w:r>
          </w:p>
        </w:tc>
      </w:tr>
      <w:tr w:rsidR="006F29B5" w:rsidRPr="00C30067" w:rsidTr="006F29B5">
        <w:trPr>
          <w:trHeight w:val="270"/>
        </w:trPr>
        <w:tc>
          <w:tcPr>
            <w:tcW w:w="3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 xml:space="preserve">Total net assets </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-419,155</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-17,078</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-46,291</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6F29B5" w:rsidRPr="00C30067"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C30067">
              <w:rPr>
                <w:rFonts w:cs="Arial"/>
                <w:b/>
                <w:bCs/>
                <w:color w:val="000000"/>
                <w:sz w:val="18"/>
                <w:szCs w:val="18"/>
                <w:lang w:val="en-US" w:eastAsia="zh-CN"/>
              </w:rPr>
              <w:t>-482,524</w:t>
            </w:r>
          </w:p>
        </w:tc>
      </w:tr>
    </w:tbl>
    <w:p w:rsidR="00F62A26" w:rsidRDefault="006F29B5" w:rsidP="006F29B5">
      <w:pPr>
        <w:pStyle w:val="Tabletitle"/>
        <w:rPr>
          <w:lang w:val="en-US"/>
        </w:rPr>
      </w:pPr>
      <w:r>
        <w:rPr>
          <w:lang w:val="en-US"/>
        </w:rPr>
        <w:br w:type="page"/>
      </w:r>
      <w:bookmarkStart w:id="19" w:name="_Toc329011607"/>
    </w:p>
    <w:p w:rsidR="00F62A26" w:rsidRDefault="00F62A26" w:rsidP="00F62A26">
      <w:pPr>
        <w:pStyle w:val="Tabletitle"/>
        <w:spacing w:after="0"/>
        <w:rPr>
          <w:lang w:val="en-US"/>
        </w:rPr>
      </w:pPr>
    </w:p>
    <w:p w:rsidR="006F29B5" w:rsidRDefault="006F29B5" w:rsidP="00F62A26">
      <w:pPr>
        <w:pStyle w:val="Tabletitle"/>
        <w:spacing w:before="120"/>
        <w:rPr>
          <w:sz w:val="28"/>
          <w:szCs w:val="28"/>
          <w:lang w:val="en-US"/>
        </w:rPr>
      </w:pPr>
      <w:r>
        <w:rPr>
          <w:sz w:val="28"/>
          <w:szCs w:val="28"/>
          <w:lang w:val="en-US"/>
        </w:rPr>
        <w:t>IV – Table of cash flows for the period closed on 31 December 201</w:t>
      </w:r>
      <w:bookmarkEnd w:id="19"/>
      <w:r>
        <w:rPr>
          <w:sz w:val="28"/>
          <w:szCs w:val="28"/>
          <w:lang w:val="en-US"/>
        </w:rPr>
        <w:t>7</w:t>
      </w:r>
    </w:p>
    <w:tbl>
      <w:tblPr>
        <w:tblW w:w="5000" w:type="pct"/>
        <w:tblLook w:val="04A0" w:firstRow="1" w:lastRow="0" w:firstColumn="1" w:lastColumn="0" w:noHBand="0" w:noVBand="1"/>
      </w:tblPr>
      <w:tblGrid>
        <w:gridCol w:w="6771"/>
        <w:gridCol w:w="1432"/>
        <w:gridCol w:w="1432"/>
      </w:tblGrid>
      <w:tr w:rsidR="006F29B5" w:rsidRPr="00C30067" w:rsidTr="006F29B5">
        <w:trPr>
          <w:trHeight w:val="510"/>
        </w:trPr>
        <w:tc>
          <w:tcPr>
            <w:tcW w:w="3514" w:type="pct"/>
            <w:tcBorders>
              <w:top w:val="single" w:sz="4" w:space="0" w:color="auto"/>
              <w:left w:val="single" w:sz="4" w:space="0" w:color="auto"/>
              <w:bottom w:val="single" w:sz="4" w:space="0" w:color="auto"/>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(in thousands of CHF)</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C37769">
              <w:rPr>
                <w:rFonts w:cs="Arial"/>
                <w:b/>
                <w:bCs/>
                <w:color w:val="000000"/>
                <w:sz w:val="20"/>
                <w:lang w:val="en-US" w:eastAsia="zh-CN"/>
              </w:rPr>
              <w:t>31/12/2017</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C37769">
              <w:rPr>
                <w:rFonts w:cs="Arial"/>
                <w:b/>
                <w:bCs/>
                <w:color w:val="000000"/>
                <w:sz w:val="20"/>
                <w:lang w:val="en-US" w:eastAsia="zh-CN"/>
              </w:rPr>
              <w:t>31/12/2016</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Surplus (deficit) for the period</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-17,078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-11,693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Non-monetary movements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Depreciation</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5,212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5,610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ASHI provision</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18,214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13,667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Provisions for repatriation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-1,268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2,495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Provisions for employee benefits (ST)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174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1,073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Provisions for accrued leave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180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-496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Other provisions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526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593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Provision for doubtful receivable</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5,472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-2,846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Inventory depreciation</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-3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-19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Net (gain) or loss on sales of fixed assets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5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2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Unrealized exchange-rate gains/losses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   </w:t>
            </w:r>
          </w:p>
        </w:tc>
      </w:tr>
      <w:tr w:rsidR="006F29B5" w:rsidRPr="00C30067" w:rsidTr="006F29B5">
        <w:trPr>
          <w:trHeight w:val="330"/>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Interest received</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-220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-242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Restated surplus (deficit) from non-monetary movements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11,215 </w:t>
            </w:r>
          </w:p>
        </w:tc>
        <w:tc>
          <w:tcPr>
            <w:tcW w:w="743" w:type="pct"/>
            <w:tcBorders>
              <w:top w:val="single" w:sz="4" w:space="0" w:color="auto"/>
              <w:left w:val="nil"/>
              <w:bottom w:val="single" w:sz="4" w:space="0" w:color="auto"/>
              <w:right w:val="single" w:sz="4" w:space="0" w:color="auto"/>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8,144 </w:t>
            </w:r>
          </w:p>
        </w:tc>
      </w:tr>
      <w:tr w:rsidR="006F29B5" w:rsidRPr="00C30067" w:rsidTr="006F29B5">
        <w:trPr>
          <w:trHeight w:val="300"/>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decrease in inventories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-113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48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decrease in short-term receivables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-17,042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3,499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decrease in other short-term receivables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1,944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-1,377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(decrease) in suppliers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523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1,952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(decrease) in deferred revenue</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5,253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1,453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(decrease) in other debts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-3,264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-206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Use of provisions for employee benefits (ST)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-1,042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-460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Use of provision for repatriation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-914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-753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Use of provision for accrued leave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-95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-222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Use of provisions for employee benefits (LT)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-36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(decrease) Other provisions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-342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-187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(decrease) in third-party funds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-1,131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-4,200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Changes in own funds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834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1,213 </w:t>
            </w:r>
          </w:p>
        </w:tc>
      </w:tr>
      <w:tr w:rsidR="006F29B5" w:rsidRPr="00C30067" w:rsidTr="006F29B5">
        <w:trPr>
          <w:trHeight w:val="255"/>
        </w:trPr>
        <w:tc>
          <w:tcPr>
            <w:tcW w:w="3514" w:type="pct"/>
            <w:tcBorders>
              <w:top w:val="nil"/>
              <w:left w:val="single" w:sz="4" w:space="0" w:color="auto"/>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5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Cash flow from operating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-15,391 </w:t>
            </w:r>
          </w:p>
        </w:tc>
        <w:tc>
          <w:tcPr>
            <w:tcW w:w="743" w:type="pct"/>
            <w:tcBorders>
              <w:top w:val="single" w:sz="4" w:space="0" w:color="auto"/>
              <w:left w:val="nil"/>
              <w:bottom w:val="single" w:sz="4" w:space="0" w:color="auto"/>
              <w:right w:val="single" w:sz="4" w:space="0" w:color="auto"/>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C37769">
              <w:rPr>
                <w:rFonts w:cs="Arial"/>
                <w:b/>
                <w:bCs/>
                <w:color w:val="000000"/>
                <w:sz w:val="20"/>
                <w:lang w:val="en-US" w:eastAsia="zh-CN"/>
              </w:rPr>
              <w:t xml:space="preserve">             723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Net cash flows from investment activities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 decrease Investments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33,617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46,837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Interest from short-term investments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220 </w:t>
            </w:r>
          </w:p>
        </w:tc>
        <w:tc>
          <w:tcPr>
            <w:tcW w:w="743" w:type="pct"/>
            <w:tcBorders>
              <w:top w:val="nil"/>
              <w:left w:val="nil"/>
              <w:bottom w:val="nil"/>
              <w:right w:val="single" w:sz="4" w:space="0" w:color="auto"/>
            </w:tcBorders>
            <w:shd w:val="clear" w:color="000000" w:fill="FFFFFF"/>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242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(Acquisition) / sale of property, plant and equipment</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-1,100 </w:t>
            </w:r>
          </w:p>
        </w:tc>
        <w:tc>
          <w:tcPr>
            <w:tcW w:w="743" w:type="pct"/>
            <w:tcBorders>
              <w:top w:val="nil"/>
              <w:left w:val="nil"/>
              <w:bottom w:val="nil"/>
              <w:right w:val="single" w:sz="4" w:space="0" w:color="auto"/>
            </w:tcBorders>
            <w:shd w:val="clear" w:color="000000" w:fill="FFFFFF"/>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-516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(Acquisition) / sale of intangible assets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-353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-1,007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(Acquisition) / sale of Under construction assets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-571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Net cash flows from investment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31,813 </w:t>
            </w:r>
          </w:p>
        </w:tc>
        <w:tc>
          <w:tcPr>
            <w:tcW w:w="743" w:type="pct"/>
            <w:tcBorders>
              <w:top w:val="single" w:sz="4" w:space="0" w:color="auto"/>
              <w:left w:val="nil"/>
              <w:bottom w:val="single" w:sz="4" w:space="0" w:color="auto"/>
              <w:right w:val="single" w:sz="4" w:space="0" w:color="auto"/>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C37769">
              <w:rPr>
                <w:rFonts w:cs="Arial"/>
                <w:b/>
                <w:bCs/>
                <w:color w:val="000000"/>
                <w:sz w:val="20"/>
                <w:lang w:val="en-US" w:eastAsia="zh-CN"/>
              </w:rPr>
              <w:t xml:space="preserve">        45,556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Cash flows from finance activities</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(Increase) / decrease of FIPOI loan</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xml:space="preserve">            -773 </w:t>
            </w:r>
          </w:p>
        </w:tc>
        <w:tc>
          <w:tcPr>
            <w:tcW w:w="743" w:type="pct"/>
            <w:tcBorders>
              <w:top w:val="nil"/>
              <w:left w:val="nil"/>
              <w:bottom w:val="nil"/>
              <w:right w:val="single" w:sz="4" w:space="0" w:color="auto"/>
            </w:tcBorders>
            <w:shd w:val="clear" w:color="000000" w:fill="FFFFFF"/>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xml:space="preserve">         -1,493 </w:t>
            </w:r>
          </w:p>
        </w:tc>
      </w:tr>
      <w:tr w:rsidR="006F29B5" w:rsidRPr="00C30067" w:rsidTr="006F29B5">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Cash flows from finance activities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-773 </w:t>
            </w:r>
          </w:p>
        </w:tc>
        <w:tc>
          <w:tcPr>
            <w:tcW w:w="743" w:type="pct"/>
            <w:tcBorders>
              <w:top w:val="single" w:sz="4" w:space="0" w:color="auto"/>
              <w:left w:val="nil"/>
              <w:bottom w:val="single" w:sz="4" w:space="0" w:color="auto"/>
              <w:right w:val="single" w:sz="4" w:space="0" w:color="auto"/>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C37769">
              <w:rPr>
                <w:rFonts w:cs="Arial"/>
                <w:b/>
                <w:bCs/>
                <w:color w:val="000000"/>
                <w:sz w:val="20"/>
                <w:lang w:val="en-US" w:eastAsia="zh-CN"/>
              </w:rPr>
              <w:t xml:space="preserve">         -1,493 </w:t>
            </w:r>
          </w:p>
        </w:tc>
      </w:tr>
      <w:tr w:rsidR="006F29B5" w:rsidRPr="00C30067" w:rsidTr="006F29B5">
        <w:trPr>
          <w:trHeight w:val="28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90095C">
        <w:trPr>
          <w:trHeight w:val="285"/>
        </w:trPr>
        <w:tc>
          <w:tcPr>
            <w:tcW w:w="3514" w:type="pct"/>
            <w:tcBorders>
              <w:top w:val="single" w:sz="4" w:space="0" w:color="auto"/>
              <w:left w:val="single" w:sz="4" w:space="0" w:color="auto"/>
              <w:bottom w:val="single" w:sz="4" w:space="0" w:color="auto"/>
              <w:right w:val="nil"/>
            </w:tcBorders>
            <w:shd w:val="clear" w:color="auto" w:fill="auto"/>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Net increase / (decrease) in cash and cash equivalents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26,863 </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C37769">
              <w:rPr>
                <w:rFonts w:cs="Arial"/>
                <w:b/>
                <w:bCs/>
                <w:color w:val="000000"/>
                <w:sz w:val="20"/>
                <w:lang w:val="en-US" w:eastAsia="zh-CN"/>
              </w:rPr>
              <w:t xml:space="preserve">        52,930 </w:t>
            </w:r>
          </w:p>
        </w:tc>
      </w:tr>
      <w:tr w:rsidR="006F29B5" w:rsidRPr="00C30067" w:rsidTr="006F29B5">
        <w:trPr>
          <w:trHeight w:val="285"/>
        </w:trPr>
        <w:tc>
          <w:tcPr>
            <w:tcW w:w="3514" w:type="pct"/>
            <w:tcBorders>
              <w:top w:val="nil"/>
              <w:left w:val="single" w:sz="4" w:space="0" w:color="auto"/>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C37769">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90095C">
        <w:trPr>
          <w:trHeight w:val="285"/>
        </w:trPr>
        <w:tc>
          <w:tcPr>
            <w:tcW w:w="3514" w:type="pct"/>
            <w:tcBorders>
              <w:top w:val="nil"/>
              <w:left w:val="single" w:sz="4" w:space="0" w:color="auto"/>
              <w:bottom w:val="nil"/>
              <w:right w:val="nil"/>
            </w:tcBorders>
            <w:shd w:val="clear" w:color="auto" w:fill="auto"/>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Cash and cash equivalents at opening of period</w:t>
            </w:r>
          </w:p>
        </w:tc>
        <w:tc>
          <w:tcPr>
            <w:tcW w:w="743" w:type="pct"/>
            <w:tcBorders>
              <w:top w:val="nil"/>
              <w:left w:val="single" w:sz="4" w:space="0" w:color="auto"/>
              <w:bottom w:val="nil"/>
              <w:right w:val="single" w:sz="4" w:space="0" w:color="auto"/>
            </w:tcBorders>
            <w:shd w:val="clear" w:color="auto" w:fill="auto"/>
            <w:noWrap/>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108,435 </w:t>
            </w:r>
          </w:p>
        </w:tc>
        <w:tc>
          <w:tcPr>
            <w:tcW w:w="743" w:type="pct"/>
            <w:tcBorders>
              <w:top w:val="nil"/>
              <w:left w:val="nil"/>
              <w:bottom w:val="nil"/>
              <w:right w:val="single" w:sz="4" w:space="0" w:color="auto"/>
            </w:tcBorders>
            <w:shd w:val="clear" w:color="auto" w:fill="auto"/>
            <w:noWrap/>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55,505 </w:t>
            </w:r>
          </w:p>
        </w:tc>
      </w:tr>
      <w:tr w:rsidR="006F29B5" w:rsidRPr="00C30067" w:rsidTr="006F29B5">
        <w:trPr>
          <w:trHeight w:val="255"/>
        </w:trPr>
        <w:tc>
          <w:tcPr>
            <w:tcW w:w="3514" w:type="pct"/>
            <w:tcBorders>
              <w:top w:val="nil"/>
              <w:left w:val="single" w:sz="4" w:space="0" w:color="auto"/>
              <w:bottom w:val="nil"/>
              <w:right w:val="nil"/>
            </w:tcBorders>
            <w:shd w:val="clear" w:color="auto" w:fill="auto"/>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C37769">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C37769">
              <w:rPr>
                <w:rFonts w:cs="Arial"/>
                <w:color w:val="000000"/>
                <w:sz w:val="20"/>
                <w:lang w:val="en-US" w:eastAsia="zh-CN"/>
              </w:rPr>
              <w:t> </w:t>
            </w:r>
          </w:p>
        </w:tc>
      </w:tr>
      <w:tr w:rsidR="006F29B5" w:rsidRPr="00C30067" w:rsidTr="0090095C">
        <w:trPr>
          <w:trHeight w:val="255"/>
        </w:trPr>
        <w:tc>
          <w:tcPr>
            <w:tcW w:w="3514" w:type="pct"/>
            <w:tcBorders>
              <w:top w:val="nil"/>
              <w:left w:val="single" w:sz="4" w:space="0" w:color="auto"/>
              <w:bottom w:val="single" w:sz="4" w:space="0" w:color="auto"/>
              <w:right w:val="nil"/>
            </w:tcBorders>
            <w:shd w:val="clear" w:color="auto" w:fill="auto"/>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C37769">
              <w:rPr>
                <w:rFonts w:cs="Arial"/>
                <w:b/>
                <w:bCs/>
                <w:color w:val="000000"/>
                <w:sz w:val="20"/>
                <w:lang w:val="en-US" w:eastAsia="zh-CN"/>
              </w:rPr>
              <w:t>Cash and cash equivalents at closure of period</w:t>
            </w:r>
          </w:p>
        </w:tc>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135,297 </w:t>
            </w:r>
          </w:p>
        </w:tc>
        <w:tc>
          <w:tcPr>
            <w:tcW w:w="743"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90095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C37769">
              <w:rPr>
                <w:rFonts w:cs="Arial"/>
                <w:b/>
                <w:bCs/>
                <w:sz w:val="20"/>
                <w:lang w:val="en-US" w:eastAsia="zh-CN"/>
              </w:rPr>
              <w:t xml:space="preserve">      108,435 </w:t>
            </w:r>
          </w:p>
        </w:tc>
      </w:tr>
    </w:tbl>
    <w:p w:rsidR="006F29B5" w:rsidRPr="00F62A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rPr>
      </w:pPr>
      <w:r w:rsidRPr="00F62A26">
        <w:rPr>
          <w:sz w:val="16"/>
          <w:szCs w:val="16"/>
          <w:lang w:val="en-US"/>
        </w:rPr>
        <w:br w:type="page"/>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F29B5" w:rsidRDefault="006F29B5" w:rsidP="00F62A26">
      <w:pPr>
        <w:pStyle w:val="Tabletitle"/>
        <w:spacing w:before="240" w:after="0"/>
        <w:ind w:left="-567" w:right="-567"/>
        <w:rPr>
          <w:sz w:val="28"/>
          <w:szCs w:val="28"/>
          <w:lang w:val="en-US"/>
        </w:rPr>
      </w:pPr>
      <w:bookmarkStart w:id="20" w:name="_Toc329011606"/>
      <w:r w:rsidRPr="001114BA">
        <w:rPr>
          <w:sz w:val="28"/>
          <w:szCs w:val="28"/>
          <w:lang w:val="en-US"/>
        </w:rPr>
        <w:t xml:space="preserve">V – </w:t>
      </w:r>
      <w:bookmarkEnd w:id="20"/>
      <w:r w:rsidRPr="001114BA">
        <w:rPr>
          <w:sz w:val="28"/>
          <w:szCs w:val="28"/>
          <w:lang w:val="en-US"/>
        </w:rPr>
        <w:t xml:space="preserve">Comparison of budgeted amounts </w:t>
      </w:r>
      <w:r>
        <w:rPr>
          <w:sz w:val="28"/>
          <w:szCs w:val="28"/>
          <w:lang w:val="en-US"/>
        </w:rPr>
        <w:t xml:space="preserve">and actual amounts for the 2017 </w:t>
      </w:r>
      <w:r w:rsidRPr="001114BA">
        <w:rPr>
          <w:sz w:val="28"/>
          <w:szCs w:val="28"/>
          <w:lang w:val="en-US"/>
        </w:rPr>
        <w:t>financial period</w:t>
      </w:r>
    </w:p>
    <w:p w:rsidR="006F29B5" w:rsidRPr="001202C7" w:rsidRDefault="006F29B5" w:rsidP="00F62A26">
      <w:pPr>
        <w:pStyle w:val="Tabletitle"/>
        <w:spacing w:after="240"/>
        <w:ind w:left="-567" w:right="-567"/>
        <w:rPr>
          <w:lang w:val="en-US"/>
        </w:rPr>
      </w:pPr>
      <w:r w:rsidRPr="001577D5">
        <w:rPr>
          <w:bCs/>
          <w:sz w:val="20"/>
          <w:lang w:val="en-US"/>
        </w:rPr>
        <w:t>(in thousands of CHF)</w:t>
      </w:r>
    </w:p>
    <w:tbl>
      <w:tblPr>
        <w:tblW w:w="5368" w:type="pct"/>
        <w:tblInd w:w="-431" w:type="dxa"/>
        <w:tblLayout w:type="fixed"/>
        <w:tblLook w:val="04A0" w:firstRow="1" w:lastRow="0" w:firstColumn="1" w:lastColumn="0" w:noHBand="0" w:noVBand="1"/>
      </w:tblPr>
      <w:tblGrid>
        <w:gridCol w:w="2797"/>
        <w:gridCol w:w="1117"/>
        <w:gridCol w:w="1119"/>
        <w:gridCol w:w="1119"/>
        <w:gridCol w:w="1117"/>
        <w:gridCol w:w="1401"/>
        <w:gridCol w:w="1674"/>
      </w:tblGrid>
      <w:tr w:rsidR="006F29B5" w:rsidRPr="00C37769" w:rsidTr="006F29B5">
        <w:trPr>
          <w:trHeight w:val="255"/>
        </w:trPr>
        <w:tc>
          <w:tcPr>
            <w:tcW w:w="1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Revenue</w:t>
            </w:r>
          </w:p>
        </w:tc>
        <w:tc>
          <w:tcPr>
            <w:tcW w:w="216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Budgeted amounts</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Actual amounts on a comparable basis</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Difference between final budget and actual amounts</w:t>
            </w:r>
          </w:p>
        </w:tc>
      </w:tr>
      <w:tr w:rsidR="006F29B5" w:rsidRPr="00C37769" w:rsidTr="006F29B5">
        <w:trPr>
          <w:trHeight w:val="630"/>
        </w:trPr>
        <w:tc>
          <w:tcPr>
            <w:tcW w:w="1352" w:type="pct"/>
            <w:vMerge/>
            <w:tcBorders>
              <w:top w:val="single" w:sz="4" w:space="0" w:color="auto"/>
              <w:left w:val="single" w:sz="4" w:space="0" w:color="auto"/>
              <w:bottom w:val="single" w:sz="4" w:space="0" w:color="000000"/>
              <w:right w:val="single" w:sz="4" w:space="0" w:color="auto"/>
            </w:tcBorders>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Initial Budget</w:t>
            </w:r>
          </w:p>
        </w:tc>
        <w:tc>
          <w:tcPr>
            <w:tcW w:w="541" w:type="pct"/>
            <w:tcBorders>
              <w:top w:val="nil"/>
              <w:left w:val="nil"/>
              <w:bottom w:val="single" w:sz="4" w:space="0" w:color="auto"/>
              <w:right w:val="nil"/>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Deferred activity</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Budget transfers</w:t>
            </w:r>
          </w:p>
        </w:tc>
        <w:tc>
          <w:tcPr>
            <w:tcW w:w="540" w:type="pct"/>
            <w:tcBorders>
              <w:top w:val="nil"/>
              <w:left w:val="nil"/>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Final budget</w:t>
            </w:r>
          </w:p>
        </w:tc>
        <w:tc>
          <w:tcPr>
            <w:tcW w:w="677" w:type="pct"/>
            <w:vMerge/>
            <w:tcBorders>
              <w:top w:val="single" w:sz="4" w:space="0" w:color="auto"/>
              <w:left w:val="single" w:sz="4" w:space="0" w:color="auto"/>
              <w:bottom w:val="single" w:sz="4" w:space="0" w:color="000000"/>
              <w:right w:val="single" w:sz="4" w:space="0" w:color="auto"/>
            </w:tcBorders>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r>
      <w:tr w:rsidR="006F29B5" w:rsidRPr="00C37769" w:rsidTr="006F29B5">
        <w:trPr>
          <w:trHeight w:val="435"/>
        </w:trPr>
        <w:tc>
          <w:tcPr>
            <w:tcW w:w="1352" w:type="pct"/>
            <w:vMerge/>
            <w:tcBorders>
              <w:top w:val="single" w:sz="4" w:space="0" w:color="auto"/>
              <w:left w:val="single" w:sz="4" w:space="0" w:color="auto"/>
              <w:bottom w:val="single" w:sz="4" w:space="0" w:color="000000"/>
              <w:right w:val="single" w:sz="4" w:space="0" w:color="auto"/>
            </w:tcBorders>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541"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541"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540"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677"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809"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Assessed contributions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124,401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124,401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122,390 </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-2,011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Cost recovery</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34,625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34,625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37,174 </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2,549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Interests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300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300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29 </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-271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Other revenue</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C37769">
              <w:rPr>
                <w:rFonts w:cs="Arial"/>
                <w:b/>
                <w:bCs/>
                <w:sz w:val="16"/>
                <w:szCs w:val="16"/>
                <w:lang w:val="en-US" w:eastAsia="zh-CN"/>
              </w:rPr>
              <w:t xml:space="preserve">              100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100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C37769">
              <w:rPr>
                <w:rFonts w:cs="Arial"/>
                <w:b/>
                <w:bCs/>
                <w:sz w:val="16"/>
                <w:szCs w:val="16"/>
                <w:lang w:val="en-US" w:eastAsia="zh-CN"/>
              </w:rPr>
              <w:t xml:space="preserve">                  1,441 </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C37769">
              <w:rPr>
                <w:rFonts w:cs="Arial"/>
                <w:b/>
                <w:bCs/>
                <w:sz w:val="16"/>
                <w:szCs w:val="16"/>
                <w:lang w:val="en-US" w:eastAsia="zh-CN"/>
              </w:rPr>
              <w:t xml:space="preserve">               1,341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Withdrawal from Reserve Account</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1,117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317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1,434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   </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-1,434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C37769">
              <w:rPr>
                <w:rFonts w:cs="Arial"/>
                <w:color w:val="000000"/>
                <w:sz w:val="16"/>
                <w:szCs w:val="16"/>
                <w:lang w:val="en-US" w:eastAsia="zh-CN"/>
              </w:rPr>
              <w:t> </w:t>
            </w:r>
          </w:p>
        </w:tc>
        <w:tc>
          <w:tcPr>
            <w:tcW w:w="809"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Total revenue</w:t>
            </w:r>
          </w:p>
        </w:tc>
        <w:tc>
          <w:tcPr>
            <w:tcW w:w="540"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160,543 </w:t>
            </w:r>
          </w:p>
        </w:tc>
        <w:tc>
          <w:tcPr>
            <w:tcW w:w="541"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317 </w:t>
            </w:r>
          </w:p>
        </w:tc>
        <w:tc>
          <w:tcPr>
            <w:tcW w:w="541"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160,860 </w:t>
            </w:r>
          </w:p>
        </w:tc>
        <w:tc>
          <w:tcPr>
            <w:tcW w:w="677"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161,034 </w:t>
            </w:r>
          </w:p>
        </w:tc>
        <w:tc>
          <w:tcPr>
            <w:tcW w:w="809"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174 </w:t>
            </w:r>
          </w:p>
        </w:tc>
      </w:tr>
      <w:tr w:rsidR="006F29B5" w:rsidRPr="00C37769" w:rsidTr="006F29B5">
        <w:trPr>
          <w:trHeight w:val="255"/>
        </w:trPr>
        <w:tc>
          <w:tcPr>
            <w:tcW w:w="1352" w:type="pct"/>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Expenses</w:t>
            </w:r>
          </w:p>
        </w:tc>
        <w:tc>
          <w:tcPr>
            <w:tcW w:w="216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Budgeted amounts</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Actual amounts on a comparable basis</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Difference between final budget and actual amounts</w:t>
            </w:r>
          </w:p>
        </w:tc>
      </w:tr>
      <w:tr w:rsidR="006F29B5" w:rsidRPr="00C37769" w:rsidTr="006F29B5">
        <w:trPr>
          <w:trHeight w:val="630"/>
        </w:trPr>
        <w:tc>
          <w:tcPr>
            <w:tcW w:w="1352" w:type="pct"/>
            <w:vMerge/>
            <w:tcBorders>
              <w:top w:val="nil"/>
              <w:left w:val="single" w:sz="4" w:space="0" w:color="auto"/>
              <w:bottom w:val="single" w:sz="4" w:space="0" w:color="000000"/>
              <w:right w:val="single" w:sz="4" w:space="0" w:color="auto"/>
            </w:tcBorders>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Initial Budget</w:t>
            </w:r>
          </w:p>
        </w:tc>
        <w:tc>
          <w:tcPr>
            <w:tcW w:w="541" w:type="pct"/>
            <w:tcBorders>
              <w:top w:val="nil"/>
              <w:left w:val="nil"/>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Deffered activity</w:t>
            </w:r>
          </w:p>
        </w:tc>
        <w:tc>
          <w:tcPr>
            <w:tcW w:w="541" w:type="pct"/>
            <w:tcBorders>
              <w:top w:val="nil"/>
              <w:left w:val="nil"/>
              <w:bottom w:val="single" w:sz="4" w:space="0" w:color="auto"/>
              <w:right w:val="nil"/>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Budget transfers</w:t>
            </w:r>
          </w:p>
        </w:tc>
        <w:tc>
          <w:tcPr>
            <w:tcW w:w="540" w:type="pct"/>
            <w:tcBorders>
              <w:top w:val="nil"/>
              <w:left w:val="single" w:sz="4" w:space="0" w:color="auto"/>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Final budget</w:t>
            </w:r>
          </w:p>
        </w:tc>
        <w:tc>
          <w:tcPr>
            <w:tcW w:w="677" w:type="pct"/>
            <w:vMerge/>
            <w:tcBorders>
              <w:top w:val="nil"/>
              <w:left w:val="single" w:sz="4" w:space="0" w:color="auto"/>
              <w:bottom w:val="single" w:sz="4" w:space="0" w:color="000000"/>
              <w:right w:val="single" w:sz="4" w:space="0" w:color="auto"/>
            </w:tcBorders>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809" w:type="pct"/>
            <w:vMerge/>
            <w:tcBorders>
              <w:top w:val="nil"/>
              <w:left w:val="single" w:sz="4" w:space="0" w:color="auto"/>
              <w:bottom w:val="single" w:sz="4" w:space="0" w:color="000000"/>
              <w:right w:val="single" w:sz="4" w:space="0" w:color="auto"/>
            </w:tcBorders>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r>
      <w:tr w:rsidR="006F29B5" w:rsidRPr="00C37769" w:rsidTr="006F29B5">
        <w:trPr>
          <w:trHeight w:val="255"/>
        </w:trPr>
        <w:tc>
          <w:tcPr>
            <w:tcW w:w="1352" w:type="pct"/>
            <w:vMerge/>
            <w:tcBorders>
              <w:top w:val="nil"/>
              <w:left w:val="single" w:sz="4" w:space="0" w:color="auto"/>
              <w:bottom w:val="single" w:sz="4" w:space="0" w:color="000000"/>
              <w:right w:val="single" w:sz="4" w:space="0" w:color="auto"/>
            </w:tcBorders>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541"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541"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540"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677"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c>
          <w:tcPr>
            <w:tcW w:w="809" w:type="pct"/>
            <w:tcBorders>
              <w:top w:val="nil"/>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31.12.2017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General Secretariat</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90,761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-116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90,645 </w:t>
            </w:r>
          </w:p>
        </w:tc>
        <w:tc>
          <w:tcPr>
            <w:tcW w:w="677" w:type="pct"/>
            <w:tcBorders>
              <w:top w:val="nil"/>
              <w:left w:val="nil"/>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81,762 </w:t>
            </w:r>
          </w:p>
        </w:tc>
        <w:tc>
          <w:tcPr>
            <w:tcW w:w="809"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8,883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Radiocommunication Sector</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28,603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28,603 </w:t>
            </w:r>
          </w:p>
        </w:tc>
        <w:tc>
          <w:tcPr>
            <w:tcW w:w="677" w:type="pct"/>
            <w:tcBorders>
              <w:top w:val="nil"/>
              <w:left w:val="nil"/>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27,234 </w:t>
            </w:r>
          </w:p>
        </w:tc>
        <w:tc>
          <w:tcPr>
            <w:tcW w:w="809"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1,369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p>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Telecommunication Standardization Sector</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12,438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12,438 </w:t>
            </w:r>
          </w:p>
        </w:tc>
        <w:tc>
          <w:tcPr>
            <w:tcW w:w="677" w:type="pct"/>
            <w:tcBorders>
              <w:top w:val="nil"/>
              <w:left w:val="nil"/>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12,296 </w:t>
            </w:r>
          </w:p>
        </w:tc>
        <w:tc>
          <w:tcPr>
            <w:tcW w:w="809"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142 </w:t>
            </w:r>
          </w:p>
        </w:tc>
      </w:tr>
      <w:tr w:rsidR="006F29B5" w:rsidRPr="00C37769" w:rsidTr="006F29B5">
        <w:trPr>
          <w:trHeight w:val="240"/>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p>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Telecommunication Development Sector</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28,741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317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116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29,174 </w:t>
            </w:r>
          </w:p>
        </w:tc>
        <w:tc>
          <w:tcPr>
            <w:tcW w:w="677" w:type="pct"/>
            <w:tcBorders>
              <w:top w:val="nil"/>
              <w:left w:val="nil"/>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27,733 </w:t>
            </w:r>
          </w:p>
        </w:tc>
        <w:tc>
          <w:tcPr>
            <w:tcW w:w="809"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1,441 </w:t>
            </w:r>
          </w:p>
        </w:tc>
      </w:tr>
      <w:tr w:rsidR="006F29B5" w:rsidRPr="00C37769" w:rsidTr="006F29B5">
        <w:trPr>
          <w:trHeight w:val="240"/>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p>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Expenses not foreseen in approved budget</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   </w:t>
            </w:r>
          </w:p>
        </w:tc>
        <w:tc>
          <w:tcPr>
            <w:tcW w:w="677" w:type="pct"/>
            <w:tcBorders>
              <w:top w:val="nil"/>
              <w:left w:val="nil"/>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xml:space="preserve">                               644 </w:t>
            </w:r>
          </w:p>
        </w:tc>
        <w:tc>
          <w:tcPr>
            <w:tcW w:w="809"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 </w:t>
            </w:r>
          </w:p>
        </w:tc>
      </w:tr>
      <w:tr w:rsidR="006F29B5" w:rsidRPr="00C37769" w:rsidTr="006F29B5">
        <w:trPr>
          <w:trHeight w:val="255"/>
        </w:trPr>
        <w:tc>
          <w:tcPr>
            <w:tcW w:w="1352" w:type="pct"/>
            <w:tcBorders>
              <w:top w:val="single" w:sz="4" w:space="0" w:color="auto"/>
              <w:left w:val="single" w:sz="4" w:space="0" w:color="auto"/>
              <w:bottom w:val="single" w:sz="4" w:space="0" w:color="auto"/>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Total expenses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160,543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   </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160,860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149,669 </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11,191 </w:t>
            </w:r>
          </w:p>
        </w:tc>
      </w:tr>
      <w:tr w:rsidR="006F29B5" w:rsidRPr="00C37769" w:rsidTr="006F29B5">
        <w:trPr>
          <w:trHeight w:val="255"/>
        </w:trPr>
        <w:tc>
          <w:tcPr>
            <w:tcW w:w="1352" w:type="pct"/>
            <w:tcBorders>
              <w:top w:val="nil"/>
              <w:left w:val="single" w:sz="4" w:space="0" w:color="auto"/>
              <w:bottom w:val="single" w:sz="4" w:space="0" w:color="auto"/>
              <w:right w:val="nil"/>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Result</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677"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xml:space="preserve">               11,365 </w:t>
            </w:r>
          </w:p>
        </w:tc>
        <w:tc>
          <w:tcPr>
            <w:tcW w:w="809" w:type="pct"/>
            <w:tcBorders>
              <w:top w:val="nil"/>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ASHI</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-18,214</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Capitalization of fixed assets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2,021</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Recognition of inventories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128</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Depreciation</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-4,656</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Exchange rate gains/losses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-604</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p>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Repayment of FIPOI loan not considered as expense</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1,493</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p>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Changes in and use of provision for doubtful debts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-5,939</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Sales of assets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5</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p>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6"/>
                <w:szCs w:val="16"/>
                <w:lang w:val="en-US" w:eastAsia="zh-CN"/>
              </w:rPr>
            </w:pPr>
            <w:r w:rsidRPr="00C37769">
              <w:rPr>
                <w:rFonts w:cs="Arial"/>
                <w:i/>
                <w:iCs/>
                <w:color w:val="000000"/>
                <w:sz w:val="16"/>
                <w:szCs w:val="16"/>
                <w:lang w:val="en-US" w:eastAsia="zh-CN"/>
              </w:rPr>
              <w:t>Other expenses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-29</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70"/>
        </w:trPr>
        <w:tc>
          <w:tcPr>
            <w:tcW w:w="1352" w:type="pct"/>
            <w:tcBorders>
              <w:top w:val="single" w:sz="4" w:space="0" w:color="auto"/>
              <w:left w:val="single" w:sz="4" w:space="0" w:color="auto"/>
              <w:bottom w:val="single" w:sz="4" w:space="0" w:color="auto"/>
              <w:right w:val="nil"/>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Total IPSAS difference</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-25,794</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Surplus/ Deficit on Fund 1000</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11,365</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C37769">
              <w:rPr>
                <w:rFonts w:cs="Arial"/>
                <w:sz w:val="16"/>
                <w:szCs w:val="16"/>
                <w:lang w:val="en-US" w:eastAsia="zh-CN"/>
              </w:rPr>
              <w:t>Increase</w:t>
            </w:r>
            <w:r w:rsidR="00EE1883">
              <w:rPr>
                <w:rFonts w:cs="Arial"/>
                <w:sz w:val="16"/>
                <w:szCs w:val="16"/>
                <w:lang w:val="en-US" w:eastAsia="zh-CN"/>
              </w:rPr>
              <w:t>/ Decrease</w:t>
            </w:r>
            <w:r w:rsidRPr="00C37769">
              <w:rPr>
                <w:rFonts w:cs="Arial"/>
                <w:sz w:val="16"/>
                <w:szCs w:val="16"/>
                <w:lang w:val="en-US" w:eastAsia="zh-CN"/>
              </w:rPr>
              <w:t xml:space="preserve"> of the investment fund</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-869</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255"/>
        </w:trPr>
        <w:tc>
          <w:tcPr>
            <w:tcW w:w="1352" w:type="pct"/>
            <w:tcBorders>
              <w:top w:val="nil"/>
              <w:left w:val="single" w:sz="4" w:space="0" w:color="auto"/>
              <w:bottom w:val="nil"/>
              <w:right w:val="nil"/>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C37769">
              <w:rPr>
                <w:rFonts w:cs="Arial"/>
                <w:sz w:val="16"/>
                <w:szCs w:val="16"/>
                <w:lang w:val="en-US" w:eastAsia="zh-CN"/>
              </w:rPr>
              <w:t>Perimeter differences</w:t>
            </w:r>
          </w:p>
        </w:tc>
        <w:tc>
          <w:tcPr>
            <w:tcW w:w="540" w:type="pct"/>
            <w:tcBorders>
              <w:top w:val="nil"/>
              <w:left w:val="single" w:sz="4" w:space="0" w:color="auto"/>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1"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540"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c>
          <w:tcPr>
            <w:tcW w:w="677"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C37769">
              <w:rPr>
                <w:rFonts w:cs="Arial"/>
                <w:i/>
                <w:iCs/>
                <w:color w:val="000000"/>
                <w:sz w:val="16"/>
                <w:szCs w:val="16"/>
                <w:lang w:val="en-US" w:eastAsia="zh-CN"/>
              </w:rPr>
              <w:t>-1,780</w:t>
            </w:r>
          </w:p>
        </w:tc>
        <w:tc>
          <w:tcPr>
            <w:tcW w:w="809" w:type="pct"/>
            <w:tcBorders>
              <w:top w:val="nil"/>
              <w:left w:val="nil"/>
              <w:bottom w:val="nil"/>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C37769">
              <w:rPr>
                <w:rFonts w:cs="Arial"/>
                <w:color w:val="000000"/>
                <w:sz w:val="16"/>
                <w:szCs w:val="16"/>
                <w:lang w:val="en-US" w:eastAsia="zh-CN"/>
              </w:rPr>
              <w:t> </w:t>
            </w:r>
          </w:p>
        </w:tc>
      </w:tr>
      <w:tr w:rsidR="006F29B5" w:rsidRPr="00C37769" w:rsidTr="006F29B5">
        <w:trPr>
          <w:trHeight w:val="510"/>
        </w:trPr>
        <w:tc>
          <w:tcPr>
            <w:tcW w:w="1352" w:type="pct"/>
            <w:tcBorders>
              <w:top w:val="single" w:sz="4" w:space="0" w:color="auto"/>
              <w:left w:val="single" w:sz="4" w:space="0" w:color="auto"/>
              <w:bottom w:val="single" w:sz="4" w:space="0" w:color="auto"/>
              <w:right w:val="nil"/>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Surplus/Deficit as shown in the statement of financial performance</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C37769">
              <w:rPr>
                <w:rFonts w:cs="Arial"/>
                <w:b/>
                <w:bCs/>
                <w:color w:val="000000"/>
                <w:sz w:val="16"/>
                <w:szCs w:val="16"/>
                <w:lang w:val="en-US" w:eastAsia="zh-CN"/>
              </w:rPr>
              <w:t>-17,078</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6F29B5" w:rsidRPr="00C37769"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C37769">
              <w:rPr>
                <w:rFonts w:cs="Arial"/>
                <w:b/>
                <w:bCs/>
                <w:color w:val="000000"/>
                <w:sz w:val="16"/>
                <w:szCs w:val="16"/>
                <w:lang w:val="en-US" w:eastAsia="zh-CN"/>
              </w:rPr>
              <w:t> </w:t>
            </w:r>
          </w:p>
        </w:tc>
      </w:tr>
    </w:tbl>
    <w:p w:rsidR="006F29B5" w:rsidRPr="00C37769" w:rsidRDefault="006F29B5" w:rsidP="006F29B5">
      <w:pPr>
        <w:spacing w:before="60"/>
        <w:jc w:val="center"/>
      </w:pPr>
      <w:r w:rsidRPr="00C37769">
        <w:rPr>
          <w:sz w:val="22"/>
          <w:szCs w:val="22"/>
          <w:lang w:val="en-US"/>
        </w:rPr>
        <w:br w:type="page"/>
      </w:r>
    </w:p>
    <w:p w:rsidR="006F29B5" w:rsidRDefault="006F29B5" w:rsidP="006F29B5">
      <w:pPr>
        <w:tabs>
          <w:tab w:val="left" w:pos="1418"/>
        </w:tabs>
        <w:snapToGrid w:val="0"/>
        <w:spacing w:before="0"/>
        <w:ind w:left="1418" w:hanging="1418"/>
        <w:jc w:val="both"/>
        <w:rPr>
          <w:b/>
        </w:rPr>
      </w:pPr>
    </w:p>
    <w:p w:rsidR="006F29B5" w:rsidRPr="00486B4E" w:rsidRDefault="006F29B5" w:rsidP="006F29B5">
      <w:pPr>
        <w:pStyle w:val="Annextitle"/>
      </w:pPr>
      <w:r w:rsidRPr="00486B4E">
        <w:t>Financial management of the Union</w:t>
      </w:r>
    </w:p>
    <w:p w:rsidR="006F29B5" w:rsidRPr="00667D3A" w:rsidRDefault="006F29B5" w:rsidP="00F62A26">
      <w:pPr>
        <w:pStyle w:val="headingb0"/>
        <w:spacing w:after="360"/>
        <w:jc w:val="center"/>
        <w:rPr>
          <w:rFonts w:asciiTheme="minorHAnsi" w:hAnsiTheme="minorHAnsi"/>
        </w:rPr>
      </w:pPr>
      <w:r w:rsidRPr="00667D3A">
        <w:rPr>
          <w:rFonts w:asciiTheme="minorHAnsi" w:hAnsiTheme="minorHAnsi"/>
        </w:rPr>
        <w:t>Table of contents</w:t>
      </w:r>
    </w:p>
    <w:p w:rsidR="006F29B5" w:rsidRPr="00050271" w:rsidRDefault="006F29B5" w:rsidP="006F29B5">
      <w:pPr>
        <w:pStyle w:val="enumlev1"/>
        <w:tabs>
          <w:tab w:val="clear" w:pos="567"/>
          <w:tab w:val="left" w:pos="851"/>
        </w:tabs>
        <w:ind w:left="851" w:hanging="851"/>
      </w:pPr>
      <w:r w:rsidRPr="00050271">
        <w:t>1</w:t>
      </w:r>
      <w:r w:rsidRPr="00050271">
        <w:tab/>
        <w:t>Implementation of the decisions and resolutions of the Plenipotentiary Conference</w:t>
      </w:r>
      <w:r>
        <w:t>s</w:t>
      </w:r>
      <w:r w:rsidRPr="00050271">
        <w:t xml:space="preserve"> concerning the finances of the Union (CS/Article 28, Decision 5, Resolutions 38, 45, 91</w:t>
      </w:r>
      <w:r>
        <w:br/>
      </w:r>
      <w:r w:rsidRPr="00050271">
        <w:t>and 94)</w:t>
      </w:r>
    </w:p>
    <w:p w:rsidR="006F29B5" w:rsidRPr="00050271" w:rsidRDefault="006F29B5" w:rsidP="006F29B5">
      <w:pPr>
        <w:pStyle w:val="enumlev1"/>
        <w:tabs>
          <w:tab w:val="clear" w:pos="567"/>
          <w:tab w:val="left" w:pos="851"/>
        </w:tabs>
        <w:ind w:left="851" w:hanging="851"/>
      </w:pPr>
      <w:r>
        <w:t>2</w:t>
      </w:r>
      <w:r w:rsidRPr="00050271">
        <w:tab/>
        <w:t>Budget of the Union</w:t>
      </w:r>
    </w:p>
    <w:p w:rsidR="006F29B5" w:rsidRPr="00050271" w:rsidRDefault="006F29B5" w:rsidP="006F29B5">
      <w:pPr>
        <w:pStyle w:val="enumlev1"/>
        <w:tabs>
          <w:tab w:val="clear" w:pos="567"/>
          <w:tab w:val="left" w:pos="851"/>
        </w:tabs>
        <w:ind w:left="851" w:hanging="851"/>
      </w:pPr>
      <w:r>
        <w:t>3</w:t>
      </w:r>
      <w:r w:rsidRPr="00050271">
        <w:tab/>
        <w:t>Assets, liabilities and net assets at 31 December 201</w:t>
      </w:r>
      <w:r>
        <w:t>7</w:t>
      </w:r>
    </w:p>
    <w:p w:rsidR="006F29B5" w:rsidRPr="00050271" w:rsidRDefault="006F29B5" w:rsidP="006F29B5">
      <w:pPr>
        <w:pStyle w:val="enumlev1"/>
        <w:tabs>
          <w:tab w:val="clear" w:pos="567"/>
          <w:tab w:val="left" w:pos="851"/>
        </w:tabs>
        <w:ind w:left="851" w:hanging="851"/>
      </w:pPr>
      <w:r>
        <w:t>4</w:t>
      </w:r>
      <w:r w:rsidRPr="00050271">
        <w:tab/>
        <w:t>Reserve Account and net assets</w:t>
      </w:r>
    </w:p>
    <w:p w:rsidR="006F29B5" w:rsidRPr="00050271" w:rsidRDefault="006F29B5" w:rsidP="006F29B5">
      <w:pPr>
        <w:pStyle w:val="enumlev1"/>
        <w:tabs>
          <w:tab w:val="clear" w:pos="567"/>
          <w:tab w:val="left" w:pos="851"/>
        </w:tabs>
        <w:ind w:left="851" w:hanging="851"/>
      </w:pPr>
      <w:r>
        <w:t>5</w:t>
      </w:r>
      <w:r w:rsidRPr="00050271">
        <w:tab/>
        <w:t>Exhibition Working Capital Fund and Telecom events</w:t>
      </w:r>
    </w:p>
    <w:p w:rsidR="006F29B5" w:rsidRPr="00050271" w:rsidRDefault="006F29B5" w:rsidP="006F29B5">
      <w:pPr>
        <w:pStyle w:val="enumlev1"/>
        <w:tabs>
          <w:tab w:val="clear" w:pos="567"/>
          <w:tab w:val="left" w:pos="851"/>
        </w:tabs>
        <w:ind w:left="851" w:hanging="851"/>
      </w:pPr>
      <w:r>
        <w:t>6</w:t>
      </w:r>
      <w:r w:rsidRPr="00050271">
        <w:tab/>
        <w:t>Cash and cash equivalent</w:t>
      </w:r>
    </w:p>
    <w:p w:rsidR="006F29B5" w:rsidRPr="00050271" w:rsidRDefault="006F29B5" w:rsidP="006F29B5">
      <w:pPr>
        <w:pStyle w:val="enumlev1"/>
        <w:tabs>
          <w:tab w:val="clear" w:pos="567"/>
          <w:tab w:val="left" w:pos="851"/>
        </w:tabs>
        <w:ind w:left="851" w:hanging="851"/>
      </w:pPr>
      <w:r>
        <w:t>7</w:t>
      </w:r>
      <w:r w:rsidRPr="00050271">
        <w:tab/>
        <w:t>Receivable</w:t>
      </w:r>
    </w:p>
    <w:p w:rsidR="006F29B5" w:rsidRPr="00050271" w:rsidRDefault="006F29B5" w:rsidP="006F29B5">
      <w:pPr>
        <w:pStyle w:val="enumlev1"/>
        <w:tabs>
          <w:tab w:val="clear" w:pos="567"/>
          <w:tab w:val="left" w:pos="851"/>
        </w:tabs>
        <w:ind w:left="851" w:hanging="851"/>
      </w:pPr>
      <w:r>
        <w:t>8</w:t>
      </w:r>
      <w:r w:rsidRPr="00050271">
        <w:tab/>
        <w:t>Fixed assets</w:t>
      </w:r>
    </w:p>
    <w:p w:rsidR="006F29B5" w:rsidRPr="00050271" w:rsidRDefault="006F29B5" w:rsidP="006F29B5">
      <w:pPr>
        <w:pStyle w:val="enumlev1"/>
        <w:tabs>
          <w:tab w:val="clear" w:pos="567"/>
          <w:tab w:val="left" w:pos="851"/>
        </w:tabs>
        <w:ind w:left="851" w:hanging="851"/>
      </w:pPr>
      <w:r>
        <w:t>9</w:t>
      </w:r>
      <w:r w:rsidRPr="00050271">
        <w:tab/>
        <w:t xml:space="preserve">Employee benefits </w:t>
      </w:r>
    </w:p>
    <w:p w:rsidR="006F29B5" w:rsidRPr="00050271" w:rsidRDefault="006F29B5" w:rsidP="006F29B5">
      <w:pPr>
        <w:pStyle w:val="enumlev1"/>
        <w:tabs>
          <w:tab w:val="clear" w:pos="567"/>
          <w:tab w:val="left" w:pos="851"/>
        </w:tabs>
        <w:ind w:left="851" w:hanging="851"/>
      </w:pPr>
      <w:r w:rsidRPr="00050271">
        <w:t>1</w:t>
      </w:r>
      <w:r>
        <w:t>0</w:t>
      </w:r>
      <w:r w:rsidRPr="00050271">
        <w:tab/>
        <w:t>Special accounts</w:t>
      </w:r>
    </w:p>
    <w:p w:rsidR="006F29B5" w:rsidRPr="00050271" w:rsidRDefault="006F29B5" w:rsidP="006F29B5">
      <w:pPr>
        <w:pStyle w:val="enumlev1"/>
        <w:tabs>
          <w:tab w:val="clear" w:pos="567"/>
          <w:tab w:val="left" w:pos="851"/>
        </w:tabs>
        <w:ind w:left="851" w:hanging="851"/>
      </w:pPr>
      <w:r w:rsidRPr="00050271">
        <w:t>1</w:t>
      </w:r>
      <w:r>
        <w:t>1</w:t>
      </w:r>
      <w:r w:rsidRPr="00050271">
        <w:tab/>
        <w:t xml:space="preserve">Voluntary contributions </w:t>
      </w:r>
    </w:p>
    <w:p w:rsidR="006F29B5" w:rsidRPr="00050271" w:rsidRDefault="006F29B5" w:rsidP="006F29B5">
      <w:pPr>
        <w:pStyle w:val="enumlev1"/>
        <w:tabs>
          <w:tab w:val="clear" w:pos="567"/>
          <w:tab w:val="left" w:pos="851"/>
        </w:tabs>
        <w:ind w:left="851" w:hanging="851"/>
      </w:pPr>
      <w:r w:rsidRPr="00050271">
        <w:t>1</w:t>
      </w:r>
      <w:r>
        <w:t>2</w:t>
      </w:r>
      <w:r w:rsidRPr="00050271">
        <w:tab/>
        <w:t>Funds in trust</w:t>
      </w:r>
    </w:p>
    <w:p w:rsidR="006F29B5" w:rsidRPr="00050271" w:rsidRDefault="006F29B5" w:rsidP="006F29B5">
      <w:pPr>
        <w:pStyle w:val="enumlev1"/>
        <w:tabs>
          <w:tab w:val="clear" w:pos="567"/>
          <w:tab w:val="left" w:pos="851"/>
        </w:tabs>
        <w:ind w:left="851" w:hanging="851"/>
      </w:pPr>
      <w:r w:rsidRPr="00050271">
        <w:t>1</w:t>
      </w:r>
      <w:r>
        <w:t>3</w:t>
      </w:r>
      <w:r w:rsidRPr="00050271">
        <w:tab/>
        <w:t>Information and Communication Technology Development Fund (ICTDF)</w:t>
      </w:r>
    </w:p>
    <w:p w:rsidR="006F29B5" w:rsidRDefault="006F29B5" w:rsidP="006F29B5">
      <w:pPr>
        <w:pStyle w:val="enumlev1"/>
        <w:tabs>
          <w:tab w:val="clear" w:pos="567"/>
          <w:tab w:val="left" w:pos="851"/>
        </w:tabs>
        <w:ind w:left="851" w:hanging="851"/>
      </w:pPr>
      <w:r w:rsidRPr="00050271">
        <w:t>1</w:t>
      </w:r>
      <w:r>
        <w:t>4</w:t>
      </w:r>
      <w:r w:rsidRPr="00050271">
        <w:tab/>
        <w:t>Other financial management questions</w:t>
      </w:r>
    </w:p>
    <w:p w:rsidR="006F29B5" w:rsidRDefault="006F29B5" w:rsidP="006F29B5">
      <w:pPr>
        <w:pStyle w:val="enumlev1"/>
        <w:tabs>
          <w:tab w:val="clear" w:pos="567"/>
          <w:tab w:val="left" w:pos="851"/>
        </w:tabs>
        <w:ind w:left="851" w:hanging="851"/>
      </w:pPr>
    </w:p>
    <w:p w:rsidR="006F29B5" w:rsidRPr="00486B4E" w:rsidRDefault="006F29B5" w:rsidP="006F29B5">
      <w:pPr>
        <w:pStyle w:val="enumlev1"/>
        <w:tabs>
          <w:tab w:val="clear" w:pos="567"/>
          <w:tab w:val="left" w:pos="851"/>
        </w:tabs>
        <w:ind w:left="851" w:hanging="851"/>
        <w:rPr>
          <w:b/>
        </w:rPr>
      </w:pPr>
      <w:r>
        <w:t>Annex</w:t>
      </w:r>
      <w:r>
        <w:tab/>
        <w:t>Draft resolution</w:t>
      </w:r>
    </w:p>
    <w:p w:rsidR="006F29B5" w:rsidRPr="00486B4E" w:rsidRDefault="006F29B5" w:rsidP="006F29B5">
      <w:pPr>
        <w:pStyle w:val="Title1"/>
      </w:pPr>
      <w:r w:rsidRPr="00486B4E">
        <w:br w:type="page"/>
        <w:t>FINANCIAL MANAGEMENT OF THE UNION</w:t>
      </w:r>
    </w:p>
    <w:p w:rsidR="006F29B5" w:rsidRPr="00486B4E" w:rsidRDefault="006F29B5" w:rsidP="006F29B5">
      <w:pPr>
        <w:spacing w:before="480"/>
        <w:jc w:val="both"/>
      </w:pPr>
      <w:r w:rsidRPr="00486B4E">
        <w:t>The finances of the Union are governed by the relevant provisions of the Constitution and the Convention of the International Telecommunication Union (Geneva, 1992), as amended in Kyoto in 1994, Minneapolis in 1998, Marrakesh in 2002</w:t>
      </w:r>
      <w:r>
        <w:t xml:space="preserve">, </w:t>
      </w:r>
      <w:r w:rsidRPr="00486B4E">
        <w:t>Antalya in 2006</w:t>
      </w:r>
      <w:r>
        <w:t xml:space="preserve">, Guadalajara in </w:t>
      </w:r>
      <w:r w:rsidRPr="00931390">
        <w:t>2010</w:t>
      </w:r>
      <w:r>
        <w:t xml:space="preserve"> and Busan in 2014, </w:t>
      </w:r>
      <w:r w:rsidRPr="00931390">
        <w:t>the Financial Regulations and Financial Rules adopted by the Council and the decisions and resolutions adopted by the Council in accordance with such provisions.</w:t>
      </w:r>
    </w:p>
    <w:p w:rsidR="006F29B5" w:rsidRPr="00AA02E9" w:rsidRDefault="006F29B5" w:rsidP="006F29B5">
      <w:pPr>
        <w:pStyle w:val="Heading1"/>
        <w:tabs>
          <w:tab w:val="clear" w:pos="567"/>
          <w:tab w:val="left" w:pos="709"/>
        </w:tabs>
        <w:ind w:left="709" w:hanging="709"/>
      </w:pPr>
      <w:r w:rsidRPr="00AA02E9">
        <w:t>1</w:t>
      </w:r>
      <w:r w:rsidRPr="00AA02E9">
        <w:tab/>
        <w:t>Implementation of the decisions and resolutions of the Plenipotentiary Conference</w:t>
      </w:r>
      <w:r>
        <w:t>s</w:t>
      </w:r>
      <w:r w:rsidRPr="00AA02E9">
        <w:t xml:space="preserve"> (</w:t>
      </w:r>
      <w:r>
        <w:t xml:space="preserve">Guadalajara, 2010 and </w:t>
      </w:r>
      <w:r w:rsidRPr="00B154D6">
        <w:t>Busan, 2014</w:t>
      </w:r>
      <w:r w:rsidRPr="00AA02E9">
        <w:t>) concerning the finances of the Union (CS/Article 28, Decision 5, Resolutions 38, 45, 91 and 94)</w:t>
      </w:r>
    </w:p>
    <w:p w:rsidR="006F29B5" w:rsidRPr="00E87888" w:rsidRDefault="006F29B5" w:rsidP="006F29B5">
      <w:pPr>
        <w:pStyle w:val="headingb0"/>
        <w:rPr>
          <w:rFonts w:asciiTheme="minorHAnsi" w:hAnsiTheme="minorHAnsi"/>
        </w:rPr>
      </w:pPr>
      <w:r w:rsidRPr="00E87888">
        <w:rPr>
          <w:rFonts w:asciiTheme="minorHAnsi" w:hAnsiTheme="minorHAnsi"/>
        </w:rPr>
        <w:t>CS/Article 28: Finances of the Union: Procedure for choosing classes of contribution</w:t>
      </w:r>
    </w:p>
    <w:p w:rsidR="006F29B5" w:rsidRPr="00E87888" w:rsidRDefault="006F29B5" w:rsidP="006F29B5">
      <w:pPr>
        <w:tabs>
          <w:tab w:val="clear" w:pos="567"/>
          <w:tab w:val="left" w:pos="709"/>
        </w:tabs>
        <w:jc w:val="both"/>
        <w:rPr>
          <w:bCs/>
        </w:rPr>
      </w:pPr>
      <w:r w:rsidRPr="00E87888">
        <w:rPr>
          <w:bCs/>
        </w:rPr>
        <w:t>1.1</w:t>
      </w:r>
      <w:r w:rsidRPr="00E87888">
        <w:rPr>
          <w:bCs/>
        </w:rPr>
        <w:tab/>
        <w:t xml:space="preserve">Pursuant to Article 28 of the Constitution, Member States, upon invitation by the Secretary-General, shall announce their definitive choice of class of contribution by the date set by the plenipotentiary conference, which shall be a date within the penultimate week of the conference. Member States which have failed to notify the Secretary-General of their decision by the date set by the plenipotentiary conference shall retain the class of contribution previously chosen. The Secretary-General shall inform the Sector Members of the definitive upper limit of the amount of the contributory unit and invite them to notify, within three months from the closing date of the plenipotentiary conference, the class of contribution they have chosen. Sector Members which have failed to notify the Secretary-General of their decision within this three-month period shall retain the class of contribution previously chosen. Details of the evolution of the number of contributory units is given in </w:t>
      </w:r>
      <w:r w:rsidRPr="00E87888">
        <w:t>§ 3.</w:t>
      </w:r>
      <w:r w:rsidRPr="00E87888">
        <w:rPr>
          <w:bCs/>
        </w:rPr>
        <w:t>8, Regular</w:t>
      </w:r>
      <w:r w:rsidRPr="00E87888">
        <w:rPr>
          <w:bCs/>
          <w:i/>
          <w:iCs/>
        </w:rPr>
        <w:t xml:space="preserve"> budget – Revenue</w:t>
      </w:r>
      <w:r w:rsidRPr="00E87888">
        <w:rPr>
          <w:bCs/>
        </w:rPr>
        <w:t>.</w:t>
      </w:r>
    </w:p>
    <w:p w:rsidR="006F29B5" w:rsidRPr="00E87888" w:rsidRDefault="006F29B5" w:rsidP="006F29B5">
      <w:pPr>
        <w:pStyle w:val="headingb0"/>
        <w:rPr>
          <w:rFonts w:asciiTheme="minorHAnsi" w:hAnsiTheme="minorHAnsi"/>
        </w:rPr>
      </w:pPr>
      <w:r w:rsidRPr="00E87888">
        <w:rPr>
          <w:rFonts w:asciiTheme="minorHAnsi" w:hAnsiTheme="minorHAnsi"/>
        </w:rPr>
        <w:t xml:space="preserve">Article 28, No. 165B: </w:t>
      </w:r>
    </w:p>
    <w:p w:rsidR="006F29B5" w:rsidRDefault="006F29B5" w:rsidP="006F29B5">
      <w:pPr>
        <w:tabs>
          <w:tab w:val="clear" w:pos="567"/>
          <w:tab w:val="left" w:pos="709"/>
        </w:tabs>
        <w:jc w:val="both"/>
        <w:rPr>
          <w:rFonts w:asciiTheme="minorHAnsi" w:hAnsiTheme="minorHAnsi"/>
        </w:rPr>
      </w:pPr>
      <w:r w:rsidRPr="00E87888">
        <w:rPr>
          <w:rFonts w:asciiTheme="minorHAnsi" w:hAnsiTheme="minorHAnsi"/>
        </w:rPr>
        <w:t>1.2</w:t>
      </w:r>
      <w:r w:rsidRPr="00E87888">
        <w:rPr>
          <w:rFonts w:asciiTheme="minorHAnsi" w:hAnsiTheme="minorHAnsi"/>
        </w:rPr>
        <w:tab/>
        <w:t>In 201</w:t>
      </w:r>
      <w:r>
        <w:rPr>
          <w:rFonts w:asciiTheme="minorHAnsi" w:hAnsiTheme="minorHAnsi"/>
        </w:rPr>
        <w:t>4</w:t>
      </w:r>
      <w:r w:rsidRPr="00E87888">
        <w:rPr>
          <w:rFonts w:asciiTheme="minorHAnsi" w:hAnsiTheme="minorHAnsi"/>
        </w:rPr>
        <w:t xml:space="preserve">, </w:t>
      </w:r>
      <w:r>
        <w:rPr>
          <w:rFonts w:asciiTheme="minorHAnsi" w:hAnsiTheme="minorHAnsi"/>
        </w:rPr>
        <w:t xml:space="preserve">Kyrgyzstan </w:t>
      </w:r>
      <w:r w:rsidRPr="00E87888">
        <w:rPr>
          <w:rFonts w:asciiTheme="minorHAnsi" w:hAnsiTheme="minorHAnsi"/>
        </w:rPr>
        <w:t>increased its class of contribution from 1/</w:t>
      </w:r>
      <w:r>
        <w:rPr>
          <w:rFonts w:asciiTheme="minorHAnsi" w:hAnsiTheme="minorHAnsi"/>
        </w:rPr>
        <w:t>8</w:t>
      </w:r>
      <w:r w:rsidRPr="00E87888">
        <w:rPr>
          <w:rFonts w:asciiTheme="minorHAnsi" w:hAnsiTheme="minorHAnsi"/>
        </w:rPr>
        <w:t xml:space="preserve"> to </w:t>
      </w:r>
      <w:r>
        <w:rPr>
          <w:rFonts w:asciiTheme="minorHAnsi" w:hAnsiTheme="minorHAnsi"/>
        </w:rPr>
        <w:t>1/4 unit.</w:t>
      </w:r>
    </w:p>
    <w:p w:rsidR="006F29B5" w:rsidRPr="00B154D6" w:rsidRDefault="006F29B5" w:rsidP="006F29B5">
      <w:pPr>
        <w:tabs>
          <w:tab w:val="clear" w:pos="567"/>
          <w:tab w:val="left" w:pos="709"/>
        </w:tabs>
        <w:jc w:val="both"/>
        <w:rPr>
          <w:rFonts w:asciiTheme="minorHAnsi" w:hAnsiTheme="minorHAnsi"/>
        </w:rPr>
      </w:pPr>
      <w:r w:rsidRPr="00B154D6">
        <w:rPr>
          <w:rFonts w:asciiTheme="minorHAnsi" w:hAnsiTheme="minorHAnsi"/>
        </w:rPr>
        <w:t>1.3</w:t>
      </w:r>
      <w:r w:rsidRPr="00B154D6">
        <w:rPr>
          <w:rFonts w:asciiTheme="minorHAnsi" w:hAnsiTheme="minorHAnsi"/>
        </w:rPr>
        <w:tab/>
        <w:t>In 2016, Belgium reduced its class of contribution from 4 to 3 units, Canada reduced from 18 to 13 units, China increased from 12 to 14 units, Croatia reduced from 1/2 to 1/4 unit, Denmark reduced from 2 to 1 ½ unit, Finland reduced from 3 to 2 units, France reduced from 25 to 21 units, Guinee increased from 1/8 to 1/4 unit, Kazakhstan increased from 1/4 to 1/2 unit, Malaysia increased from 1 to 2 units, Mexico increased from 1 to 3 units, Panama reduced from 1/2 to 1/4, Portugal reduced from 2 to 1 1/2 units, Spain reduced from 8 to 6 units, Sweden reduced from 5 to 4 units, Syria reduced from 1/2 to 1/4 unit and Ukraine reduced from 1/2 to 1/4 unit.</w:t>
      </w:r>
    </w:p>
    <w:p w:rsidR="006F29B5" w:rsidRDefault="006F29B5" w:rsidP="006F29B5">
      <w:pPr>
        <w:tabs>
          <w:tab w:val="clear" w:pos="567"/>
          <w:tab w:val="left" w:pos="709"/>
        </w:tabs>
        <w:jc w:val="both"/>
        <w:rPr>
          <w:rFonts w:asciiTheme="minorHAnsi" w:hAnsiTheme="minorHAnsi"/>
        </w:rPr>
      </w:pPr>
      <w:r w:rsidRPr="00B154D6">
        <w:rPr>
          <w:rFonts w:asciiTheme="minorHAnsi" w:hAnsiTheme="minorHAnsi"/>
        </w:rPr>
        <w:t>1.4</w:t>
      </w:r>
      <w:r w:rsidRPr="00B154D6">
        <w:rPr>
          <w:rFonts w:asciiTheme="minorHAnsi" w:hAnsiTheme="minorHAnsi"/>
        </w:rPr>
        <w:tab/>
        <w:t xml:space="preserve">In 2018, the </w:t>
      </w:r>
      <w:r w:rsidR="008C5ECD">
        <w:rPr>
          <w:rFonts w:asciiTheme="minorHAnsi" w:hAnsiTheme="minorHAnsi"/>
        </w:rPr>
        <w:t xml:space="preserve">People’s </w:t>
      </w:r>
      <w:r w:rsidRPr="00B154D6">
        <w:rPr>
          <w:rFonts w:asciiTheme="minorHAnsi" w:hAnsiTheme="minorHAnsi"/>
        </w:rPr>
        <w:t>Republic of China increased from 14 to 20 units and Kuwait announced their</w:t>
      </w:r>
      <w:r>
        <w:rPr>
          <w:rFonts w:asciiTheme="minorHAnsi" w:hAnsiTheme="minorHAnsi"/>
        </w:rPr>
        <w:t xml:space="preserve"> increase from 3 to 5 units in 2019.</w:t>
      </w:r>
    </w:p>
    <w:p w:rsidR="006F29B5" w:rsidRDefault="006F29B5" w:rsidP="006F29B5">
      <w:pPr>
        <w:tabs>
          <w:tab w:val="clear" w:pos="567"/>
          <w:tab w:val="left" w:pos="709"/>
        </w:tabs>
        <w:jc w:val="both"/>
        <w:rPr>
          <w:rFonts w:asciiTheme="minorHAnsi" w:hAnsiTheme="minorHAnsi"/>
        </w:rPr>
      </w:pPr>
      <w:r>
        <w:rPr>
          <w:rFonts w:asciiTheme="minorHAnsi" w:hAnsiTheme="minorHAnsi"/>
        </w:rPr>
        <w:t>1.5</w:t>
      </w:r>
      <w:r>
        <w:rPr>
          <w:rFonts w:asciiTheme="minorHAnsi" w:hAnsiTheme="minorHAnsi"/>
        </w:rPr>
        <w:tab/>
        <w:t>Further to Resolution 1381, Kazakhstan reduced from 1/2 to 1/4 unit.</w:t>
      </w:r>
    </w:p>
    <w:p w:rsidR="006F29B5" w:rsidRPr="00E87888" w:rsidRDefault="006F29B5" w:rsidP="00BF2DA4">
      <w:pPr>
        <w:pStyle w:val="headingb0"/>
        <w:jc w:val="both"/>
        <w:rPr>
          <w:rFonts w:asciiTheme="minorHAnsi" w:hAnsiTheme="minorHAnsi"/>
        </w:rPr>
      </w:pPr>
      <w:r w:rsidRPr="008F464F">
        <w:rPr>
          <w:rFonts w:asciiTheme="minorHAnsi" w:hAnsiTheme="minorHAnsi"/>
          <w:spacing w:val="6"/>
        </w:rPr>
        <w:t>Decision 5 (Rev. Busan, 2014): Revenue and Expenses of the Union for the period</w:t>
      </w:r>
      <w:r w:rsidRPr="008F464F">
        <w:rPr>
          <w:rFonts w:asciiTheme="minorHAnsi" w:hAnsiTheme="minorHAnsi"/>
        </w:rPr>
        <w:t xml:space="preserve"> </w:t>
      </w:r>
      <w:r w:rsidR="00EE1883">
        <w:rPr>
          <w:rFonts w:asciiTheme="minorHAnsi" w:hAnsiTheme="minorHAnsi"/>
        </w:rPr>
        <w:t>–2016-2019</w:t>
      </w:r>
    </w:p>
    <w:p w:rsidR="006F29B5" w:rsidRPr="00486B4E" w:rsidRDefault="006F29B5" w:rsidP="00BF2DA4">
      <w:pPr>
        <w:tabs>
          <w:tab w:val="clear" w:pos="567"/>
          <w:tab w:val="left" w:pos="709"/>
        </w:tabs>
        <w:jc w:val="both"/>
        <w:rPr>
          <w:rFonts w:asciiTheme="minorHAnsi" w:hAnsiTheme="minorHAnsi"/>
          <w:i/>
          <w:iCs/>
        </w:rPr>
      </w:pPr>
      <w:r w:rsidRPr="00E87888">
        <w:rPr>
          <w:rFonts w:asciiTheme="minorHAnsi" w:hAnsiTheme="minorHAnsi"/>
        </w:rPr>
        <w:t>1.6</w:t>
      </w:r>
      <w:r w:rsidRPr="00E87888">
        <w:rPr>
          <w:rFonts w:asciiTheme="minorHAnsi" w:hAnsiTheme="minorHAnsi"/>
        </w:rPr>
        <w:tab/>
        <w:t>Pursuant to this decision, the Plenipotentiary Conference (Guadalajara, 2010</w:t>
      </w:r>
      <w:r>
        <w:rPr>
          <w:rFonts w:asciiTheme="minorHAnsi" w:hAnsiTheme="minorHAnsi"/>
        </w:rPr>
        <w:t xml:space="preserve"> and Busan 2014)</w:t>
      </w:r>
      <w:r w:rsidRPr="00E87888">
        <w:rPr>
          <w:rFonts w:asciiTheme="minorHAnsi" w:hAnsiTheme="minorHAnsi"/>
        </w:rPr>
        <w:t xml:space="preserve"> set the upper limit of the amount of the contributory unit of Member States for the years</w:t>
      </w:r>
      <w:r>
        <w:rPr>
          <w:rFonts w:asciiTheme="minorHAnsi" w:hAnsiTheme="minorHAnsi"/>
        </w:rPr>
        <w:t xml:space="preserve"> </w:t>
      </w:r>
      <w:r w:rsidR="00EE1883">
        <w:rPr>
          <w:rFonts w:asciiTheme="minorHAnsi" w:hAnsiTheme="minorHAnsi"/>
        </w:rPr>
        <w:t>2016-2019</w:t>
      </w:r>
      <w:r w:rsidRPr="00E87888">
        <w:rPr>
          <w:rFonts w:asciiTheme="minorHAnsi" w:hAnsiTheme="minorHAnsi"/>
        </w:rPr>
        <w:t>. Details of the limits and the arrangements for implementation of Decision</w:t>
      </w:r>
      <w:r>
        <w:rPr>
          <w:rFonts w:asciiTheme="minorHAnsi" w:hAnsiTheme="minorHAnsi"/>
        </w:rPr>
        <w:t> </w:t>
      </w:r>
      <w:r w:rsidRPr="00E87888">
        <w:rPr>
          <w:rFonts w:asciiTheme="minorHAnsi" w:hAnsiTheme="minorHAnsi"/>
        </w:rPr>
        <w:t>5 (Rev.</w:t>
      </w:r>
      <w:r>
        <w:rPr>
          <w:rFonts w:asciiTheme="minorHAnsi" w:hAnsiTheme="minorHAnsi"/>
        </w:rPr>
        <w:t> </w:t>
      </w:r>
      <w:r w:rsidRPr="00E87888">
        <w:rPr>
          <w:rFonts w:asciiTheme="minorHAnsi" w:hAnsiTheme="minorHAnsi"/>
        </w:rPr>
        <w:t>Guadalajara, 2010</w:t>
      </w:r>
      <w:r>
        <w:rPr>
          <w:rFonts w:asciiTheme="minorHAnsi" w:hAnsiTheme="minorHAnsi"/>
        </w:rPr>
        <w:t>) and (Rev. Busan 2014</w:t>
      </w:r>
      <w:r w:rsidRPr="00E87888">
        <w:rPr>
          <w:rFonts w:asciiTheme="minorHAnsi" w:hAnsiTheme="minorHAnsi"/>
        </w:rPr>
        <w:t xml:space="preserve">) are given in § 3.2: </w:t>
      </w:r>
      <w:r w:rsidRPr="00E87888">
        <w:rPr>
          <w:rFonts w:asciiTheme="minorHAnsi" w:hAnsiTheme="minorHAnsi"/>
          <w:i/>
        </w:rPr>
        <w:t xml:space="preserve">Regular budget </w:t>
      </w:r>
      <w:r w:rsidRPr="00E87888">
        <w:rPr>
          <w:i/>
        </w:rPr>
        <w:t>–</w:t>
      </w:r>
      <w:r w:rsidRPr="00E87888">
        <w:rPr>
          <w:rFonts w:asciiTheme="minorHAnsi" w:hAnsiTheme="minorHAnsi"/>
          <w:i/>
        </w:rPr>
        <w:t xml:space="preserve"> Expenses.</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rPr>
      </w:pPr>
      <w:r>
        <w:rPr>
          <w:rFonts w:asciiTheme="minorHAnsi" w:hAnsiTheme="minorHAnsi"/>
        </w:rPr>
        <w:br w:type="page"/>
      </w:r>
    </w:p>
    <w:p w:rsidR="006F29B5" w:rsidRPr="00486B4E" w:rsidRDefault="006F29B5" w:rsidP="006F29B5">
      <w:pPr>
        <w:pStyle w:val="headingb0"/>
        <w:jc w:val="both"/>
        <w:rPr>
          <w:rFonts w:asciiTheme="minorHAnsi" w:hAnsiTheme="minorHAnsi"/>
        </w:rPr>
      </w:pPr>
      <w:r w:rsidRPr="00486B4E">
        <w:rPr>
          <w:rFonts w:asciiTheme="minorHAnsi" w:hAnsiTheme="minorHAnsi"/>
        </w:rPr>
        <w:t xml:space="preserve">Resolution 38 (Kyoto, 1994): Contributory shares in Union </w:t>
      </w:r>
      <w:r>
        <w:rPr>
          <w:rFonts w:asciiTheme="minorHAnsi" w:hAnsiTheme="minorHAnsi"/>
        </w:rPr>
        <w:t>expenses</w:t>
      </w:r>
    </w:p>
    <w:p w:rsidR="006F29B5" w:rsidRPr="00486B4E" w:rsidRDefault="006F29B5" w:rsidP="006F29B5">
      <w:pPr>
        <w:tabs>
          <w:tab w:val="clear" w:pos="567"/>
          <w:tab w:val="left" w:pos="709"/>
        </w:tabs>
        <w:jc w:val="both"/>
        <w:rPr>
          <w:rFonts w:asciiTheme="minorHAnsi" w:hAnsiTheme="minorHAnsi"/>
          <w:bCs/>
        </w:rPr>
      </w:pPr>
      <w:r w:rsidRPr="00486B4E">
        <w:rPr>
          <w:rFonts w:asciiTheme="minorHAnsi" w:hAnsiTheme="minorHAnsi"/>
          <w:bCs/>
        </w:rPr>
        <w:t>1.</w:t>
      </w:r>
      <w:r>
        <w:rPr>
          <w:rFonts w:asciiTheme="minorHAnsi" w:hAnsiTheme="minorHAnsi"/>
          <w:bCs/>
        </w:rPr>
        <w:t>7</w:t>
      </w:r>
      <w:r w:rsidRPr="00486B4E">
        <w:rPr>
          <w:rFonts w:asciiTheme="minorHAnsi" w:hAnsiTheme="minorHAnsi"/>
          <w:bCs/>
        </w:rPr>
        <w:tab/>
        <w:t xml:space="preserve">Resolution 38 (Kyoto, 1994) instructs the Council to review, on request, the situation of countries not included in the United Nations list of the least developed countries in order to decide which of them may be considered as being entitled to contribute to defraying Union </w:t>
      </w:r>
      <w:r>
        <w:rPr>
          <w:rFonts w:asciiTheme="minorHAnsi" w:hAnsiTheme="minorHAnsi"/>
          <w:bCs/>
        </w:rPr>
        <w:t>expenses</w:t>
      </w:r>
      <w:r w:rsidRPr="00486B4E">
        <w:rPr>
          <w:rFonts w:asciiTheme="minorHAnsi" w:hAnsiTheme="minorHAnsi"/>
          <w:bCs/>
        </w:rPr>
        <w:t xml:space="preserve"> in the 1/8 or 1/16 unit class.</w:t>
      </w:r>
    </w:p>
    <w:p w:rsidR="006F29B5" w:rsidRPr="00486B4E" w:rsidRDefault="006F29B5" w:rsidP="006F29B5">
      <w:pPr>
        <w:pStyle w:val="headingb0"/>
        <w:tabs>
          <w:tab w:val="clear" w:pos="2127"/>
          <w:tab w:val="left" w:pos="1418"/>
        </w:tabs>
        <w:jc w:val="both"/>
        <w:rPr>
          <w:rFonts w:asciiTheme="minorHAnsi" w:hAnsiTheme="minorHAnsi"/>
        </w:rPr>
      </w:pPr>
      <w:r w:rsidRPr="00486B4E">
        <w:rPr>
          <w:rFonts w:asciiTheme="minorHAnsi" w:hAnsiTheme="minorHAnsi"/>
        </w:rPr>
        <w:t>Resolution 45 (Rev. Minneapolis, 1998): Assistance given by the Government of the Swiss Confederation in connection with the finances of the Union</w:t>
      </w:r>
    </w:p>
    <w:p w:rsidR="006F29B5" w:rsidRPr="00486B4E" w:rsidRDefault="006F29B5" w:rsidP="006F29B5">
      <w:pPr>
        <w:tabs>
          <w:tab w:val="clear" w:pos="567"/>
          <w:tab w:val="left" w:pos="709"/>
        </w:tabs>
        <w:jc w:val="both"/>
      </w:pPr>
      <w:r w:rsidRPr="00486B4E">
        <w:t>1.</w:t>
      </w:r>
      <w:r>
        <w:t>8</w:t>
      </w:r>
      <w:r w:rsidRPr="00486B4E">
        <w:tab/>
        <w:t>By this resolution, the Plenipotentiary Conference expressed its appreciation to the Government of the Swiss Confederation for its generous assistance in financial matters and also expressed the hope that these arrangements might be renewed. The resolution was brought to the notice of the Government of the Swiss Confederation.</w:t>
      </w:r>
    </w:p>
    <w:p w:rsidR="006F29B5" w:rsidRPr="00486B4E" w:rsidRDefault="006F29B5" w:rsidP="006F29B5">
      <w:pPr>
        <w:pStyle w:val="headingb0"/>
        <w:tabs>
          <w:tab w:val="clear" w:pos="2127"/>
          <w:tab w:val="left" w:pos="1418"/>
        </w:tabs>
        <w:jc w:val="both"/>
        <w:rPr>
          <w:rFonts w:asciiTheme="minorHAnsi" w:hAnsiTheme="minorHAnsi"/>
        </w:rPr>
      </w:pPr>
      <w:r w:rsidRPr="00486B4E">
        <w:rPr>
          <w:rFonts w:asciiTheme="minorHAnsi" w:hAnsiTheme="minorHAnsi"/>
        </w:rPr>
        <w:t xml:space="preserve">Resolution 91 (Rev. </w:t>
      </w:r>
      <w:r>
        <w:rPr>
          <w:rFonts w:asciiTheme="minorHAnsi" w:hAnsiTheme="minorHAnsi"/>
        </w:rPr>
        <w:t>Guadalajara, 2010</w:t>
      </w:r>
      <w:r w:rsidRPr="00486B4E">
        <w:rPr>
          <w:rFonts w:asciiTheme="minorHAnsi" w:hAnsiTheme="minorHAnsi"/>
        </w:rPr>
        <w:t>): Cost recovery for some ITU products and services</w:t>
      </w:r>
    </w:p>
    <w:p w:rsidR="006F29B5" w:rsidRDefault="006F29B5" w:rsidP="006F29B5">
      <w:pPr>
        <w:tabs>
          <w:tab w:val="clear" w:pos="567"/>
          <w:tab w:val="left" w:pos="709"/>
        </w:tabs>
        <w:jc w:val="both"/>
      </w:pPr>
      <w:r w:rsidRPr="00B154D6">
        <w:t>1.9</w:t>
      </w:r>
      <w:r w:rsidRPr="00B154D6">
        <w:tab/>
        <w:t>The implementation of this resolution is examined by the Secretary</w:t>
      </w:r>
      <w:r w:rsidRPr="00B154D6">
        <w:noBreakHyphen/>
        <w:t>General from an administrative and accounting standpoint.</w:t>
      </w:r>
    </w:p>
    <w:p w:rsidR="006F29B5" w:rsidRPr="00B154D6" w:rsidRDefault="006F29B5" w:rsidP="006F29B5">
      <w:pPr>
        <w:tabs>
          <w:tab w:val="clear" w:pos="567"/>
          <w:tab w:val="left" w:pos="709"/>
        </w:tabs>
        <w:jc w:val="both"/>
        <w:rPr>
          <w:b/>
          <w:bCs/>
        </w:rPr>
      </w:pPr>
      <w:r w:rsidRPr="00B154D6">
        <w:rPr>
          <w:b/>
          <w:bCs/>
        </w:rPr>
        <w:t>Resolution 94 (Rev. Busan</w:t>
      </w:r>
      <w:r w:rsidRPr="00B154D6">
        <w:rPr>
          <w:rFonts w:asciiTheme="minorHAnsi" w:hAnsiTheme="minorHAnsi"/>
          <w:b/>
          <w:bCs/>
        </w:rPr>
        <w:t>, 2014</w:t>
      </w:r>
      <w:r w:rsidR="00F62A26">
        <w:rPr>
          <w:b/>
          <w:bCs/>
        </w:rPr>
        <w:t xml:space="preserve">): </w:t>
      </w:r>
      <w:r w:rsidRPr="00B154D6">
        <w:rPr>
          <w:b/>
          <w:bCs/>
        </w:rPr>
        <w:t>Auditing of the accounts of the Union</w:t>
      </w:r>
    </w:p>
    <w:p w:rsidR="006F29B5" w:rsidRPr="00A250AD" w:rsidRDefault="006F29B5" w:rsidP="006F29B5">
      <w:pPr>
        <w:tabs>
          <w:tab w:val="clear" w:pos="567"/>
          <w:tab w:val="left" w:pos="709"/>
        </w:tabs>
        <w:jc w:val="both"/>
      </w:pPr>
      <w:r w:rsidRPr="00486B4E">
        <w:t>1.</w:t>
      </w:r>
      <w:r>
        <w:t>10</w:t>
      </w:r>
      <w:r w:rsidRPr="00486B4E">
        <w:tab/>
      </w:r>
      <w:r>
        <w:t>The mandate of the Exte</w:t>
      </w:r>
      <w:r w:rsidR="0090095C">
        <w:t xml:space="preserve">rnal Auditor will expire soon. </w:t>
      </w:r>
      <w:r w:rsidRPr="00A250AD">
        <w:t>By this resolution, the Plenipotentiary Conference (Busan, 2014) expressed its warmest thanks to the Corte dei Conti, Italy for the services rendered for the auditing of the Union's accounts.</w:t>
      </w:r>
    </w:p>
    <w:p w:rsidR="006F29B5" w:rsidRPr="00A250AD" w:rsidRDefault="006F29B5" w:rsidP="006F29B5">
      <w:pPr>
        <w:tabs>
          <w:tab w:val="clear" w:pos="567"/>
          <w:tab w:val="left" w:pos="709"/>
        </w:tabs>
        <w:jc w:val="both"/>
      </w:pPr>
      <w:r>
        <w:t>1.11</w:t>
      </w:r>
      <w:r>
        <w:tab/>
        <w:t>The Secretary-General was instructed to initiate the tendering arrangement for the selection of the External Auditor for the audit of the 2020 accounts.</w:t>
      </w:r>
    </w:p>
    <w:p w:rsidR="006F29B5" w:rsidRPr="00486B4E" w:rsidRDefault="006F29B5" w:rsidP="006F29B5">
      <w:pPr>
        <w:pStyle w:val="Heading1"/>
        <w:tabs>
          <w:tab w:val="clear" w:pos="567"/>
          <w:tab w:val="left" w:pos="709"/>
        </w:tabs>
        <w:spacing w:before="360"/>
        <w:ind w:left="709" w:hanging="709"/>
        <w:jc w:val="both"/>
        <w:rPr>
          <w:u w:val="single"/>
        </w:rPr>
      </w:pPr>
      <w:r>
        <w:t>2</w:t>
      </w:r>
      <w:r>
        <w:tab/>
      </w:r>
      <w:r w:rsidRPr="00486B4E">
        <w:t>Budget of the Union</w:t>
      </w:r>
    </w:p>
    <w:p w:rsidR="006F29B5" w:rsidRPr="00486B4E" w:rsidRDefault="006F29B5" w:rsidP="006F29B5">
      <w:pPr>
        <w:tabs>
          <w:tab w:val="clear" w:pos="567"/>
          <w:tab w:val="left" w:pos="709"/>
        </w:tabs>
        <w:jc w:val="both"/>
      </w:pPr>
      <w:r>
        <w:t>2</w:t>
      </w:r>
      <w:r w:rsidRPr="00B1515D">
        <w:t>.1</w:t>
      </w:r>
      <w:r w:rsidRPr="00B1515D">
        <w:tab/>
        <w:t>The budget of the Union cover</w:t>
      </w:r>
      <w:r>
        <w:t>ed</w:t>
      </w:r>
      <w:r w:rsidRPr="00B1515D">
        <w:t xml:space="preserve"> a budgetary period of two consecutive calendar years beginning on 1 January of an even-numbered year. Since the implementation of IPSAS in 2010, the budget of the Union has been allocated on an annual basis in order to enable the presentation of budget information in financial statements according to IPSA</w:t>
      </w:r>
      <w:r>
        <w:t>S</w:t>
      </w:r>
      <w:r w:rsidRPr="00B1515D">
        <w:t xml:space="preserve"> 24. The ordinary budget comprises appropriations and </w:t>
      </w:r>
      <w:r>
        <w:t>expenses</w:t>
      </w:r>
      <w:r w:rsidRPr="00B1515D">
        <w:t xml:space="preserve"> for the:</w:t>
      </w:r>
    </w:p>
    <w:p w:rsidR="006F29B5" w:rsidRPr="00486B4E" w:rsidRDefault="006F29B5" w:rsidP="006F29B5">
      <w:pPr>
        <w:pStyle w:val="enumlev1"/>
        <w:jc w:val="both"/>
      </w:pPr>
      <w:r w:rsidRPr="00486B4E">
        <w:t>–</w:t>
      </w:r>
      <w:r w:rsidRPr="00486B4E">
        <w:tab/>
        <w:t>General Secretariat;</w:t>
      </w:r>
    </w:p>
    <w:p w:rsidR="006F29B5" w:rsidRPr="00486B4E" w:rsidRDefault="006F29B5" w:rsidP="006F29B5">
      <w:pPr>
        <w:pStyle w:val="enumlev1"/>
        <w:jc w:val="both"/>
      </w:pPr>
      <w:r w:rsidRPr="00486B4E">
        <w:t>–</w:t>
      </w:r>
      <w:r w:rsidRPr="00486B4E">
        <w:tab/>
        <w:t>Radiocommunication Sector;</w:t>
      </w:r>
    </w:p>
    <w:p w:rsidR="006F29B5" w:rsidRPr="00486B4E" w:rsidRDefault="006F29B5" w:rsidP="006F29B5">
      <w:pPr>
        <w:pStyle w:val="enumlev1"/>
        <w:jc w:val="both"/>
      </w:pPr>
      <w:r w:rsidRPr="00486B4E">
        <w:t>–</w:t>
      </w:r>
      <w:r w:rsidRPr="00486B4E">
        <w:tab/>
        <w:t>Telecommunication Standardization Sector;</w:t>
      </w:r>
    </w:p>
    <w:p w:rsidR="006F29B5" w:rsidRPr="00354F1F" w:rsidRDefault="006F29B5" w:rsidP="006F29B5">
      <w:pPr>
        <w:pStyle w:val="enumlev1"/>
        <w:jc w:val="both"/>
      </w:pPr>
      <w:r w:rsidRPr="00486B4E">
        <w:t>–</w:t>
      </w:r>
      <w:r w:rsidRPr="00486B4E">
        <w:tab/>
        <w:t>Telecommunication Development Sector.</w:t>
      </w:r>
    </w:p>
    <w:p w:rsidR="006F29B5" w:rsidRPr="00486B4E" w:rsidRDefault="006F29B5" w:rsidP="006F29B5">
      <w:pPr>
        <w:pStyle w:val="Headingb"/>
        <w:jc w:val="both"/>
      </w:pPr>
      <w:r>
        <w:t>Regular</w:t>
      </w:r>
      <w:r w:rsidRPr="00486B4E">
        <w:t xml:space="preserve"> budget</w:t>
      </w:r>
    </w:p>
    <w:p w:rsidR="006F29B5" w:rsidRPr="00486B4E" w:rsidRDefault="006F29B5" w:rsidP="006F29B5">
      <w:pPr>
        <w:pStyle w:val="Headingi"/>
        <w:jc w:val="both"/>
        <w:rPr>
          <w:b/>
          <w:bCs/>
        </w:rPr>
      </w:pPr>
      <w:r>
        <w:rPr>
          <w:b/>
          <w:bCs/>
        </w:rPr>
        <w:t>Expenses</w:t>
      </w:r>
    </w:p>
    <w:p w:rsidR="006F29B5" w:rsidRDefault="006F29B5" w:rsidP="006F29B5">
      <w:pPr>
        <w:tabs>
          <w:tab w:val="clear" w:pos="567"/>
          <w:tab w:val="left" w:pos="709"/>
        </w:tabs>
        <w:jc w:val="both"/>
      </w:pPr>
      <w:r>
        <w:t>2</w:t>
      </w:r>
      <w:r w:rsidRPr="00486B4E">
        <w:t>.2</w:t>
      </w:r>
      <w:r w:rsidRPr="00486B4E">
        <w:tab/>
      </w:r>
      <w:r>
        <w:t xml:space="preserve">The </w:t>
      </w:r>
      <w:r w:rsidRPr="00486B4E">
        <w:rPr>
          <w:bCs/>
        </w:rPr>
        <w:t>Plenipotentiary Conference</w:t>
      </w:r>
      <w:r>
        <w:rPr>
          <w:bCs/>
        </w:rPr>
        <w:t>s</w:t>
      </w:r>
      <w:r w:rsidRPr="00486B4E">
        <w:rPr>
          <w:bCs/>
        </w:rPr>
        <w:t xml:space="preserve"> authorized the Counci</w:t>
      </w:r>
      <w:r>
        <w:rPr>
          <w:bCs/>
        </w:rPr>
        <w:t xml:space="preserve">l to draw up the </w:t>
      </w:r>
      <w:r w:rsidRPr="00E87888">
        <w:rPr>
          <w:bCs/>
        </w:rPr>
        <w:t>budgets for the General Se</w:t>
      </w:r>
      <w:r>
        <w:rPr>
          <w:bCs/>
        </w:rPr>
        <w:t xml:space="preserve">cretariat and the three Sectors for 2012 to 2015 by Decision 5 (Rev. Guadalajara, 2010) and for 2016 to 2020 by </w:t>
      </w:r>
      <w:r w:rsidR="0090095C">
        <w:rPr>
          <w:bCs/>
        </w:rPr>
        <w:t xml:space="preserve">Decision 5 (Rev. Busan, 2014). </w:t>
      </w:r>
      <w:r>
        <w:rPr>
          <w:bCs/>
        </w:rPr>
        <w:t>The Council at its 2013 session adopted the budget for 2014-2015 (Resolution 1359) and authorized the Secretary-General to withdraw CHF 4 million from the Reserve Account for the organization of WRC-15 and RA-15 as decided by Resolution 1343 in 2012. The Council at its 2015 session adopted the budget for 2016-2017 (Resolution 1375) and authorized a withdrawal of CHF 2.451 million from the Reserve Account to provide for the organization of the WTDC-17 which was planned in 2018 in the Financial Plan of the Union.</w:t>
      </w:r>
    </w:p>
    <w:p w:rsidR="006F29B5" w:rsidRDefault="006F29B5" w:rsidP="006F29B5">
      <w:pPr>
        <w:tabs>
          <w:tab w:val="clear" w:pos="567"/>
          <w:tab w:val="left" w:pos="709"/>
        </w:tabs>
        <w:jc w:val="both"/>
        <w:rPr>
          <w:lang w:val="en-US"/>
        </w:rPr>
      </w:pPr>
      <w:r>
        <w:t>2.3</w:t>
      </w:r>
      <w:r>
        <w:tab/>
      </w:r>
      <w:r w:rsidRPr="008A0E65">
        <w:rPr>
          <w:lang w:val="en-US"/>
        </w:rPr>
        <w:t>The Union</w:t>
      </w:r>
      <w:r>
        <w:rPr>
          <w:lang w:val="en-US"/>
        </w:rPr>
        <w:t>’</w:t>
      </w:r>
      <w:r w:rsidRPr="008A0E65">
        <w:rPr>
          <w:lang w:val="en-US"/>
        </w:rPr>
        <w:t>s budget and financial statements are established on different bases. The budget is established on a mixed basis, with a number of specific items that are not dealt with on an accrual basis. Furthermore, the ITU budget deals solely with the Union</w:t>
      </w:r>
      <w:r>
        <w:rPr>
          <w:lang w:val="en-US"/>
        </w:rPr>
        <w:t>’</w:t>
      </w:r>
      <w:r w:rsidRPr="008A0E65">
        <w:rPr>
          <w:lang w:val="en-US"/>
        </w:rPr>
        <w:t>s core activity and not with activities financed by voluntary contributions, projects and funds.</w:t>
      </w:r>
      <w:r>
        <w:rPr>
          <w:lang w:val="en-US"/>
        </w:rPr>
        <w:t xml:space="preserve"> </w:t>
      </w:r>
      <w:r w:rsidRPr="008A0E65">
        <w:rPr>
          <w:lang w:val="en-US"/>
        </w:rPr>
        <w:t>The Union</w:t>
      </w:r>
      <w:r>
        <w:rPr>
          <w:lang w:val="en-US"/>
        </w:rPr>
        <w:t>’</w:t>
      </w:r>
      <w:r w:rsidRPr="008A0E65">
        <w:rPr>
          <w:lang w:val="en-US"/>
        </w:rPr>
        <w:t>s financial statements are drawn up on an accrual basis using a classification based on the nature of the expenses recorded in the statement of fina</w:t>
      </w:r>
      <w:r>
        <w:rPr>
          <w:lang w:val="en-US"/>
        </w:rPr>
        <w:t>ncial performance</w:t>
      </w:r>
      <w:r w:rsidRPr="008A0E65">
        <w:rPr>
          <w:lang w:val="en-US"/>
        </w:rPr>
        <w:t>.</w:t>
      </w:r>
    </w:p>
    <w:p w:rsidR="006F29B5" w:rsidRPr="008A0E65" w:rsidRDefault="006F29B5" w:rsidP="006F29B5">
      <w:pPr>
        <w:tabs>
          <w:tab w:val="clear" w:pos="567"/>
          <w:tab w:val="left" w:pos="709"/>
        </w:tabs>
        <w:jc w:val="both"/>
        <w:rPr>
          <w:lang w:val="en-US"/>
        </w:rPr>
      </w:pPr>
      <w:r>
        <w:rPr>
          <w:lang w:val="en-US"/>
        </w:rPr>
        <w:t>2.4</w:t>
      </w:r>
      <w:r>
        <w:rPr>
          <w:lang w:val="en-US"/>
        </w:rPr>
        <w:tab/>
      </w:r>
      <w:r w:rsidRPr="008A0E65">
        <w:rPr>
          <w:lang w:val="en-US"/>
        </w:rPr>
        <w:t>The perimeter differences are due to the extra-budgetary funds, which are not part of the regular budget. In order to reconcile the final result for budgetary control of the net result of the period after IPSAS adjustments, account has to be taken of the differences between the budget presentation and the</w:t>
      </w:r>
      <w:r>
        <w:rPr>
          <w:lang w:val="en-US"/>
        </w:rPr>
        <w:t xml:space="preserve"> accrual accounting</w:t>
      </w:r>
      <w:r w:rsidRPr="008A0E65">
        <w:rPr>
          <w:lang w:val="en-US"/>
        </w:rPr>
        <w:t>.</w:t>
      </w:r>
    </w:p>
    <w:p w:rsidR="006F29B5" w:rsidRPr="008A0E65" w:rsidRDefault="006F29B5" w:rsidP="006F29B5">
      <w:pPr>
        <w:tabs>
          <w:tab w:val="clear" w:pos="567"/>
          <w:tab w:val="left" w:pos="709"/>
        </w:tabs>
        <w:jc w:val="both"/>
        <w:rPr>
          <w:lang w:val="en-US"/>
        </w:rPr>
      </w:pPr>
      <w:r>
        <w:rPr>
          <w:lang w:val="en-US"/>
        </w:rPr>
        <w:t>2.5</w:t>
      </w:r>
      <w:r>
        <w:rPr>
          <w:lang w:val="en-US"/>
        </w:rPr>
        <w:tab/>
        <w:t>According to IPSAS 24, presentation of budget information in financial statements, a reconciliation between the budgeted and the IPSAS figures is presented in the Comparison of budgeted and actual amounts in each financial operating report.</w:t>
      </w:r>
    </w:p>
    <w:p w:rsidR="006F29B5" w:rsidRPr="00486B4E" w:rsidRDefault="006F29B5" w:rsidP="006F29B5">
      <w:pPr>
        <w:tabs>
          <w:tab w:val="clear" w:pos="567"/>
          <w:tab w:val="left" w:pos="709"/>
        </w:tabs>
        <w:spacing w:after="120"/>
        <w:jc w:val="both"/>
      </w:pPr>
      <w:r>
        <w:t>2.6</w:t>
      </w:r>
      <w:r w:rsidRPr="00486B4E">
        <w:tab/>
        <w:t xml:space="preserve">Pursuant to its terms of reference as laid </w:t>
      </w:r>
      <w:r w:rsidRPr="00E87888">
        <w:t xml:space="preserve">down by the Plenipotentiary Conference, the Council approved the following ordinary biennium budgets for the years </w:t>
      </w:r>
      <w:r>
        <w:t>2014-2015</w:t>
      </w:r>
      <w:r w:rsidRPr="00E87888">
        <w:t xml:space="preserve"> by Resolution </w:t>
      </w:r>
      <w:r>
        <w:t>1359</w:t>
      </w:r>
      <w:r w:rsidRPr="00E87888">
        <w:t xml:space="preserve"> and, </w:t>
      </w:r>
      <w:r>
        <w:t>2016-2017</w:t>
      </w:r>
      <w:r w:rsidRPr="00E87888">
        <w:t xml:space="preserve"> by Resolution </w:t>
      </w:r>
      <w:r>
        <w:t>1375</w:t>
      </w:r>
      <w:r w:rsidRPr="00E87888">
        <w:t>:</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275"/>
        <w:gridCol w:w="2127"/>
        <w:gridCol w:w="1946"/>
        <w:gridCol w:w="2127"/>
        <w:gridCol w:w="1363"/>
      </w:tblGrid>
      <w:tr w:rsidR="006F29B5" w:rsidRPr="00486B4E" w:rsidTr="006F29B5">
        <w:trPr>
          <w:trHeight w:val="750"/>
          <w:jc w:val="center"/>
        </w:trPr>
        <w:tc>
          <w:tcPr>
            <w:tcW w:w="1180" w:type="dxa"/>
            <w:noWrap/>
          </w:tcPr>
          <w:p w:rsidR="006F29B5" w:rsidRPr="00151D3E" w:rsidRDefault="006F29B5" w:rsidP="006F29B5">
            <w:pPr>
              <w:pStyle w:val="Tablehead"/>
              <w:rPr>
                <w:sz w:val="20"/>
                <w:lang w:eastAsia="zh-CN"/>
              </w:rPr>
            </w:pPr>
            <w:r w:rsidRPr="00151D3E">
              <w:rPr>
                <w:sz w:val="20"/>
                <w:lang w:eastAsia="zh-CN"/>
              </w:rPr>
              <w:t>Year</w:t>
            </w:r>
          </w:p>
        </w:tc>
        <w:tc>
          <w:tcPr>
            <w:tcW w:w="1275" w:type="dxa"/>
          </w:tcPr>
          <w:p w:rsidR="006F29B5" w:rsidRPr="00151D3E" w:rsidRDefault="006F29B5" w:rsidP="006F29B5">
            <w:pPr>
              <w:pStyle w:val="Tablehead"/>
              <w:rPr>
                <w:sz w:val="20"/>
                <w:lang w:eastAsia="zh-CN"/>
              </w:rPr>
            </w:pPr>
            <w:r w:rsidRPr="00151D3E">
              <w:rPr>
                <w:sz w:val="20"/>
                <w:lang w:eastAsia="zh-CN"/>
              </w:rPr>
              <w:t xml:space="preserve">General Secretariat </w:t>
            </w:r>
          </w:p>
        </w:tc>
        <w:tc>
          <w:tcPr>
            <w:tcW w:w="2127" w:type="dxa"/>
          </w:tcPr>
          <w:p w:rsidR="006F29B5" w:rsidRPr="00151D3E" w:rsidRDefault="006F29B5" w:rsidP="006F29B5">
            <w:pPr>
              <w:pStyle w:val="Tablehead"/>
              <w:rPr>
                <w:sz w:val="20"/>
                <w:lang w:eastAsia="zh-CN"/>
              </w:rPr>
            </w:pPr>
            <w:r w:rsidRPr="00151D3E">
              <w:rPr>
                <w:sz w:val="20"/>
                <w:lang w:eastAsia="zh-CN"/>
              </w:rPr>
              <w:t>Radiocommunication Sector</w:t>
            </w:r>
          </w:p>
        </w:tc>
        <w:tc>
          <w:tcPr>
            <w:tcW w:w="1946" w:type="dxa"/>
          </w:tcPr>
          <w:p w:rsidR="006F29B5" w:rsidRPr="00151D3E" w:rsidRDefault="006F29B5" w:rsidP="006F29B5">
            <w:pPr>
              <w:pStyle w:val="Tablehead"/>
              <w:rPr>
                <w:sz w:val="20"/>
                <w:lang w:eastAsia="zh-CN"/>
              </w:rPr>
            </w:pPr>
            <w:r w:rsidRPr="00151D3E">
              <w:rPr>
                <w:sz w:val="20"/>
                <w:lang w:eastAsia="zh-CN"/>
              </w:rPr>
              <w:t>Telecommunication Standardization Sector</w:t>
            </w:r>
          </w:p>
        </w:tc>
        <w:tc>
          <w:tcPr>
            <w:tcW w:w="2127" w:type="dxa"/>
          </w:tcPr>
          <w:p w:rsidR="006F29B5" w:rsidRPr="00151D3E" w:rsidRDefault="006F29B5" w:rsidP="006F29B5">
            <w:pPr>
              <w:pStyle w:val="Tablehead"/>
              <w:rPr>
                <w:sz w:val="20"/>
                <w:lang w:eastAsia="zh-CN"/>
              </w:rPr>
            </w:pPr>
            <w:r w:rsidRPr="00151D3E">
              <w:rPr>
                <w:sz w:val="20"/>
                <w:lang w:eastAsia="zh-CN"/>
              </w:rPr>
              <w:t>Telecommunication Development Sector</w:t>
            </w:r>
          </w:p>
        </w:tc>
        <w:tc>
          <w:tcPr>
            <w:tcW w:w="1363" w:type="dxa"/>
          </w:tcPr>
          <w:p w:rsidR="006F29B5" w:rsidRPr="00151D3E" w:rsidRDefault="006F29B5" w:rsidP="006F29B5">
            <w:pPr>
              <w:pStyle w:val="Tablehead"/>
              <w:rPr>
                <w:sz w:val="20"/>
                <w:lang w:eastAsia="zh-CN"/>
              </w:rPr>
            </w:pPr>
            <w:r w:rsidRPr="00151D3E">
              <w:rPr>
                <w:sz w:val="20"/>
                <w:lang w:eastAsia="zh-CN"/>
              </w:rPr>
              <w:t>TOTAL</w:t>
            </w:r>
          </w:p>
        </w:tc>
      </w:tr>
      <w:tr w:rsidR="006F29B5" w:rsidRPr="00486B4E" w:rsidTr="006F29B5">
        <w:trPr>
          <w:trHeight w:val="316"/>
          <w:jc w:val="center"/>
        </w:trPr>
        <w:tc>
          <w:tcPr>
            <w:tcW w:w="10018" w:type="dxa"/>
            <w:gridSpan w:val="6"/>
            <w:noWrap/>
          </w:tcPr>
          <w:p w:rsidR="006F29B5" w:rsidRPr="00151D3E" w:rsidRDefault="006F29B5" w:rsidP="006F29B5">
            <w:pPr>
              <w:pStyle w:val="Tabletext"/>
              <w:jc w:val="center"/>
              <w:rPr>
                <w:i/>
                <w:iCs/>
                <w:sz w:val="20"/>
                <w:lang w:eastAsia="zh-CN"/>
              </w:rPr>
            </w:pPr>
            <w:r w:rsidRPr="00151D3E">
              <w:rPr>
                <w:i/>
                <w:iCs/>
                <w:sz w:val="20"/>
                <w:lang w:eastAsia="zh-CN"/>
              </w:rPr>
              <w:t>- </w:t>
            </w:r>
            <w:r>
              <w:rPr>
                <w:i/>
                <w:iCs/>
                <w:sz w:val="20"/>
                <w:lang w:eastAsia="zh-CN"/>
              </w:rPr>
              <w:t xml:space="preserve">Thousands of </w:t>
            </w:r>
            <w:r w:rsidRPr="00151D3E">
              <w:rPr>
                <w:i/>
                <w:iCs/>
                <w:sz w:val="20"/>
                <w:lang w:eastAsia="zh-CN"/>
              </w:rPr>
              <w:t>CHF -</w:t>
            </w:r>
          </w:p>
        </w:tc>
      </w:tr>
      <w:tr w:rsidR="006F29B5" w:rsidRPr="00486B4E" w:rsidTr="006F29B5">
        <w:trPr>
          <w:trHeight w:val="300"/>
          <w:jc w:val="center"/>
        </w:trPr>
        <w:tc>
          <w:tcPr>
            <w:tcW w:w="1180" w:type="dxa"/>
            <w:tcBorders>
              <w:bottom w:val="single" w:sz="4" w:space="0" w:color="auto"/>
            </w:tcBorders>
            <w:noWrap/>
          </w:tcPr>
          <w:p w:rsidR="006F29B5" w:rsidRPr="00151D3E" w:rsidRDefault="006F29B5" w:rsidP="006F29B5">
            <w:pPr>
              <w:pStyle w:val="Tabletext"/>
              <w:rPr>
                <w:b/>
                <w:sz w:val="20"/>
                <w:lang w:eastAsia="zh-CN"/>
              </w:rPr>
            </w:pPr>
            <w:r>
              <w:rPr>
                <w:b/>
                <w:sz w:val="20"/>
                <w:lang w:eastAsia="zh-CN"/>
              </w:rPr>
              <w:t>2014</w:t>
            </w:r>
          </w:p>
        </w:tc>
        <w:tc>
          <w:tcPr>
            <w:tcW w:w="1275"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93,662</w:t>
            </w:r>
          </w:p>
        </w:tc>
        <w:tc>
          <w:tcPr>
            <w:tcW w:w="2127"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30,162</w:t>
            </w:r>
          </w:p>
        </w:tc>
        <w:tc>
          <w:tcPr>
            <w:tcW w:w="1946"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12,793</w:t>
            </w:r>
          </w:p>
        </w:tc>
        <w:tc>
          <w:tcPr>
            <w:tcW w:w="2127"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29,694</w:t>
            </w:r>
          </w:p>
        </w:tc>
        <w:tc>
          <w:tcPr>
            <w:tcW w:w="1363" w:type="dxa"/>
            <w:tcBorders>
              <w:bottom w:val="single" w:sz="4" w:space="0" w:color="auto"/>
            </w:tcBorders>
            <w:noWrap/>
          </w:tcPr>
          <w:p w:rsidR="006F29B5" w:rsidRPr="003F39CE" w:rsidRDefault="006F29B5" w:rsidP="006F29B5">
            <w:pPr>
              <w:pStyle w:val="Tabletext"/>
              <w:jc w:val="right"/>
              <w:rPr>
                <w:sz w:val="20"/>
                <w:lang w:eastAsia="zh-CN"/>
              </w:rPr>
            </w:pPr>
            <w:r w:rsidRPr="004B008D">
              <w:rPr>
                <w:sz w:val="20"/>
                <w:lang w:eastAsia="zh-CN"/>
              </w:rPr>
              <w:t>166,311</w:t>
            </w:r>
          </w:p>
        </w:tc>
      </w:tr>
      <w:tr w:rsidR="006F29B5" w:rsidRPr="00486B4E" w:rsidTr="006F29B5">
        <w:trPr>
          <w:trHeight w:val="300"/>
          <w:jc w:val="center"/>
        </w:trPr>
        <w:tc>
          <w:tcPr>
            <w:tcW w:w="1180" w:type="dxa"/>
            <w:tcBorders>
              <w:bottom w:val="single" w:sz="4" w:space="0" w:color="auto"/>
            </w:tcBorders>
            <w:noWrap/>
          </w:tcPr>
          <w:p w:rsidR="006F29B5" w:rsidRPr="00151D3E" w:rsidRDefault="006F29B5" w:rsidP="006F29B5">
            <w:pPr>
              <w:pStyle w:val="Tabletext"/>
              <w:rPr>
                <w:b/>
                <w:sz w:val="20"/>
                <w:lang w:eastAsia="zh-CN"/>
              </w:rPr>
            </w:pPr>
            <w:r>
              <w:rPr>
                <w:b/>
                <w:sz w:val="20"/>
                <w:lang w:eastAsia="zh-CN"/>
              </w:rPr>
              <w:t>2015</w:t>
            </w:r>
          </w:p>
        </w:tc>
        <w:tc>
          <w:tcPr>
            <w:tcW w:w="1275"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91,853</w:t>
            </w:r>
          </w:p>
        </w:tc>
        <w:tc>
          <w:tcPr>
            <w:tcW w:w="2127"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31,897</w:t>
            </w:r>
          </w:p>
        </w:tc>
        <w:tc>
          <w:tcPr>
            <w:tcW w:w="1946"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12,736</w:t>
            </w:r>
          </w:p>
        </w:tc>
        <w:tc>
          <w:tcPr>
            <w:tcW w:w="2127"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28,258</w:t>
            </w:r>
          </w:p>
        </w:tc>
        <w:tc>
          <w:tcPr>
            <w:tcW w:w="1363" w:type="dxa"/>
            <w:tcBorders>
              <w:bottom w:val="single" w:sz="4" w:space="0" w:color="auto"/>
            </w:tcBorders>
            <w:noWrap/>
          </w:tcPr>
          <w:p w:rsidR="006F29B5" w:rsidRPr="003F39CE" w:rsidRDefault="006F29B5" w:rsidP="006F29B5">
            <w:pPr>
              <w:pStyle w:val="Tabletext"/>
              <w:jc w:val="right"/>
              <w:rPr>
                <w:sz w:val="20"/>
                <w:lang w:eastAsia="zh-CN"/>
              </w:rPr>
            </w:pPr>
            <w:r w:rsidRPr="004B008D">
              <w:rPr>
                <w:sz w:val="20"/>
                <w:lang w:eastAsia="zh-CN"/>
              </w:rPr>
              <w:t>164,744</w:t>
            </w:r>
          </w:p>
        </w:tc>
      </w:tr>
      <w:tr w:rsidR="006F29B5" w:rsidRPr="00486B4E" w:rsidTr="006F29B5">
        <w:trPr>
          <w:trHeight w:val="300"/>
          <w:jc w:val="center"/>
        </w:trPr>
        <w:tc>
          <w:tcPr>
            <w:tcW w:w="1180" w:type="dxa"/>
            <w:tcBorders>
              <w:bottom w:val="single" w:sz="4" w:space="0" w:color="auto"/>
            </w:tcBorders>
            <w:noWrap/>
          </w:tcPr>
          <w:p w:rsidR="006F29B5" w:rsidRPr="00151D3E" w:rsidRDefault="006F29B5" w:rsidP="006F29B5">
            <w:pPr>
              <w:pStyle w:val="Tabletext"/>
              <w:rPr>
                <w:b/>
                <w:sz w:val="20"/>
                <w:lang w:eastAsia="zh-CN"/>
              </w:rPr>
            </w:pPr>
            <w:r>
              <w:rPr>
                <w:b/>
                <w:sz w:val="20"/>
                <w:lang w:eastAsia="zh-CN"/>
              </w:rPr>
              <w:t>2016</w:t>
            </w:r>
          </w:p>
        </w:tc>
        <w:tc>
          <w:tcPr>
            <w:tcW w:w="1275"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90,305</w:t>
            </w:r>
          </w:p>
        </w:tc>
        <w:tc>
          <w:tcPr>
            <w:tcW w:w="2127"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28,898</w:t>
            </w:r>
          </w:p>
        </w:tc>
        <w:tc>
          <w:tcPr>
            <w:tcW w:w="1946"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13,394</w:t>
            </w:r>
          </w:p>
        </w:tc>
        <w:tc>
          <w:tcPr>
            <w:tcW w:w="2127"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28,163</w:t>
            </w:r>
          </w:p>
        </w:tc>
        <w:tc>
          <w:tcPr>
            <w:tcW w:w="1363" w:type="dxa"/>
            <w:tcBorders>
              <w:bottom w:val="single" w:sz="4" w:space="0" w:color="auto"/>
            </w:tcBorders>
            <w:noWrap/>
          </w:tcPr>
          <w:p w:rsidR="006F29B5" w:rsidRPr="003F39CE" w:rsidRDefault="006F29B5" w:rsidP="006F29B5">
            <w:pPr>
              <w:pStyle w:val="Tabletext"/>
              <w:jc w:val="right"/>
              <w:rPr>
                <w:sz w:val="20"/>
                <w:lang w:eastAsia="zh-CN"/>
              </w:rPr>
            </w:pPr>
            <w:r w:rsidRPr="004B008D">
              <w:rPr>
                <w:sz w:val="20"/>
                <w:lang w:eastAsia="zh-CN"/>
              </w:rPr>
              <w:t>160,760</w:t>
            </w:r>
          </w:p>
        </w:tc>
      </w:tr>
      <w:tr w:rsidR="006F29B5" w:rsidRPr="00486B4E" w:rsidTr="006F29B5">
        <w:trPr>
          <w:trHeight w:val="300"/>
          <w:jc w:val="center"/>
        </w:trPr>
        <w:tc>
          <w:tcPr>
            <w:tcW w:w="1180" w:type="dxa"/>
            <w:tcBorders>
              <w:bottom w:val="single" w:sz="4" w:space="0" w:color="auto"/>
            </w:tcBorders>
            <w:noWrap/>
          </w:tcPr>
          <w:p w:rsidR="006F29B5" w:rsidRPr="00151D3E" w:rsidRDefault="006F29B5" w:rsidP="006F29B5">
            <w:pPr>
              <w:pStyle w:val="Tabletext"/>
              <w:rPr>
                <w:b/>
                <w:sz w:val="20"/>
                <w:lang w:eastAsia="zh-CN"/>
              </w:rPr>
            </w:pPr>
            <w:r>
              <w:rPr>
                <w:b/>
                <w:sz w:val="20"/>
                <w:lang w:eastAsia="zh-CN"/>
              </w:rPr>
              <w:t>2017</w:t>
            </w:r>
          </w:p>
        </w:tc>
        <w:tc>
          <w:tcPr>
            <w:tcW w:w="1275"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90,761</w:t>
            </w:r>
          </w:p>
        </w:tc>
        <w:tc>
          <w:tcPr>
            <w:tcW w:w="2127"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28,603</w:t>
            </w:r>
          </w:p>
        </w:tc>
        <w:tc>
          <w:tcPr>
            <w:tcW w:w="1946"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12,438</w:t>
            </w:r>
          </w:p>
        </w:tc>
        <w:tc>
          <w:tcPr>
            <w:tcW w:w="2127" w:type="dxa"/>
            <w:tcBorders>
              <w:bottom w:val="single" w:sz="4" w:space="0" w:color="auto"/>
            </w:tcBorders>
            <w:noWrap/>
          </w:tcPr>
          <w:p w:rsidR="006F29B5" w:rsidRPr="003F39CE" w:rsidRDefault="006F29B5" w:rsidP="006F29B5">
            <w:pPr>
              <w:pStyle w:val="Tabletext"/>
              <w:jc w:val="right"/>
              <w:rPr>
                <w:sz w:val="20"/>
                <w:lang w:eastAsia="zh-CN"/>
              </w:rPr>
            </w:pPr>
            <w:r>
              <w:rPr>
                <w:sz w:val="20"/>
                <w:lang w:eastAsia="zh-CN"/>
              </w:rPr>
              <w:t>28,741</w:t>
            </w:r>
          </w:p>
        </w:tc>
        <w:tc>
          <w:tcPr>
            <w:tcW w:w="1363" w:type="dxa"/>
            <w:tcBorders>
              <w:bottom w:val="single" w:sz="4" w:space="0" w:color="auto"/>
            </w:tcBorders>
            <w:noWrap/>
          </w:tcPr>
          <w:p w:rsidR="006F29B5" w:rsidRPr="003F39CE" w:rsidRDefault="006F29B5" w:rsidP="006F29B5">
            <w:pPr>
              <w:pStyle w:val="Tabletext"/>
              <w:jc w:val="right"/>
              <w:rPr>
                <w:sz w:val="20"/>
                <w:lang w:eastAsia="zh-CN"/>
              </w:rPr>
            </w:pPr>
            <w:r w:rsidRPr="004B008D">
              <w:rPr>
                <w:sz w:val="20"/>
                <w:lang w:eastAsia="zh-CN"/>
              </w:rPr>
              <w:t>160,543</w:t>
            </w:r>
          </w:p>
        </w:tc>
      </w:tr>
    </w:tbl>
    <w:p w:rsidR="006F29B5" w:rsidRPr="00486B4E" w:rsidRDefault="006F29B5" w:rsidP="006F29B5">
      <w:pPr>
        <w:tabs>
          <w:tab w:val="clear" w:pos="567"/>
          <w:tab w:val="left" w:pos="709"/>
        </w:tabs>
        <w:spacing w:before="240" w:after="120"/>
        <w:jc w:val="both"/>
      </w:pPr>
      <w:r>
        <w:t>2.7</w:t>
      </w:r>
      <w:r>
        <w:tab/>
      </w:r>
      <w:r w:rsidRPr="00486B4E">
        <w:t>The tabl</w:t>
      </w:r>
      <w:r>
        <w:t>e below compares the expenses</w:t>
      </w:r>
      <w:r w:rsidRPr="00486B4E">
        <w:t xml:space="preserve"> approved by the Council wit</w:t>
      </w:r>
      <w:r>
        <w:t>h actual expenses on a comparable basis for the 2014, 2015, 2016, and 2017 financial periods</w:t>
      </w:r>
      <w:r w:rsidRPr="00486B4E">
        <w:t>.</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397"/>
        <w:gridCol w:w="1440"/>
        <w:gridCol w:w="1394"/>
        <w:gridCol w:w="1440"/>
        <w:gridCol w:w="1872"/>
      </w:tblGrid>
      <w:tr w:rsidR="006F29B5" w:rsidRPr="00486B4E" w:rsidTr="006F29B5">
        <w:trPr>
          <w:trHeight w:val="300"/>
          <w:jc w:val="center"/>
        </w:trPr>
        <w:tc>
          <w:tcPr>
            <w:tcW w:w="2341" w:type="dxa"/>
            <w:noWrap/>
          </w:tcPr>
          <w:p w:rsidR="006F29B5" w:rsidRPr="00486B4E" w:rsidRDefault="006F29B5" w:rsidP="006F29B5">
            <w:pPr>
              <w:pStyle w:val="Tablehead"/>
              <w:rPr>
                <w:lang w:eastAsia="zh-CN"/>
              </w:rPr>
            </w:pPr>
            <w:r w:rsidRPr="00486B4E">
              <w:rPr>
                <w:lang w:eastAsia="zh-CN"/>
              </w:rPr>
              <w:t>Period</w:t>
            </w:r>
          </w:p>
        </w:tc>
        <w:tc>
          <w:tcPr>
            <w:tcW w:w="1397" w:type="dxa"/>
          </w:tcPr>
          <w:p w:rsidR="006F29B5" w:rsidRPr="00486B4E" w:rsidRDefault="006F29B5" w:rsidP="006F29B5">
            <w:pPr>
              <w:pStyle w:val="Tablehead"/>
              <w:rPr>
                <w:lang w:eastAsia="zh-CN"/>
              </w:rPr>
            </w:pPr>
            <w:r>
              <w:rPr>
                <w:lang w:eastAsia="zh-CN"/>
              </w:rPr>
              <w:t>2014</w:t>
            </w:r>
          </w:p>
        </w:tc>
        <w:tc>
          <w:tcPr>
            <w:tcW w:w="1440" w:type="dxa"/>
            <w:noWrap/>
          </w:tcPr>
          <w:p w:rsidR="006F29B5" w:rsidRPr="00486B4E" w:rsidRDefault="006F29B5" w:rsidP="006F29B5">
            <w:pPr>
              <w:pStyle w:val="Tablehead"/>
              <w:rPr>
                <w:lang w:eastAsia="zh-CN"/>
              </w:rPr>
            </w:pPr>
            <w:r>
              <w:rPr>
                <w:lang w:eastAsia="zh-CN"/>
              </w:rPr>
              <w:t>2015</w:t>
            </w:r>
          </w:p>
        </w:tc>
        <w:tc>
          <w:tcPr>
            <w:tcW w:w="1394" w:type="dxa"/>
          </w:tcPr>
          <w:p w:rsidR="006F29B5" w:rsidRPr="00486B4E" w:rsidRDefault="006F29B5" w:rsidP="006F29B5">
            <w:pPr>
              <w:pStyle w:val="Tablehead"/>
              <w:rPr>
                <w:lang w:eastAsia="zh-CN"/>
              </w:rPr>
            </w:pPr>
            <w:r>
              <w:rPr>
                <w:lang w:eastAsia="zh-CN"/>
              </w:rPr>
              <w:t>2016</w:t>
            </w:r>
          </w:p>
        </w:tc>
        <w:tc>
          <w:tcPr>
            <w:tcW w:w="1440" w:type="dxa"/>
            <w:noWrap/>
          </w:tcPr>
          <w:p w:rsidR="006F29B5" w:rsidRPr="00486B4E" w:rsidRDefault="006F29B5" w:rsidP="006F29B5">
            <w:pPr>
              <w:pStyle w:val="Tablehead"/>
              <w:rPr>
                <w:lang w:eastAsia="zh-CN"/>
              </w:rPr>
            </w:pPr>
            <w:r>
              <w:rPr>
                <w:lang w:eastAsia="zh-CN"/>
              </w:rPr>
              <w:t>2017</w:t>
            </w:r>
          </w:p>
        </w:tc>
        <w:tc>
          <w:tcPr>
            <w:tcW w:w="1872" w:type="dxa"/>
            <w:noWrap/>
          </w:tcPr>
          <w:p w:rsidR="006F29B5" w:rsidRPr="00486B4E" w:rsidRDefault="006F29B5" w:rsidP="006F29B5">
            <w:pPr>
              <w:pStyle w:val="Tablehead"/>
              <w:rPr>
                <w:lang w:eastAsia="zh-CN"/>
              </w:rPr>
            </w:pPr>
            <w:r>
              <w:rPr>
                <w:lang w:eastAsia="zh-CN"/>
              </w:rPr>
              <w:t>Total 2014-2017</w:t>
            </w:r>
          </w:p>
        </w:tc>
      </w:tr>
      <w:tr w:rsidR="006F29B5" w:rsidRPr="00486B4E" w:rsidTr="006F29B5">
        <w:trPr>
          <w:trHeight w:val="300"/>
          <w:jc w:val="center"/>
        </w:trPr>
        <w:tc>
          <w:tcPr>
            <w:tcW w:w="2341" w:type="dxa"/>
            <w:noWrap/>
          </w:tcPr>
          <w:p w:rsidR="006F29B5" w:rsidRPr="00486B4E" w:rsidRDefault="006F29B5" w:rsidP="006F29B5">
            <w:pPr>
              <w:pStyle w:val="Tabletext"/>
              <w:rPr>
                <w:lang w:eastAsia="zh-CN"/>
              </w:rPr>
            </w:pPr>
          </w:p>
        </w:tc>
        <w:tc>
          <w:tcPr>
            <w:tcW w:w="1397" w:type="dxa"/>
          </w:tcPr>
          <w:p w:rsidR="006F29B5" w:rsidRPr="00486B4E" w:rsidRDefault="006F29B5" w:rsidP="006F29B5">
            <w:pPr>
              <w:pStyle w:val="Tabletext"/>
              <w:ind w:right="220"/>
              <w:rPr>
                <w:lang w:eastAsia="zh-CN"/>
              </w:rPr>
            </w:pPr>
          </w:p>
        </w:tc>
        <w:tc>
          <w:tcPr>
            <w:tcW w:w="1440" w:type="dxa"/>
            <w:noWrap/>
          </w:tcPr>
          <w:p w:rsidR="006F29B5" w:rsidRPr="00486B4E" w:rsidRDefault="006F29B5" w:rsidP="006F29B5">
            <w:pPr>
              <w:pStyle w:val="Tabletext"/>
              <w:ind w:right="220"/>
              <w:rPr>
                <w:lang w:eastAsia="zh-CN"/>
              </w:rPr>
            </w:pPr>
          </w:p>
        </w:tc>
        <w:tc>
          <w:tcPr>
            <w:tcW w:w="1394" w:type="dxa"/>
          </w:tcPr>
          <w:p w:rsidR="006F29B5" w:rsidRPr="00486B4E" w:rsidRDefault="006F29B5" w:rsidP="006F29B5">
            <w:pPr>
              <w:pStyle w:val="Tabletext"/>
              <w:ind w:right="220"/>
              <w:rPr>
                <w:lang w:eastAsia="zh-CN"/>
              </w:rPr>
            </w:pPr>
            <w:r>
              <w:rPr>
                <w:noProof/>
                <w:lang w:val="en-US" w:eastAsia="zh-CN"/>
              </w:rPr>
              <mc:AlternateContent>
                <mc:Choice Requires="wps">
                  <w:drawing>
                    <wp:anchor distT="0" distB="0" distL="114300" distR="114300" simplePos="0" relativeHeight="251659264" behindDoc="1" locked="0" layoutInCell="1" allowOverlap="1" wp14:anchorId="22E38601" wp14:editId="0D988BBD">
                      <wp:simplePos x="0" y="0"/>
                      <wp:positionH relativeFrom="column">
                        <wp:posOffset>519659</wp:posOffset>
                      </wp:positionH>
                      <wp:positionV relativeFrom="paragraph">
                        <wp:posOffset>220599</wp:posOffset>
                      </wp:positionV>
                      <wp:extent cx="256032" cy="204825"/>
                      <wp:effectExtent l="0" t="0" r="10795" b="24130"/>
                      <wp:wrapNone/>
                      <wp:docPr id="6" name="Text Box 6"/>
                      <wp:cNvGraphicFramePr/>
                      <a:graphic xmlns:a="http://schemas.openxmlformats.org/drawingml/2006/main">
                        <a:graphicData uri="http://schemas.microsoft.com/office/word/2010/wordprocessingShape">
                          <wps:wsp>
                            <wps:cNvSpPr txBox="1"/>
                            <wps:spPr>
                              <a:xfrm>
                                <a:off x="0" y="0"/>
                                <a:ext cx="256032" cy="204825"/>
                              </a:xfrm>
                              <a:prstGeom prst="rect">
                                <a:avLst/>
                              </a:prstGeom>
                              <a:solidFill>
                                <a:schemeClr val="bg1"/>
                              </a:solidFill>
                              <a:ln w="6350">
                                <a:solidFill>
                                  <a:schemeClr val="bg1"/>
                                </a:solidFill>
                              </a:ln>
                            </wps:spPr>
                            <wps:txbx>
                              <w:txbxContent>
                                <w:p w:rsidR="00EE1883" w:rsidRPr="00795793" w:rsidRDefault="00EE1883" w:rsidP="006F29B5">
                                  <w:pPr>
                                    <w:spacing w:before="0"/>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38601" id="_x0000_t202" coordsize="21600,21600" o:spt="202" path="m,l,21600r21600,l21600,xe">
                      <v:stroke joinstyle="miter"/>
                      <v:path gradientshapeok="t" o:connecttype="rect"/>
                    </v:shapetype>
                    <v:shape id="Text Box 6" o:spid="_x0000_s1026" type="#_x0000_t202" style="position:absolute;margin-left:40.9pt;margin-top:17.35pt;width:20.1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" fillcolor="white [3212]" strokecolor="white [3212]" strokeweight=".5pt">
                      <v:textbox>
                        <w:txbxContent>
                          <w:p w:rsidR="00EE1883" w:rsidRPr="00795793" w:rsidRDefault="00EE1883" w:rsidP="006F29B5">
                            <w:pPr>
                              <w:spacing w:before="0"/>
                              <w:rPr>
                                <w:lang w:val="en-US"/>
                              </w:rPr>
                            </w:pPr>
                            <w:r>
                              <w:rPr>
                                <w:lang w:val="en-US"/>
                              </w:rPr>
                              <w:t>*</w:t>
                            </w:r>
                          </w:p>
                        </w:txbxContent>
                      </v:textbox>
                    </v:shape>
                  </w:pict>
                </mc:Fallback>
              </mc:AlternateContent>
            </w:r>
          </w:p>
        </w:tc>
        <w:tc>
          <w:tcPr>
            <w:tcW w:w="1440" w:type="dxa"/>
            <w:noWrap/>
          </w:tcPr>
          <w:p w:rsidR="006F29B5" w:rsidRPr="00486B4E" w:rsidRDefault="006F29B5" w:rsidP="006F29B5">
            <w:pPr>
              <w:pStyle w:val="Tabletext"/>
              <w:ind w:right="220"/>
              <w:rPr>
                <w:lang w:eastAsia="zh-CN"/>
              </w:rPr>
            </w:pPr>
            <w:r>
              <w:rPr>
                <w:noProof/>
                <w:lang w:val="en-US" w:eastAsia="zh-CN"/>
              </w:rPr>
              <mc:AlternateContent>
                <mc:Choice Requires="wps">
                  <w:drawing>
                    <wp:anchor distT="0" distB="0" distL="114300" distR="114300" simplePos="0" relativeHeight="251660288" behindDoc="1" locked="0" layoutInCell="1" allowOverlap="1" wp14:anchorId="30358E0E" wp14:editId="11977200">
                      <wp:simplePos x="0" y="0"/>
                      <wp:positionH relativeFrom="column">
                        <wp:posOffset>548869</wp:posOffset>
                      </wp:positionH>
                      <wp:positionV relativeFrom="paragraph">
                        <wp:posOffset>213284</wp:posOffset>
                      </wp:positionV>
                      <wp:extent cx="256032" cy="212141"/>
                      <wp:effectExtent l="0" t="0" r="10795" b="16510"/>
                      <wp:wrapNone/>
                      <wp:docPr id="7" name="Text Box 7"/>
                      <wp:cNvGraphicFramePr/>
                      <a:graphic xmlns:a="http://schemas.openxmlformats.org/drawingml/2006/main">
                        <a:graphicData uri="http://schemas.microsoft.com/office/word/2010/wordprocessingShape">
                          <wps:wsp>
                            <wps:cNvSpPr txBox="1"/>
                            <wps:spPr>
                              <a:xfrm>
                                <a:off x="0" y="0"/>
                                <a:ext cx="256032" cy="212141"/>
                              </a:xfrm>
                              <a:prstGeom prst="rect">
                                <a:avLst/>
                              </a:prstGeom>
                              <a:solidFill>
                                <a:schemeClr val="lt1"/>
                              </a:solidFill>
                              <a:ln w="6350">
                                <a:solidFill>
                                  <a:schemeClr val="bg1"/>
                                </a:solidFill>
                              </a:ln>
                            </wps:spPr>
                            <wps:txbx>
                              <w:txbxContent>
                                <w:p w:rsidR="00EE1883" w:rsidRPr="00795793" w:rsidRDefault="00EE1883" w:rsidP="006F29B5">
                                  <w:pPr>
                                    <w:spacing w:before="0"/>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58E0E" id="Text Box 7" o:spid="_x0000_s1027" type="#_x0000_t202" style="position:absolute;margin-left:43.2pt;margin-top:16.8pt;width:20.15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" fillcolor="white [3201]" strokecolor="white [3212]" strokeweight=".5pt">
                      <v:textbox>
                        <w:txbxContent>
                          <w:p w:rsidR="00EE1883" w:rsidRPr="00795793" w:rsidRDefault="00EE1883" w:rsidP="006F29B5">
                            <w:pPr>
                              <w:spacing w:before="0"/>
                              <w:rPr>
                                <w:lang w:val="en-US"/>
                              </w:rPr>
                            </w:pPr>
                            <w:r>
                              <w:rPr>
                                <w:lang w:val="en-US"/>
                              </w:rPr>
                              <w:t>*</w:t>
                            </w:r>
                          </w:p>
                        </w:txbxContent>
                      </v:textbox>
                    </v:shape>
                  </w:pict>
                </mc:Fallback>
              </mc:AlternateContent>
            </w:r>
          </w:p>
        </w:tc>
        <w:tc>
          <w:tcPr>
            <w:tcW w:w="1872" w:type="dxa"/>
            <w:noWrap/>
          </w:tcPr>
          <w:p w:rsidR="006F29B5" w:rsidRPr="00486B4E" w:rsidRDefault="006F29B5" w:rsidP="006F29B5">
            <w:pPr>
              <w:pStyle w:val="Tabletext"/>
              <w:ind w:right="220"/>
              <w:rPr>
                <w:lang w:eastAsia="zh-CN"/>
              </w:rPr>
            </w:pPr>
          </w:p>
        </w:tc>
      </w:tr>
      <w:tr w:rsidR="006F29B5" w:rsidRPr="00486B4E" w:rsidTr="006F29B5">
        <w:trPr>
          <w:trHeight w:val="300"/>
          <w:jc w:val="center"/>
        </w:trPr>
        <w:tc>
          <w:tcPr>
            <w:tcW w:w="2341" w:type="dxa"/>
            <w:noWrap/>
          </w:tcPr>
          <w:p w:rsidR="006F29B5" w:rsidRPr="00486B4E" w:rsidRDefault="006F29B5" w:rsidP="006F29B5">
            <w:pPr>
              <w:pStyle w:val="Tabletext"/>
              <w:rPr>
                <w:b/>
                <w:bCs/>
                <w:lang w:eastAsia="zh-CN"/>
              </w:rPr>
            </w:pPr>
            <w:r>
              <w:rPr>
                <w:b/>
                <w:bCs/>
                <w:lang w:eastAsia="zh-CN"/>
              </w:rPr>
              <w:t>Regular</w:t>
            </w:r>
            <w:r w:rsidRPr="00486B4E">
              <w:rPr>
                <w:b/>
                <w:bCs/>
                <w:lang w:eastAsia="zh-CN"/>
              </w:rPr>
              <w:t xml:space="preserve"> budget</w:t>
            </w:r>
          </w:p>
        </w:tc>
        <w:tc>
          <w:tcPr>
            <w:tcW w:w="1397" w:type="dxa"/>
          </w:tcPr>
          <w:p w:rsidR="006F29B5" w:rsidRPr="00151D3E" w:rsidRDefault="006F29B5" w:rsidP="006F29B5">
            <w:pPr>
              <w:pStyle w:val="Tabletext"/>
              <w:ind w:right="220"/>
              <w:jc w:val="right"/>
            </w:pPr>
            <w:r>
              <w:t>166,311</w:t>
            </w:r>
          </w:p>
        </w:tc>
        <w:tc>
          <w:tcPr>
            <w:tcW w:w="1440" w:type="dxa"/>
            <w:noWrap/>
          </w:tcPr>
          <w:p w:rsidR="006F29B5" w:rsidRPr="000D729F" w:rsidRDefault="006F29B5" w:rsidP="006F29B5">
            <w:pPr>
              <w:pStyle w:val="Tabletext"/>
              <w:ind w:right="220"/>
              <w:jc w:val="right"/>
              <w:rPr>
                <w:lang w:eastAsia="zh-CN"/>
              </w:rPr>
            </w:pPr>
            <w:r>
              <w:rPr>
                <w:lang w:eastAsia="zh-CN"/>
              </w:rPr>
              <w:t>164,744</w:t>
            </w:r>
          </w:p>
        </w:tc>
        <w:tc>
          <w:tcPr>
            <w:tcW w:w="1394" w:type="dxa"/>
          </w:tcPr>
          <w:p w:rsidR="006F29B5" w:rsidRPr="000D729F" w:rsidRDefault="006F29B5" w:rsidP="006F29B5">
            <w:pPr>
              <w:pStyle w:val="Tabletext"/>
              <w:ind w:right="220"/>
              <w:jc w:val="right"/>
              <w:rPr>
                <w:lang w:eastAsia="zh-CN"/>
              </w:rPr>
            </w:pPr>
            <w:r>
              <w:rPr>
                <w:lang w:eastAsia="zh-CN"/>
              </w:rPr>
              <w:t>160,443</w:t>
            </w:r>
          </w:p>
        </w:tc>
        <w:tc>
          <w:tcPr>
            <w:tcW w:w="1440" w:type="dxa"/>
            <w:noWrap/>
          </w:tcPr>
          <w:p w:rsidR="006F29B5" w:rsidRPr="000D729F" w:rsidRDefault="006F29B5" w:rsidP="006F29B5">
            <w:pPr>
              <w:pStyle w:val="Tabletext"/>
              <w:ind w:right="220"/>
              <w:jc w:val="right"/>
              <w:rPr>
                <w:lang w:eastAsia="zh-CN"/>
              </w:rPr>
            </w:pPr>
            <w:r>
              <w:rPr>
                <w:lang w:eastAsia="zh-CN"/>
              </w:rPr>
              <w:t>160,860</w:t>
            </w:r>
          </w:p>
        </w:tc>
        <w:tc>
          <w:tcPr>
            <w:tcW w:w="1872" w:type="dxa"/>
            <w:noWrap/>
            <w:vAlign w:val="bottom"/>
          </w:tcPr>
          <w:p w:rsidR="006F29B5" w:rsidRPr="000D729F" w:rsidRDefault="006F29B5" w:rsidP="006F29B5">
            <w:pPr>
              <w:pStyle w:val="Tabletext"/>
              <w:ind w:right="220"/>
              <w:jc w:val="right"/>
              <w:rPr>
                <w:lang w:eastAsia="zh-CN"/>
              </w:rPr>
            </w:pPr>
            <w:r>
              <w:rPr>
                <w:rFonts w:cs="Calibri"/>
                <w:color w:val="000000"/>
                <w:szCs w:val="22"/>
              </w:rPr>
              <w:t>652,358</w:t>
            </w:r>
          </w:p>
        </w:tc>
      </w:tr>
      <w:tr w:rsidR="006F29B5" w:rsidRPr="00486B4E" w:rsidTr="006F29B5">
        <w:trPr>
          <w:trHeight w:val="300"/>
          <w:jc w:val="center"/>
        </w:trPr>
        <w:tc>
          <w:tcPr>
            <w:tcW w:w="2341" w:type="dxa"/>
            <w:noWrap/>
          </w:tcPr>
          <w:p w:rsidR="006F29B5" w:rsidRPr="00486B4E" w:rsidRDefault="006F29B5" w:rsidP="006F29B5">
            <w:pPr>
              <w:pStyle w:val="Tabletext"/>
              <w:rPr>
                <w:b/>
                <w:bCs/>
                <w:lang w:eastAsia="zh-CN"/>
              </w:rPr>
            </w:pPr>
            <w:r>
              <w:rPr>
                <w:b/>
                <w:bCs/>
                <w:lang w:eastAsia="zh-CN"/>
              </w:rPr>
              <w:t>Actual expenses</w:t>
            </w:r>
          </w:p>
        </w:tc>
        <w:tc>
          <w:tcPr>
            <w:tcW w:w="1397" w:type="dxa"/>
          </w:tcPr>
          <w:p w:rsidR="006F29B5" w:rsidRPr="00486B4E" w:rsidRDefault="006F29B5" w:rsidP="006F29B5">
            <w:pPr>
              <w:pStyle w:val="Tabletext"/>
              <w:ind w:right="220"/>
              <w:jc w:val="right"/>
              <w:rPr>
                <w:lang w:eastAsia="zh-CN"/>
              </w:rPr>
            </w:pPr>
            <w:r>
              <w:rPr>
                <w:lang w:eastAsia="zh-CN"/>
              </w:rPr>
              <w:t>155,405</w:t>
            </w:r>
          </w:p>
        </w:tc>
        <w:tc>
          <w:tcPr>
            <w:tcW w:w="1440" w:type="dxa"/>
            <w:noWrap/>
          </w:tcPr>
          <w:p w:rsidR="006F29B5" w:rsidRPr="000D729F" w:rsidRDefault="006F29B5" w:rsidP="006F29B5">
            <w:pPr>
              <w:pStyle w:val="Tabletext"/>
              <w:ind w:right="220"/>
              <w:jc w:val="right"/>
              <w:rPr>
                <w:lang w:eastAsia="zh-CN"/>
              </w:rPr>
            </w:pPr>
            <w:r>
              <w:rPr>
                <w:lang w:eastAsia="zh-CN"/>
              </w:rPr>
              <w:t>157,175</w:t>
            </w:r>
          </w:p>
        </w:tc>
        <w:tc>
          <w:tcPr>
            <w:tcW w:w="1394" w:type="dxa"/>
          </w:tcPr>
          <w:p w:rsidR="006F29B5" w:rsidRPr="000D729F" w:rsidRDefault="006F29B5" w:rsidP="006F29B5">
            <w:pPr>
              <w:pStyle w:val="Tabletext"/>
              <w:ind w:right="220"/>
              <w:jc w:val="right"/>
              <w:rPr>
                <w:lang w:eastAsia="zh-CN"/>
              </w:rPr>
            </w:pPr>
            <w:r>
              <w:rPr>
                <w:lang w:eastAsia="zh-CN"/>
              </w:rPr>
              <w:t>152,477</w:t>
            </w:r>
          </w:p>
        </w:tc>
        <w:tc>
          <w:tcPr>
            <w:tcW w:w="1440" w:type="dxa"/>
            <w:noWrap/>
          </w:tcPr>
          <w:p w:rsidR="006F29B5" w:rsidRPr="000D729F" w:rsidRDefault="006F29B5" w:rsidP="006F29B5">
            <w:pPr>
              <w:pStyle w:val="Tabletext"/>
              <w:ind w:right="220"/>
              <w:jc w:val="right"/>
              <w:rPr>
                <w:lang w:eastAsia="zh-CN"/>
              </w:rPr>
            </w:pPr>
            <w:r>
              <w:rPr>
                <w:lang w:eastAsia="zh-CN"/>
              </w:rPr>
              <w:t>149,669</w:t>
            </w:r>
          </w:p>
        </w:tc>
        <w:tc>
          <w:tcPr>
            <w:tcW w:w="1872" w:type="dxa"/>
            <w:noWrap/>
            <w:vAlign w:val="bottom"/>
          </w:tcPr>
          <w:p w:rsidR="006F29B5" w:rsidRPr="000D729F" w:rsidRDefault="006F29B5" w:rsidP="006F29B5">
            <w:pPr>
              <w:pStyle w:val="Tabletext"/>
              <w:ind w:right="220"/>
              <w:jc w:val="right"/>
              <w:rPr>
                <w:lang w:eastAsia="zh-CN"/>
              </w:rPr>
            </w:pPr>
            <w:r>
              <w:rPr>
                <w:rFonts w:cs="Calibri"/>
                <w:color w:val="000000"/>
                <w:szCs w:val="22"/>
              </w:rPr>
              <w:t>614,726</w:t>
            </w:r>
          </w:p>
        </w:tc>
      </w:tr>
      <w:tr w:rsidR="006F29B5" w:rsidRPr="00486B4E" w:rsidTr="006F29B5">
        <w:trPr>
          <w:trHeight w:val="300"/>
          <w:jc w:val="center"/>
        </w:trPr>
        <w:tc>
          <w:tcPr>
            <w:tcW w:w="2341" w:type="dxa"/>
            <w:noWrap/>
          </w:tcPr>
          <w:p w:rsidR="006F29B5" w:rsidRPr="00486B4E" w:rsidRDefault="006F29B5" w:rsidP="006F29B5">
            <w:pPr>
              <w:pStyle w:val="Tabletext"/>
              <w:rPr>
                <w:lang w:eastAsia="zh-CN"/>
              </w:rPr>
            </w:pPr>
            <w:r w:rsidRPr="00486B4E">
              <w:rPr>
                <w:b/>
                <w:bCs/>
                <w:lang w:eastAsia="zh-CN"/>
              </w:rPr>
              <w:t>Unused appropriations</w:t>
            </w:r>
            <w:r w:rsidRPr="00486B4E">
              <w:rPr>
                <w:lang w:eastAsia="zh-CN"/>
              </w:rPr>
              <w:t xml:space="preserve"> </w:t>
            </w:r>
          </w:p>
        </w:tc>
        <w:tc>
          <w:tcPr>
            <w:tcW w:w="1397" w:type="dxa"/>
          </w:tcPr>
          <w:p w:rsidR="006F29B5" w:rsidRPr="00486B4E" w:rsidRDefault="006F29B5" w:rsidP="006F29B5">
            <w:pPr>
              <w:pStyle w:val="Tabletext"/>
              <w:ind w:right="220"/>
              <w:jc w:val="right"/>
              <w:rPr>
                <w:lang w:eastAsia="zh-CN"/>
              </w:rPr>
            </w:pPr>
            <w:r>
              <w:rPr>
                <w:lang w:eastAsia="zh-CN"/>
              </w:rPr>
              <w:t>10,906</w:t>
            </w:r>
          </w:p>
        </w:tc>
        <w:tc>
          <w:tcPr>
            <w:tcW w:w="1440" w:type="dxa"/>
            <w:noWrap/>
          </w:tcPr>
          <w:p w:rsidR="006F29B5" w:rsidRPr="000D729F" w:rsidRDefault="006F29B5" w:rsidP="006F29B5">
            <w:pPr>
              <w:pStyle w:val="Tabletext"/>
              <w:ind w:right="220"/>
              <w:jc w:val="right"/>
              <w:rPr>
                <w:lang w:eastAsia="zh-CN"/>
              </w:rPr>
            </w:pPr>
            <w:r>
              <w:rPr>
                <w:lang w:eastAsia="zh-CN"/>
              </w:rPr>
              <w:t>7,569</w:t>
            </w:r>
          </w:p>
        </w:tc>
        <w:tc>
          <w:tcPr>
            <w:tcW w:w="1394" w:type="dxa"/>
          </w:tcPr>
          <w:p w:rsidR="006F29B5" w:rsidRPr="000D729F" w:rsidRDefault="006F29B5" w:rsidP="006F29B5">
            <w:pPr>
              <w:pStyle w:val="Tabletext"/>
              <w:ind w:right="220"/>
              <w:jc w:val="right"/>
              <w:rPr>
                <w:lang w:eastAsia="zh-CN"/>
              </w:rPr>
            </w:pPr>
            <w:r>
              <w:rPr>
                <w:lang w:eastAsia="zh-CN"/>
              </w:rPr>
              <w:t>7,966</w:t>
            </w:r>
          </w:p>
        </w:tc>
        <w:tc>
          <w:tcPr>
            <w:tcW w:w="1440" w:type="dxa"/>
            <w:noWrap/>
          </w:tcPr>
          <w:p w:rsidR="006F29B5" w:rsidRPr="000D729F" w:rsidRDefault="006F29B5" w:rsidP="006F29B5">
            <w:pPr>
              <w:pStyle w:val="Tabletext"/>
              <w:ind w:right="220"/>
              <w:jc w:val="right"/>
              <w:rPr>
                <w:lang w:eastAsia="zh-CN"/>
              </w:rPr>
            </w:pPr>
            <w:r>
              <w:rPr>
                <w:lang w:eastAsia="zh-CN"/>
              </w:rPr>
              <w:t>11,191</w:t>
            </w:r>
          </w:p>
        </w:tc>
        <w:tc>
          <w:tcPr>
            <w:tcW w:w="1872" w:type="dxa"/>
            <w:noWrap/>
            <w:vAlign w:val="bottom"/>
          </w:tcPr>
          <w:p w:rsidR="006F29B5" w:rsidRPr="000D729F" w:rsidRDefault="006F29B5" w:rsidP="006F29B5">
            <w:pPr>
              <w:pStyle w:val="Tabletext"/>
              <w:ind w:right="220"/>
              <w:jc w:val="right"/>
              <w:rPr>
                <w:lang w:eastAsia="zh-CN"/>
              </w:rPr>
            </w:pPr>
            <w:r>
              <w:rPr>
                <w:rFonts w:cs="Calibri"/>
                <w:color w:val="000000"/>
                <w:szCs w:val="22"/>
              </w:rPr>
              <w:t>37,632</w:t>
            </w:r>
          </w:p>
        </w:tc>
      </w:tr>
      <w:tr w:rsidR="006F29B5" w:rsidRPr="00486B4E" w:rsidTr="006F29B5">
        <w:trPr>
          <w:trHeight w:val="300"/>
          <w:jc w:val="center"/>
        </w:trPr>
        <w:tc>
          <w:tcPr>
            <w:tcW w:w="2341" w:type="dxa"/>
            <w:noWrap/>
          </w:tcPr>
          <w:p w:rsidR="006F29B5" w:rsidRPr="00486B4E" w:rsidRDefault="006F29B5" w:rsidP="006F29B5">
            <w:pPr>
              <w:pStyle w:val="Tabletext"/>
              <w:rPr>
                <w:lang w:eastAsia="zh-CN"/>
              </w:rPr>
            </w:pPr>
            <w:r w:rsidRPr="00486B4E">
              <w:rPr>
                <w:b/>
                <w:bCs/>
                <w:lang w:eastAsia="zh-CN"/>
              </w:rPr>
              <w:t>%</w:t>
            </w:r>
          </w:p>
        </w:tc>
        <w:tc>
          <w:tcPr>
            <w:tcW w:w="1397" w:type="dxa"/>
          </w:tcPr>
          <w:p w:rsidR="006F29B5" w:rsidRPr="00486B4E" w:rsidRDefault="006F29B5" w:rsidP="006F29B5">
            <w:pPr>
              <w:pStyle w:val="Tabletext"/>
              <w:ind w:right="220"/>
              <w:jc w:val="right"/>
              <w:rPr>
                <w:lang w:eastAsia="zh-CN"/>
              </w:rPr>
            </w:pPr>
            <w:r>
              <w:rPr>
                <w:lang w:eastAsia="zh-CN"/>
              </w:rPr>
              <w:t>6.6%</w:t>
            </w:r>
          </w:p>
        </w:tc>
        <w:tc>
          <w:tcPr>
            <w:tcW w:w="1440" w:type="dxa"/>
            <w:noWrap/>
          </w:tcPr>
          <w:p w:rsidR="006F29B5" w:rsidRPr="000D729F" w:rsidRDefault="006F29B5" w:rsidP="006F29B5">
            <w:pPr>
              <w:pStyle w:val="Tabletext"/>
              <w:ind w:right="220"/>
              <w:jc w:val="right"/>
              <w:rPr>
                <w:lang w:eastAsia="zh-CN"/>
              </w:rPr>
            </w:pPr>
            <w:r>
              <w:rPr>
                <w:lang w:eastAsia="zh-CN"/>
              </w:rPr>
              <w:t>4.6%</w:t>
            </w:r>
          </w:p>
        </w:tc>
        <w:tc>
          <w:tcPr>
            <w:tcW w:w="1394" w:type="dxa"/>
          </w:tcPr>
          <w:p w:rsidR="006F29B5" w:rsidRPr="000D729F" w:rsidRDefault="006F29B5" w:rsidP="006F29B5">
            <w:pPr>
              <w:pStyle w:val="Tabletext"/>
              <w:ind w:right="220"/>
              <w:jc w:val="right"/>
              <w:rPr>
                <w:lang w:eastAsia="zh-CN"/>
              </w:rPr>
            </w:pPr>
            <w:r>
              <w:rPr>
                <w:lang w:eastAsia="zh-CN"/>
              </w:rPr>
              <w:t>5.0%</w:t>
            </w:r>
          </w:p>
        </w:tc>
        <w:tc>
          <w:tcPr>
            <w:tcW w:w="1440" w:type="dxa"/>
            <w:noWrap/>
          </w:tcPr>
          <w:p w:rsidR="006F29B5" w:rsidRPr="000D729F" w:rsidRDefault="006F29B5" w:rsidP="006F29B5">
            <w:pPr>
              <w:pStyle w:val="Tabletext"/>
              <w:ind w:right="220"/>
              <w:jc w:val="right"/>
              <w:rPr>
                <w:lang w:eastAsia="zh-CN"/>
              </w:rPr>
            </w:pPr>
            <w:r>
              <w:rPr>
                <w:lang w:eastAsia="zh-CN"/>
              </w:rPr>
              <w:t>7.0%</w:t>
            </w:r>
          </w:p>
        </w:tc>
        <w:tc>
          <w:tcPr>
            <w:tcW w:w="1872" w:type="dxa"/>
            <w:noWrap/>
          </w:tcPr>
          <w:p w:rsidR="006F29B5" w:rsidRPr="000D729F" w:rsidRDefault="006F29B5" w:rsidP="006F29B5">
            <w:pPr>
              <w:pStyle w:val="Tabletext"/>
              <w:ind w:right="220"/>
              <w:jc w:val="right"/>
              <w:rPr>
                <w:lang w:eastAsia="zh-CN"/>
              </w:rPr>
            </w:pPr>
            <w:r>
              <w:rPr>
                <w:lang w:eastAsia="zh-CN"/>
              </w:rPr>
              <w:t>5.8%</w:t>
            </w:r>
          </w:p>
        </w:tc>
      </w:tr>
    </w:tbl>
    <w:p w:rsidR="006F29B5" w:rsidRPr="00795793" w:rsidRDefault="006F29B5" w:rsidP="006F29B5">
      <w:pPr>
        <w:pStyle w:val="Headingi"/>
        <w:spacing w:before="0"/>
        <w:ind w:left="-90" w:firstLine="0"/>
        <w:rPr>
          <w:bCs/>
          <w:sz w:val="20"/>
        </w:rPr>
      </w:pPr>
      <w:r w:rsidRPr="00795793">
        <w:rPr>
          <w:bCs/>
          <w:sz w:val="20"/>
        </w:rPr>
        <w:t xml:space="preserve">* Deferred activity ITU-D Regional Preparatory Meetings budget transfer from 2016 to 2017 </w:t>
      </w:r>
      <w:r>
        <w:rPr>
          <w:bCs/>
          <w:sz w:val="20"/>
        </w:rPr>
        <w:t xml:space="preserve">for </w:t>
      </w:r>
      <w:r w:rsidRPr="00795793">
        <w:rPr>
          <w:bCs/>
          <w:sz w:val="20"/>
        </w:rPr>
        <w:t>CHF 317 thousand</w:t>
      </w:r>
      <w:r>
        <w:rPr>
          <w:bCs/>
          <w:sz w:val="20"/>
        </w:rPr>
        <w:t>.</w:t>
      </w:r>
      <w:r w:rsidRPr="00795793">
        <w:rPr>
          <w:bCs/>
          <w:sz w:val="20"/>
        </w:rPr>
        <w:t xml:space="preserve"> </w:t>
      </w:r>
    </w:p>
    <w:p w:rsidR="006F29B5" w:rsidRPr="00486B4E" w:rsidRDefault="006F29B5" w:rsidP="006F29B5">
      <w:pPr>
        <w:pStyle w:val="Headingi"/>
        <w:ind w:left="0" w:firstLine="0"/>
        <w:rPr>
          <w:b/>
          <w:bCs/>
        </w:rPr>
      </w:pPr>
      <w:r>
        <w:rPr>
          <w:b/>
          <w:bCs/>
        </w:rPr>
        <w:t>Revenue</w:t>
      </w:r>
    </w:p>
    <w:p w:rsidR="006F29B5" w:rsidRDefault="006F29B5" w:rsidP="006F29B5">
      <w:pPr>
        <w:tabs>
          <w:tab w:val="clear" w:pos="567"/>
          <w:tab w:val="left" w:pos="709"/>
        </w:tabs>
        <w:spacing w:after="120"/>
        <w:jc w:val="both"/>
      </w:pPr>
      <w:r>
        <w:t>2.8</w:t>
      </w:r>
      <w:r w:rsidRPr="00486B4E">
        <w:tab/>
      </w:r>
      <w:r>
        <w:t>Regular</w:t>
      </w:r>
      <w:r w:rsidRPr="00486B4E">
        <w:t xml:space="preserve"> budget</w:t>
      </w:r>
      <w:r>
        <w:t xml:space="preserve"> revenue</w:t>
      </w:r>
      <w:r w:rsidRPr="00486B4E">
        <w:t xml:space="preserve"> wa</w:t>
      </w:r>
      <w:r>
        <w:t>s calculated to balance expenses</w:t>
      </w:r>
      <w:r w:rsidRPr="00486B4E">
        <w:t xml:space="preserve"> by means of the contributions by Member States, Sector Members</w:t>
      </w:r>
      <w:r>
        <w:t xml:space="preserve">, </w:t>
      </w:r>
      <w:r w:rsidRPr="00486B4E">
        <w:t>Associates</w:t>
      </w:r>
      <w:r>
        <w:t xml:space="preserve"> and Academia, Cost Recovery</w:t>
      </w:r>
      <w:r w:rsidRPr="00486B4E">
        <w:t xml:space="preserve"> and withdrawals from the Reserve Account. Details of </w:t>
      </w:r>
      <w:r>
        <w:t>regular</w:t>
      </w:r>
      <w:r w:rsidRPr="00486B4E">
        <w:t xml:space="preserve"> budget</w:t>
      </w:r>
      <w:r>
        <w:t xml:space="preserve"> revenue</w:t>
      </w:r>
      <w:r w:rsidRPr="00486B4E">
        <w:t xml:space="preserve"> are given below.</w:t>
      </w:r>
    </w:p>
    <w:p w:rsidR="006F29B5" w:rsidRDefault="006F29B5" w:rsidP="006F29B5">
      <w:pPr>
        <w:tabs>
          <w:tab w:val="clear" w:pos="567"/>
          <w:tab w:val="left" w:pos="709"/>
        </w:tabs>
        <w:spacing w:after="120"/>
        <w:jc w:val="both"/>
      </w:pPr>
    </w:p>
    <w:p w:rsidR="006F29B5" w:rsidRPr="00486B4E" w:rsidRDefault="006F29B5" w:rsidP="006F29B5">
      <w:pPr>
        <w:pStyle w:val="headingb0"/>
        <w:spacing w:before="240" w:after="120"/>
        <w:rPr>
          <w:rFonts w:asciiTheme="minorHAnsi" w:hAnsiTheme="minorHAnsi"/>
        </w:rPr>
      </w:pPr>
      <w:r w:rsidRPr="00486B4E">
        <w:rPr>
          <w:rFonts w:asciiTheme="minorHAnsi" w:hAnsiTheme="minorHAnsi"/>
        </w:rPr>
        <w:t>Contributions by Member States</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075"/>
        <w:gridCol w:w="1916"/>
        <w:gridCol w:w="1954"/>
        <w:gridCol w:w="1711"/>
        <w:gridCol w:w="1665"/>
        <w:gridCol w:w="1683"/>
        <w:gridCol w:w="38"/>
      </w:tblGrid>
      <w:tr w:rsidR="006F29B5" w:rsidRPr="00486B4E" w:rsidTr="006F29B5">
        <w:trPr>
          <w:gridAfter w:val="1"/>
          <w:wAfter w:w="38" w:type="dxa"/>
          <w:trHeight w:val="525"/>
          <w:jc w:val="center"/>
        </w:trPr>
        <w:tc>
          <w:tcPr>
            <w:tcW w:w="1075" w:type="dxa"/>
            <w:noWrap/>
          </w:tcPr>
          <w:p w:rsidR="006F29B5" w:rsidRPr="005D3DD3" w:rsidRDefault="006F29B5" w:rsidP="006F29B5">
            <w:pPr>
              <w:pStyle w:val="Tablehead"/>
              <w:tabs>
                <w:tab w:val="left" w:pos="486"/>
                <w:tab w:val="left" w:pos="756"/>
              </w:tabs>
              <w:ind w:right="132"/>
              <w:rPr>
                <w:lang w:eastAsia="zh-CN"/>
              </w:rPr>
            </w:pPr>
            <w:r w:rsidRPr="005D3DD3">
              <w:rPr>
                <w:lang w:eastAsia="zh-CN"/>
              </w:rPr>
              <w:t>Year</w:t>
            </w:r>
          </w:p>
        </w:tc>
        <w:tc>
          <w:tcPr>
            <w:tcW w:w="1916" w:type="dxa"/>
          </w:tcPr>
          <w:p w:rsidR="006F29B5" w:rsidRPr="005D3DD3" w:rsidRDefault="006F29B5" w:rsidP="006F29B5">
            <w:pPr>
              <w:pStyle w:val="Tablehead"/>
              <w:rPr>
                <w:lang w:eastAsia="zh-CN"/>
              </w:rPr>
            </w:pPr>
            <w:r w:rsidRPr="005D3DD3">
              <w:rPr>
                <w:lang w:eastAsia="zh-CN"/>
              </w:rPr>
              <w:t>Number of Member States*</w:t>
            </w:r>
          </w:p>
        </w:tc>
        <w:tc>
          <w:tcPr>
            <w:tcW w:w="1954" w:type="dxa"/>
          </w:tcPr>
          <w:p w:rsidR="006F29B5" w:rsidRPr="005D3DD3" w:rsidRDefault="006F29B5" w:rsidP="006F29B5">
            <w:pPr>
              <w:pStyle w:val="Tablehead"/>
              <w:rPr>
                <w:lang w:eastAsia="zh-CN"/>
              </w:rPr>
            </w:pPr>
            <w:r w:rsidRPr="005D3DD3">
              <w:rPr>
                <w:lang w:eastAsia="zh-CN"/>
              </w:rPr>
              <w:t>Number of contributory units*</w:t>
            </w:r>
          </w:p>
        </w:tc>
        <w:tc>
          <w:tcPr>
            <w:tcW w:w="1711" w:type="dxa"/>
          </w:tcPr>
          <w:p w:rsidR="006F29B5" w:rsidRPr="005D3DD3" w:rsidRDefault="006F29B5" w:rsidP="006F29B5">
            <w:pPr>
              <w:pStyle w:val="Tablehead"/>
              <w:rPr>
                <w:lang w:eastAsia="zh-CN"/>
              </w:rPr>
            </w:pPr>
            <w:r w:rsidRPr="005D3DD3">
              <w:rPr>
                <w:lang w:eastAsia="zh-CN"/>
              </w:rPr>
              <w:t>Amount of contributory unit</w:t>
            </w:r>
          </w:p>
        </w:tc>
        <w:tc>
          <w:tcPr>
            <w:tcW w:w="1665" w:type="dxa"/>
          </w:tcPr>
          <w:p w:rsidR="006F29B5" w:rsidRPr="005D3DD3" w:rsidRDefault="006F29B5" w:rsidP="006F29B5">
            <w:pPr>
              <w:pStyle w:val="Tablehead"/>
              <w:rPr>
                <w:lang w:eastAsia="zh-CN"/>
              </w:rPr>
            </w:pPr>
            <w:r>
              <w:rPr>
                <w:lang w:eastAsia="zh-CN"/>
              </w:rPr>
              <w:t>Revenue</w:t>
            </w:r>
            <w:r w:rsidRPr="005D3DD3">
              <w:rPr>
                <w:lang w:eastAsia="zh-CN"/>
              </w:rPr>
              <w:t xml:space="preserve"> entered in the budget</w:t>
            </w:r>
          </w:p>
        </w:tc>
        <w:tc>
          <w:tcPr>
            <w:tcW w:w="1683" w:type="dxa"/>
          </w:tcPr>
          <w:p w:rsidR="006F29B5" w:rsidRPr="005D3DD3" w:rsidRDefault="006F29B5" w:rsidP="006F29B5">
            <w:pPr>
              <w:pStyle w:val="Tablehead"/>
              <w:rPr>
                <w:lang w:eastAsia="zh-CN"/>
              </w:rPr>
            </w:pPr>
            <w:r>
              <w:rPr>
                <w:lang w:eastAsia="zh-CN"/>
              </w:rPr>
              <w:t>Revenue</w:t>
            </w:r>
            <w:r w:rsidRPr="005D3DD3">
              <w:rPr>
                <w:lang w:eastAsia="zh-CN"/>
              </w:rPr>
              <w:t xml:space="preserve"> posted to account**</w:t>
            </w:r>
          </w:p>
        </w:tc>
      </w:tr>
      <w:tr w:rsidR="006F29B5" w:rsidRPr="000240E3" w:rsidTr="006F29B5">
        <w:trPr>
          <w:gridAfter w:val="1"/>
          <w:wAfter w:w="38" w:type="dxa"/>
          <w:trHeight w:val="401"/>
          <w:jc w:val="center"/>
        </w:trPr>
        <w:tc>
          <w:tcPr>
            <w:tcW w:w="1075" w:type="dxa"/>
            <w:noWrap/>
          </w:tcPr>
          <w:p w:rsidR="006F29B5" w:rsidRPr="00486B4E" w:rsidRDefault="006F29B5" w:rsidP="006F29B5">
            <w:pPr>
              <w:pStyle w:val="Tabletext"/>
              <w:tabs>
                <w:tab w:val="left" w:pos="486"/>
                <w:tab w:val="left" w:pos="756"/>
              </w:tabs>
              <w:ind w:right="132"/>
              <w:jc w:val="center"/>
              <w:rPr>
                <w:szCs w:val="24"/>
                <w:lang w:eastAsia="zh-CN"/>
              </w:rPr>
            </w:pPr>
          </w:p>
        </w:tc>
        <w:tc>
          <w:tcPr>
            <w:tcW w:w="1916" w:type="dxa"/>
            <w:noWrap/>
          </w:tcPr>
          <w:p w:rsidR="006F29B5" w:rsidRPr="00486B4E" w:rsidRDefault="006F29B5" w:rsidP="006F29B5">
            <w:pPr>
              <w:pStyle w:val="Tabletext"/>
              <w:jc w:val="center"/>
              <w:rPr>
                <w:szCs w:val="24"/>
                <w:lang w:eastAsia="zh-CN"/>
              </w:rPr>
            </w:pPr>
          </w:p>
        </w:tc>
        <w:tc>
          <w:tcPr>
            <w:tcW w:w="1954" w:type="dxa"/>
            <w:noWrap/>
          </w:tcPr>
          <w:p w:rsidR="006F29B5" w:rsidRPr="00486B4E" w:rsidRDefault="006F29B5" w:rsidP="006F29B5">
            <w:pPr>
              <w:pStyle w:val="Tabletext"/>
              <w:jc w:val="center"/>
              <w:rPr>
                <w:szCs w:val="24"/>
                <w:lang w:eastAsia="zh-CN"/>
              </w:rPr>
            </w:pPr>
          </w:p>
        </w:tc>
        <w:tc>
          <w:tcPr>
            <w:tcW w:w="1711" w:type="dxa"/>
            <w:noWrap/>
          </w:tcPr>
          <w:p w:rsidR="006F29B5" w:rsidRPr="000240E3" w:rsidRDefault="006F29B5" w:rsidP="006F29B5">
            <w:pPr>
              <w:pStyle w:val="Tabletext"/>
              <w:tabs>
                <w:tab w:val="left" w:pos="492"/>
              </w:tabs>
              <w:ind w:left="-138" w:right="88"/>
              <w:jc w:val="right"/>
              <w:rPr>
                <w:sz w:val="20"/>
                <w:lang w:eastAsia="zh-CN"/>
              </w:rPr>
            </w:pPr>
            <w:r w:rsidRPr="000240E3">
              <w:rPr>
                <w:sz w:val="20"/>
                <w:lang w:eastAsia="zh-CN"/>
              </w:rPr>
              <w:t>Thousands of CHF</w:t>
            </w:r>
          </w:p>
        </w:tc>
        <w:tc>
          <w:tcPr>
            <w:tcW w:w="1665" w:type="dxa"/>
            <w:noWrap/>
          </w:tcPr>
          <w:p w:rsidR="006F29B5" w:rsidRPr="000240E3" w:rsidRDefault="006F29B5" w:rsidP="006F29B5">
            <w:pPr>
              <w:pStyle w:val="Tabletext"/>
              <w:tabs>
                <w:tab w:val="left" w:pos="492"/>
              </w:tabs>
              <w:ind w:left="-138" w:right="88"/>
              <w:jc w:val="right"/>
              <w:rPr>
                <w:sz w:val="20"/>
                <w:lang w:eastAsia="zh-CN"/>
              </w:rPr>
            </w:pPr>
            <w:r w:rsidRPr="000240E3">
              <w:rPr>
                <w:sz w:val="20"/>
                <w:lang w:eastAsia="zh-CN"/>
              </w:rPr>
              <w:t>Thousands of CHF</w:t>
            </w:r>
          </w:p>
        </w:tc>
        <w:tc>
          <w:tcPr>
            <w:tcW w:w="1683" w:type="dxa"/>
          </w:tcPr>
          <w:p w:rsidR="006F29B5" w:rsidRPr="000240E3" w:rsidRDefault="006F29B5" w:rsidP="006F29B5">
            <w:pPr>
              <w:pStyle w:val="Tabletext"/>
              <w:tabs>
                <w:tab w:val="left" w:pos="492"/>
              </w:tabs>
              <w:ind w:left="-138" w:right="88"/>
              <w:jc w:val="right"/>
              <w:rPr>
                <w:sz w:val="20"/>
                <w:lang w:eastAsia="zh-CN"/>
              </w:rPr>
            </w:pPr>
            <w:r w:rsidRPr="000240E3">
              <w:rPr>
                <w:sz w:val="20"/>
                <w:lang w:eastAsia="zh-CN"/>
              </w:rPr>
              <w:t>Thousands of CHF</w:t>
            </w:r>
          </w:p>
        </w:tc>
      </w:tr>
      <w:tr w:rsidR="006F29B5" w:rsidRPr="00486B4E" w:rsidTr="006F29B5">
        <w:trPr>
          <w:gridAfter w:val="1"/>
          <w:wAfter w:w="38" w:type="dxa"/>
          <w:trHeight w:hRule="exact" w:val="288"/>
          <w:jc w:val="center"/>
        </w:trPr>
        <w:tc>
          <w:tcPr>
            <w:tcW w:w="1075" w:type="dxa"/>
            <w:noWrap/>
          </w:tcPr>
          <w:p w:rsidR="006F29B5" w:rsidRPr="00BB4DBC" w:rsidRDefault="006F29B5" w:rsidP="006F29B5">
            <w:pPr>
              <w:pStyle w:val="Tabletext"/>
              <w:tabs>
                <w:tab w:val="left" w:pos="410"/>
                <w:tab w:val="left" w:pos="486"/>
                <w:tab w:val="left" w:pos="756"/>
              </w:tabs>
              <w:ind w:right="132"/>
              <w:jc w:val="center"/>
              <w:rPr>
                <w:sz w:val="20"/>
                <w:lang w:eastAsia="zh-CN"/>
              </w:rPr>
            </w:pPr>
            <w:r w:rsidRPr="00BB4DBC">
              <w:rPr>
                <w:sz w:val="20"/>
                <w:lang w:eastAsia="zh-CN"/>
              </w:rPr>
              <w:t>2014</w:t>
            </w:r>
          </w:p>
        </w:tc>
        <w:tc>
          <w:tcPr>
            <w:tcW w:w="1916" w:type="dxa"/>
            <w:noWrap/>
          </w:tcPr>
          <w:p w:rsidR="006F29B5" w:rsidRPr="00BB4DBC" w:rsidRDefault="006F29B5" w:rsidP="006F29B5">
            <w:pPr>
              <w:pStyle w:val="Tabletext"/>
              <w:ind w:right="554"/>
              <w:jc w:val="right"/>
              <w:rPr>
                <w:sz w:val="20"/>
                <w:lang w:eastAsia="zh-CN"/>
              </w:rPr>
            </w:pPr>
            <w:r w:rsidRPr="00BB4DBC">
              <w:rPr>
                <w:sz w:val="20"/>
                <w:lang w:eastAsia="zh-CN"/>
              </w:rPr>
              <w:t>193</w:t>
            </w:r>
          </w:p>
        </w:tc>
        <w:tc>
          <w:tcPr>
            <w:tcW w:w="1954" w:type="dxa"/>
            <w:noWrap/>
          </w:tcPr>
          <w:p w:rsidR="006F29B5" w:rsidRPr="00BB4DBC" w:rsidRDefault="006F29B5" w:rsidP="006F29B5">
            <w:pPr>
              <w:pStyle w:val="Tabletext"/>
              <w:ind w:right="554"/>
              <w:jc w:val="right"/>
              <w:rPr>
                <w:sz w:val="20"/>
                <w:lang w:eastAsia="zh-CN"/>
              </w:rPr>
            </w:pPr>
            <w:r w:rsidRPr="00BB4DBC">
              <w:rPr>
                <w:sz w:val="20"/>
                <w:lang w:eastAsia="zh-CN"/>
              </w:rPr>
              <w:t>354</w:t>
            </w:r>
          </w:p>
        </w:tc>
        <w:tc>
          <w:tcPr>
            <w:tcW w:w="1711" w:type="dxa"/>
            <w:noWrap/>
          </w:tcPr>
          <w:p w:rsidR="006F29B5" w:rsidRPr="00BB4DBC" w:rsidRDefault="006F29B5" w:rsidP="006F29B5">
            <w:pPr>
              <w:pStyle w:val="Tabletext"/>
              <w:ind w:right="554"/>
              <w:jc w:val="right"/>
              <w:rPr>
                <w:sz w:val="20"/>
                <w:lang w:eastAsia="zh-CN"/>
              </w:rPr>
            </w:pPr>
            <w:r w:rsidRPr="00BB4DBC">
              <w:rPr>
                <w:sz w:val="20"/>
                <w:lang w:eastAsia="zh-CN"/>
              </w:rPr>
              <w:t>318</w:t>
            </w:r>
          </w:p>
        </w:tc>
        <w:tc>
          <w:tcPr>
            <w:tcW w:w="1665" w:type="dxa"/>
            <w:noWrap/>
          </w:tcPr>
          <w:p w:rsidR="006F29B5" w:rsidRPr="00BB4DBC" w:rsidRDefault="006F29B5" w:rsidP="006F29B5">
            <w:pPr>
              <w:pStyle w:val="Tabletext"/>
              <w:ind w:right="317"/>
              <w:jc w:val="right"/>
              <w:rPr>
                <w:sz w:val="20"/>
                <w:lang w:eastAsia="zh-CN"/>
              </w:rPr>
            </w:pPr>
            <w:r w:rsidRPr="00BB4DBC">
              <w:rPr>
                <w:sz w:val="20"/>
                <w:lang w:eastAsia="zh-CN"/>
              </w:rPr>
              <w:t>112,572</w:t>
            </w:r>
          </w:p>
        </w:tc>
        <w:tc>
          <w:tcPr>
            <w:tcW w:w="1683" w:type="dxa"/>
          </w:tcPr>
          <w:p w:rsidR="006F29B5" w:rsidRPr="00BB4DBC" w:rsidRDefault="006F29B5" w:rsidP="006F29B5">
            <w:pPr>
              <w:pStyle w:val="Tabletext"/>
              <w:ind w:right="317"/>
              <w:jc w:val="right"/>
              <w:rPr>
                <w:sz w:val="20"/>
                <w:lang w:eastAsia="zh-CN"/>
              </w:rPr>
            </w:pPr>
            <w:r w:rsidRPr="00BB4DBC">
              <w:rPr>
                <w:sz w:val="20"/>
                <w:lang w:eastAsia="zh-CN"/>
              </w:rPr>
              <w:t>109,750</w:t>
            </w:r>
          </w:p>
        </w:tc>
      </w:tr>
      <w:tr w:rsidR="006F29B5" w:rsidRPr="00486B4E" w:rsidTr="006F29B5">
        <w:trPr>
          <w:gridAfter w:val="1"/>
          <w:wAfter w:w="38" w:type="dxa"/>
          <w:trHeight w:hRule="exact" w:val="288"/>
          <w:jc w:val="center"/>
        </w:trPr>
        <w:tc>
          <w:tcPr>
            <w:tcW w:w="1075" w:type="dxa"/>
            <w:noWrap/>
          </w:tcPr>
          <w:p w:rsidR="006F29B5" w:rsidRPr="00BB4DBC" w:rsidRDefault="006F29B5" w:rsidP="006F29B5">
            <w:pPr>
              <w:pStyle w:val="Tabletext"/>
              <w:tabs>
                <w:tab w:val="left" w:pos="410"/>
                <w:tab w:val="left" w:pos="486"/>
                <w:tab w:val="left" w:pos="756"/>
              </w:tabs>
              <w:ind w:right="132"/>
              <w:jc w:val="center"/>
              <w:rPr>
                <w:sz w:val="20"/>
                <w:lang w:eastAsia="zh-CN"/>
              </w:rPr>
            </w:pPr>
            <w:r w:rsidRPr="00BB4DBC">
              <w:rPr>
                <w:sz w:val="20"/>
                <w:lang w:eastAsia="zh-CN"/>
              </w:rPr>
              <w:t>2015</w:t>
            </w:r>
          </w:p>
        </w:tc>
        <w:tc>
          <w:tcPr>
            <w:tcW w:w="1916" w:type="dxa"/>
            <w:noWrap/>
          </w:tcPr>
          <w:p w:rsidR="006F29B5" w:rsidRPr="00BB4DBC" w:rsidRDefault="006F29B5" w:rsidP="006F29B5">
            <w:pPr>
              <w:pStyle w:val="Tabletext"/>
              <w:ind w:right="554"/>
              <w:jc w:val="right"/>
              <w:rPr>
                <w:sz w:val="20"/>
                <w:lang w:eastAsia="zh-CN"/>
              </w:rPr>
            </w:pPr>
            <w:r w:rsidRPr="00BB4DBC">
              <w:rPr>
                <w:sz w:val="20"/>
                <w:lang w:eastAsia="zh-CN"/>
              </w:rPr>
              <w:t>193</w:t>
            </w:r>
          </w:p>
        </w:tc>
        <w:tc>
          <w:tcPr>
            <w:tcW w:w="1954" w:type="dxa"/>
            <w:noWrap/>
          </w:tcPr>
          <w:p w:rsidR="006F29B5" w:rsidRPr="00BB4DBC" w:rsidRDefault="006F29B5" w:rsidP="006F29B5">
            <w:pPr>
              <w:pStyle w:val="Tabletext"/>
              <w:ind w:right="554"/>
              <w:jc w:val="right"/>
              <w:rPr>
                <w:sz w:val="20"/>
                <w:lang w:eastAsia="zh-CN"/>
              </w:rPr>
            </w:pPr>
            <w:r w:rsidRPr="00BB4DBC">
              <w:rPr>
                <w:sz w:val="20"/>
                <w:lang w:eastAsia="zh-CN"/>
              </w:rPr>
              <w:t>354</w:t>
            </w:r>
          </w:p>
        </w:tc>
        <w:tc>
          <w:tcPr>
            <w:tcW w:w="1711" w:type="dxa"/>
            <w:noWrap/>
          </w:tcPr>
          <w:p w:rsidR="006F29B5" w:rsidRPr="00BB4DBC" w:rsidRDefault="006F29B5" w:rsidP="006F29B5">
            <w:pPr>
              <w:pStyle w:val="Tabletext"/>
              <w:ind w:right="554"/>
              <w:jc w:val="right"/>
              <w:rPr>
                <w:sz w:val="20"/>
                <w:lang w:eastAsia="zh-CN"/>
              </w:rPr>
            </w:pPr>
            <w:r w:rsidRPr="00BB4DBC">
              <w:rPr>
                <w:sz w:val="20"/>
                <w:lang w:eastAsia="zh-CN"/>
              </w:rPr>
              <w:t>318</w:t>
            </w:r>
          </w:p>
        </w:tc>
        <w:tc>
          <w:tcPr>
            <w:tcW w:w="1665" w:type="dxa"/>
            <w:noWrap/>
          </w:tcPr>
          <w:p w:rsidR="006F29B5" w:rsidRPr="00BB4DBC" w:rsidRDefault="006F29B5" w:rsidP="006F29B5">
            <w:pPr>
              <w:pStyle w:val="Tabletext"/>
              <w:ind w:right="317"/>
              <w:jc w:val="right"/>
              <w:rPr>
                <w:sz w:val="20"/>
                <w:lang w:eastAsia="zh-CN"/>
              </w:rPr>
            </w:pPr>
            <w:r w:rsidRPr="00BB4DBC">
              <w:rPr>
                <w:sz w:val="20"/>
                <w:lang w:eastAsia="zh-CN"/>
              </w:rPr>
              <w:t>112,572</w:t>
            </w:r>
          </w:p>
        </w:tc>
        <w:tc>
          <w:tcPr>
            <w:tcW w:w="1683" w:type="dxa"/>
          </w:tcPr>
          <w:p w:rsidR="006F29B5" w:rsidRPr="00BB4DBC" w:rsidRDefault="006F29B5" w:rsidP="006F29B5">
            <w:pPr>
              <w:pStyle w:val="Tabletext"/>
              <w:ind w:right="317"/>
              <w:jc w:val="right"/>
              <w:rPr>
                <w:sz w:val="20"/>
                <w:lang w:eastAsia="zh-CN"/>
              </w:rPr>
            </w:pPr>
            <w:r w:rsidRPr="00BB4DBC">
              <w:rPr>
                <w:sz w:val="20"/>
                <w:lang w:eastAsia="zh-CN"/>
              </w:rPr>
              <w:t>109,750</w:t>
            </w:r>
          </w:p>
        </w:tc>
      </w:tr>
      <w:tr w:rsidR="006F29B5" w:rsidRPr="00486B4E" w:rsidTr="006F29B5">
        <w:trPr>
          <w:gridAfter w:val="1"/>
          <w:wAfter w:w="38" w:type="dxa"/>
          <w:trHeight w:hRule="exact" w:val="288"/>
          <w:jc w:val="center"/>
        </w:trPr>
        <w:tc>
          <w:tcPr>
            <w:tcW w:w="1075" w:type="dxa"/>
            <w:noWrap/>
          </w:tcPr>
          <w:p w:rsidR="006F29B5" w:rsidRPr="00BB4DBC" w:rsidRDefault="006F29B5" w:rsidP="006F29B5">
            <w:pPr>
              <w:pStyle w:val="Tabletext"/>
              <w:tabs>
                <w:tab w:val="left" w:pos="410"/>
                <w:tab w:val="left" w:pos="486"/>
                <w:tab w:val="left" w:pos="756"/>
              </w:tabs>
              <w:ind w:right="132"/>
              <w:jc w:val="center"/>
              <w:rPr>
                <w:sz w:val="20"/>
                <w:lang w:eastAsia="zh-CN"/>
              </w:rPr>
            </w:pPr>
            <w:r w:rsidRPr="00BB4DBC">
              <w:rPr>
                <w:sz w:val="20"/>
                <w:lang w:eastAsia="zh-CN"/>
              </w:rPr>
              <w:t>2016</w:t>
            </w:r>
          </w:p>
        </w:tc>
        <w:tc>
          <w:tcPr>
            <w:tcW w:w="1916" w:type="dxa"/>
            <w:noWrap/>
          </w:tcPr>
          <w:p w:rsidR="006F29B5" w:rsidRPr="00BB4DBC" w:rsidRDefault="006F29B5" w:rsidP="006F29B5">
            <w:pPr>
              <w:pStyle w:val="Tabletext"/>
              <w:ind w:right="554"/>
              <w:jc w:val="right"/>
              <w:rPr>
                <w:sz w:val="20"/>
                <w:lang w:eastAsia="zh-CN"/>
              </w:rPr>
            </w:pPr>
            <w:r w:rsidRPr="00BB4DBC">
              <w:rPr>
                <w:sz w:val="20"/>
                <w:lang w:eastAsia="zh-CN"/>
              </w:rPr>
              <w:t>193</w:t>
            </w:r>
          </w:p>
        </w:tc>
        <w:tc>
          <w:tcPr>
            <w:tcW w:w="1954" w:type="dxa"/>
            <w:noWrap/>
          </w:tcPr>
          <w:p w:rsidR="006F29B5" w:rsidRPr="00BB4DBC" w:rsidRDefault="006F29B5" w:rsidP="006F29B5">
            <w:pPr>
              <w:pStyle w:val="Tabletext"/>
              <w:ind w:right="554"/>
              <w:jc w:val="right"/>
              <w:rPr>
                <w:sz w:val="20"/>
                <w:lang w:eastAsia="zh-CN"/>
              </w:rPr>
            </w:pPr>
            <w:r w:rsidRPr="00BB4DBC">
              <w:rPr>
                <w:sz w:val="20"/>
                <w:lang w:eastAsia="zh-CN"/>
              </w:rPr>
              <w:t xml:space="preserve">334 </w:t>
            </w:r>
            <w:r>
              <w:rPr>
                <w:sz w:val="20"/>
                <w:lang w:eastAsia="zh-CN"/>
              </w:rPr>
              <w:t>½</w:t>
            </w:r>
          </w:p>
        </w:tc>
        <w:tc>
          <w:tcPr>
            <w:tcW w:w="1711" w:type="dxa"/>
            <w:noWrap/>
          </w:tcPr>
          <w:p w:rsidR="006F29B5" w:rsidRPr="00BB4DBC" w:rsidRDefault="006F29B5" w:rsidP="006F29B5">
            <w:pPr>
              <w:pStyle w:val="Tabletext"/>
              <w:ind w:right="554"/>
              <w:jc w:val="right"/>
              <w:rPr>
                <w:sz w:val="20"/>
                <w:lang w:eastAsia="zh-CN"/>
              </w:rPr>
            </w:pPr>
            <w:r w:rsidRPr="00BB4DBC">
              <w:rPr>
                <w:sz w:val="20"/>
                <w:lang w:eastAsia="zh-CN"/>
              </w:rPr>
              <w:t>318</w:t>
            </w:r>
          </w:p>
        </w:tc>
        <w:tc>
          <w:tcPr>
            <w:tcW w:w="1665" w:type="dxa"/>
            <w:noWrap/>
          </w:tcPr>
          <w:p w:rsidR="006F29B5" w:rsidRPr="00BB4DBC" w:rsidRDefault="006F29B5" w:rsidP="006F29B5">
            <w:pPr>
              <w:pStyle w:val="Tabletext"/>
              <w:ind w:right="317"/>
              <w:jc w:val="right"/>
              <w:rPr>
                <w:sz w:val="20"/>
                <w:lang w:eastAsia="zh-CN"/>
              </w:rPr>
            </w:pPr>
            <w:r w:rsidRPr="00BB4DBC">
              <w:rPr>
                <w:sz w:val="20"/>
                <w:lang w:eastAsia="zh-CN"/>
              </w:rPr>
              <w:t>106,371</w:t>
            </w:r>
          </w:p>
        </w:tc>
        <w:tc>
          <w:tcPr>
            <w:tcW w:w="1683" w:type="dxa"/>
          </w:tcPr>
          <w:p w:rsidR="006F29B5" w:rsidRPr="00BB4DBC" w:rsidRDefault="006F29B5" w:rsidP="006F29B5">
            <w:pPr>
              <w:pStyle w:val="Tabletext"/>
              <w:ind w:right="317"/>
              <w:jc w:val="right"/>
              <w:rPr>
                <w:sz w:val="20"/>
                <w:lang w:eastAsia="zh-CN"/>
              </w:rPr>
            </w:pPr>
            <w:r w:rsidRPr="00BB4DBC">
              <w:rPr>
                <w:sz w:val="20"/>
                <w:lang w:eastAsia="zh-CN"/>
              </w:rPr>
              <w:t>106,292</w:t>
            </w:r>
          </w:p>
        </w:tc>
      </w:tr>
      <w:tr w:rsidR="006F29B5" w:rsidRPr="00486B4E" w:rsidTr="006F29B5">
        <w:trPr>
          <w:gridAfter w:val="1"/>
          <w:wAfter w:w="38" w:type="dxa"/>
          <w:trHeight w:hRule="exact" w:val="288"/>
          <w:jc w:val="center"/>
        </w:trPr>
        <w:tc>
          <w:tcPr>
            <w:tcW w:w="1075" w:type="dxa"/>
            <w:tcBorders>
              <w:bottom w:val="single" w:sz="4" w:space="0" w:color="auto"/>
            </w:tcBorders>
            <w:noWrap/>
          </w:tcPr>
          <w:p w:rsidR="006F29B5" w:rsidRPr="00BB4DBC" w:rsidRDefault="006F29B5" w:rsidP="006F29B5">
            <w:pPr>
              <w:pStyle w:val="Tabletext"/>
              <w:tabs>
                <w:tab w:val="left" w:pos="410"/>
                <w:tab w:val="left" w:pos="486"/>
                <w:tab w:val="left" w:pos="756"/>
              </w:tabs>
              <w:ind w:right="132"/>
              <w:jc w:val="center"/>
              <w:rPr>
                <w:sz w:val="20"/>
                <w:lang w:eastAsia="zh-CN"/>
              </w:rPr>
            </w:pPr>
            <w:r w:rsidRPr="00BB4DBC">
              <w:rPr>
                <w:sz w:val="20"/>
                <w:lang w:eastAsia="zh-CN"/>
              </w:rPr>
              <w:t>2017</w:t>
            </w:r>
          </w:p>
        </w:tc>
        <w:tc>
          <w:tcPr>
            <w:tcW w:w="1916" w:type="dxa"/>
            <w:tcBorders>
              <w:bottom w:val="single" w:sz="4" w:space="0" w:color="auto"/>
            </w:tcBorders>
            <w:noWrap/>
          </w:tcPr>
          <w:p w:rsidR="006F29B5" w:rsidRPr="00BB4DBC" w:rsidRDefault="006F29B5" w:rsidP="006F29B5">
            <w:pPr>
              <w:pStyle w:val="Tabletext"/>
              <w:ind w:right="554"/>
              <w:jc w:val="right"/>
              <w:rPr>
                <w:sz w:val="20"/>
                <w:lang w:eastAsia="zh-CN"/>
              </w:rPr>
            </w:pPr>
            <w:r w:rsidRPr="00BB4DBC">
              <w:rPr>
                <w:sz w:val="20"/>
                <w:lang w:eastAsia="zh-CN"/>
              </w:rPr>
              <w:t>193</w:t>
            </w:r>
          </w:p>
        </w:tc>
        <w:tc>
          <w:tcPr>
            <w:tcW w:w="1954" w:type="dxa"/>
            <w:tcBorders>
              <w:bottom w:val="single" w:sz="4" w:space="0" w:color="auto"/>
            </w:tcBorders>
            <w:noWrap/>
          </w:tcPr>
          <w:p w:rsidR="006F29B5" w:rsidRPr="00BB4DBC" w:rsidRDefault="006F29B5" w:rsidP="006F29B5">
            <w:pPr>
              <w:pStyle w:val="Tabletext"/>
              <w:ind w:right="554"/>
              <w:jc w:val="right"/>
              <w:rPr>
                <w:sz w:val="20"/>
                <w:lang w:eastAsia="zh-CN"/>
              </w:rPr>
            </w:pPr>
            <w:r w:rsidRPr="00BB4DBC">
              <w:rPr>
                <w:sz w:val="20"/>
                <w:lang w:eastAsia="zh-CN"/>
              </w:rPr>
              <w:t xml:space="preserve">334 </w:t>
            </w:r>
            <w:r>
              <w:rPr>
                <w:sz w:val="20"/>
                <w:lang w:eastAsia="zh-CN"/>
              </w:rPr>
              <w:t>½</w:t>
            </w:r>
          </w:p>
        </w:tc>
        <w:tc>
          <w:tcPr>
            <w:tcW w:w="1711" w:type="dxa"/>
            <w:tcBorders>
              <w:bottom w:val="single" w:sz="4" w:space="0" w:color="auto"/>
            </w:tcBorders>
            <w:noWrap/>
          </w:tcPr>
          <w:p w:rsidR="006F29B5" w:rsidRPr="00BB4DBC" w:rsidRDefault="006F29B5" w:rsidP="006F29B5">
            <w:pPr>
              <w:pStyle w:val="Tabletext"/>
              <w:ind w:right="554"/>
              <w:jc w:val="right"/>
              <w:rPr>
                <w:sz w:val="20"/>
                <w:lang w:eastAsia="zh-CN"/>
              </w:rPr>
            </w:pPr>
            <w:r w:rsidRPr="00BB4DBC">
              <w:rPr>
                <w:sz w:val="20"/>
                <w:lang w:eastAsia="zh-CN"/>
              </w:rPr>
              <w:t>318</w:t>
            </w:r>
          </w:p>
        </w:tc>
        <w:tc>
          <w:tcPr>
            <w:tcW w:w="1665" w:type="dxa"/>
            <w:tcBorders>
              <w:bottom w:val="single" w:sz="4" w:space="0" w:color="auto"/>
            </w:tcBorders>
            <w:noWrap/>
          </w:tcPr>
          <w:p w:rsidR="006F29B5" w:rsidRPr="00BB4DBC" w:rsidRDefault="006F29B5" w:rsidP="006F29B5">
            <w:pPr>
              <w:pStyle w:val="Tabletext"/>
              <w:ind w:right="317"/>
              <w:jc w:val="right"/>
              <w:rPr>
                <w:sz w:val="20"/>
                <w:lang w:eastAsia="zh-CN"/>
              </w:rPr>
            </w:pPr>
            <w:r w:rsidRPr="00BB4DBC">
              <w:rPr>
                <w:sz w:val="20"/>
                <w:lang w:eastAsia="zh-CN"/>
              </w:rPr>
              <w:t>106,371</w:t>
            </w:r>
          </w:p>
        </w:tc>
        <w:tc>
          <w:tcPr>
            <w:tcW w:w="1683" w:type="dxa"/>
            <w:tcBorders>
              <w:bottom w:val="single" w:sz="4" w:space="0" w:color="auto"/>
            </w:tcBorders>
          </w:tcPr>
          <w:p w:rsidR="006F29B5" w:rsidRPr="00BB4DBC" w:rsidRDefault="006F29B5" w:rsidP="006F29B5">
            <w:pPr>
              <w:pStyle w:val="Tabletext"/>
              <w:ind w:right="317"/>
              <w:jc w:val="right"/>
              <w:rPr>
                <w:sz w:val="20"/>
                <w:lang w:eastAsia="zh-CN"/>
              </w:rPr>
            </w:pPr>
            <w:r w:rsidRPr="00BB4DBC">
              <w:rPr>
                <w:sz w:val="20"/>
                <w:lang w:eastAsia="zh-CN"/>
              </w:rPr>
              <w:t>106,292</w:t>
            </w:r>
          </w:p>
        </w:tc>
      </w:tr>
      <w:tr w:rsidR="006F29B5" w:rsidRPr="00486B4E" w:rsidTr="006F29B5">
        <w:trPr>
          <w:trHeight w:val="300"/>
          <w:jc w:val="center"/>
        </w:trPr>
        <w:tc>
          <w:tcPr>
            <w:tcW w:w="10042" w:type="dxa"/>
            <w:gridSpan w:val="7"/>
            <w:tcBorders>
              <w:left w:val="nil"/>
              <w:bottom w:val="nil"/>
              <w:right w:val="nil"/>
            </w:tcBorders>
            <w:noWrap/>
          </w:tcPr>
          <w:p w:rsidR="006F29B5" w:rsidRPr="005021AA" w:rsidRDefault="006F29B5" w:rsidP="006F29B5">
            <w:pPr>
              <w:pStyle w:val="Tablelegend"/>
              <w:tabs>
                <w:tab w:val="left" w:pos="284"/>
              </w:tabs>
            </w:pPr>
            <w:r w:rsidRPr="005021AA">
              <w:t>*</w:t>
            </w:r>
            <w:r w:rsidRPr="005021AA">
              <w:tab/>
              <w:t>At the time of establishment of the budget.</w:t>
            </w:r>
          </w:p>
          <w:p w:rsidR="006F29B5" w:rsidRPr="005021AA" w:rsidRDefault="006F29B5" w:rsidP="006F29B5">
            <w:pPr>
              <w:pStyle w:val="Tablelegend"/>
              <w:tabs>
                <w:tab w:val="left" w:pos="284"/>
              </w:tabs>
            </w:pPr>
            <w:r w:rsidRPr="005021AA">
              <w:t>**</w:t>
            </w:r>
            <w:r w:rsidRPr="005021AA">
              <w:tab/>
              <w:t>These amounts include invoiced contributions and also unpaid contributions</w:t>
            </w:r>
            <w:r>
              <w:t xml:space="preserve"> at 31 December</w:t>
            </w:r>
            <w:r w:rsidRPr="005021AA">
              <w:t>.</w:t>
            </w:r>
          </w:p>
        </w:tc>
      </w:tr>
    </w:tbl>
    <w:p w:rsidR="006F29B5" w:rsidRPr="00486B4E" w:rsidRDefault="006F29B5" w:rsidP="006F29B5">
      <w:pPr>
        <w:spacing w:before="0" w:line="240" w:lineRule="atLeast"/>
        <w:ind w:left="284"/>
        <w:rPr>
          <w:szCs w:val="24"/>
        </w:rPr>
      </w:pPr>
    </w:p>
    <w:p w:rsidR="006F29B5" w:rsidRDefault="006F29B5" w:rsidP="006F29B5">
      <w:pPr>
        <w:pStyle w:val="headingb0"/>
        <w:rPr>
          <w:rFonts w:asciiTheme="minorHAnsi" w:hAnsiTheme="minorHAnsi"/>
        </w:rPr>
        <w:sectPr w:rsidR="006F29B5" w:rsidSect="006F29B5">
          <w:headerReference w:type="default" r:id="rId10"/>
          <w:footerReference w:type="first" r:id="rId11"/>
          <w:type w:val="continuous"/>
          <w:pgSz w:w="11913" w:h="16834" w:code="9"/>
          <w:pgMar w:top="1081" w:right="1134" w:bottom="794" w:left="1134" w:header="426" w:footer="720" w:gutter="0"/>
          <w:paperSrc w:first="15" w:other="15"/>
          <w:cols w:space="720"/>
          <w:titlePg/>
          <w:docGrid w:linePitch="326"/>
        </w:sectPr>
      </w:pPr>
    </w:p>
    <w:p w:rsidR="006F29B5" w:rsidRDefault="006F29B5" w:rsidP="006F29B5">
      <w:pPr>
        <w:pStyle w:val="headingb0"/>
        <w:rPr>
          <w:rFonts w:asciiTheme="minorHAnsi" w:hAnsiTheme="minorHAnsi"/>
        </w:rPr>
      </w:pPr>
      <w:r w:rsidRPr="00486B4E">
        <w:rPr>
          <w:rFonts w:asciiTheme="minorHAnsi" w:hAnsiTheme="minorHAnsi"/>
        </w:rPr>
        <w:t xml:space="preserve">Contributions by </w:t>
      </w:r>
      <w:r>
        <w:rPr>
          <w:rFonts w:asciiTheme="minorHAnsi" w:hAnsiTheme="minorHAnsi"/>
        </w:rPr>
        <w:t xml:space="preserve">Sector </w:t>
      </w:r>
      <w:r w:rsidRPr="00486B4E">
        <w:rPr>
          <w:rFonts w:asciiTheme="minorHAnsi" w:hAnsiTheme="minorHAnsi"/>
        </w:rPr>
        <w:t>Member</w:t>
      </w:r>
      <w:r>
        <w:rPr>
          <w:rFonts w:asciiTheme="minorHAnsi" w:hAnsiTheme="minorHAnsi"/>
        </w:rPr>
        <w:t>s</w:t>
      </w:r>
      <w:r w:rsidRPr="00486B4E">
        <w:rPr>
          <w:rFonts w:asciiTheme="minorHAnsi" w:hAnsiTheme="minorHAnsi"/>
        </w:rPr>
        <w:t xml:space="preserve"> </w:t>
      </w:r>
    </w:p>
    <w:p w:rsidR="006F29B5" w:rsidRPr="00127487" w:rsidRDefault="006F29B5" w:rsidP="006F29B5">
      <w:pPr>
        <w:spacing w:before="0"/>
      </w:pPr>
    </w:p>
    <w:tbl>
      <w:tblPr>
        <w:tblW w:w="12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145"/>
        <w:gridCol w:w="2172"/>
        <w:gridCol w:w="1862"/>
        <w:gridCol w:w="1322"/>
        <w:gridCol w:w="1418"/>
        <w:gridCol w:w="1276"/>
        <w:gridCol w:w="1197"/>
      </w:tblGrid>
      <w:tr w:rsidR="006F29B5" w:rsidRPr="003927A0" w:rsidTr="006F29B5">
        <w:trPr>
          <w:trHeight w:val="703"/>
          <w:jc w:val="center"/>
        </w:trPr>
        <w:tc>
          <w:tcPr>
            <w:tcW w:w="703" w:type="dxa"/>
            <w:noWrap/>
          </w:tcPr>
          <w:p w:rsidR="006F29B5" w:rsidRPr="00AB5D43" w:rsidRDefault="006F29B5" w:rsidP="006F29B5">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Pr>
                <w:b/>
                <w:bCs/>
                <w:sz w:val="20"/>
                <w:lang w:val="fr-CH" w:eastAsia="zh-CN"/>
              </w:rPr>
              <w:t>Year</w:t>
            </w:r>
          </w:p>
        </w:tc>
        <w:tc>
          <w:tcPr>
            <w:tcW w:w="2145" w:type="dxa"/>
          </w:tcPr>
          <w:p w:rsidR="006F29B5" w:rsidRPr="00AB5D43" w:rsidRDefault="006F29B5" w:rsidP="006F29B5">
            <w:pPr>
              <w:tabs>
                <w:tab w:val="left" w:leader="dot" w:pos="8789"/>
                <w:tab w:val="right" w:pos="9639"/>
              </w:tabs>
              <w:overflowPunct/>
              <w:autoSpaceDE/>
              <w:autoSpaceDN/>
              <w:adjustRightInd/>
              <w:spacing w:before="0"/>
              <w:ind w:left="794" w:hanging="794"/>
              <w:textAlignment w:val="auto"/>
              <w:rPr>
                <w:b/>
                <w:bCs/>
                <w:sz w:val="20"/>
                <w:lang w:val="fr-CH" w:eastAsia="zh-CN"/>
              </w:rPr>
            </w:pPr>
            <w:r w:rsidRPr="00FA5EB2">
              <w:rPr>
                <w:b/>
                <w:bCs/>
                <w:sz w:val="20"/>
                <w:lang w:eastAsia="zh-CN"/>
              </w:rPr>
              <w:t>Radiocommunication Sector</w:t>
            </w:r>
            <w:r w:rsidRPr="00AB5D43">
              <w:rPr>
                <w:b/>
                <w:bCs/>
                <w:sz w:val="20"/>
                <w:lang w:val="fr-CH" w:eastAsia="zh-CN"/>
              </w:rPr>
              <w:t>*</w:t>
            </w:r>
          </w:p>
        </w:tc>
        <w:tc>
          <w:tcPr>
            <w:tcW w:w="2172" w:type="dxa"/>
          </w:tcPr>
          <w:p w:rsidR="006F29B5" w:rsidRPr="00FA5EB2" w:rsidRDefault="006F29B5" w:rsidP="006F29B5">
            <w:pPr>
              <w:overflowPunct/>
              <w:autoSpaceDE/>
              <w:autoSpaceDN/>
              <w:adjustRightInd/>
              <w:spacing w:before="0"/>
              <w:jc w:val="center"/>
              <w:textAlignment w:val="auto"/>
              <w:rPr>
                <w:b/>
                <w:bCs/>
                <w:sz w:val="20"/>
                <w:lang w:val="fr-CH" w:eastAsia="zh-CN"/>
              </w:rPr>
            </w:pPr>
            <w:r w:rsidRPr="00FA5EB2">
              <w:rPr>
                <w:b/>
                <w:bCs/>
                <w:sz w:val="20"/>
                <w:lang w:eastAsia="zh-CN"/>
              </w:rPr>
              <w:t>Telecommunication Standardization Sector</w:t>
            </w:r>
            <w:r w:rsidRPr="00FA5EB2">
              <w:rPr>
                <w:b/>
                <w:bCs/>
                <w:sz w:val="20"/>
                <w:lang w:val="fr-CH" w:eastAsia="zh-CN"/>
              </w:rPr>
              <w:t>*</w:t>
            </w:r>
          </w:p>
        </w:tc>
        <w:tc>
          <w:tcPr>
            <w:tcW w:w="1862" w:type="dxa"/>
          </w:tcPr>
          <w:p w:rsidR="006F29B5" w:rsidRPr="00FA5EB2" w:rsidRDefault="006F29B5" w:rsidP="006F29B5">
            <w:pPr>
              <w:overflowPunct/>
              <w:autoSpaceDE/>
              <w:autoSpaceDN/>
              <w:adjustRightInd/>
              <w:spacing w:before="0"/>
              <w:jc w:val="center"/>
              <w:textAlignment w:val="auto"/>
              <w:rPr>
                <w:b/>
                <w:bCs/>
                <w:sz w:val="20"/>
                <w:lang w:val="fr-CH" w:eastAsia="zh-CN"/>
              </w:rPr>
            </w:pPr>
            <w:r w:rsidRPr="00FA5EB2">
              <w:rPr>
                <w:b/>
                <w:bCs/>
                <w:sz w:val="20"/>
                <w:lang w:eastAsia="zh-CN"/>
              </w:rPr>
              <w:t>Telecommunication Development Sector</w:t>
            </w:r>
            <w:r w:rsidRPr="00FA5EB2">
              <w:rPr>
                <w:b/>
                <w:bCs/>
                <w:sz w:val="20"/>
                <w:lang w:val="fr-CH" w:eastAsia="zh-CN"/>
              </w:rPr>
              <w:t>*</w:t>
            </w:r>
          </w:p>
        </w:tc>
        <w:tc>
          <w:tcPr>
            <w:tcW w:w="1322" w:type="dxa"/>
          </w:tcPr>
          <w:p w:rsidR="006F29B5" w:rsidRPr="00FA5EB2" w:rsidRDefault="006F29B5" w:rsidP="006F29B5">
            <w:pPr>
              <w:overflowPunct/>
              <w:autoSpaceDE/>
              <w:autoSpaceDN/>
              <w:adjustRightInd/>
              <w:spacing w:before="0"/>
              <w:jc w:val="center"/>
              <w:textAlignment w:val="auto"/>
              <w:rPr>
                <w:b/>
                <w:bCs/>
                <w:sz w:val="20"/>
                <w:lang w:eastAsia="zh-CN"/>
              </w:rPr>
            </w:pPr>
            <w:r>
              <w:rPr>
                <w:b/>
                <w:bCs/>
                <w:sz w:val="20"/>
                <w:lang w:eastAsia="zh-CN"/>
              </w:rPr>
              <w:t>Total</w:t>
            </w:r>
            <w:r w:rsidRPr="00FA5EB2">
              <w:rPr>
                <w:b/>
                <w:bCs/>
                <w:sz w:val="20"/>
                <w:lang w:eastAsia="zh-CN"/>
              </w:rPr>
              <w:t xml:space="preserve"> units*</w:t>
            </w:r>
          </w:p>
        </w:tc>
        <w:tc>
          <w:tcPr>
            <w:tcW w:w="1418" w:type="dxa"/>
          </w:tcPr>
          <w:p w:rsidR="006F29B5" w:rsidRPr="00FA5EB2" w:rsidRDefault="006F29B5" w:rsidP="006F29B5">
            <w:pPr>
              <w:pStyle w:val="Tabletext"/>
              <w:jc w:val="center"/>
              <w:rPr>
                <w:b/>
                <w:bCs/>
                <w:sz w:val="20"/>
                <w:lang w:eastAsia="zh-CN"/>
              </w:rPr>
            </w:pPr>
            <w:r w:rsidRPr="00FA5EB2">
              <w:rPr>
                <w:b/>
                <w:bCs/>
                <w:sz w:val="20"/>
                <w:lang w:eastAsia="zh-CN"/>
              </w:rPr>
              <w:t>Amount of contributory unit</w:t>
            </w:r>
          </w:p>
        </w:tc>
        <w:tc>
          <w:tcPr>
            <w:tcW w:w="1276" w:type="dxa"/>
          </w:tcPr>
          <w:p w:rsidR="006F29B5" w:rsidRPr="00FA5EB2" w:rsidRDefault="006F29B5" w:rsidP="006F29B5">
            <w:pPr>
              <w:overflowPunct/>
              <w:autoSpaceDE/>
              <w:autoSpaceDN/>
              <w:adjustRightInd/>
              <w:spacing w:before="0"/>
              <w:jc w:val="center"/>
              <w:textAlignment w:val="auto"/>
              <w:rPr>
                <w:b/>
                <w:bCs/>
                <w:sz w:val="20"/>
                <w:lang w:val="en-US" w:eastAsia="zh-CN"/>
              </w:rPr>
            </w:pPr>
            <w:r>
              <w:rPr>
                <w:b/>
                <w:bCs/>
                <w:sz w:val="20"/>
                <w:lang w:eastAsia="zh-CN"/>
              </w:rPr>
              <w:t>Revenue</w:t>
            </w:r>
            <w:r w:rsidRPr="00FA5EB2">
              <w:rPr>
                <w:b/>
                <w:bCs/>
                <w:sz w:val="20"/>
                <w:lang w:eastAsia="zh-CN"/>
              </w:rPr>
              <w:t xml:space="preserve"> entered in the budget</w:t>
            </w:r>
          </w:p>
        </w:tc>
        <w:tc>
          <w:tcPr>
            <w:tcW w:w="1197" w:type="dxa"/>
          </w:tcPr>
          <w:p w:rsidR="006F29B5" w:rsidRPr="00FA5EB2" w:rsidRDefault="006F29B5" w:rsidP="006F29B5">
            <w:pPr>
              <w:pStyle w:val="Tabletext"/>
              <w:jc w:val="center"/>
              <w:rPr>
                <w:b/>
                <w:bCs/>
                <w:sz w:val="20"/>
                <w:lang w:eastAsia="zh-CN"/>
              </w:rPr>
            </w:pPr>
            <w:r>
              <w:rPr>
                <w:b/>
                <w:bCs/>
                <w:sz w:val="20"/>
                <w:lang w:eastAsia="zh-CN"/>
              </w:rPr>
              <w:t>Revenue</w:t>
            </w:r>
            <w:r w:rsidRPr="00FA5EB2">
              <w:rPr>
                <w:b/>
                <w:bCs/>
                <w:sz w:val="20"/>
                <w:lang w:eastAsia="zh-CN"/>
              </w:rPr>
              <w:t xml:space="preserve"> posted to account**</w:t>
            </w:r>
          </w:p>
        </w:tc>
      </w:tr>
      <w:tr w:rsidR="006F29B5" w:rsidRPr="003927A0" w:rsidTr="006F29B5">
        <w:trPr>
          <w:trHeight w:val="300"/>
          <w:jc w:val="center"/>
        </w:trPr>
        <w:tc>
          <w:tcPr>
            <w:tcW w:w="703" w:type="dxa"/>
            <w:noWrap/>
          </w:tcPr>
          <w:p w:rsidR="006F29B5" w:rsidRPr="003927A0" w:rsidRDefault="006F29B5" w:rsidP="006F29B5">
            <w:pPr>
              <w:overflowPunct/>
              <w:autoSpaceDE/>
              <w:autoSpaceDN/>
              <w:adjustRightInd/>
              <w:spacing w:before="0"/>
              <w:textAlignment w:val="auto"/>
              <w:rPr>
                <w:sz w:val="20"/>
                <w:lang w:val="en-US" w:eastAsia="zh-CN"/>
              </w:rPr>
            </w:pPr>
          </w:p>
        </w:tc>
        <w:tc>
          <w:tcPr>
            <w:tcW w:w="2145"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Units</w:t>
            </w:r>
          </w:p>
        </w:tc>
        <w:tc>
          <w:tcPr>
            <w:tcW w:w="2172" w:type="dxa"/>
            <w:noWrap/>
          </w:tcPr>
          <w:p w:rsidR="006F29B5" w:rsidRPr="003927A0" w:rsidRDefault="006F29B5" w:rsidP="006F29B5">
            <w:pPr>
              <w:overflowPunct/>
              <w:autoSpaceDE/>
              <w:autoSpaceDN/>
              <w:adjustRightInd/>
              <w:spacing w:before="0"/>
              <w:jc w:val="center"/>
              <w:textAlignment w:val="auto"/>
              <w:rPr>
                <w:sz w:val="20"/>
                <w:lang w:val="en-US" w:eastAsia="zh-CN"/>
              </w:rPr>
            </w:pPr>
            <w:r w:rsidRPr="003927A0">
              <w:rPr>
                <w:sz w:val="20"/>
                <w:lang w:val="en-US" w:eastAsia="zh-CN"/>
              </w:rPr>
              <w:t>U</w:t>
            </w:r>
            <w:r>
              <w:rPr>
                <w:sz w:val="20"/>
                <w:lang w:val="en-US" w:eastAsia="zh-CN"/>
              </w:rPr>
              <w:t>nit</w:t>
            </w:r>
            <w:r w:rsidRPr="003927A0">
              <w:rPr>
                <w:sz w:val="20"/>
                <w:lang w:val="en-US" w:eastAsia="zh-CN"/>
              </w:rPr>
              <w:t>s</w:t>
            </w:r>
          </w:p>
        </w:tc>
        <w:tc>
          <w:tcPr>
            <w:tcW w:w="1862" w:type="dxa"/>
            <w:noWrap/>
          </w:tcPr>
          <w:p w:rsidR="006F29B5" w:rsidRPr="003927A0" w:rsidRDefault="006F29B5" w:rsidP="006F29B5">
            <w:pPr>
              <w:tabs>
                <w:tab w:val="left" w:pos="936"/>
              </w:tabs>
              <w:overflowPunct/>
              <w:autoSpaceDE/>
              <w:autoSpaceDN/>
              <w:adjustRightInd/>
              <w:spacing w:before="0"/>
              <w:jc w:val="center"/>
              <w:textAlignment w:val="auto"/>
              <w:rPr>
                <w:sz w:val="20"/>
                <w:lang w:val="en-US" w:eastAsia="zh-CN"/>
              </w:rPr>
            </w:pPr>
            <w:r>
              <w:rPr>
                <w:sz w:val="20"/>
                <w:lang w:val="en-US" w:eastAsia="zh-CN"/>
              </w:rPr>
              <w:t>Unit</w:t>
            </w:r>
            <w:r w:rsidRPr="003927A0">
              <w:rPr>
                <w:sz w:val="20"/>
                <w:lang w:val="en-US" w:eastAsia="zh-CN"/>
              </w:rPr>
              <w:t>s</w:t>
            </w:r>
          </w:p>
        </w:tc>
        <w:tc>
          <w:tcPr>
            <w:tcW w:w="1322" w:type="dxa"/>
            <w:noWrap/>
          </w:tcPr>
          <w:p w:rsidR="006F29B5" w:rsidRPr="003927A0" w:rsidRDefault="006F29B5" w:rsidP="006F29B5">
            <w:pPr>
              <w:overflowPunct/>
              <w:autoSpaceDE/>
              <w:autoSpaceDN/>
              <w:adjustRightInd/>
              <w:spacing w:before="0"/>
              <w:textAlignment w:val="auto"/>
              <w:rPr>
                <w:sz w:val="20"/>
                <w:lang w:val="en-US" w:eastAsia="zh-CN"/>
              </w:rPr>
            </w:pPr>
          </w:p>
        </w:tc>
        <w:tc>
          <w:tcPr>
            <w:tcW w:w="1418"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c>
          <w:tcPr>
            <w:tcW w:w="1276"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c>
          <w:tcPr>
            <w:tcW w:w="1197"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r>
      <w:tr w:rsidR="006F29B5" w:rsidRPr="003927A0" w:rsidTr="006F29B5">
        <w:trPr>
          <w:trHeight w:val="300"/>
          <w:jc w:val="center"/>
        </w:trPr>
        <w:tc>
          <w:tcPr>
            <w:tcW w:w="703" w:type="dxa"/>
            <w:noWrap/>
            <w:vAlign w:val="center"/>
          </w:tcPr>
          <w:p w:rsidR="006F29B5" w:rsidRPr="00CC40AA" w:rsidRDefault="006F29B5" w:rsidP="006F29B5">
            <w:pPr>
              <w:tabs>
                <w:tab w:val="left" w:pos="9072"/>
              </w:tabs>
              <w:spacing w:before="0"/>
              <w:rPr>
                <w:b/>
                <w:bCs/>
                <w:sz w:val="20"/>
              </w:rPr>
            </w:pPr>
            <w:r w:rsidRPr="005F0420">
              <w:rPr>
                <w:b/>
                <w:bCs/>
                <w:sz w:val="20"/>
              </w:rPr>
              <w:t>2014</w:t>
            </w:r>
          </w:p>
        </w:tc>
        <w:tc>
          <w:tcPr>
            <w:tcW w:w="2145"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99  1/16</w:t>
            </w:r>
          </w:p>
        </w:tc>
        <w:tc>
          <w:tcPr>
            <w:tcW w:w="217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114 12/16</w:t>
            </w:r>
          </w:p>
        </w:tc>
        <w:tc>
          <w:tcPr>
            <w:tcW w:w="186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25  3/16</w:t>
            </w:r>
          </w:p>
        </w:tc>
        <w:tc>
          <w:tcPr>
            <w:tcW w:w="132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 xml:space="preserve">239      </w:t>
            </w:r>
          </w:p>
        </w:tc>
        <w:tc>
          <w:tcPr>
            <w:tcW w:w="1418"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63.6</w:t>
            </w:r>
          </w:p>
        </w:tc>
        <w:tc>
          <w:tcPr>
            <w:tcW w:w="1276"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15,200</w:t>
            </w:r>
          </w:p>
        </w:tc>
        <w:tc>
          <w:tcPr>
            <w:tcW w:w="1197" w:type="dxa"/>
            <w:noWrap/>
          </w:tcPr>
          <w:p w:rsidR="006F29B5" w:rsidRPr="005F0420" w:rsidRDefault="006F29B5" w:rsidP="006F29B5">
            <w:pPr>
              <w:overflowPunct/>
              <w:autoSpaceDE/>
              <w:autoSpaceDN/>
              <w:adjustRightInd/>
              <w:spacing w:before="0"/>
              <w:jc w:val="right"/>
              <w:textAlignment w:val="auto"/>
              <w:rPr>
                <w:sz w:val="20"/>
                <w:highlight w:val="yellow"/>
                <w:lang w:val="en-US" w:eastAsia="zh-CN"/>
              </w:rPr>
            </w:pPr>
            <w:r w:rsidRPr="009065F5">
              <w:rPr>
                <w:sz w:val="20"/>
                <w:lang w:val="en-US" w:eastAsia="zh-CN"/>
              </w:rPr>
              <w:t>15,072</w:t>
            </w:r>
          </w:p>
        </w:tc>
      </w:tr>
      <w:tr w:rsidR="006F29B5" w:rsidRPr="003927A0" w:rsidTr="006F29B5">
        <w:trPr>
          <w:trHeight w:val="300"/>
          <w:jc w:val="center"/>
        </w:trPr>
        <w:tc>
          <w:tcPr>
            <w:tcW w:w="703" w:type="dxa"/>
            <w:noWrap/>
            <w:vAlign w:val="center"/>
          </w:tcPr>
          <w:p w:rsidR="006F29B5" w:rsidRPr="00CC40AA" w:rsidRDefault="006F29B5" w:rsidP="006F29B5">
            <w:pPr>
              <w:tabs>
                <w:tab w:val="left" w:pos="9072"/>
              </w:tabs>
              <w:spacing w:before="0"/>
              <w:rPr>
                <w:b/>
                <w:bCs/>
                <w:sz w:val="20"/>
              </w:rPr>
            </w:pPr>
            <w:r w:rsidRPr="005F0420">
              <w:rPr>
                <w:b/>
                <w:bCs/>
                <w:sz w:val="20"/>
              </w:rPr>
              <w:t>2015</w:t>
            </w:r>
          </w:p>
        </w:tc>
        <w:tc>
          <w:tcPr>
            <w:tcW w:w="2145"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99  1/16</w:t>
            </w:r>
          </w:p>
        </w:tc>
        <w:tc>
          <w:tcPr>
            <w:tcW w:w="217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114 12/16</w:t>
            </w:r>
          </w:p>
        </w:tc>
        <w:tc>
          <w:tcPr>
            <w:tcW w:w="186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25  3/16</w:t>
            </w:r>
          </w:p>
        </w:tc>
        <w:tc>
          <w:tcPr>
            <w:tcW w:w="132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 xml:space="preserve">239      </w:t>
            </w:r>
          </w:p>
        </w:tc>
        <w:tc>
          <w:tcPr>
            <w:tcW w:w="1418"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63.6</w:t>
            </w:r>
          </w:p>
        </w:tc>
        <w:tc>
          <w:tcPr>
            <w:tcW w:w="1276"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15,200</w:t>
            </w:r>
          </w:p>
        </w:tc>
        <w:tc>
          <w:tcPr>
            <w:tcW w:w="1197" w:type="dxa"/>
            <w:noWrap/>
          </w:tcPr>
          <w:p w:rsidR="006F29B5" w:rsidRPr="005F0420" w:rsidRDefault="006F29B5" w:rsidP="006F29B5">
            <w:pPr>
              <w:overflowPunct/>
              <w:autoSpaceDE/>
              <w:autoSpaceDN/>
              <w:adjustRightInd/>
              <w:spacing w:before="0"/>
              <w:jc w:val="right"/>
              <w:textAlignment w:val="auto"/>
              <w:rPr>
                <w:sz w:val="20"/>
                <w:highlight w:val="yellow"/>
                <w:lang w:val="en-US" w:eastAsia="zh-CN"/>
              </w:rPr>
            </w:pPr>
            <w:r w:rsidRPr="009065F5">
              <w:rPr>
                <w:sz w:val="20"/>
                <w:lang w:val="en-US" w:eastAsia="zh-CN"/>
              </w:rPr>
              <w:t>14,872</w:t>
            </w:r>
          </w:p>
        </w:tc>
      </w:tr>
      <w:tr w:rsidR="006F29B5" w:rsidRPr="003927A0" w:rsidTr="006F29B5">
        <w:trPr>
          <w:trHeight w:val="300"/>
          <w:jc w:val="center"/>
        </w:trPr>
        <w:tc>
          <w:tcPr>
            <w:tcW w:w="703" w:type="dxa"/>
            <w:noWrap/>
            <w:vAlign w:val="center"/>
          </w:tcPr>
          <w:p w:rsidR="006F29B5" w:rsidRPr="00CC40AA" w:rsidRDefault="006F29B5" w:rsidP="006F29B5">
            <w:pPr>
              <w:tabs>
                <w:tab w:val="left" w:pos="9072"/>
              </w:tabs>
              <w:spacing w:before="0"/>
              <w:rPr>
                <w:b/>
                <w:bCs/>
                <w:sz w:val="20"/>
              </w:rPr>
            </w:pPr>
            <w:r w:rsidRPr="005F0420">
              <w:rPr>
                <w:b/>
                <w:bCs/>
                <w:sz w:val="20"/>
              </w:rPr>
              <w:t>2016</w:t>
            </w:r>
          </w:p>
        </w:tc>
        <w:tc>
          <w:tcPr>
            <w:tcW w:w="2145"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103  7/16</w:t>
            </w:r>
          </w:p>
        </w:tc>
        <w:tc>
          <w:tcPr>
            <w:tcW w:w="217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119 13/16</w:t>
            </w:r>
          </w:p>
        </w:tc>
        <w:tc>
          <w:tcPr>
            <w:tcW w:w="186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26  5/16</w:t>
            </w:r>
          </w:p>
        </w:tc>
        <w:tc>
          <w:tcPr>
            <w:tcW w:w="1322"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249 10/16</w:t>
            </w:r>
          </w:p>
        </w:tc>
        <w:tc>
          <w:tcPr>
            <w:tcW w:w="1418"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63.6</w:t>
            </w:r>
          </w:p>
        </w:tc>
        <w:tc>
          <w:tcPr>
            <w:tcW w:w="1276" w:type="dxa"/>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15,875</w:t>
            </w:r>
          </w:p>
        </w:tc>
        <w:tc>
          <w:tcPr>
            <w:tcW w:w="1197" w:type="dxa"/>
            <w:noWrap/>
          </w:tcPr>
          <w:p w:rsidR="006F29B5" w:rsidRPr="005F0420" w:rsidRDefault="006F29B5" w:rsidP="006F29B5">
            <w:pPr>
              <w:overflowPunct/>
              <w:autoSpaceDE/>
              <w:autoSpaceDN/>
              <w:adjustRightInd/>
              <w:spacing w:before="0"/>
              <w:jc w:val="right"/>
              <w:textAlignment w:val="auto"/>
              <w:rPr>
                <w:sz w:val="20"/>
                <w:highlight w:val="yellow"/>
                <w:lang w:val="en-US" w:eastAsia="zh-CN"/>
              </w:rPr>
            </w:pPr>
            <w:r w:rsidRPr="009065F5">
              <w:rPr>
                <w:sz w:val="20"/>
                <w:lang w:val="en-US" w:eastAsia="zh-CN"/>
              </w:rPr>
              <w:t>14,710</w:t>
            </w:r>
          </w:p>
        </w:tc>
      </w:tr>
      <w:tr w:rsidR="006F29B5" w:rsidRPr="003927A0" w:rsidTr="006F29B5">
        <w:trPr>
          <w:trHeight w:val="300"/>
          <w:jc w:val="center"/>
        </w:trPr>
        <w:tc>
          <w:tcPr>
            <w:tcW w:w="703" w:type="dxa"/>
            <w:tcBorders>
              <w:bottom w:val="single" w:sz="4" w:space="0" w:color="auto"/>
            </w:tcBorders>
            <w:noWrap/>
            <w:vAlign w:val="center"/>
          </w:tcPr>
          <w:p w:rsidR="006F29B5" w:rsidRPr="00CC40AA" w:rsidRDefault="006F29B5" w:rsidP="006F29B5">
            <w:pPr>
              <w:tabs>
                <w:tab w:val="left" w:pos="9072"/>
              </w:tabs>
              <w:spacing w:before="0"/>
              <w:rPr>
                <w:b/>
                <w:bCs/>
                <w:sz w:val="20"/>
              </w:rPr>
            </w:pPr>
            <w:r w:rsidRPr="005F0420">
              <w:rPr>
                <w:b/>
                <w:bCs/>
                <w:sz w:val="20"/>
              </w:rPr>
              <w:t>2017</w:t>
            </w:r>
          </w:p>
        </w:tc>
        <w:tc>
          <w:tcPr>
            <w:tcW w:w="2145" w:type="dxa"/>
            <w:tcBorders>
              <w:bottom w:val="single" w:sz="4" w:space="0" w:color="auto"/>
            </w:tcBorders>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103  7/16</w:t>
            </w:r>
          </w:p>
        </w:tc>
        <w:tc>
          <w:tcPr>
            <w:tcW w:w="2172" w:type="dxa"/>
            <w:tcBorders>
              <w:bottom w:val="single" w:sz="4" w:space="0" w:color="auto"/>
            </w:tcBorders>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119 13/16</w:t>
            </w:r>
          </w:p>
        </w:tc>
        <w:tc>
          <w:tcPr>
            <w:tcW w:w="1862" w:type="dxa"/>
            <w:tcBorders>
              <w:bottom w:val="single" w:sz="4" w:space="0" w:color="auto"/>
            </w:tcBorders>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26  5/16</w:t>
            </w:r>
          </w:p>
        </w:tc>
        <w:tc>
          <w:tcPr>
            <w:tcW w:w="1322" w:type="dxa"/>
            <w:tcBorders>
              <w:bottom w:val="single" w:sz="4" w:space="0" w:color="auto"/>
            </w:tcBorders>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249 10/16</w:t>
            </w:r>
          </w:p>
        </w:tc>
        <w:tc>
          <w:tcPr>
            <w:tcW w:w="1418" w:type="dxa"/>
            <w:tcBorders>
              <w:bottom w:val="single" w:sz="4" w:space="0" w:color="auto"/>
            </w:tcBorders>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63.6</w:t>
            </w:r>
          </w:p>
        </w:tc>
        <w:tc>
          <w:tcPr>
            <w:tcW w:w="1276" w:type="dxa"/>
            <w:tcBorders>
              <w:bottom w:val="single" w:sz="4" w:space="0" w:color="auto"/>
            </w:tcBorders>
            <w:noWrap/>
          </w:tcPr>
          <w:p w:rsidR="006F29B5" w:rsidRPr="005F0420" w:rsidRDefault="006F29B5" w:rsidP="006F29B5">
            <w:pPr>
              <w:overflowPunct/>
              <w:autoSpaceDE/>
              <w:autoSpaceDN/>
              <w:adjustRightInd/>
              <w:spacing w:before="0"/>
              <w:jc w:val="right"/>
              <w:textAlignment w:val="auto"/>
              <w:rPr>
                <w:sz w:val="20"/>
                <w:lang w:val="en-US" w:eastAsia="zh-CN"/>
              </w:rPr>
            </w:pPr>
            <w:r w:rsidRPr="005F0420">
              <w:rPr>
                <w:sz w:val="20"/>
                <w:lang w:val="en-US" w:eastAsia="zh-CN"/>
              </w:rPr>
              <w:t>15,875</w:t>
            </w:r>
          </w:p>
        </w:tc>
        <w:tc>
          <w:tcPr>
            <w:tcW w:w="1197" w:type="dxa"/>
            <w:tcBorders>
              <w:bottom w:val="single" w:sz="4" w:space="0" w:color="auto"/>
            </w:tcBorders>
            <w:noWrap/>
          </w:tcPr>
          <w:p w:rsidR="006F29B5" w:rsidRPr="005F0420" w:rsidRDefault="006F29B5" w:rsidP="006F29B5">
            <w:pPr>
              <w:overflowPunct/>
              <w:autoSpaceDE/>
              <w:autoSpaceDN/>
              <w:adjustRightInd/>
              <w:spacing w:before="0"/>
              <w:jc w:val="right"/>
              <w:textAlignment w:val="auto"/>
              <w:rPr>
                <w:sz w:val="20"/>
                <w:highlight w:val="yellow"/>
                <w:lang w:val="en-US" w:eastAsia="zh-CN"/>
              </w:rPr>
            </w:pPr>
            <w:r w:rsidRPr="009065F5">
              <w:rPr>
                <w:sz w:val="20"/>
                <w:lang w:val="en-US" w:eastAsia="zh-CN"/>
              </w:rPr>
              <w:t>14,210</w:t>
            </w:r>
          </w:p>
        </w:tc>
      </w:tr>
      <w:tr w:rsidR="006F29B5" w:rsidRPr="003927A0" w:rsidTr="006F29B5">
        <w:trPr>
          <w:trHeight w:val="300"/>
          <w:jc w:val="center"/>
        </w:trPr>
        <w:tc>
          <w:tcPr>
            <w:tcW w:w="12095" w:type="dxa"/>
            <w:gridSpan w:val="8"/>
            <w:tcBorders>
              <w:left w:val="nil"/>
              <w:bottom w:val="nil"/>
              <w:right w:val="nil"/>
            </w:tcBorders>
            <w:noWrap/>
          </w:tcPr>
          <w:p w:rsidR="006F29B5" w:rsidRPr="00B56EEA" w:rsidRDefault="006F29B5" w:rsidP="006F29B5">
            <w:pPr>
              <w:pStyle w:val="Tablelegend"/>
              <w:tabs>
                <w:tab w:val="left" w:pos="284"/>
              </w:tabs>
              <w:rPr>
                <w:sz w:val="20"/>
              </w:rPr>
            </w:pPr>
            <w:r w:rsidRPr="00B56EEA">
              <w:rPr>
                <w:sz w:val="20"/>
              </w:rPr>
              <w:t>*</w:t>
            </w:r>
            <w:r w:rsidRPr="00B56EEA">
              <w:rPr>
                <w:sz w:val="20"/>
              </w:rPr>
              <w:tab/>
              <w:t>At the time of establishment of the budget.</w:t>
            </w:r>
          </w:p>
          <w:p w:rsidR="006F29B5" w:rsidRPr="005021AA" w:rsidRDefault="006F29B5" w:rsidP="006F29B5">
            <w:pPr>
              <w:pStyle w:val="Tablelegend"/>
              <w:tabs>
                <w:tab w:val="left" w:pos="284"/>
              </w:tabs>
              <w:spacing w:after="120"/>
            </w:pPr>
            <w:r w:rsidRPr="00B56EEA">
              <w:rPr>
                <w:sz w:val="20"/>
              </w:rPr>
              <w:t>**</w:t>
            </w:r>
            <w:r w:rsidRPr="00B56EEA">
              <w:rPr>
                <w:sz w:val="20"/>
              </w:rPr>
              <w:tab/>
              <w:t>These amounts include invoiced contributions and also unpaid contributions at 31 December.</w:t>
            </w:r>
          </w:p>
        </w:tc>
      </w:tr>
    </w:tbl>
    <w:p w:rsidR="006F29B5" w:rsidRDefault="006F29B5" w:rsidP="006F29B5">
      <w:pPr>
        <w:pStyle w:val="headingb0"/>
        <w:spacing w:before="360"/>
        <w:rPr>
          <w:rFonts w:asciiTheme="minorHAnsi" w:hAnsiTheme="minorHAnsi"/>
        </w:rPr>
      </w:pPr>
      <w:r w:rsidRPr="00486B4E">
        <w:rPr>
          <w:rFonts w:asciiTheme="minorHAnsi" w:hAnsiTheme="minorHAnsi"/>
        </w:rPr>
        <w:t xml:space="preserve">Contributions by </w:t>
      </w:r>
      <w:r>
        <w:rPr>
          <w:rFonts w:asciiTheme="minorHAnsi" w:hAnsiTheme="minorHAnsi"/>
        </w:rPr>
        <w:t>Associates</w:t>
      </w:r>
      <w:r w:rsidRPr="00486B4E">
        <w:rPr>
          <w:rFonts w:asciiTheme="minorHAnsi" w:hAnsiTheme="minorHAnsi"/>
        </w:rPr>
        <w:t xml:space="preserve"> </w:t>
      </w:r>
    </w:p>
    <w:p w:rsidR="006F29B5" w:rsidRPr="00297695" w:rsidRDefault="006F29B5" w:rsidP="006F29B5">
      <w:pPr>
        <w:tabs>
          <w:tab w:val="clear" w:pos="567"/>
          <w:tab w:val="left" w:pos="709"/>
        </w:tabs>
        <w:jc w:val="both"/>
      </w:pPr>
      <w:r>
        <w:t>2.9</w:t>
      </w:r>
      <w:r>
        <w:tab/>
        <w:t>The annual contribution for Associates amounts to CHF 10’600 for Radio communication and Telecommunication Standardization Sectors and CHF 3’975 for Telecommunication Development Sector. The contribution for Associates from Developing countries amounts to CHF 1’987.50.</w:t>
      </w:r>
    </w:p>
    <w:p w:rsidR="006F29B5" w:rsidRPr="00486B4E" w:rsidRDefault="006F29B5" w:rsidP="006F29B5">
      <w:pPr>
        <w:tabs>
          <w:tab w:val="clear" w:pos="567"/>
          <w:tab w:val="clear" w:pos="1134"/>
          <w:tab w:val="clear" w:pos="1701"/>
          <w:tab w:val="clear" w:pos="2268"/>
          <w:tab w:val="clear" w:pos="2835"/>
        </w:tabs>
        <w:overflowPunct/>
        <w:autoSpaceDE/>
        <w:autoSpaceDN/>
        <w:adjustRightInd/>
        <w:spacing w:before="0"/>
        <w:textAlignment w:val="auto"/>
      </w:pPr>
    </w:p>
    <w:tbl>
      <w:tblPr>
        <w:tblW w:w="12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089"/>
        <w:gridCol w:w="2021"/>
        <w:gridCol w:w="1957"/>
        <w:gridCol w:w="1554"/>
        <w:gridCol w:w="1936"/>
        <w:gridCol w:w="1640"/>
      </w:tblGrid>
      <w:tr w:rsidR="006F29B5" w:rsidRPr="003927A0" w:rsidTr="006F29B5">
        <w:trPr>
          <w:trHeight w:val="703"/>
          <w:jc w:val="center"/>
        </w:trPr>
        <w:tc>
          <w:tcPr>
            <w:tcW w:w="897" w:type="dxa"/>
            <w:noWrap/>
          </w:tcPr>
          <w:p w:rsidR="006F29B5" w:rsidRPr="00AB5D43" w:rsidRDefault="006F29B5" w:rsidP="006F29B5">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Pr>
                <w:b/>
                <w:bCs/>
                <w:sz w:val="20"/>
                <w:lang w:val="fr-CH" w:eastAsia="zh-CN"/>
              </w:rPr>
              <w:t>Year</w:t>
            </w:r>
          </w:p>
        </w:tc>
        <w:tc>
          <w:tcPr>
            <w:tcW w:w="2089" w:type="dxa"/>
          </w:tcPr>
          <w:p w:rsidR="006F29B5" w:rsidRPr="00AB5D43" w:rsidRDefault="006F29B5" w:rsidP="006F29B5">
            <w:pPr>
              <w:tabs>
                <w:tab w:val="left" w:leader="dot" w:pos="8789"/>
                <w:tab w:val="right" w:pos="9639"/>
              </w:tabs>
              <w:overflowPunct/>
              <w:autoSpaceDE/>
              <w:autoSpaceDN/>
              <w:adjustRightInd/>
              <w:spacing w:before="0"/>
              <w:ind w:left="794" w:hanging="794"/>
              <w:textAlignment w:val="auto"/>
              <w:rPr>
                <w:b/>
                <w:bCs/>
                <w:sz w:val="20"/>
                <w:lang w:val="fr-CH" w:eastAsia="zh-CN"/>
              </w:rPr>
            </w:pPr>
            <w:r w:rsidRPr="00FA5EB2">
              <w:rPr>
                <w:b/>
                <w:bCs/>
                <w:sz w:val="20"/>
                <w:lang w:eastAsia="zh-CN"/>
              </w:rPr>
              <w:t>Radiocommunication Sector</w:t>
            </w:r>
            <w:r w:rsidRPr="00AB5D43">
              <w:rPr>
                <w:b/>
                <w:bCs/>
                <w:sz w:val="20"/>
                <w:lang w:val="fr-CH" w:eastAsia="zh-CN"/>
              </w:rPr>
              <w:t>*</w:t>
            </w:r>
          </w:p>
        </w:tc>
        <w:tc>
          <w:tcPr>
            <w:tcW w:w="2021" w:type="dxa"/>
          </w:tcPr>
          <w:p w:rsidR="006F29B5" w:rsidRPr="00FA5EB2" w:rsidRDefault="006F29B5" w:rsidP="006F29B5">
            <w:pPr>
              <w:overflowPunct/>
              <w:autoSpaceDE/>
              <w:autoSpaceDN/>
              <w:adjustRightInd/>
              <w:spacing w:before="0"/>
              <w:jc w:val="center"/>
              <w:textAlignment w:val="auto"/>
              <w:rPr>
                <w:b/>
                <w:bCs/>
                <w:sz w:val="20"/>
                <w:lang w:val="fr-CH" w:eastAsia="zh-CN"/>
              </w:rPr>
            </w:pPr>
            <w:r w:rsidRPr="00FA5EB2">
              <w:rPr>
                <w:b/>
                <w:bCs/>
                <w:sz w:val="20"/>
                <w:lang w:eastAsia="zh-CN"/>
              </w:rPr>
              <w:t>Telecommunication Standardization Sector</w:t>
            </w:r>
            <w:r w:rsidRPr="00FA5EB2">
              <w:rPr>
                <w:b/>
                <w:bCs/>
                <w:sz w:val="20"/>
                <w:lang w:val="fr-CH" w:eastAsia="zh-CN"/>
              </w:rPr>
              <w:t>*</w:t>
            </w:r>
          </w:p>
        </w:tc>
        <w:tc>
          <w:tcPr>
            <w:tcW w:w="1957" w:type="dxa"/>
          </w:tcPr>
          <w:p w:rsidR="006F29B5" w:rsidRPr="00FA5EB2" w:rsidRDefault="006F29B5" w:rsidP="006F29B5">
            <w:pPr>
              <w:overflowPunct/>
              <w:autoSpaceDE/>
              <w:autoSpaceDN/>
              <w:adjustRightInd/>
              <w:spacing w:before="0"/>
              <w:jc w:val="center"/>
              <w:textAlignment w:val="auto"/>
              <w:rPr>
                <w:b/>
                <w:bCs/>
                <w:sz w:val="20"/>
                <w:lang w:val="fr-CH" w:eastAsia="zh-CN"/>
              </w:rPr>
            </w:pPr>
            <w:r w:rsidRPr="00FA5EB2">
              <w:rPr>
                <w:b/>
                <w:bCs/>
                <w:sz w:val="20"/>
                <w:lang w:eastAsia="zh-CN"/>
              </w:rPr>
              <w:t>Telecommunication Development Sector</w:t>
            </w:r>
            <w:r w:rsidRPr="00FA5EB2">
              <w:rPr>
                <w:b/>
                <w:bCs/>
                <w:sz w:val="20"/>
                <w:lang w:val="fr-CH" w:eastAsia="zh-CN"/>
              </w:rPr>
              <w:t>*</w:t>
            </w:r>
          </w:p>
        </w:tc>
        <w:tc>
          <w:tcPr>
            <w:tcW w:w="1554" w:type="dxa"/>
          </w:tcPr>
          <w:p w:rsidR="006F29B5" w:rsidRPr="00FA5EB2" w:rsidRDefault="006F29B5" w:rsidP="006F29B5">
            <w:pPr>
              <w:overflowPunct/>
              <w:autoSpaceDE/>
              <w:autoSpaceDN/>
              <w:adjustRightInd/>
              <w:spacing w:before="0"/>
              <w:jc w:val="center"/>
              <w:textAlignment w:val="auto"/>
              <w:rPr>
                <w:b/>
                <w:bCs/>
                <w:sz w:val="20"/>
                <w:lang w:eastAsia="zh-CN"/>
              </w:rPr>
            </w:pPr>
            <w:r>
              <w:rPr>
                <w:b/>
                <w:bCs/>
                <w:sz w:val="20"/>
                <w:lang w:eastAsia="zh-CN"/>
              </w:rPr>
              <w:t>Total</w:t>
            </w:r>
            <w:r w:rsidRPr="00FA5EB2">
              <w:rPr>
                <w:b/>
                <w:bCs/>
                <w:sz w:val="20"/>
                <w:lang w:eastAsia="zh-CN"/>
              </w:rPr>
              <w:t xml:space="preserve"> units*</w:t>
            </w:r>
          </w:p>
        </w:tc>
        <w:tc>
          <w:tcPr>
            <w:tcW w:w="1936" w:type="dxa"/>
          </w:tcPr>
          <w:p w:rsidR="006F29B5" w:rsidRPr="00FA5EB2" w:rsidRDefault="006F29B5" w:rsidP="006F29B5">
            <w:pPr>
              <w:overflowPunct/>
              <w:autoSpaceDE/>
              <w:autoSpaceDN/>
              <w:adjustRightInd/>
              <w:spacing w:before="0"/>
              <w:jc w:val="center"/>
              <w:textAlignment w:val="auto"/>
              <w:rPr>
                <w:b/>
                <w:bCs/>
                <w:sz w:val="20"/>
                <w:lang w:val="en-US" w:eastAsia="zh-CN"/>
              </w:rPr>
            </w:pPr>
            <w:r>
              <w:rPr>
                <w:b/>
                <w:bCs/>
                <w:sz w:val="20"/>
                <w:lang w:eastAsia="zh-CN"/>
              </w:rPr>
              <w:t>Revenue</w:t>
            </w:r>
            <w:r w:rsidRPr="00FA5EB2">
              <w:rPr>
                <w:b/>
                <w:bCs/>
                <w:sz w:val="20"/>
                <w:lang w:eastAsia="zh-CN"/>
              </w:rPr>
              <w:t xml:space="preserve"> entered in the budget</w:t>
            </w:r>
          </w:p>
        </w:tc>
        <w:tc>
          <w:tcPr>
            <w:tcW w:w="1640" w:type="dxa"/>
          </w:tcPr>
          <w:p w:rsidR="006F29B5" w:rsidRPr="00FA5EB2" w:rsidRDefault="006F29B5" w:rsidP="006F29B5">
            <w:pPr>
              <w:pStyle w:val="Tabletext"/>
              <w:jc w:val="center"/>
              <w:rPr>
                <w:b/>
                <w:bCs/>
                <w:sz w:val="20"/>
                <w:lang w:eastAsia="zh-CN"/>
              </w:rPr>
            </w:pPr>
            <w:r>
              <w:rPr>
                <w:b/>
                <w:bCs/>
                <w:sz w:val="20"/>
                <w:lang w:eastAsia="zh-CN"/>
              </w:rPr>
              <w:t>Revenue</w:t>
            </w:r>
            <w:r w:rsidRPr="00FA5EB2">
              <w:rPr>
                <w:b/>
                <w:bCs/>
                <w:sz w:val="20"/>
                <w:lang w:eastAsia="zh-CN"/>
              </w:rPr>
              <w:t xml:space="preserve"> posted to account**</w:t>
            </w:r>
          </w:p>
        </w:tc>
      </w:tr>
      <w:tr w:rsidR="006F29B5" w:rsidRPr="003927A0" w:rsidTr="006F29B5">
        <w:trPr>
          <w:trHeight w:val="300"/>
          <w:jc w:val="center"/>
        </w:trPr>
        <w:tc>
          <w:tcPr>
            <w:tcW w:w="897" w:type="dxa"/>
            <w:noWrap/>
          </w:tcPr>
          <w:p w:rsidR="006F29B5" w:rsidRPr="003927A0" w:rsidRDefault="006F29B5" w:rsidP="006F29B5">
            <w:pPr>
              <w:overflowPunct/>
              <w:autoSpaceDE/>
              <w:autoSpaceDN/>
              <w:adjustRightInd/>
              <w:spacing w:before="0"/>
              <w:textAlignment w:val="auto"/>
              <w:rPr>
                <w:sz w:val="20"/>
                <w:lang w:val="en-US" w:eastAsia="zh-CN"/>
              </w:rPr>
            </w:pPr>
          </w:p>
        </w:tc>
        <w:tc>
          <w:tcPr>
            <w:tcW w:w="2089"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Units</w:t>
            </w:r>
          </w:p>
        </w:tc>
        <w:tc>
          <w:tcPr>
            <w:tcW w:w="2021" w:type="dxa"/>
            <w:noWrap/>
          </w:tcPr>
          <w:p w:rsidR="006F29B5" w:rsidRPr="003927A0" w:rsidRDefault="006F29B5" w:rsidP="006F29B5">
            <w:pPr>
              <w:overflowPunct/>
              <w:autoSpaceDE/>
              <w:autoSpaceDN/>
              <w:adjustRightInd/>
              <w:spacing w:before="0"/>
              <w:jc w:val="center"/>
              <w:textAlignment w:val="auto"/>
              <w:rPr>
                <w:sz w:val="20"/>
                <w:lang w:val="en-US" w:eastAsia="zh-CN"/>
              </w:rPr>
            </w:pPr>
            <w:r w:rsidRPr="003927A0">
              <w:rPr>
                <w:sz w:val="20"/>
                <w:lang w:val="en-US" w:eastAsia="zh-CN"/>
              </w:rPr>
              <w:t>U</w:t>
            </w:r>
            <w:r>
              <w:rPr>
                <w:sz w:val="20"/>
                <w:lang w:val="en-US" w:eastAsia="zh-CN"/>
              </w:rPr>
              <w:t>nit</w:t>
            </w:r>
            <w:r w:rsidRPr="003927A0">
              <w:rPr>
                <w:sz w:val="20"/>
                <w:lang w:val="en-US" w:eastAsia="zh-CN"/>
              </w:rPr>
              <w:t>s</w:t>
            </w:r>
          </w:p>
        </w:tc>
        <w:tc>
          <w:tcPr>
            <w:tcW w:w="1957" w:type="dxa"/>
            <w:noWrap/>
          </w:tcPr>
          <w:p w:rsidR="006F29B5" w:rsidRPr="003927A0" w:rsidRDefault="006F29B5" w:rsidP="006F29B5">
            <w:pPr>
              <w:tabs>
                <w:tab w:val="left" w:pos="936"/>
              </w:tabs>
              <w:overflowPunct/>
              <w:autoSpaceDE/>
              <w:autoSpaceDN/>
              <w:adjustRightInd/>
              <w:spacing w:before="0"/>
              <w:jc w:val="center"/>
              <w:textAlignment w:val="auto"/>
              <w:rPr>
                <w:sz w:val="20"/>
                <w:lang w:val="en-US" w:eastAsia="zh-CN"/>
              </w:rPr>
            </w:pPr>
            <w:r>
              <w:rPr>
                <w:sz w:val="20"/>
                <w:lang w:val="en-US" w:eastAsia="zh-CN"/>
              </w:rPr>
              <w:t>Unit</w:t>
            </w:r>
            <w:r w:rsidRPr="003927A0">
              <w:rPr>
                <w:sz w:val="20"/>
                <w:lang w:val="en-US" w:eastAsia="zh-CN"/>
              </w:rPr>
              <w:t>s</w:t>
            </w:r>
          </w:p>
        </w:tc>
        <w:tc>
          <w:tcPr>
            <w:tcW w:w="1554" w:type="dxa"/>
            <w:noWrap/>
          </w:tcPr>
          <w:p w:rsidR="006F29B5" w:rsidRPr="003927A0" w:rsidRDefault="006F29B5" w:rsidP="006F29B5">
            <w:pPr>
              <w:overflowPunct/>
              <w:autoSpaceDE/>
              <w:autoSpaceDN/>
              <w:adjustRightInd/>
              <w:spacing w:before="0"/>
              <w:textAlignment w:val="auto"/>
              <w:rPr>
                <w:sz w:val="20"/>
                <w:lang w:val="en-US" w:eastAsia="zh-CN"/>
              </w:rPr>
            </w:pPr>
          </w:p>
        </w:tc>
        <w:tc>
          <w:tcPr>
            <w:tcW w:w="1936"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c>
          <w:tcPr>
            <w:tcW w:w="1640"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r>
      <w:tr w:rsidR="006F29B5" w:rsidRPr="003927A0" w:rsidTr="006F29B5">
        <w:trPr>
          <w:trHeight w:val="300"/>
          <w:jc w:val="center"/>
        </w:trPr>
        <w:tc>
          <w:tcPr>
            <w:tcW w:w="897" w:type="dxa"/>
            <w:noWrap/>
          </w:tcPr>
          <w:p w:rsidR="006F29B5" w:rsidRPr="00CC40AA" w:rsidRDefault="006F29B5" w:rsidP="006F29B5">
            <w:pPr>
              <w:tabs>
                <w:tab w:val="left" w:pos="9072"/>
              </w:tabs>
              <w:spacing w:before="0"/>
              <w:rPr>
                <w:b/>
                <w:bCs/>
                <w:sz w:val="20"/>
              </w:rPr>
            </w:pPr>
            <w:r>
              <w:rPr>
                <w:b/>
                <w:bCs/>
                <w:sz w:val="20"/>
              </w:rPr>
              <w:t>2014</w:t>
            </w:r>
          </w:p>
        </w:tc>
        <w:tc>
          <w:tcPr>
            <w:tcW w:w="2089"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lang w:val="en-US" w:eastAsia="zh-CN"/>
              </w:rPr>
              <w:t>24</w:t>
            </w:r>
          </w:p>
        </w:tc>
        <w:tc>
          <w:tcPr>
            <w:tcW w:w="2021"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lang w:val="en-US" w:eastAsia="zh-CN"/>
              </w:rPr>
              <w:t>134</w:t>
            </w:r>
          </w:p>
        </w:tc>
        <w:tc>
          <w:tcPr>
            <w:tcW w:w="1957"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lang w:val="en-US" w:eastAsia="zh-CN"/>
              </w:rPr>
              <w:t>8</w:t>
            </w:r>
          </w:p>
        </w:tc>
        <w:tc>
          <w:tcPr>
            <w:tcW w:w="1554" w:type="dxa"/>
            <w:noWrap/>
            <w:vAlign w:val="bottom"/>
          </w:tcPr>
          <w:p w:rsidR="006F29B5" w:rsidRPr="00A0674E" w:rsidRDefault="006F29B5" w:rsidP="006F29B5">
            <w:pPr>
              <w:overflowPunct/>
              <w:autoSpaceDE/>
              <w:autoSpaceDN/>
              <w:adjustRightInd/>
              <w:spacing w:before="0"/>
              <w:jc w:val="right"/>
              <w:textAlignment w:val="auto"/>
              <w:rPr>
                <w:rFonts w:cs="Calibri"/>
                <w:color w:val="000000"/>
                <w:sz w:val="20"/>
                <w:lang w:val="en-US" w:eastAsia="zh-CN"/>
              </w:rPr>
            </w:pPr>
            <w:r w:rsidRPr="00A0674E">
              <w:rPr>
                <w:rFonts w:cs="Calibri"/>
                <w:color w:val="000000"/>
                <w:sz w:val="20"/>
                <w:lang w:val="en-US" w:eastAsia="zh-CN"/>
              </w:rPr>
              <w:t>166</w:t>
            </w:r>
          </w:p>
        </w:tc>
        <w:tc>
          <w:tcPr>
            <w:tcW w:w="1936" w:type="dxa"/>
            <w:noWrap/>
            <w:vAlign w:val="center"/>
          </w:tcPr>
          <w:p w:rsidR="006F29B5" w:rsidRPr="00EB2BED" w:rsidRDefault="006F29B5" w:rsidP="006F29B5">
            <w:pPr>
              <w:overflowPunct/>
              <w:autoSpaceDE/>
              <w:autoSpaceDN/>
              <w:adjustRightInd/>
              <w:spacing w:before="0"/>
              <w:jc w:val="right"/>
              <w:textAlignment w:val="auto"/>
              <w:rPr>
                <w:sz w:val="20"/>
                <w:lang w:val="en-US" w:eastAsia="zh-CN"/>
              </w:rPr>
            </w:pPr>
            <w:r>
              <w:rPr>
                <w:rFonts w:cs="Calibri"/>
                <w:color w:val="000000"/>
                <w:sz w:val="20"/>
                <w:lang w:val="en-US" w:eastAsia="zh-CN"/>
              </w:rPr>
              <w:t>1,705</w:t>
            </w:r>
          </w:p>
        </w:tc>
        <w:tc>
          <w:tcPr>
            <w:tcW w:w="1640" w:type="dxa"/>
            <w:noWrap/>
            <w:vAlign w:val="center"/>
          </w:tcPr>
          <w:p w:rsidR="006F29B5" w:rsidRPr="00A0674E" w:rsidRDefault="006F29B5" w:rsidP="006F29B5">
            <w:pPr>
              <w:overflowPunct/>
              <w:autoSpaceDE/>
              <w:autoSpaceDN/>
              <w:adjustRightInd/>
              <w:spacing w:before="0"/>
              <w:jc w:val="right"/>
              <w:textAlignment w:val="auto"/>
              <w:rPr>
                <w:sz w:val="20"/>
                <w:highlight w:val="yellow"/>
                <w:lang w:val="en-US" w:eastAsia="zh-CN"/>
              </w:rPr>
            </w:pPr>
            <w:r w:rsidRPr="009065F5">
              <w:rPr>
                <w:rFonts w:cs="Calibri"/>
                <w:color w:val="000000"/>
                <w:sz w:val="20"/>
              </w:rPr>
              <w:t>1,608</w:t>
            </w:r>
          </w:p>
        </w:tc>
      </w:tr>
      <w:tr w:rsidR="006F29B5" w:rsidRPr="003927A0" w:rsidTr="006F29B5">
        <w:trPr>
          <w:trHeight w:val="300"/>
          <w:jc w:val="center"/>
        </w:trPr>
        <w:tc>
          <w:tcPr>
            <w:tcW w:w="897" w:type="dxa"/>
            <w:noWrap/>
          </w:tcPr>
          <w:p w:rsidR="006F29B5" w:rsidRPr="00CC40AA" w:rsidRDefault="006F29B5" w:rsidP="006F29B5">
            <w:pPr>
              <w:tabs>
                <w:tab w:val="left" w:pos="9072"/>
              </w:tabs>
              <w:spacing w:before="0"/>
              <w:rPr>
                <w:b/>
                <w:bCs/>
                <w:sz w:val="20"/>
              </w:rPr>
            </w:pPr>
            <w:r>
              <w:rPr>
                <w:b/>
                <w:bCs/>
                <w:sz w:val="20"/>
              </w:rPr>
              <w:t>2015</w:t>
            </w:r>
          </w:p>
        </w:tc>
        <w:tc>
          <w:tcPr>
            <w:tcW w:w="2089"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lang w:val="en-US" w:eastAsia="zh-CN"/>
              </w:rPr>
              <w:t>24</w:t>
            </w:r>
          </w:p>
        </w:tc>
        <w:tc>
          <w:tcPr>
            <w:tcW w:w="2021"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lang w:val="en-US" w:eastAsia="zh-CN"/>
              </w:rPr>
              <w:t>134</w:t>
            </w:r>
          </w:p>
        </w:tc>
        <w:tc>
          <w:tcPr>
            <w:tcW w:w="1957"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lang w:val="en-US" w:eastAsia="zh-CN"/>
              </w:rPr>
              <w:t>9</w:t>
            </w:r>
          </w:p>
        </w:tc>
        <w:tc>
          <w:tcPr>
            <w:tcW w:w="1554" w:type="dxa"/>
            <w:noWrap/>
            <w:vAlign w:val="bottom"/>
          </w:tcPr>
          <w:p w:rsidR="006F29B5" w:rsidRPr="00A0674E" w:rsidRDefault="006F29B5" w:rsidP="006F29B5">
            <w:pPr>
              <w:overflowPunct/>
              <w:autoSpaceDE/>
              <w:autoSpaceDN/>
              <w:adjustRightInd/>
              <w:spacing w:before="0"/>
              <w:jc w:val="right"/>
              <w:textAlignment w:val="auto"/>
              <w:rPr>
                <w:rFonts w:cs="Calibri"/>
                <w:color w:val="000000"/>
                <w:sz w:val="20"/>
                <w:lang w:val="en-US" w:eastAsia="zh-CN"/>
              </w:rPr>
            </w:pPr>
            <w:r w:rsidRPr="00A0674E">
              <w:rPr>
                <w:rFonts w:cs="Calibri"/>
                <w:color w:val="000000"/>
                <w:sz w:val="20"/>
                <w:lang w:val="en-US" w:eastAsia="zh-CN"/>
              </w:rPr>
              <w:t>166</w:t>
            </w:r>
          </w:p>
        </w:tc>
        <w:tc>
          <w:tcPr>
            <w:tcW w:w="1936" w:type="dxa"/>
            <w:noWrap/>
            <w:vAlign w:val="center"/>
          </w:tcPr>
          <w:p w:rsidR="006F29B5" w:rsidRPr="00EB2BED" w:rsidRDefault="006F29B5" w:rsidP="006F29B5">
            <w:pPr>
              <w:overflowPunct/>
              <w:autoSpaceDE/>
              <w:autoSpaceDN/>
              <w:adjustRightInd/>
              <w:spacing w:before="0"/>
              <w:jc w:val="right"/>
              <w:textAlignment w:val="auto"/>
              <w:rPr>
                <w:sz w:val="20"/>
                <w:lang w:val="en-US" w:eastAsia="zh-CN"/>
              </w:rPr>
            </w:pPr>
            <w:r>
              <w:rPr>
                <w:rFonts w:cs="Calibri"/>
                <w:color w:val="000000"/>
                <w:sz w:val="20"/>
                <w:lang w:val="en-US" w:eastAsia="zh-CN"/>
              </w:rPr>
              <w:t>1,706</w:t>
            </w:r>
          </w:p>
        </w:tc>
        <w:tc>
          <w:tcPr>
            <w:tcW w:w="1640" w:type="dxa"/>
            <w:noWrap/>
            <w:vAlign w:val="center"/>
          </w:tcPr>
          <w:p w:rsidR="006F29B5" w:rsidRPr="00A0674E" w:rsidRDefault="006F29B5" w:rsidP="006F29B5">
            <w:pPr>
              <w:overflowPunct/>
              <w:autoSpaceDE/>
              <w:autoSpaceDN/>
              <w:adjustRightInd/>
              <w:spacing w:before="0"/>
              <w:jc w:val="right"/>
              <w:textAlignment w:val="auto"/>
              <w:rPr>
                <w:sz w:val="20"/>
                <w:highlight w:val="yellow"/>
                <w:lang w:val="en-US" w:eastAsia="zh-CN"/>
              </w:rPr>
            </w:pPr>
            <w:r w:rsidRPr="009065F5">
              <w:rPr>
                <w:rFonts w:cs="Calibri"/>
                <w:color w:val="000000"/>
                <w:sz w:val="20"/>
              </w:rPr>
              <w:t>1,586</w:t>
            </w:r>
          </w:p>
        </w:tc>
      </w:tr>
      <w:tr w:rsidR="006F29B5" w:rsidRPr="003927A0" w:rsidTr="006F29B5">
        <w:trPr>
          <w:trHeight w:val="300"/>
          <w:jc w:val="center"/>
        </w:trPr>
        <w:tc>
          <w:tcPr>
            <w:tcW w:w="897" w:type="dxa"/>
            <w:noWrap/>
          </w:tcPr>
          <w:p w:rsidR="006F29B5" w:rsidRPr="00CC40AA" w:rsidRDefault="006F29B5" w:rsidP="006F29B5">
            <w:pPr>
              <w:tabs>
                <w:tab w:val="left" w:pos="9072"/>
              </w:tabs>
              <w:spacing w:before="0"/>
              <w:rPr>
                <w:b/>
                <w:bCs/>
                <w:sz w:val="20"/>
              </w:rPr>
            </w:pPr>
            <w:r>
              <w:rPr>
                <w:b/>
                <w:bCs/>
                <w:sz w:val="20"/>
              </w:rPr>
              <w:t>2016</w:t>
            </w:r>
          </w:p>
        </w:tc>
        <w:tc>
          <w:tcPr>
            <w:tcW w:w="2089"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rPr>
              <w:t>27</w:t>
            </w:r>
          </w:p>
        </w:tc>
        <w:tc>
          <w:tcPr>
            <w:tcW w:w="2021"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rPr>
              <w:t>154</w:t>
            </w:r>
          </w:p>
        </w:tc>
        <w:tc>
          <w:tcPr>
            <w:tcW w:w="1957" w:type="dxa"/>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rPr>
              <w:t>9</w:t>
            </w:r>
          </w:p>
        </w:tc>
        <w:tc>
          <w:tcPr>
            <w:tcW w:w="1554" w:type="dxa"/>
            <w:noWrap/>
            <w:vAlign w:val="bottom"/>
          </w:tcPr>
          <w:p w:rsidR="006F29B5" w:rsidRPr="00A0674E" w:rsidRDefault="006F29B5" w:rsidP="006F29B5">
            <w:pPr>
              <w:overflowPunct/>
              <w:autoSpaceDE/>
              <w:autoSpaceDN/>
              <w:adjustRightInd/>
              <w:spacing w:before="0"/>
              <w:jc w:val="right"/>
              <w:textAlignment w:val="auto"/>
              <w:rPr>
                <w:rFonts w:cs="Calibri"/>
                <w:color w:val="000000"/>
                <w:sz w:val="20"/>
                <w:lang w:val="en-US" w:eastAsia="zh-CN"/>
              </w:rPr>
            </w:pPr>
            <w:r w:rsidRPr="00A0674E">
              <w:rPr>
                <w:rFonts w:cs="Calibri"/>
                <w:color w:val="000000"/>
                <w:sz w:val="20"/>
                <w:lang w:val="en-US" w:eastAsia="zh-CN"/>
              </w:rPr>
              <w:t>190</w:t>
            </w:r>
          </w:p>
        </w:tc>
        <w:tc>
          <w:tcPr>
            <w:tcW w:w="1936" w:type="dxa"/>
            <w:noWrap/>
            <w:vAlign w:val="center"/>
          </w:tcPr>
          <w:p w:rsidR="006F29B5" w:rsidRPr="00EB2BED" w:rsidRDefault="006F29B5" w:rsidP="006F29B5">
            <w:pPr>
              <w:overflowPunct/>
              <w:autoSpaceDE/>
              <w:autoSpaceDN/>
              <w:adjustRightInd/>
              <w:spacing w:before="0"/>
              <w:jc w:val="right"/>
              <w:textAlignment w:val="auto"/>
              <w:rPr>
                <w:sz w:val="20"/>
                <w:lang w:val="en-US" w:eastAsia="zh-CN"/>
              </w:rPr>
            </w:pPr>
            <w:r>
              <w:rPr>
                <w:rFonts w:cs="Calibri"/>
                <w:color w:val="000000"/>
                <w:sz w:val="20"/>
              </w:rPr>
              <w:t>1,955</w:t>
            </w:r>
          </w:p>
        </w:tc>
        <w:tc>
          <w:tcPr>
            <w:tcW w:w="1640" w:type="dxa"/>
            <w:noWrap/>
            <w:vAlign w:val="center"/>
          </w:tcPr>
          <w:p w:rsidR="006F29B5" w:rsidRPr="00A0674E" w:rsidRDefault="006F29B5" w:rsidP="006F29B5">
            <w:pPr>
              <w:overflowPunct/>
              <w:autoSpaceDE/>
              <w:autoSpaceDN/>
              <w:adjustRightInd/>
              <w:spacing w:before="0"/>
              <w:jc w:val="right"/>
              <w:textAlignment w:val="auto"/>
              <w:rPr>
                <w:sz w:val="20"/>
                <w:highlight w:val="yellow"/>
                <w:lang w:val="en-US" w:eastAsia="zh-CN"/>
              </w:rPr>
            </w:pPr>
            <w:r w:rsidRPr="009065F5">
              <w:rPr>
                <w:rFonts w:cs="Calibri"/>
                <w:color w:val="000000"/>
                <w:sz w:val="20"/>
              </w:rPr>
              <w:t>1,587</w:t>
            </w:r>
          </w:p>
        </w:tc>
      </w:tr>
      <w:tr w:rsidR="006F29B5" w:rsidRPr="003927A0" w:rsidTr="006F29B5">
        <w:trPr>
          <w:trHeight w:val="300"/>
          <w:jc w:val="center"/>
        </w:trPr>
        <w:tc>
          <w:tcPr>
            <w:tcW w:w="897" w:type="dxa"/>
            <w:tcBorders>
              <w:bottom w:val="single" w:sz="4" w:space="0" w:color="auto"/>
            </w:tcBorders>
            <w:noWrap/>
          </w:tcPr>
          <w:p w:rsidR="006F29B5" w:rsidRPr="00CC40AA" w:rsidRDefault="006F29B5" w:rsidP="006F29B5">
            <w:pPr>
              <w:tabs>
                <w:tab w:val="left" w:pos="9072"/>
              </w:tabs>
              <w:spacing w:before="0"/>
              <w:rPr>
                <w:b/>
                <w:bCs/>
                <w:sz w:val="20"/>
              </w:rPr>
            </w:pPr>
            <w:r>
              <w:rPr>
                <w:b/>
                <w:bCs/>
                <w:sz w:val="20"/>
              </w:rPr>
              <w:t>2017</w:t>
            </w:r>
          </w:p>
        </w:tc>
        <w:tc>
          <w:tcPr>
            <w:tcW w:w="2089" w:type="dxa"/>
            <w:tcBorders>
              <w:bottom w:val="single" w:sz="4" w:space="0" w:color="auto"/>
            </w:tcBorders>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rPr>
              <w:t>27</w:t>
            </w:r>
          </w:p>
        </w:tc>
        <w:tc>
          <w:tcPr>
            <w:tcW w:w="2021" w:type="dxa"/>
            <w:tcBorders>
              <w:bottom w:val="single" w:sz="4" w:space="0" w:color="auto"/>
            </w:tcBorders>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rPr>
              <w:t>154</w:t>
            </w:r>
          </w:p>
        </w:tc>
        <w:tc>
          <w:tcPr>
            <w:tcW w:w="1957" w:type="dxa"/>
            <w:tcBorders>
              <w:bottom w:val="single" w:sz="4" w:space="0" w:color="auto"/>
            </w:tcBorders>
            <w:noWrap/>
            <w:vAlign w:val="center"/>
          </w:tcPr>
          <w:p w:rsidR="006F29B5" w:rsidRPr="001E4877" w:rsidRDefault="006F29B5" w:rsidP="006F29B5">
            <w:pPr>
              <w:overflowPunct/>
              <w:autoSpaceDE/>
              <w:autoSpaceDN/>
              <w:adjustRightInd/>
              <w:spacing w:before="0"/>
              <w:jc w:val="right"/>
              <w:textAlignment w:val="auto"/>
              <w:rPr>
                <w:sz w:val="20"/>
                <w:lang w:val="en-US" w:eastAsia="zh-CN"/>
              </w:rPr>
            </w:pPr>
            <w:r>
              <w:rPr>
                <w:rFonts w:cs="Calibri"/>
                <w:color w:val="000000"/>
                <w:sz w:val="20"/>
              </w:rPr>
              <w:t>9</w:t>
            </w:r>
          </w:p>
        </w:tc>
        <w:tc>
          <w:tcPr>
            <w:tcW w:w="1554" w:type="dxa"/>
            <w:tcBorders>
              <w:bottom w:val="single" w:sz="4" w:space="0" w:color="auto"/>
            </w:tcBorders>
            <w:noWrap/>
            <w:vAlign w:val="bottom"/>
          </w:tcPr>
          <w:p w:rsidR="006F29B5" w:rsidRPr="00A0674E" w:rsidRDefault="006F29B5" w:rsidP="006F29B5">
            <w:pPr>
              <w:overflowPunct/>
              <w:autoSpaceDE/>
              <w:autoSpaceDN/>
              <w:adjustRightInd/>
              <w:spacing w:before="0"/>
              <w:jc w:val="right"/>
              <w:textAlignment w:val="auto"/>
              <w:rPr>
                <w:rFonts w:cs="Calibri"/>
                <w:color w:val="000000"/>
                <w:sz w:val="20"/>
                <w:lang w:val="en-US" w:eastAsia="zh-CN"/>
              </w:rPr>
            </w:pPr>
            <w:r w:rsidRPr="00A0674E">
              <w:rPr>
                <w:rFonts w:cs="Calibri"/>
                <w:color w:val="000000"/>
                <w:sz w:val="20"/>
                <w:lang w:val="en-US" w:eastAsia="zh-CN"/>
              </w:rPr>
              <w:t>190</w:t>
            </w:r>
          </w:p>
        </w:tc>
        <w:tc>
          <w:tcPr>
            <w:tcW w:w="1936" w:type="dxa"/>
            <w:tcBorders>
              <w:bottom w:val="single" w:sz="4" w:space="0" w:color="auto"/>
            </w:tcBorders>
            <w:noWrap/>
            <w:vAlign w:val="center"/>
          </w:tcPr>
          <w:p w:rsidR="006F29B5" w:rsidRPr="00EB2BED" w:rsidRDefault="006F29B5" w:rsidP="006F29B5">
            <w:pPr>
              <w:overflowPunct/>
              <w:autoSpaceDE/>
              <w:autoSpaceDN/>
              <w:adjustRightInd/>
              <w:spacing w:before="0"/>
              <w:jc w:val="right"/>
              <w:textAlignment w:val="auto"/>
              <w:rPr>
                <w:sz w:val="20"/>
                <w:lang w:val="en-US" w:eastAsia="zh-CN"/>
              </w:rPr>
            </w:pPr>
            <w:r>
              <w:rPr>
                <w:rFonts w:cs="Calibri"/>
                <w:color w:val="000000"/>
                <w:sz w:val="20"/>
              </w:rPr>
              <w:t>1,955</w:t>
            </w:r>
          </w:p>
        </w:tc>
        <w:tc>
          <w:tcPr>
            <w:tcW w:w="1640" w:type="dxa"/>
            <w:tcBorders>
              <w:bottom w:val="single" w:sz="4" w:space="0" w:color="auto"/>
            </w:tcBorders>
            <w:noWrap/>
            <w:vAlign w:val="center"/>
          </w:tcPr>
          <w:p w:rsidR="006F29B5" w:rsidRPr="00A0674E" w:rsidRDefault="006F29B5" w:rsidP="006F29B5">
            <w:pPr>
              <w:overflowPunct/>
              <w:autoSpaceDE/>
              <w:autoSpaceDN/>
              <w:adjustRightInd/>
              <w:spacing w:before="0"/>
              <w:jc w:val="right"/>
              <w:textAlignment w:val="auto"/>
              <w:rPr>
                <w:sz w:val="20"/>
                <w:highlight w:val="yellow"/>
                <w:lang w:val="en-US" w:eastAsia="zh-CN"/>
              </w:rPr>
            </w:pPr>
            <w:r w:rsidRPr="009065F5">
              <w:rPr>
                <w:rFonts w:cs="Calibri"/>
                <w:color w:val="000000"/>
                <w:sz w:val="20"/>
              </w:rPr>
              <w:t>1,577</w:t>
            </w:r>
          </w:p>
        </w:tc>
      </w:tr>
      <w:tr w:rsidR="006F29B5" w:rsidRPr="003927A0" w:rsidTr="006F29B5">
        <w:trPr>
          <w:trHeight w:val="300"/>
          <w:jc w:val="center"/>
        </w:trPr>
        <w:tc>
          <w:tcPr>
            <w:tcW w:w="12094" w:type="dxa"/>
            <w:gridSpan w:val="7"/>
            <w:tcBorders>
              <w:left w:val="nil"/>
              <w:bottom w:val="nil"/>
              <w:right w:val="nil"/>
            </w:tcBorders>
            <w:noWrap/>
          </w:tcPr>
          <w:p w:rsidR="006F29B5" w:rsidRPr="00B56EEA" w:rsidRDefault="006F29B5" w:rsidP="006F29B5">
            <w:pPr>
              <w:pStyle w:val="Tablelegend"/>
              <w:tabs>
                <w:tab w:val="left" w:pos="284"/>
              </w:tabs>
              <w:rPr>
                <w:sz w:val="20"/>
              </w:rPr>
            </w:pPr>
            <w:r w:rsidRPr="00B56EEA">
              <w:rPr>
                <w:sz w:val="20"/>
              </w:rPr>
              <w:t>*</w:t>
            </w:r>
            <w:r w:rsidRPr="00B56EEA">
              <w:rPr>
                <w:sz w:val="20"/>
              </w:rPr>
              <w:tab/>
              <w:t>At the time of establishment of the budget.</w:t>
            </w:r>
          </w:p>
          <w:p w:rsidR="006F29B5" w:rsidRPr="00B56EEA" w:rsidRDefault="006F29B5" w:rsidP="006F29B5">
            <w:pPr>
              <w:tabs>
                <w:tab w:val="left" w:pos="284"/>
              </w:tabs>
              <w:spacing w:after="120"/>
              <w:rPr>
                <w:sz w:val="22"/>
                <w:szCs w:val="22"/>
                <w:lang w:eastAsia="zh-CN"/>
              </w:rPr>
            </w:pPr>
            <w:r w:rsidRPr="00B56EEA">
              <w:rPr>
                <w:sz w:val="20"/>
              </w:rPr>
              <w:t>**</w:t>
            </w:r>
            <w:r w:rsidRPr="00B56EEA">
              <w:rPr>
                <w:sz w:val="20"/>
              </w:rPr>
              <w:tab/>
              <w:t>These amounts include invoiced contributions and also unpaid contributions at 31 December.</w:t>
            </w:r>
          </w:p>
        </w:tc>
      </w:tr>
    </w:tbl>
    <w:p w:rsidR="006F29B5" w:rsidRDefault="006F29B5" w:rsidP="006F29B5">
      <w:pPr>
        <w:spacing w:after="120"/>
      </w:pPr>
    </w:p>
    <w:p w:rsidR="006F29B5" w:rsidRDefault="006F29B5" w:rsidP="006F29B5">
      <w:pPr>
        <w:pStyle w:val="headingb0"/>
        <w:rPr>
          <w:rFonts w:asciiTheme="minorHAnsi" w:hAnsiTheme="minorHAnsi"/>
        </w:rPr>
      </w:pPr>
      <w:r w:rsidRPr="00486B4E">
        <w:rPr>
          <w:rFonts w:asciiTheme="minorHAnsi" w:hAnsiTheme="minorHAnsi"/>
        </w:rPr>
        <w:t xml:space="preserve">Contributions by </w:t>
      </w:r>
      <w:r>
        <w:rPr>
          <w:rFonts w:asciiTheme="minorHAnsi" w:hAnsiTheme="minorHAnsi"/>
        </w:rPr>
        <w:t>Academia</w:t>
      </w:r>
      <w:r w:rsidRPr="00486B4E">
        <w:rPr>
          <w:rFonts w:asciiTheme="minorHAnsi" w:hAnsiTheme="minorHAnsi"/>
        </w:rPr>
        <w:t xml:space="preserve"> </w:t>
      </w:r>
    </w:p>
    <w:p w:rsidR="006F29B5" w:rsidRDefault="006F29B5" w:rsidP="006F29B5">
      <w:pPr>
        <w:tabs>
          <w:tab w:val="clear" w:pos="567"/>
          <w:tab w:val="left" w:pos="709"/>
        </w:tabs>
        <w:jc w:val="both"/>
      </w:pPr>
      <w:r w:rsidRPr="00C46B12">
        <w:t>2.10</w:t>
      </w:r>
      <w:r w:rsidRPr="00C46B12">
        <w:tab/>
        <w:t xml:space="preserve">As per Resolution 169 (Guadalajara, 2010), Academia, Universities and their related research establishments (designated as Academia) have been admitted as a new member category to participate in the work of the three Sectors.  </w:t>
      </w:r>
      <w:r w:rsidRPr="00C46B12">
        <w:rPr>
          <w:rFonts w:cs="Calibri"/>
          <w:szCs w:val="24"/>
        </w:rPr>
        <w:t xml:space="preserve">Resolution 169 (Rev. Busan, 2014) allows academia to participate in all three sectors of ITU </w:t>
      </w:r>
      <w:r w:rsidRPr="00C46B12">
        <w:rPr>
          <w:rFonts w:cs="Calibri"/>
          <w:szCs w:val="24"/>
          <w:u w:val="single"/>
        </w:rPr>
        <w:t>at one single fee</w:t>
      </w:r>
      <w:r w:rsidRPr="00C46B12">
        <w:rPr>
          <w:rFonts w:cs="Calibri"/>
          <w:szCs w:val="24"/>
        </w:rPr>
        <w:t>.</w:t>
      </w:r>
    </w:p>
    <w:p w:rsidR="006F29B5" w:rsidRPr="00B56EEA" w:rsidRDefault="006F29B5" w:rsidP="006F29B5">
      <w:pPr>
        <w:spacing w:before="0"/>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081"/>
        <w:gridCol w:w="2591"/>
        <w:gridCol w:w="2633"/>
      </w:tblGrid>
      <w:tr w:rsidR="006F29B5" w:rsidRPr="003927A0" w:rsidTr="006F29B5">
        <w:trPr>
          <w:trHeight w:val="703"/>
          <w:jc w:val="center"/>
        </w:trPr>
        <w:tc>
          <w:tcPr>
            <w:tcW w:w="1200" w:type="dxa"/>
            <w:noWrap/>
          </w:tcPr>
          <w:p w:rsidR="006F29B5" w:rsidRPr="00AB5D43" w:rsidRDefault="006F29B5" w:rsidP="006F29B5">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Pr>
                <w:b/>
                <w:bCs/>
                <w:sz w:val="20"/>
                <w:lang w:val="fr-CH" w:eastAsia="zh-CN"/>
              </w:rPr>
              <w:t>Year</w:t>
            </w:r>
          </w:p>
        </w:tc>
        <w:tc>
          <w:tcPr>
            <w:tcW w:w="2081" w:type="dxa"/>
          </w:tcPr>
          <w:p w:rsidR="006F29B5" w:rsidRPr="00FA5EB2" w:rsidRDefault="006F29B5" w:rsidP="006F29B5">
            <w:pPr>
              <w:overflowPunct/>
              <w:autoSpaceDE/>
              <w:autoSpaceDN/>
              <w:adjustRightInd/>
              <w:spacing w:before="0"/>
              <w:jc w:val="center"/>
              <w:textAlignment w:val="auto"/>
              <w:rPr>
                <w:b/>
                <w:bCs/>
                <w:sz w:val="20"/>
                <w:lang w:eastAsia="zh-CN"/>
              </w:rPr>
            </w:pPr>
            <w:r>
              <w:rPr>
                <w:b/>
                <w:bCs/>
                <w:sz w:val="20"/>
                <w:lang w:eastAsia="zh-CN"/>
              </w:rPr>
              <w:t>Total</w:t>
            </w:r>
            <w:r w:rsidRPr="00FA5EB2">
              <w:rPr>
                <w:b/>
                <w:bCs/>
                <w:sz w:val="20"/>
                <w:lang w:eastAsia="zh-CN"/>
              </w:rPr>
              <w:t xml:space="preserve"> units*</w:t>
            </w:r>
          </w:p>
        </w:tc>
        <w:tc>
          <w:tcPr>
            <w:tcW w:w="2591" w:type="dxa"/>
          </w:tcPr>
          <w:p w:rsidR="006F29B5" w:rsidRPr="00FA5EB2" w:rsidRDefault="006F29B5" w:rsidP="006F29B5">
            <w:pPr>
              <w:overflowPunct/>
              <w:autoSpaceDE/>
              <w:autoSpaceDN/>
              <w:adjustRightInd/>
              <w:spacing w:before="0"/>
              <w:jc w:val="center"/>
              <w:textAlignment w:val="auto"/>
              <w:rPr>
                <w:b/>
                <w:bCs/>
                <w:sz w:val="20"/>
                <w:lang w:val="en-US" w:eastAsia="zh-CN"/>
              </w:rPr>
            </w:pPr>
            <w:r>
              <w:rPr>
                <w:b/>
                <w:bCs/>
                <w:sz w:val="20"/>
                <w:lang w:eastAsia="zh-CN"/>
              </w:rPr>
              <w:t>Revenue</w:t>
            </w:r>
            <w:r w:rsidRPr="00FA5EB2">
              <w:rPr>
                <w:b/>
                <w:bCs/>
                <w:sz w:val="20"/>
                <w:lang w:eastAsia="zh-CN"/>
              </w:rPr>
              <w:t xml:space="preserve"> entered in the budget</w:t>
            </w:r>
          </w:p>
        </w:tc>
        <w:tc>
          <w:tcPr>
            <w:tcW w:w="2633" w:type="dxa"/>
          </w:tcPr>
          <w:p w:rsidR="006F29B5" w:rsidRPr="00FA5EB2" w:rsidRDefault="006F29B5" w:rsidP="006F29B5">
            <w:pPr>
              <w:pStyle w:val="Tabletext"/>
              <w:jc w:val="center"/>
              <w:rPr>
                <w:b/>
                <w:bCs/>
                <w:sz w:val="20"/>
                <w:lang w:eastAsia="zh-CN"/>
              </w:rPr>
            </w:pPr>
            <w:r>
              <w:rPr>
                <w:b/>
                <w:bCs/>
                <w:sz w:val="20"/>
                <w:lang w:eastAsia="zh-CN"/>
              </w:rPr>
              <w:t>Revenue</w:t>
            </w:r>
            <w:r w:rsidRPr="00FA5EB2">
              <w:rPr>
                <w:b/>
                <w:bCs/>
                <w:sz w:val="20"/>
                <w:lang w:eastAsia="zh-CN"/>
              </w:rPr>
              <w:t xml:space="preserve"> posted to account**</w:t>
            </w:r>
          </w:p>
        </w:tc>
      </w:tr>
      <w:tr w:rsidR="006F29B5" w:rsidRPr="003927A0" w:rsidTr="006F29B5">
        <w:trPr>
          <w:trHeight w:val="300"/>
          <w:jc w:val="center"/>
        </w:trPr>
        <w:tc>
          <w:tcPr>
            <w:tcW w:w="1200" w:type="dxa"/>
            <w:noWrap/>
          </w:tcPr>
          <w:p w:rsidR="006F29B5" w:rsidRPr="003927A0" w:rsidRDefault="006F29B5" w:rsidP="006F29B5">
            <w:pPr>
              <w:overflowPunct/>
              <w:autoSpaceDE/>
              <w:autoSpaceDN/>
              <w:adjustRightInd/>
              <w:spacing w:before="0"/>
              <w:textAlignment w:val="auto"/>
              <w:rPr>
                <w:sz w:val="20"/>
                <w:lang w:val="en-US" w:eastAsia="zh-CN"/>
              </w:rPr>
            </w:pPr>
          </w:p>
        </w:tc>
        <w:tc>
          <w:tcPr>
            <w:tcW w:w="2081" w:type="dxa"/>
            <w:noWrap/>
          </w:tcPr>
          <w:p w:rsidR="006F29B5" w:rsidRPr="003927A0" w:rsidRDefault="006F29B5" w:rsidP="006F29B5">
            <w:pPr>
              <w:overflowPunct/>
              <w:autoSpaceDE/>
              <w:autoSpaceDN/>
              <w:adjustRightInd/>
              <w:spacing w:before="0"/>
              <w:textAlignment w:val="auto"/>
              <w:rPr>
                <w:sz w:val="20"/>
                <w:lang w:val="en-US" w:eastAsia="zh-CN"/>
              </w:rPr>
            </w:pPr>
          </w:p>
        </w:tc>
        <w:tc>
          <w:tcPr>
            <w:tcW w:w="2591"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c>
          <w:tcPr>
            <w:tcW w:w="2633" w:type="dxa"/>
            <w:noWrap/>
          </w:tcPr>
          <w:p w:rsidR="006F29B5" w:rsidRPr="003927A0" w:rsidRDefault="006F29B5" w:rsidP="006F29B5">
            <w:pPr>
              <w:overflowPunct/>
              <w:autoSpaceDE/>
              <w:autoSpaceDN/>
              <w:adjustRightInd/>
              <w:spacing w:before="0"/>
              <w:jc w:val="center"/>
              <w:textAlignment w:val="auto"/>
              <w:rPr>
                <w:sz w:val="20"/>
                <w:lang w:val="en-US" w:eastAsia="zh-CN"/>
              </w:rPr>
            </w:pPr>
            <w:r>
              <w:rPr>
                <w:sz w:val="20"/>
                <w:lang w:val="en-US" w:eastAsia="zh-CN"/>
              </w:rPr>
              <w:t xml:space="preserve">Thousands of </w:t>
            </w:r>
            <w:r w:rsidRPr="003927A0">
              <w:rPr>
                <w:sz w:val="20"/>
                <w:lang w:val="en-US" w:eastAsia="zh-CN"/>
              </w:rPr>
              <w:t>CHF</w:t>
            </w:r>
          </w:p>
        </w:tc>
      </w:tr>
      <w:tr w:rsidR="006F29B5" w:rsidRPr="003927A0" w:rsidTr="006F29B5">
        <w:trPr>
          <w:trHeight w:val="300"/>
          <w:jc w:val="center"/>
        </w:trPr>
        <w:tc>
          <w:tcPr>
            <w:tcW w:w="1200" w:type="dxa"/>
            <w:noWrap/>
          </w:tcPr>
          <w:p w:rsidR="006F29B5" w:rsidRPr="00CC40AA" w:rsidRDefault="006F29B5" w:rsidP="006F29B5">
            <w:pPr>
              <w:tabs>
                <w:tab w:val="left" w:pos="9072"/>
              </w:tabs>
              <w:spacing w:before="0"/>
              <w:rPr>
                <w:b/>
                <w:bCs/>
                <w:sz w:val="20"/>
              </w:rPr>
            </w:pPr>
            <w:r>
              <w:rPr>
                <w:b/>
                <w:bCs/>
                <w:sz w:val="20"/>
              </w:rPr>
              <w:t>2014</w:t>
            </w:r>
          </w:p>
        </w:tc>
        <w:tc>
          <w:tcPr>
            <w:tcW w:w="2081" w:type="dxa"/>
            <w:noWrap/>
          </w:tcPr>
          <w:p w:rsidR="006F29B5" w:rsidRPr="00681CBD" w:rsidRDefault="006F29B5" w:rsidP="006F29B5">
            <w:pPr>
              <w:overflowPunct/>
              <w:autoSpaceDE/>
              <w:autoSpaceDN/>
              <w:adjustRightInd/>
              <w:spacing w:before="0"/>
              <w:jc w:val="right"/>
              <w:textAlignment w:val="auto"/>
              <w:rPr>
                <w:sz w:val="20"/>
                <w:lang w:val="en-US" w:eastAsia="zh-CN"/>
              </w:rPr>
            </w:pPr>
            <w:r>
              <w:rPr>
                <w:sz w:val="20"/>
                <w:lang w:val="en-US" w:eastAsia="zh-CN"/>
              </w:rPr>
              <w:t>100</w:t>
            </w:r>
          </w:p>
        </w:tc>
        <w:tc>
          <w:tcPr>
            <w:tcW w:w="2591" w:type="dxa"/>
            <w:noWrap/>
          </w:tcPr>
          <w:p w:rsidR="006F29B5" w:rsidRDefault="006F29B5" w:rsidP="006F29B5">
            <w:pPr>
              <w:overflowPunct/>
              <w:autoSpaceDE/>
              <w:autoSpaceDN/>
              <w:adjustRightInd/>
              <w:spacing w:before="0"/>
              <w:jc w:val="right"/>
              <w:textAlignment w:val="auto"/>
              <w:rPr>
                <w:sz w:val="20"/>
                <w:lang w:val="en-US" w:eastAsia="zh-CN"/>
              </w:rPr>
            </w:pPr>
            <w:r>
              <w:rPr>
                <w:sz w:val="20"/>
                <w:lang w:val="en-US" w:eastAsia="zh-CN"/>
              </w:rPr>
              <w:t>200</w:t>
            </w:r>
          </w:p>
        </w:tc>
        <w:tc>
          <w:tcPr>
            <w:tcW w:w="2633" w:type="dxa"/>
            <w:noWrap/>
          </w:tcPr>
          <w:p w:rsidR="006F29B5" w:rsidRPr="00062F58" w:rsidRDefault="006F29B5" w:rsidP="006F29B5">
            <w:pPr>
              <w:overflowPunct/>
              <w:autoSpaceDE/>
              <w:autoSpaceDN/>
              <w:adjustRightInd/>
              <w:spacing w:before="0"/>
              <w:jc w:val="right"/>
              <w:textAlignment w:val="auto"/>
              <w:rPr>
                <w:sz w:val="20"/>
                <w:highlight w:val="yellow"/>
                <w:lang w:val="en-US" w:eastAsia="zh-CN"/>
              </w:rPr>
            </w:pPr>
            <w:r w:rsidRPr="009065F5">
              <w:rPr>
                <w:sz w:val="20"/>
                <w:lang w:val="en-US" w:eastAsia="zh-CN"/>
              </w:rPr>
              <w:t>207</w:t>
            </w:r>
          </w:p>
        </w:tc>
      </w:tr>
      <w:tr w:rsidR="006F29B5" w:rsidRPr="009065F5" w:rsidTr="006F29B5">
        <w:trPr>
          <w:trHeight w:val="300"/>
          <w:jc w:val="center"/>
        </w:trPr>
        <w:tc>
          <w:tcPr>
            <w:tcW w:w="1200" w:type="dxa"/>
            <w:noWrap/>
          </w:tcPr>
          <w:p w:rsidR="006F29B5" w:rsidRPr="00CC40AA" w:rsidRDefault="006F29B5" w:rsidP="006F29B5">
            <w:pPr>
              <w:tabs>
                <w:tab w:val="left" w:pos="9072"/>
              </w:tabs>
              <w:spacing w:before="0"/>
              <w:rPr>
                <w:b/>
                <w:bCs/>
                <w:sz w:val="20"/>
              </w:rPr>
            </w:pPr>
            <w:r>
              <w:rPr>
                <w:b/>
                <w:bCs/>
                <w:sz w:val="20"/>
              </w:rPr>
              <w:t>2015</w:t>
            </w:r>
          </w:p>
        </w:tc>
        <w:tc>
          <w:tcPr>
            <w:tcW w:w="2081" w:type="dxa"/>
            <w:noWrap/>
          </w:tcPr>
          <w:p w:rsidR="006F29B5" w:rsidRPr="00681CBD" w:rsidRDefault="006F29B5" w:rsidP="006F29B5">
            <w:pPr>
              <w:overflowPunct/>
              <w:autoSpaceDE/>
              <w:autoSpaceDN/>
              <w:adjustRightInd/>
              <w:spacing w:before="0"/>
              <w:jc w:val="right"/>
              <w:textAlignment w:val="auto"/>
              <w:rPr>
                <w:sz w:val="20"/>
                <w:lang w:val="en-US" w:eastAsia="zh-CN"/>
              </w:rPr>
            </w:pPr>
            <w:r>
              <w:rPr>
                <w:sz w:val="20"/>
                <w:lang w:val="en-US" w:eastAsia="zh-CN"/>
              </w:rPr>
              <w:t>100</w:t>
            </w:r>
          </w:p>
        </w:tc>
        <w:tc>
          <w:tcPr>
            <w:tcW w:w="2591" w:type="dxa"/>
            <w:noWrap/>
          </w:tcPr>
          <w:p w:rsidR="006F29B5" w:rsidRDefault="006F29B5" w:rsidP="006F29B5">
            <w:pPr>
              <w:overflowPunct/>
              <w:autoSpaceDE/>
              <w:autoSpaceDN/>
              <w:adjustRightInd/>
              <w:spacing w:before="0"/>
              <w:jc w:val="right"/>
              <w:textAlignment w:val="auto"/>
              <w:rPr>
                <w:sz w:val="20"/>
                <w:lang w:val="en-US" w:eastAsia="zh-CN"/>
              </w:rPr>
            </w:pPr>
            <w:r>
              <w:rPr>
                <w:sz w:val="20"/>
                <w:lang w:val="en-US" w:eastAsia="zh-CN"/>
              </w:rPr>
              <w:t>200</w:t>
            </w:r>
          </w:p>
        </w:tc>
        <w:tc>
          <w:tcPr>
            <w:tcW w:w="2633" w:type="dxa"/>
            <w:noWrap/>
          </w:tcPr>
          <w:p w:rsidR="006F29B5" w:rsidRPr="009065F5" w:rsidRDefault="006F29B5" w:rsidP="006F29B5">
            <w:pPr>
              <w:overflowPunct/>
              <w:autoSpaceDE/>
              <w:autoSpaceDN/>
              <w:adjustRightInd/>
              <w:spacing w:before="0"/>
              <w:jc w:val="right"/>
              <w:textAlignment w:val="auto"/>
              <w:rPr>
                <w:sz w:val="20"/>
                <w:lang w:val="en-US" w:eastAsia="zh-CN"/>
              </w:rPr>
            </w:pPr>
            <w:r w:rsidRPr="009065F5">
              <w:rPr>
                <w:sz w:val="20"/>
                <w:lang w:val="en-US" w:eastAsia="zh-CN"/>
              </w:rPr>
              <w:t>240</w:t>
            </w:r>
          </w:p>
        </w:tc>
      </w:tr>
      <w:tr w:rsidR="006F29B5" w:rsidRPr="003927A0" w:rsidTr="006F29B5">
        <w:trPr>
          <w:trHeight w:val="300"/>
          <w:jc w:val="center"/>
        </w:trPr>
        <w:tc>
          <w:tcPr>
            <w:tcW w:w="1200" w:type="dxa"/>
            <w:noWrap/>
          </w:tcPr>
          <w:p w:rsidR="006F29B5" w:rsidRPr="00CC40AA" w:rsidRDefault="006F29B5" w:rsidP="006F29B5">
            <w:pPr>
              <w:tabs>
                <w:tab w:val="left" w:pos="9072"/>
              </w:tabs>
              <w:spacing w:before="0"/>
              <w:rPr>
                <w:b/>
                <w:bCs/>
                <w:sz w:val="20"/>
              </w:rPr>
            </w:pPr>
            <w:r>
              <w:rPr>
                <w:b/>
                <w:bCs/>
                <w:sz w:val="20"/>
              </w:rPr>
              <w:t>2016</w:t>
            </w:r>
          </w:p>
        </w:tc>
        <w:tc>
          <w:tcPr>
            <w:tcW w:w="2081" w:type="dxa"/>
            <w:noWrap/>
          </w:tcPr>
          <w:p w:rsidR="006F29B5" w:rsidRPr="00681CBD" w:rsidRDefault="006F29B5" w:rsidP="006F29B5">
            <w:pPr>
              <w:overflowPunct/>
              <w:autoSpaceDE/>
              <w:autoSpaceDN/>
              <w:adjustRightInd/>
              <w:spacing w:before="0"/>
              <w:jc w:val="right"/>
              <w:textAlignment w:val="auto"/>
              <w:rPr>
                <w:sz w:val="20"/>
                <w:lang w:val="en-US" w:eastAsia="zh-CN"/>
              </w:rPr>
            </w:pPr>
            <w:r>
              <w:rPr>
                <w:sz w:val="20"/>
                <w:lang w:val="en-US" w:eastAsia="zh-CN"/>
              </w:rPr>
              <w:t>100</w:t>
            </w:r>
          </w:p>
        </w:tc>
        <w:tc>
          <w:tcPr>
            <w:tcW w:w="2591" w:type="dxa"/>
            <w:noWrap/>
          </w:tcPr>
          <w:p w:rsidR="006F29B5" w:rsidRPr="00EB2BED" w:rsidRDefault="006F29B5" w:rsidP="006F29B5">
            <w:pPr>
              <w:overflowPunct/>
              <w:autoSpaceDE/>
              <w:autoSpaceDN/>
              <w:adjustRightInd/>
              <w:spacing w:before="0"/>
              <w:jc w:val="right"/>
              <w:textAlignment w:val="auto"/>
              <w:rPr>
                <w:sz w:val="20"/>
                <w:lang w:val="en-US" w:eastAsia="zh-CN"/>
              </w:rPr>
            </w:pPr>
            <w:r>
              <w:rPr>
                <w:sz w:val="20"/>
                <w:lang w:val="en-US" w:eastAsia="zh-CN"/>
              </w:rPr>
              <w:t>200</w:t>
            </w:r>
          </w:p>
        </w:tc>
        <w:tc>
          <w:tcPr>
            <w:tcW w:w="2633" w:type="dxa"/>
            <w:noWrap/>
          </w:tcPr>
          <w:p w:rsidR="006F29B5" w:rsidRPr="00062F58" w:rsidRDefault="006F29B5" w:rsidP="006F29B5">
            <w:pPr>
              <w:overflowPunct/>
              <w:autoSpaceDE/>
              <w:autoSpaceDN/>
              <w:adjustRightInd/>
              <w:spacing w:before="0"/>
              <w:jc w:val="right"/>
              <w:textAlignment w:val="auto"/>
              <w:rPr>
                <w:sz w:val="20"/>
                <w:highlight w:val="yellow"/>
                <w:lang w:val="en-US" w:eastAsia="zh-CN"/>
              </w:rPr>
            </w:pPr>
            <w:r w:rsidRPr="009065F5">
              <w:rPr>
                <w:sz w:val="20"/>
                <w:lang w:val="en-US" w:eastAsia="zh-CN"/>
              </w:rPr>
              <w:t>302</w:t>
            </w:r>
          </w:p>
        </w:tc>
      </w:tr>
      <w:tr w:rsidR="006F29B5" w:rsidRPr="003927A0" w:rsidTr="006F29B5">
        <w:trPr>
          <w:trHeight w:val="300"/>
          <w:jc w:val="center"/>
        </w:trPr>
        <w:tc>
          <w:tcPr>
            <w:tcW w:w="1200" w:type="dxa"/>
            <w:tcBorders>
              <w:bottom w:val="single" w:sz="4" w:space="0" w:color="auto"/>
            </w:tcBorders>
            <w:noWrap/>
          </w:tcPr>
          <w:p w:rsidR="006F29B5" w:rsidRPr="00CC40AA" w:rsidRDefault="006F29B5" w:rsidP="006F29B5">
            <w:pPr>
              <w:tabs>
                <w:tab w:val="left" w:pos="9072"/>
              </w:tabs>
              <w:spacing w:before="0"/>
              <w:rPr>
                <w:b/>
                <w:bCs/>
                <w:sz w:val="20"/>
              </w:rPr>
            </w:pPr>
            <w:r>
              <w:rPr>
                <w:b/>
                <w:bCs/>
                <w:sz w:val="20"/>
              </w:rPr>
              <w:t>2017</w:t>
            </w:r>
          </w:p>
        </w:tc>
        <w:tc>
          <w:tcPr>
            <w:tcW w:w="2081" w:type="dxa"/>
            <w:tcBorders>
              <w:bottom w:val="single" w:sz="4" w:space="0" w:color="auto"/>
            </w:tcBorders>
            <w:noWrap/>
          </w:tcPr>
          <w:p w:rsidR="006F29B5" w:rsidRPr="00681CBD" w:rsidRDefault="006F29B5" w:rsidP="006F29B5">
            <w:pPr>
              <w:overflowPunct/>
              <w:autoSpaceDE/>
              <w:autoSpaceDN/>
              <w:adjustRightInd/>
              <w:spacing w:before="0"/>
              <w:jc w:val="right"/>
              <w:textAlignment w:val="auto"/>
              <w:rPr>
                <w:sz w:val="20"/>
                <w:lang w:val="en-US" w:eastAsia="zh-CN"/>
              </w:rPr>
            </w:pPr>
            <w:r>
              <w:rPr>
                <w:sz w:val="20"/>
                <w:lang w:val="en-US" w:eastAsia="zh-CN"/>
              </w:rPr>
              <w:t>100</w:t>
            </w:r>
          </w:p>
        </w:tc>
        <w:tc>
          <w:tcPr>
            <w:tcW w:w="2591" w:type="dxa"/>
            <w:tcBorders>
              <w:bottom w:val="single" w:sz="4" w:space="0" w:color="auto"/>
            </w:tcBorders>
            <w:noWrap/>
          </w:tcPr>
          <w:p w:rsidR="006F29B5" w:rsidRPr="00EB2BED" w:rsidRDefault="006F29B5" w:rsidP="006F29B5">
            <w:pPr>
              <w:overflowPunct/>
              <w:autoSpaceDE/>
              <w:autoSpaceDN/>
              <w:adjustRightInd/>
              <w:spacing w:before="0"/>
              <w:jc w:val="right"/>
              <w:textAlignment w:val="auto"/>
              <w:rPr>
                <w:sz w:val="20"/>
                <w:lang w:val="en-US" w:eastAsia="zh-CN"/>
              </w:rPr>
            </w:pPr>
            <w:r>
              <w:rPr>
                <w:sz w:val="20"/>
                <w:lang w:val="en-US" w:eastAsia="zh-CN"/>
              </w:rPr>
              <w:t>200</w:t>
            </w:r>
          </w:p>
        </w:tc>
        <w:tc>
          <w:tcPr>
            <w:tcW w:w="2633" w:type="dxa"/>
            <w:tcBorders>
              <w:bottom w:val="single" w:sz="4" w:space="0" w:color="auto"/>
            </w:tcBorders>
            <w:noWrap/>
          </w:tcPr>
          <w:p w:rsidR="006F29B5" w:rsidRPr="00062F58" w:rsidRDefault="006F29B5" w:rsidP="006F29B5">
            <w:pPr>
              <w:overflowPunct/>
              <w:autoSpaceDE/>
              <w:autoSpaceDN/>
              <w:adjustRightInd/>
              <w:spacing w:before="0"/>
              <w:jc w:val="right"/>
              <w:textAlignment w:val="auto"/>
              <w:rPr>
                <w:sz w:val="20"/>
                <w:highlight w:val="yellow"/>
                <w:lang w:val="en-US" w:eastAsia="zh-CN"/>
              </w:rPr>
            </w:pPr>
            <w:r w:rsidRPr="009065F5">
              <w:rPr>
                <w:sz w:val="20"/>
                <w:lang w:val="en-US" w:eastAsia="zh-CN"/>
              </w:rPr>
              <w:t>306</w:t>
            </w:r>
          </w:p>
        </w:tc>
      </w:tr>
      <w:tr w:rsidR="006F29B5" w:rsidRPr="003927A0" w:rsidTr="006F29B5">
        <w:trPr>
          <w:trHeight w:val="300"/>
          <w:jc w:val="center"/>
        </w:trPr>
        <w:tc>
          <w:tcPr>
            <w:tcW w:w="8505" w:type="dxa"/>
            <w:gridSpan w:val="4"/>
            <w:tcBorders>
              <w:left w:val="nil"/>
              <w:bottom w:val="nil"/>
              <w:right w:val="nil"/>
            </w:tcBorders>
            <w:noWrap/>
          </w:tcPr>
          <w:p w:rsidR="006F29B5" w:rsidRPr="00B56EEA" w:rsidRDefault="006F29B5" w:rsidP="006F29B5">
            <w:pPr>
              <w:pStyle w:val="Tablelegend"/>
              <w:tabs>
                <w:tab w:val="left" w:pos="426"/>
              </w:tabs>
              <w:rPr>
                <w:sz w:val="20"/>
              </w:rPr>
            </w:pPr>
            <w:r w:rsidRPr="00B56EEA">
              <w:rPr>
                <w:sz w:val="20"/>
              </w:rPr>
              <w:t>*</w:t>
            </w:r>
            <w:r w:rsidRPr="00B56EEA">
              <w:rPr>
                <w:sz w:val="20"/>
              </w:rPr>
              <w:tab/>
              <w:t>At the time of establishment of the budget.</w:t>
            </w:r>
          </w:p>
          <w:p w:rsidR="006F29B5" w:rsidRPr="00B56EEA" w:rsidRDefault="006F29B5" w:rsidP="006F29B5">
            <w:pPr>
              <w:tabs>
                <w:tab w:val="clear" w:pos="567"/>
                <w:tab w:val="clear" w:pos="1134"/>
                <w:tab w:val="left" w:pos="426"/>
              </w:tabs>
              <w:spacing w:after="120"/>
              <w:rPr>
                <w:sz w:val="20"/>
                <w:lang w:eastAsia="zh-CN"/>
              </w:rPr>
            </w:pPr>
            <w:r w:rsidRPr="00B56EEA">
              <w:rPr>
                <w:sz w:val="20"/>
              </w:rPr>
              <w:t>**</w:t>
            </w:r>
            <w:r w:rsidRPr="00B56EEA">
              <w:rPr>
                <w:sz w:val="20"/>
              </w:rPr>
              <w:tab/>
              <w:t>These amounts include invoiced contributions and also unpaid contributions at 31 December.</w:t>
            </w:r>
          </w:p>
        </w:tc>
      </w:tr>
    </w:tbl>
    <w:p w:rsidR="006F29B5" w:rsidRPr="00122EA0" w:rsidRDefault="006F29B5" w:rsidP="006F29B5">
      <w:pPr>
        <w:tabs>
          <w:tab w:val="clear" w:pos="567"/>
          <w:tab w:val="left" w:pos="709"/>
        </w:tabs>
        <w:spacing w:before="360" w:after="120"/>
        <w:jc w:val="both"/>
        <w:rPr>
          <w:szCs w:val="24"/>
        </w:rPr>
      </w:pPr>
      <w:r>
        <w:rPr>
          <w:szCs w:val="24"/>
        </w:rPr>
        <w:t>2</w:t>
      </w:r>
      <w:r w:rsidRPr="00122EA0">
        <w:rPr>
          <w:szCs w:val="24"/>
        </w:rPr>
        <w:t>.11</w:t>
      </w:r>
      <w:r w:rsidRPr="00122EA0">
        <w:rPr>
          <w:szCs w:val="24"/>
        </w:rPr>
        <w:tab/>
        <w:t xml:space="preserve">The table below provides a summary of revenue in the regular budget for the years </w:t>
      </w:r>
      <w:r>
        <w:rPr>
          <w:szCs w:val="24"/>
        </w:rPr>
        <w:t>2014</w:t>
      </w:r>
      <w:r w:rsidRPr="00122EA0">
        <w:rPr>
          <w:szCs w:val="24"/>
        </w:rPr>
        <w:t> to </w:t>
      </w:r>
      <w:r>
        <w:rPr>
          <w:szCs w:val="24"/>
        </w:rPr>
        <w:t>2017</w:t>
      </w:r>
      <w:r w:rsidRPr="00122EA0">
        <w:rPr>
          <w:szCs w:val="24"/>
        </w:rPr>
        <w:t xml:space="preserve"> in t</w:t>
      </w:r>
      <w:r w:rsidRPr="00122EA0">
        <w:rPr>
          <w:szCs w:val="24"/>
          <w:lang w:val="en-US" w:eastAsia="zh-CN"/>
        </w:rPr>
        <w:t>housands of CHF</w:t>
      </w:r>
      <w:r w:rsidRPr="00122EA0">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241"/>
        <w:gridCol w:w="1241"/>
        <w:gridCol w:w="1241"/>
        <w:gridCol w:w="1241"/>
        <w:gridCol w:w="1241"/>
        <w:gridCol w:w="939"/>
        <w:gridCol w:w="1061"/>
        <w:gridCol w:w="959"/>
        <w:gridCol w:w="939"/>
        <w:gridCol w:w="939"/>
        <w:gridCol w:w="1099"/>
        <w:gridCol w:w="963"/>
        <w:gridCol w:w="963"/>
      </w:tblGrid>
      <w:tr w:rsidR="006F29B5" w:rsidRPr="003927A0" w:rsidTr="006F29B5">
        <w:tc>
          <w:tcPr>
            <w:tcW w:w="829" w:type="dxa"/>
          </w:tcPr>
          <w:p w:rsidR="006F29B5" w:rsidRPr="003927A0" w:rsidRDefault="006F29B5" w:rsidP="006F29B5">
            <w:pPr>
              <w:tabs>
                <w:tab w:val="left" w:pos="9072"/>
              </w:tabs>
              <w:spacing w:before="0"/>
              <w:jc w:val="center"/>
              <w:rPr>
                <w:b/>
                <w:bCs/>
                <w:sz w:val="18"/>
                <w:szCs w:val="18"/>
              </w:rPr>
            </w:pPr>
            <w:r>
              <w:rPr>
                <w:b/>
                <w:bCs/>
                <w:sz w:val="18"/>
                <w:szCs w:val="18"/>
              </w:rPr>
              <w:t>Year</w:t>
            </w:r>
          </w:p>
        </w:tc>
        <w:tc>
          <w:tcPr>
            <w:tcW w:w="1241" w:type="dxa"/>
          </w:tcPr>
          <w:p w:rsidR="006F29B5" w:rsidRPr="003927A0" w:rsidRDefault="006F29B5" w:rsidP="006F29B5">
            <w:pPr>
              <w:tabs>
                <w:tab w:val="left" w:pos="9072"/>
              </w:tabs>
              <w:spacing w:before="0"/>
              <w:jc w:val="center"/>
              <w:rPr>
                <w:b/>
                <w:bCs/>
                <w:sz w:val="18"/>
                <w:szCs w:val="18"/>
              </w:rPr>
            </w:pPr>
            <w:r w:rsidRPr="003927A0">
              <w:rPr>
                <w:b/>
                <w:bCs/>
                <w:sz w:val="18"/>
                <w:szCs w:val="18"/>
              </w:rPr>
              <w:t xml:space="preserve">Contributions </w:t>
            </w:r>
            <w:r>
              <w:rPr>
                <w:b/>
                <w:bCs/>
                <w:sz w:val="18"/>
                <w:szCs w:val="18"/>
              </w:rPr>
              <w:t>by Member States</w:t>
            </w:r>
          </w:p>
        </w:tc>
        <w:tc>
          <w:tcPr>
            <w:tcW w:w="1241" w:type="dxa"/>
          </w:tcPr>
          <w:p w:rsidR="006F29B5" w:rsidRPr="002070E6" w:rsidRDefault="006F29B5" w:rsidP="006F29B5">
            <w:pPr>
              <w:tabs>
                <w:tab w:val="left" w:pos="9072"/>
              </w:tabs>
              <w:spacing w:before="0"/>
              <w:jc w:val="center"/>
              <w:rPr>
                <w:b/>
                <w:bCs/>
                <w:sz w:val="18"/>
                <w:szCs w:val="18"/>
                <w:lang w:val="fr-CH"/>
              </w:rPr>
            </w:pPr>
            <w:r w:rsidRPr="002070E6">
              <w:rPr>
                <w:b/>
                <w:bCs/>
                <w:sz w:val="18"/>
                <w:szCs w:val="18"/>
                <w:lang w:val="fr-CH"/>
              </w:rPr>
              <w:t xml:space="preserve">Contributions </w:t>
            </w:r>
            <w:r>
              <w:rPr>
                <w:b/>
                <w:bCs/>
                <w:sz w:val="18"/>
                <w:szCs w:val="18"/>
                <w:lang w:val="fr-CH"/>
              </w:rPr>
              <w:t>by Sector Members</w:t>
            </w:r>
          </w:p>
        </w:tc>
        <w:tc>
          <w:tcPr>
            <w:tcW w:w="1241" w:type="dxa"/>
          </w:tcPr>
          <w:p w:rsidR="006F29B5" w:rsidRPr="003927A0" w:rsidRDefault="006F29B5" w:rsidP="006F29B5">
            <w:pPr>
              <w:tabs>
                <w:tab w:val="left" w:pos="9072"/>
              </w:tabs>
              <w:spacing w:before="0"/>
              <w:jc w:val="center"/>
              <w:rPr>
                <w:b/>
                <w:bCs/>
                <w:sz w:val="18"/>
                <w:szCs w:val="18"/>
              </w:rPr>
            </w:pPr>
            <w:r w:rsidRPr="003927A0">
              <w:rPr>
                <w:b/>
                <w:bCs/>
                <w:sz w:val="18"/>
                <w:szCs w:val="18"/>
              </w:rPr>
              <w:t xml:space="preserve">Contributions </w:t>
            </w:r>
            <w:r>
              <w:rPr>
                <w:b/>
                <w:bCs/>
                <w:sz w:val="18"/>
                <w:szCs w:val="18"/>
              </w:rPr>
              <w:t>by Associates</w:t>
            </w:r>
          </w:p>
        </w:tc>
        <w:tc>
          <w:tcPr>
            <w:tcW w:w="1241" w:type="dxa"/>
          </w:tcPr>
          <w:p w:rsidR="006F29B5" w:rsidRPr="003927A0" w:rsidRDefault="006F29B5" w:rsidP="006F29B5">
            <w:pPr>
              <w:tabs>
                <w:tab w:val="left" w:pos="9072"/>
              </w:tabs>
              <w:spacing w:before="0"/>
              <w:jc w:val="center"/>
              <w:rPr>
                <w:b/>
                <w:bCs/>
                <w:sz w:val="18"/>
                <w:szCs w:val="18"/>
              </w:rPr>
            </w:pPr>
            <w:r w:rsidRPr="003927A0">
              <w:rPr>
                <w:b/>
                <w:bCs/>
                <w:sz w:val="18"/>
                <w:szCs w:val="18"/>
              </w:rPr>
              <w:t xml:space="preserve">Contributions </w:t>
            </w:r>
            <w:r>
              <w:rPr>
                <w:b/>
                <w:bCs/>
                <w:sz w:val="18"/>
                <w:szCs w:val="18"/>
              </w:rPr>
              <w:t>by Academia</w:t>
            </w:r>
          </w:p>
        </w:tc>
        <w:tc>
          <w:tcPr>
            <w:tcW w:w="1241" w:type="dxa"/>
          </w:tcPr>
          <w:p w:rsidR="006F29B5" w:rsidRPr="003927A0" w:rsidRDefault="006F29B5" w:rsidP="006F29B5">
            <w:pPr>
              <w:tabs>
                <w:tab w:val="left" w:pos="9072"/>
              </w:tabs>
              <w:spacing w:before="0"/>
              <w:jc w:val="center"/>
              <w:rPr>
                <w:b/>
                <w:bCs/>
                <w:sz w:val="18"/>
                <w:szCs w:val="18"/>
              </w:rPr>
            </w:pPr>
            <w:r w:rsidRPr="003927A0">
              <w:rPr>
                <w:b/>
                <w:bCs/>
                <w:sz w:val="18"/>
                <w:szCs w:val="18"/>
              </w:rPr>
              <w:t xml:space="preserve">Contributions </w:t>
            </w:r>
            <w:r>
              <w:rPr>
                <w:b/>
                <w:bCs/>
                <w:sz w:val="18"/>
                <w:szCs w:val="18"/>
              </w:rPr>
              <w:t>- regional conferences</w:t>
            </w:r>
          </w:p>
        </w:tc>
        <w:tc>
          <w:tcPr>
            <w:tcW w:w="939" w:type="dxa"/>
          </w:tcPr>
          <w:p w:rsidR="006F29B5" w:rsidRPr="002070E6" w:rsidRDefault="006F29B5" w:rsidP="006F29B5">
            <w:pPr>
              <w:tabs>
                <w:tab w:val="left" w:pos="9072"/>
              </w:tabs>
              <w:spacing w:before="0"/>
              <w:jc w:val="center"/>
              <w:rPr>
                <w:b/>
                <w:bCs/>
                <w:sz w:val="18"/>
                <w:szCs w:val="18"/>
                <w:lang w:val="fr-CH"/>
              </w:rPr>
            </w:pPr>
            <w:r>
              <w:rPr>
                <w:b/>
                <w:bCs/>
                <w:sz w:val="18"/>
                <w:szCs w:val="18"/>
                <w:lang w:val="fr-CH"/>
              </w:rPr>
              <w:t>Project support cost revenue</w:t>
            </w:r>
          </w:p>
        </w:tc>
        <w:tc>
          <w:tcPr>
            <w:tcW w:w="1061" w:type="dxa"/>
          </w:tcPr>
          <w:p w:rsidR="006F29B5" w:rsidRPr="003927A0" w:rsidRDefault="006F29B5" w:rsidP="006F29B5">
            <w:pPr>
              <w:tabs>
                <w:tab w:val="left" w:pos="9072"/>
              </w:tabs>
              <w:spacing w:before="0"/>
              <w:jc w:val="center"/>
              <w:rPr>
                <w:b/>
                <w:bCs/>
                <w:sz w:val="18"/>
                <w:szCs w:val="18"/>
              </w:rPr>
            </w:pPr>
            <w:r>
              <w:rPr>
                <w:b/>
                <w:bCs/>
                <w:sz w:val="18"/>
                <w:szCs w:val="18"/>
              </w:rPr>
              <w:t>Publication sales</w:t>
            </w:r>
          </w:p>
        </w:tc>
        <w:tc>
          <w:tcPr>
            <w:tcW w:w="959" w:type="dxa"/>
          </w:tcPr>
          <w:p w:rsidR="006F29B5" w:rsidRPr="003927A0" w:rsidRDefault="006F29B5" w:rsidP="006F29B5">
            <w:pPr>
              <w:tabs>
                <w:tab w:val="left" w:pos="9072"/>
              </w:tabs>
              <w:spacing w:before="0"/>
              <w:jc w:val="center"/>
              <w:rPr>
                <w:b/>
                <w:bCs/>
                <w:sz w:val="18"/>
                <w:szCs w:val="18"/>
              </w:rPr>
            </w:pPr>
            <w:r>
              <w:rPr>
                <w:b/>
                <w:bCs/>
                <w:sz w:val="18"/>
                <w:szCs w:val="18"/>
              </w:rPr>
              <w:t>Cost recovery</w:t>
            </w:r>
          </w:p>
        </w:tc>
        <w:tc>
          <w:tcPr>
            <w:tcW w:w="939" w:type="dxa"/>
          </w:tcPr>
          <w:p w:rsidR="006F29B5" w:rsidRPr="003927A0" w:rsidRDefault="006F29B5" w:rsidP="006F29B5">
            <w:pPr>
              <w:tabs>
                <w:tab w:val="left" w:pos="9072"/>
              </w:tabs>
              <w:spacing w:before="0"/>
              <w:jc w:val="center"/>
              <w:rPr>
                <w:b/>
                <w:bCs/>
                <w:sz w:val="18"/>
                <w:szCs w:val="18"/>
              </w:rPr>
            </w:pPr>
            <w:r>
              <w:rPr>
                <w:b/>
                <w:bCs/>
                <w:sz w:val="18"/>
                <w:szCs w:val="18"/>
              </w:rPr>
              <w:t>Interest revenue</w:t>
            </w:r>
          </w:p>
        </w:tc>
        <w:tc>
          <w:tcPr>
            <w:tcW w:w="939" w:type="dxa"/>
          </w:tcPr>
          <w:p w:rsidR="006F29B5" w:rsidRPr="003927A0" w:rsidRDefault="006F29B5" w:rsidP="006F29B5">
            <w:pPr>
              <w:tabs>
                <w:tab w:val="left" w:pos="9072"/>
              </w:tabs>
              <w:spacing w:before="0"/>
              <w:jc w:val="center"/>
              <w:rPr>
                <w:b/>
                <w:bCs/>
                <w:sz w:val="18"/>
                <w:szCs w:val="18"/>
              </w:rPr>
            </w:pPr>
            <w:r>
              <w:rPr>
                <w:b/>
                <w:bCs/>
                <w:sz w:val="18"/>
                <w:szCs w:val="18"/>
              </w:rPr>
              <w:t>Other revenue</w:t>
            </w:r>
          </w:p>
        </w:tc>
        <w:tc>
          <w:tcPr>
            <w:tcW w:w="1099" w:type="dxa"/>
          </w:tcPr>
          <w:p w:rsidR="006F29B5" w:rsidRPr="002070E6" w:rsidRDefault="006F29B5" w:rsidP="006F29B5">
            <w:pPr>
              <w:tabs>
                <w:tab w:val="left" w:pos="9072"/>
              </w:tabs>
              <w:spacing w:before="0"/>
              <w:jc w:val="center"/>
              <w:rPr>
                <w:b/>
                <w:bCs/>
                <w:sz w:val="18"/>
                <w:szCs w:val="18"/>
                <w:lang w:val="fr-CH"/>
              </w:rPr>
            </w:pPr>
            <w:r>
              <w:rPr>
                <w:b/>
                <w:bCs/>
                <w:sz w:val="18"/>
                <w:szCs w:val="18"/>
                <w:lang w:val="fr-CH"/>
              </w:rPr>
              <w:t>Withdrawal from Reserve Account</w:t>
            </w:r>
          </w:p>
        </w:tc>
        <w:tc>
          <w:tcPr>
            <w:tcW w:w="963" w:type="dxa"/>
          </w:tcPr>
          <w:p w:rsidR="006F29B5" w:rsidRPr="003927A0" w:rsidRDefault="006F29B5" w:rsidP="006F29B5">
            <w:pPr>
              <w:tabs>
                <w:tab w:val="left" w:pos="9072"/>
              </w:tabs>
              <w:spacing w:before="0"/>
              <w:jc w:val="center"/>
              <w:rPr>
                <w:b/>
                <w:bCs/>
                <w:sz w:val="18"/>
                <w:szCs w:val="18"/>
              </w:rPr>
            </w:pPr>
            <w:r w:rsidRPr="003927A0">
              <w:rPr>
                <w:b/>
                <w:bCs/>
                <w:sz w:val="18"/>
                <w:szCs w:val="18"/>
              </w:rPr>
              <w:t>Total</w:t>
            </w:r>
          </w:p>
        </w:tc>
        <w:tc>
          <w:tcPr>
            <w:tcW w:w="963" w:type="dxa"/>
          </w:tcPr>
          <w:p w:rsidR="006F29B5" w:rsidRPr="003927A0" w:rsidRDefault="006F29B5" w:rsidP="006F29B5">
            <w:pPr>
              <w:tabs>
                <w:tab w:val="left" w:pos="9072"/>
              </w:tabs>
              <w:spacing w:before="0"/>
              <w:jc w:val="center"/>
              <w:rPr>
                <w:b/>
                <w:bCs/>
                <w:sz w:val="18"/>
                <w:szCs w:val="18"/>
              </w:rPr>
            </w:pPr>
            <w:r>
              <w:rPr>
                <w:b/>
                <w:bCs/>
                <w:sz w:val="18"/>
                <w:szCs w:val="18"/>
              </w:rPr>
              <w:t>Revenue posted to account</w:t>
            </w:r>
          </w:p>
        </w:tc>
      </w:tr>
      <w:tr w:rsidR="006F29B5" w:rsidRPr="003927A0" w:rsidTr="006F29B5">
        <w:tc>
          <w:tcPr>
            <w:tcW w:w="829" w:type="dxa"/>
          </w:tcPr>
          <w:p w:rsidR="006F29B5" w:rsidRPr="003927A0" w:rsidRDefault="006F29B5" w:rsidP="006F29B5">
            <w:pPr>
              <w:tabs>
                <w:tab w:val="left" w:pos="9072"/>
              </w:tabs>
              <w:spacing w:before="0"/>
              <w:rPr>
                <w:b/>
                <w:bCs/>
                <w:sz w:val="20"/>
              </w:rPr>
            </w:pPr>
            <w:r>
              <w:rPr>
                <w:b/>
                <w:bCs/>
                <w:sz w:val="20"/>
              </w:rPr>
              <w:t>2014</w:t>
            </w:r>
          </w:p>
        </w:tc>
        <w:tc>
          <w:tcPr>
            <w:tcW w:w="1241" w:type="dxa"/>
          </w:tcPr>
          <w:p w:rsidR="006F29B5" w:rsidRPr="002C33D1" w:rsidRDefault="006F29B5" w:rsidP="006F29B5">
            <w:pPr>
              <w:overflowPunct/>
              <w:autoSpaceDE/>
              <w:autoSpaceDN/>
              <w:adjustRightInd/>
              <w:spacing w:before="0"/>
              <w:jc w:val="right"/>
              <w:textAlignment w:val="auto"/>
              <w:rPr>
                <w:sz w:val="20"/>
                <w:lang w:val="en-US" w:eastAsia="zh-CN"/>
              </w:rPr>
            </w:pPr>
            <w:r w:rsidRPr="00B636B4">
              <w:rPr>
                <w:sz w:val="20"/>
                <w:lang w:val="en-US" w:eastAsia="zh-CN"/>
              </w:rPr>
              <w:t>112,572</w:t>
            </w:r>
          </w:p>
        </w:tc>
        <w:tc>
          <w:tcPr>
            <w:tcW w:w="1241" w:type="dxa"/>
          </w:tcPr>
          <w:p w:rsidR="006F29B5" w:rsidRPr="002C33D1" w:rsidRDefault="006F29B5" w:rsidP="006F29B5">
            <w:pPr>
              <w:overflowPunct/>
              <w:autoSpaceDE/>
              <w:autoSpaceDN/>
              <w:adjustRightInd/>
              <w:spacing w:before="0"/>
              <w:jc w:val="right"/>
              <w:textAlignment w:val="auto"/>
              <w:rPr>
                <w:sz w:val="20"/>
                <w:lang w:val="en-US" w:eastAsia="zh-CN"/>
              </w:rPr>
            </w:pPr>
            <w:r w:rsidRPr="00B636B4">
              <w:rPr>
                <w:sz w:val="20"/>
                <w:lang w:val="en-US" w:eastAsia="zh-CN"/>
              </w:rPr>
              <w:t>15,200</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1,705</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200</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1,000</w:t>
            </w:r>
          </w:p>
        </w:tc>
        <w:tc>
          <w:tcPr>
            <w:tcW w:w="106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17,000</w:t>
            </w:r>
          </w:p>
        </w:tc>
        <w:tc>
          <w:tcPr>
            <w:tcW w:w="95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14,750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800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300</w:t>
            </w:r>
          </w:p>
        </w:tc>
        <w:tc>
          <w:tcPr>
            <w:tcW w:w="109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2,784</w:t>
            </w:r>
          </w:p>
        </w:tc>
        <w:tc>
          <w:tcPr>
            <w:tcW w:w="963" w:type="dxa"/>
          </w:tcPr>
          <w:p w:rsidR="006F29B5" w:rsidRPr="00B636B4" w:rsidRDefault="006F29B5" w:rsidP="006F29B5">
            <w:pPr>
              <w:tabs>
                <w:tab w:val="left" w:pos="9072"/>
              </w:tabs>
              <w:spacing w:before="0"/>
              <w:jc w:val="right"/>
              <w:rPr>
                <w:sz w:val="20"/>
                <w:lang w:val="en-US" w:eastAsia="zh-CN"/>
              </w:rPr>
            </w:pPr>
            <w:r w:rsidRPr="00D83F91">
              <w:rPr>
                <w:sz w:val="20"/>
                <w:lang w:val="en-US" w:eastAsia="zh-CN"/>
              </w:rPr>
              <w:t>166,311</w:t>
            </w:r>
          </w:p>
        </w:tc>
        <w:tc>
          <w:tcPr>
            <w:tcW w:w="963" w:type="dxa"/>
          </w:tcPr>
          <w:p w:rsidR="006F29B5" w:rsidRPr="00D83F91" w:rsidRDefault="006F29B5" w:rsidP="006F29B5">
            <w:pPr>
              <w:tabs>
                <w:tab w:val="left" w:pos="9072"/>
              </w:tabs>
              <w:spacing w:before="0"/>
              <w:jc w:val="right"/>
              <w:rPr>
                <w:sz w:val="20"/>
                <w:highlight w:val="yellow"/>
                <w:lang w:val="en-US" w:eastAsia="zh-CN"/>
              </w:rPr>
            </w:pPr>
            <w:r w:rsidRPr="009065F5">
              <w:rPr>
                <w:sz w:val="20"/>
                <w:lang w:val="en-US" w:eastAsia="zh-CN"/>
              </w:rPr>
              <w:t>162,083</w:t>
            </w:r>
          </w:p>
        </w:tc>
      </w:tr>
      <w:tr w:rsidR="006F29B5" w:rsidRPr="003927A0" w:rsidTr="006F29B5">
        <w:tc>
          <w:tcPr>
            <w:tcW w:w="829" w:type="dxa"/>
          </w:tcPr>
          <w:p w:rsidR="006F29B5" w:rsidRDefault="006F29B5" w:rsidP="006F29B5">
            <w:pPr>
              <w:tabs>
                <w:tab w:val="left" w:pos="9072"/>
              </w:tabs>
              <w:spacing w:before="0"/>
              <w:rPr>
                <w:b/>
                <w:bCs/>
                <w:sz w:val="20"/>
              </w:rPr>
            </w:pPr>
            <w:r>
              <w:rPr>
                <w:b/>
                <w:bCs/>
                <w:sz w:val="20"/>
              </w:rPr>
              <w:t>2015</w:t>
            </w:r>
          </w:p>
        </w:tc>
        <w:tc>
          <w:tcPr>
            <w:tcW w:w="1241" w:type="dxa"/>
          </w:tcPr>
          <w:p w:rsidR="006F29B5" w:rsidRPr="002C33D1" w:rsidRDefault="006F29B5" w:rsidP="006F29B5">
            <w:pPr>
              <w:overflowPunct/>
              <w:autoSpaceDE/>
              <w:autoSpaceDN/>
              <w:adjustRightInd/>
              <w:spacing w:before="0"/>
              <w:jc w:val="right"/>
              <w:textAlignment w:val="auto"/>
              <w:rPr>
                <w:sz w:val="20"/>
                <w:lang w:val="en-US" w:eastAsia="zh-CN"/>
              </w:rPr>
            </w:pPr>
            <w:r w:rsidRPr="00B636B4">
              <w:rPr>
                <w:sz w:val="20"/>
                <w:lang w:val="en-US" w:eastAsia="zh-CN"/>
              </w:rPr>
              <w:t>112,572</w:t>
            </w:r>
          </w:p>
        </w:tc>
        <w:tc>
          <w:tcPr>
            <w:tcW w:w="1241" w:type="dxa"/>
          </w:tcPr>
          <w:p w:rsidR="006F29B5" w:rsidRPr="00EB2BED" w:rsidRDefault="006F29B5" w:rsidP="006F29B5">
            <w:pPr>
              <w:overflowPunct/>
              <w:autoSpaceDE/>
              <w:autoSpaceDN/>
              <w:adjustRightInd/>
              <w:spacing w:before="0"/>
              <w:jc w:val="right"/>
              <w:textAlignment w:val="auto"/>
              <w:rPr>
                <w:sz w:val="20"/>
                <w:lang w:val="en-US" w:eastAsia="zh-CN"/>
              </w:rPr>
            </w:pPr>
            <w:r w:rsidRPr="00B636B4">
              <w:rPr>
                <w:sz w:val="20"/>
                <w:lang w:val="en-US" w:eastAsia="zh-CN"/>
              </w:rPr>
              <w:t>15,200</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1,705</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200</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1,000</w:t>
            </w:r>
          </w:p>
        </w:tc>
        <w:tc>
          <w:tcPr>
            <w:tcW w:w="106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17,000</w:t>
            </w:r>
          </w:p>
        </w:tc>
        <w:tc>
          <w:tcPr>
            <w:tcW w:w="95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14,750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800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300</w:t>
            </w:r>
          </w:p>
        </w:tc>
        <w:tc>
          <w:tcPr>
            <w:tcW w:w="109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1,216</w:t>
            </w:r>
          </w:p>
        </w:tc>
        <w:tc>
          <w:tcPr>
            <w:tcW w:w="963" w:type="dxa"/>
          </w:tcPr>
          <w:p w:rsidR="006F29B5" w:rsidRPr="00B636B4" w:rsidRDefault="006F29B5" w:rsidP="006F29B5">
            <w:pPr>
              <w:tabs>
                <w:tab w:val="left" w:pos="9072"/>
              </w:tabs>
              <w:spacing w:before="0"/>
              <w:jc w:val="right"/>
              <w:rPr>
                <w:sz w:val="20"/>
                <w:lang w:val="en-US" w:eastAsia="zh-CN"/>
              </w:rPr>
            </w:pPr>
            <w:r w:rsidRPr="00D83F91">
              <w:rPr>
                <w:sz w:val="20"/>
                <w:lang w:val="en-US" w:eastAsia="zh-CN"/>
              </w:rPr>
              <w:t>164,744</w:t>
            </w:r>
          </w:p>
        </w:tc>
        <w:tc>
          <w:tcPr>
            <w:tcW w:w="963" w:type="dxa"/>
          </w:tcPr>
          <w:p w:rsidR="006F29B5" w:rsidRPr="009065F5" w:rsidRDefault="006F29B5" w:rsidP="006F29B5">
            <w:pPr>
              <w:tabs>
                <w:tab w:val="left" w:pos="9072"/>
              </w:tabs>
              <w:spacing w:before="0"/>
              <w:jc w:val="right"/>
              <w:rPr>
                <w:sz w:val="20"/>
                <w:lang w:val="en-US" w:eastAsia="zh-CN"/>
              </w:rPr>
            </w:pPr>
            <w:r>
              <w:rPr>
                <w:sz w:val="20"/>
                <w:lang w:val="en-US" w:eastAsia="zh-CN"/>
              </w:rPr>
              <w:t>158,177</w:t>
            </w:r>
          </w:p>
        </w:tc>
      </w:tr>
      <w:tr w:rsidR="006F29B5" w:rsidRPr="003927A0" w:rsidTr="006F29B5">
        <w:tc>
          <w:tcPr>
            <w:tcW w:w="829" w:type="dxa"/>
          </w:tcPr>
          <w:p w:rsidR="006F29B5" w:rsidRDefault="006F29B5" w:rsidP="006F29B5">
            <w:pPr>
              <w:tabs>
                <w:tab w:val="left" w:pos="9072"/>
              </w:tabs>
              <w:spacing w:before="0"/>
              <w:rPr>
                <w:b/>
                <w:bCs/>
                <w:sz w:val="20"/>
              </w:rPr>
            </w:pPr>
            <w:r>
              <w:rPr>
                <w:b/>
                <w:bCs/>
                <w:sz w:val="20"/>
              </w:rPr>
              <w:t>2016</w:t>
            </w:r>
          </w:p>
        </w:tc>
        <w:tc>
          <w:tcPr>
            <w:tcW w:w="1241" w:type="dxa"/>
          </w:tcPr>
          <w:p w:rsidR="006F29B5" w:rsidRPr="002C33D1" w:rsidRDefault="006F29B5" w:rsidP="006F29B5">
            <w:pPr>
              <w:overflowPunct/>
              <w:autoSpaceDE/>
              <w:autoSpaceDN/>
              <w:adjustRightInd/>
              <w:spacing w:before="0"/>
              <w:jc w:val="right"/>
              <w:textAlignment w:val="auto"/>
              <w:rPr>
                <w:sz w:val="20"/>
                <w:lang w:val="en-US" w:eastAsia="zh-CN"/>
              </w:rPr>
            </w:pPr>
            <w:r w:rsidRPr="00B636B4">
              <w:rPr>
                <w:sz w:val="20"/>
                <w:lang w:val="en-US" w:eastAsia="zh-CN"/>
              </w:rPr>
              <w:t>106,371</w:t>
            </w:r>
          </w:p>
        </w:tc>
        <w:tc>
          <w:tcPr>
            <w:tcW w:w="1241" w:type="dxa"/>
          </w:tcPr>
          <w:p w:rsidR="006F29B5" w:rsidRPr="00EB2BED" w:rsidRDefault="006F29B5" w:rsidP="006F29B5">
            <w:pPr>
              <w:overflowPunct/>
              <w:autoSpaceDE/>
              <w:autoSpaceDN/>
              <w:adjustRightInd/>
              <w:spacing w:before="0"/>
              <w:jc w:val="right"/>
              <w:textAlignment w:val="auto"/>
              <w:rPr>
                <w:sz w:val="20"/>
                <w:lang w:val="en-US" w:eastAsia="zh-CN"/>
              </w:rPr>
            </w:pPr>
            <w:r w:rsidRPr="00B636B4">
              <w:rPr>
                <w:sz w:val="20"/>
                <w:lang w:val="en-US" w:eastAsia="zh-CN"/>
              </w:rPr>
              <w:t>15,875</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1,955</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200</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1,375</w:t>
            </w:r>
          </w:p>
        </w:tc>
        <w:tc>
          <w:tcPr>
            <w:tcW w:w="106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18,500</w:t>
            </w:r>
          </w:p>
        </w:tc>
        <w:tc>
          <w:tcPr>
            <w:tcW w:w="95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14,750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300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100</w:t>
            </w:r>
          </w:p>
        </w:tc>
        <w:tc>
          <w:tcPr>
            <w:tcW w:w="109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1,017</w:t>
            </w:r>
          </w:p>
        </w:tc>
        <w:tc>
          <w:tcPr>
            <w:tcW w:w="963" w:type="dxa"/>
          </w:tcPr>
          <w:p w:rsidR="006F29B5" w:rsidRPr="00B636B4" w:rsidRDefault="006F29B5" w:rsidP="006F29B5">
            <w:pPr>
              <w:tabs>
                <w:tab w:val="left" w:pos="9072"/>
              </w:tabs>
              <w:spacing w:before="0"/>
              <w:jc w:val="right"/>
              <w:rPr>
                <w:sz w:val="20"/>
                <w:lang w:val="en-US" w:eastAsia="zh-CN"/>
              </w:rPr>
            </w:pPr>
            <w:r w:rsidRPr="00D83F91">
              <w:rPr>
                <w:sz w:val="20"/>
                <w:lang w:val="en-US" w:eastAsia="zh-CN"/>
              </w:rPr>
              <w:t>160,443</w:t>
            </w:r>
          </w:p>
        </w:tc>
        <w:tc>
          <w:tcPr>
            <w:tcW w:w="963" w:type="dxa"/>
          </w:tcPr>
          <w:p w:rsidR="006F29B5" w:rsidRPr="009065F5" w:rsidRDefault="006F29B5" w:rsidP="006F29B5">
            <w:pPr>
              <w:tabs>
                <w:tab w:val="left" w:pos="9072"/>
              </w:tabs>
              <w:spacing w:before="0"/>
              <w:jc w:val="right"/>
              <w:rPr>
                <w:sz w:val="20"/>
                <w:lang w:val="en-US" w:eastAsia="zh-CN"/>
              </w:rPr>
            </w:pPr>
            <w:r>
              <w:rPr>
                <w:sz w:val="20"/>
                <w:lang w:val="en-US" w:eastAsia="zh-CN"/>
              </w:rPr>
              <w:t>157,733</w:t>
            </w:r>
          </w:p>
        </w:tc>
      </w:tr>
      <w:tr w:rsidR="006F29B5" w:rsidRPr="003927A0" w:rsidTr="006F29B5">
        <w:tc>
          <w:tcPr>
            <w:tcW w:w="829" w:type="dxa"/>
          </w:tcPr>
          <w:p w:rsidR="006F29B5" w:rsidRPr="003927A0" w:rsidRDefault="006F29B5" w:rsidP="006F29B5">
            <w:pPr>
              <w:tabs>
                <w:tab w:val="left" w:pos="9072"/>
              </w:tabs>
              <w:spacing w:before="0"/>
              <w:rPr>
                <w:b/>
                <w:bCs/>
                <w:sz w:val="20"/>
              </w:rPr>
            </w:pPr>
            <w:r>
              <w:rPr>
                <w:b/>
                <w:bCs/>
                <w:sz w:val="20"/>
              </w:rPr>
              <w:t>2017</w:t>
            </w:r>
          </w:p>
        </w:tc>
        <w:tc>
          <w:tcPr>
            <w:tcW w:w="1241" w:type="dxa"/>
          </w:tcPr>
          <w:p w:rsidR="006F29B5" w:rsidRPr="002C33D1" w:rsidRDefault="006F29B5" w:rsidP="006F29B5">
            <w:pPr>
              <w:overflowPunct/>
              <w:autoSpaceDE/>
              <w:autoSpaceDN/>
              <w:adjustRightInd/>
              <w:spacing w:before="0"/>
              <w:jc w:val="right"/>
              <w:textAlignment w:val="auto"/>
              <w:rPr>
                <w:sz w:val="20"/>
                <w:lang w:val="en-US" w:eastAsia="zh-CN"/>
              </w:rPr>
            </w:pPr>
            <w:r w:rsidRPr="00B636B4">
              <w:rPr>
                <w:sz w:val="20"/>
                <w:lang w:val="en-US" w:eastAsia="zh-CN"/>
              </w:rPr>
              <w:t>106,371</w:t>
            </w:r>
          </w:p>
        </w:tc>
        <w:tc>
          <w:tcPr>
            <w:tcW w:w="1241" w:type="dxa"/>
          </w:tcPr>
          <w:p w:rsidR="006F29B5" w:rsidRPr="00EB2BED" w:rsidRDefault="006F29B5" w:rsidP="006F29B5">
            <w:pPr>
              <w:overflowPunct/>
              <w:autoSpaceDE/>
              <w:autoSpaceDN/>
              <w:adjustRightInd/>
              <w:spacing w:before="0"/>
              <w:jc w:val="right"/>
              <w:textAlignment w:val="auto"/>
              <w:rPr>
                <w:sz w:val="20"/>
                <w:lang w:val="en-US" w:eastAsia="zh-CN"/>
              </w:rPr>
            </w:pPr>
            <w:r w:rsidRPr="00B636B4">
              <w:rPr>
                <w:sz w:val="20"/>
                <w:lang w:val="en-US" w:eastAsia="zh-CN"/>
              </w:rPr>
              <w:t>15,875</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1,955</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200</w:t>
            </w:r>
          </w:p>
        </w:tc>
        <w:tc>
          <w:tcPr>
            <w:tcW w:w="124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1,375</w:t>
            </w:r>
          </w:p>
        </w:tc>
        <w:tc>
          <w:tcPr>
            <w:tcW w:w="1061"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18,500</w:t>
            </w:r>
          </w:p>
        </w:tc>
        <w:tc>
          <w:tcPr>
            <w:tcW w:w="95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14,750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300</w:t>
            </w:r>
          </w:p>
        </w:tc>
        <w:tc>
          <w:tcPr>
            <w:tcW w:w="93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100</w:t>
            </w:r>
          </w:p>
        </w:tc>
        <w:tc>
          <w:tcPr>
            <w:tcW w:w="1099" w:type="dxa"/>
          </w:tcPr>
          <w:p w:rsidR="006F29B5" w:rsidRPr="00B636B4" w:rsidRDefault="006F29B5" w:rsidP="006F29B5">
            <w:pPr>
              <w:tabs>
                <w:tab w:val="left" w:pos="9072"/>
              </w:tabs>
              <w:spacing w:before="0"/>
              <w:jc w:val="right"/>
              <w:rPr>
                <w:sz w:val="20"/>
                <w:lang w:val="en-US" w:eastAsia="zh-CN"/>
              </w:rPr>
            </w:pPr>
            <w:r w:rsidRPr="00B636B4">
              <w:rPr>
                <w:sz w:val="20"/>
                <w:lang w:val="en-US" w:eastAsia="zh-CN"/>
              </w:rPr>
              <w:t>1,434</w:t>
            </w:r>
          </w:p>
        </w:tc>
        <w:tc>
          <w:tcPr>
            <w:tcW w:w="963" w:type="dxa"/>
          </w:tcPr>
          <w:p w:rsidR="006F29B5" w:rsidRPr="00B636B4" w:rsidRDefault="006F29B5" w:rsidP="006F29B5">
            <w:pPr>
              <w:tabs>
                <w:tab w:val="left" w:pos="9072"/>
              </w:tabs>
              <w:spacing w:before="0"/>
              <w:jc w:val="right"/>
              <w:rPr>
                <w:sz w:val="20"/>
                <w:lang w:val="en-US" w:eastAsia="zh-CN"/>
              </w:rPr>
            </w:pPr>
            <w:r w:rsidRPr="00D83F91">
              <w:rPr>
                <w:sz w:val="20"/>
                <w:lang w:val="en-US" w:eastAsia="zh-CN"/>
              </w:rPr>
              <w:t>160,860</w:t>
            </w:r>
          </w:p>
        </w:tc>
        <w:tc>
          <w:tcPr>
            <w:tcW w:w="963" w:type="dxa"/>
          </w:tcPr>
          <w:p w:rsidR="006F29B5" w:rsidRPr="009065F5" w:rsidRDefault="006F29B5" w:rsidP="006F29B5">
            <w:pPr>
              <w:tabs>
                <w:tab w:val="left" w:pos="9072"/>
              </w:tabs>
              <w:spacing w:before="0"/>
              <w:jc w:val="right"/>
              <w:rPr>
                <w:sz w:val="20"/>
                <w:lang w:val="en-US" w:eastAsia="zh-CN"/>
              </w:rPr>
            </w:pPr>
            <w:r>
              <w:rPr>
                <w:sz w:val="20"/>
                <w:lang w:val="en-US" w:eastAsia="zh-CN"/>
              </w:rPr>
              <w:t>161,034</w:t>
            </w:r>
          </w:p>
        </w:tc>
      </w:tr>
    </w:tbl>
    <w:p w:rsidR="006F29B5" w:rsidRPr="005D3DD3" w:rsidRDefault="006F29B5" w:rsidP="006F29B5">
      <w:pPr>
        <w:rPr>
          <w:b/>
        </w:rPr>
      </w:pP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rPr>
        <w:sectPr w:rsidR="006F29B5" w:rsidSect="006F29B5">
          <w:headerReference w:type="default" r:id="rId12"/>
          <w:footerReference w:type="first" r:id="rId13"/>
          <w:pgSz w:w="16834" w:h="11913" w:orient="landscape" w:code="9"/>
          <w:pgMar w:top="1134" w:right="1134" w:bottom="1134" w:left="794" w:header="720" w:footer="720" w:gutter="0"/>
          <w:paperSrc w:first="15" w:other="15"/>
          <w:cols w:space="720"/>
          <w:docGrid w:linePitch="326"/>
        </w:sectPr>
      </w:pPr>
    </w:p>
    <w:p w:rsidR="006F29B5" w:rsidRPr="00486B4E" w:rsidRDefault="006F29B5" w:rsidP="006F29B5">
      <w:pPr>
        <w:pStyle w:val="Heading1"/>
        <w:tabs>
          <w:tab w:val="clear" w:pos="567"/>
          <w:tab w:val="left" w:pos="709"/>
        </w:tabs>
        <w:spacing w:before="0"/>
        <w:ind w:left="709" w:hanging="709"/>
        <w:jc w:val="both"/>
      </w:pPr>
      <w:r>
        <w:t>3</w:t>
      </w:r>
      <w:r w:rsidRPr="00486B4E">
        <w:tab/>
        <w:t xml:space="preserve">Assets, liabilities and </w:t>
      </w:r>
      <w:r>
        <w:t>net assets at 31 December 2017</w:t>
      </w:r>
    </w:p>
    <w:p w:rsidR="006F29B5" w:rsidRDefault="006F29B5" w:rsidP="006F29B5">
      <w:pPr>
        <w:tabs>
          <w:tab w:val="clear" w:pos="567"/>
          <w:tab w:val="left" w:pos="709"/>
        </w:tabs>
        <w:jc w:val="both"/>
      </w:pPr>
      <w:r>
        <w:t>3.1</w:t>
      </w:r>
      <w:r>
        <w:tab/>
      </w:r>
      <w:r w:rsidRPr="00486B4E">
        <w:t>In order to assess the financial state of the Union, the Plenipotentiary Conference may wish to take note of the position of the assets and liabilities of the Union at 3</w:t>
      </w:r>
      <w:r>
        <w:t xml:space="preserve">1 December 2017. The Statements </w:t>
      </w:r>
      <w:r w:rsidRPr="00B56EEA">
        <w:rPr>
          <w:spacing w:val="-2"/>
        </w:rPr>
        <w:t xml:space="preserve">of financial situation for the four financial periods are included in Annexes A, B, C and D. </w:t>
      </w:r>
      <w:r>
        <w:t>The statements of financial situation are presenting a comprehensive view of ITU activities.</w:t>
      </w:r>
    </w:p>
    <w:p w:rsidR="006F29B5" w:rsidRDefault="006F29B5" w:rsidP="006F29B5">
      <w:pPr>
        <w:tabs>
          <w:tab w:val="clear" w:pos="567"/>
          <w:tab w:val="left" w:pos="709"/>
        </w:tabs>
        <w:jc w:val="both"/>
      </w:pPr>
      <w:r>
        <w:t>3</w:t>
      </w:r>
      <w:r w:rsidRPr="00B21FDD">
        <w:t>.2</w:t>
      </w:r>
      <w:r w:rsidRPr="00B21FDD">
        <w:tab/>
        <w:t>IPSAS mandatory information related to each Statement of financial situation and statement of financial performance position are included in the financial operating reports presented to Council (</w:t>
      </w:r>
      <w:hyperlink r:id="rId14" w:history="1">
        <w:r w:rsidRPr="0090095C">
          <w:rPr>
            <w:rStyle w:val="Hyperlink"/>
          </w:rPr>
          <w:t>C15/50</w:t>
        </w:r>
      </w:hyperlink>
      <w:r w:rsidRPr="00B21FDD">
        <w:t xml:space="preserve">, </w:t>
      </w:r>
      <w:hyperlink r:id="rId15" w:history="1">
        <w:r w:rsidRPr="0090095C">
          <w:rPr>
            <w:rStyle w:val="Hyperlink"/>
          </w:rPr>
          <w:t>C16/42</w:t>
        </w:r>
      </w:hyperlink>
      <w:r w:rsidRPr="00B21FDD">
        <w:t xml:space="preserve">, </w:t>
      </w:r>
      <w:hyperlink r:id="rId16" w:history="1">
        <w:r w:rsidRPr="0090095C">
          <w:rPr>
            <w:rStyle w:val="Hyperlink"/>
          </w:rPr>
          <w:t>C17/42</w:t>
        </w:r>
      </w:hyperlink>
      <w:r w:rsidRPr="00B21FDD">
        <w:t xml:space="preserve"> </w:t>
      </w:r>
      <w:r w:rsidRPr="00F84226">
        <w:t xml:space="preserve">and </w:t>
      </w:r>
      <w:hyperlink r:id="rId17" w:history="1">
        <w:r w:rsidRPr="0090095C">
          <w:rPr>
            <w:rStyle w:val="Hyperlink"/>
          </w:rPr>
          <w:t>C18/43</w:t>
        </w:r>
      </w:hyperlink>
      <w:r w:rsidRPr="00F84226">
        <w:t>). These Documents focuses on specific significant positions of ITU financial operating reports.</w:t>
      </w:r>
    </w:p>
    <w:p w:rsidR="006F29B5" w:rsidRPr="00AA02E9" w:rsidRDefault="006F29B5" w:rsidP="006F29B5">
      <w:pPr>
        <w:pStyle w:val="Heading1"/>
        <w:tabs>
          <w:tab w:val="clear" w:pos="567"/>
          <w:tab w:val="left" w:pos="709"/>
        </w:tabs>
        <w:spacing w:before="360"/>
        <w:ind w:left="709" w:hanging="709"/>
        <w:jc w:val="both"/>
      </w:pPr>
      <w:r w:rsidRPr="00AA02E9">
        <w:t>4</w:t>
      </w:r>
      <w:r w:rsidRPr="00AA02E9">
        <w:tab/>
        <w:t>Reserve Account and net assets</w:t>
      </w:r>
    </w:p>
    <w:p w:rsidR="006F29B5" w:rsidRPr="001C2A98" w:rsidRDefault="006F29B5" w:rsidP="006F29B5">
      <w:pPr>
        <w:tabs>
          <w:tab w:val="clear" w:pos="567"/>
          <w:tab w:val="left" w:pos="709"/>
        </w:tabs>
        <w:jc w:val="both"/>
        <w:rPr>
          <w:bCs/>
          <w:lang w:val="en-US"/>
        </w:rPr>
      </w:pPr>
      <w:r>
        <w:t>4</w:t>
      </w:r>
      <w:r w:rsidRPr="00486B4E">
        <w:t>.1</w:t>
      </w:r>
      <w:r w:rsidRPr="00486B4E">
        <w:tab/>
        <w:t>Unlike other United Nations specialized agencies, ITU does not have a working capital fund to ensure the financing of its activities</w:t>
      </w:r>
      <w:r>
        <w:t xml:space="preserve">. </w:t>
      </w:r>
      <w:r w:rsidRPr="00CF59BF">
        <w:t xml:space="preserve">In accordance with </w:t>
      </w:r>
      <w:r w:rsidRPr="00AB5D43">
        <w:t>No. 485 of the Convention and Article</w:t>
      </w:r>
      <w:r>
        <w:t> </w:t>
      </w:r>
      <w:r w:rsidRPr="00AB5D43">
        <w:t>27 of the Financial Regulations</w:t>
      </w:r>
      <w:r>
        <w:t xml:space="preserve"> and Financial Rules</w:t>
      </w:r>
      <w:r w:rsidRPr="00AB5D43">
        <w:t>, the Reserve Account is mai</w:t>
      </w:r>
      <w:r w:rsidRPr="00CF59BF">
        <w:t>ntained mainly from unused appropriations</w:t>
      </w:r>
      <w:r>
        <w:t xml:space="preserve">. </w:t>
      </w:r>
      <w:r w:rsidRPr="001C2A98">
        <w:rPr>
          <w:bCs/>
          <w:lang w:val="en-US"/>
        </w:rPr>
        <w:t>Variations in the Reserve Account are detailed in the statement of changes in the net assets of the Union.</w:t>
      </w:r>
      <w:r>
        <w:rPr>
          <w:bCs/>
          <w:lang w:val="en-US"/>
        </w:rPr>
        <w:t xml:space="preserve"> </w:t>
      </w:r>
      <w:r w:rsidRPr="001C2A98">
        <w:rPr>
          <w:bCs/>
          <w:lang w:val="en-US"/>
        </w:rPr>
        <w:t xml:space="preserve"> It is made up of:</w:t>
      </w:r>
    </w:p>
    <w:p w:rsidR="006F29B5" w:rsidRPr="00085D2D" w:rsidRDefault="006F29B5" w:rsidP="006F29B5">
      <w:pPr>
        <w:spacing w:after="60"/>
        <w:ind w:left="567" w:hanging="567"/>
        <w:jc w:val="both"/>
        <w:rPr>
          <w:bCs/>
          <w:lang w:val="en-US"/>
        </w:rPr>
      </w:pPr>
      <w:r w:rsidRPr="00085D2D">
        <w:rPr>
          <w:bCs/>
          <w:lang w:val="en-US"/>
        </w:rPr>
        <w:t>a)</w:t>
      </w:r>
      <w:r w:rsidRPr="00085D2D">
        <w:rPr>
          <w:bCs/>
          <w:lang w:val="en-US"/>
        </w:rPr>
        <w:tab/>
        <w:t xml:space="preserve">the positive or negative net balance from the regular </w:t>
      </w:r>
      <w:r>
        <w:rPr>
          <w:bCs/>
          <w:lang w:val="en-US"/>
        </w:rPr>
        <w:t>budget implementation</w:t>
      </w:r>
      <w:r w:rsidRPr="00085D2D">
        <w:rPr>
          <w:bCs/>
          <w:lang w:val="en-US"/>
        </w:rPr>
        <w:t xml:space="preserve"> for each financial year</w:t>
      </w:r>
      <w:r>
        <w:rPr>
          <w:bCs/>
          <w:lang w:val="en-US"/>
        </w:rPr>
        <w:t>;</w:t>
      </w:r>
    </w:p>
    <w:p w:rsidR="006F29B5" w:rsidRPr="00085D2D" w:rsidRDefault="006F29B5" w:rsidP="006F29B5">
      <w:pPr>
        <w:spacing w:before="60" w:after="60"/>
        <w:jc w:val="both"/>
        <w:rPr>
          <w:bCs/>
          <w:lang w:val="en-US"/>
        </w:rPr>
      </w:pPr>
      <w:r w:rsidRPr="00085D2D">
        <w:rPr>
          <w:bCs/>
          <w:lang w:val="en-US"/>
        </w:rPr>
        <w:t>b)</w:t>
      </w:r>
      <w:r w:rsidRPr="00085D2D">
        <w:rPr>
          <w:bCs/>
          <w:lang w:val="en-US"/>
        </w:rPr>
        <w:tab/>
        <w:t>transfers from other reserves/funds as decided by the Council</w:t>
      </w:r>
      <w:r>
        <w:rPr>
          <w:bCs/>
          <w:lang w:val="en-US"/>
        </w:rPr>
        <w:t>;</w:t>
      </w:r>
    </w:p>
    <w:p w:rsidR="006F29B5" w:rsidRPr="001C2A98" w:rsidRDefault="006F29B5" w:rsidP="006F29B5">
      <w:pPr>
        <w:spacing w:before="60"/>
        <w:ind w:left="567" w:hanging="567"/>
        <w:jc w:val="both"/>
        <w:rPr>
          <w:b/>
          <w:lang w:val="en-US"/>
        </w:rPr>
      </w:pPr>
      <w:r w:rsidRPr="00085D2D">
        <w:rPr>
          <w:bCs/>
          <w:lang w:val="en-US"/>
        </w:rPr>
        <w:t>c)</w:t>
      </w:r>
      <w:r w:rsidRPr="00085D2D">
        <w:rPr>
          <w:bCs/>
          <w:lang w:val="en-US"/>
        </w:rPr>
        <w:tab/>
        <w:t xml:space="preserve">any amounts to be credited to the Reserve Account as prescribed by the </w:t>
      </w:r>
      <w:r w:rsidRPr="001C2A98">
        <w:rPr>
          <w:lang w:val="en-US"/>
        </w:rPr>
        <w:t>accounting standards common to the organizations of the United Nations system.</w:t>
      </w:r>
    </w:p>
    <w:p w:rsidR="006F29B5" w:rsidRPr="00AB5D43" w:rsidRDefault="006F29B5" w:rsidP="006F29B5">
      <w:pPr>
        <w:tabs>
          <w:tab w:val="clear" w:pos="567"/>
          <w:tab w:val="left" w:pos="709"/>
        </w:tabs>
        <w:jc w:val="both"/>
      </w:pPr>
      <w:r>
        <w:t>4</w:t>
      </w:r>
      <w:r w:rsidRPr="00486B4E">
        <w:t>.2</w:t>
      </w:r>
      <w:r w:rsidRPr="00486B4E">
        <w:tab/>
        <w:t>By its Decision 5 (Rev. </w:t>
      </w:r>
      <w:r>
        <w:t>Busan, 2014)</w:t>
      </w:r>
      <w:r w:rsidRPr="00486B4E">
        <w:t xml:space="preserve">, the Plenipotentiary Conference requested the Council to aim under normal </w:t>
      </w:r>
      <w:r w:rsidRPr="00AB5D43">
        <w:t>circumstances at keeping the Reserve Account (after integration of unused appropriations) at a level above six per cent of the total budget.</w:t>
      </w:r>
    </w:p>
    <w:p w:rsidR="006F29B5" w:rsidRPr="00551947" w:rsidRDefault="006F29B5" w:rsidP="006F29B5">
      <w:pPr>
        <w:pStyle w:val="Header"/>
        <w:tabs>
          <w:tab w:val="left" w:pos="709"/>
        </w:tabs>
        <w:overflowPunct/>
        <w:autoSpaceDE/>
        <w:snapToGrid w:val="0"/>
        <w:spacing w:before="120" w:after="120"/>
        <w:jc w:val="lowKashida"/>
        <w:textAlignment w:val="auto"/>
        <w:rPr>
          <w:rFonts w:asciiTheme="minorHAnsi" w:hAnsiTheme="minorHAnsi"/>
          <w:sz w:val="24"/>
          <w:szCs w:val="24"/>
        </w:rPr>
      </w:pPr>
      <w:r>
        <w:rPr>
          <w:sz w:val="24"/>
        </w:rPr>
        <w:t>4.3</w:t>
      </w:r>
      <w:r>
        <w:rPr>
          <w:sz w:val="24"/>
        </w:rPr>
        <w:tab/>
        <w:t>In accordance with Resolution 1359, adopted by the Council at its 2013</w:t>
      </w:r>
      <w:r w:rsidRPr="00681CBD">
        <w:rPr>
          <w:sz w:val="24"/>
        </w:rPr>
        <w:t xml:space="preserve"> session</w:t>
      </w:r>
      <w:r>
        <w:rPr>
          <w:sz w:val="24"/>
        </w:rPr>
        <w:t xml:space="preserve">, </w:t>
      </w:r>
      <w:r w:rsidRPr="00AB5D43">
        <w:rPr>
          <w:rFonts w:asciiTheme="minorHAnsi" w:hAnsiTheme="minorHAnsi"/>
          <w:sz w:val="24"/>
          <w:szCs w:val="24"/>
        </w:rPr>
        <w:t>the Secretary</w:t>
      </w:r>
      <w:r w:rsidRPr="00551947">
        <w:rPr>
          <w:rFonts w:asciiTheme="minorHAnsi" w:hAnsiTheme="minorHAnsi"/>
          <w:sz w:val="24"/>
          <w:szCs w:val="24"/>
        </w:rPr>
        <w:t xml:space="preserve">-General </w:t>
      </w:r>
      <w:r>
        <w:rPr>
          <w:rFonts w:asciiTheme="minorHAnsi" w:hAnsiTheme="minorHAnsi"/>
          <w:sz w:val="24"/>
          <w:szCs w:val="24"/>
        </w:rPr>
        <w:t xml:space="preserve">was authorized </w:t>
      </w:r>
      <w:r w:rsidRPr="00551947">
        <w:rPr>
          <w:rFonts w:asciiTheme="minorHAnsi" w:hAnsiTheme="minorHAnsi"/>
          <w:sz w:val="24"/>
          <w:szCs w:val="24"/>
        </w:rPr>
        <w:t>to adjust the appropriations in relation to the items of expenses in a) and b) below in accordance with the incurred changes through the use of the Reserve Account, and provided that the Reserve Account is kept at the level prescribed in Decision 5 (Rev.</w:t>
      </w:r>
      <w:r>
        <w:rPr>
          <w:rFonts w:asciiTheme="minorHAnsi" w:hAnsiTheme="minorHAnsi"/>
          <w:sz w:val="24"/>
          <w:szCs w:val="24"/>
        </w:rPr>
        <w:t> Busan</w:t>
      </w:r>
      <w:r w:rsidRPr="00551947">
        <w:rPr>
          <w:rFonts w:asciiTheme="minorHAnsi" w:hAnsiTheme="minorHAnsi"/>
          <w:sz w:val="24"/>
          <w:szCs w:val="24"/>
        </w:rPr>
        <w:t>,</w:t>
      </w:r>
      <w:r>
        <w:rPr>
          <w:rFonts w:asciiTheme="minorHAnsi" w:hAnsiTheme="minorHAnsi"/>
          <w:sz w:val="24"/>
          <w:szCs w:val="24"/>
        </w:rPr>
        <w:t> </w:t>
      </w:r>
      <w:r w:rsidRPr="00551947">
        <w:rPr>
          <w:rFonts w:asciiTheme="minorHAnsi" w:hAnsiTheme="minorHAnsi"/>
          <w:sz w:val="24"/>
          <w:szCs w:val="24"/>
        </w:rPr>
        <w:t>201</w:t>
      </w:r>
      <w:r>
        <w:rPr>
          <w:rFonts w:asciiTheme="minorHAnsi" w:hAnsiTheme="minorHAnsi"/>
          <w:sz w:val="24"/>
          <w:szCs w:val="24"/>
        </w:rPr>
        <w:t>4</w:t>
      </w:r>
      <w:r w:rsidRPr="00551947">
        <w:rPr>
          <w:rFonts w:asciiTheme="minorHAnsi" w:hAnsiTheme="minorHAnsi"/>
          <w:sz w:val="24"/>
          <w:szCs w:val="24"/>
        </w:rPr>
        <w:t xml:space="preserve">): </w:t>
      </w:r>
    </w:p>
    <w:p w:rsidR="006F29B5" w:rsidRPr="00551947" w:rsidRDefault="006F29B5" w:rsidP="006F29B5">
      <w:pPr>
        <w:pStyle w:val="TOC1"/>
        <w:tabs>
          <w:tab w:val="clear" w:pos="964"/>
          <w:tab w:val="left" w:pos="709"/>
        </w:tabs>
        <w:snapToGrid w:val="0"/>
        <w:spacing w:before="120" w:after="60"/>
        <w:ind w:left="709" w:hanging="709"/>
        <w:jc w:val="lowKashida"/>
        <w:rPr>
          <w:rFonts w:asciiTheme="minorHAnsi" w:hAnsiTheme="minorHAnsi"/>
        </w:rPr>
      </w:pPr>
      <w:r w:rsidRPr="00551947">
        <w:t>a)</w:t>
      </w:r>
      <w:r w:rsidRPr="00551947">
        <w:tab/>
        <w:t>Increases in salary scales, pension contributions and allowances, including post adjustments, applicable to Geneva, as adopted by the United Nations common system;</w:t>
      </w:r>
    </w:p>
    <w:p w:rsidR="006F29B5" w:rsidRPr="00551947" w:rsidRDefault="006F29B5" w:rsidP="006F29B5">
      <w:pPr>
        <w:pStyle w:val="TOC1"/>
        <w:tabs>
          <w:tab w:val="clear" w:pos="964"/>
          <w:tab w:val="left" w:pos="709"/>
        </w:tabs>
        <w:snapToGrid w:val="0"/>
        <w:spacing w:before="60" w:after="120"/>
        <w:ind w:left="709" w:hanging="709"/>
        <w:jc w:val="lowKashida"/>
      </w:pPr>
      <w:r w:rsidRPr="00551947">
        <w:t>b)</w:t>
      </w:r>
      <w:r w:rsidRPr="00551947">
        <w:tab/>
        <w:t xml:space="preserve">Fluctuations in the exchange rate between the US dollar and the Swiss franc in so far as </w:t>
      </w:r>
      <w:r w:rsidRPr="00551947">
        <w:tab/>
        <w:t>this affects the staff costs for those staff members on United Nations scales.</w:t>
      </w:r>
    </w:p>
    <w:p w:rsidR="006F29B5" w:rsidRDefault="006F29B5" w:rsidP="006F29B5">
      <w:pPr>
        <w:pStyle w:val="Header"/>
        <w:tabs>
          <w:tab w:val="left" w:pos="709"/>
        </w:tabs>
        <w:overflowPunct/>
        <w:autoSpaceDE/>
        <w:snapToGrid w:val="0"/>
        <w:spacing w:before="120" w:after="120"/>
        <w:jc w:val="both"/>
        <w:textAlignment w:val="auto"/>
        <w:rPr>
          <w:sz w:val="24"/>
        </w:rPr>
      </w:pPr>
      <w:r>
        <w:rPr>
          <w:sz w:val="24"/>
        </w:rPr>
        <w:t>4.4</w:t>
      </w:r>
      <w:r>
        <w:rPr>
          <w:sz w:val="24"/>
        </w:rPr>
        <w:tab/>
        <w:t xml:space="preserve">With this Resolution (1359), the </w:t>
      </w:r>
      <w:r w:rsidRPr="00AB5D43">
        <w:rPr>
          <w:rFonts w:asciiTheme="minorHAnsi" w:hAnsiTheme="minorHAnsi"/>
          <w:sz w:val="24"/>
          <w:szCs w:val="24"/>
        </w:rPr>
        <w:t>Secretary</w:t>
      </w:r>
      <w:r w:rsidRPr="00551947">
        <w:rPr>
          <w:rFonts w:asciiTheme="minorHAnsi" w:hAnsiTheme="minorHAnsi"/>
          <w:sz w:val="24"/>
          <w:szCs w:val="24"/>
        </w:rPr>
        <w:t>-General</w:t>
      </w:r>
      <w:r>
        <w:rPr>
          <w:rFonts w:asciiTheme="minorHAnsi" w:hAnsiTheme="minorHAnsi"/>
          <w:sz w:val="24"/>
          <w:szCs w:val="24"/>
        </w:rPr>
        <w:t xml:space="preserve"> was instructed to </w:t>
      </w:r>
      <w:r>
        <w:rPr>
          <w:sz w:val="24"/>
        </w:rPr>
        <w:t>withdraw CHF 4,000,000 from the Reserve Account to set up the ASHI Fund in order to take the first step towards addressing the unfunded long-term liabilities.</w:t>
      </w:r>
    </w:p>
    <w:p w:rsidR="006F29B5" w:rsidRDefault="006F29B5" w:rsidP="006F29B5">
      <w:pPr>
        <w:pStyle w:val="Header"/>
        <w:tabs>
          <w:tab w:val="left" w:pos="709"/>
        </w:tabs>
        <w:overflowPunct/>
        <w:autoSpaceDE/>
        <w:snapToGrid w:val="0"/>
        <w:spacing w:before="120" w:after="120"/>
        <w:jc w:val="lowKashida"/>
        <w:textAlignment w:val="auto"/>
        <w:rPr>
          <w:rFonts w:asciiTheme="minorHAnsi" w:hAnsiTheme="minorHAnsi"/>
          <w:sz w:val="24"/>
          <w:szCs w:val="24"/>
        </w:rPr>
      </w:pPr>
      <w:r>
        <w:rPr>
          <w:sz w:val="24"/>
        </w:rPr>
        <w:t>4.5</w:t>
      </w:r>
      <w:r>
        <w:rPr>
          <w:sz w:val="24"/>
        </w:rPr>
        <w:tab/>
      </w:r>
      <w:r w:rsidRPr="00AB5D43">
        <w:rPr>
          <w:sz w:val="24"/>
        </w:rPr>
        <w:t>In accordance with Res</w:t>
      </w:r>
      <w:r>
        <w:rPr>
          <w:sz w:val="24"/>
        </w:rPr>
        <w:t>olution </w:t>
      </w:r>
      <w:r w:rsidRPr="00AB5D43">
        <w:rPr>
          <w:sz w:val="24"/>
        </w:rPr>
        <w:t>13</w:t>
      </w:r>
      <w:r>
        <w:rPr>
          <w:sz w:val="24"/>
        </w:rPr>
        <w:t xml:space="preserve">75, </w:t>
      </w:r>
      <w:r w:rsidRPr="00681CBD">
        <w:rPr>
          <w:sz w:val="24"/>
        </w:rPr>
        <w:t>adopted by the Council at its 201</w:t>
      </w:r>
      <w:r>
        <w:rPr>
          <w:sz w:val="24"/>
        </w:rPr>
        <w:t>5</w:t>
      </w:r>
      <w:r w:rsidRPr="00681CBD">
        <w:rPr>
          <w:sz w:val="24"/>
        </w:rPr>
        <w:t xml:space="preserve"> session</w:t>
      </w:r>
      <w:r>
        <w:rPr>
          <w:sz w:val="24"/>
        </w:rPr>
        <w:t>,</w:t>
      </w:r>
      <w:r w:rsidRPr="00AB5D43">
        <w:rPr>
          <w:sz w:val="24"/>
        </w:rPr>
        <w:t xml:space="preserve"> </w:t>
      </w:r>
      <w:r w:rsidRPr="00AB5D43">
        <w:rPr>
          <w:rFonts w:asciiTheme="minorHAnsi" w:hAnsiTheme="minorHAnsi"/>
          <w:sz w:val="24"/>
          <w:szCs w:val="24"/>
        </w:rPr>
        <w:t>the Secretary</w:t>
      </w:r>
      <w:r w:rsidRPr="00551947">
        <w:rPr>
          <w:rFonts w:asciiTheme="minorHAnsi" w:hAnsiTheme="minorHAnsi"/>
          <w:sz w:val="24"/>
          <w:szCs w:val="24"/>
        </w:rPr>
        <w:t xml:space="preserve">-General </w:t>
      </w:r>
      <w:r>
        <w:rPr>
          <w:rFonts w:asciiTheme="minorHAnsi" w:hAnsiTheme="minorHAnsi"/>
          <w:sz w:val="24"/>
          <w:szCs w:val="24"/>
        </w:rPr>
        <w:t>was authorized to:</w:t>
      </w:r>
    </w:p>
    <w:p w:rsidR="006F29B5" w:rsidRPr="00551947" w:rsidRDefault="006F29B5" w:rsidP="006F29B5">
      <w:pPr>
        <w:pStyle w:val="Header"/>
        <w:tabs>
          <w:tab w:val="left" w:pos="709"/>
        </w:tabs>
        <w:overflowPunct/>
        <w:autoSpaceDE/>
        <w:snapToGrid w:val="0"/>
        <w:spacing w:before="120" w:after="120"/>
        <w:jc w:val="lowKashida"/>
        <w:textAlignment w:val="auto"/>
        <w:rPr>
          <w:rFonts w:asciiTheme="minorHAnsi" w:hAnsiTheme="minorHAnsi"/>
          <w:sz w:val="24"/>
          <w:szCs w:val="24"/>
        </w:rPr>
      </w:pPr>
      <w:r w:rsidRPr="00551947">
        <w:rPr>
          <w:rFonts w:asciiTheme="minorHAnsi" w:hAnsiTheme="minorHAnsi"/>
          <w:sz w:val="24"/>
          <w:szCs w:val="24"/>
        </w:rPr>
        <w:t xml:space="preserve">adjust the appropriations in relation to the items of expenses in a) and b) below in accordance with the incurred changes through the use of the Reserve Account, </w:t>
      </w:r>
      <w:r w:rsidRPr="00C46B12">
        <w:rPr>
          <w:rFonts w:asciiTheme="minorHAnsi" w:hAnsiTheme="minorHAnsi"/>
          <w:sz w:val="24"/>
          <w:szCs w:val="24"/>
        </w:rPr>
        <w:t>and provided that the Reserve Account is kept at the level prescribed in Decision 5 (Rev. Busan,</w:t>
      </w:r>
      <w:r>
        <w:rPr>
          <w:rFonts w:asciiTheme="minorHAnsi" w:hAnsiTheme="minorHAnsi"/>
          <w:sz w:val="24"/>
          <w:szCs w:val="24"/>
        </w:rPr>
        <w:t> </w:t>
      </w:r>
      <w:r w:rsidRPr="00C46B12">
        <w:rPr>
          <w:rFonts w:asciiTheme="minorHAnsi" w:hAnsiTheme="minorHAnsi"/>
          <w:sz w:val="24"/>
          <w:szCs w:val="24"/>
        </w:rPr>
        <w:t>2014):</w:t>
      </w:r>
      <w:r w:rsidRPr="00551947">
        <w:rPr>
          <w:rFonts w:asciiTheme="minorHAnsi" w:hAnsiTheme="minorHAnsi"/>
          <w:sz w:val="24"/>
          <w:szCs w:val="24"/>
        </w:rPr>
        <w:t xml:space="preserve"> </w:t>
      </w:r>
    </w:p>
    <w:p w:rsidR="006F29B5" w:rsidRPr="00551947" w:rsidRDefault="006F29B5" w:rsidP="006F29B5">
      <w:pPr>
        <w:pStyle w:val="TOC1"/>
        <w:tabs>
          <w:tab w:val="clear" w:pos="964"/>
          <w:tab w:val="left" w:pos="709"/>
        </w:tabs>
        <w:snapToGrid w:val="0"/>
        <w:spacing w:before="120" w:after="60"/>
        <w:ind w:left="709" w:hanging="709"/>
        <w:jc w:val="lowKashida"/>
        <w:rPr>
          <w:rFonts w:asciiTheme="minorHAnsi" w:hAnsiTheme="minorHAnsi"/>
        </w:rPr>
      </w:pPr>
      <w:r w:rsidRPr="00551947">
        <w:t>a)</w:t>
      </w:r>
      <w:r w:rsidRPr="00551947">
        <w:tab/>
        <w:t>Increases in salary scales, pension contributions and allowances, including post adjustments, applicable to Geneva, as adopted by the United Nations common system;</w:t>
      </w:r>
    </w:p>
    <w:p w:rsidR="006F29B5" w:rsidRDefault="006F29B5" w:rsidP="006F29B5">
      <w:pPr>
        <w:pStyle w:val="TOC1"/>
        <w:tabs>
          <w:tab w:val="clear" w:pos="964"/>
          <w:tab w:val="left" w:pos="709"/>
        </w:tabs>
        <w:snapToGrid w:val="0"/>
        <w:spacing w:before="60" w:after="120"/>
        <w:ind w:left="709" w:hanging="709"/>
        <w:jc w:val="lowKashida"/>
      </w:pPr>
      <w:r w:rsidRPr="00551947">
        <w:t>b)</w:t>
      </w:r>
      <w:r w:rsidRPr="00551947">
        <w:tab/>
        <w:t xml:space="preserve">Fluctuations in the exchange rate between the US dollar and the Swiss franc in so far as </w:t>
      </w:r>
      <w:r w:rsidRPr="00551947">
        <w:tab/>
        <w:t>this affects the staff costs for those staff m</w:t>
      </w:r>
      <w:r>
        <w:t>embers on United Nations scales;</w:t>
      </w:r>
    </w:p>
    <w:p w:rsidR="006F29B5" w:rsidRDefault="006F29B5" w:rsidP="0090095C">
      <w:pPr>
        <w:tabs>
          <w:tab w:val="left" w:pos="720"/>
        </w:tabs>
        <w:snapToGrid w:val="0"/>
        <w:spacing w:after="120"/>
        <w:jc w:val="both"/>
        <w:rPr>
          <w:rFonts w:cs="Calibri"/>
          <w:szCs w:val="24"/>
        </w:rPr>
      </w:pPr>
      <w:r w:rsidRPr="00480492">
        <w:rPr>
          <w:rFonts w:cs="Calibri"/>
          <w:szCs w:val="24"/>
        </w:rPr>
        <w:t>withdraw CHF 2,451,000 from the Reserve Account to provide for the organization of the</w:t>
      </w:r>
      <w:r>
        <w:rPr>
          <w:rFonts w:cs="Calibri"/>
          <w:szCs w:val="24"/>
        </w:rPr>
        <w:t xml:space="preserve"> </w:t>
      </w:r>
      <w:r w:rsidRPr="00480492">
        <w:rPr>
          <w:rFonts w:cs="Calibri"/>
          <w:szCs w:val="24"/>
        </w:rPr>
        <w:t>WTDC-17 (Resolution 77 (Rev. Busan, 2014)), which was planned in 2018 in the Financial Plan of the Union</w:t>
      </w:r>
      <w:r>
        <w:rPr>
          <w:rFonts w:cs="Calibri"/>
          <w:szCs w:val="24"/>
        </w:rPr>
        <w:t>. T</w:t>
      </w:r>
      <w:r w:rsidRPr="00480492">
        <w:rPr>
          <w:rFonts w:cs="Calibri"/>
          <w:szCs w:val="24"/>
        </w:rPr>
        <w:t>his amount of CHF 2,451,000 will be paid back to the Reserve Account in the draft Bu</w:t>
      </w:r>
      <w:r>
        <w:rPr>
          <w:rFonts w:cs="Calibri"/>
          <w:szCs w:val="24"/>
        </w:rPr>
        <w:t>dget for the 2018-2019 biennium.</w:t>
      </w:r>
    </w:p>
    <w:p w:rsidR="006F29B5" w:rsidRPr="00480492" w:rsidRDefault="006F29B5" w:rsidP="006F29B5">
      <w:pPr>
        <w:tabs>
          <w:tab w:val="left" w:pos="720"/>
        </w:tabs>
        <w:snapToGrid w:val="0"/>
        <w:spacing w:after="120"/>
        <w:rPr>
          <w:rFonts w:cs="Calibri"/>
          <w:szCs w:val="24"/>
        </w:rPr>
      </w:pPr>
      <w:r w:rsidRPr="00480492">
        <w:rPr>
          <w:rFonts w:cs="Calibri"/>
          <w:szCs w:val="24"/>
        </w:rPr>
        <w:t>transfer CHF 1,000,000 from the Reserve Account on 1 January 2016 to the ASHI fund in order to address the unfunded long-term liabilities.</w:t>
      </w:r>
    </w:p>
    <w:p w:rsidR="006F29B5" w:rsidRDefault="006F29B5" w:rsidP="006F29B5">
      <w:pPr>
        <w:tabs>
          <w:tab w:val="clear" w:pos="567"/>
          <w:tab w:val="left" w:pos="709"/>
        </w:tabs>
        <w:spacing w:after="120"/>
      </w:pPr>
      <w:r>
        <w:t>4.6</w:t>
      </w:r>
      <w:r>
        <w:tab/>
      </w:r>
      <w:r w:rsidRPr="00486B4E">
        <w:t>The tables below summarize the movement of the funds</w:t>
      </w:r>
      <w:r>
        <w:t xml:space="preserve"> in the Reserve Account for 2014 to 2017:</w:t>
      </w:r>
    </w:p>
    <w:tbl>
      <w:tblPr>
        <w:tblW w:w="8620" w:type="dxa"/>
        <w:jc w:val="center"/>
        <w:tblLook w:val="04A0" w:firstRow="1" w:lastRow="0" w:firstColumn="1" w:lastColumn="0" w:noHBand="0" w:noVBand="1"/>
      </w:tblPr>
      <w:tblGrid>
        <w:gridCol w:w="3960"/>
        <w:gridCol w:w="1000"/>
        <w:gridCol w:w="1220"/>
        <w:gridCol w:w="1220"/>
        <w:gridCol w:w="1220"/>
      </w:tblGrid>
      <w:tr w:rsidR="006F29B5" w:rsidRPr="00CA7726" w:rsidTr="006F29B5">
        <w:trPr>
          <w:trHeight w:val="300"/>
          <w:jc w:val="center"/>
        </w:trPr>
        <w:tc>
          <w:tcPr>
            <w:tcW w:w="3960" w:type="dxa"/>
            <w:tcBorders>
              <w:top w:val="single" w:sz="8" w:space="0" w:color="auto"/>
              <w:left w:val="single" w:sz="8" w:space="0" w:color="auto"/>
              <w:bottom w:val="nil"/>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Reserve Account</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2014</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2015</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2016</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2017</w:t>
            </w:r>
          </w:p>
        </w:tc>
      </w:tr>
      <w:tr w:rsidR="006F29B5" w:rsidRPr="00CA7726" w:rsidTr="006F29B5">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(In thousands of CHF).</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6"/>
                <w:szCs w:val="16"/>
                <w:lang w:val="en-US" w:eastAsia="zh-CN"/>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6"/>
                <w:szCs w:val="16"/>
                <w:lang w:val="en-US" w:eastAsia="zh-CN"/>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6"/>
                <w:szCs w:val="16"/>
                <w:lang w:val="en-US" w:eastAsia="zh-CN"/>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6"/>
                <w:szCs w:val="16"/>
                <w:lang w:val="en-US" w:eastAsia="zh-CN"/>
              </w:rPr>
            </w:pPr>
          </w:p>
        </w:tc>
      </w:tr>
      <w:tr w:rsidR="006F29B5" w:rsidRPr="00CA7726" w:rsidTr="006F29B5">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Opening balance</w:t>
            </w:r>
          </w:p>
        </w:tc>
        <w:tc>
          <w:tcPr>
            <w:tcW w:w="100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30,325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27,222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27,522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27,089 </w:t>
            </w:r>
          </w:p>
        </w:tc>
      </w:tr>
      <w:tr w:rsidR="006F29B5" w:rsidRPr="00CA7726" w:rsidTr="006F29B5">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Payments</w:t>
            </w:r>
          </w:p>
        </w:tc>
        <w:tc>
          <w:tcPr>
            <w:tcW w:w="100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897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300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567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682 </w:t>
            </w:r>
          </w:p>
        </w:tc>
      </w:tr>
      <w:tr w:rsidR="006F29B5" w:rsidRPr="00CA7726" w:rsidTr="006F29B5">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Withdrawals</w:t>
            </w:r>
          </w:p>
        </w:tc>
        <w:tc>
          <w:tcPr>
            <w:tcW w:w="100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(4,000)</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(1,000)</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   </w:t>
            </w:r>
          </w:p>
        </w:tc>
      </w:tr>
      <w:tr w:rsidR="006F29B5" w:rsidRPr="00CA7726" w:rsidTr="006F29B5">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Closing balance</w:t>
            </w:r>
          </w:p>
        </w:tc>
        <w:tc>
          <w:tcPr>
            <w:tcW w:w="100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27,222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27,522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27,089 </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 xml:space="preserve">           27,770 </w:t>
            </w:r>
          </w:p>
        </w:tc>
      </w:tr>
      <w:tr w:rsidR="006F29B5" w:rsidRPr="00CA7726" w:rsidTr="006F29B5">
        <w:trPr>
          <w:trHeight w:val="315"/>
          <w:jc w:val="center"/>
        </w:trPr>
        <w:tc>
          <w:tcPr>
            <w:tcW w:w="3960" w:type="dxa"/>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6"/>
                <w:szCs w:val="16"/>
                <w:lang w:val="en-US" w:eastAsia="zh-CN"/>
              </w:rPr>
            </w:pPr>
            <w:r w:rsidRPr="00CA7726">
              <w:rPr>
                <w:b/>
                <w:bCs/>
                <w:color w:val="000000"/>
                <w:sz w:val="16"/>
                <w:szCs w:val="16"/>
                <w:lang w:val="en-US" w:eastAsia="zh-CN"/>
              </w:rPr>
              <w:t>% of annual budget</w:t>
            </w:r>
          </w:p>
        </w:tc>
        <w:tc>
          <w:tcPr>
            <w:tcW w:w="100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16.4%</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16.7%</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16.9%</w:t>
            </w:r>
          </w:p>
        </w:tc>
        <w:tc>
          <w:tcPr>
            <w:tcW w:w="1220" w:type="dxa"/>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6"/>
                <w:szCs w:val="16"/>
                <w:lang w:val="en-US" w:eastAsia="zh-CN"/>
              </w:rPr>
            </w:pPr>
            <w:r w:rsidRPr="00CA7726">
              <w:rPr>
                <w:color w:val="000000"/>
                <w:sz w:val="16"/>
                <w:szCs w:val="16"/>
                <w:lang w:val="en-US" w:eastAsia="zh-CN"/>
              </w:rPr>
              <w:t>17.3%</w:t>
            </w:r>
          </w:p>
        </w:tc>
      </w:tr>
    </w:tbl>
    <w:p w:rsidR="006F29B5" w:rsidRPr="00203AAA" w:rsidRDefault="006F29B5" w:rsidP="006F29B5">
      <w:pPr>
        <w:tabs>
          <w:tab w:val="clear" w:pos="567"/>
          <w:tab w:val="left" w:pos="709"/>
        </w:tabs>
        <w:spacing w:before="240" w:after="200"/>
        <w:jc w:val="both"/>
        <w:rPr>
          <w:lang w:val="en-US"/>
        </w:rPr>
      </w:pPr>
      <w:r>
        <w:rPr>
          <w:lang w:val="en-US"/>
        </w:rPr>
        <w:t>4.7</w:t>
      </w:r>
      <w:r>
        <w:rPr>
          <w:lang w:val="en-US"/>
        </w:rPr>
        <w:tab/>
      </w:r>
      <w:r w:rsidRPr="00EB3A74">
        <w:rPr>
          <w:lang w:val="en-US"/>
        </w:rPr>
        <w:t xml:space="preserve">The table below shows the </w:t>
      </w:r>
      <w:r>
        <w:rPr>
          <w:lang w:val="en-US"/>
        </w:rPr>
        <w:t>details of the Union’s</w:t>
      </w:r>
      <w:r w:rsidRPr="00EB3A74">
        <w:rPr>
          <w:lang w:val="en-US"/>
        </w:rPr>
        <w:t xml:space="preserve"> own funds allocated to the organization according to the statement of changes in ITU</w:t>
      </w:r>
      <w:r>
        <w:rPr>
          <w:lang w:val="en-US"/>
        </w:rPr>
        <w:t>’</w:t>
      </w:r>
      <w:r w:rsidRPr="00EB3A74">
        <w:rPr>
          <w:lang w:val="en-US"/>
        </w:rPr>
        <w:t>s net assets and the Reserve Account at 31 December 201</w:t>
      </w:r>
      <w:r>
        <w:rPr>
          <w:lang w:val="en-US"/>
        </w:rPr>
        <w:t>7</w:t>
      </w:r>
      <w:r w:rsidRPr="00EB3A74">
        <w:rPr>
          <w:lang w:val="en-US"/>
        </w:rPr>
        <w:t xml:space="preserve"> after allocation of the surplus of the year</w:t>
      </w:r>
      <w:r>
        <w:rPr>
          <w:lang w:val="en-US"/>
        </w:rPr>
        <w:t>:</w:t>
      </w:r>
    </w:p>
    <w:tbl>
      <w:tblPr>
        <w:tblW w:w="0" w:type="auto"/>
        <w:tblLook w:val="04A0" w:firstRow="1" w:lastRow="0" w:firstColumn="1" w:lastColumn="0" w:noHBand="0" w:noVBand="1"/>
      </w:tblPr>
      <w:tblGrid>
        <w:gridCol w:w="5455"/>
        <w:gridCol w:w="1042"/>
        <w:gridCol w:w="1042"/>
        <w:gridCol w:w="1043"/>
        <w:gridCol w:w="1043"/>
      </w:tblGrid>
      <w:tr w:rsidR="006F29B5" w:rsidRPr="00CA7726" w:rsidTr="006F29B5">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CA7726">
              <w:rPr>
                <w:b/>
                <w:bCs/>
                <w:color w:val="000000"/>
                <w:sz w:val="18"/>
                <w:szCs w:val="18"/>
                <w:lang w:val="en-US" w:eastAsia="zh-CN"/>
              </w:rPr>
              <w:t>In thousands CHF</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31.12.2014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31.12.2015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31.12.2016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31.12.2017</w:t>
            </w:r>
          </w:p>
        </w:tc>
      </w:tr>
      <w:tr w:rsidR="006F29B5" w:rsidRPr="00CA7726" w:rsidTr="006F29B5">
        <w:trPr>
          <w:trHeight w:val="33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CA7726">
              <w:rPr>
                <w:b/>
                <w:bCs/>
                <w:color w:val="000000"/>
                <w:sz w:val="18"/>
                <w:szCs w:val="18"/>
                <w:lang w:val="en-US" w:eastAsia="zh-CN"/>
              </w:rPr>
              <w:t>Reserve Account (Fund 1000)</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27,222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27,522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27,089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27,700 </w:t>
            </w:r>
          </w:p>
        </w:tc>
      </w:tr>
      <w:tr w:rsidR="006F29B5" w:rsidRPr="00CA7726" w:rsidTr="006F29B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CA7726">
              <w:rPr>
                <w:b/>
                <w:bCs/>
                <w:color w:val="000000"/>
                <w:sz w:val="18"/>
                <w:szCs w:val="18"/>
                <w:lang w:val="en-US" w:eastAsia="zh-CN"/>
              </w:rPr>
              <w:t>Other allocated reserves</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28,807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31,630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36,553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45,716 </w:t>
            </w:r>
          </w:p>
        </w:tc>
      </w:tr>
      <w:tr w:rsidR="006F29B5" w:rsidRPr="00CA7726" w:rsidTr="006F29B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New Building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(671)</w:t>
            </w:r>
          </w:p>
        </w:tc>
      </w:tr>
      <w:tr w:rsidR="006F29B5" w:rsidRPr="00CA7726" w:rsidTr="006F29B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Investment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7,180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7,933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8,690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10,230 </w:t>
            </w:r>
          </w:p>
        </w:tc>
      </w:tr>
      <w:tr w:rsidR="006F29B5" w:rsidRPr="00CA7726" w:rsidTr="006F29B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Welfare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492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445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413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393 </w:t>
            </w:r>
          </w:p>
        </w:tc>
      </w:tr>
      <w:tr w:rsidR="006F29B5" w:rsidRPr="00CA7726" w:rsidTr="006F29B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Centenary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308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308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256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212 </w:t>
            </w:r>
          </w:p>
        </w:tc>
      </w:tr>
      <w:tr w:rsidR="006F29B5" w:rsidRPr="00CA7726" w:rsidTr="006F29B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ASHI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7,000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7,000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8,500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9,500 </w:t>
            </w:r>
          </w:p>
        </w:tc>
      </w:tr>
      <w:tr w:rsidR="006F29B5" w:rsidRPr="00CA7726" w:rsidTr="006F29B5">
        <w:trPr>
          <w:trHeight w:val="28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Health Insurance guaranty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5,877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8,012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12,193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13,808 </w:t>
            </w:r>
          </w:p>
        </w:tc>
      </w:tr>
      <w:tr w:rsidR="006F29B5" w:rsidRPr="00CA7726" w:rsidTr="006F29B5">
        <w:trPr>
          <w:trHeight w:val="4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Staff Superannuation &amp; Benevolent Complement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6,257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6,244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6,223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6,202 </w:t>
            </w:r>
          </w:p>
        </w:tc>
      </w:tr>
      <w:tr w:rsidR="006F29B5" w:rsidRPr="00CA7726" w:rsidTr="006F29B5">
        <w:trPr>
          <w:trHeight w:val="3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Staff Superannuation &amp; Benevolent Provident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1,510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1,510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w:t>
            </w:r>
          </w:p>
        </w:tc>
      </w:tr>
      <w:tr w:rsidR="006F29B5" w:rsidRPr="00CA7726" w:rsidTr="006F29B5">
        <w:trPr>
          <w:trHeight w:val="3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Staff Superannuation &amp; Benevolent Assistance Fund</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183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178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278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278 </w:t>
            </w:r>
          </w:p>
        </w:tc>
      </w:tr>
      <w:tr w:rsidR="006F29B5" w:rsidRPr="00CA7726" w:rsidTr="006F29B5">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18"/>
                <w:szCs w:val="18"/>
                <w:lang w:val="en-US" w:eastAsia="zh-CN"/>
              </w:rPr>
            </w:pPr>
            <w:r w:rsidRPr="00CA7726">
              <w:rPr>
                <w:color w:val="000000"/>
                <w:sz w:val="18"/>
                <w:szCs w:val="18"/>
                <w:lang w:val="en-US" w:eastAsia="zh-CN"/>
              </w:rPr>
              <w:t>Saving from previous year</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val="en-US" w:eastAsia="zh-CN"/>
              </w:rPr>
            </w:pPr>
            <w:r w:rsidRPr="00CA7726">
              <w:rPr>
                <w:color w:val="000000"/>
                <w:sz w:val="18"/>
                <w:szCs w:val="18"/>
                <w:lang w:val="en-US" w:eastAsia="zh-CN"/>
              </w:rPr>
              <w:t xml:space="preserve">          5,764 </w:t>
            </w:r>
          </w:p>
        </w:tc>
      </w:tr>
      <w:tr w:rsidR="006F29B5" w:rsidRPr="00CA7726" w:rsidTr="006F29B5">
        <w:trPr>
          <w:trHeight w:val="7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CA7726">
              <w:rPr>
                <w:b/>
                <w:bCs/>
                <w:color w:val="000000"/>
                <w:sz w:val="18"/>
                <w:szCs w:val="18"/>
                <w:lang w:val="en-US" w:eastAsia="zh-CN"/>
              </w:rPr>
              <w:t>Own funds allocated to the organization according to the statement of changes in net assets</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56,029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59,152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63,642 </w:t>
            </w:r>
          </w:p>
        </w:tc>
        <w:tc>
          <w:tcPr>
            <w:tcW w:w="0" w:type="auto"/>
            <w:tcBorders>
              <w:top w:val="nil"/>
              <w:left w:val="nil"/>
              <w:bottom w:val="single" w:sz="8" w:space="0" w:color="auto"/>
              <w:right w:val="single" w:sz="8" w:space="0" w:color="auto"/>
            </w:tcBorders>
            <w:shd w:val="clear" w:color="auto" w:fill="auto"/>
            <w:vAlign w:val="center"/>
            <w:hideMark/>
          </w:tcPr>
          <w:p w:rsidR="006F29B5" w:rsidRPr="00CA7726"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18"/>
                <w:szCs w:val="18"/>
                <w:lang w:val="en-US" w:eastAsia="zh-CN"/>
              </w:rPr>
            </w:pPr>
            <w:r w:rsidRPr="00CA7726">
              <w:rPr>
                <w:b/>
                <w:bCs/>
                <w:color w:val="000000"/>
                <w:sz w:val="18"/>
                <w:szCs w:val="18"/>
                <w:lang w:val="en-US" w:eastAsia="zh-CN"/>
              </w:rPr>
              <w:t xml:space="preserve">       73,416 </w:t>
            </w:r>
          </w:p>
        </w:tc>
      </w:tr>
    </w:tbl>
    <w:p w:rsidR="006F29B5" w:rsidRPr="008900C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F29B5" w:rsidRPr="00486B4E" w:rsidRDefault="006F29B5" w:rsidP="006F29B5">
      <w:pPr>
        <w:tabs>
          <w:tab w:val="clear" w:pos="567"/>
          <w:tab w:val="left" w:pos="709"/>
        </w:tabs>
        <w:jc w:val="both"/>
      </w:pPr>
      <w:r>
        <w:t>4.8</w:t>
      </w:r>
      <w:r>
        <w:tab/>
      </w:r>
      <w:r w:rsidRPr="00486B4E">
        <w:t>In order to meet the requirements of certain functions or activities, the Union operates a number of special funds, which are described briefly below.</w:t>
      </w:r>
    </w:p>
    <w:p w:rsidR="006F29B5" w:rsidRDefault="006F29B5" w:rsidP="006F29B5">
      <w:pPr>
        <w:tabs>
          <w:tab w:val="clear" w:pos="567"/>
          <w:tab w:val="left" w:pos="709"/>
        </w:tabs>
        <w:jc w:val="both"/>
        <w:rPr>
          <w:lang w:val="en-US"/>
        </w:rPr>
      </w:pPr>
      <w:r>
        <w:rPr>
          <w:lang w:val="en-US"/>
        </w:rPr>
        <w:t>4.9</w:t>
      </w:r>
      <w:r>
        <w:rPr>
          <w:lang w:val="en-US"/>
        </w:rPr>
        <w:tab/>
      </w:r>
      <w:r w:rsidRPr="002746F2">
        <w:rPr>
          <w:lang w:val="en-US"/>
        </w:rPr>
        <w:t xml:space="preserve">The ASHI fund </w:t>
      </w:r>
      <w:r>
        <w:rPr>
          <w:lang w:val="en-US"/>
        </w:rPr>
        <w:t>was established in 2013 in order to constitute a reserve dedicated to the long-term funding of the ASHI liability. This fund will be credited with revenue from future budgetary surpluses and monitored in order to take into account future variations of ITU obligations due to changes in actuarial assumptions.</w:t>
      </w:r>
    </w:p>
    <w:p w:rsidR="006F29B5" w:rsidRDefault="006F29B5" w:rsidP="006F29B5">
      <w:pPr>
        <w:tabs>
          <w:tab w:val="clear" w:pos="567"/>
          <w:tab w:val="left" w:pos="709"/>
        </w:tabs>
        <w:jc w:val="both"/>
        <w:rPr>
          <w:lang w:val="en-US"/>
        </w:rPr>
      </w:pPr>
      <w:r>
        <w:rPr>
          <w:lang w:val="en-US"/>
        </w:rPr>
        <w:t>4.10</w:t>
      </w:r>
      <w:r>
        <w:rPr>
          <w:lang w:val="en-US"/>
        </w:rPr>
        <w:tab/>
        <w:t>The Health Insurance guaranty fund also established in 2013 will be dedicated to the financing of ITU’s new Health Insurance scheme on a pay-as-you-go basis and will be credited with surpluses of contributions over claims.</w:t>
      </w:r>
    </w:p>
    <w:p w:rsidR="006F29B5" w:rsidRPr="002746F2" w:rsidRDefault="006F29B5" w:rsidP="006F29B5">
      <w:pPr>
        <w:tabs>
          <w:tab w:val="clear" w:pos="567"/>
          <w:tab w:val="left" w:pos="709"/>
        </w:tabs>
        <w:jc w:val="both"/>
        <w:rPr>
          <w:lang w:val="en-US"/>
        </w:rPr>
      </w:pPr>
      <w:r w:rsidRPr="00705A68">
        <w:rPr>
          <w:lang w:val="en-US"/>
        </w:rPr>
        <w:t>4.11</w:t>
      </w:r>
      <w:r w:rsidRPr="00705A68">
        <w:rPr>
          <w:lang w:val="en-US"/>
        </w:rPr>
        <w:tab/>
        <w:t>The total net assets of the Union presented in the statement of financial situation includes the positions disclosed above as well as the effects of transition to IPSAS and the extra-budgetary reserves.</w:t>
      </w:r>
    </w:p>
    <w:p w:rsidR="006F29B5" w:rsidRPr="00486B4E" w:rsidRDefault="006F29B5" w:rsidP="006F29B5">
      <w:pPr>
        <w:pStyle w:val="headingb0"/>
        <w:spacing w:before="240"/>
        <w:jc w:val="both"/>
        <w:rPr>
          <w:rFonts w:asciiTheme="minorHAnsi" w:hAnsiTheme="minorHAnsi"/>
        </w:rPr>
      </w:pPr>
      <w:r w:rsidRPr="00486B4E">
        <w:rPr>
          <w:rFonts w:asciiTheme="minorHAnsi" w:hAnsiTheme="minorHAnsi"/>
        </w:rPr>
        <w:t>Other special funds</w:t>
      </w:r>
    </w:p>
    <w:p w:rsidR="006F29B5" w:rsidRPr="00486B4E" w:rsidRDefault="006F29B5" w:rsidP="006F29B5">
      <w:pPr>
        <w:pStyle w:val="Headingi"/>
        <w:jc w:val="both"/>
        <w:rPr>
          <w:b/>
          <w:bCs/>
        </w:rPr>
      </w:pPr>
      <w:r w:rsidRPr="00486B4E">
        <w:rPr>
          <w:b/>
          <w:bCs/>
        </w:rPr>
        <w:t>ITU Centenary Prize Fund</w:t>
      </w:r>
    </w:p>
    <w:p w:rsidR="006F29B5" w:rsidRPr="00886301" w:rsidRDefault="006F29B5" w:rsidP="006F29B5">
      <w:pPr>
        <w:tabs>
          <w:tab w:val="clear" w:pos="567"/>
          <w:tab w:val="left" w:pos="709"/>
        </w:tabs>
        <w:jc w:val="both"/>
      </w:pPr>
      <w:r>
        <w:t>4.12</w:t>
      </w:r>
      <w:r w:rsidRPr="00486B4E">
        <w:tab/>
        <w:t xml:space="preserve">The Council decided in 1978 to institute an "ITU Centenary Prize Fund" intended to reward an individual or a group of individuals who have contributed to the development of international telecommunications. Centenary prizes were awarded in 1979 and 1983. In 1992, the Council resolved to use the Centenary Prize Fund for the modernization and upgrading of the ITU Central Library. </w:t>
      </w:r>
      <w:r>
        <w:t>At 31 December 2017</w:t>
      </w:r>
      <w:r w:rsidRPr="00486B4E">
        <w:t xml:space="preserve">, the </w:t>
      </w:r>
      <w:r w:rsidRPr="00886301">
        <w:t>bala</w:t>
      </w:r>
      <w:r>
        <w:t>nce of the fund stood at KCHF 212</w:t>
      </w:r>
      <w:r w:rsidRPr="00886301">
        <w:t>.</w:t>
      </w:r>
    </w:p>
    <w:p w:rsidR="006F29B5" w:rsidRPr="00886301" w:rsidRDefault="006F29B5" w:rsidP="006F29B5">
      <w:pPr>
        <w:pStyle w:val="Headingi"/>
        <w:jc w:val="both"/>
        <w:rPr>
          <w:b/>
          <w:bCs/>
        </w:rPr>
      </w:pPr>
      <w:r w:rsidRPr="00886301">
        <w:rPr>
          <w:b/>
          <w:bCs/>
        </w:rPr>
        <w:t>Staff Welfare Fund</w:t>
      </w:r>
    </w:p>
    <w:p w:rsidR="006F29B5" w:rsidRPr="00886301" w:rsidRDefault="006F29B5" w:rsidP="006F29B5">
      <w:pPr>
        <w:tabs>
          <w:tab w:val="clear" w:pos="567"/>
          <w:tab w:val="left" w:pos="709"/>
        </w:tabs>
        <w:jc w:val="both"/>
      </w:pPr>
      <w:r>
        <w:t>4.13</w:t>
      </w:r>
      <w:r w:rsidRPr="00886301">
        <w:tab/>
        <w:t xml:space="preserve">The Staff Welfare Fund is administered by the Secretary-General in consultation with the ITU Staff Council. The </w:t>
      </w:r>
      <w:r>
        <w:t>revenue</w:t>
      </w:r>
      <w:r w:rsidRPr="00886301">
        <w:t xml:space="preserve"> of the fund is the Union's share of the caterer's profits and the </w:t>
      </w:r>
      <w:r>
        <w:t>expenses</w:t>
      </w:r>
      <w:r w:rsidRPr="00886301">
        <w:t xml:space="preserve"> correspond to the sums used for the welfare of the staff. The balance of the fund stood at </w:t>
      </w:r>
      <w:r>
        <w:t>K</w:t>
      </w:r>
      <w:r w:rsidRPr="00886301">
        <w:t>CHF </w:t>
      </w:r>
      <w:r>
        <w:t>393</w:t>
      </w:r>
      <w:r w:rsidRPr="00886301">
        <w:t xml:space="preserve"> at 31 December 201</w:t>
      </w:r>
      <w:r>
        <w:t>7</w:t>
      </w:r>
      <w:r w:rsidRPr="00886301">
        <w:t>.</w:t>
      </w:r>
    </w:p>
    <w:p w:rsidR="006F29B5" w:rsidRPr="00886301" w:rsidRDefault="006F29B5" w:rsidP="006F29B5">
      <w:pPr>
        <w:pStyle w:val="Headingi"/>
        <w:jc w:val="both"/>
        <w:rPr>
          <w:b/>
          <w:bCs/>
        </w:rPr>
      </w:pPr>
      <w:r>
        <w:rPr>
          <w:b/>
          <w:bCs/>
        </w:rPr>
        <w:t>Capital Budget</w:t>
      </w:r>
      <w:r w:rsidRPr="00886301">
        <w:rPr>
          <w:b/>
          <w:bCs/>
        </w:rPr>
        <w:t xml:space="preserve"> Fund</w:t>
      </w:r>
    </w:p>
    <w:p w:rsidR="006F29B5" w:rsidRPr="00886301" w:rsidRDefault="006F29B5" w:rsidP="006F29B5">
      <w:pPr>
        <w:tabs>
          <w:tab w:val="clear" w:pos="567"/>
          <w:tab w:val="left" w:pos="709"/>
        </w:tabs>
        <w:jc w:val="both"/>
      </w:pPr>
      <w:r>
        <w:t>4.14</w:t>
      </w:r>
      <w:r w:rsidRPr="00886301">
        <w:t xml:space="preserve"> </w:t>
      </w:r>
      <w:r w:rsidRPr="00886301">
        <w:tab/>
      </w:r>
      <w:r>
        <w:t>Revenue</w:t>
      </w:r>
      <w:r w:rsidRPr="00886301">
        <w:t xml:space="preserve"> in the </w:t>
      </w:r>
      <w:r>
        <w:t>Capital Budget Fund dedicated to buildings m</w:t>
      </w:r>
      <w:r w:rsidRPr="00886301">
        <w:t>aintenance consists of the annual payments debited to the ordinary budget and</w:t>
      </w:r>
      <w:r>
        <w:t xml:space="preserve"> annual payments by the caterer. Expenses</w:t>
      </w:r>
      <w:r w:rsidRPr="00886301">
        <w:t xml:space="preserve"> consist of the costs of maintaining the Union's buildings. The balance of the </w:t>
      </w:r>
      <w:r>
        <w:t>Capital Budget Fund dedicated to buildings m</w:t>
      </w:r>
      <w:r w:rsidRPr="00886301">
        <w:t xml:space="preserve">aintenance stood at </w:t>
      </w:r>
      <w:r>
        <w:t>K</w:t>
      </w:r>
      <w:r w:rsidRPr="00886301">
        <w:t xml:space="preserve">CHF </w:t>
      </w:r>
      <w:r>
        <w:t>4</w:t>
      </w:r>
      <w:r w:rsidRPr="00886301">
        <w:t>’</w:t>
      </w:r>
      <w:r>
        <w:t>559</w:t>
      </w:r>
      <w:r w:rsidRPr="00886301">
        <w:t xml:space="preserve"> at 31 December 201</w:t>
      </w:r>
      <w:r>
        <w:t>7</w:t>
      </w:r>
      <w:r w:rsidRPr="00886301">
        <w:t>.</w:t>
      </w:r>
    </w:p>
    <w:p w:rsidR="006F29B5" w:rsidRPr="00486B4E" w:rsidRDefault="006F29B5" w:rsidP="006F29B5">
      <w:pPr>
        <w:tabs>
          <w:tab w:val="clear" w:pos="567"/>
          <w:tab w:val="left" w:pos="709"/>
        </w:tabs>
        <w:jc w:val="both"/>
      </w:pPr>
      <w:r>
        <w:t>4</w:t>
      </w:r>
      <w:r w:rsidRPr="0048362F">
        <w:t>.1</w:t>
      </w:r>
      <w:r>
        <w:t>5</w:t>
      </w:r>
      <w:r w:rsidRPr="0048362F">
        <w:tab/>
        <w:t xml:space="preserve">The Capital Budget Fund also serves to finance the purchase and development of the main computer systems and cover the new systems and the replacement and upgrading of existing ones. Budgetary allocations are decided by the Council. </w:t>
      </w:r>
      <w:r w:rsidRPr="00AD6300">
        <w:t xml:space="preserve">The balance of the Capital Budget Fund dedicated to purchase and development of computer systems amounted to </w:t>
      </w:r>
      <w:r>
        <w:t>K</w:t>
      </w:r>
      <w:r w:rsidRPr="00AD6300">
        <w:t>CHF </w:t>
      </w:r>
      <w:r>
        <w:t>5</w:t>
      </w:r>
      <w:r w:rsidRPr="00AD6300">
        <w:t>’</w:t>
      </w:r>
      <w:r>
        <w:t>671</w:t>
      </w:r>
      <w:r w:rsidRPr="00AD6300">
        <w:t xml:space="preserve"> at 31 December 201</w:t>
      </w:r>
      <w:r>
        <w:t>7</w:t>
      </w:r>
      <w:r w:rsidRPr="00AD6300">
        <w:t>.</w:t>
      </w:r>
    </w:p>
    <w:p w:rsidR="006F29B5" w:rsidRPr="00BF51DE" w:rsidRDefault="006F29B5" w:rsidP="006F29B5">
      <w:pPr>
        <w:pStyle w:val="Heading2"/>
        <w:tabs>
          <w:tab w:val="clear" w:pos="567"/>
          <w:tab w:val="left" w:pos="709"/>
        </w:tabs>
        <w:ind w:left="709" w:hanging="709"/>
        <w:rPr>
          <w:sz w:val="28"/>
          <w:szCs w:val="28"/>
        </w:rPr>
      </w:pPr>
      <w:r>
        <w:rPr>
          <w:sz w:val="28"/>
          <w:szCs w:val="28"/>
        </w:rPr>
        <w:t>5</w:t>
      </w:r>
      <w:r w:rsidRPr="00BF51DE">
        <w:rPr>
          <w:sz w:val="28"/>
          <w:szCs w:val="28"/>
        </w:rPr>
        <w:tab/>
        <w:t>Exhibition Working Capital Fund and Telecom events</w:t>
      </w:r>
    </w:p>
    <w:p w:rsidR="006F29B5" w:rsidRDefault="006F29B5" w:rsidP="00BF2DA4">
      <w:pPr>
        <w:tabs>
          <w:tab w:val="clear" w:pos="567"/>
          <w:tab w:val="left" w:pos="709"/>
        </w:tabs>
        <w:jc w:val="both"/>
      </w:pPr>
      <w:r>
        <w:t>5.1</w:t>
      </w:r>
      <w:r w:rsidRPr="00486B4E">
        <w:tab/>
        <w:t xml:space="preserve">According to the Financial Regulations of the Union, any surplus </w:t>
      </w:r>
      <w:r>
        <w:t>revenue</w:t>
      </w:r>
      <w:r w:rsidRPr="00486B4E">
        <w:t xml:space="preserve"> or excess </w:t>
      </w:r>
      <w:r>
        <w:t xml:space="preserve">expenses </w:t>
      </w:r>
      <w:r w:rsidRPr="00486B4E">
        <w:t>resulting from world and regional TELECOM exhibitions and related activities shall be transferred to an Exhibition Working Capital Fund. Resolution 11 (Rev. </w:t>
      </w:r>
      <w:r>
        <w:t>Busan</w:t>
      </w:r>
      <w:r w:rsidRPr="00486B4E">
        <w:t>, 20</w:t>
      </w:r>
      <w:r>
        <w:t>14</w:t>
      </w:r>
      <w:r w:rsidRPr="00486B4E">
        <w:t xml:space="preserve">) stipulates that a significant part of any surplus derived from TELECOM activities should be used for specific telecommunication development projects, primarily in the least developed countries. </w:t>
      </w:r>
      <w:r>
        <w:br w:type="page"/>
      </w:r>
    </w:p>
    <w:p w:rsidR="006F29B5" w:rsidRDefault="006F29B5" w:rsidP="006F29B5">
      <w:pPr>
        <w:tabs>
          <w:tab w:val="clear" w:pos="567"/>
          <w:tab w:val="left" w:pos="709"/>
        </w:tabs>
        <w:spacing w:after="240"/>
        <w:jc w:val="both"/>
      </w:pPr>
      <w:r>
        <w:t>5.2</w:t>
      </w:r>
      <w:r w:rsidRPr="00486B4E">
        <w:tab/>
        <w:t>The Exhibition Working Capital Fund has evolved a</w:t>
      </w:r>
      <w:r>
        <w:t>s follows since 31 December 2013</w:t>
      </w:r>
      <w:r w:rsidRPr="00486B4E">
        <w:t>:</w:t>
      </w:r>
    </w:p>
    <w:tbl>
      <w:tblPr>
        <w:tblW w:w="10623" w:type="dxa"/>
        <w:jc w:val="center"/>
        <w:tblLook w:val="04A0" w:firstRow="1" w:lastRow="0" w:firstColumn="1" w:lastColumn="0" w:noHBand="0" w:noVBand="1"/>
      </w:tblPr>
      <w:tblGrid>
        <w:gridCol w:w="663"/>
        <w:gridCol w:w="8140"/>
        <w:gridCol w:w="1820"/>
      </w:tblGrid>
      <w:tr w:rsidR="006F29B5" w:rsidRPr="00981573" w:rsidTr="006F29B5">
        <w:trPr>
          <w:trHeight w:val="510"/>
          <w:jc w:val="center"/>
        </w:trPr>
        <w:tc>
          <w:tcPr>
            <w:tcW w:w="6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Year</w:t>
            </w:r>
          </w:p>
        </w:tc>
        <w:tc>
          <w:tcPr>
            <w:tcW w:w="8140" w:type="dxa"/>
            <w:tcBorders>
              <w:top w:val="single" w:sz="8" w:space="0" w:color="auto"/>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 </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Thousands of CHF</w:t>
            </w:r>
          </w:p>
        </w:tc>
      </w:tr>
      <w:tr w:rsidR="006F29B5" w:rsidRPr="00981573" w:rsidTr="006F29B5">
        <w:trPr>
          <w:trHeight w:val="315"/>
          <w:jc w:val="center"/>
        </w:trPr>
        <w:tc>
          <w:tcPr>
            <w:tcW w:w="663"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 </w:t>
            </w:r>
          </w:p>
        </w:tc>
        <w:tc>
          <w:tcPr>
            <w:tcW w:w="814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981573">
              <w:rPr>
                <w:b/>
                <w:bCs/>
                <w:color w:val="000000"/>
                <w:sz w:val="22"/>
                <w:szCs w:val="22"/>
                <w:lang w:val="en-US" w:eastAsia="zh-CN"/>
              </w:rPr>
              <w:t>Balance at 31.12 2013</w:t>
            </w:r>
          </w:p>
        </w:tc>
        <w:tc>
          <w:tcPr>
            <w:tcW w:w="18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10,022</w:t>
            </w:r>
          </w:p>
        </w:tc>
      </w:tr>
      <w:tr w:rsidR="006F29B5" w:rsidRPr="00981573" w:rsidTr="006F29B5">
        <w:trPr>
          <w:trHeight w:val="300"/>
          <w:jc w:val="center"/>
        </w:trPr>
        <w:tc>
          <w:tcPr>
            <w:tcW w:w="66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2014</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814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Result of TELECOM World 2014</w:t>
            </w:r>
          </w:p>
        </w:tc>
        <w:tc>
          <w:tcPr>
            <w:tcW w:w="1820" w:type="dxa"/>
            <w:tcBorders>
              <w:top w:val="nil"/>
              <w:left w:val="nil"/>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785</w:t>
            </w:r>
          </w:p>
        </w:tc>
      </w:tr>
      <w:tr w:rsidR="006F29B5" w:rsidRPr="00981573" w:rsidTr="006F29B5">
        <w:trPr>
          <w:trHeight w:val="300"/>
          <w:jc w:val="center"/>
        </w:trPr>
        <w:tc>
          <w:tcPr>
            <w:tcW w:w="663" w:type="dxa"/>
            <w:vMerge/>
            <w:tcBorders>
              <w:top w:val="nil"/>
              <w:left w:val="single" w:sz="8" w:space="0" w:color="auto"/>
              <w:bottom w:val="single" w:sz="8" w:space="0" w:color="000000"/>
              <w:right w:val="single" w:sz="8" w:space="0" w:color="auto"/>
            </w:tcBorders>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814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Result on past events after closing of the accounts</w:t>
            </w:r>
          </w:p>
        </w:tc>
        <w:tc>
          <w:tcPr>
            <w:tcW w:w="1820" w:type="dxa"/>
            <w:tcBorders>
              <w:top w:val="nil"/>
              <w:left w:val="nil"/>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33</w:t>
            </w:r>
          </w:p>
        </w:tc>
      </w:tr>
      <w:tr w:rsidR="006F29B5" w:rsidRPr="00981573" w:rsidTr="006F29B5">
        <w:trPr>
          <w:trHeight w:val="615"/>
          <w:jc w:val="center"/>
        </w:trPr>
        <w:tc>
          <w:tcPr>
            <w:tcW w:w="663" w:type="dxa"/>
            <w:vMerge/>
            <w:tcBorders>
              <w:top w:val="nil"/>
              <w:left w:val="single" w:sz="8" w:space="0" w:color="auto"/>
              <w:bottom w:val="single" w:sz="8" w:space="0" w:color="000000"/>
              <w:right w:val="single" w:sz="8" w:space="0" w:color="auto"/>
            </w:tcBorders>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814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 xml:space="preserve">Withdrawal to finance technical cooperation projects according to </w:t>
            </w:r>
            <w:r>
              <w:rPr>
                <w:color w:val="000000"/>
                <w:sz w:val="22"/>
                <w:szCs w:val="22"/>
                <w:lang w:val="en-US" w:eastAsia="zh-CN"/>
              </w:rPr>
              <w:t xml:space="preserve">Doc </w:t>
            </w:r>
            <w:r w:rsidRPr="00981573">
              <w:rPr>
                <w:color w:val="000000"/>
                <w:sz w:val="22"/>
                <w:szCs w:val="22"/>
                <w:lang w:val="en-US" w:eastAsia="zh-CN"/>
              </w:rPr>
              <w:t>C14/10</w:t>
            </w:r>
          </w:p>
        </w:tc>
        <w:tc>
          <w:tcPr>
            <w:tcW w:w="18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-1,938</w:t>
            </w:r>
          </w:p>
        </w:tc>
      </w:tr>
      <w:tr w:rsidR="006F29B5" w:rsidRPr="00981573" w:rsidTr="006F29B5">
        <w:trPr>
          <w:trHeight w:val="315"/>
          <w:jc w:val="center"/>
        </w:trPr>
        <w:tc>
          <w:tcPr>
            <w:tcW w:w="663"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 </w:t>
            </w:r>
          </w:p>
        </w:tc>
        <w:tc>
          <w:tcPr>
            <w:tcW w:w="814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981573">
              <w:rPr>
                <w:b/>
                <w:bCs/>
                <w:color w:val="000000"/>
                <w:sz w:val="22"/>
                <w:szCs w:val="22"/>
                <w:lang w:val="en-US" w:eastAsia="zh-CN"/>
              </w:rPr>
              <w:t>Balance at 31.12 2014</w:t>
            </w:r>
          </w:p>
        </w:tc>
        <w:tc>
          <w:tcPr>
            <w:tcW w:w="1820" w:type="dxa"/>
            <w:tcBorders>
              <w:top w:val="nil"/>
              <w:left w:val="nil"/>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8,902</w:t>
            </w:r>
          </w:p>
        </w:tc>
      </w:tr>
      <w:tr w:rsidR="006F29B5" w:rsidRPr="00981573" w:rsidTr="006F29B5">
        <w:trPr>
          <w:trHeight w:val="300"/>
          <w:jc w:val="center"/>
        </w:trPr>
        <w:tc>
          <w:tcPr>
            <w:tcW w:w="66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2015</w:t>
            </w:r>
          </w:p>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8140" w:type="dxa"/>
            <w:tcBorders>
              <w:top w:val="nil"/>
              <w:left w:val="nil"/>
              <w:bottom w:val="nil"/>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Result of TELECOM World 2015</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256</w:t>
            </w:r>
          </w:p>
        </w:tc>
      </w:tr>
      <w:tr w:rsidR="006F29B5" w:rsidRPr="00981573" w:rsidTr="006F29B5">
        <w:trPr>
          <w:trHeight w:val="300"/>
          <w:jc w:val="center"/>
        </w:trPr>
        <w:tc>
          <w:tcPr>
            <w:tcW w:w="663" w:type="dxa"/>
            <w:vMerge/>
            <w:tcBorders>
              <w:top w:val="nil"/>
              <w:left w:val="single" w:sz="8" w:space="0" w:color="auto"/>
              <w:bottom w:val="single" w:sz="8" w:space="0" w:color="000000"/>
              <w:right w:val="single" w:sz="8" w:space="0" w:color="auto"/>
            </w:tcBorders>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8140" w:type="dxa"/>
            <w:tcBorders>
              <w:top w:val="nil"/>
              <w:left w:val="nil"/>
              <w:bottom w:val="nil"/>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Result on past events after closing of the accounts</w:t>
            </w:r>
          </w:p>
        </w:tc>
        <w:tc>
          <w:tcPr>
            <w:tcW w:w="182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61</w:t>
            </w:r>
          </w:p>
        </w:tc>
      </w:tr>
      <w:tr w:rsidR="006F29B5" w:rsidRPr="00981573" w:rsidTr="006F29B5">
        <w:trPr>
          <w:trHeight w:val="315"/>
          <w:jc w:val="center"/>
        </w:trPr>
        <w:tc>
          <w:tcPr>
            <w:tcW w:w="663"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 </w:t>
            </w:r>
          </w:p>
        </w:tc>
        <w:tc>
          <w:tcPr>
            <w:tcW w:w="8140" w:type="dxa"/>
            <w:tcBorders>
              <w:top w:val="single" w:sz="8" w:space="0" w:color="auto"/>
              <w:left w:val="nil"/>
              <w:bottom w:val="single" w:sz="8" w:space="0" w:color="auto"/>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981573">
              <w:rPr>
                <w:b/>
                <w:bCs/>
                <w:color w:val="000000"/>
                <w:sz w:val="22"/>
                <w:szCs w:val="22"/>
                <w:lang w:val="en-US" w:eastAsia="zh-CN"/>
              </w:rPr>
              <w:t>Balance at 31.12 2015</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9,219</w:t>
            </w:r>
          </w:p>
        </w:tc>
      </w:tr>
      <w:tr w:rsidR="006F29B5" w:rsidRPr="00981573" w:rsidTr="006F29B5">
        <w:trPr>
          <w:trHeight w:val="300"/>
          <w:jc w:val="center"/>
        </w:trPr>
        <w:tc>
          <w:tcPr>
            <w:tcW w:w="66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2016</w:t>
            </w:r>
          </w:p>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8140" w:type="dxa"/>
            <w:tcBorders>
              <w:top w:val="nil"/>
              <w:left w:val="nil"/>
              <w:bottom w:val="nil"/>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Result of TELECOM World 2016</w:t>
            </w:r>
          </w:p>
        </w:tc>
        <w:tc>
          <w:tcPr>
            <w:tcW w:w="182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927</w:t>
            </w:r>
          </w:p>
        </w:tc>
      </w:tr>
      <w:tr w:rsidR="006F29B5" w:rsidRPr="00981573" w:rsidTr="006F29B5">
        <w:trPr>
          <w:trHeight w:val="315"/>
          <w:jc w:val="center"/>
        </w:trPr>
        <w:tc>
          <w:tcPr>
            <w:tcW w:w="663" w:type="dxa"/>
            <w:vMerge/>
            <w:tcBorders>
              <w:top w:val="nil"/>
              <w:left w:val="single" w:sz="8" w:space="0" w:color="auto"/>
              <w:bottom w:val="single" w:sz="8" w:space="0" w:color="000000"/>
              <w:right w:val="single" w:sz="8" w:space="0" w:color="auto"/>
            </w:tcBorders>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8140" w:type="dxa"/>
            <w:tcBorders>
              <w:top w:val="nil"/>
              <w:left w:val="nil"/>
              <w:bottom w:val="nil"/>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Result after closing of the accounts</w:t>
            </w:r>
          </w:p>
        </w:tc>
        <w:tc>
          <w:tcPr>
            <w:tcW w:w="182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-58</w:t>
            </w:r>
          </w:p>
        </w:tc>
      </w:tr>
      <w:tr w:rsidR="006F29B5" w:rsidRPr="00981573" w:rsidTr="006F29B5">
        <w:trPr>
          <w:trHeight w:val="315"/>
          <w:jc w:val="center"/>
        </w:trPr>
        <w:tc>
          <w:tcPr>
            <w:tcW w:w="663"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 </w:t>
            </w:r>
          </w:p>
        </w:tc>
        <w:tc>
          <w:tcPr>
            <w:tcW w:w="8140" w:type="dxa"/>
            <w:tcBorders>
              <w:top w:val="single" w:sz="8" w:space="0" w:color="auto"/>
              <w:left w:val="nil"/>
              <w:bottom w:val="single" w:sz="8" w:space="0" w:color="auto"/>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981573">
              <w:rPr>
                <w:b/>
                <w:bCs/>
                <w:color w:val="000000"/>
                <w:sz w:val="22"/>
                <w:szCs w:val="22"/>
                <w:lang w:val="en-US" w:eastAsia="zh-CN"/>
              </w:rPr>
              <w:t>Balance at 31.12 2016</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10,088</w:t>
            </w:r>
          </w:p>
        </w:tc>
      </w:tr>
      <w:tr w:rsidR="006F29B5" w:rsidRPr="00981573" w:rsidTr="006F29B5">
        <w:trPr>
          <w:trHeight w:val="300"/>
          <w:jc w:val="center"/>
        </w:trPr>
        <w:tc>
          <w:tcPr>
            <w:tcW w:w="66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2017</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8140" w:type="dxa"/>
            <w:tcBorders>
              <w:top w:val="nil"/>
              <w:left w:val="nil"/>
              <w:bottom w:val="nil"/>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Result of TELECOM World 2017</w:t>
            </w:r>
          </w:p>
        </w:tc>
        <w:tc>
          <w:tcPr>
            <w:tcW w:w="1820" w:type="dxa"/>
            <w:tcBorders>
              <w:top w:val="single" w:sz="8" w:space="0" w:color="auto"/>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23</w:t>
            </w:r>
          </w:p>
        </w:tc>
      </w:tr>
      <w:tr w:rsidR="006F29B5" w:rsidRPr="00981573" w:rsidTr="006F29B5">
        <w:trPr>
          <w:trHeight w:val="300"/>
          <w:jc w:val="center"/>
        </w:trPr>
        <w:tc>
          <w:tcPr>
            <w:tcW w:w="663" w:type="dxa"/>
            <w:vMerge/>
            <w:tcBorders>
              <w:top w:val="nil"/>
              <w:left w:val="single" w:sz="8" w:space="0" w:color="auto"/>
              <w:bottom w:val="single" w:sz="8" w:space="0" w:color="000000"/>
              <w:right w:val="single" w:sz="8" w:space="0" w:color="auto"/>
            </w:tcBorders>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8140" w:type="dxa"/>
            <w:tcBorders>
              <w:top w:val="nil"/>
              <w:left w:val="nil"/>
              <w:bottom w:val="nil"/>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Result on past events after closing of the accounts</w:t>
            </w:r>
          </w:p>
        </w:tc>
        <w:tc>
          <w:tcPr>
            <w:tcW w:w="182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-26</w:t>
            </w:r>
          </w:p>
        </w:tc>
      </w:tr>
      <w:tr w:rsidR="006F29B5" w:rsidRPr="00981573" w:rsidTr="006F29B5">
        <w:trPr>
          <w:trHeight w:val="615"/>
          <w:jc w:val="center"/>
        </w:trPr>
        <w:tc>
          <w:tcPr>
            <w:tcW w:w="663" w:type="dxa"/>
            <w:vMerge/>
            <w:tcBorders>
              <w:top w:val="nil"/>
              <w:left w:val="single" w:sz="8" w:space="0" w:color="auto"/>
              <w:bottom w:val="single" w:sz="8" w:space="0" w:color="000000"/>
              <w:right w:val="single" w:sz="8" w:space="0" w:color="auto"/>
            </w:tcBorders>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8140" w:type="dxa"/>
            <w:tcBorders>
              <w:top w:val="nil"/>
              <w:left w:val="nil"/>
              <w:bottom w:val="nil"/>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 xml:space="preserve">Withdrawal to finance technical cooperation projects according to </w:t>
            </w:r>
            <w:r>
              <w:rPr>
                <w:color w:val="000000"/>
                <w:sz w:val="22"/>
                <w:szCs w:val="22"/>
                <w:lang w:val="en-US" w:eastAsia="zh-CN"/>
              </w:rPr>
              <w:t xml:space="preserve">Doc </w:t>
            </w:r>
            <w:r w:rsidRPr="00981573">
              <w:rPr>
                <w:color w:val="000000"/>
                <w:sz w:val="22"/>
                <w:szCs w:val="22"/>
                <w:lang w:val="en-US" w:eastAsia="zh-CN"/>
              </w:rPr>
              <w:t>C17/34</w:t>
            </w:r>
          </w:p>
        </w:tc>
        <w:tc>
          <w:tcPr>
            <w:tcW w:w="182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-1,953</w:t>
            </w:r>
          </w:p>
        </w:tc>
      </w:tr>
      <w:tr w:rsidR="006F29B5" w:rsidRPr="00981573" w:rsidTr="006F29B5">
        <w:trPr>
          <w:trHeight w:val="315"/>
          <w:jc w:val="center"/>
        </w:trPr>
        <w:tc>
          <w:tcPr>
            <w:tcW w:w="663"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 </w:t>
            </w:r>
          </w:p>
        </w:tc>
        <w:tc>
          <w:tcPr>
            <w:tcW w:w="8140" w:type="dxa"/>
            <w:tcBorders>
              <w:top w:val="single" w:sz="8" w:space="0" w:color="auto"/>
              <w:left w:val="nil"/>
              <w:bottom w:val="single" w:sz="8" w:space="0" w:color="auto"/>
              <w:right w:val="nil"/>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981573">
              <w:rPr>
                <w:b/>
                <w:bCs/>
                <w:color w:val="000000"/>
                <w:sz w:val="22"/>
                <w:szCs w:val="22"/>
                <w:lang w:val="en-US" w:eastAsia="zh-CN"/>
              </w:rPr>
              <w:t>Balance at 31.12.2017</w:t>
            </w:r>
          </w:p>
        </w:tc>
        <w:tc>
          <w:tcPr>
            <w:tcW w:w="1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8,132</w:t>
            </w:r>
          </w:p>
        </w:tc>
      </w:tr>
    </w:tbl>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pPr>
    </w:p>
    <w:p w:rsidR="006F29B5" w:rsidRPr="00274234"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t xml:space="preserve">ITU </w:t>
      </w:r>
      <w:r w:rsidRPr="006A7557">
        <w:rPr>
          <w:b/>
          <w:bCs/>
        </w:rPr>
        <w:t>TELECOM events</w:t>
      </w:r>
    </w:p>
    <w:p w:rsidR="006F29B5" w:rsidRPr="00486B4E" w:rsidRDefault="006F29B5" w:rsidP="006F29B5">
      <w:pPr>
        <w:tabs>
          <w:tab w:val="clear" w:pos="567"/>
          <w:tab w:val="left" w:pos="709"/>
        </w:tabs>
        <w:jc w:val="both"/>
      </w:pPr>
      <w:r>
        <w:t>5.3</w:t>
      </w:r>
      <w:r w:rsidRPr="00486B4E">
        <w:tab/>
        <w:t xml:space="preserve">In accordance </w:t>
      </w:r>
      <w:r>
        <w:t>with Resolution 11 (Rev. Busan</w:t>
      </w:r>
      <w:r w:rsidRPr="00486B4E">
        <w:t>, 20</w:t>
      </w:r>
      <w:r>
        <w:t>14</w:t>
      </w:r>
      <w:r w:rsidRPr="00486B4E">
        <w:t>), ITU, in collaboration with its membership, has continued to organize telecommunication exhibitions and foru</w:t>
      </w:r>
      <w:r>
        <w:t xml:space="preserve">ms on a regular basis. From 2014 to 2017, TELECOM organized </w:t>
      </w:r>
      <w:r w:rsidRPr="00486B4E">
        <w:t>ITU</w:t>
      </w:r>
      <w:r>
        <w:t xml:space="preserve"> TELECOM World 2014 (Doha); ITU TELECOM World 2015 (Budapest); </w:t>
      </w:r>
      <w:r w:rsidRPr="00486B4E">
        <w:t xml:space="preserve">ITU TELECOM </w:t>
      </w:r>
      <w:r>
        <w:t>World 2016</w:t>
      </w:r>
      <w:r w:rsidRPr="00486B4E">
        <w:t xml:space="preserve"> (Bangkok)</w:t>
      </w:r>
      <w:r>
        <w:t xml:space="preserve"> and </w:t>
      </w:r>
      <w:r w:rsidRPr="00486B4E">
        <w:t xml:space="preserve">ITU TELECOM </w:t>
      </w:r>
      <w:r>
        <w:t>World 2017</w:t>
      </w:r>
      <w:r w:rsidRPr="00486B4E">
        <w:t xml:space="preserve"> (B</w:t>
      </w:r>
      <w:r>
        <w:t>usan</w:t>
      </w:r>
      <w:r w:rsidRPr="00486B4E">
        <w:t>)</w:t>
      </w:r>
      <w:r>
        <w:t>.</w:t>
      </w:r>
    </w:p>
    <w:p w:rsidR="006F29B5" w:rsidRPr="00705A68" w:rsidRDefault="006F29B5" w:rsidP="00B14634">
      <w:pPr>
        <w:tabs>
          <w:tab w:val="clear" w:pos="567"/>
          <w:tab w:val="left" w:pos="709"/>
        </w:tabs>
        <w:jc w:val="both"/>
      </w:pPr>
      <w:r>
        <w:t>5.4</w:t>
      </w:r>
      <w:r w:rsidRPr="00486B4E">
        <w:tab/>
        <w:t xml:space="preserve">The accounts of the different TELECOM events and those of the TELECOM </w:t>
      </w:r>
      <w:r>
        <w:t>S</w:t>
      </w:r>
      <w:r w:rsidRPr="00486B4E">
        <w:t xml:space="preserve">ecretariat responsible for organizing these activities are kept in strict accordance with the Financial Regulations of the Union. Services provided by the ITU General Secretariat to TELECOM are subject to partial cost recovery. Like all the Union's accounts, the TELECOM accounts are audited by the External Auditor of the Union. The surplus of </w:t>
      </w:r>
      <w:r>
        <w:t>revenue</w:t>
      </w:r>
      <w:r w:rsidRPr="00486B4E">
        <w:t xml:space="preserve"> over </w:t>
      </w:r>
      <w:r>
        <w:t>expenses</w:t>
      </w:r>
      <w:r w:rsidRPr="00486B4E">
        <w:t xml:space="preserve"> resulting from TELECOM activities has been transferred to the Exhibition Working Capital Fund (see under</w:t>
      </w:r>
      <w:r w:rsidRPr="00486B4E">
        <w:rPr>
          <w:i/>
        </w:rPr>
        <w:t xml:space="preserve"> Exhibition Working Capital Fund</w:t>
      </w:r>
      <w:r w:rsidRPr="00486B4E">
        <w:t xml:space="preserve"> in § </w:t>
      </w:r>
      <w:r w:rsidR="00B14634">
        <w:t>5</w:t>
      </w:r>
      <w:bookmarkStart w:id="21" w:name="_GoBack"/>
      <w:bookmarkEnd w:id="21"/>
      <w:r w:rsidRPr="00486B4E">
        <w:t xml:space="preserve">). </w:t>
      </w:r>
      <w:r w:rsidRPr="00FC2B1C">
        <w:t>In 2014, in accordance with Doc</w:t>
      </w:r>
      <w:r>
        <w:t>ument</w:t>
      </w:r>
      <w:r w:rsidRPr="00FC2B1C">
        <w:t xml:space="preserve"> </w:t>
      </w:r>
      <w:hyperlink r:id="rId18" w:history="1">
        <w:r w:rsidRPr="0090095C">
          <w:rPr>
            <w:rStyle w:val="Hyperlink"/>
          </w:rPr>
          <w:t>C14/10</w:t>
        </w:r>
      </w:hyperlink>
      <w:r w:rsidRPr="00FC2B1C">
        <w:t xml:space="preserve">, the Council approved the transfer of USD 2 million from the Exhibition Working Capital Fund to the Information and Communication Technology Development Fund (ICTDF) and USD 2 million </w:t>
      </w:r>
      <w:r>
        <w:t xml:space="preserve">were transferred in 2017 further to the agreement of the Council in </w:t>
      </w:r>
      <w:r w:rsidRPr="00705A68">
        <w:t xml:space="preserve">Document </w:t>
      </w:r>
      <w:hyperlink r:id="rId19" w:history="1">
        <w:r w:rsidRPr="0098524E">
          <w:rPr>
            <w:rStyle w:val="Hyperlink"/>
          </w:rPr>
          <w:t>C17/34</w:t>
        </w:r>
      </w:hyperlink>
      <w:r w:rsidRPr="00705A68">
        <w:t>.</w:t>
      </w:r>
    </w:p>
    <w:p w:rsidR="006F29B5" w:rsidRDefault="006F29B5" w:rsidP="006F29B5">
      <w:pPr>
        <w:tabs>
          <w:tab w:val="clear" w:pos="567"/>
          <w:tab w:val="left" w:pos="709"/>
        </w:tabs>
        <w:jc w:val="both"/>
      </w:pPr>
      <w:r>
        <w:t>5.5</w:t>
      </w:r>
      <w:r>
        <w:tab/>
        <w:t>The ITU Telecom events results are included in table 5.2 above.</w:t>
      </w:r>
    </w:p>
    <w:p w:rsidR="006F29B5" w:rsidRPr="00486B4E" w:rsidRDefault="006F29B5" w:rsidP="00F62A26">
      <w:pPr>
        <w:pStyle w:val="Heading1"/>
        <w:tabs>
          <w:tab w:val="clear" w:pos="567"/>
          <w:tab w:val="left" w:pos="709"/>
        </w:tabs>
        <w:spacing w:before="300"/>
        <w:ind w:left="709" w:hanging="709"/>
        <w:jc w:val="both"/>
      </w:pPr>
      <w:r>
        <w:t>6</w:t>
      </w:r>
      <w:r>
        <w:tab/>
        <w:t>Cash and cash equivalent</w:t>
      </w:r>
    </w:p>
    <w:p w:rsidR="006F29B5" w:rsidRPr="00486B4E" w:rsidRDefault="006F29B5" w:rsidP="00F62A26">
      <w:pPr>
        <w:keepNext/>
        <w:keepLines/>
        <w:tabs>
          <w:tab w:val="clear" w:pos="567"/>
          <w:tab w:val="left" w:pos="709"/>
        </w:tabs>
        <w:spacing w:before="100"/>
        <w:jc w:val="both"/>
      </w:pPr>
      <w:r>
        <w:t>6</w:t>
      </w:r>
      <w:r w:rsidRPr="00486B4E">
        <w:t>.1</w:t>
      </w:r>
      <w:r w:rsidRPr="00486B4E">
        <w:tab/>
        <w:t>The cash resources of the Union are drawn mainly from the assessed contributions of Member States, Sector Members and Associates. If these contributions, payable in advance by 1 January each year, are not sufficient to cover the Union's cash requirements, the Secretary-General may resort to advances from the Government of the Swiss Confederation under the p</w:t>
      </w:r>
      <w:r>
        <w:t>revailing arrangements. From 2014 to 2017</w:t>
      </w:r>
      <w:r w:rsidRPr="00486B4E">
        <w:t>, no funds had to be sought from this source. The Plenipotentiary Conference may wish to express its gratitude to the Government of the Swiss Confederation, and the hope that the current arrangements will be maintained in the future.</w:t>
      </w:r>
    </w:p>
    <w:p w:rsidR="006F29B5" w:rsidRPr="001A43D8" w:rsidRDefault="006F29B5" w:rsidP="006F29B5">
      <w:pPr>
        <w:tabs>
          <w:tab w:val="clear" w:pos="567"/>
          <w:tab w:val="left" w:pos="709"/>
        </w:tabs>
        <w:spacing w:before="100"/>
        <w:jc w:val="both"/>
      </w:pPr>
      <w:r>
        <w:t>6</w:t>
      </w:r>
      <w:r w:rsidRPr="001F2761">
        <w:t>.2</w:t>
      </w:r>
      <w:r w:rsidRPr="001F2761">
        <w:tab/>
        <w:t xml:space="preserve">The satisfactory inflow of contributions has made it possible to invest available funds. As from 1 January 1998, interest </w:t>
      </w:r>
      <w:r>
        <w:t>revenue</w:t>
      </w:r>
      <w:r w:rsidRPr="001F2761">
        <w:t xml:space="preserve"> is entered as </w:t>
      </w:r>
      <w:r>
        <w:t>revenue</w:t>
      </w:r>
      <w:r w:rsidRPr="001F2761">
        <w:t xml:space="preserve"> in the budget of the Union (the interest account </w:t>
      </w:r>
      <w:r w:rsidRPr="001A43D8">
        <w:t>having been abolished by Council</w:t>
      </w:r>
      <w:r>
        <w:t>-</w:t>
      </w:r>
      <w:r w:rsidRPr="001A43D8">
        <w:t xml:space="preserve">97 </w:t>
      </w:r>
      <w:r>
        <w:t xml:space="preserve">in </w:t>
      </w:r>
      <w:r w:rsidRPr="001A43D8">
        <w:t>Resolution 1100).</w:t>
      </w:r>
    </w:p>
    <w:p w:rsidR="006F29B5" w:rsidRPr="001A43D8" w:rsidRDefault="006F29B5" w:rsidP="006F29B5">
      <w:pPr>
        <w:tabs>
          <w:tab w:val="clear" w:pos="567"/>
          <w:tab w:val="left" w:pos="709"/>
        </w:tabs>
        <w:spacing w:before="100"/>
        <w:jc w:val="both"/>
      </w:pPr>
      <w:r>
        <w:t>6</w:t>
      </w:r>
      <w:r w:rsidRPr="001A43D8">
        <w:t>.3</w:t>
      </w:r>
      <w:r w:rsidRPr="001A43D8">
        <w:tab/>
        <w:t>Cash is managed separately for ordinary budget and special accounts activities, for telecommunication exhibitions, for technical cooperation projects funded by UNDP, for technical cooperation projects funded by trust funds and for voluntary contributions. Amounts due between these separate funds are settled regularly as far as possible.</w:t>
      </w:r>
    </w:p>
    <w:p w:rsidR="006F29B5" w:rsidRDefault="006F29B5" w:rsidP="006F29B5">
      <w:pPr>
        <w:tabs>
          <w:tab w:val="clear" w:pos="567"/>
          <w:tab w:val="left" w:pos="709"/>
        </w:tabs>
        <w:spacing w:before="100"/>
        <w:jc w:val="both"/>
      </w:pPr>
      <w:r>
        <w:t>6</w:t>
      </w:r>
      <w:r w:rsidRPr="001A43D8">
        <w:t>.4</w:t>
      </w:r>
      <w:r w:rsidRPr="001A43D8">
        <w:tab/>
        <w:t>Deposits in convertible currencies with Swiss and foreign banks are converted at the Un</w:t>
      </w:r>
      <w:r>
        <w:t>ited Nations rate</w:t>
      </w:r>
      <w:r w:rsidRPr="001A43D8">
        <w:t>.</w:t>
      </w:r>
    </w:p>
    <w:p w:rsidR="006F29B5" w:rsidRPr="00AD540D" w:rsidRDefault="006F29B5" w:rsidP="006F29B5">
      <w:pPr>
        <w:tabs>
          <w:tab w:val="clear" w:pos="567"/>
          <w:tab w:val="left" w:pos="709"/>
        </w:tabs>
        <w:snapToGrid w:val="0"/>
        <w:spacing w:after="120"/>
        <w:jc w:val="both"/>
        <w:rPr>
          <w:lang w:val="en-US"/>
        </w:rPr>
      </w:pPr>
      <w:r>
        <w:t>6.5</w:t>
      </w:r>
      <w:r>
        <w:tab/>
      </w:r>
      <w:r>
        <w:rPr>
          <w:lang w:val="en-US"/>
        </w:rPr>
        <w:t>I</w:t>
      </w:r>
      <w:r w:rsidRPr="00AD540D">
        <w:rPr>
          <w:lang w:val="en-US"/>
        </w:rPr>
        <w:t xml:space="preserve">n </w:t>
      </w:r>
      <w:r>
        <w:rPr>
          <w:lang w:val="en-US"/>
        </w:rPr>
        <w:t xml:space="preserve">January </w:t>
      </w:r>
      <w:r w:rsidRPr="00AD540D">
        <w:rPr>
          <w:lang w:val="en-US"/>
        </w:rPr>
        <w:t>2015</w:t>
      </w:r>
      <w:r>
        <w:rPr>
          <w:lang w:val="en-US"/>
        </w:rPr>
        <w:t>,</w:t>
      </w:r>
      <w:r w:rsidRPr="00AD540D">
        <w:rPr>
          <w:lang w:val="en-US"/>
        </w:rPr>
        <w:t xml:space="preserve"> the banks </w:t>
      </w:r>
      <w:r>
        <w:rPr>
          <w:lang w:val="en-US"/>
        </w:rPr>
        <w:t>introduced t</w:t>
      </w:r>
      <w:r w:rsidRPr="00AD540D">
        <w:rPr>
          <w:lang w:val="en-US"/>
        </w:rPr>
        <w:t>he negative interest on liquidity kept in Swiss francs and Euros. A negative rate from 0.75</w:t>
      </w:r>
      <w:r>
        <w:rPr>
          <w:lang w:val="en-US"/>
        </w:rPr>
        <w:t xml:space="preserve"> per cent</w:t>
      </w:r>
      <w:r w:rsidRPr="00AD540D">
        <w:rPr>
          <w:lang w:val="en-US"/>
        </w:rPr>
        <w:t xml:space="preserve"> up to 1</w:t>
      </w:r>
      <w:r>
        <w:rPr>
          <w:lang w:val="en-US"/>
        </w:rPr>
        <w:t xml:space="preserve"> per cent</w:t>
      </w:r>
      <w:r w:rsidRPr="00AD540D">
        <w:rPr>
          <w:lang w:val="en-US"/>
        </w:rPr>
        <w:t xml:space="preserve"> </w:t>
      </w:r>
      <w:r>
        <w:rPr>
          <w:lang w:val="en-US"/>
        </w:rPr>
        <w:t xml:space="preserve">is </w:t>
      </w:r>
      <w:r w:rsidRPr="00AD540D">
        <w:rPr>
          <w:lang w:val="en-US"/>
        </w:rPr>
        <w:t xml:space="preserve">applied by our different </w:t>
      </w:r>
      <w:r>
        <w:rPr>
          <w:lang w:val="en-US"/>
        </w:rPr>
        <w:t xml:space="preserve">financial </w:t>
      </w:r>
      <w:r w:rsidRPr="00AD540D">
        <w:rPr>
          <w:lang w:val="en-US"/>
        </w:rPr>
        <w:t>partners.</w:t>
      </w:r>
      <w:r>
        <w:rPr>
          <w:lang w:val="en-US"/>
        </w:rPr>
        <w:t xml:space="preserve"> </w:t>
      </w:r>
      <w:r w:rsidRPr="00AD540D">
        <w:rPr>
          <w:lang w:val="en-US"/>
        </w:rPr>
        <w:t xml:space="preserve">A policy of diversification of </w:t>
      </w:r>
      <w:r>
        <w:rPr>
          <w:lang w:val="en-US"/>
        </w:rPr>
        <w:t>the financial institutions</w:t>
      </w:r>
      <w:r w:rsidRPr="00AD540D">
        <w:rPr>
          <w:lang w:val="en-US"/>
        </w:rPr>
        <w:t xml:space="preserve"> was put in place and combined with </w:t>
      </w:r>
      <w:r>
        <w:rPr>
          <w:lang w:val="en-US"/>
        </w:rPr>
        <w:t xml:space="preserve">intensive </w:t>
      </w:r>
      <w:r w:rsidRPr="00AD540D">
        <w:rPr>
          <w:lang w:val="en-US"/>
        </w:rPr>
        <w:t>negotiation</w:t>
      </w:r>
      <w:r>
        <w:rPr>
          <w:lang w:val="en-US"/>
        </w:rPr>
        <w:t xml:space="preserve">s. Since, </w:t>
      </w:r>
      <w:r w:rsidRPr="00AD540D">
        <w:rPr>
          <w:lang w:val="en-US"/>
        </w:rPr>
        <w:t xml:space="preserve">ITU </w:t>
      </w:r>
      <w:r>
        <w:rPr>
          <w:lang w:val="en-US"/>
        </w:rPr>
        <w:t xml:space="preserve">has been </w:t>
      </w:r>
      <w:r w:rsidRPr="00AD540D">
        <w:rPr>
          <w:lang w:val="en-US"/>
        </w:rPr>
        <w:t>able to secure the entire fund</w:t>
      </w:r>
      <w:r>
        <w:rPr>
          <w:lang w:val="en-US"/>
        </w:rPr>
        <w:t>s</w:t>
      </w:r>
      <w:r w:rsidRPr="00AD540D">
        <w:rPr>
          <w:lang w:val="en-US"/>
        </w:rPr>
        <w:t xml:space="preserve"> without any negative interest.</w:t>
      </w:r>
    </w:p>
    <w:p w:rsidR="006F29B5" w:rsidRPr="00486B4E" w:rsidRDefault="006F29B5" w:rsidP="006F29B5">
      <w:pPr>
        <w:pStyle w:val="Heading1"/>
        <w:tabs>
          <w:tab w:val="clear" w:pos="567"/>
          <w:tab w:val="left" w:pos="709"/>
        </w:tabs>
        <w:spacing w:before="300"/>
        <w:ind w:left="709" w:hanging="709"/>
        <w:rPr>
          <w:u w:val="single"/>
        </w:rPr>
      </w:pPr>
      <w:r>
        <w:t>7</w:t>
      </w:r>
      <w:r w:rsidRPr="00486B4E">
        <w:tab/>
      </w:r>
      <w:r>
        <w:t>Receivables</w:t>
      </w:r>
    </w:p>
    <w:p w:rsidR="006F29B5" w:rsidRDefault="006F29B5" w:rsidP="006F29B5">
      <w:pPr>
        <w:tabs>
          <w:tab w:val="clear" w:pos="567"/>
          <w:tab w:val="left" w:pos="709"/>
        </w:tabs>
        <w:spacing w:before="100"/>
        <w:jc w:val="both"/>
        <w:rPr>
          <w:lang w:val="en-US"/>
        </w:rPr>
      </w:pPr>
      <w:r>
        <w:t>7</w:t>
      </w:r>
      <w:r w:rsidRPr="00486B4E">
        <w:t>.1</w:t>
      </w:r>
      <w:r w:rsidRPr="00486B4E">
        <w:tab/>
      </w:r>
      <w:r w:rsidRPr="00B367D2">
        <w:rPr>
          <w:lang w:val="en-US"/>
        </w:rPr>
        <w:t xml:space="preserve">Receivables represent as yet uncollected revenue that Member States, Sector Members and Associates have committed to pay to ITU in respect of annual contributions, purchase of publications, satellite network filings or other invoices. Amounts due on contributions bear interest from the beginning of the fourth month of each financial year of the Union at </w:t>
      </w:r>
      <w:r>
        <w:rPr>
          <w:lang w:val="en-US"/>
        </w:rPr>
        <w:t>three</w:t>
      </w:r>
      <w:r w:rsidRPr="00B367D2">
        <w:rPr>
          <w:lang w:val="en-US"/>
        </w:rPr>
        <w:t xml:space="preserve"> per cent per annum during the following three months, and at </w:t>
      </w:r>
      <w:r>
        <w:rPr>
          <w:lang w:val="en-US"/>
        </w:rPr>
        <w:t>six</w:t>
      </w:r>
      <w:r w:rsidRPr="00B367D2">
        <w:rPr>
          <w:lang w:val="en-US"/>
        </w:rPr>
        <w:t xml:space="preserve"> per cent per annum as from the beginning of the seventh month</w:t>
      </w:r>
      <w:r w:rsidRPr="001F2761">
        <w:rPr>
          <w:lang w:val="en-US"/>
        </w:rPr>
        <w:t>. Interest is credited to the Reserve for debtors’ accounts in accordance with Article </w:t>
      </w:r>
      <w:r>
        <w:rPr>
          <w:lang w:val="en-US"/>
        </w:rPr>
        <w:t>24 of the Financial Regulations and Financial Rules.</w:t>
      </w:r>
    </w:p>
    <w:p w:rsidR="006F29B5" w:rsidRDefault="006F29B5" w:rsidP="006F29B5">
      <w:pPr>
        <w:tabs>
          <w:tab w:val="clear" w:pos="567"/>
          <w:tab w:val="left" w:pos="709"/>
        </w:tabs>
        <w:spacing w:before="100"/>
        <w:jc w:val="both"/>
        <w:rPr>
          <w:lang w:val="en-US"/>
        </w:rPr>
      </w:pPr>
      <w:r>
        <w:rPr>
          <w:lang w:val="en-US"/>
        </w:rPr>
        <w:t>7.2</w:t>
      </w:r>
      <w:r>
        <w:rPr>
          <w:lang w:val="en-US"/>
        </w:rPr>
        <w:tab/>
      </w:r>
      <w:r w:rsidRPr="00B367D2">
        <w:rPr>
          <w:lang w:val="en-US"/>
        </w:rPr>
        <w:t>Non-current, non-exchange receivables represent receivables from the debt repayment schedules applicable to members having undertaken to repay such debts under an agreement spanning several financial periods.</w:t>
      </w:r>
    </w:p>
    <w:p w:rsidR="006F29B5" w:rsidRDefault="006F29B5" w:rsidP="006F29B5">
      <w:pPr>
        <w:tabs>
          <w:tab w:val="clear" w:pos="567"/>
          <w:tab w:val="left" w:pos="709"/>
        </w:tabs>
        <w:spacing w:before="100"/>
        <w:jc w:val="both"/>
        <w:rPr>
          <w:lang w:val="en-US"/>
        </w:rPr>
      </w:pPr>
      <w:r>
        <w:rPr>
          <w:lang w:val="en-US"/>
        </w:rPr>
        <w:t>7.3</w:t>
      </w:r>
      <w:r>
        <w:rPr>
          <w:lang w:val="en-US"/>
        </w:rPr>
        <w:tab/>
        <w:t xml:space="preserve">A 100 per cent provision is constituted for </w:t>
      </w:r>
      <w:r w:rsidRPr="001C2A98">
        <w:rPr>
          <w:lang w:val="en-US"/>
        </w:rPr>
        <w:t>Member States</w:t>
      </w:r>
      <w:r>
        <w:rPr>
          <w:lang w:val="en-US"/>
        </w:rPr>
        <w:t>, Sector members, Associates and Academia</w:t>
      </w:r>
      <w:r w:rsidRPr="001C2A98">
        <w:rPr>
          <w:lang w:val="en-US"/>
        </w:rPr>
        <w:t xml:space="preserve"> having arrears of over two years</w:t>
      </w:r>
      <w:r>
        <w:rPr>
          <w:lang w:val="en-US"/>
        </w:rPr>
        <w:t>. The provision is</w:t>
      </w:r>
      <w:r w:rsidRPr="00941BFA">
        <w:rPr>
          <w:lang w:val="en-US"/>
        </w:rPr>
        <w:t xml:space="preserve"> </w:t>
      </w:r>
      <w:r w:rsidRPr="001C2A98">
        <w:rPr>
          <w:lang w:val="en-US"/>
        </w:rPr>
        <w:t>including interest</w:t>
      </w:r>
      <w:r>
        <w:rPr>
          <w:lang w:val="en-US"/>
        </w:rPr>
        <w:t>s</w:t>
      </w:r>
      <w:r w:rsidRPr="001C2A98">
        <w:rPr>
          <w:lang w:val="en-US"/>
        </w:rPr>
        <w:t xml:space="preserve"> on arrears.</w:t>
      </w:r>
    </w:p>
    <w:p w:rsidR="006F29B5" w:rsidRDefault="006F29B5" w:rsidP="006F29B5">
      <w:pPr>
        <w:tabs>
          <w:tab w:val="clear" w:pos="567"/>
          <w:tab w:val="left" w:pos="709"/>
        </w:tabs>
        <w:spacing w:before="100"/>
        <w:jc w:val="both"/>
        <w:rPr>
          <w:lang w:val="en-US"/>
        </w:rPr>
      </w:pPr>
      <w:r>
        <w:rPr>
          <w:lang w:val="en-US"/>
        </w:rPr>
        <w:t>7.4</w:t>
      </w:r>
      <w:r>
        <w:rPr>
          <w:lang w:val="en-US"/>
        </w:rPr>
        <w:tab/>
        <w:t xml:space="preserve">SNF invoices are </w:t>
      </w:r>
      <w:r w:rsidRPr="001C2A98">
        <w:rPr>
          <w:lang w:val="en-US"/>
        </w:rPr>
        <w:t>payable within six months</w:t>
      </w:r>
      <w:r>
        <w:rPr>
          <w:lang w:val="en-US"/>
        </w:rPr>
        <w:t>. A</w:t>
      </w:r>
      <w:r w:rsidRPr="001C2A98">
        <w:rPr>
          <w:lang w:val="en-US"/>
        </w:rPr>
        <w:t xml:space="preserve"> 100 per cent provision </w:t>
      </w:r>
      <w:r>
        <w:rPr>
          <w:lang w:val="en-US"/>
        </w:rPr>
        <w:t>is constituted for SNF invoices</w:t>
      </w:r>
      <w:r w:rsidRPr="001C2A98">
        <w:rPr>
          <w:lang w:val="en-US"/>
        </w:rPr>
        <w:t xml:space="preserve"> at 31 December of the year following their presentation.</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6F29B5" w:rsidRPr="00F62A26" w:rsidRDefault="006F29B5" w:rsidP="00F62A26">
      <w:pPr>
        <w:tabs>
          <w:tab w:val="clear" w:pos="567"/>
          <w:tab w:val="left" w:pos="709"/>
        </w:tabs>
        <w:spacing w:before="0"/>
        <w:jc w:val="both"/>
        <w:rPr>
          <w:sz w:val="16"/>
          <w:szCs w:val="16"/>
          <w:lang w:val="en-US"/>
        </w:rPr>
      </w:pPr>
    </w:p>
    <w:tbl>
      <w:tblPr>
        <w:tblW w:w="10520" w:type="dxa"/>
        <w:jc w:val="center"/>
        <w:tblLook w:val="04A0" w:firstRow="1" w:lastRow="0" w:firstColumn="1" w:lastColumn="0" w:noHBand="0" w:noVBand="1"/>
      </w:tblPr>
      <w:tblGrid>
        <w:gridCol w:w="5180"/>
        <w:gridCol w:w="1260"/>
        <w:gridCol w:w="1260"/>
        <w:gridCol w:w="1400"/>
        <w:gridCol w:w="1420"/>
      </w:tblGrid>
      <w:tr w:rsidR="006F29B5" w:rsidRPr="00981573" w:rsidTr="006F29B5">
        <w:trPr>
          <w:trHeight w:val="402"/>
          <w:jc w:val="center"/>
        </w:trPr>
        <w:tc>
          <w:tcPr>
            <w:tcW w:w="5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981573">
              <w:rPr>
                <w:b/>
                <w:bCs/>
                <w:color w:val="000000"/>
                <w:sz w:val="20"/>
                <w:lang w:val="en-US" w:eastAsia="zh-CN"/>
              </w:rPr>
              <w:t>In thousands of CHF</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981573">
              <w:rPr>
                <w:b/>
                <w:bCs/>
                <w:color w:val="000000"/>
                <w:sz w:val="20"/>
                <w:lang w:val="en-US" w:eastAsia="zh-CN"/>
              </w:rPr>
              <w:t>31.12.2014</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981573">
              <w:rPr>
                <w:b/>
                <w:bCs/>
                <w:color w:val="000000"/>
                <w:sz w:val="20"/>
                <w:lang w:val="en-US" w:eastAsia="zh-CN"/>
              </w:rPr>
              <w:t>31.12.2015</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981573">
              <w:rPr>
                <w:b/>
                <w:bCs/>
                <w:color w:val="000000"/>
                <w:sz w:val="20"/>
                <w:lang w:val="en-US" w:eastAsia="zh-CN"/>
              </w:rPr>
              <w:t>31.12.2016</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981573">
              <w:rPr>
                <w:b/>
                <w:bCs/>
                <w:color w:val="000000"/>
                <w:sz w:val="20"/>
                <w:lang w:val="en-US" w:eastAsia="zh-CN"/>
              </w:rPr>
              <w:t>31.12.2017</w:t>
            </w:r>
          </w:p>
        </w:tc>
      </w:tr>
      <w:tr w:rsidR="006F29B5" w:rsidRPr="00981573" w:rsidTr="006F29B5">
        <w:trPr>
          <w:trHeight w:val="402"/>
          <w:jc w:val="center"/>
        </w:trPr>
        <w:tc>
          <w:tcPr>
            <w:tcW w:w="518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981573">
              <w:rPr>
                <w:color w:val="000000"/>
                <w:sz w:val="20"/>
                <w:lang w:val="en-US" w:eastAsia="zh-CN"/>
              </w:rPr>
              <w:t>Current receivables – exchange transactions</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8,417</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7,028</w:t>
            </w:r>
          </w:p>
        </w:tc>
        <w:tc>
          <w:tcPr>
            <w:tcW w:w="140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10,100</w:t>
            </w:r>
          </w:p>
        </w:tc>
        <w:tc>
          <w:tcPr>
            <w:tcW w:w="1420" w:type="dxa"/>
            <w:tcBorders>
              <w:top w:val="nil"/>
              <w:left w:val="nil"/>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10,229</w:t>
            </w:r>
          </w:p>
        </w:tc>
      </w:tr>
      <w:tr w:rsidR="006F29B5" w:rsidRPr="00981573" w:rsidTr="006F29B5">
        <w:trPr>
          <w:trHeight w:val="525"/>
          <w:jc w:val="center"/>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981573">
              <w:rPr>
                <w:color w:val="000000"/>
                <w:sz w:val="20"/>
                <w:lang w:val="en-US" w:eastAsia="zh-CN"/>
              </w:rPr>
              <w:t>Provision for losses on current receivables – exchange transactions</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-1,056</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-1,046</w:t>
            </w:r>
          </w:p>
        </w:tc>
        <w:tc>
          <w:tcPr>
            <w:tcW w:w="140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-1,067</w:t>
            </w:r>
          </w:p>
        </w:tc>
        <w:tc>
          <w:tcPr>
            <w:tcW w:w="14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-1,296</w:t>
            </w:r>
          </w:p>
        </w:tc>
      </w:tr>
      <w:tr w:rsidR="006F29B5" w:rsidRPr="00981573" w:rsidTr="006F29B5">
        <w:trPr>
          <w:trHeight w:val="402"/>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981573">
              <w:rPr>
                <w:b/>
                <w:bCs/>
                <w:color w:val="000000"/>
                <w:sz w:val="20"/>
                <w:lang w:val="en-US" w:eastAsia="zh-CN"/>
              </w:rPr>
              <w:t xml:space="preserve">Current receivables </w:t>
            </w:r>
            <w:r w:rsidRPr="00981573">
              <w:rPr>
                <w:color w:val="000000"/>
                <w:sz w:val="20"/>
                <w:lang w:val="en-US" w:eastAsia="zh-CN"/>
              </w:rPr>
              <w:t>–</w:t>
            </w:r>
            <w:r w:rsidRPr="00981573">
              <w:rPr>
                <w:b/>
                <w:bCs/>
                <w:color w:val="000000"/>
                <w:sz w:val="20"/>
                <w:lang w:val="en-US" w:eastAsia="zh-CN"/>
              </w:rPr>
              <w:t xml:space="preserve"> exchange transactions: net value</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7,361</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5,982</w:t>
            </w:r>
          </w:p>
        </w:tc>
        <w:tc>
          <w:tcPr>
            <w:tcW w:w="140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9,033</w:t>
            </w:r>
          </w:p>
        </w:tc>
        <w:tc>
          <w:tcPr>
            <w:tcW w:w="142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8,934</w:t>
            </w:r>
          </w:p>
        </w:tc>
      </w:tr>
      <w:tr w:rsidR="006F29B5" w:rsidRPr="00981573" w:rsidTr="006F29B5">
        <w:trPr>
          <w:trHeight w:val="402"/>
          <w:jc w:val="center"/>
        </w:trPr>
        <w:tc>
          <w:tcPr>
            <w:tcW w:w="518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r w:rsidRPr="00981573">
              <w:rPr>
                <w:color w:val="000000"/>
                <w:sz w:val="20"/>
                <w:lang w:val="fr-CH" w:eastAsia="zh-CN"/>
              </w:rPr>
              <w:t>Current receivables – non-exchange transactions</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113,821</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116,015</w:t>
            </w:r>
          </w:p>
        </w:tc>
        <w:tc>
          <w:tcPr>
            <w:tcW w:w="140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116,814</w:t>
            </w:r>
          </w:p>
        </w:tc>
        <w:tc>
          <w:tcPr>
            <w:tcW w:w="1420" w:type="dxa"/>
            <w:tcBorders>
              <w:top w:val="nil"/>
              <w:left w:val="nil"/>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134,253</w:t>
            </w:r>
          </w:p>
        </w:tc>
      </w:tr>
      <w:tr w:rsidR="006F29B5" w:rsidRPr="00981573" w:rsidTr="006F29B5">
        <w:trPr>
          <w:trHeight w:val="525"/>
          <w:jc w:val="center"/>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981573">
              <w:rPr>
                <w:color w:val="000000"/>
                <w:sz w:val="20"/>
                <w:lang w:val="en-US" w:eastAsia="zh-CN"/>
              </w:rPr>
              <w:t>Provision for losses on current receivables – non-exchange transactions</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-34,373</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-35,841</w:t>
            </w:r>
          </w:p>
        </w:tc>
        <w:tc>
          <w:tcPr>
            <w:tcW w:w="140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-40,345</w:t>
            </w:r>
          </w:p>
        </w:tc>
        <w:tc>
          <w:tcPr>
            <w:tcW w:w="14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-46,114</w:t>
            </w:r>
          </w:p>
        </w:tc>
      </w:tr>
      <w:tr w:rsidR="006F29B5" w:rsidRPr="00981573" w:rsidTr="006F29B5">
        <w:trPr>
          <w:trHeight w:val="402"/>
          <w:jc w:val="center"/>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fr-CH" w:eastAsia="zh-CN"/>
              </w:rPr>
            </w:pPr>
            <w:r w:rsidRPr="00981573">
              <w:rPr>
                <w:b/>
                <w:bCs/>
                <w:color w:val="000000"/>
                <w:sz w:val="20"/>
                <w:lang w:val="fr-CH" w:eastAsia="zh-CN"/>
              </w:rPr>
              <w:t xml:space="preserve">Current receivables </w:t>
            </w:r>
            <w:r w:rsidRPr="00981573">
              <w:rPr>
                <w:color w:val="000000"/>
                <w:sz w:val="20"/>
                <w:lang w:val="fr-CH" w:eastAsia="zh-CN"/>
              </w:rPr>
              <w:t>–</w:t>
            </w:r>
            <w:r w:rsidRPr="00981573">
              <w:rPr>
                <w:b/>
                <w:bCs/>
                <w:color w:val="000000"/>
                <w:sz w:val="20"/>
                <w:lang w:val="fr-CH" w:eastAsia="zh-CN"/>
              </w:rPr>
              <w:t xml:space="preserve"> non-exchange transactions: net value</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79,448</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80,174</w:t>
            </w:r>
          </w:p>
        </w:tc>
        <w:tc>
          <w:tcPr>
            <w:tcW w:w="140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76,469</w:t>
            </w:r>
          </w:p>
        </w:tc>
        <w:tc>
          <w:tcPr>
            <w:tcW w:w="142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88,139</w:t>
            </w:r>
          </w:p>
        </w:tc>
      </w:tr>
      <w:tr w:rsidR="006F29B5" w:rsidRPr="00981573" w:rsidTr="006F29B5">
        <w:trPr>
          <w:trHeight w:val="402"/>
          <w:jc w:val="center"/>
        </w:trPr>
        <w:tc>
          <w:tcPr>
            <w:tcW w:w="518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r w:rsidRPr="00981573">
              <w:rPr>
                <w:color w:val="000000"/>
                <w:sz w:val="20"/>
                <w:lang w:val="fr-CH" w:eastAsia="zh-CN"/>
              </w:rPr>
              <w:t>Non-current receivables – exchange transactions</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20</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0</w:t>
            </w:r>
          </w:p>
        </w:tc>
        <w:tc>
          <w:tcPr>
            <w:tcW w:w="140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23</w:t>
            </w:r>
          </w:p>
        </w:tc>
        <w:tc>
          <w:tcPr>
            <w:tcW w:w="1420" w:type="dxa"/>
            <w:tcBorders>
              <w:top w:val="nil"/>
              <w:left w:val="nil"/>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0</w:t>
            </w:r>
          </w:p>
        </w:tc>
      </w:tr>
      <w:tr w:rsidR="006F29B5" w:rsidRPr="00981573" w:rsidTr="006F29B5">
        <w:trPr>
          <w:trHeight w:val="525"/>
          <w:jc w:val="center"/>
        </w:trPr>
        <w:tc>
          <w:tcPr>
            <w:tcW w:w="5180" w:type="dxa"/>
            <w:tcBorders>
              <w:top w:val="nil"/>
              <w:left w:val="single" w:sz="8" w:space="0" w:color="auto"/>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981573">
              <w:rPr>
                <w:color w:val="000000"/>
                <w:sz w:val="20"/>
                <w:lang w:val="en-US" w:eastAsia="zh-CN"/>
              </w:rPr>
              <w:t>Provision for losses on non-current receivables – exchange transactions</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-20</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0</w:t>
            </w:r>
          </w:p>
        </w:tc>
        <w:tc>
          <w:tcPr>
            <w:tcW w:w="140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-23</w:t>
            </w:r>
          </w:p>
        </w:tc>
        <w:tc>
          <w:tcPr>
            <w:tcW w:w="1420" w:type="dxa"/>
            <w:tcBorders>
              <w:top w:val="nil"/>
              <w:left w:val="nil"/>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0</w:t>
            </w:r>
          </w:p>
        </w:tc>
      </w:tr>
      <w:tr w:rsidR="006F29B5" w:rsidRPr="00981573" w:rsidTr="006F29B5">
        <w:trPr>
          <w:trHeight w:val="402"/>
          <w:jc w:val="center"/>
        </w:trPr>
        <w:tc>
          <w:tcPr>
            <w:tcW w:w="5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fr-CH" w:eastAsia="zh-CN"/>
              </w:rPr>
            </w:pPr>
            <w:r w:rsidRPr="00981573">
              <w:rPr>
                <w:b/>
                <w:bCs/>
                <w:color w:val="000000"/>
                <w:sz w:val="20"/>
                <w:lang w:val="fr-CH" w:eastAsia="zh-CN"/>
              </w:rPr>
              <w:t xml:space="preserve">Non-current receivables </w:t>
            </w:r>
            <w:r w:rsidRPr="00981573">
              <w:rPr>
                <w:color w:val="000000"/>
                <w:sz w:val="20"/>
                <w:lang w:val="fr-CH" w:eastAsia="zh-CN"/>
              </w:rPr>
              <w:t>–</w:t>
            </w:r>
            <w:r w:rsidRPr="00981573">
              <w:rPr>
                <w:b/>
                <w:bCs/>
                <w:color w:val="000000"/>
                <w:sz w:val="20"/>
                <w:lang w:val="fr-CH" w:eastAsia="zh-CN"/>
              </w:rPr>
              <w:t xml:space="preserve"> exchange transactions: net value</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0</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0</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0</w:t>
            </w:r>
          </w:p>
        </w:tc>
      </w:tr>
      <w:tr w:rsidR="006F29B5" w:rsidRPr="00981573" w:rsidTr="006F29B5">
        <w:trPr>
          <w:trHeight w:val="402"/>
          <w:jc w:val="center"/>
        </w:trPr>
        <w:tc>
          <w:tcPr>
            <w:tcW w:w="5180" w:type="dxa"/>
            <w:tcBorders>
              <w:top w:val="nil"/>
              <w:left w:val="single" w:sz="8" w:space="0" w:color="auto"/>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r w:rsidRPr="00981573">
              <w:rPr>
                <w:color w:val="000000"/>
                <w:sz w:val="20"/>
                <w:lang w:val="fr-CH" w:eastAsia="zh-CN"/>
              </w:rPr>
              <w:t>Non-current receivables – non-exchange transactions</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17,474</w:t>
            </w:r>
          </w:p>
        </w:tc>
        <w:tc>
          <w:tcPr>
            <w:tcW w:w="126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14,917</w:t>
            </w:r>
          </w:p>
        </w:tc>
        <w:tc>
          <w:tcPr>
            <w:tcW w:w="1400" w:type="dxa"/>
            <w:tcBorders>
              <w:top w:val="nil"/>
              <w:left w:val="nil"/>
              <w:bottom w:val="nil"/>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7,524</w:t>
            </w:r>
          </w:p>
        </w:tc>
        <w:tc>
          <w:tcPr>
            <w:tcW w:w="1420" w:type="dxa"/>
            <w:tcBorders>
              <w:top w:val="nil"/>
              <w:left w:val="nil"/>
              <w:bottom w:val="nil"/>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7,021</w:t>
            </w:r>
          </w:p>
        </w:tc>
      </w:tr>
      <w:tr w:rsidR="006F29B5" w:rsidRPr="00981573" w:rsidTr="006F29B5">
        <w:trPr>
          <w:trHeight w:val="525"/>
          <w:jc w:val="center"/>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6F29B5" w:rsidRPr="004536E7"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fr-CH" w:eastAsia="zh-CN"/>
              </w:rPr>
            </w:pPr>
            <w:r w:rsidRPr="004536E7">
              <w:rPr>
                <w:color w:val="000000"/>
                <w:sz w:val="20"/>
                <w:lang w:val="fr-CH" w:eastAsia="zh-CN"/>
              </w:rPr>
              <w:t>Provision for losses on non-current receivables – non-exchange transactions</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-17,474</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-14,917</w:t>
            </w:r>
          </w:p>
        </w:tc>
        <w:tc>
          <w:tcPr>
            <w:tcW w:w="140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-7,524</w:t>
            </w:r>
          </w:p>
        </w:tc>
        <w:tc>
          <w:tcPr>
            <w:tcW w:w="14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981573">
              <w:rPr>
                <w:color w:val="000000"/>
                <w:sz w:val="20"/>
                <w:lang w:val="en-US" w:eastAsia="zh-CN"/>
              </w:rPr>
              <w:t>-7,021</w:t>
            </w:r>
          </w:p>
        </w:tc>
      </w:tr>
      <w:tr w:rsidR="006F29B5" w:rsidRPr="00981573" w:rsidTr="006F29B5">
        <w:trPr>
          <w:trHeight w:val="585"/>
          <w:jc w:val="center"/>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fr-CH" w:eastAsia="zh-CN"/>
              </w:rPr>
            </w:pPr>
            <w:r w:rsidRPr="00981573">
              <w:rPr>
                <w:b/>
                <w:bCs/>
                <w:color w:val="000000"/>
                <w:sz w:val="20"/>
                <w:lang w:val="fr-CH" w:eastAsia="zh-CN"/>
              </w:rPr>
              <w:t xml:space="preserve">Non-current receivables </w:t>
            </w:r>
            <w:r w:rsidRPr="00981573">
              <w:rPr>
                <w:color w:val="000000"/>
                <w:sz w:val="20"/>
                <w:lang w:val="fr-CH" w:eastAsia="zh-CN"/>
              </w:rPr>
              <w:t>–</w:t>
            </w:r>
            <w:r w:rsidRPr="00981573">
              <w:rPr>
                <w:b/>
                <w:bCs/>
                <w:color w:val="000000"/>
                <w:sz w:val="20"/>
                <w:lang w:val="fr-CH" w:eastAsia="zh-CN"/>
              </w:rPr>
              <w:t xml:space="preserve"> non-exchange transactions: net value</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0</w:t>
            </w:r>
          </w:p>
        </w:tc>
        <w:tc>
          <w:tcPr>
            <w:tcW w:w="126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0</w:t>
            </w:r>
          </w:p>
        </w:tc>
        <w:tc>
          <w:tcPr>
            <w:tcW w:w="140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0</w:t>
            </w:r>
          </w:p>
        </w:tc>
        <w:tc>
          <w:tcPr>
            <w:tcW w:w="1420" w:type="dxa"/>
            <w:tcBorders>
              <w:top w:val="nil"/>
              <w:left w:val="nil"/>
              <w:bottom w:val="single" w:sz="8" w:space="0" w:color="auto"/>
              <w:right w:val="single" w:sz="8" w:space="0" w:color="auto"/>
            </w:tcBorders>
            <w:shd w:val="clear" w:color="auto" w:fill="auto"/>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981573">
              <w:rPr>
                <w:b/>
                <w:bCs/>
                <w:color w:val="000000"/>
                <w:sz w:val="20"/>
                <w:lang w:val="en-US" w:eastAsia="zh-CN"/>
              </w:rPr>
              <w:t>0</w:t>
            </w:r>
          </w:p>
        </w:tc>
      </w:tr>
    </w:tbl>
    <w:p w:rsidR="006F29B5" w:rsidRDefault="006F29B5" w:rsidP="006F29B5">
      <w:pPr>
        <w:tabs>
          <w:tab w:val="clear" w:pos="567"/>
          <w:tab w:val="left" w:pos="709"/>
        </w:tabs>
        <w:snapToGrid w:val="0"/>
        <w:spacing w:before="0"/>
        <w:jc w:val="both"/>
        <w:rPr>
          <w:lang w:val="en-US"/>
        </w:rPr>
      </w:pPr>
    </w:p>
    <w:p w:rsidR="006F29B5" w:rsidRDefault="006F29B5" w:rsidP="006F29B5">
      <w:pPr>
        <w:tabs>
          <w:tab w:val="clear" w:pos="567"/>
          <w:tab w:val="left" w:pos="709"/>
        </w:tabs>
        <w:snapToGrid w:val="0"/>
        <w:spacing w:before="0"/>
        <w:jc w:val="both"/>
        <w:rPr>
          <w:lang w:val="en-US"/>
        </w:rPr>
      </w:pPr>
      <w:r>
        <w:rPr>
          <w:lang w:val="en-US"/>
        </w:rPr>
        <w:t>7.5</w:t>
      </w:r>
      <w:r>
        <w:rPr>
          <w:lang w:val="en-US"/>
        </w:rPr>
        <w:tab/>
      </w:r>
      <w:r w:rsidRPr="00954082">
        <w:rPr>
          <w:lang w:val="en-US"/>
        </w:rPr>
        <w:t>The Member State, Sector Member and Associate contributions invoiced and representing revenue associated with the following financial period according to budget adopted by Council are included in the receivables of the financial period and the related revenue</w:t>
      </w:r>
      <w:r>
        <w:rPr>
          <w:lang w:val="en-US"/>
        </w:rPr>
        <w:t>s</w:t>
      </w:r>
      <w:r w:rsidRPr="00954082">
        <w:rPr>
          <w:lang w:val="en-US"/>
        </w:rPr>
        <w:t xml:space="preserve"> are deferred.</w:t>
      </w:r>
    </w:p>
    <w:p w:rsidR="006F29B5" w:rsidRDefault="006F29B5" w:rsidP="006F29B5">
      <w:pPr>
        <w:tabs>
          <w:tab w:val="clear" w:pos="567"/>
          <w:tab w:val="left" w:pos="709"/>
        </w:tabs>
        <w:snapToGrid w:val="0"/>
        <w:jc w:val="both"/>
      </w:pPr>
      <w:r>
        <w:t>7.6</w:t>
      </w:r>
      <w:r>
        <w:tab/>
      </w:r>
      <w:r w:rsidRPr="00954082">
        <w:t>The table below gives the evolution of deferred revenue:</w:t>
      </w:r>
      <w:r>
        <w:br/>
      </w:r>
    </w:p>
    <w:tbl>
      <w:tblPr>
        <w:tblW w:w="7620" w:type="dxa"/>
        <w:jc w:val="center"/>
        <w:tblLook w:val="04A0" w:firstRow="1" w:lastRow="0" w:firstColumn="1" w:lastColumn="0" w:noHBand="0" w:noVBand="1"/>
      </w:tblPr>
      <w:tblGrid>
        <w:gridCol w:w="3160"/>
        <w:gridCol w:w="1226"/>
        <w:gridCol w:w="1226"/>
        <w:gridCol w:w="1226"/>
        <w:gridCol w:w="1226"/>
      </w:tblGrid>
      <w:tr w:rsidR="006F29B5" w:rsidRPr="00981573" w:rsidTr="006F29B5">
        <w:trPr>
          <w:trHeight w:val="315"/>
          <w:jc w:val="center"/>
        </w:trPr>
        <w:tc>
          <w:tcPr>
            <w:tcW w:w="31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981573">
              <w:rPr>
                <w:b/>
                <w:bCs/>
                <w:color w:val="000000"/>
                <w:sz w:val="22"/>
                <w:szCs w:val="22"/>
                <w:lang w:val="en-US" w:eastAsia="zh-CN"/>
              </w:rPr>
              <w:t>In thousands of CHF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31.12.2014</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31.12.2015</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31.12.2016</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81573">
              <w:rPr>
                <w:b/>
                <w:bCs/>
                <w:color w:val="000000"/>
                <w:sz w:val="22"/>
                <w:szCs w:val="22"/>
                <w:lang w:val="en-US" w:eastAsia="zh-CN"/>
              </w:rPr>
              <w:t>31.12.2017</w:t>
            </w:r>
          </w:p>
        </w:tc>
      </w:tr>
      <w:tr w:rsidR="006F29B5" w:rsidRPr="00981573" w:rsidTr="006F29B5">
        <w:trPr>
          <w:trHeight w:val="315"/>
          <w:jc w:val="center"/>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Contributions – Member States</w:t>
            </w:r>
          </w:p>
        </w:tc>
        <w:tc>
          <w:tcPr>
            <w:tcW w:w="12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109,750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106,371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106,292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108,518 </w:t>
            </w:r>
          </w:p>
        </w:tc>
      </w:tr>
      <w:tr w:rsidR="006F29B5" w:rsidRPr="00981573" w:rsidTr="006F29B5">
        <w:trPr>
          <w:trHeight w:val="315"/>
          <w:jc w:val="center"/>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Contributions – Sector Members</w:t>
            </w:r>
          </w:p>
        </w:tc>
        <w:tc>
          <w:tcPr>
            <w:tcW w:w="12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14,698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14,800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14,138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14,085 </w:t>
            </w:r>
          </w:p>
        </w:tc>
      </w:tr>
      <w:tr w:rsidR="006F29B5" w:rsidRPr="00981573" w:rsidTr="006F29B5">
        <w:trPr>
          <w:trHeight w:val="315"/>
          <w:jc w:val="center"/>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Contributions – Associates</w:t>
            </w:r>
          </w:p>
        </w:tc>
        <w:tc>
          <w:tcPr>
            <w:tcW w:w="12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1,562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1,616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1,585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1,660 </w:t>
            </w:r>
          </w:p>
        </w:tc>
      </w:tr>
      <w:tr w:rsidR="006F29B5" w:rsidRPr="00981573" w:rsidTr="006F29B5">
        <w:trPr>
          <w:trHeight w:val="315"/>
          <w:jc w:val="center"/>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Contributions – Academia</w:t>
            </w:r>
          </w:p>
        </w:tc>
        <w:tc>
          <w:tcPr>
            <w:tcW w:w="12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225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234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293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328 </w:t>
            </w:r>
          </w:p>
        </w:tc>
      </w:tr>
      <w:tr w:rsidR="006F29B5" w:rsidRPr="00981573" w:rsidTr="006F29B5">
        <w:trPr>
          <w:trHeight w:val="315"/>
          <w:jc w:val="center"/>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Publications &amp; miscellaneous</w:t>
            </w:r>
          </w:p>
        </w:tc>
        <w:tc>
          <w:tcPr>
            <w:tcW w:w="12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36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28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28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   </w:t>
            </w:r>
          </w:p>
        </w:tc>
      </w:tr>
      <w:tr w:rsidR="006F29B5" w:rsidRPr="00981573" w:rsidTr="006F29B5">
        <w:trPr>
          <w:trHeight w:val="315"/>
          <w:jc w:val="center"/>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SNF</w:t>
            </w:r>
          </w:p>
        </w:tc>
        <w:tc>
          <w:tcPr>
            <w:tcW w:w="12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3,217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4,520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6,686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8,498 </w:t>
            </w:r>
          </w:p>
        </w:tc>
      </w:tr>
      <w:tr w:rsidR="006F29B5" w:rsidRPr="00981573" w:rsidTr="006F29B5">
        <w:trPr>
          <w:trHeight w:val="315"/>
          <w:jc w:val="center"/>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81573">
              <w:rPr>
                <w:color w:val="000000"/>
                <w:sz w:val="22"/>
                <w:szCs w:val="22"/>
                <w:lang w:val="en-US" w:eastAsia="zh-CN"/>
              </w:rPr>
              <w:t>Contributions - Extra-budgetary</w:t>
            </w:r>
          </w:p>
        </w:tc>
        <w:tc>
          <w:tcPr>
            <w:tcW w:w="12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81573">
              <w:rPr>
                <w:color w:val="000000"/>
                <w:sz w:val="22"/>
                <w:szCs w:val="22"/>
                <w:lang w:val="en-US" w:eastAsia="zh-CN"/>
              </w:rPr>
              <w:t xml:space="preserve">          1,185 </w:t>
            </w:r>
          </w:p>
        </w:tc>
      </w:tr>
      <w:tr w:rsidR="006F29B5" w:rsidRPr="00981573" w:rsidTr="006F29B5">
        <w:trPr>
          <w:trHeight w:val="315"/>
          <w:jc w:val="center"/>
        </w:trPr>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981573">
              <w:rPr>
                <w:b/>
                <w:bCs/>
                <w:color w:val="000000"/>
                <w:sz w:val="22"/>
                <w:szCs w:val="22"/>
                <w:lang w:val="en-US" w:eastAsia="zh-CN"/>
              </w:rPr>
              <w:t>Deferred revenue</w:t>
            </w:r>
          </w:p>
        </w:tc>
        <w:tc>
          <w:tcPr>
            <w:tcW w:w="122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 xml:space="preserve">     129,488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 xml:space="preserve">     127,569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 xml:space="preserve">     129,022 </w:t>
            </w:r>
          </w:p>
        </w:tc>
        <w:tc>
          <w:tcPr>
            <w:tcW w:w="1080" w:type="dxa"/>
            <w:tcBorders>
              <w:top w:val="nil"/>
              <w:left w:val="nil"/>
              <w:bottom w:val="single" w:sz="8" w:space="0" w:color="auto"/>
              <w:right w:val="single" w:sz="8" w:space="0" w:color="auto"/>
            </w:tcBorders>
            <w:shd w:val="clear" w:color="auto" w:fill="auto"/>
            <w:noWrap/>
            <w:vAlign w:val="center"/>
            <w:hideMark/>
          </w:tcPr>
          <w:p w:rsidR="006F29B5" w:rsidRPr="0098157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981573">
              <w:rPr>
                <w:b/>
                <w:bCs/>
                <w:color w:val="000000"/>
                <w:sz w:val="22"/>
                <w:szCs w:val="22"/>
                <w:lang w:val="en-US" w:eastAsia="zh-CN"/>
              </w:rPr>
              <w:t xml:space="preserve">     134,275 </w:t>
            </w:r>
          </w:p>
        </w:tc>
      </w:tr>
    </w:tbl>
    <w:p w:rsidR="006F29B5" w:rsidRDefault="006F29B5" w:rsidP="006F29B5">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p>
    <w:p w:rsidR="006F29B5" w:rsidRPr="003718C3" w:rsidRDefault="006F29B5" w:rsidP="006F29B5">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r w:rsidRPr="003718C3">
        <w:rPr>
          <w:b/>
          <w:bCs/>
        </w:rPr>
        <w:t>Settlement of arrears</w:t>
      </w:r>
    </w:p>
    <w:p w:rsidR="006F29B5" w:rsidRPr="00486B4E" w:rsidRDefault="006F29B5" w:rsidP="006F29B5">
      <w:pPr>
        <w:tabs>
          <w:tab w:val="clear" w:pos="567"/>
          <w:tab w:val="left" w:pos="709"/>
        </w:tabs>
        <w:snapToGrid w:val="0"/>
        <w:jc w:val="both"/>
      </w:pPr>
      <w:r>
        <w:t>7.7</w:t>
      </w:r>
      <w:r w:rsidRPr="00486B4E">
        <w:tab/>
        <w:t>The evolution of arrears and the slow settlement of arrears and special arrears accounts continue to be of great concern to the Council. In addition to the regular reminders regarding outstanding amounts, each debtor has been requested to submit a repayment schedule and to settle the debt as quickly as possible. Details on arrears, special arrears accounts and cancelled special arrears accounts as well as proposed measures to speed up the settlement of arr</w:t>
      </w:r>
      <w:r>
        <w:t xml:space="preserve">ears are </w:t>
      </w:r>
      <w:r w:rsidRPr="00276C9B">
        <w:t xml:space="preserve">given in Document PP-18/45 – </w:t>
      </w:r>
      <w:r w:rsidRPr="00276C9B">
        <w:rPr>
          <w:i/>
        </w:rPr>
        <w:t>Arrears</w:t>
      </w:r>
      <w:r>
        <w:rPr>
          <w:i/>
        </w:rPr>
        <w:t>, Special Arrears Accounts, and cancelled Special Arrears Accounts</w:t>
      </w:r>
      <w:r w:rsidRPr="00276C9B">
        <w:rPr>
          <w:i/>
        </w:rPr>
        <w:t>.</w:t>
      </w:r>
    </w:p>
    <w:p w:rsidR="006F29B5" w:rsidRDefault="006F29B5" w:rsidP="006F29B5">
      <w:pPr>
        <w:pStyle w:val="Heading1"/>
        <w:tabs>
          <w:tab w:val="clear" w:pos="567"/>
          <w:tab w:val="left" w:pos="709"/>
        </w:tabs>
        <w:spacing w:before="360"/>
        <w:ind w:left="709" w:hanging="709"/>
      </w:pPr>
      <w:r>
        <w:t>8</w:t>
      </w:r>
      <w:r w:rsidRPr="00486B4E">
        <w:tab/>
      </w:r>
      <w:r>
        <w:t>Fixed Assets</w:t>
      </w:r>
    </w:p>
    <w:p w:rsidR="006F29B5" w:rsidRPr="001C2A98" w:rsidRDefault="006F29B5" w:rsidP="006F29B5">
      <w:pPr>
        <w:tabs>
          <w:tab w:val="clear" w:pos="567"/>
          <w:tab w:val="left" w:pos="709"/>
        </w:tabs>
        <w:jc w:val="both"/>
        <w:rPr>
          <w:lang w:val="en-US"/>
        </w:rPr>
      </w:pPr>
      <w:r>
        <w:rPr>
          <w:lang w:val="en-US"/>
        </w:rPr>
        <w:t>8.1</w:t>
      </w:r>
      <w:r>
        <w:rPr>
          <w:lang w:val="en-US"/>
        </w:rPr>
        <w:tab/>
      </w:r>
      <w:r w:rsidRPr="001C2A98">
        <w:rPr>
          <w:lang w:val="en-US"/>
        </w:rPr>
        <w:t>Property, plant and equipment held by ITU are valued at historical cost less accumulated depreciation and accumulated impairment losses. Land is not taken into account when calculating the</w:t>
      </w:r>
      <w:r>
        <w:rPr>
          <w:lang w:val="en-US"/>
        </w:rPr>
        <w:t xml:space="preserve"> </w:t>
      </w:r>
      <w:r w:rsidRPr="001C2A98">
        <w:rPr>
          <w:lang w:val="en-US"/>
        </w:rPr>
        <w:t>intrinsic value of</w:t>
      </w:r>
      <w:r>
        <w:rPr>
          <w:lang w:val="en-US"/>
        </w:rPr>
        <w:t xml:space="preserve"> </w:t>
      </w:r>
      <w:r w:rsidRPr="001C2A98">
        <w:rPr>
          <w:lang w:val="en-US"/>
        </w:rPr>
        <w:t>the buildings. The land rights (right of superficies) concerning the land areas made available by the State of Geneva is without cost to the Union.</w:t>
      </w:r>
    </w:p>
    <w:p w:rsidR="006F29B5" w:rsidRPr="001C2A98" w:rsidRDefault="006F29B5" w:rsidP="006F29B5">
      <w:pPr>
        <w:tabs>
          <w:tab w:val="clear" w:pos="567"/>
          <w:tab w:val="left" w:pos="709"/>
        </w:tabs>
        <w:jc w:val="both"/>
        <w:rPr>
          <w:lang w:val="en-US"/>
        </w:rPr>
      </w:pPr>
      <w:r>
        <w:rPr>
          <w:lang w:val="en-US"/>
        </w:rPr>
        <w:t>8.2</w:t>
      </w:r>
      <w:r>
        <w:rPr>
          <w:lang w:val="en-US"/>
        </w:rPr>
        <w:tab/>
      </w:r>
      <w:r w:rsidRPr="001C2A98">
        <w:rPr>
          <w:lang w:val="en-US"/>
        </w:rPr>
        <w:t xml:space="preserve">In-kind gifts are measured at fair value estimated at the date of receipt of the movable assets. </w:t>
      </w:r>
      <w:r w:rsidRPr="00E353F8">
        <w:rPr>
          <w:lang w:val="en-US"/>
        </w:rPr>
        <w:t xml:space="preserve">Recognition of revenue associated with in-kind gifts intended for the creation or purchase of a specific asset is spread over a period equal to the depreciation </w:t>
      </w:r>
      <w:r w:rsidRPr="00EE08C2">
        <w:rPr>
          <w:lang w:val="en-US"/>
        </w:rPr>
        <w:t>time</w:t>
      </w:r>
      <w:r w:rsidRPr="00E353F8">
        <w:rPr>
          <w:lang w:val="en-US"/>
        </w:rPr>
        <w:t xml:space="preserve"> of the </w:t>
      </w:r>
      <w:r>
        <w:rPr>
          <w:lang w:val="en-US"/>
        </w:rPr>
        <w:t xml:space="preserve">concerned </w:t>
      </w:r>
      <w:r w:rsidRPr="00E353F8">
        <w:rPr>
          <w:lang w:val="en-US"/>
        </w:rPr>
        <w:t>asset as from the date of its bringing into use.</w:t>
      </w:r>
    </w:p>
    <w:p w:rsidR="006F29B5" w:rsidRPr="001C2A98" w:rsidRDefault="006F29B5" w:rsidP="006F29B5">
      <w:pPr>
        <w:tabs>
          <w:tab w:val="clear" w:pos="567"/>
          <w:tab w:val="left" w:pos="709"/>
        </w:tabs>
        <w:jc w:val="both"/>
        <w:rPr>
          <w:lang w:val="en-US"/>
        </w:rPr>
      </w:pPr>
      <w:r>
        <w:rPr>
          <w:lang w:val="en-US"/>
        </w:rPr>
        <w:t>8.3</w:t>
      </w:r>
      <w:r>
        <w:rPr>
          <w:lang w:val="en-US"/>
        </w:rPr>
        <w:tab/>
      </w:r>
      <w:r w:rsidRPr="001C2A98">
        <w:rPr>
          <w:lang w:val="en-US"/>
        </w:rPr>
        <w:t>Goods with a value equal to or higher than CHF 5</w:t>
      </w:r>
      <w:r>
        <w:rPr>
          <w:lang w:val="en-US"/>
        </w:rPr>
        <w:t>’000</w:t>
      </w:r>
      <w:r w:rsidRPr="001C2A98">
        <w:rPr>
          <w:lang w:val="en-US"/>
        </w:rPr>
        <w:t xml:space="preserve"> are capitalized at the time of receipt and subsequently depreciated on a straight-line basis.</w:t>
      </w:r>
    </w:p>
    <w:p w:rsidR="006F29B5" w:rsidRDefault="006F29B5" w:rsidP="006F29B5">
      <w:pPr>
        <w:tabs>
          <w:tab w:val="clear" w:pos="567"/>
          <w:tab w:val="left" w:pos="709"/>
        </w:tabs>
        <w:jc w:val="both"/>
        <w:rPr>
          <w:bCs/>
          <w:lang w:val="en-US"/>
        </w:rPr>
      </w:pPr>
      <w:r>
        <w:rPr>
          <w:bCs/>
          <w:lang w:val="en-US"/>
        </w:rPr>
        <w:t>8.4</w:t>
      </w:r>
      <w:r>
        <w:rPr>
          <w:bCs/>
          <w:lang w:val="en-US"/>
        </w:rPr>
        <w:tab/>
      </w:r>
      <w:r w:rsidRPr="001C2A98">
        <w:rPr>
          <w:bCs/>
          <w:lang w:val="en-US"/>
        </w:rPr>
        <w:t>Goods with a cost lower than CHF 5</w:t>
      </w:r>
      <w:r>
        <w:rPr>
          <w:bCs/>
          <w:lang w:val="en-US"/>
        </w:rPr>
        <w:t>’000</w:t>
      </w:r>
      <w:r w:rsidRPr="001C2A98">
        <w:rPr>
          <w:bCs/>
          <w:lang w:val="en-US"/>
        </w:rPr>
        <w:t xml:space="preserve"> (low-value goods) are capitalized during the month of acquisition and fully recognized as expenses in the statement of financial performance at the monthly closure following acquisition.</w:t>
      </w:r>
    </w:p>
    <w:p w:rsidR="006F29B5" w:rsidRPr="001C2A98" w:rsidRDefault="006F29B5" w:rsidP="006F29B5">
      <w:pPr>
        <w:tabs>
          <w:tab w:val="clear" w:pos="567"/>
          <w:tab w:val="left" w:pos="709"/>
        </w:tabs>
        <w:jc w:val="both"/>
        <w:rPr>
          <w:lang w:val="en-US"/>
        </w:rPr>
      </w:pPr>
      <w:r>
        <w:rPr>
          <w:lang w:val="en-US"/>
        </w:rPr>
        <w:t>8.5</w:t>
      </w:r>
      <w:r>
        <w:rPr>
          <w:lang w:val="en-US"/>
        </w:rPr>
        <w:tab/>
      </w:r>
      <w:r w:rsidRPr="001C2A98">
        <w:rPr>
          <w:lang w:val="en-US"/>
        </w:rPr>
        <w:t xml:space="preserve">Subsequent costs related to fixed assets are capitalized and depreciated when they bring about an increase in service potential associated with use of the fixed asset and do not concern maintenance or repair costs for the </w:t>
      </w:r>
      <w:r>
        <w:rPr>
          <w:lang w:val="en-US"/>
        </w:rPr>
        <w:t xml:space="preserve">concerned </w:t>
      </w:r>
      <w:r w:rsidRPr="001C2A98">
        <w:rPr>
          <w:lang w:val="en-US"/>
        </w:rPr>
        <w:t>fixed asset, these being recognized in the statement of financial performance.</w:t>
      </w:r>
    </w:p>
    <w:p w:rsidR="006F29B5" w:rsidRDefault="006F29B5" w:rsidP="006F29B5">
      <w:pPr>
        <w:tabs>
          <w:tab w:val="clear" w:pos="567"/>
          <w:tab w:val="left" w:pos="709"/>
        </w:tabs>
        <w:jc w:val="both"/>
        <w:rPr>
          <w:lang w:val="en-US"/>
        </w:rPr>
      </w:pPr>
      <w:r>
        <w:rPr>
          <w:lang w:val="en-US"/>
        </w:rPr>
        <w:t>8.6</w:t>
      </w:r>
      <w:r>
        <w:rPr>
          <w:lang w:val="en-US"/>
        </w:rPr>
        <w:tab/>
      </w:r>
      <w:r w:rsidRPr="001C2A98">
        <w:rPr>
          <w:lang w:val="en-US"/>
        </w:rPr>
        <w:t>Where a fixed asset comprises several significant components having different useful lives, each component is recognized separately. Depreciation is calculated on a straight-line basis according to the estimated useful life of each item, with a final residual period, if applicable. The residual values and useful lives of assets, as well as the depreciation methods, are reviewed, and adjusted if necessary, at each annual closure.</w:t>
      </w:r>
    </w:p>
    <w:p w:rsidR="006F29B5" w:rsidRDefault="006F29B5" w:rsidP="006F29B5">
      <w:pPr>
        <w:tabs>
          <w:tab w:val="clear" w:pos="567"/>
          <w:tab w:val="left" w:pos="709"/>
        </w:tabs>
        <w:rPr>
          <w:lang w:val="en-US"/>
        </w:rPr>
      </w:pPr>
      <w:r>
        <w:rPr>
          <w:lang w:val="en-US"/>
        </w:rPr>
        <w:t>8.7</w:t>
      </w:r>
      <w:r>
        <w:rPr>
          <w:lang w:val="en-US"/>
        </w:rPr>
        <w:tab/>
        <w:t>The net book value of fixed assets as of 31 December 2017 is shown in the table below:</w:t>
      </w:r>
    </w:p>
    <w:p w:rsidR="006F29B5" w:rsidRDefault="006F29B5" w:rsidP="00F62A26">
      <w:pPr>
        <w:tabs>
          <w:tab w:val="clear" w:pos="567"/>
          <w:tab w:val="left" w:pos="709"/>
        </w:tabs>
        <w:spacing w:before="0"/>
        <w:rPr>
          <w:lang w:val="en-US"/>
        </w:rPr>
      </w:pPr>
    </w:p>
    <w:tbl>
      <w:tblPr>
        <w:tblW w:w="8559" w:type="dxa"/>
        <w:jc w:val="center"/>
        <w:tblLook w:val="04A0" w:firstRow="1" w:lastRow="0" w:firstColumn="1" w:lastColumn="0" w:noHBand="0" w:noVBand="1"/>
      </w:tblPr>
      <w:tblGrid>
        <w:gridCol w:w="2150"/>
        <w:gridCol w:w="973"/>
        <w:gridCol w:w="745"/>
        <w:gridCol w:w="992"/>
        <w:gridCol w:w="1128"/>
        <w:gridCol w:w="905"/>
        <w:gridCol w:w="789"/>
        <w:gridCol w:w="877"/>
      </w:tblGrid>
      <w:tr w:rsidR="006F29B5" w:rsidRPr="004B40CA" w:rsidTr="006F29B5">
        <w:trPr>
          <w:trHeight w:val="300"/>
          <w:jc w:val="center"/>
        </w:trPr>
        <w:tc>
          <w:tcPr>
            <w:tcW w:w="2150" w:type="dxa"/>
            <w:tcBorders>
              <w:top w:val="single" w:sz="8" w:space="0" w:color="auto"/>
              <w:left w:val="single" w:sz="8" w:space="0" w:color="auto"/>
              <w:bottom w:val="nil"/>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Categories of asset</w:t>
            </w:r>
          </w:p>
        </w:tc>
        <w:tc>
          <w:tcPr>
            <w:tcW w:w="9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Buildings</w:t>
            </w:r>
          </w:p>
        </w:tc>
        <w:tc>
          <w:tcPr>
            <w:tcW w:w="7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Mach. &amp; equip.</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Furniture &amp; fixtures</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Computer equipment</w:t>
            </w:r>
          </w:p>
        </w:tc>
        <w:tc>
          <w:tcPr>
            <w:tcW w:w="9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Vehicles</w:t>
            </w:r>
          </w:p>
        </w:tc>
        <w:tc>
          <w:tcPr>
            <w:tcW w:w="7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Under constr.</w:t>
            </w:r>
          </w:p>
        </w:tc>
        <w:tc>
          <w:tcPr>
            <w:tcW w:w="8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Total</w:t>
            </w:r>
          </w:p>
        </w:tc>
      </w:tr>
      <w:tr w:rsidR="006F29B5" w:rsidRPr="004B40CA" w:rsidTr="006F29B5">
        <w:trPr>
          <w:trHeight w:val="300"/>
          <w:jc w:val="center"/>
        </w:trPr>
        <w:tc>
          <w:tcPr>
            <w:tcW w:w="2150" w:type="dxa"/>
            <w:tcBorders>
              <w:top w:val="nil"/>
              <w:left w:val="single" w:sz="8" w:space="0" w:color="auto"/>
              <w:bottom w:val="nil"/>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4B40CA">
              <w:rPr>
                <w:b/>
                <w:bCs/>
                <w:color w:val="000000"/>
                <w:sz w:val="20"/>
                <w:lang w:val="en-US" w:eastAsia="zh-CN"/>
              </w:rPr>
              <w:t>(in thousands of CHF)</w:t>
            </w:r>
          </w:p>
        </w:tc>
        <w:tc>
          <w:tcPr>
            <w:tcW w:w="973"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745"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905"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789"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877"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r>
      <w:tr w:rsidR="006F29B5" w:rsidRPr="004B40CA" w:rsidTr="006F29B5">
        <w:trPr>
          <w:trHeight w:val="315"/>
          <w:jc w:val="center"/>
        </w:trPr>
        <w:tc>
          <w:tcPr>
            <w:tcW w:w="2150" w:type="dxa"/>
            <w:tcBorders>
              <w:top w:val="nil"/>
              <w:left w:val="single" w:sz="8" w:space="0" w:color="auto"/>
              <w:bottom w:val="single" w:sz="8" w:space="0" w:color="auto"/>
              <w:right w:val="single" w:sz="8" w:space="0" w:color="auto"/>
            </w:tcBorders>
            <w:shd w:val="clear" w:color="auto" w:fill="auto"/>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B40CA">
              <w:rPr>
                <w:color w:val="000000"/>
                <w:sz w:val="22"/>
                <w:szCs w:val="22"/>
                <w:lang w:val="en-US" w:eastAsia="zh-CN"/>
              </w:rPr>
              <w:t> </w:t>
            </w:r>
          </w:p>
        </w:tc>
        <w:tc>
          <w:tcPr>
            <w:tcW w:w="973"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745"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905"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789"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877"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r>
      <w:tr w:rsidR="006F29B5" w:rsidRPr="004B40CA" w:rsidTr="006F29B5">
        <w:trPr>
          <w:trHeight w:val="525"/>
          <w:jc w:val="center"/>
        </w:trPr>
        <w:tc>
          <w:tcPr>
            <w:tcW w:w="215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4B40CA">
              <w:rPr>
                <w:b/>
                <w:bCs/>
                <w:color w:val="000000"/>
                <w:sz w:val="20"/>
                <w:lang w:val="en-US" w:eastAsia="zh-CN"/>
              </w:rPr>
              <w:t>Net carrying amount at 1 January 2014</w:t>
            </w:r>
          </w:p>
        </w:tc>
        <w:tc>
          <w:tcPr>
            <w:tcW w:w="973"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108,646 </w:t>
            </w:r>
          </w:p>
        </w:tc>
        <w:tc>
          <w:tcPr>
            <w:tcW w:w="74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188 </w:t>
            </w:r>
          </w:p>
        </w:tc>
        <w:tc>
          <w:tcPr>
            <w:tcW w:w="992"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537 </w:t>
            </w:r>
          </w:p>
        </w:tc>
        <w:tc>
          <w:tcPr>
            <w:tcW w:w="1128"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1,890 </w:t>
            </w:r>
          </w:p>
        </w:tc>
        <w:tc>
          <w:tcPr>
            <w:tcW w:w="90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58 </w:t>
            </w:r>
          </w:p>
        </w:tc>
        <w:tc>
          <w:tcPr>
            <w:tcW w:w="789"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779 </w:t>
            </w:r>
          </w:p>
        </w:tc>
        <w:tc>
          <w:tcPr>
            <w:tcW w:w="877"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112,098 </w:t>
            </w:r>
          </w:p>
        </w:tc>
      </w:tr>
      <w:tr w:rsidR="006F29B5" w:rsidRPr="004B40CA" w:rsidTr="006F29B5">
        <w:trPr>
          <w:trHeight w:val="525"/>
          <w:jc w:val="center"/>
        </w:trPr>
        <w:tc>
          <w:tcPr>
            <w:tcW w:w="215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4B40CA">
              <w:rPr>
                <w:b/>
                <w:bCs/>
                <w:color w:val="000000"/>
                <w:sz w:val="20"/>
                <w:lang w:val="en-US" w:eastAsia="zh-CN"/>
              </w:rPr>
              <w:t>Net carrying amount at 31 December 2014</w:t>
            </w:r>
          </w:p>
        </w:tc>
        <w:tc>
          <w:tcPr>
            <w:tcW w:w="973"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105,376 </w:t>
            </w:r>
          </w:p>
        </w:tc>
        <w:tc>
          <w:tcPr>
            <w:tcW w:w="74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144 </w:t>
            </w:r>
          </w:p>
        </w:tc>
        <w:tc>
          <w:tcPr>
            <w:tcW w:w="992"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370 </w:t>
            </w:r>
          </w:p>
        </w:tc>
        <w:tc>
          <w:tcPr>
            <w:tcW w:w="1128"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531 </w:t>
            </w:r>
          </w:p>
        </w:tc>
        <w:tc>
          <w:tcPr>
            <w:tcW w:w="90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33 </w:t>
            </w:r>
          </w:p>
        </w:tc>
        <w:tc>
          <w:tcPr>
            <w:tcW w:w="789"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995 </w:t>
            </w:r>
          </w:p>
        </w:tc>
        <w:tc>
          <w:tcPr>
            <w:tcW w:w="877"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107,449 </w:t>
            </w:r>
          </w:p>
        </w:tc>
      </w:tr>
      <w:tr w:rsidR="006F29B5" w:rsidRPr="004B40CA" w:rsidTr="006F29B5">
        <w:trPr>
          <w:trHeight w:val="525"/>
          <w:jc w:val="center"/>
        </w:trPr>
        <w:tc>
          <w:tcPr>
            <w:tcW w:w="215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4B40CA">
              <w:rPr>
                <w:b/>
                <w:bCs/>
                <w:color w:val="000000"/>
                <w:sz w:val="20"/>
                <w:lang w:val="en-US" w:eastAsia="zh-CN"/>
              </w:rPr>
              <w:t>Net carrying amount at 31 December 2015</w:t>
            </w:r>
          </w:p>
        </w:tc>
        <w:tc>
          <w:tcPr>
            <w:tcW w:w="973"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103,934 </w:t>
            </w:r>
          </w:p>
        </w:tc>
        <w:tc>
          <w:tcPr>
            <w:tcW w:w="74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87 </w:t>
            </w:r>
          </w:p>
        </w:tc>
        <w:tc>
          <w:tcPr>
            <w:tcW w:w="992"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190 </w:t>
            </w:r>
          </w:p>
        </w:tc>
        <w:tc>
          <w:tcPr>
            <w:tcW w:w="1128"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687 </w:t>
            </w:r>
          </w:p>
        </w:tc>
        <w:tc>
          <w:tcPr>
            <w:tcW w:w="90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10 </w:t>
            </w:r>
          </w:p>
        </w:tc>
        <w:tc>
          <w:tcPr>
            <w:tcW w:w="789"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4 </w:t>
            </w:r>
          </w:p>
        </w:tc>
        <w:tc>
          <w:tcPr>
            <w:tcW w:w="877"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104,912 </w:t>
            </w:r>
          </w:p>
        </w:tc>
      </w:tr>
      <w:tr w:rsidR="006F29B5" w:rsidRPr="004B40CA" w:rsidTr="006F29B5">
        <w:trPr>
          <w:trHeight w:val="525"/>
          <w:jc w:val="center"/>
        </w:trPr>
        <w:tc>
          <w:tcPr>
            <w:tcW w:w="215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4B40CA">
              <w:rPr>
                <w:b/>
                <w:bCs/>
                <w:color w:val="000000"/>
                <w:sz w:val="20"/>
                <w:lang w:val="en-US" w:eastAsia="zh-CN"/>
              </w:rPr>
              <w:t>Net carrying amount at 31 December 2016</w:t>
            </w:r>
          </w:p>
        </w:tc>
        <w:tc>
          <w:tcPr>
            <w:tcW w:w="973"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100,556 </w:t>
            </w:r>
          </w:p>
        </w:tc>
        <w:tc>
          <w:tcPr>
            <w:tcW w:w="74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69 </w:t>
            </w:r>
          </w:p>
        </w:tc>
        <w:tc>
          <w:tcPr>
            <w:tcW w:w="992"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19 </w:t>
            </w:r>
          </w:p>
        </w:tc>
        <w:tc>
          <w:tcPr>
            <w:tcW w:w="1128"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706 </w:t>
            </w:r>
          </w:p>
        </w:tc>
        <w:tc>
          <w:tcPr>
            <w:tcW w:w="90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82 </w:t>
            </w:r>
          </w:p>
        </w:tc>
        <w:tc>
          <w:tcPr>
            <w:tcW w:w="789"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   </w:t>
            </w:r>
          </w:p>
        </w:tc>
        <w:tc>
          <w:tcPr>
            <w:tcW w:w="877"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101,432 </w:t>
            </w:r>
          </w:p>
        </w:tc>
      </w:tr>
      <w:tr w:rsidR="006F29B5" w:rsidRPr="004B40CA" w:rsidTr="006F29B5">
        <w:trPr>
          <w:trHeight w:val="525"/>
          <w:jc w:val="center"/>
        </w:trPr>
        <w:tc>
          <w:tcPr>
            <w:tcW w:w="215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4B40CA">
              <w:rPr>
                <w:b/>
                <w:bCs/>
                <w:color w:val="000000"/>
                <w:sz w:val="20"/>
                <w:lang w:val="en-US" w:eastAsia="zh-CN"/>
              </w:rPr>
              <w:t>Net carrying amount at 31 December 2017</w:t>
            </w:r>
          </w:p>
        </w:tc>
        <w:tc>
          <w:tcPr>
            <w:tcW w:w="973"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97,723 </w:t>
            </w:r>
          </w:p>
        </w:tc>
        <w:tc>
          <w:tcPr>
            <w:tcW w:w="74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66 </w:t>
            </w:r>
          </w:p>
        </w:tc>
        <w:tc>
          <w:tcPr>
            <w:tcW w:w="992"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56 </w:t>
            </w:r>
          </w:p>
        </w:tc>
        <w:tc>
          <w:tcPr>
            <w:tcW w:w="1128"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1,091 </w:t>
            </w:r>
          </w:p>
        </w:tc>
        <w:tc>
          <w:tcPr>
            <w:tcW w:w="905"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64 </w:t>
            </w:r>
          </w:p>
        </w:tc>
        <w:tc>
          <w:tcPr>
            <w:tcW w:w="789"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   </w:t>
            </w:r>
          </w:p>
        </w:tc>
        <w:tc>
          <w:tcPr>
            <w:tcW w:w="877"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B40CA">
              <w:rPr>
                <w:b/>
                <w:bCs/>
                <w:color w:val="000000"/>
                <w:sz w:val="20"/>
                <w:lang w:val="en-US" w:eastAsia="zh-CN"/>
              </w:rPr>
              <w:t xml:space="preserve">  99,000 </w:t>
            </w:r>
          </w:p>
        </w:tc>
      </w:tr>
    </w:tbl>
    <w:p w:rsidR="006F29B5" w:rsidRDefault="006F29B5" w:rsidP="006F29B5">
      <w:pPr>
        <w:spacing w:before="0"/>
        <w:rPr>
          <w:lang w:val="en-US"/>
        </w:rPr>
      </w:pPr>
    </w:p>
    <w:p w:rsidR="006F29B5" w:rsidRDefault="006F29B5" w:rsidP="00F62A26">
      <w:pPr>
        <w:tabs>
          <w:tab w:val="clear" w:pos="567"/>
          <w:tab w:val="left" w:pos="709"/>
        </w:tabs>
        <w:spacing w:before="100"/>
        <w:jc w:val="both"/>
        <w:rPr>
          <w:lang w:val="en-US"/>
        </w:rPr>
      </w:pPr>
      <w:r>
        <w:rPr>
          <w:lang w:val="en-US"/>
        </w:rPr>
        <w:t>8.8</w:t>
      </w:r>
      <w:r>
        <w:rPr>
          <w:lang w:val="en-US"/>
        </w:rPr>
        <w:tab/>
        <w:t>Buildings constitute the most significant position in ITU fixed assets. A detailed table of fixed assets movements is included in each financial operating report.</w:t>
      </w:r>
    </w:p>
    <w:p w:rsidR="006F29B5" w:rsidRPr="00486B4E" w:rsidRDefault="006F29B5" w:rsidP="006F29B5">
      <w:pPr>
        <w:tabs>
          <w:tab w:val="clear" w:pos="567"/>
          <w:tab w:val="left" w:pos="709"/>
        </w:tabs>
        <w:spacing w:before="100"/>
        <w:jc w:val="both"/>
      </w:pPr>
      <w:r>
        <w:t>8.9</w:t>
      </w:r>
      <w:r>
        <w:tab/>
        <w:t>At 31 December 2017</w:t>
      </w:r>
      <w:r w:rsidRPr="00486B4E">
        <w:t>, the balance still owed to FIPOI stood at CHF </w:t>
      </w:r>
      <w:r>
        <w:t>43 million</w:t>
      </w:r>
      <w:r w:rsidRPr="00486B4E">
        <w:t>.</w:t>
      </w:r>
    </w:p>
    <w:p w:rsidR="006F29B5" w:rsidRDefault="006F29B5" w:rsidP="006F29B5">
      <w:pPr>
        <w:tabs>
          <w:tab w:val="clear" w:pos="567"/>
          <w:tab w:val="left" w:pos="709"/>
        </w:tabs>
        <w:spacing w:before="100"/>
        <w:jc w:val="both"/>
      </w:pPr>
      <w:r>
        <w:t>8.10</w:t>
      </w:r>
      <w:r>
        <w:tab/>
      </w:r>
      <w:r w:rsidRPr="00486B4E">
        <w:t>It should also be noted that, as from 1 January 1996, outstanding and new advances bear no interest.</w:t>
      </w:r>
    </w:p>
    <w:p w:rsidR="006F29B5" w:rsidRDefault="006F29B5" w:rsidP="00F62A26">
      <w:pPr>
        <w:tabs>
          <w:tab w:val="clear" w:pos="567"/>
          <w:tab w:val="left" w:pos="709"/>
        </w:tabs>
        <w:snapToGrid w:val="0"/>
        <w:spacing w:before="100" w:after="240"/>
        <w:jc w:val="both"/>
        <w:rPr>
          <w:lang w:val="en-US"/>
        </w:rPr>
      </w:pPr>
      <w:r>
        <w:rPr>
          <w:lang w:val="en-US"/>
        </w:rPr>
        <w:t>8.11</w:t>
      </w:r>
      <w:r>
        <w:rPr>
          <w:lang w:val="en-US"/>
        </w:rPr>
        <w:tab/>
        <w:t xml:space="preserve">The table below displays the net book value for each building as well as of </w:t>
      </w:r>
      <w:r w:rsidRPr="00F62A26">
        <w:rPr>
          <w:spacing w:val="-2"/>
          <w:lang w:val="en-US"/>
        </w:rPr>
        <w:t>31 December 2017, as well as the residual amount of the related loans to be reimbursed to the FIPOI:</w:t>
      </w:r>
    </w:p>
    <w:tbl>
      <w:tblPr>
        <w:tblW w:w="6340" w:type="dxa"/>
        <w:jc w:val="center"/>
        <w:tblLook w:val="04A0" w:firstRow="1" w:lastRow="0" w:firstColumn="1" w:lastColumn="0" w:noHBand="0" w:noVBand="1"/>
      </w:tblPr>
      <w:tblGrid>
        <w:gridCol w:w="1960"/>
        <w:gridCol w:w="1500"/>
        <w:gridCol w:w="1540"/>
        <w:gridCol w:w="1340"/>
      </w:tblGrid>
      <w:tr w:rsidR="006F29B5" w:rsidRPr="004B40CA" w:rsidTr="006F29B5">
        <w:trPr>
          <w:trHeight w:val="555"/>
          <w:jc w:val="center"/>
        </w:trPr>
        <w:tc>
          <w:tcPr>
            <w:tcW w:w="1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4B40CA">
              <w:rPr>
                <w:b/>
                <w:bCs/>
                <w:color w:val="000000"/>
                <w:sz w:val="18"/>
                <w:szCs w:val="18"/>
                <w:lang w:val="en-US" w:eastAsia="zh-CN"/>
              </w:rPr>
              <w:t>Building</w:t>
            </w:r>
          </w:p>
        </w:tc>
        <w:tc>
          <w:tcPr>
            <w:tcW w:w="1500" w:type="dxa"/>
            <w:tcBorders>
              <w:top w:val="single" w:sz="8" w:space="0" w:color="auto"/>
              <w:left w:val="nil"/>
              <w:bottom w:val="nil"/>
              <w:right w:val="single" w:sz="8"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4B40CA">
              <w:rPr>
                <w:b/>
                <w:bCs/>
                <w:color w:val="000000"/>
                <w:sz w:val="18"/>
                <w:szCs w:val="18"/>
                <w:lang w:val="en-US" w:eastAsia="zh-CN"/>
              </w:rPr>
              <w:t>Net book value</w:t>
            </w:r>
          </w:p>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p>
        </w:tc>
        <w:tc>
          <w:tcPr>
            <w:tcW w:w="1540" w:type="dxa"/>
            <w:tcBorders>
              <w:top w:val="single" w:sz="8" w:space="0" w:color="auto"/>
              <w:left w:val="nil"/>
              <w:bottom w:val="nil"/>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4B40CA">
              <w:rPr>
                <w:b/>
                <w:bCs/>
                <w:color w:val="000000"/>
                <w:sz w:val="18"/>
                <w:szCs w:val="18"/>
                <w:lang w:val="en-US" w:eastAsia="zh-CN"/>
              </w:rPr>
              <w:t>Balance of FIPOI loans</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4B40CA">
              <w:rPr>
                <w:b/>
                <w:bCs/>
                <w:color w:val="000000"/>
                <w:sz w:val="18"/>
                <w:szCs w:val="18"/>
                <w:lang w:val="en-US" w:eastAsia="zh-CN"/>
              </w:rPr>
              <w:t>FIPOI loans final repayment date</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p>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p>
        </w:tc>
      </w:tr>
      <w:tr w:rsidR="006F29B5" w:rsidRPr="004B40CA" w:rsidTr="006F29B5">
        <w:trPr>
          <w:trHeight w:val="300"/>
          <w:jc w:val="center"/>
        </w:trPr>
        <w:tc>
          <w:tcPr>
            <w:tcW w:w="1960"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p>
        </w:tc>
        <w:tc>
          <w:tcPr>
            <w:tcW w:w="1500" w:type="dxa"/>
            <w:tcBorders>
              <w:top w:val="nil"/>
              <w:left w:val="nil"/>
              <w:bottom w:val="nil"/>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4B40CA">
              <w:rPr>
                <w:b/>
                <w:bCs/>
                <w:color w:val="000000"/>
                <w:sz w:val="18"/>
                <w:szCs w:val="18"/>
                <w:lang w:val="en-US" w:eastAsia="zh-CN"/>
              </w:rPr>
              <w:t>at 31.12.2017</w:t>
            </w:r>
          </w:p>
        </w:tc>
        <w:tc>
          <w:tcPr>
            <w:tcW w:w="1540" w:type="dxa"/>
            <w:tcBorders>
              <w:top w:val="nil"/>
              <w:left w:val="nil"/>
              <w:bottom w:val="nil"/>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4B40CA">
              <w:rPr>
                <w:b/>
                <w:bCs/>
                <w:color w:val="000000"/>
                <w:sz w:val="18"/>
                <w:szCs w:val="18"/>
                <w:lang w:val="en-US" w:eastAsia="zh-CN"/>
              </w:rPr>
              <w:t>at 31.12.2017</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p>
        </w:tc>
      </w:tr>
      <w:tr w:rsidR="006F29B5" w:rsidRPr="004B40CA" w:rsidTr="006F29B5">
        <w:trPr>
          <w:trHeight w:val="495"/>
          <w:jc w:val="center"/>
        </w:trPr>
        <w:tc>
          <w:tcPr>
            <w:tcW w:w="1960"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p>
        </w:tc>
        <w:tc>
          <w:tcPr>
            <w:tcW w:w="150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4B40CA">
              <w:rPr>
                <w:b/>
                <w:bCs/>
                <w:color w:val="000000"/>
                <w:sz w:val="18"/>
                <w:szCs w:val="18"/>
                <w:lang w:val="en-US" w:eastAsia="zh-CN"/>
              </w:rPr>
              <w:t>In thousands of CHF</w:t>
            </w:r>
          </w:p>
        </w:tc>
        <w:tc>
          <w:tcPr>
            <w:tcW w:w="15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18"/>
                <w:szCs w:val="18"/>
                <w:lang w:val="en-US" w:eastAsia="zh-CN"/>
              </w:rPr>
            </w:pPr>
            <w:r w:rsidRPr="004B40CA">
              <w:rPr>
                <w:b/>
                <w:bCs/>
                <w:color w:val="000000"/>
                <w:sz w:val="18"/>
                <w:szCs w:val="18"/>
                <w:lang w:val="en-US" w:eastAsia="zh-CN"/>
              </w:rPr>
              <w:t>In thousands of CHF</w:t>
            </w: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p>
        </w:tc>
      </w:tr>
      <w:tr w:rsidR="006F29B5" w:rsidRPr="004B40CA" w:rsidTr="006F29B5">
        <w:trPr>
          <w:trHeight w:val="315"/>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4B40CA">
              <w:rPr>
                <w:b/>
                <w:bCs/>
                <w:color w:val="000000"/>
                <w:sz w:val="18"/>
                <w:szCs w:val="18"/>
                <w:lang w:val="en-US" w:eastAsia="zh-CN"/>
              </w:rPr>
              <w:t xml:space="preserve">Varembé </w:t>
            </w:r>
          </w:p>
        </w:tc>
        <w:tc>
          <w:tcPr>
            <w:tcW w:w="150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w:t>
            </w:r>
          </w:p>
        </w:tc>
        <w:tc>
          <w:tcPr>
            <w:tcW w:w="15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xml:space="preserve">                      306 </w:t>
            </w:r>
          </w:p>
        </w:tc>
        <w:tc>
          <w:tcPr>
            <w:tcW w:w="13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2020</w:t>
            </w:r>
          </w:p>
        </w:tc>
      </w:tr>
      <w:tr w:rsidR="006F29B5" w:rsidRPr="004B40CA" w:rsidTr="006F29B5">
        <w:trPr>
          <w:trHeight w:val="315"/>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4B40CA">
              <w:rPr>
                <w:b/>
                <w:bCs/>
                <w:color w:val="000000"/>
                <w:sz w:val="18"/>
                <w:szCs w:val="18"/>
                <w:lang w:val="en-US" w:eastAsia="zh-CN"/>
              </w:rPr>
              <w:t>Tour et Sous-sols</w:t>
            </w:r>
          </w:p>
        </w:tc>
        <w:tc>
          <w:tcPr>
            <w:tcW w:w="150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w:t>
            </w:r>
          </w:p>
        </w:tc>
        <w:tc>
          <w:tcPr>
            <w:tcW w:w="15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xml:space="preserve">                   9,742 </w:t>
            </w:r>
          </w:p>
        </w:tc>
        <w:tc>
          <w:tcPr>
            <w:tcW w:w="13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2039</w:t>
            </w:r>
          </w:p>
        </w:tc>
      </w:tr>
      <w:tr w:rsidR="006F29B5" w:rsidRPr="004B40CA" w:rsidTr="006F29B5">
        <w:trPr>
          <w:trHeight w:val="315"/>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4B40CA">
              <w:rPr>
                <w:b/>
                <w:bCs/>
                <w:color w:val="000000"/>
                <w:sz w:val="18"/>
                <w:szCs w:val="18"/>
                <w:lang w:val="en-US" w:eastAsia="zh-CN"/>
              </w:rPr>
              <w:t>Montbrillant</w:t>
            </w:r>
          </w:p>
        </w:tc>
        <w:tc>
          <w:tcPr>
            <w:tcW w:w="150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w:t>
            </w:r>
          </w:p>
        </w:tc>
        <w:tc>
          <w:tcPr>
            <w:tcW w:w="15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xml:space="preserve">                30,891 </w:t>
            </w:r>
          </w:p>
        </w:tc>
        <w:tc>
          <w:tcPr>
            <w:tcW w:w="13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2051</w:t>
            </w:r>
          </w:p>
        </w:tc>
      </w:tr>
      <w:tr w:rsidR="006F29B5" w:rsidRPr="004B40CA" w:rsidTr="006F29B5">
        <w:trPr>
          <w:trHeight w:val="495"/>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4B40CA">
              <w:rPr>
                <w:b/>
                <w:bCs/>
                <w:color w:val="000000"/>
                <w:sz w:val="18"/>
                <w:szCs w:val="18"/>
                <w:lang w:val="en-US" w:eastAsia="zh-CN"/>
              </w:rPr>
              <w:t>New Cafeteria and Extension C</w:t>
            </w:r>
          </w:p>
        </w:tc>
        <w:tc>
          <w:tcPr>
            <w:tcW w:w="150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w:t>
            </w:r>
          </w:p>
        </w:tc>
        <w:tc>
          <w:tcPr>
            <w:tcW w:w="15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xml:space="preserve">                   1,360 </w:t>
            </w:r>
          </w:p>
        </w:tc>
        <w:tc>
          <w:tcPr>
            <w:tcW w:w="13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2051</w:t>
            </w:r>
          </w:p>
        </w:tc>
      </w:tr>
      <w:tr w:rsidR="006F29B5" w:rsidRPr="004B40CA" w:rsidTr="006F29B5">
        <w:trPr>
          <w:trHeight w:val="315"/>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4B40CA">
              <w:rPr>
                <w:b/>
                <w:bCs/>
                <w:color w:val="000000"/>
                <w:sz w:val="18"/>
                <w:szCs w:val="18"/>
                <w:lang w:val="en-US" w:eastAsia="zh-CN"/>
              </w:rPr>
              <w:t xml:space="preserve">New Building </w:t>
            </w:r>
          </w:p>
        </w:tc>
        <w:tc>
          <w:tcPr>
            <w:tcW w:w="150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w:t>
            </w:r>
          </w:p>
        </w:tc>
        <w:tc>
          <w:tcPr>
            <w:tcW w:w="15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xml:space="preserve">                      720 </w:t>
            </w:r>
          </w:p>
        </w:tc>
        <w:tc>
          <w:tcPr>
            <w:tcW w:w="13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w:t>
            </w:r>
          </w:p>
        </w:tc>
      </w:tr>
      <w:tr w:rsidR="006F29B5" w:rsidRPr="004B40CA" w:rsidTr="006F29B5">
        <w:trPr>
          <w:trHeight w:val="315"/>
          <w:jc w:val="center"/>
        </w:trPr>
        <w:tc>
          <w:tcPr>
            <w:tcW w:w="1960" w:type="dxa"/>
            <w:tcBorders>
              <w:top w:val="nil"/>
              <w:left w:val="single" w:sz="8" w:space="0" w:color="auto"/>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18"/>
                <w:szCs w:val="18"/>
                <w:lang w:val="en-US" w:eastAsia="zh-CN"/>
              </w:rPr>
            </w:pPr>
            <w:r w:rsidRPr="004B40CA">
              <w:rPr>
                <w:b/>
                <w:bCs/>
                <w:color w:val="000000"/>
                <w:sz w:val="18"/>
                <w:szCs w:val="18"/>
                <w:lang w:val="en-US" w:eastAsia="zh-CN"/>
              </w:rPr>
              <w:t>Total</w:t>
            </w:r>
          </w:p>
        </w:tc>
        <w:tc>
          <w:tcPr>
            <w:tcW w:w="150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0</w:t>
            </w:r>
          </w:p>
        </w:tc>
        <w:tc>
          <w:tcPr>
            <w:tcW w:w="15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xml:space="preserve">                43,019 </w:t>
            </w:r>
          </w:p>
        </w:tc>
        <w:tc>
          <w:tcPr>
            <w:tcW w:w="1340" w:type="dxa"/>
            <w:tcBorders>
              <w:top w:val="nil"/>
              <w:left w:val="nil"/>
              <w:bottom w:val="single" w:sz="8" w:space="0" w:color="auto"/>
              <w:right w:val="single" w:sz="8" w:space="0" w:color="auto"/>
            </w:tcBorders>
            <w:shd w:val="clear" w:color="auto" w:fill="auto"/>
            <w:vAlign w:val="center"/>
            <w:hideMark/>
          </w:tcPr>
          <w:p w:rsidR="006F29B5" w:rsidRPr="004B40C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B40CA">
              <w:rPr>
                <w:color w:val="000000"/>
                <w:sz w:val="20"/>
                <w:lang w:val="en-US" w:eastAsia="zh-CN"/>
              </w:rPr>
              <w:t> </w:t>
            </w:r>
          </w:p>
        </w:tc>
      </w:tr>
    </w:tbl>
    <w:p w:rsidR="006F29B5" w:rsidRPr="00CE0757" w:rsidRDefault="006F29B5" w:rsidP="006F29B5">
      <w:pPr>
        <w:tabs>
          <w:tab w:val="clear" w:pos="567"/>
          <w:tab w:val="left" w:pos="709"/>
        </w:tabs>
        <w:snapToGrid w:val="0"/>
        <w:spacing w:before="0"/>
        <w:jc w:val="both"/>
        <w:rPr>
          <w:lang w:val="en-US"/>
        </w:rPr>
      </w:pPr>
    </w:p>
    <w:p w:rsidR="006F29B5" w:rsidRDefault="006F29B5" w:rsidP="006F29B5">
      <w:pPr>
        <w:pStyle w:val="Headingb"/>
        <w:tabs>
          <w:tab w:val="clear" w:pos="567"/>
          <w:tab w:val="left" w:pos="709"/>
        </w:tabs>
        <w:spacing w:before="120"/>
        <w:ind w:left="709" w:hanging="709"/>
        <w:rPr>
          <w:b w:val="0"/>
          <w:bCs/>
        </w:rPr>
      </w:pPr>
      <w:r>
        <w:rPr>
          <w:b w:val="0"/>
          <w:bCs/>
        </w:rPr>
        <w:t>8.12</w:t>
      </w:r>
      <w:r>
        <w:rPr>
          <w:b w:val="0"/>
          <w:bCs/>
        </w:rPr>
        <w:tab/>
      </w:r>
      <w:r w:rsidRPr="00852AD3">
        <w:rPr>
          <w:b w:val="0"/>
          <w:bCs/>
        </w:rPr>
        <w:t>The Extension C consists in</w:t>
      </w:r>
      <w:r>
        <w:rPr>
          <w:b w:val="0"/>
          <w:bCs/>
        </w:rPr>
        <w:t xml:space="preserve"> a</w:t>
      </w:r>
      <w:r w:rsidRPr="00852AD3">
        <w:rPr>
          <w:b w:val="0"/>
          <w:bCs/>
        </w:rPr>
        <w:t xml:space="preserve"> </w:t>
      </w:r>
      <w:r>
        <w:rPr>
          <w:b w:val="0"/>
          <w:bCs/>
        </w:rPr>
        <w:t>building</w:t>
      </w:r>
      <w:r w:rsidRPr="00852AD3">
        <w:rPr>
          <w:b w:val="0"/>
          <w:bCs/>
        </w:rPr>
        <w:t xml:space="preserve"> linking the Montbrillant and Varembé building</w:t>
      </w:r>
      <w:r>
        <w:rPr>
          <w:b w:val="0"/>
          <w:bCs/>
        </w:rPr>
        <w:t>s</w:t>
      </w:r>
      <w:r w:rsidRPr="00852AD3">
        <w:rPr>
          <w:b w:val="0"/>
          <w:bCs/>
        </w:rPr>
        <w:t>.</w:t>
      </w:r>
    </w:p>
    <w:p w:rsidR="006F29B5" w:rsidRPr="00CC1D52" w:rsidRDefault="006F29B5" w:rsidP="006F29B5">
      <w:pPr>
        <w:tabs>
          <w:tab w:val="left" w:pos="709"/>
        </w:tabs>
        <w:jc w:val="both"/>
        <w:rPr>
          <w:b/>
          <w:bCs/>
          <w:lang w:val="en-US"/>
        </w:rPr>
      </w:pPr>
      <w:r w:rsidRPr="00CC1D52">
        <w:rPr>
          <w:b/>
          <w:bCs/>
          <w:lang w:val="en-US"/>
        </w:rPr>
        <w:t>ITU New Building Project</w:t>
      </w:r>
    </w:p>
    <w:p w:rsidR="006F29B5" w:rsidRDefault="006F29B5" w:rsidP="00C90632">
      <w:pPr>
        <w:tabs>
          <w:tab w:val="left" w:pos="709"/>
        </w:tabs>
        <w:jc w:val="both"/>
        <w:rPr>
          <w:rFonts w:asciiTheme="minorHAnsi" w:hAnsiTheme="minorHAnsi"/>
          <w:szCs w:val="24"/>
        </w:rPr>
      </w:pPr>
      <w:r w:rsidRPr="00FC4C08">
        <w:rPr>
          <w:lang w:val="en-US"/>
        </w:rPr>
        <w:t>8.13</w:t>
      </w:r>
      <w:r>
        <w:rPr>
          <w:lang w:val="en-US"/>
        </w:rPr>
        <w:tab/>
      </w:r>
      <w:r>
        <w:rPr>
          <w:lang w:val="en-US"/>
        </w:rPr>
        <w:tab/>
      </w:r>
      <w:r w:rsidRPr="005D021A">
        <w:rPr>
          <w:rFonts w:asciiTheme="minorHAnsi" w:hAnsiTheme="minorHAnsi"/>
        </w:rPr>
        <w:t xml:space="preserve">Council 2016, through </w:t>
      </w:r>
      <w:hyperlink r:id="rId20" w:history="1">
        <w:r w:rsidRPr="005D021A">
          <w:rPr>
            <w:rStyle w:val="Hyperlink"/>
            <w:rFonts w:asciiTheme="minorHAnsi" w:hAnsiTheme="minorHAnsi"/>
          </w:rPr>
          <w:t>Decision 588</w:t>
        </w:r>
      </w:hyperlink>
      <w:r w:rsidRPr="005D021A">
        <w:rPr>
          <w:rFonts w:asciiTheme="minorHAnsi" w:hAnsiTheme="minorHAnsi"/>
        </w:rPr>
        <w:t xml:space="preserve">, decided to replace the Varembé building by a new </w:t>
      </w:r>
      <w:r w:rsidRPr="005D021A">
        <w:rPr>
          <w:rFonts w:asciiTheme="minorHAnsi" w:hAnsiTheme="minorHAnsi"/>
          <w:szCs w:val="24"/>
        </w:rPr>
        <w:t>construction that would also include the offices and facilities of the Tower building, and complement the Montbrillant building which would be retained and refurbished</w:t>
      </w:r>
      <w:r>
        <w:rPr>
          <w:rFonts w:asciiTheme="minorHAnsi" w:hAnsiTheme="minorHAnsi"/>
          <w:szCs w:val="24"/>
        </w:rPr>
        <w:t>.</w:t>
      </w:r>
    </w:p>
    <w:p w:rsidR="006F29B5" w:rsidRPr="005D021A" w:rsidRDefault="006F29B5" w:rsidP="006F29B5">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Pr>
          <w:rFonts w:asciiTheme="minorHAnsi" w:hAnsiTheme="minorHAnsi"/>
          <w:szCs w:val="24"/>
        </w:rPr>
        <w:t>8.14</w:t>
      </w:r>
      <w:r>
        <w:rPr>
          <w:rFonts w:asciiTheme="minorHAnsi" w:hAnsiTheme="minorHAnsi"/>
          <w:szCs w:val="24"/>
        </w:rPr>
        <w:tab/>
        <w:t>A</w:t>
      </w:r>
      <w:r w:rsidRPr="005D021A">
        <w:rPr>
          <w:rFonts w:asciiTheme="minorHAnsi" w:hAnsiTheme="minorHAnsi"/>
          <w:szCs w:val="24"/>
        </w:rPr>
        <w:t>n interest-free loan of up to CHF 150 million to finance this project</w:t>
      </w:r>
      <w:r>
        <w:rPr>
          <w:rFonts w:asciiTheme="minorHAnsi" w:hAnsiTheme="minorHAnsi"/>
          <w:szCs w:val="24"/>
        </w:rPr>
        <w:t xml:space="preserve"> has been granted by the Swiss Confederation</w:t>
      </w:r>
      <w:r w:rsidRPr="005D021A">
        <w:rPr>
          <w:rFonts w:asciiTheme="minorHAnsi" w:hAnsiTheme="minorHAnsi"/>
          <w:szCs w:val="24"/>
        </w:rPr>
        <w:t xml:space="preserve"> with a maximum budget for total project costs before sale of the Tower of CHF 140 million and an additional contingency fund of CHF 7 million to be used, if necessary, for unforeseen cost overruns.</w:t>
      </w:r>
    </w:p>
    <w:p w:rsidR="006F29B5" w:rsidRPr="00775D87" w:rsidRDefault="006F29B5" w:rsidP="0098524E">
      <w:pPr>
        <w:tabs>
          <w:tab w:val="clear" w:pos="567"/>
          <w:tab w:val="left" w:pos="709"/>
        </w:tabs>
        <w:rPr>
          <w:szCs w:val="24"/>
        </w:rPr>
      </w:pPr>
      <w:r>
        <w:rPr>
          <w:rFonts w:asciiTheme="minorHAnsi" w:hAnsiTheme="minorHAnsi"/>
          <w:szCs w:val="24"/>
        </w:rPr>
        <w:t>8.15</w:t>
      </w:r>
      <w:r>
        <w:rPr>
          <w:rFonts w:asciiTheme="minorHAnsi" w:hAnsiTheme="minorHAnsi"/>
          <w:szCs w:val="24"/>
        </w:rPr>
        <w:tab/>
      </w:r>
      <w:r w:rsidRPr="005D021A">
        <w:rPr>
          <w:rFonts w:asciiTheme="minorHAnsi" w:hAnsiTheme="minorHAnsi"/>
          <w:szCs w:val="24"/>
        </w:rPr>
        <w:t xml:space="preserve">The Secretary-General applied to Switzerland for the first tranche of the loan for the first phase of the project: the architectural competition, architectural studies and related expenses for the period up to 31/12/2019. The loan request amounted to CHF 12 million, with </w:t>
      </w:r>
      <w:r>
        <w:rPr>
          <w:rFonts w:asciiTheme="minorHAnsi" w:hAnsiTheme="minorHAnsi"/>
          <w:szCs w:val="24"/>
        </w:rPr>
        <w:t xml:space="preserve">the </w:t>
      </w:r>
      <w:r w:rsidRPr="005D021A">
        <w:rPr>
          <w:rFonts w:asciiTheme="minorHAnsi" w:hAnsiTheme="minorHAnsi"/>
          <w:szCs w:val="24"/>
        </w:rPr>
        <w:t>first annual repayment being made only after the</w:t>
      </w:r>
      <w:r>
        <w:rPr>
          <w:rFonts w:asciiTheme="minorHAnsi" w:hAnsiTheme="minorHAnsi"/>
          <w:szCs w:val="24"/>
        </w:rPr>
        <w:t xml:space="preserve"> successful completion of the construction phase</w:t>
      </w:r>
      <w:r w:rsidRPr="00775D87">
        <w:rPr>
          <w:szCs w:val="24"/>
        </w:rPr>
        <w:t xml:space="preserve"> (at the earliest end-2023). The loan was granted by the Swiss Parliament in December 2016 and ITU has signed a contract with FIPOI for the administration of this loan. The funds have been available since the beginning of 2017.</w:t>
      </w:r>
    </w:p>
    <w:p w:rsidR="006F29B5" w:rsidRPr="00FC4C08" w:rsidRDefault="006F29B5" w:rsidP="006F29B5">
      <w:pPr>
        <w:pStyle w:val="Heading1"/>
        <w:tabs>
          <w:tab w:val="clear" w:pos="567"/>
          <w:tab w:val="left" w:pos="709"/>
        </w:tabs>
        <w:spacing w:before="360"/>
        <w:ind w:left="709" w:hanging="709"/>
      </w:pPr>
      <w:r w:rsidRPr="00FC4C08">
        <w:t>9</w:t>
      </w:r>
      <w:r w:rsidRPr="00FC4C08">
        <w:tab/>
        <w:t>Employee benefits</w:t>
      </w:r>
    </w:p>
    <w:p w:rsidR="006F29B5" w:rsidRPr="001C2A98" w:rsidRDefault="006F29B5" w:rsidP="006F29B5">
      <w:pPr>
        <w:tabs>
          <w:tab w:val="clear" w:pos="567"/>
          <w:tab w:val="left" w:pos="709"/>
        </w:tabs>
        <w:jc w:val="both"/>
        <w:rPr>
          <w:lang w:val="en-US"/>
        </w:rPr>
      </w:pPr>
      <w:r>
        <w:rPr>
          <w:lang w:val="en-US"/>
        </w:rPr>
        <w:t>9.1</w:t>
      </w:r>
      <w:r>
        <w:rPr>
          <w:lang w:val="en-US"/>
        </w:rPr>
        <w:tab/>
      </w:r>
      <w:r w:rsidRPr="001C2A98">
        <w:rPr>
          <w:lang w:val="en-US"/>
        </w:rPr>
        <w:t>The following employee benefits are recognized:</w:t>
      </w:r>
    </w:p>
    <w:p w:rsidR="006F29B5" w:rsidRPr="001C2A98" w:rsidRDefault="006F29B5" w:rsidP="006F29B5">
      <w:pPr>
        <w:pStyle w:val="enumlev1"/>
        <w:tabs>
          <w:tab w:val="clear" w:pos="567"/>
          <w:tab w:val="left" w:pos="709"/>
        </w:tabs>
        <w:ind w:left="709" w:hanging="709"/>
        <w:jc w:val="both"/>
        <w:rPr>
          <w:lang w:val="en-US"/>
        </w:rPr>
      </w:pPr>
      <w:r w:rsidRPr="001C2A98">
        <w:rPr>
          <w:lang w:val="en-US"/>
        </w:rPr>
        <w:t>–</w:t>
      </w:r>
      <w:r w:rsidRPr="001C2A98">
        <w:rPr>
          <w:lang w:val="en-US"/>
        </w:rPr>
        <w:tab/>
        <w:t xml:space="preserve">Short-term benefits </w:t>
      </w:r>
      <w:r>
        <w:rPr>
          <w:lang w:val="en-US"/>
        </w:rPr>
        <w:t>due to be settled within twelve months after the end of the accounting period in which employees render the related service;</w:t>
      </w:r>
    </w:p>
    <w:p w:rsidR="006F29B5" w:rsidRPr="001C2A98" w:rsidRDefault="006F29B5" w:rsidP="006F29B5">
      <w:pPr>
        <w:pStyle w:val="enumlev1"/>
        <w:tabs>
          <w:tab w:val="clear" w:pos="567"/>
          <w:tab w:val="left" w:pos="709"/>
        </w:tabs>
        <w:spacing w:before="60"/>
        <w:ind w:left="709" w:hanging="709"/>
        <w:jc w:val="both"/>
        <w:rPr>
          <w:lang w:val="en-US"/>
        </w:rPr>
      </w:pPr>
      <w:r w:rsidRPr="001C2A98">
        <w:rPr>
          <w:lang w:val="en-US"/>
        </w:rPr>
        <w:t>–</w:t>
      </w:r>
      <w:r w:rsidRPr="001C2A98">
        <w:rPr>
          <w:lang w:val="en-US"/>
        </w:rPr>
        <w:tab/>
        <w:t>Long-term benefits resulting from the possible deferral of benefits acquired during the prior period or periods</w:t>
      </w:r>
      <w:r>
        <w:rPr>
          <w:lang w:val="en-US"/>
        </w:rPr>
        <w:t>;</w:t>
      </w:r>
    </w:p>
    <w:p w:rsidR="006F29B5" w:rsidRPr="001C2A98" w:rsidRDefault="006F29B5" w:rsidP="006F29B5">
      <w:pPr>
        <w:pStyle w:val="enumlev1"/>
        <w:tabs>
          <w:tab w:val="clear" w:pos="567"/>
          <w:tab w:val="left" w:pos="709"/>
        </w:tabs>
        <w:spacing w:before="60"/>
        <w:ind w:left="709" w:hanging="709"/>
        <w:jc w:val="both"/>
        <w:rPr>
          <w:lang w:val="en-US"/>
        </w:rPr>
      </w:pPr>
      <w:r w:rsidRPr="001C2A98">
        <w:rPr>
          <w:lang w:val="en-US"/>
        </w:rPr>
        <w:t>–</w:t>
      </w:r>
      <w:r w:rsidRPr="001C2A98">
        <w:rPr>
          <w:lang w:val="en-US"/>
        </w:rPr>
        <w:tab/>
        <w:t>Lon</w:t>
      </w:r>
      <w:r>
        <w:rPr>
          <w:lang w:val="en-US"/>
        </w:rPr>
        <w:t>g-term post-employment benefits;</w:t>
      </w:r>
    </w:p>
    <w:p w:rsidR="006F29B5" w:rsidRDefault="006F29B5" w:rsidP="00F62A26">
      <w:pPr>
        <w:pStyle w:val="enumlev1"/>
        <w:tabs>
          <w:tab w:val="clear" w:pos="567"/>
          <w:tab w:val="left" w:pos="709"/>
        </w:tabs>
        <w:spacing w:before="60"/>
        <w:ind w:left="709" w:hanging="709"/>
        <w:jc w:val="both"/>
        <w:rPr>
          <w:lang w:val="en-US"/>
        </w:rPr>
      </w:pPr>
      <w:r w:rsidRPr="001C2A98">
        <w:rPr>
          <w:lang w:val="en-US"/>
        </w:rPr>
        <w:t>–</w:t>
      </w:r>
      <w:r w:rsidRPr="001C2A98">
        <w:rPr>
          <w:lang w:val="en-US"/>
        </w:rPr>
        <w:tab/>
        <w:t>Other long-term employee benefits.</w:t>
      </w:r>
      <w:r>
        <w:rPr>
          <w:lang w:val="en-US"/>
        </w:rPr>
        <w:br w:type="page"/>
      </w:r>
    </w:p>
    <w:p w:rsidR="006F29B5" w:rsidRPr="001C2A98" w:rsidRDefault="006F29B5" w:rsidP="006F29B5">
      <w:pPr>
        <w:tabs>
          <w:tab w:val="clear" w:pos="567"/>
          <w:tab w:val="left" w:pos="709"/>
        </w:tabs>
        <w:ind w:left="709" w:hanging="709"/>
        <w:jc w:val="both"/>
        <w:rPr>
          <w:lang w:val="en-US"/>
        </w:rPr>
      </w:pPr>
      <w:r>
        <w:rPr>
          <w:lang w:val="en-US"/>
        </w:rPr>
        <w:t>9.2</w:t>
      </w:r>
      <w:r>
        <w:rPr>
          <w:lang w:val="en-US"/>
        </w:rPr>
        <w:tab/>
      </w:r>
      <w:r w:rsidRPr="001C2A98">
        <w:rPr>
          <w:lang w:val="en-US"/>
        </w:rPr>
        <w:t>Long-term benefits cover:</w:t>
      </w:r>
    </w:p>
    <w:p w:rsidR="006F29B5" w:rsidRPr="000C40E7" w:rsidRDefault="006F29B5" w:rsidP="006F29B5">
      <w:pPr>
        <w:pStyle w:val="enumlev1"/>
        <w:tabs>
          <w:tab w:val="clear" w:pos="567"/>
          <w:tab w:val="left" w:pos="709"/>
        </w:tabs>
        <w:ind w:left="709" w:hanging="709"/>
        <w:jc w:val="both"/>
      </w:pPr>
      <w:r w:rsidRPr="001C2A98">
        <w:rPr>
          <w:lang w:val="en-US"/>
        </w:rPr>
        <w:t>–</w:t>
      </w:r>
      <w:r w:rsidRPr="001C2A98">
        <w:rPr>
          <w:lang w:val="en-US"/>
        </w:rPr>
        <w:tab/>
        <w:t>Obligations associated with the possibility of accruing unused leave days and having them taken into account when establishing the date of retirement</w:t>
      </w:r>
      <w:r>
        <w:rPr>
          <w:lang w:val="en-US"/>
        </w:rPr>
        <w:t xml:space="preserve">; </w:t>
      </w:r>
    </w:p>
    <w:p w:rsidR="006F29B5" w:rsidRPr="000C40E7" w:rsidRDefault="006F29B5" w:rsidP="006F29B5">
      <w:pPr>
        <w:tabs>
          <w:tab w:val="clear" w:pos="567"/>
          <w:tab w:val="left" w:pos="709"/>
        </w:tabs>
        <w:spacing w:before="40"/>
        <w:ind w:left="709" w:hanging="709"/>
      </w:pPr>
      <w:r w:rsidRPr="001C2A98">
        <w:rPr>
          <w:lang w:val="en-US"/>
        </w:rPr>
        <w:t>–</w:t>
      </w:r>
      <w:r w:rsidRPr="001C2A98">
        <w:rPr>
          <w:lang w:val="en-US"/>
        </w:rPr>
        <w:tab/>
        <w:t>Obligatio</w:t>
      </w:r>
      <w:r>
        <w:rPr>
          <w:lang w:val="en-US"/>
        </w:rPr>
        <w:t>ns associated with repatriation;</w:t>
      </w:r>
    </w:p>
    <w:p w:rsidR="006F29B5" w:rsidRPr="001C2A98" w:rsidRDefault="006F29B5" w:rsidP="006F29B5">
      <w:pPr>
        <w:pStyle w:val="enumlev1"/>
        <w:tabs>
          <w:tab w:val="clear" w:pos="567"/>
          <w:tab w:val="left" w:pos="709"/>
        </w:tabs>
        <w:spacing w:before="40"/>
        <w:ind w:left="709" w:hanging="709"/>
        <w:jc w:val="both"/>
        <w:rPr>
          <w:lang w:val="en-US"/>
        </w:rPr>
      </w:pPr>
      <w:r w:rsidRPr="001C2A98">
        <w:rPr>
          <w:lang w:val="en-US"/>
        </w:rPr>
        <w:t>–</w:t>
      </w:r>
      <w:r w:rsidRPr="001C2A98">
        <w:rPr>
          <w:lang w:val="en-US"/>
        </w:rPr>
        <w:tab/>
        <w:t>Obligations associated with the pension plan of the United Nations Joint Staff Pension Fund</w:t>
      </w:r>
      <w:r>
        <w:rPr>
          <w:lang w:val="en-US"/>
        </w:rPr>
        <w:t>;</w:t>
      </w:r>
    </w:p>
    <w:p w:rsidR="006F29B5" w:rsidRPr="001C2A98" w:rsidRDefault="006F29B5" w:rsidP="006F29B5">
      <w:pPr>
        <w:pStyle w:val="enumlev1"/>
        <w:tabs>
          <w:tab w:val="clear" w:pos="567"/>
          <w:tab w:val="left" w:pos="709"/>
        </w:tabs>
        <w:spacing w:before="40"/>
        <w:ind w:left="709" w:hanging="709"/>
        <w:jc w:val="both"/>
        <w:rPr>
          <w:lang w:val="en-US"/>
        </w:rPr>
      </w:pPr>
      <w:r w:rsidRPr="001C2A98">
        <w:rPr>
          <w:lang w:val="en-US"/>
        </w:rPr>
        <w:t>–</w:t>
      </w:r>
      <w:r w:rsidRPr="001C2A98">
        <w:rPr>
          <w:lang w:val="en-US"/>
        </w:rPr>
        <w:tab/>
        <w:t>Obligations concerning the After</w:t>
      </w:r>
      <w:r>
        <w:rPr>
          <w:lang w:val="en-US"/>
        </w:rPr>
        <w:t>-</w:t>
      </w:r>
      <w:r w:rsidRPr="001C2A98">
        <w:rPr>
          <w:lang w:val="en-US"/>
        </w:rPr>
        <w:t>Service Health Insurance (ASHI), as specified under the United Nations ASHI program</w:t>
      </w:r>
      <w:r>
        <w:rPr>
          <w:lang w:val="en-US"/>
        </w:rPr>
        <w:t>me;</w:t>
      </w:r>
    </w:p>
    <w:p w:rsidR="006F29B5" w:rsidRPr="001C2A98" w:rsidRDefault="006F29B5" w:rsidP="006F29B5">
      <w:pPr>
        <w:pStyle w:val="enumlev1"/>
        <w:tabs>
          <w:tab w:val="clear" w:pos="567"/>
          <w:tab w:val="left" w:pos="709"/>
        </w:tabs>
        <w:spacing w:before="40"/>
        <w:ind w:left="709" w:hanging="709"/>
        <w:jc w:val="both"/>
        <w:rPr>
          <w:lang w:val="en-US"/>
        </w:rPr>
      </w:pPr>
      <w:r w:rsidRPr="001C2A98">
        <w:rPr>
          <w:lang w:val="en-US"/>
        </w:rPr>
        <w:t>–</w:t>
      </w:r>
      <w:r w:rsidRPr="001C2A98">
        <w:rPr>
          <w:lang w:val="en-US"/>
        </w:rPr>
        <w:tab/>
        <w:t>Obligations relating to the former pension plan in order to define ITU</w:t>
      </w:r>
      <w:r>
        <w:rPr>
          <w:lang w:val="en-US"/>
        </w:rPr>
        <w:t>’</w:t>
      </w:r>
      <w:r w:rsidRPr="001C2A98">
        <w:rPr>
          <w:lang w:val="en-US"/>
        </w:rPr>
        <w:t>s obligations at the date of closure of the period.</w:t>
      </w:r>
    </w:p>
    <w:p w:rsidR="006F29B5" w:rsidRPr="001C2A98" w:rsidRDefault="006F29B5" w:rsidP="006F29B5">
      <w:pPr>
        <w:tabs>
          <w:tab w:val="clear" w:pos="567"/>
          <w:tab w:val="left" w:pos="709"/>
        </w:tabs>
        <w:spacing w:before="100"/>
        <w:jc w:val="both"/>
        <w:rPr>
          <w:lang w:val="en-US"/>
        </w:rPr>
      </w:pPr>
      <w:r>
        <w:rPr>
          <w:lang w:val="en-US"/>
        </w:rPr>
        <w:t>9.3</w:t>
      </w:r>
      <w:r>
        <w:rPr>
          <w:lang w:val="en-US"/>
        </w:rPr>
        <w:tab/>
      </w:r>
      <w:r w:rsidRPr="001C2A98">
        <w:rPr>
          <w:lang w:val="en-US"/>
        </w:rPr>
        <w:t>These last two benefits come under the heading of defined-benefit plans and, as is also the case for repatriation obligations, are the subjects of actuarial studies.</w:t>
      </w:r>
    </w:p>
    <w:p w:rsidR="006F29B5" w:rsidRDefault="006F29B5" w:rsidP="006F29B5">
      <w:pPr>
        <w:tabs>
          <w:tab w:val="clear" w:pos="567"/>
          <w:tab w:val="left" w:pos="709"/>
        </w:tabs>
        <w:jc w:val="both"/>
        <w:rPr>
          <w:lang w:val="en-US"/>
        </w:rPr>
      </w:pPr>
      <w:r>
        <w:rPr>
          <w:lang w:val="en-US"/>
        </w:rPr>
        <w:t>9.4</w:t>
      </w:r>
      <w:r>
        <w:rPr>
          <w:lang w:val="en-US"/>
        </w:rPr>
        <w:tab/>
        <w:t>ITU</w:t>
      </w:r>
      <w:r w:rsidRPr="008A2F0A">
        <w:rPr>
          <w:lang w:val="en-US"/>
        </w:rPr>
        <w:t xml:space="preserve"> is a member organization participating in the United Nations Joint Staff Pension Fund (UNJSPF), which was established by the United Nations General Assembly to provide retirement, death, disability and related benefits to employees. The Pension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6F29B5" w:rsidRPr="008A2F0A" w:rsidRDefault="006F29B5" w:rsidP="006F29B5">
      <w:pPr>
        <w:tabs>
          <w:tab w:val="clear" w:pos="567"/>
          <w:tab w:val="left" w:pos="709"/>
        </w:tabs>
        <w:jc w:val="both"/>
        <w:rPr>
          <w:lang w:val="en-US"/>
        </w:rPr>
      </w:pPr>
      <w:r>
        <w:rPr>
          <w:lang w:val="en-US"/>
        </w:rPr>
        <w:t>9.5</w:t>
      </w:r>
      <w:r>
        <w:rPr>
          <w:lang w:val="en-US"/>
        </w:rPr>
        <w:tab/>
      </w:r>
      <w:r w:rsidRPr="008A2F0A">
        <w:rPr>
          <w:lang w:val="en-US"/>
        </w:rPr>
        <w:t xml:space="preserve">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w:t>
      </w:r>
      <w:r>
        <w:rPr>
          <w:lang w:val="en-US"/>
        </w:rPr>
        <w:t>ITU</w:t>
      </w:r>
      <w:r w:rsidRPr="008A2F0A">
        <w:rPr>
          <w:lang w:val="en-US"/>
        </w:rPr>
        <w:t xml:space="preserve"> and the UNJSPF, in line with the other participating organizations in the Fund, are not in a position to identify </w:t>
      </w:r>
      <w:r>
        <w:rPr>
          <w:lang w:val="en-US"/>
        </w:rPr>
        <w:t>ITU’</w:t>
      </w:r>
      <w:r w:rsidRPr="008A2F0A">
        <w:rPr>
          <w:lang w:val="en-US"/>
        </w:rPr>
        <w:t xml:space="preserve">s proportionate share of the defined benefit obligation, the plan assets and the costs associated with the plan with sufficient reliability for accounting purposes. Hence </w:t>
      </w:r>
      <w:r>
        <w:rPr>
          <w:lang w:val="en-US"/>
        </w:rPr>
        <w:t>ITU</w:t>
      </w:r>
      <w:r w:rsidRPr="008A2F0A">
        <w:rPr>
          <w:lang w:val="en-US"/>
        </w:rPr>
        <w:t xml:space="preserve"> has treated this plan as if it were a defined contribution plan in line with the requirements of IPSAS </w:t>
      </w:r>
      <w:r>
        <w:rPr>
          <w:lang w:val="en-US"/>
        </w:rPr>
        <w:t>39</w:t>
      </w:r>
      <w:r w:rsidRPr="008A2F0A">
        <w:rPr>
          <w:lang w:val="en-US"/>
        </w:rPr>
        <w:t>.</w:t>
      </w:r>
      <w:r>
        <w:rPr>
          <w:lang w:val="en-US"/>
        </w:rPr>
        <w:t xml:space="preserve"> ITU’</w:t>
      </w:r>
      <w:r w:rsidRPr="008A2F0A">
        <w:rPr>
          <w:lang w:val="en-US"/>
        </w:rPr>
        <w:t>s contributions to the plan during the financial period are recognized as expenses in the statement of financial performance.</w:t>
      </w:r>
    </w:p>
    <w:p w:rsidR="006F29B5" w:rsidRDefault="006F29B5" w:rsidP="006F29B5">
      <w:pPr>
        <w:jc w:val="both"/>
        <w:rPr>
          <w:lang w:val="en-US"/>
        </w:rPr>
      </w:pPr>
      <w:r>
        <w:rPr>
          <w:lang w:val="en-US"/>
        </w:rPr>
        <w:t>9.6</w:t>
      </w:r>
      <w:r>
        <w:rPr>
          <w:lang w:val="en-US"/>
        </w:rPr>
        <w:tab/>
        <w:t>Since May 2014, t</w:t>
      </w:r>
      <w:r>
        <w:t>he ITU</w:t>
      </w:r>
      <w:r w:rsidRPr="00673E04">
        <w:t xml:space="preserve"> implement</w:t>
      </w:r>
      <w:r>
        <w:t>ed</w:t>
      </w:r>
      <w:r w:rsidRPr="00673E04">
        <w:t xml:space="preserve"> a staff health insurance scheme called the ITU Collective Medical Insurance Plan (CMIP). The plan, </w:t>
      </w:r>
      <w:r>
        <w:t>a</w:t>
      </w:r>
      <w:r w:rsidRPr="00673E04">
        <w:t xml:space="preserve">dministered by the ITU, is based on a contract signed with the Companies Cigna/Vanbreda International, </w:t>
      </w:r>
      <w:r>
        <w:t xml:space="preserve">Cigna being the insurer and </w:t>
      </w:r>
      <w:r w:rsidRPr="00673E04">
        <w:t>Cigna/Vanbreda being the claims administrator.</w:t>
      </w:r>
      <w:r w:rsidR="0098524E">
        <w:t xml:space="preserve"> </w:t>
      </w:r>
      <w:r w:rsidRPr="001C2A98">
        <w:rPr>
          <w:lang w:val="en-US"/>
        </w:rPr>
        <w:t>ASHI obligations are the subject of an act</w:t>
      </w:r>
      <w:r>
        <w:rPr>
          <w:lang w:val="en-US"/>
        </w:rPr>
        <w:t>uarial study pursuant to IPSAS 39</w:t>
      </w:r>
      <w:r w:rsidRPr="001C2A98">
        <w:rPr>
          <w:lang w:val="en-US"/>
        </w:rPr>
        <w:t xml:space="preserve"> in </w:t>
      </w:r>
      <w:r w:rsidRPr="004F546C">
        <w:rPr>
          <w:lang w:val="en-US"/>
        </w:rPr>
        <w:t>order to identify and recognize the amount of ITU’s future liability in relation to the corresponding benefits. An independent actuarial valuation was contracted by ITU</w:t>
      </w:r>
      <w:r>
        <w:rPr>
          <w:lang w:val="en-US"/>
        </w:rPr>
        <w:t xml:space="preserve"> to evaluate the ASHI obligation as of end of December</w:t>
      </w:r>
      <w:r w:rsidRPr="004F546C">
        <w:rPr>
          <w:lang w:val="en-US"/>
        </w:rPr>
        <w:t>.</w:t>
      </w:r>
      <w:r>
        <w:rPr>
          <w:lang w:val="en-US"/>
        </w:rPr>
        <w:t xml:space="preserve"> R</w:t>
      </w:r>
      <w:r w:rsidRPr="001C2A98">
        <w:rPr>
          <w:lang w:val="en-US"/>
        </w:rPr>
        <w:t>ecognition of the actuarial gains and losses of this plan follows the O</w:t>
      </w:r>
      <w:r>
        <w:rPr>
          <w:lang w:val="en-US"/>
        </w:rPr>
        <w:t xml:space="preserve">ther </w:t>
      </w:r>
      <w:r w:rsidRPr="001C2A98">
        <w:rPr>
          <w:lang w:val="en-US"/>
        </w:rPr>
        <w:t>C</w:t>
      </w:r>
      <w:r>
        <w:rPr>
          <w:lang w:val="en-US"/>
        </w:rPr>
        <w:t xml:space="preserve">omprehensive </w:t>
      </w:r>
      <w:r w:rsidRPr="001C2A98">
        <w:rPr>
          <w:lang w:val="en-US"/>
        </w:rPr>
        <w:t>I</w:t>
      </w:r>
      <w:r>
        <w:rPr>
          <w:lang w:val="en-US"/>
        </w:rPr>
        <w:t>ncome</w:t>
      </w:r>
      <w:r w:rsidRPr="001C2A98">
        <w:rPr>
          <w:lang w:val="en-US"/>
        </w:rPr>
        <w:t xml:space="preserve"> </w:t>
      </w:r>
      <w:r>
        <w:rPr>
          <w:lang w:val="en-US"/>
        </w:rPr>
        <w:t xml:space="preserve">(OCI) </w:t>
      </w:r>
      <w:r w:rsidRPr="001C2A98">
        <w:rPr>
          <w:lang w:val="en-US"/>
        </w:rPr>
        <w:t>method, which calls for recognition of actuarial gains and losses during the period as net assets in the statement of financial position.</w:t>
      </w:r>
    </w:p>
    <w:p w:rsidR="006F29B5" w:rsidRDefault="006F29B5" w:rsidP="006F29B5">
      <w:pPr>
        <w:tabs>
          <w:tab w:val="clear" w:pos="1134"/>
          <w:tab w:val="left" w:pos="709"/>
        </w:tabs>
        <w:snapToGrid w:val="0"/>
        <w:spacing w:before="240"/>
        <w:jc w:val="both"/>
        <w:rPr>
          <w:lang w:val="en-US"/>
        </w:rPr>
      </w:pPr>
      <w:r>
        <w:rPr>
          <w:lang w:val="en-US"/>
        </w:rPr>
        <w:t>9.7</w:t>
      </w:r>
      <w:r>
        <w:rPr>
          <w:lang w:val="en-US"/>
        </w:rPr>
        <w:tab/>
      </w:r>
      <w:r>
        <w:rPr>
          <w:lang w:val="en-US"/>
        </w:rPr>
        <w:tab/>
        <w:t>Since the ITU separation from the SHIF in 2014, there is a litigation between ITU and ILO regarding the splitting of the guarantee fund. The arbitration took place in February 2018 and the result of this arbitration was pronounced in June 2018 with a final amount of USD 9’383’844 to be paid to ITU.</w:t>
      </w:r>
    </w:p>
    <w:p w:rsidR="006F29B5" w:rsidRPr="001C2A98" w:rsidRDefault="006F29B5" w:rsidP="006F29B5">
      <w:pPr>
        <w:tabs>
          <w:tab w:val="clear" w:pos="567"/>
          <w:tab w:val="left" w:pos="709"/>
        </w:tabs>
        <w:jc w:val="both"/>
        <w:rPr>
          <w:lang w:val="en-US"/>
        </w:rPr>
      </w:pPr>
      <w:r>
        <w:rPr>
          <w:lang w:val="en-US"/>
        </w:rPr>
        <w:t>9</w:t>
      </w:r>
      <w:r w:rsidRPr="00E37A26">
        <w:rPr>
          <w:lang w:val="en-US"/>
        </w:rPr>
        <w:t>.</w:t>
      </w:r>
      <w:r>
        <w:rPr>
          <w:lang w:val="en-US"/>
        </w:rPr>
        <w:t>8</w:t>
      </w:r>
      <w:r w:rsidRPr="00E37A26">
        <w:rPr>
          <w:lang w:val="en-US"/>
        </w:rPr>
        <w:tab/>
        <w:t>The actuarial assumptions are described in the Notes relating to employee benefits in each financial period reflected in the financial operating report.</w:t>
      </w:r>
    </w:p>
    <w:p w:rsidR="006F29B5" w:rsidRDefault="006F29B5" w:rsidP="006F29B5">
      <w:pPr>
        <w:tabs>
          <w:tab w:val="clear" w:pos="567"/>
          <w:tab w:val="left" w:pos="709"/>
        </w:tabs>
        <w:jc w:val="both"/>
      </w:pPr>
      <w:r>
        <w:t>9.9</w:t>
      </w:r>
      <w:r>
        <w:tab/>
        <w:t>The following table shows the balance of short and long term employee benefits at 31 December 2017.</w:t>
      </w:r>
    </w:p>
    <w:p w:rsidR="006F29B5" w:rsidRDefault="006F29B5" w:rsidP="006F29B5">
      <w:pPr>
        <w:tabs>
          <w:tab w:val="clear" w:pos="567"/>
          <w:tab w:val="left" w:pos="709"/>
        </w:tabs>
        <w:jc w:val="both"/>
      </w:pPr>
    </w:p>
    <w:tbl>
      <w:tblPr>
        <w:tblW w:w="9200" w:type="dxa"/>
        <w:tblLook w:val="04A0" w:firstRow="1" w:lastRow="0" w:firstColumn="1" w:lastColumn="0" w:noHBand="0" w:noVBand="1"/>
      </w:tblPr>
      <w:tblGrid>
        <w:gridCol w:w="3560"/>
        <w:gridCol w:w="1440"/>
        <w:gridCol w:w="1860"/>
        <w:gridCol w:w="2340"/>
      </w:tblGrid>
      <w:tr w:rsidR="006F29B5" w:rsidRPr="00B34CAA" w:rsidTr="006F29B5">
        <w:trPr>
          <w:trHeight w:val="315"/>
        </w:trPr>
        <w:tc>
          <w:tcPr>
            <w:tcW w:w="3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B34CAA">
              <w:rPr>
                <w:b/>
                <w:bCs/>
                <w:color w:val="000000"/>
                <w:sz w:val="22"/>
                <w:szCs w:val="22"/>
                <w:lang w:val="en-US" w:eastAsia="zh-CN"/>
              </w:rPr>
              <w:t>In thousands of CHF</w:t>
            </w:r>
          </w:p>
        </w:tc>
        <w:tc>
          <w:tcPr>
            <w:tcW w:w="5640" w:type="dxa"/>
            <w:gridSpan w:val="3"/>
            <w:tcBorders>
              <w:top w:val="single" w:sz="8" w:space="0" w:color="auto"/>
              <w:left w:val="nil"/>
              <w:bottom w:val="single" w:sz="8" w:space="0" w:color="auto"/>
              <w:right w:val="single" w:sz="8" w:space="0" w:color="000000"/>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Employee benefits – short term</w:t>
            </w:r>
          </w:p>
        </w:tc>
      </w:tr>
      <w:tr w:rsidR="006F29B5" w:rsidRPr="00B34CAA" w:rsidTr="006F29B5">
        <w:trPr>
          <w:trHeight w:val="300"/>
        </w:trPr>
        <w:tc>
          <w:tcPr>
            <w:tcW w:w="3560" w:type="dxa"/>
            <w:vMerge/>
            <w:tcBorders>
              <w:top w:val="single" w:sz="8" w:space="0" w:color="auto"/>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Overtime</w:t>
            </w:r>
          </w:p>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Accrued leave</w:t>
            </w:r>
          </w:p>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2340" w:type="dxa"/>
            <w:vMerge w:val="restart"/>
            <w:tcBorders>
              <w:top w:val="nil"/>
              <w:left w:val="single" w:sz="8" w:space="0" w:color="auto"/>
              <w:bottom w:val="single" w:sz="8" w:space="0" w:color="000000"/>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 xml:space="preserve">Total employee benefits </w:t>
            </w:r>
            <w:r w:rsidRPr="00B34CAA">
              <w:rPr>
                <w:rFonts w:ascii="Symbol" w:hAnsi="Symbol"/>
                <w:b/>
                <w:bCs/>
                <w:color w:val="000000"/>
                <w:sz w:val="22"/>
                <w:szCs w:val="22"/>
                <w:lang w:val="en-US" w:eastAsia="zh-CN"/>
              </w:rPr>
              <w:t></w:t>
            </w:r>
            <w:r w:rsidRPr="00B34CAA">
              <w:rPr>
                <w:b/>
                <w:bCs/>
                <w:color w:val="000000"/>
                <w:sz w:val="22"/>
                <w:szCs w:val="22"/>
                <w:lang w:val="en-US" w:eastAsia="zh-CN"/>
              </w:rPr>
              <w:t xml:space="preserve"> short term</w:t>
            </w:r>
          </w:p>
        </w:tc>
      </w:tr>
      <w:tr w:rsidR="006F29B5" w:rsidRPr="00B34CAA" w:rsidTr="006F29B5">
        <w:trPr>
          <w:trHeight w:val="315"/>
        </w:trPr>
        <w:tc>
          <w:tcPr>
            <w:tcW w:w="3560" w:type="dxa"/>
            <w:vMerge/>
            <w:tcBorders>
              <w:top w:val="single" w:sz="8" w:space="0" w:color="auto"/>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440"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860"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2340"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r>
      <w:tr w:rsidR="006F29B5" w:rsidRPr="00B34CAA" w:rsidTr="006F29B5">
        <w:trPr>
          <w:trHeight w:val="315"/>
        </w:trPr>
        <w:tc>
          <w:tcPr>
            <w:tcW w:w="3560"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Opening balance 1.1.2014</w:t>
            </w:r>
          </w:p>
        </w:tc>
        <w:tc>
          <w:tcPr>
            <w:tcW w:w="14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39 </w:t>
            </w:r>
          </w:p>
        </w:tc>
        <w:tc>
          <w:tcPr>
            <w:tcW w:w="18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442 </w:t>
            </w:r>
          </w:p>
        </w:tc>
        <w:tc>
          <w:tcPr>
            <w:tcW w:w="23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481 </w:t>
            </w:r>
          </w:p>
        </w:tc>
      </w:tr>
      <w:tr w:rsidR="006F29B5" w:rsidRPr="00B34CAA" w:rsidTr="006F29B5">
        <w:trPr>
          <w:trHeight w:val="315"/>
        </w:trPr>
        <w:tc>
          <w:tcPr>
            <w:tcW w:w="3560"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Closing balance 31.12.2014</w:t>
            </w:r>
          </w:p>
        </w:tc>
        <w:tc>
          <w:tcPr>
            <w:tcW w:w="14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62 </w:t>
            </w:r>
          </w:p>
        </w:tc>
        <w:tc>
          <w:tcPr>
            <w:tcW w:w="18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422 </w:t>
            </w:r>
          </w:p>
        </w:tc>
        <w:tc>
          <w:tcPr>
            <w:tcW w:w="23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484 </w:t>
            </w:r>
          </w:p>
        </w:tc>
      </w:tr>
      <w:tr w:rsidR="006F29B5" w:rsidRPr="00B34CAA" w:rsidTr="006F29B5">
        <w:trPr>
          <w:trHeight w:val="315"/>
        </w:trPr>
        <w:tc>
          <w:tcPr>
            <w:tcW w:w="3560"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Closing balance 31.12.2015</w:t>
            </w:r>
          </w:p>
        </w:tc>
        <w:tc>
          <w:tcPr>
            <w:tcW w:w="14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76 </w:t>
            </w:r>
          </w:p>
        </w:tc>
        <w:tc>
          <w:tcPr>
            <w:tcW w:w="18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405 </w:t>
            </w:r>
          </w:p>
        </w:tc>
        <w:tc>
          <w:tcPr>
            <w:tcW w:w="23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481 </w:t>
            </w:r>
          </w:p>
        </w:tc>
      </w:tr>
      <w:tr w:rsidR="006F29B5" w:rsidRPr="00B34CAA" w:rsidTr="006F29B5">
        <w:trPr>
          <w:trHeight w:val="315"/>
        </w:trPr>
        <w:tc>
          <w:tcPr>
            <w:tcW w:w="3560"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Closing balance 31.12.2016</w:t>
            </w:r>
          </w:p>
        </w:tc>
        <w:tc>
          <w:tcPr>
            <w:tcW w:w="14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60 </w:t>
            </w:r>
          </w:p>
        </w:tc>
        <w:tc>
          <w:tcPr>
            <w:tcW w:w="18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1,034 </w:t>
            </w:r>
          </w:p>
        </w:tc>
        <w:tc>
          <w:tcPr>
            <w:tcW w:w="23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1,094 </w:t>
            </w:r>
          </w:p>
        </w:tc>
      </w:tr>
      <w:tr w:rsidR="006F29B5" w:rsidRPr="00B34CAA" w:rsidTr="006F29B5">
        <w:trPr>
          <w:trHeight w:val="315"/>
        </w:trPr>
        <w:tc>
          <w:tcPr>
            <w:tcW w:w="3560"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Closing balance 31.12.2017</w:t>
            </w:r>
          </w:p>
        </w:tc>
        <w:tc>
          <w:tcPr>
            <w:tcW w:w="14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51 </w:t>
            </w:r>
          </w:p>
        </w:tc>
        <w:tc>
          <w:tcPr>
            <w:tcW w:w="18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175 </w:t>
            </w:r>
          </w:p>
        </w:tc>
        <w:tc>
          <w:tcPr>
            <w:tcW w:w="234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226 </w:t>
            </w:r>
          </w:p>
        </w:tc>
      </w:tr>
    </w:tbl>
    <w:p w:rsidR="006F29B5" w:rsidRDefault="006F29B5" w:rsidP="006F29B5">
      <w:pPr>
        <w:tabs>
          <w:tab w:val="clear" w:pos="567"/>
          <w:tab w:val="left" w:pos="709"/>
        </w:tabs>
        <w:jc w:val="both"/>
      </w:pPr>
    </w:p>
    <w:tbl>
      <w:tblPr>
        <w:tblW w:w="10100" w:type="dxa"/>
        <w:tblLayout w:type="fixed"/>
        <w:tblLook w:val="04A0" w:firstRow="1" w:lastRow="0" w:firstColumn="1" w:lastColumn="0" w:noHBand="0" w:noVBand="1"/>
      </w:tblPr>
      <w:tblGrid>
        <w:gridCol w:w="2825"/>
        <w:gridCol w:w="993"/>
        <w:gridCol w:w="1134"/>
        <w:gridCol w:w="1417"/>
        <w:gridCol w:w="1559"/>
        <w:gridCol w:w="2172"/>
      </w:tblGrid>
      <w:tr w:rsidR="006F29B5" w:rsidRPr="00B34CAA" w:rsidTr="006F29B5">
        <w:trPr>
          <w:trHeight w:val="315"/>
        </w:trPr>
        <w:tc>
          <w:tcPr>
            <w:tcW w:w="2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B34CAA">
              <w:rPr>
                <w:b/>
                <w:bCs/>
                <w:color w:val="000000"/>
                <w:sz w:val="22"/>
                <w:szCs w:val="22"/>
                <w:lang w:val="en-US" w:eastAsia="zh-CN"/>
              </w:rPr>
              <w:t>In thousands of CHF</w:t>
            </w:r>
          </w:p>
        </w:tc>
        <w:tc>
          <w:tcPr>
            <w:tcW w:w="7275" w:type="dxa"/>
            <w:gridSpan w:val="5"/>
            <w:tcBorders>
              <w:top w:val="single" w:sz="8" w:space="0" w:color="auto"/>
              <w:left w:val="nil"/>
              <w:bottom w:val="single" w:sz="8" w:space="0" w:color="auto"/>
              <w:right w:val="single" w:sz="8" w:space="0" w:color="000000"/>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Employee benefits – long term</w:t>
            </w:r>
          </w:p>
        </w:tc>
      </w:tr>
      <w:tr w:rsidR="006F29B5" w:rsidRPr="00B34CAA" w:rsidTr="006F29B5">
        <w:trPr>
          <w:trHeight w:val="30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ASHI</w:t>
            </w:r>
          </w:p>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Pensions</w:t>
            </w:r>
          </w:p>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Installation/Repatriation</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Accrued leave</w:t>
            </w:r>
          </w:p>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2172" w:type="dxa"/>
            <w:vMerge w:val="restart"/>
            <w:tcBorders>
              <w:top w:val="nil"/>
              <w:left w:val="single" w:sz="8" w:space="0" w:color="auto"/>
              <w:bottom w:val="single" w:sz="8" w:space="0" w:color="000000"/>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34CAA">
              <w:rPr>
                <w:b/>
                <w:bCs/>
                <w:color w:val="000000"/>
                <w:sz w:val="22"/>
                <w:szCs w:val="22"/>
                <w:lang w:val="en-US" w:eastAsia="zh-CN"/>
              </w:rPr>
              <w:t>Total employee benefits – long term</w:t>
            </w:r>
          </w:p>
        </w:tc>
      </w:tr>
      <w:tr w:rsidR="006F29B5" w:rsidRPr="00B34CAA" w:rsidTr="006F29B5">
        <w:trPr>
          <w:trHeight w:val="30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993"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134"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417"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559"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2172"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r>
      <w:tr w:rsidR="006F29B5" w:rsidRPr="00B34CAA" w:rsidTr="006F29B5">
        <w:trPr>
          <w:trHeight w:val="300"/>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993"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134"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417"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559"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2172"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r>
      <w:tr w:rsidR="006F29B5" w:rsidRPr="00B34CAA" w:rsidTr="006F29B5">
        <w:trPr>
          <w:trHeight w:val="315"/>
        </w:trPr>
        <w:tc>
          <w:tcPr>
            <w:tcW w:w="2825" w:type="dxa"/>
            <w:vMerge/>
            <w:tcBorders>
              <w:top w:val="single" w:sz="8" w:space="0" w:color="auto"/>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993"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134"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417"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559"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2172" w:type="dxa"/>
            <w:vMerge/>
            <w:tcBorders>
              <w:top w:val="nil"/>
              <w:left w:val="single" w:sz="8" w:space="0" w:color="auto"/>
              <w:bottom w:val="single" w:sz="8" w:space="0" w:color="000000"/>
              <w:right w:val="single" w:sz="8" w:space="0" w:color="auto"/>
            </w:tcBorders>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r>
      <w:tr w:rsidR="006F29B5" w:rsidRPr="00B34CAA" w:rsidTr="006F29B5">
        <w:trPr>
          <w:trHeight w:val="3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Opening balance 1.1.2014</w:t>
            </w:r>
          </w:p>
        </w:tc>
        <w:tc>
          <w:tcPr>
            <w:tcW w:w="993"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314,127 </w:t>
            </w:r>
          </w:p>
        </w:tc>
        <w:tc>
          <w:tcPr>
            <w:tcW w:w="1134"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90 </w:t>
            </w:r>
          </w:p>
        </w:tc>
        <w:tc>
          <w:tcPr>
            <w:tcW w:w="1417" w:type="dxa"/>
            <w:tcBorders>
              <w:top w:val="nil"/>
              <w:left w:val="nil"/>
              <w:bottom w:val="single" w:sz="8" w:space="0" w:color="auto"/>
              <w:right w:val="single" w:sz="8" w:space="0" w:color="auto"/>
            </w:tcBorders>
            <w:shd w:val="clear" w:color="auto" w:fill="auto"/>
            <w:noWrap/>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11,804 </w:t>
            </w:r>
          </w:p>
        </w:tc>
        <w:tc>
          <w:tcPr>
            <w:tcW w:w="1559"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9,075 </w:t>
            </w:r>
          </w:p>
        </w:tc>
        <w:tc>
          <w:tcPr>
            <w:tcW w:w="2172"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335,096 </w:t>
            </w:r>
          </w:p>
        </w:tc>
      </w:tr>
      <w:tr w:rsidR="006F29B5" w:rsidRPr="00B34CAA" w:rsidTr="006F29B5">
        <w:trPr>
          <w:trHeight w:val="6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Closing balance 31.12.2014</w:t>
            </w:r>
          </w:p>
        </w:tc>
        <w:tc>
          <w:tcPr>
            <w:tcW w:w="993"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512,661 </w:t>
            </w:r>
          </w:p>
        </w:tc>
        <w:tc>
          <w:tcPr>
            <w:tcW w:w="1134"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90 </w:t>
            </w:r>
          </w:p>
        </w:tc>
        <w:tc>
          <w:tcPr>
            <w:tcW w:w="1417"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12,357 </w:t>
            </w:r>
          </w:p>
        </w:tc>
        <w:tc>
          <w:tcPr>
            <w:tcW w:w="1559"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9,250 </w:t>
            </w:r>
          </w:p>
        </w:tc>
        <w:tc>
          <w:tcPr>
            <w:tcW w:w="2172"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534,358 </w:t>
            </w:r>
          </w:p>
        </w:tc>
      </w:tr>
      <w:tr w:rsidR="006F29B5" w:rsidRPr="00B34CAA" w:rsidTr="006F29B5">
        <w:trPr>
          <w:trHeight w:val="6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Closing balance 31.12.2015</w:t>
            </w:r>
          </w:p>
        </w:tc>
        <w:tc>
          <w:tcPr>
            <w:tcW w:w="993"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472,801 </w:t>
            </w:r>
          </w:p>
        </w:tc>
        <w:tc>
          <w:tcPr>
            <w:tcW w:w="1134"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90 </w:t>
            </w:r>
          </w:p>
        </w:tc>
        <w:tc>
          <w:tcPr>
            <w:tcW w:w="1417"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w:t>
            </w:r>
            <w:r>
              <w:rPr>
                <w:color w:val="000000"/>
                <w:sz w:val="22"/>
                <w:szCs w:val="22"/>
                <w:lang w:val="en-US" w:eastAsia="zh-CN"/>
              </w:rPr>
              <w:t>12,925</w:t>
            </w:r>
            <w:r w:rsidRPr="00B34CAA">
              <w:rPr>
                <w:color w:val="000000"/>
                <w:sz w:val="22"/>
                <w:szCs w:val="22"/>
                <w:lang w:val="en-US" w:eastAsia="zh-CN"/>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9,209 </w:t>
            </w:r>
          </w:p>
        </w:tc>
        <w:tc>
          <w:tcPr>
            <w:tcW w:w="2172"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482,100 </w:t>
            </w:r>
          </w:p>
        </w:tc>
      </w:tr>
      <w:tr w:rsidR="006F29B5" w:rsidRPr="00B34CAA" w:rsidTr="006F29B5">
        <w:trPr>
          <w:trHeight w:val="6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Closing balance 31.12.2016</w:t>
            </w:r>
          </w:p>
        </w:tc>
        <w:tc>
          <w:tcPr>
            <w:tcW w:w="993"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551,911 </w:t>
            </w:r>
          </w:p>
        </w:tc>
        <w:tc>
          <w:tcPr>
            <w:tcW w:w="1134"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54 </w:t>
            </w:r>
          </w:p>
        </w:tc>
        <w:tc>
          <w:tcPr>
            <w:tcW w:w="1417"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14,667 </w:t>
            </w:r>
          </w:p>
        </w:tc>
        <w:tc>
          <w:tcPr>
            <w:tcW w:w="1559"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8,491 </w:t>
            </w:r>
          </w:p>
        </w:tc>
        <w:tc>
          <w:tcPr>
            <w:tcW w:w="2172"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575,123 </w:t>
            </w:r>
          </w:p>
        </w:tc>
      </w:tr>
      <w:tr w:rsidR="006F29B5" w:rsidRPr="00B34CAA" w:rsidTr="006F29B5">
        <w:trPr>
          <w:trHeight w:val="615"/>
        </w:trPr>
        <w:tc>
          <w:tcPr>
            <w:tcW w:w="2825"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34CAA">
              <w:rPr>
                <w:color w:val="000000"/>
                <w:sz w:val="22"/>
                <w:szCs w:val="22"/>
                <w:lang w:val="en-US" w:eastAsia="zh-CN"/>
              </w:rPr>
              <w:t>Closing balance 31.12.2017</w:t>
            </w:r>
          </w:p>
        </w:tc>
        <w:tc>
          <w:tcPr>
            <w:tcW w:w="993"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617,250 </w:t>
            </w:r>
          </w:p>
        </w:tc>
        <w:tc>
          <w:tcPr>
            <w:tcW w:w="1134"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54 </w:t>
            </w:r>
          </w:p>
        </w:tc>
        <w:tc>
          <w:tcPr>
            <w:tcW w:w="1417"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12,485 </w:t>
            </w:r>
          </w:p>
        </w:tc>
        <w:tc>
          <w:tcPr>
            <w:tcW w:w="1559"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8,576 </w:t>
            </w:r>
          </w:p>
        </w:tc>
        <w:tc>
          <w:tcPr>
            <w:tcW w:w="2172"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34CAA">
              <w:rPr>
                <w:color w:val="000000"/>
                <w:sz w:val="22"/>
                <w:szCs w:val="22"/>
                <w:lang w:val="en-US" w:eastAsia="zh-CN"/>
              </w:rPr>
              <w:t xml:space="preserve">                        638,365 </w:t>
            </w:r>
          </w:p>
        </w:tc>
      </w:tr>
    </w:tbl>
    <w:p w:rsidR="006F29B5" w:rsidRDefault="006F29B5" w:rsidP="006F29B5">
      <w:pPr>
        <w:tabs>
          <w:tab w:val="clear" w:pos="567"/>
          <w:tab w:val="left" w:pos="709"/>
        </w:tabs>
        <w:spacing w:before="0"/>
        <w:jc w:val="both"/>
      </w:pP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pPr>
      <w:r>
        <w:t>9.10</w:t>
      </w:r>
      <w:r>
        <w:tab/>
        <w:t>The ASHI related obligation constitutes the most significant liability for ITU. The table below shows the evolution of the obligation and its impact on ITU net assets since the IPSAS implementation.</w:t>
      </w:r>
    </w:p>
    <w:p w:rsidR="006F29B5" w:rsidRDefault="006F29B5" w:rsidP="006F29B5">
      <w:pPr>
        <w:tabs>
          <w:tab w:val="clear" w:pos="567"/>
          <w:tab w:val="left" w:pos="709"/>
        </w:tabs>
        <w:snapToGrid w:val="0"/>
        <w:spacing w:before="0"/>
        <w:jc w:val="both"/>
      </w:pPr>
    </w:p>
    <w:tbl>
      <w:tblPr>
        <w:tblW w:w="7300" w:type="dxa"/>
        <w:jc w:val="center"/>
        <w:tblLook w:val="04A0" w:firstRow="1" w:lastRow="0" w:firstColumn="1" w:lastColumn="0" w:noHBand="0" w:noVBand="1"/>
      </w:tblPr>
      <w:tblGrid>
        <w:gridCol w:w="2670"/>
        <w:gridCol w:w="1159"/>
        <w:gridCol w:w="1178"/>
        <w:gridCol w:w="1159"/>
        <w:gridCol w:w="1134"/>
      </w:tblGrid>
      <w:tr w:rsidR="006F29B5" w:rsidRPr="00B34CAA" w:rsidTr="006F29B5">
        <w:trPr>
          <w:trHeight w:val="315"/>
          <w:jc w:val="center"/>
        </w:trPr>
        <w:tc>
          <w:tcPr>
            <w:tcW w:w="2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34CAA">
              <w:rPr>
                <w:b/>
                <w:bCs/>
                <w:color w:val="000000"/>
                <w:sz w:val="20"/>
                <w:lang w:val="en-US" w:eastAsia="zh-CN"/>
              </w:rPr>
              <w:t>In thousands of CHF</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34CAA">
              <w:rPr>
                <w:b/>
                <w:bCs/>
                <w:color w:val="000000"/>
                <w:sz w:val="20"/>
                <w:lang w:val="en-US" w:eastAsia="zh-CN"/>
              </w:rPr>
              <w:t>31.12.2014</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34CAA">
              <w:rPr>
                <w:b/>
                <w:bCs/>
                <w:color w:val="000000"/>
                <w:sz w:val="20"/>
                <w:lang w:val="en-US" w:eastAsia="zh-CN"/>
              </w:rPr>
              <w:t>31.12.2015</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34CAA">
              <w:rPr>
                <w:b/>
                <w:bCs/>
                <w:color w:val="000000"/>
                <w:sz w:val="20"/>
                <w:lang w:val="en-US" w:eastAsia="zh-CN"/>
              </w:rPr>
              <w:t>31.12.2016</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34CAA">
              <w:rPr>
                <w:b/>
                <w:bCs/>
                <w:color w:val="000000"/>
                <w:sz w:val="20"/>
                <w:lang w:val="en-US" w:eastAsia="zh-CN"/>
              </w:rPr>
              <w:t>31.12.2017</w:t>
            </w:r>
          </w:p>
        </w:tc>
      </w:tr>
      <w:tr w:rsidR="006F29B5" w:rsidRPr="00B34CAA" w:rsidTr="006F29B5">
        <w:trPr>
          <w:trHeight w:val="1035"/>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34CAA">
              <w:rPr>
                <w:b/>
                <w:bCs/>
                <w:color w:val="000000"/>
                <w:sz w:val="20"/>
                <w:lang w:val="en-US" w:eastAsia="zh-CN"/>
              </w:rPr>
              <w:t>Present value of unfunded obligation recognized as liability in the statement of financial position</w:t>
            </w:r>
          </w:p>
        </w:tc>
        <w:tc>
          <w:tcPr>
            <w:tcW w:w="11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-512,661</w:t>
            </w:r>
          </w:p>
        </w:tc>
        <w:tc>
          <w:tcPr>
            <w:tcW w:w="118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-472,801</w:t>
            </w:r>
          </w:p>
        </w:tc>
        <w:tc>
          <w:tcPr>
            <w:tcW w:w="11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-551,911</w:t>
            </w:r>
          </w:p>
        </w:tc>
        <w:tc>
          <w:tcPr>
            <w:tcW w:w="10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-617,250</w:t>
            </w:r>
          </w:p>
        </w:tc>
      </w:tr>
      <w:tr w:rsidR="006F29B5" w:rsidRPr="00B34CAA" w:rsidTr="006F29B5">
        <w:trPr>
          <w:trHeight w:val="525"/>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34CAA">
              <w:rPr>
                <w:b/>
                <w:bCs/>
                <w:color w:val="000000"/>
                <w:sz w:val="20"/>
                <w:lang w:val="en-US" w:eastAsia="zh-CN"/>
              </w:rPr>
              <w:t>Actuarial losses/gains recognized in net assets</w:t>
            </w:r>
          </w:p>
        </w:tc>
        <w:tc>
          <w:tcPr>
            <w:tcW w:w="11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187,445</w:t>
            </w:r>
          </w:p>
        </w:tc>
        <w:tc>
          <w:tcPr>
            <w:tcW w:w="118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-55,672</w:t>
            </w:r>
          </w:p>
        </w:tc>
        <w:tc>
          <w:tcPr>
            <w:tcW w:w="11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65,433</w:t>
            </w:r>
          </w:p>
        </w:tc>
        <w:tc>
          <w:tcPr>
            <w:tcW w:w="10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47,125</w:t>
            </w:r>
          </w:p>
        </w:tc>
      </w:tr>
      <w:tr w:rsidR="006F29B5" w:rsidRPr="00B34CAA" w:rsidTr="006F29B5">
        <w:trPr>
          <w:trHeight w:val="525"/>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34CAA">
              <w:rPr>
                <w:b/>
                <w:bCs/>
                <w:color w:val="000000"/>
                <w:sz w:val="20"/>
                <w:lang w:val="en-US" w:eastAsia="zh-CN"/>
              </w:rPr>
              <w:t>Cumulated ASHI actuarial gains and losses in net asses</w:t>
            </w:r>
          </w:p>
        </w:tc>
        <w:tc>
          <w:tcPr>
            <w:tcW w:w="11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312,708</w:t>
            </w:r>
          </w:p>
        </w:tc>
        <w:tc>
          <w:tcPr>
            <w:tcW w:w="118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257,136</w:t>
            </w:r>
          </w:p>
        </w:tc>
        <w:tc>
          <w:tcPr>
            <w:tcW w:w="11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322,579</w:t>
            </w:r>
          </w:p>
        </w:tc>
        <w:tc>
          <w:tcPr>
            <w:tcW w:w="1060" w:type="dxa"/>
            <w:tcBorders>
              <w:top w:val="nil"/>
              <w:left w:val="nil"/>
              <w:bottom w:val="single" w:sz="8" w:space="0" w:color="auto"/>
              <w:right w:val="single" w:sz="8" w:space="0" w:color="auto"/>
            </w:tcBorders>
            <w:shd w:val="clear" w:color="auto" w:fill="auto"/>
            <w:vAlign w:val="center"/>
            <w:hideMark/>
          </w:tcPr>
          <w:p w:rsidR="006F29B5" w:rsidRPr="00B34CAA"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B34CAA">
              <w:rPr>
                <w:color w:val="000000"/>
                <w:sz w:val="20"/>
                <w:lang w:val="en-US" w:eastAsia="zh-CN"/>
              </w:rPr>
              <w:t>-125’263</w:t>
            </w:r>
          </w:p>
        </w:tc>
      </w:tr>
    </w:tbl>
    <w:p w:rsidR="006F29B5" w:rsidRPr="00434080" w:rsidRDefault="006F29B5" w:rsidP="006F29B5">
      <w:pPr>
        <w:tabs>
          <w:tab w:val="clear" w:pos="567"/>
          <w:tab w:val="left" w:pos="709"/>
        </w:tabs>
        <w:spacing w:before="240"/>
        <w:jc w:val="both"/>
        <w:rPr>
          <w:lang w:val="en-US" w:eastAsia="fr-FR"/>
        </w:rPr>
      </w:pPr>
      <w:r>
        <w:rPr>
          <w:lang w:val="en-US" w:eastAsia="fr-FR"/>
        </w:rPr>
        <w:t>9.11</w:t>
      </w:r>
      <w:r>
        <w:rPr>
          <w:lang w:val="en-US" w:eastAsia="fr-FR"/>
        </w:rPr>
        <w:tab/>
        <w:t>Since 2013, the decrease of discount rate (1.76% in 2013 and 0.90% in 2017) used to calculate ITU’s obligation related to ASHI resulted in significant actuarial losses, impacting negatively the net assets and increasing the ASHI related liability.</w:t>
      </w:r>
    </w:p>
    <w:p w:rsidR="006F29B5" w:rsidRPr="00486B4E" w:rsidRDefault="006F29B5" w:rsidP="006F29B5">
      <w:pPr>
        <w:pStyle w:val="Heading1"/>
        <w:tabs>
          <w:tab w:val="clear" w:pos="567"/>
          <w:tab w:val="left" w:pos="709"/>
        </w:tabs>
        <w:spacing w:before="320"/>
        <w:ind w:left="709" w:hanging="709"/>
      </w:pPr>
      <w:r>
        <w:t>10</w:t>
      </w:r>
      <w:r w:rsidRPr="00486B4E">
        <w:tab/>
        <w:t>Special accounts</w:t>
      </w:r>
    </w:p>
    <w:p w:rsidR="006F29B5" w:rsidRPr="00486B4E" w:rsidRDefault="006F29B5" w:rsidP="0098524E">
      <w:pPr>
        <w:tabs>
          <w:tab w:val="clear" w:pos="567"/>
          <w:tab w:val="left" w:pos="0"/>
          <w:tab w:val="left" w:pos="709"/>
        </w:tabs>
        <w:jc w:val="both"/>
      </w:pPr>
      <w:r>
        <w:t>10.1</w:t>
      </w:r>
      <w:r>
        <w:tab/>
      </w:r>
      <w:r w:rsidRPr="00486B4E">
        <w:t>By decision of the Council, the following special accounts were opened in 1996: "GMPCS Memorandum of Understanding (GMPCS</w:t>
      </w:r>
      <w:r w:rsidRPr="00486B4E">
        <w:noBreakHyphen/>
        <w:t>MoU)"</w:t>
      </w:r>
      <w:r>
        <w:t xml:space="preserve">, </w:t>
      </w:r>
      <w:r w:rsidRPr="00486B4E">
        <w:t>"Universal international freephone number (UIFN)"</w:t>
      </w:r>
      <w:r>
        <w:t>. Further to Decision 600 of the Council 2017, p</w:t>
      </w:r>
      <w:r w:rsidRPr="00A929E6">
        <w:rPr>
          <w:lang w:val="en-US"/>
        </w:rPr>
        <w:t>arties requesting these services</w:t>
      </w:r>
      <w:r>
        <w:rPr>
          <w:lang w:val="en-US"/>
        </w:rPr>
        <w:t xml:space="preserve"> of UIFN</w:t>
      </w:r>
      <w:r w:rsidRPr="00A929E6">
        <w:rPr>
          <w:lang w:val="en-US"/>
        </w:rPr>
        <w:t xml:space="preserve"> must deposit upfront a sum of CHF 300 per number in the Union’s accounts. Non ITU-T and non ITU-R members are charged an annual maintenance fee of CHF 100 per number to be paid into the Union’s accounts. As the numbers are used, ITU invoices its services</w:t>
      </w:r>
      <w:r>
        <w:rPr>
          <w:lang w:val="en-US"/>
        </w:rPr>
        <w:t>.</w:t>
      </w:r>
    </w:p>
    <w:p w:rsidR="006F29B5" w:rsidRPr="00486B4E" w:rsidRDefault="006F29B5" w:rsidP="006F29B5">
      <w:pPr>
        <w:pStyle w:val="Heading1"/>
        <w:tabs>
          <w:tab w:val="clear" w:pos="567"/>
          <w:tab w:val="left" w:pos="0"/>
          <w:tab w:val="left" w:pos="709"/>
        </w:tabs>
        <w:spacing w:before="360"/>
        <w:ind w:left="0" w:firstLine="0"/>
      </w:pPr>
      <w:r w:rsidRPr="00486B4E">
        <w:t>1</w:t>
      </w:r>
      <w:r>
        <w:t>1</w:t>
      </w:r>
      <w:r w:rsidRPr="00486B4E">
        <w:tab/>
        <w:t xml:space="preserve">Voluntary contributions </w:t>
      </w:r>
    </w:p>
    <w:p w:rsidR="006F29B5" w:rsidRDefault="006F29B5" w:rsidP="006F29B5">
      <w:pPr>
        <w:tabs>
          <w:tab w:val="clear" w:pos="567"/>
          <w:tab w:val="left" w:pos="0"/>
          <w:tab w:val="left" w:pos="709"/>
        </w:tabs>
        <w:jc w:val="both"/>
      </w:pPr>
      <w:r w:rsidRPr="00486B4E">
        <w:t>1</w:t>
      </w:r>
      <w:r>
        <w:t>1</w:t>
      </w:r>
      <w:r w:rsidRPr="00486B4E">
        <w:t>.1</w:t>
      </w:r>
      <w:r w:rsidRPr="00486B4E">
        <w:tab/>
        <w:t>In accordance with No. 486 of the Convention, the Secretary</w:t>
      </w:r>
      <w:r w:rsidRPr="00486B4E">
        <w:noBreakHyphen/>
        <w:t>General may accept voluntary contributions in cash or kind provided that the conditions attached to such contributions are consistent with the purposes of the Union and in conformity with the Financial Regulations. The Secretary-General may equally accept trust funds for the execution of specific programmes or projects.</w:t>
      </w:r>
    </w:p>
    <w:p w:rsidR="006F29B5" w:rsidRDefault="006F29B5" w:rsidP="006F29B5">
      <w:pPr>
        <w:tabs>
          <w:tab w:val="clear" w:pos="567"/>
          <w:tab w:val="left" w:pos="0"/>
          <w:tab w:val="left" w:pos="709"/>
        </w:tabs>
        <w:jc w:val="both"/>
        <w:rPr>
          <w:lang w:val="en-US"/>
        </w:rPr>
      </w:pPr>
      <w:r>
        <w:rPr>
          <w:lang w:val="en-US"/>
        </w:rPr>
        <w:t>11.2</w:t>
      </w:r>
      <w:r>
        <w:rPr>
          <w:lang w:val="en-US"/>
        </w:rPr>
        <w:tab/>
      </w:r>
      <w:r w:rsidRPr="00EF0231">
        <w:rPr>
          <w:lang w:val="en-US"/>
        </w:rPr>
        <w:t>Voluntary contributions are received from donors for specific regular budget activities such as for example seminars, working groups, study groups, training and fellowships. Voluntary contributions can finance long-term activities. Voluntary contributions do not generate any support costs.</w:t>
      </w:r>
    </w:p>
    <w:p w:rsidR="006F29B5" w:rsidRPr="00BA7210" w:rsidRDefault="006F29B5" w:rsidP="006F29B5">
      <w:pPr>
        <w:pStyle w:val="Tabletitle"/>
        <w:tabs>
          <w:tab w:val="left" w:pos="0"/>
          <w:tab w:val="left" w:pos="709"/>
        </w:tabs>
        <w:snapToGrid w:val="0"/>
        <w:spacing w:before="120" w:after="0"/>
        <w:ind w:right="-567"/>
        <w:jc w:val="both"/>
        <w:rPr>
          <w:b w:val="0"/>
          <w:bCs/>
        </w:rPr>
      </w:pPr>
      <w:r>
        <w:rPr>
          <w:b w:val="0"/>
          <w:bCs/>
        </w:rPr>
        <w:t>11.3</w:t>
      </w:r>
      <w:r>
        <w:rPr>
          <w:b w:val="0"/>
          <w:bCs/>
        </w:rPr>
        <w:tab/>
      </w:r>
      <w:r w:rsidRPr="00BA7210">
        <w:rPr>
          <w:b w:val="0"/>
          <w:bCs/>
        </w:rPr>
        <w:t>The table below shows the evolution of voluntary contributions between 201</w:t>
      </w:r>
      <w:r>
        <w:rPr>
          <w:b w:val="0"/>
          <w:bCs/>
        </w:rPr>
        <w:t>4</w:t>
      </w:r>
      <w:r w:rsidRPr="00BA7210">
        <w:rPr>
          <w:b w:val="0"/>
          <w:bCs/>
        </w:rPr>
        <w:t xml:space="preserve"> and 201</w:t>
      </w:r>
      <w:r>
        <w:rPr>
          <w:b w:val="0"/>
          <w:bCs/>
        </w:rPr>
        <w:t>7</w:t>
      </w:r>
      <w:r w:rsidRPr="00BA7210">
        <w:rPr>
          <w:b w:val="0"/>
          <w:bCs/>
        </w:rPr>
        <w:t>:</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pPr>
    </w:p>
    <w:tbl>
      <w:tblPr>
        <w:tblW w:w="10490" w:type="dxa"/>
        <w:tblInd w:w="-289" w:type="dxa"/>
        <w:tblLayout w:type="fixed"/>
        <w:tblLook w:val="04A0" w:firstRow="1" w:lastRow="0" w:firstColumn="1" w:lastColumn="0" w:noHBand="0" w:noVBand="1"/>
      </w:tblPr>
      <w:tblGrid>
        <w:gridCol w:w="2269"/>
        <w:gridCol w:w="709"/>
        <w:gridCol w:w="1275"/>
        <w:gridCol w:w="1560"/>
        <w:gridCol w:w="1559"/>
        <w:gridCol w:w="1559"/>
        <w:gridCol w:w="1559"/>
      </w:tblGrid>
      <w:tr w:rsidR="006F29B5" w:rsidRPr="00047D8C" w:rsidTr="006F29B5">
        <w:trPr>
          <w:trHeight w:val="90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Voluntary contributions (in thousands of CHF, USD or EUR)</w:t>
            </w:r>
          </w:p>
        </w:tc>
        <w:tc>
          <w:tcPr>
            <w:tcW w:w="709" w:type="dxa"/>
            <w:tcBorders>
              <w:top w:val="single" w:sz="4" w:space="0" w:color="auto"/>
              <w:left w:val="nil"/>
              <w:bottom w:val="nil"/>
              <w:right w:val="nil"/>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047D8C">
              <w:rPr>
                <w:b/>
                <w:bCs/>
                <w:color w:val="000000"/>
                <w:sz w:val="22"/>
                <w:szCs w:val="22"/>
                <w:lang w:val="en-US" w:eastAsia="zh-C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Balance at 1 January 2014</w:t>
            </w:r>
          </w:p>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Balance at</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31 December 2014</w:t>
            </w:r>
          </w:p>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Balance at</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31 December 2015</w:t>
            </w:r>
          </w:p>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Balance at</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31 December 2016</w:t>
            </w:r>
          </w:p>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Balance at</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31 December 2017</w:t>
            </w:r>
          </w:p>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r>
      <w:tr w:rsidR="006F29B5" w:rsidRPr="00047D8C" w:rsidTr="006F29B5">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General Secretariat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47D8C">
              <w:rPr>
                <w:color w:val="000000"/>
                <w:sz w:val="22"/>
                <w:szCs w:val="22"/>
                <w:lang w:val="en-US" w:eastAsia="zh-CN"/>
              </w:rPr>
              <w:t>CHF</w:t>
            </w:r>
          </w:p>
        </w:tc>
        <w:tc>
          <w:tcPr>
            <w:tcW w:w="1275"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634 </w:t>
            </w:r>
          </w:p>
        </w:tc>
        <w:tc>
          <w:tcPr>
            <w:tcW w:w="1560"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1,696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1,173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1,478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1,063 </w:t>
            </w:r>
          </w:p>
        </w:tc>
      </w:tr>
      <w:tr w:rsidR="006F29B5" w:rsidRPr="00047D8C" w:rsidTr="006F29B5">
        <w:trPr>
          <w:trHeight w:val="600"/>
        </w:trPr>
        <w:tc>
          <w:tcPr>
            <w:tcW w:w="2269" w:type="dxa"/>
            <w:tcBorders>
              <w:top w:val="nil"/>
              <w:left w:val="single" w:sz="4" w:space="0" w:color="auto"/>
              <w:bottom w:val="nil"/>
              <w:right w:val="single" w:sz="4" w:space="0" w:color="auto"/>
            </w:tcBorders>
            <w:shd w:val="clear" w:color="auto" w:fill="auto"/>
            <w:vAlign w:val="center"/>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Radiocommunication Sector</w:t>
            </w:r>
          </w:p>
        </w:tc>
        <w:tc>
          <w:tcPr>
            <w:tcW w:w="70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47D8C">
              <w:rPr>
                <w:color w:val="000000"/>
                <w:sz w:val="22"/>
                <w:szCs w:val="22"/>
                <w:lang w:val="en-US" w:eastAsia="zh-CN"/>
              </w:rPr>
              <w:t>CHF</w:t>
            </w:r>
          </w:p>
        </w:tc>
        <w:tc>
          <w:tcPr>
            <w:tcW w:w="1275"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332 </w:t>
            </w:r>
          </w:p>
        </w:tc>
        <w:tc>
          <w:tcPr>
            <w:tcW w:w="1560"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1,583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1,416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1,319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1,693 </w:t>
            </w:r>
          </w:p>
        </w:tc>
      </w:tr>
      <w:tr w:rsidR="006F29B5" w:rsidRPr="00047D8C" w:rsidTr="006F29B5">
        <w:trPr>
          <w:trHeight w:val="361"/>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Telecommunication Standardization Sector</w:t>
            </w:r>
          </w:p>
        </w:tc>
        <w:tc>
          <w:tcPr>
            <w:tcW w:w="70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47D8C">
              <w:rPr>
                <w:color w:val="000000"/>
                <w:sz w:val="22"/>
                <w:szCs w:val="22"/>
                <w:lang w:val="en-US" w:eastAsia="zh-CN"/>
              </w:rPr>
              <w:t>CHF</w:t>
            </w:r>
          </w:p>
        </w:tc>
        <w:tc>
          <w:tcPr>
            <w:tcW w:w="1275"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576 </w:t>
            </w:r>
          </w:p>
        </w:tc>
        <w:tc>
          <w:tcPr>
            <w:tcW w:w="1560"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2,082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2,066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702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1,038 </w:t>
            </w:r>
          </w:p>
        </w:tc>
      </w:tr>
      <w:tr w:rsidR="006F29B5" w:rsidRPr="00047D8C" w:rsidTr="006F29B5">
        <w:trPr>
          <w:trHeight w:val="300"/>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70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47D8C">
              <w:rPr>
                <w:color w:val="000000"/>
                <w:sz w:val="22"/>
                <w:szCs w:val="22"/>
                <w:lang w:val="en-US" w:eastAsia="zh-CN"/>
              </w:rPr>
              <w:t>USD</w:t>
            </w:r>
          </w:p>
        </w:tc>
        <w:tc>
          <w:tcPr>
            <w:tcW w:w="1275"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382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5 </w:t>
            </w:r>
          </w:p>
        </w:tc>
      </w:tr>
      <w:tr w:rsidR="006F29B5" w:rsidRPr="00047D8C" w:rsidTr="006F29B5">
        <w:trPr>
          <w:trHeight w:val="401"/>
        </w:trPr>
        <w:tc>
          <w:tcPr>
            <w:tcW w:w="2269" w:type="dxa"/>
            <w:vMerge w:val="restart"/>
            <w:tcBorders>
              <w:top w:val="nil"/>
              <w:left w:val="single" w:sz="4" w:space="0" w:color="auto"/>
              <w:bottom w:val="single" w:sz="4" w:space="0" w:color="000000"/>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Telecommunication Development Sector</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70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47D8C">
              <w:rPr>
                <w:color w:val="000000"/>
                <w:sz w:val="22"/>
                <w:szCs w:val="22"/>
                <w:lang w:val="en-US" w:eastAsia="zh-CN"/>
              </w:rPr>
              <w:t>CHF</w:t>
            </w:r>
          </w:p>
        </w:tc>
        <w:tc>
          <w:tcPr>
            <w:tcW w:w="1275"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696 </w:t>
            </w:r>
          </w:p>
        </w:tc>
        <w:tc>
          <w:tcPr>
            <w:tcW w:w="1560"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552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436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480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247 </w:t>
            </w:r>
          </w:p>
        </w:tc>
      </w:tr>
      <w:tr w:rsidR="006F29B5" w:rsidRPr="00047D8C" w:rsidTr="006F29B5">
        <w:trPr>
          <w:trHeight w:val="300"/>
        </w:trPr>
        <w:tc>
          <w:tcPr>
            <w:tcW w:w="2269" w:type="dxa"/>
            <w:vMerge/>
            <w:tcBorders>
              <w:top w:val="nil"/>
              <w:left w:val="single" w:sz="4" w:space="0" w:color="auto"/>
              <w:bottom w:val="single" w:sz="4" w:space="0" w:color="000000"/>
              <w:right w:val="single" w:sz="4" w:space="0" w:color="auto"/>
            </w:tcBorders>
            <w:vAlign w:val="center"/>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70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47D8C">
              <w:rPr>
                <w:color w:val="000000"/>
                <w:sz w:val="22"/>
                <w:szCs w:val="22"/>
                <w:lang w:val="en-US" w:eastAsia="zh-CN"/>
              </w:rPr>
              <w:t>USD</w:t>
            </w:r>
          </w:p>
        </w:tc>
        <w:tc>
          <w:tcPr>
            <w:tcW w:w="1275"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w:t>
            </w:r>
          </w:p>
        </w:tc>
        <w:tc>
          <w:tcPr>
            <w:tcW w:w="1560"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381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987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635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666 </w:t>
            </w:r>
          </w:p>
        </w:tc>
      </w:tr>
      <w:tr w:rsidR="006F29B5" w:rsidRPr="00047D8C" w:rsidTr="006F29B5">
        <w:trPr>
          <w:trHeight w:val="300"/>
        </w:trPr>
        <w:tc>
          <w:tcPr>
            <w:tcW w:w="2269" w:type="dxa"/>
            <w:vMerge/>
            <w:tcBorders>
              <w:top w:val="nil"/>
              <w:left w:val="single" w:sz="4" w:space="0" w:color="auto"/>
              <w:bottom w:val="single" w:sz="4" w:space="0" w:color="000000"/>
              <w:right w:val="single" w:sz="4" w:space="0" w:color="auto"/>
            </w:tcBorders>
            <w:vAlign w:val="center"/>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70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47D8C">
              <w:rPr>
                <w:color w:val="000000"/>
                <w:sz w:val="22"/>
                <w:szCs w:val="22"/>
                <w:lang w:val="en-US" w:eastAsia="zh-CN"/>
              </w:rPr>
              <w:t>EUR</w:t>
            </w:r>
          </w:p>
        </w:tc>
        <w:tc>
          <w:tcPr>
            <w:tcW w:w="1275"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4 </w:t>
            </w:r>
          </w:p>
        </w:tc>
      </w:tr>
      <w:tr w:rsidR="006F29B5" w:rsidRPr="00047D8C" w:rsidTr="006F29B5">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047D8C">
              <w:rPr>
                <w:b/>
                <w:bCs/>
                <w:color w:val="000000"/>
                <w:sz w:val="22"/>
                <w:szCs w:val="22"/>
                <w:lang w:val="en-US" w:eastAsia="zh-CN"/>
              </w:rPr>
              <w:t>GOS</w:t>
            </w:r>
          </w:p>
        </w:tc>
        <w:tc>
          <w:tcPr>
            <w:tcW w:w="70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47D8C">
              <w:rPr>
                <w:color w:val="000000"/>
                <w:sz w:val="22"/>
                <w:szCs w:val="22"/>
                <w:lang w:val="en-US" w:eastAsia="zh-CN"/>
              </w:rPr>
              <w:t>CHF</w:t>
            </w:r>
          </w:p>
        </w:tc>
        <w:tc>
          <w:tcPr>
            <w:tcW w:w="1275"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37 </w:t>
            </w:r>
          </w:p>
        </w:tc>
        <w:tc>
          <w:tcPr>
            <w:tcW w:w="1560"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1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6F29B5" w:rsidRPr="00047D8C"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47D8C">
              <w:rPr>
                <w:color w:val="000000"/>
                <w:sz w:val="22"/>
                <w:szCs w:val="22"/>
                <w:lang w:val="en-US" w:eastAsia="zh-CN"/>
              </w:rPr>
              <w:t xml:space="preserve">                        -   </w:t>
            </w:r>
          </w:p>
        </w:tc>
      </w:tr>
    </w:tbl>
    <w:p w:rsidR="006F29B5" w:rsidRPr="00486B4E" w:rsidRDefault="006F29B5" w:rsidP="006F29B5">
      <w:pPr>
        <w:pStyle w:val="Heading1"/>
        <w:tabs>
          <w:tab w:val="clear" w:pos="567"/>
          <w:tab w:val="left" w:pos="709"/>
        </w:tabs>
        <w:spacing w:before="360"/>
        <w:ind w:left="709" w:hanging="709"/>
        <w:jc w:val="both"/>
      </w:pPr>
      <w:r w:rsidRPr="00084A5F">
        <w:t>1</w:t>
      </w:r>
      <w:r>
        <w:t>2</w:t>
      </w:r>
      <w:r w:rsidRPr="00084A5F">
        <w:tab/>
        <w:t>Funds in trust</w:t>
      </w:r>
    </w:p>
    <w:p w:rsidR="006F29B5" w:rsidRDefault="006F29B5" w:rsidP="006F29B5">
      <w:pPr>
        <w:tabs>
          <w:tab w:val="clear" w:pos="567"/>
          <w:tab w:val="left" w:pos="709"/>
        </w:tabs>
        <w:jc w:val="both"/>
        <w:rPr>
          <w:lang w:val="en-US"/>
        </w:rPr>
      </w:pPr>
      <w:r>
        <w:rPr>
          <w:lang w:val="en-US"/>
        </w:rPr>
        <w:t>12.1</w:t>
      </w:r>
      <w:r>
        <w:rPr>
          <w:lang w:val="en-US"/>
        </w:rPr>
        <w:tab/>
      </w:r>
      <w:r w:rsidRPr="005D62B8">
        <w:rPr>
          <w:lang w:val="en-US"/>
        </w:rPr>
        <w:t>Trust funds are used to execute projects financed by earmarked contributions, by the ICT Development Fund (ICTDF) or by governments. In all cases the funds have to be credited to the projects before the expenses are committed. Trust funds are voluntary contributions with specific and restrictive utilization. These contributions generate support costs during the execution and implementation of the projects.</w:t>
      </w:r>
      <w:r>
        <w:rPr>
          <w:lang w:val="en-US"/>
        </w:rPr>
        <w:t xml:space="preserve"> Since 2011, the detail of the Funds in trust balances annexed to the financial operating report is disclosed in the currency of management of the project.</w:t>
      </w:r>
    </w:p>
    <w:p w:rsidR="006F29B5" w:rsidRDefault="006F29B5" w:rsidP="006F29B5">
      <w:pPr>
        <w:tabs>
          <w:tab w:val="clear" w:pos="567"/>
          <w:tab w:val="clear" w:pos="1134"/>
          <w:tab w:val="clear" w:pos="1701"/>
          <w:tab w:val="clear" w:pos="2268"/>
          <w:tab w:val="clear" w:pos="2835"/>
        </w:tabs>
        <w:overflowPunct/>
        <w:autoSpaceDE/>
        <w:autoSpaceDN/>
        <w:adjustRightInd/>
        <w:spacing w:before="0"/>
        <w:textAlignment w:val="auto"/>
      </w:pPr>
      <w:r>
        <w:br w:type="page"/>
      </w:r>
    </w:p>
    <w:p w:rsidR="006F29B5" w:rsidRDefault="006F29B5" w:rsidP="006F29B5">
      <w:pPr>
        <w:tabs>
          <w:tab w:val="clear" w:pos="567"/>
          <w:tab w:val="left" w:pos="709"/>
        </w:tabs>
        <w:spacing w:after="120"/>
        <w:jc w:val="both"/>
      </w:pPr>
      <w:r>
        <w:t>12.2</w:t>
      </w:r>
      <w:r>
        <w:tab/>
        <w:t>The table below shows the evolution of Funds in Trust, unused appropriations between 2014 and 2017:</w:t>
      </w:r>
    </w:p>
    <w:tbl>
      <w:tblPr>
        <w:tblW w:w="5000" w:type="pct"/>
        <w:tblLayout w:type="fixed"/>
        <w:tblLook w:val="04A0" w:firstRow="1" w:lastRow="0" w:firstColumn="1" w:lastColumn="0" w:noHBand="0" w:noVBand="1"/>
      </w:tblPr>
      <w:tblGrid>
        <w:gridCol w:w="1358"/>
        <w:gridCol w:w="236"/>
        <w:gridCol w:w="678"/>
        <w:gridCol w:w="1208"/>
        <w:gridCol w:w="1565"/>
        <w:gridCol w:w="1565"/>
        <w:gridCol w:w="1582"/>
        <w:gridCol w:w="1443"/>
      </w:tblGrid>
      <w:tr w:rsidR="006F29B5" w:rsidRPr="005F1D5F" w:rsidTr="006F29B5">
        <w:trPr>
          <w:trHeight w:val="900"/>
        </w:trPr>
        <w:tc>
          <w:tcPr>
            <w:tcW w:w="705" w:type="pct"/>
            <w:tcBorders>
              <w:top w:val="single" w:sz="4" w:space="0" w:color="auto"/>
              <w:left w:val="single" w:sz="4" w:space="0" w:color="auto"/>
              <w:bottom w:val="nil"/>
              <w:right w:val="single" w:sz="4" w:space="0" w:color="auto"/>
            </w:tcBorders>
            <w:shd w:val="clear" w:color="auto" w:fill="auto"/>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Funds in trust (in thousands of CHF, USD or EUR)</w:t>
            </w:r>
          </w:p>
        </w:tc>
        <w:tc>
          <w:tcPr>
            <w:tcW w:w="122" w:type="pct"/>
            <w:tcBorders>
              <w:top w:val="single" w:sz="4" w:space="0" w:color="auto"/>
              <w:left w:val="nil"/>
              <w:bottom w:val="single" w:sz="4" w:space="0" w:color="auto"/>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352" w:type="pct"/>
            <w:tcBorders>
              <w:top w:val="single" w:sz="4" w:space="0" w:color="auto"/>
              <w:left w:val="nil"/>
              <w:bottom w:val="single" w:sz="4" w:space="0" w:color="auto"/>
              <w:right w:val="nil"/>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5F1D5F">
              <w:rPr>
                <w:b/>
                <w:bCs/>
                <w:color w:val="000000"/>
                <w:sz w:val="22"/>
                <w:szCs w:val="22"/>
                <w:lang w:val="en-US" w:eastAsia="zh-CN"/>
              </w:rPr>
              <w:t> </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Balance at 1 January 2014</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Balance at</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31 December 2014</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Balance at</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31 December 2015</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Balance at</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31 December 2016</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Balance at</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31 December 2017</w:t>
            </w:r>
          </w:p>
          <w:p w:rsidR="006F29B5"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r>
      <w:tr w:rsidR="006F29B5" w:rsidRPr="005F1D5F" w:rsidTr="006F29B5">
        <w:trPr>
          <w:trHeight w:val="300"/>
        </w:trPr>
        <w:tc>
          <w:tcPr>
            <w:tcW w:w="70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ICTDF</w:t>
            </w:r>
          </w:p>
        </w:tc>
        <w:tc>
          <w:tcPr>
            <w:tcW w:w="122" w:type="pct"/>
            <w:tcBorders>
              <w:top w:val="nil"/>
              <w:left w:val="nil"/>
              <w:bottom w:val="single" w:sz="4" w:space="0" w:color="auto"/>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5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5F1D5F">
              <w:rPr>
                <w:color w:val="000000"/>
                <w:sz w:val="22"/>
                <w:szCs w:val="22"/>
                <w:lang w:val="en-US" w:eastAsia="zh-CN"/>
              </w:rPr>
              <w:t>USD</w:t>
            </w:r>
          </w:p>
        </w:tc>
        <w:tc>
          <w:tcPr>
            <w:tcW w:w="627"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5,223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4,407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3,452 </w:t>
            </w:r>
          </w:p>
        </w:tc>
        <w:tc>
          <w:tcPr>
            <w:tcW w:w="821"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3,145 </w:t>
            </w:r>
          </w:p>
        </w:tc>
        <w:tc>
          <w:tcPr>
            <w:tcW w:w="749"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2,848 </w:t>
            </w:r>
          </w:p>
        </w:tc>
      </w:tr>
      <w:tr w:rsidR="006F29B5" w:rsidRPr="005F1D5F" w:rsidTr="006F29B5">
        <w:trPr>
          <w:trHeight w:val="300"/>
        </w:trPr>
        <w:tc>
          <w:tcPr>
            <w:tcW w:w="705" w:type="pct"/>
            <w:vMerge/>
            <w:tcBorders>
              <w:top w:val="single" w:sz="4" w:space="0" w:color="auto"/>
              <w:left w:val="single" w:sz="4" w:space="0" w:color="auto"/>
              <w:bottom w:val="single" w:sz="4" w:space="0" w:color="000000"/>
              <w:right w:val="single" w:sz="4" w:space="0" w:color="auto"/>
            </w:tcBorders>
            <w:vAlign w:val="center"/>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22" w:type="pct"/>
            <w:tcBorders>
              <w:top w:val="nil"/>
              <w:left w:val="nil"/>
              <w:bottom w:val="single" w:sz="4" w:space="0" w:color="auto"/>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5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5F1D5F">
              <w:rPr>
                <w:color w:val="000000"/>
                <w:sz w:val="22"/>
                <w:szCs w:val="22"/>
                <w:lang w:val="en-US" w:eastAsia="zh-CN"/>
              </w:rPr>
              <w:t>CHF</w:t>
            </w:r>
          </w:p>
        </w:tc>
        <w:tc>
          <w:tcPr>
            <w:tcW w:w="627"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   </w:t>
            </w:r>
          </w:p>
        </w:tc>
        <w:tc>
          <w:tcPr>
            <w:tcW w:w="821"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   </w:t>
            </w:r>
          </w:p>
        </w:tc>
        <w:tc>
          <w:tcPr>
            <w:tcW w:w="749"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258 </w:t>
            </w:r>
          </w:p>
        </w:tc>
      </w:tr>
      <w:tr w:rsidR="006F29B5" w:rsidRPr="005F1D5F" w:rsidTr="006F29B5">
        <w:trPr>
          <w:trHeight w:val="337"/>
        </w:trPr>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Development Action Plan</w:t>
            </w:r>
          </w:p>
        </w:tc>
        <w:tc>
          <w:tcPr>
            <w:tcW w:w="122" w:type="pct"/>
            <w:tcBorders>
              <w:top w:val="nil"/>
              <w:left w:val="nil"/>
              <w:bottom w:val="single" w:sz="4" w:space="0" w:color="auto"/>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5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5F1D5F">
              <w:rPr>
                <w:color w:val="000000"/>
                <w:sz w:val="22"/>
                <w:szCs w:val="22"/>
                <w:lang w:val="en-US" w:eastAsia="zh-CN"/>
              </w:rPr>
              <w:t>CHF</w:t>
            </w:r>
          </w:p>
        </w:tc>
        <w:tc>
          <w:tcPr>
            <w:tcW w:w="627"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397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1,113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1,122 </w:t>
            </w:r>
          </w:p>
        </w:tc>
        <w:tc>
          <w:tcPr>
            <w:tcW w:w="821"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1,144 </w:t>
            </w:r>
          </w:p>
        </w:tc>
        <w:tc>
          <w:tcPr>
            <w:tcW w:w="749"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924 </w:t>
            </w:r>
          </w:p>
        </w:tc>
      </w:tr>
      <w:tr w:rsidR="006F29B5" w:rsidRPr="005F1D5F" w:rsidTr="006F29B5">
        <w:trPr>
          <w:trHeight w:val="300"/>
        </w:trPr>
        <w:tc>
          <w:tcPr>
            <w:tcW w:w="705" w:type="pct"/>
            <w:vMerge/>
            <w:tcBorders>
              <w:top w:val="nil"/>
              <w:left w:val="single" w:sz="4" w:space="0" w:color="auto"/>
              <w:bottom w:val="single" w:sz="4" w:space="0" w:color="000000"/>
              <w:right w:val="single" w:sz="4" w:space="0" w:color="auto"/>
            </w:tcBorders>
            <w:vAlign w:val="center"/>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22" w:type="pct"/>
            <w:tcBorders>
              <w:top w:val="nil"/>
              <w:left w:val="nil"/>
              <w:bottom w:val="single" w:sz="4" w:space="0" w:color="auto"/>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5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5F1D5F">
              <w:rPr>
                <w:color w:val="000000"/>
                <w:sz w:val="22"/>
                <w:szCs w:val="22"/>
                <w:lang w:val="en-US" w:eastAsia="zh-CN"/>
              </w:rPr>
              <w:t>USD</w:t>
            </w:r>
          </w:p>
        </w:tc>
        <w:tc>
          <w:tcPr>
            <w:tcW w:w="627"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113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3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50 </w:t>
            </w:r>
          </w:p>
        </w:tc>
        <w:tc>
          <w:tcPr>
            <w:tcW w:w="821"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144 </w:t>
            </w:r>
          </w:p>
        </w:tc>
        <w:tc>
          <w:tcPr>
            <w:tcW w:w="749"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101 </w:t>
            </w:r>
          </w:p>
        </w:tc>
      </w:tr>
      <w:tr w:rsidR="006F29B5" w:rsidRPr="005F1D5F" w:rsidTr="006F29B5">
        <w:trPr>
          <w:trHeight w:val="300"/>
        </w:trPr>
        <w:tc>
          <w:tcPr>
            <w:tcW w:w="705" w:type="pct"/>
            <w:vMerge/>
            <w:tcBorders>
              <w:top w:val="nil"/>
              <w:left w:val="single" w:sz="4" w:space="0" w:color="auto"/>
              <w:bottom w:val="single" w:sz="4" w:space="0" w:color="000000"/>
              <w:right w:val="single" w:sz="4" w:space="0" w:color="auto"/>
            </w:tcBorders>
            <w:vAlign w:val="center"/>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22" w:type="pct"/>
            <w:tcBorders>
              <w:top w:val="nil"/>
              <w:left w:val="nil"/>
              <w:bottom w:val="nil"/>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52" w:type="pct"/>
            <w:tcBorders>
              <w:top w:val="nil"/>
              <w:left w:val="nil"/>
              <w:bottom w:val="nil"/>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5F1D5F">
              <w:rPr>
                <w:color w:val="000000"/>
                <w:sz w:val="22"/>
                <w:szCs w:val="22"/>
                <w:lang w:val="en-US" w:eastAsia="zh-CN"/>
              </w:rPr>
              <w:t>EUR</w:t>
            </w:r>
          </w:p>
        </w:tc>
        <w:tc>
          <w:tcPr>
            <w:tcW w:w="627" w:type="pct"/>
            <w:tcBorders>
              <w:top w:val="nil"/>
              <w:left w:val="nil"/>
              <w:bottom w:val="nil"/>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   </w:t>
            </w:r>
          </w:p>
        </w:tc>
        <w:tc>
          <w:tcPr>
            <w:tcW w:w="812" w:type="pct"/>
            <w:tcBorders>
              <w:top w:val="nil"/>
              <w:left w:val="nil"/>
              <w:bottom w:val="nil"/>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   </w:t>
            </w:r>
          </w:p>
        </w:tc>
        <w:tc>
          <w:tcPr>
            <w:tcW w:w="812" w:type="pct"/>
            <w:tcBorders>
              <w:top w:val="nil"/>
              <w:left w:val="nil"/>
              <w:bottom w:val="nil"/>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   </w:t>
            </w:r>
          </w:p>
        </w:tc>
        <w:tc>
          <w:tcPr>
            <w:tcW w:w="821" w:type="pct"/>
            <w:tcBorders>
              <w:top w:val="nil"/>
              <w:left w:val="nil"/>
              <w:bottom w:val="nil"/>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   </w:t>
            </w:r>
          </w:p>
        </w:tc>
        <w:tc>
          <w:tcPr>
            <w:tcW w:w="749"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 </w:t>
            </w:r>
          </w:p>
        </w:tc>
      </w:tr>
      <w:tr w:rsidR="006F29B5" w:rsidRPr="005F1D5F" w:rsidTr="006F29B5">
        <w:trPr>
          <w:trHeight w:val="300"/>
        </w:trPr>
        <w:tc>
          <w:tcPr>
            <w:tcW w:w="70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5F1D5F">
              <w:rPr>
                <w:b/>
                <w:bCs/>
                <w:color w:val="000000"/>
                <w:sz w:val="22"/>
                <w:szCs w:val="22"/>
                <w:lang w:val="en-US" w:eastAsia="zh-CN"/>
              </w:rPr>
              <w:t>Other FIT</w:t>
            </w:r>
          </w:p>
        </w:tc>
        <w:tc>
          <w:tcPr>
            <w:tcW w:w="122" w:type="pct"/>
            <w:tcBorders>
              <w:top w:val="single" w:sz="4" w:space="0" w:color="auto"/>
              <w:left w:val="nil"/>
              <w:bottom w:val="single" w:sz="4" w:space="0" w:color="auto"/>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52" w:type="pct"/>
            <w:tcBorders>
              <w:top w:val="single" w:sz="4" w:space="0" w:color="auto"/>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5F1D5F">
              <w:rPr>
                <w:color w:val="000000"/>
                <w:sz w:val="22"/>
                <w:szCs w:val="22"/>
                <w:lang w:val="en-US" w:eastAsia="zh-CN"/>
              </w:rPr>
              <w:t>CHF</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1,113 </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1,163 </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1,206 </w:t>
            </w:r>
          </w:p>
        </w:tc>
        <w:tc>
          <w:tcPr>
            <w:tcW w:w="821" w:type="pct"/>
            <w:tcBorders>
              <w:top w:val="single" w:sz="4" w:space="0" w:color="auto"/>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1,045 </w:t>
            </w:r>
          </w:p>
        </w:tc>
        <w:tc>
          <w:tcPr>
            <w:tcW w:w="749"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1,282 </w:t>
            </w:r>
          </w:p>
        </w:tc>
      </w:tr>
      <w:tr w:rsidR="006F29B5" w:rsidRPr="005F1D5F" w:rsidTr="006F29B5">
        <w:trPr>
          <w:trHeight w:val="300"/>
        </w:trPr>
        <w:tc>
          <w:tcPr>
            <w:tcW w:w="705" w:type="pct"/>
            <w:vMerge/>
            <w:tcBorders>
              <w:top w:val="nil"/>
              <w:left w:val="single" w:sz="4" w:space="0" w:color="auto"/>
              <w:bottom w:val="single" w:sz="4" w:space="0" w:color="000000"/>
              <w:right w:val="single" w:sz="4" w:space="0" w:color="auto"/>
            </w:tcBorders>
            <w:vAlign w:val="center"/>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22" w:type="pct"/>
            <w:tcBorders>
              <w:top w:val="nil"/>
              <w:left w:val="nil"/>
              <w:bottom w:val="single" w:sz="4" w:space="0" w:color="auto"/>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5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5F1D5F">
              <w:rPr>
                <w:color w:val="000000"/>
                <w:sz w:val="22"/>
                <w:szCs w:val="22"/>
                <w:lang w:val="en-US" w:eastAsia="zh-CN"/>
              </w:rPr>
              <w:t>USD</w:t>
            </w:r>
          </w:p>
        </w:tc>
        <w:tc>
          <w:tcPr>
            <w:tcW w:w="627"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20,005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19,045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18,365 </w:t>
            </w:r>
          </w:p>
        </w:tc>
        <w:tc>
          <w:tcPr>
            <w:tcW w:w="821"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14,756 </w:t>
            </w:r>
          </w:p>
        </w:tc>
        <w:tc>
          <w:tcPr>
            <w:tcW w:w="749"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13,545 </w:t>
            </w:r>
          </w:p>
        </w:tc>
      </w:tr>
      <w:tr w:rsidR="006F29B5" w:rsidRPr="005F1D5F" w:rsidTr="006F29B5">
        <w:trPr>
          <w:trHeight w:val="300"/>
        </w:trPr>
        <w:tc>
          <w:tcPr>
            <w:tcW w:w="705" w:type="pct"/>
            <w:vMerge/>
            <w:tcBorders>
              <w:top w:val="nil"/>
              <w:left w:val="single" w:sz="4" w:space="0" w:color="auto"/>
              <w:bottom w:val="single" w:sz="4" w:space="0" w:color="000000"/>
              <w:right w:val="single" w:sz="4" w:space="0" w:color="auto"/>
            </w:tcBorders>
            <w:vAlign w:val="center"/>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22" w:type="pct"/>
            <w:tcBorders>
              <w:top w:val="nil"/>
              <w:left w:val="nil"/>
              <w:bottom w:val="single" w:sz="4" w:space="0" w:color="auto"/>
              <w:right w:val="nil"/>
            </w:tcBorders>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5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5F1D5F">
              <w:rPr>
                <w:color w:val="000000"/>
                <w:sz w:val="22"/>
                <w:szCs w:val="22"/>
                <w:lang w:val="en-US" w:eastAsia="zh-CN"/>
              </w:rPr>
              <w:t>EUR</w:t>
            </w:r>
          </w:p>
        </w:tc>
        <w:tc>
          <w:tcPr>
            <w:tcW w:w="627"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144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102 </w:t>
            </w:r>
          </w:p>
        </w:tc>
        <w:tc>
          <w:tcPr>
            <w:tcW w:w="812"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66 </w:t>
            </w:r>
          </w:p>
        </w:tc>
        <w:tc>
          <w:tcPr>
            <w:tcW w:w="821"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113 </w:t>
            </w:r>
          </w:p>
        </w:tc>
        <w:tc>
          <w:tcPr>
            <w:tcW w:w="749" w:type="pct"/>
            <w:tcBorders>
              <w:top w:val="nil"/>
              <w:left w:val="nil"/>
              <w:bottom w:val="single" w:sz="4" w:space="0" w:color="auto"/>
              <w:right w:val="single" w:sz="4" w:space="0" w:color="auto"/>
            </w:tcBorders>
            <w:shd w:val="clear" w:color="auto" w:fill="auto"/>
            <w:noWrap/>
            <w:vAlign w:val="bottom"/>
            <w:hideMark/>
          </w:tcPr>
          <w:p w:rsidR="006F29B5" w:rsidRPr="005F1D5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5F1D5F">
              <w:rPr>
                <w:color w:val="000000"/>
                <w:sz w:val="22"/>
                <w:szCs w:val="22"/>
                <w:lang w:val="en-US" w:eastAsia="zh-CN"/>
              </w:rPr>
              <w:t xml:space="preserve">           1,329 </w:t>
            </w:r>
          </w:p>
        </w:tc>
      </w:tr>
    </w:tbl>
    <w:p w:rsidR="006F29B5" w:rsidRPr="0064792C" w:rsidRDefault="006F29B5" w:rsidP="006F29B5">
      <w:pPr>
        <w:pStyle w:val="Heading1"/>
        <w:tabs>
          <w:tab w:val="clear" w:pos="567"/>
          <w:tab w:val="left" w:pos="709"/>
        </w:tabs>
        <w:ind w:left="709" w:hanging="709"/>
      </w:pPr>
      <w:r w:rsidRPr="00486B4E">
        <w:t>1</w:t>
      </w:r>
      <w:r>
        <w:t>3</w:t>
      </w:r>
      <w:r w:rsidRPr="00486B4E">
        <w:tab/>
        <w:t>Information and Communication Technology Development Fund (ICTDF)</w:t>
      </w:r>
    </w:p>
    <w:p w:rsidR="006F29B5" w:rsidRPr="001A695B" w:rsidRDefault="006F29B5" w:rsidP="006F29B5">
      <w:pPr>
        <w:tabs>
          <w:tab w:val="clear" w:pos="567"/>
          <w:tab w:val="left" w:pos="0"/>
          <w:tab w:val="left" w:pos="709"/>
        </w:tabs>
        <w:jc w:val="both"/>
      </w:pPr>
      <w:r w:rsidRPr="00486B4E">
        <w:t>1</w:t>
      </w:r>
      <w:r>
        <w:t>3</w:t>
      </w:r>
      <w:r w:rsidRPr="00486B4E">
        <w:t>.1</w:t>
      </w:r>
      <w:r w:rsidRPr="00486B4E">
        <w:tab/>
        <w:t xml:space="preserve">The Council approved the establishment of a TELECOM surplus development programme. </w:t>
      </w:r>
      <w:r w:rsidRPr="00E422E0">
        <w:t>During the period 201</w:t>
      </w:r>
      <w:r>
        <w:t>4</w:t>
      </w:r>
      <w:r w:rsidRPr="00E422E0">
        <w:t>-201</w:t>
      </w:r>
      <w:r>
        <w:t>7</w:t>
      </w:r>
      <w:r w:rsidRPr="00E422E0">
        <w:t xml:space="preserve">, </w:t>
      </w:r>
      <w:r w:rsidRPr="002C0C17">
        <w:t>the Council in its session of 2014 (C14/10) approved the payment of USD 2 000 000 into the ICTDF and USD 2 000 000 in Council 2017 (C17/34 Rev1) by means of a withdrawal from the Exhibition Working Capital Fund</w:t>
      </w:r>
      <w:r w:rsidRPr="001A695B">
        <w:t>.</w:t>
      </w:r>
    </w:p>
    <w:p w:rsidR="006F29B5" w:rsidRDefault="006F29B5" w:rsidP="006F29B5">
      <w:pPr>
        <w:tabs>
          <w:tab w:val="clear" w:pos="567"/>
          <w:tab w:val="left" w:pos="709"/>
        </w:tabs>
        <w:spacing w:after="120"/>
        <w:ind w:left="709" w:hanging="709"/>
        <w:jc w:val="both"/>
      </w:pPr>
      <w:r>
        <w:t>13.2</w:t>
      </w:r>
      <w:r w:rsidRPr="00486B4E">
        <w:tab/>
        <w:t>The ICTDF has evolved a</w:t>
      </w:r>
      <w:r>
        <w:t>s follows since 31 December 2013</w:t>
      </w:r>
      <w:r w:rsidRPr="00486B4E">
        <w:t>:</w:t>
      </w:r>
    </w:p>
    <w:tbl>
      <w:tblPr>
        <w:tblW w:w="10458" w:type="dxa"/>
        <w:tblLook w:val="04A0" w:firstRow="1" w:lastRow="0" w:firstColumn="1" w:lastColumn="0" w:noHBand="0" w:noVBand="1"/>
      </w:tblPr>
      <w:tblGrid>
        <w:gridCol w:w="2380"/>
        <w:gridCol w:w="1439"/>
        <w:gridCol w:w="275"/>
        <w:gridCol w:w="1430"/>
        <w:gridCol w:w="166"/>
        <w:gridCol w:w="1389"/>
        <w:gridCol w:w="1559"/>
        <w:gridCol w:w="1820"/>
      </w:tblGrid>
      <w:tr w:rsidR="006F29B5" w:rsidRPr="002A54D3" w:rsidTr="006F29B5">
        <w:trPr>
          <w:trHeight w:val="9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2A54D3">
              <w:rPr>
                <w:color w:val="000000"/>
                <w:sz w:val="22"/>
                <w:szCs w:val="22"/>
                <w:lang w:val="en-US" w:eastAsia="zh-CN"/>
              </w:rPr>
              <w:t>Year</w:t>
            </w:r>
          </w:p>
        </w:tc>
        <w:tc>
          <w:tcPr>
            <w:tcW w:w="1714" w:type="dxa"/>
            <w:gridSpan w:val="2"/>
            <w:tcBorders>
              <w:top w:val="single" w:sz="4" w:space="0" w:color="auto"/>
              <w:left w:val="nil"/>
              <w:bottom w:val="single" w:sz="4" w:space="0" w:color="auto"/>
              <w:right w:val="nil"/>
            </w:tcBorders>
            <w:shd w:val="clear" w:color="auto" w:fill="auto"/>
            <w:noWrap/>
            <w:vAlign w:val="center"/>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596" w:type="dxa"/>
            <w:gridSpan w:val="2"/>
            <w:tcBorders>
              <w:top w:val="single" w:sz="4" w:space="0" w:color="auto"/>
              <w:left w:val="nil"/>
              <w:bottom w:val="single" w:sz="4" w:space="0" w:color="auto"/>
              <w:right w:val="nil"/>
            </w:tcBorders>
            <w:shd w:val="clear" w:color="auto" w:fill="auto"/>
            <w:noWrap/>
            <w:vAlign w:val="center"/>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2A54D3">
              <w:rPr>
                <w:color w:val="000000"/>
                <w:sz w:val="22"/>
                <w:szCs w:val="22"/>
                <w:lang w:val="en-US" w:eastAsia="zh-CN"/>
              </w:rPr>
              <w:t>Revenue</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2A54D3">
              <w:rPr>
                <w:color w:val="000000"/>
                <w:sz w:val="22"/>
                <w:szCs w:val="22"/>
                <w:lang w:val="en-US" w:eastAsia="zh-CN"/>
              </w:rPr>
              <w:t>Allocations/ Expenses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2A54D3">
              <w:rPr>
                <w:color w:val="000000"/>
                <w:sz w:val="22"/>
                <w:szCs w:val="22"/>
                <w:lang w:val="en-US" w:eastAsia="zh-CN"/>
              </w:rPr>
              <w:t>Balance of fund at 31 December</w:t>
            </w:r>
          </w:p>
        </w:tc>
      </w:tr>
      <w:tr w:rsidR="006F29B5" w:rsidRPr="002A54D3" w:rsidTr="006F29B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2A54D3">
              <w:rPr>
                <w:color w:val="000000"/>
                <w:sz w:val="22"/>
                <w:szCs w:val="22"/>
                <w:lang w:val="en-US" w:eastAsia="zh-CN"/>
              </w:rPr>
              <w:t> </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2A54D3">
              <w:rPr>
                <w:color w:val="000000"/>
                <w:sz w:val="22"/>
                <w:szCs w:val="22"/>
                <w:lang w:val="en-US" w:eastAsia="zh-CN"/>
              </w:rPr>
              <w:t>Contributions</w:t>
            </w:r>
          </w:p>
        </w:tc>
        <w:tc>
          <w:tcPr>
            <w:tcW w:w="17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08040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22"/>
                <w:szCs w:val="22"/>
                <w:lang w:val="en-US" w:eastAsia="zh-CN"/>
              </w:rPr>
            </w:pPr>
            <w:r w:rsidRPr="0008040F">
              <w:rPr>
                <w:i/>
                <w:iCs/>
                <w:color w:val="000000"/>
                <w:sz w:val="22"/>
                <w:szCs w:val="22"/>
                <w:lang w:val="en-US" w:eastAsia="zh-CN"/>
              </w:rPr>
              <w:t>Interest</w:t>
            </w:r>
          </w:p>
        </w:tc>
        <w:tc>
          <w:tcPr>
            <w:tcW w:w="155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2A54D3">
              <w:rPr>
                <w:color w:val="000000"/>
                <w:sz w:val="22"/>
                <w:szCs w:val="22"/>
                <w:lang w:val="en-US" w:eastAsia="zh-CN"/>
              </w:rPr>
              <w:t>Other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2A54D3">
              <w:rPr>
                <w:color w:val="000000"/>
                <w:sz w:val="22"/>
                <w:szCs w:val="22"/>
                <w:lang w:val="en-US" w:eastAsia="zh-CN"/>
              </w:rPr>
              <w:t>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2A54D3">
              <w:rPr>
                <w:color w:val="000000"/>
                <w:sz w:val="22"/>
                <w:szCs w:val="22"/>
                <w:lang w:val="en-US" w:eastAsia="zh-CN"/>
              </w:rPr>
              <w:t> </w:t>
            </w:r>
          </w:p>
        </w:tc>
      </w:tr>
      <w:tr w:rsidR="006F29B5" w:rsidRPr="002A54D3" w:rsidTr="006F29B5">
        <w:trPr>
          <w:trHeight w:val="300"/>
        </w:trPr>
        <w:tc>
          <w:tcPr>
            <w:tcW w:w="2380" w:type="dxa"/>
            <w:tcBorders>
              <w:top w:val="single" w:sz="4" w:space="0" w:color="auto"/>
              <w:left w:val="single" w:sz="4" w:space="0" w:color="auto"/>
              <w:bottom w:val="single" w:sz="4" w:space="0" w:color="auto"/>
              <w:right w:val="nil"/>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39" w:type="dxa"/>
            <w:tcBorders>
              <w:top w:val="single" w:sz="4" w:space="0" w:color="auto"/>
              <w:left w:val="nil"/>
              <w:bottom w:val="single" w:sz="4" w:space="0" w:color="auto"/>
              <w:right w:val="nil"/>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705" w:type="dxa"/>
            <w:gridSpan w:val="2"/>
            <w:tcBorders>
              <w:top w:val="single" w:sz="4" w:space="0" w:color="auto"/>
              <w:left w:val="nil"/>
              <w:bottom w:val="single" w:sz="4" w:space="0" w:color="auto"/>
              <w:right w:val="nil"/>
            </w:tcBorders>
            <w:shd w:val="clear" w:color="auto" w:fill="auto"/>
            <w:noWrap/>
            <w:vAlign w:val="bottom"/>
            <w:hideMark/>
          </w:tcPr>
          <w:p w:rsidR="006F29B5" w:rsidRPr="0008040F"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22"/>
                <w:szCs w:val="22"/>
                <w:lang w:val="en-US" w:eastAsia="zh-CN"/>
              </w:rPr>
            </w:pPr>
            <w:r w:rsidRPr="0008040F">
              <w:rPr>
                <w:i/>
                <w:iCs/>
                <w:color w:val="000000"/>
                <w:sz w:val="22"/>
                <w:szCs w:val="22"/>
                <w:lang w:val="en-US" w:eastAsia="zh-CN"/>
              </w:rPr>
              <w:t>CHF in thousand</w:t>
            </w:r>
          </w:p>
        </w:tc>
        <w:tc>
          <w:tcPr>
            <w:tcW w:w="1555" w:type="dxa"/>
            <w:gridSpan w:val="2"/>
            <w:tcBorders>
              <w:top w:val="single" w:sz="4" w:space="0" w:color="auto"/>
              <w:left w:val="nil"/>
              <w:bottom w:val="single" w:sz="4" w:space="0" w:color="auto"/>
              <w:right w:val="nil"/>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22"/>
                <w:szCs w:val="22"/>
                <w:lang w:val="en-US" w:eastAsia="zh-CN"/>
              </w:rPr>
            </w:pPr>
          </w:p>
        </w:tc>
        <w:tc>
          <w:tcPr>
            <w:tcW w:w="1559" w:type="dxa"/>
            <w:tcBorders>
              <w:top w:val="single" w:sz="4" w:space="0" w:color="auto"/>
              <w:left w:val="nil"/>
              <w:bottom w:val="single" w:sz="4" w:space="0" w:color="auto"/>
              <w:right w:val="nil"/>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r>
      <w:tr w:rsidR="006F29B5" w:rsidRPr="002A54D3" w:rsidTr="006F29B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2013</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w:t>
            </w:r>
          </w:p>
        </w:tc>
        <w:tc>
          <w:tcPr>
            <w:tcW w:w="17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08040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08040F">
              <w:rPr>
                <w:i/>
                <w:iCs/>
                <w:color w:val="000000"/>
                <w:sz w:val="22"/>
                <w:szCs w:val="22"/>
                <w:lang w:val="en-US" w:eastAsia="zh-CN"/>
              </w:rPr>
              <w:t> </w:t>
            </w:r>
          </w:p>
        </w:tc>
        <w:tc>
          <w:tcPr>
            <w:tcW w:w="155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389 </w:t>
            </w:r>
          </w:p>
        </w:tc>
      </w:tr>
      <w:tr w:rsidR="006F29B5" w:rsidRPr="002A54D3" w:rsidTr="006F29B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2014</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2,000 </w:t>
            </w:r>
          </w:p>
        </w:tc>
        <w:tc>
          <w:tcPr>
            <w:tcW w:w="17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08040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08040F">
              <w:rPr>
                <w:i/>
                <w:iCs/>
                <w:color w:val="000000"/>
                <w:sz w:val="22"/>
                <w:szCs w:val="22"/>
                <w:lang w:val="en-US" w:eastAsia="zh-CN"/>
              </w:rPr>
              <w:t xml:space="preserve">                       </w:t>
            </w:r>
            <w:r>
              <w:rPr>
                <w:i/>
                <w:iCs/>
                <w:color w:val="000000"/>
                <w:sz w:val="22"/>
                <w:szCs w:val="22"/>
                <w:lang w:val="en-US" w:eastAsia="zh-CN"/>
              </w:rPr>
              <w:t>2</w:t>
            </w:r>
            <w:r w:rsidRPr="0008040F">
              <w:rPr>
                <w:i/>
                <w:iCs/>
                <w:color w:val="000000"/>
                <w:sz w:val="22"/>
                <w:szCs w:val="22"/>
                <w:lang w:val="en-US" w:eastAsia="zh-CN"/>
              </w:rPr>
              <w:t xml:space="preserve">0 </w:t>
            </w:r>
          </w:p>
        </w:tc>
        <w:tc>
          <w:tcPr>
            <w:tcW w:w="155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15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997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1,427 </w:t>
            </w:r>
          </w:p>
        </w:tc>
      </w:tr>
      <w:tr w:rsidR="006F29B5" w:rsidRPr="002A54D3" w:rsidTr="006F29B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2015</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w:t>
            </w:r>
          </w:p>
        </w:tc>
        <w:tc>
          <w:tcPr>
            <w:tcW w:w="17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08040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08040F">
              <w:rPr>
                <w:i/>
                <w:iCs/>
                <w:color w:val="000000"/>
                <w:sz w:val="22"/>
                <w:szCs w:val="22"/>
                <w:lang w:val="en-US" w:eastAsia="zh-CN"/>
              </w:rPr>
              <w:t xml:space="preserve">                      13 </w:t>
            </w:r>
          </w:p>
        </w:tc>
        <w:tc>
          <w:tcPr>
            <w:tcW w:w="155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43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11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1,386 </w:t>
            </w:r>
          </w:p>
        </w:tc>
      </w:tr>
      <w:tr w:rsidR="006F29B5" w:rsidRPr="002A54D3" w:rsidTr="006F29B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2016</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w:t>
            </w:r>
          </w:p>
        </w:tc>
        <w:tc>
          <w:tcPr>
            <w:tcW w:w="17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08040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08040F">
              <w:rPr>
                <w:i/>
                <w:iCs/>
                <w:color w:val="000000"/>
                <w:sz w:val="22"/>
                <w:szCs w:val="22"/>
                <w:lang w:val="en-US" w:eastAsia="zh-CN"/>
              </w:rPr>
              <w:t xml:space="preserve">                       37 </w:t>
            </w:r>
          </w:p>
        </w:tc>
        <w:tc>
          <w:tcPr>
            <w:tcW w:w="155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44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83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1,296 </w:t>
            </w:r>
          </w:p>
        </w:tc>
      </w:tr>
      <w:tr w:rsidR="006F29B5" w:rsidRPr="002A54D3" w:rsidTr="006F29B5">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2017</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1,948 </w:t>
            </w:r>
          </w:p>
        </w:tc>
        <w:tc>
          <w:tcPr>
            <w:tcW w:w="17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08040F"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08040F">
              <w:rPr>
                <w:i/>
                <w:iCs/>
                <w:color w:val="000000"/>
                <w:sz w:val="22"/>
                <w:szCs w:val="22"/>
                <w:lang w:val="en-US" w:eastAsia="zh-CN"/>
              </w:rPr>
              <w:t xml:space="preserve">                      51 </w:t>
            </w:r>
          </w:p>
        </w:tc>
        <w:tc>
          <w:tcPr>
            <w:tcW w:w="1555" w:type="dxa"/>
            <w:gridSpan w:val="2"/>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66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139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F29B5" w:rsidRPr="002A54D3" w:rsidRDefault="006F29B5" w:rsidP="006F29B5">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2A54D3">
              <w:rPr>
                <w:color w:val="000000"/>
                <w:sz w:val="22"/>
                <w:szCs w:val="22"/>
                <w:lang w:val="en-US" w:eastAsia="zh-CN"/>
              </w:rPr>
              <w:t xml:space="preserve">                 3,222 </w:t>
            </w:r>
          </w:p>
        </w:tc>
      </w:tr>
    </w:tbl>
    <w:p w:rsidR="006F29B5" w:rsidRPr="00486B4E" w:rsidRDefault="006F29B5" w:rsidP="006F29B5">
      <w:pPr>
        <w:pStyle w:val="Heading1"/>
        <w:tabs>
          <w:tab w:val="clear" w:pos="567"/>
          <w:tab w:val="left" w:pos="709"/>
        </w:tabs>
        <w:ind w:left="709" w:hanging="709"/>
        <w:rPr>
          <w:u w:val="single"/>
        </w:rPr>
      </w:pPr>
      <w:r w:rsidRPr="00486B4E">
        <w:t>1</w:t>
      </w:r>
      <w:r>
        <w:t>4</w:t>
      </w:r>
      <w:r w:rsidRPr="00486B4E">
        <w:tab/>
        <w:t>Other financial management questions</w:t>
      </w:r>
    </w:p>
    <w:p w:rsidR="006F29B5" w:rsidRPr="00486B4E" w:rsidRDefault="006F29B5" w:rsidP="006F29B5">
      <w:pPr>
        <w:pStyle w:val="headingb0"/>
        <w:rPr>
          <w:rFonts w:asciiTheme="minorHAnsi" w:hAnsiTheme="minorHAnsi"/>
        </w:rPr>
      </w:pPr>
      <w:r w:rsidRPr="00486B4E">
        <w:rPr>
          <w:rFonts w:asciiTheme="minorHAnsi" w:hAnsiTheme="minorHAnsi"/>
        </w:rPr>
        <w:t>External audit of the Union's accounts</w:t>
      </w:r>
    </w:p>
    <w:p w:rsidR="006F29B5" w:rsidRPr="005D05DF" w:rsidRDefault="006F29B5" w:rsidP="0098524E">
      <w:pPr>
        <w:tabs>
          <w:tab w:val="clear" w:pos="567"/>
          <w:tab w:val="left" w:pos="709"/>
        </w:tabs>
        <w:jc w:val="both"/>
        <w:rPr>
          <w:szCs w:val="24"/>
        </w:rPr>
      </w:pPr>
      <w:r w:rsidRPr="00D10AA9">
        <w:rPr>
          <w:szCs w:val="24"/>
        </w:rPr>
        <w:t>1</w:t>
      </w:r>
      <w:r>
        <w:rPr>
          <w:szCs w:val="24"/>
        </w:rPr>
        <w:t>4</w:t>
      </w:r>
      <w:r w:rsidRPr="00D10AA9">
        <w:rPr>
          <w:szCs w:val="24"/>
        </w:rPr>
        <w:t>.1</w:t>
      </w:r>
      <w:r w:rsidRPr="00D10AA9">
        <w:rPr>
          <w:szCs w:val="24"/>
        </w:rPr>
        <w:tab/>
      </w:r>
      <w:r w:rsidRPr="00E87888">
        <w:rPr>
          <w:szCs w:val="24"/>
        </w:rPr>
        <w:t xml:space="preserve">Under Article 4, No. 74, of the Convention, the Council is instructed to arrange for the audit of the accounts of the Union drawn up by the Secretary-General and to approve them so that they </w:t>
      </w:r>
      <w:r w:rsidRPr="00E87888">
        <w:t>can be submitted to the next plenipotentiary conference for final adoption. Pursuant to Resolution 94 (Rev. </w:t>
      </w:r>
      <w:r>
        <w:t>Busan</w:t>
      </w:r>
      <w:r w:rsidRPr="00E87888">
        <w:t>, 201</w:t>
      </w:r>
      <w:r>
        <w:t>4</w:t>
      </w:r>
      <w:r w:rsidRPr="00E87888">
        <w:rPr>
          <w:szCs w:val="24"/>
        </w:rPr>
        <w:t>)</w:t>
      </w:r>
      <w:r w:rsidRPr="00E87888">
        <w:rPr>
          <w:color w:val="1F497D"/>
        </w:rPr>
        <w:t xml:space="preserve"> </w:t>
      </w:r>
      <w:r w:rsidRPr="00E87888">
        <w:t xml:space="preserve">to consider the rotation of the </w:t>
      </w:r>
      <w:r w:rsidRPr="00E87888">
        <w:rPr>
          <w:szCs w:val="24"/>
        </w:rPr>
        <w:t>External Auditor, the Secretary-General was instructed</w:t>
      </w:r>
      <w:r w:rsidRPr="00E87888">
        <w:rPr>
          <w:sz w:val="22"/>
        </w:rPr>
        <w:t xml:space="preserve"> </w:t>
      </w:r>
      <w:r w:rsidRPr="00E87888">
        <w:t xml:space="preserve">to bring the resolution to the notice of </w:t>
      </w:r>
      <w:r>
        <w:t xml:space="preserve">Corte dei Conti, Italy. </w:t>
      </w:r>
      <w:r w:rsidRPr="00EB3194">
        <w:t>The</w:t>
      </w:r>
      <w:r w:rsidRPr="00EB3194">
        <w:rPr>
          <w:szCs w:val="24"/>
        </w:rPr>
        <w:t xml:space="preserve"> Auditors from the Corte dei Conti, Italy were appointed as external auditors of the Union's accounts until the audit of the 2019 Union accounts. The Secretary-General was instructed </w:t>
      </w:r>
      <w:r w:rsidRPr="00EB3194">
        <w:t xml:space="preserve">to </w:t>
      </w:r>
      <w:r w:rsidRPr="00EB3194">
        <w:rPr>
          <w:szCs w:val="24"/>
        </w:rPr>
        <w:t>initiate the</w:t>
      </w:r>
      <w:r w:rsidRPr="00EB3194">
        <w:t xml:space="preserve"> tendering arrangement for the </w:t>
      </w:r>
      <w:r w:rsidRPr="00EB3194">
        <w:rPr>
          <w:szCs w:val="24"/>
        </w:rPr>
        <w:t>Selection</w:t>
      </w:r>
      <w:r w:rsidRPr="00EB3194">
        <w:t xml:space="preserve"> of the </w:t>
      </w:r>
      <w:r w:rsidRPr="00EB3194">
        <w:rPr>
          <w:szCs w:val="24"/>
        </w:rPr>
        <w:t>External Auditor</w:t>
      </w:r>
      <w:r>
        <w:rPr>
          <w:szCs w:val="24"/>
        </w:rPr>
        <w:t xml:space="preserve"> for the audit of the 2020 Accounts.</w:t>
      </w:r>
    </w:p>
    <w:p w:rsidR="006F29B5" w:rsidRPr="00486B4E" w:rsidRDefault="006F29B5" w:rsidP="006F29B5">
      <w:pPr>
        <w:tabs>
          <w:tab w:val="clear" w:pos="567"/>
          <w:tab w:val="left" w:pos="709"/>
        </w:tabs>
        <w:jc w:val="both"/>
      </w:pPr>
      <w:r w:rsidRPr="00D10AA9">
        <w:rPr>
          <w:szCs w:val="24"/>
        </w:rPr>
        <w:t>1</w:t>
      </w:r>
      <w:r>
        <w:rPr>
          <w:szCs w:val="24"/>
        </w:rPr>
        <w:t>4</w:t>
      </w:r>
      <w:r w:rsidRPr="00D10AA9">
        <w:rPr>
          <w:szCs w:val="24"/>
        </w:rPr>
        <w:t>.2</w:t>
      </w:r>
      <w:r w:rsidRPr="00D10AA9">
        <w:rPr>
          <w:szCs w:val="24"/>
        </w:rPr>
        <w:tab/>
        <w:t>The detailed reports of the external auditor have been examined each year by the Council, which has taken note of the</w:t>
      </w:r>
      <w:r w:rsidRPr="00855857">
        <w:t xml:space="preserve"> audit certificates issued confirming the correctness of the financial statements.</w:t>
      </w:r>
    </w:p>
    <w:p w:rsidR="006F29B5" w:rsidRPr="00486B4E" w:rsidRDefault="006F29B5" w:rsidP="006F29B5">
      <w:pPr>
        <w:pStyle w:val="headingb0"/>
        <w:jc w:val="both"/>
        <w:rPr>
          <w:rFonts w:asciiTheme="minorHAnsi" w:hAnsiTheme="minorHAnsi"/>
        </w:rPr>
      </w:pPr>
      <w:r w:rsidRPr="00486B4E">
        <w:rPr>
          <w:rFonts w:asciiTheme="minorHAnsi" w:hAnsiTheme="minorHAnsi"/>
        </w:rPr>
        <w:t>Cost attribution and cost recovery</w:t>
      </w:r>
    </w:p>
    <w:p w:rsidR="006F29B5" w:rsidRPr="00486B4E" w:rsidRDefault="006F29B5" w:rsidP="006F29B5">
      <w:pPr>
        <w:keepNext/>
        <w:keepLines/>
        <w:tabs>
          <w:tab w:val="clear" w:pos="567"/>
          <w:tab w:val="left" w:pos="709"/>
        </w:tabs>
        <w:jc w:val="both"/>
      </w:pPr>
      <w:r w:rsidRPr="00486B4E">
        <w:t>1</w:t>
      </w:r>
      <w:r>
        <w:t>4</w:t>
      </w:r>
      <w:r w:rsidRPr="00486B4E">
        <w:t>.</w:t>
      </w:r>
      <w:r>
        <w:t>3</w:t>
      </w:r>
      <w:r w:rsidRPr="00486B4E">
        <w:tab/>
        <w:t xml:space="preserve">In accordance with Resolution 91 (Rev. </w:t>
      </w:r>
      <w:r>
        <w:t>Guadalajara</w:t>
      </w:r>
      <w:r w:rsidRPr="00486B4E">
        <w:t>, 20</w:t>
      </w:r>
      <w:r>
        <w:t>10</w:t>
      </w:r>
      <w:r w:rsidRPr="00486B4E">
        <w:t>), the Council has established the methodology for cost attribution in order to identify the costs of the various ITU activities and services provided. The Council has also identified possible areas of cost recovery in addition to those where the cost</w:t>
      </w:r>
      <w:r w:rsidRPr="00486B4E">
        <w:noBreakHyphen/>
        <w:t>recovery principle is already applied, for example universal international freephone number (UIFN). Currently, cost recovery applies to UIPRN/UISCN, GMPCS</w:t>
      </w:r>
      <w:r w:rsidRPr="00486B4E">
        <w:noBreakHyphen/>
        <w:t>MoU, TELECOM</w:t>
      </w:r>
      <w:r>
        <w:t>, publications</w:t>
      </w:r>
      <w:r w:rsidRPr="00486B4E">
        <w:t xml:space="preserve"> and satellite network filings.</w:t>
      </w:r>
    </w:p>
    <w:p w:rsidR="006F29B5" w:rsidRPr="00486B4E" w:rsidRDefault="006F29B5" w:rsidP="006F29B5">
      <w:pPr>
        <w:pStyle w:val="headingb0"/>
        <w:jc w:val="both"/>
        <w:rPr>
          <w:rFonts w:asciiTheme="minorHAnsi" w:hAnsiTheme="minorHAnsi"/>
        </w:rPr>
      </w:pPr>
      <w:r w:rsidRPr="00CE78E5">
        <w:rPr>
          <w:rFonts w:asciiTheme="minorHAnsi" w:hAnsiTheme="minorHAnsi"/>
        </w:rPr>
        <w:t>Approval of the accounts of the Union for the years 201</w:t>
      </w:r>
      <w:r>
        <w:rPr>
          <w:rFonts w:asciiTheme="minorHAnsi" w:hAnsiTheme="minorHAnsi"/>
        </w:rPr>
        <w:t>4</w:t>
      </w:r>
      <w:r w:rsidRPr="00CE78E5">
        <w:rPr>
          <w:rFonts w:asciiTheme="minorHAnsi" w:hAnsiTheme="minorHAnsi"/>
        </w:rPr>
        <w:t> to 201</w:t>
      </w:r>
      <w:r>
        <w:rPr>
          <w:rFonts w:asciiTheme="minorHAnsi" w:hAnsiTheme="minorHAnsi"/>
        </w:rPr>
        <w:t>7</w:t>
      </w:r>
    </w:p>
    <w:p w:rsidR="006F29B5" w:rsidRPr="00486B4E" w:rsidRDefault="006F29B5" w:rsidP="006F29B5">
      <w:pPr>
        <w:tabs>
          <w:tab w:val="clear" w:pos="567"/>
          <w:tab w:val="left" w:pos="709"/>
        </w:tabs>
        <w:jc w:val="both"/>
      </w:pPr>
      <w:r w:rsidRPr="00486B4E">
        <w:t>1</w:t>
      </w:r>
      <w:r>
        <w:t>4</w:t>
      </w:r>
      <w:r w:rsidRPr="00486B4E">
        <w:t>.</w:t>
      </w:r>
      <w:r>
        <w:t>4</w:t>
      </w:r>
      <w:r w:rsidRPr="00486B4E">
        <w:tab/>
        <w:t xml:space="preserve">In accordance with No. 53 of Article 8 of the Constitution, the </w:t>
      </w:r>
      <w:r>
        <w:t>P</w:t>
      </w:r>
      <w:r w:rsidRPr="00486B4E">
        <w:t xml:space="preserve">lenipotentiary </w:t>
      </w:r>
      <w:r>
        <w:t>C</w:t>
      </w:r>
      <w:r w:rsidRPr="00486B4E">
        <w:t>onference gives final approval to the accounts of the Union.</w:t>
      </w:r>
    </w:p>
    <w:p w:rsidR="006F29B5" w:rsidRPr="00F84226" w:rsidRDefault="006F29B5" w:rsidP="006F29B5">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sidRPr="00F84226">
        <w:rPr>
          <w:lang w:val="en-US"/>
        </w:rPr>
        <w:br w:type="page"/>
      </w:r>
    </w:p>
    <w:p w:rsidR="006F29B5" w:rsidRPr="00F84226" w:rsidRDefault="006F29B5" w:rsidP="006F29B5">
      <w:pPr>
        <w:pStyle w:val="AnnexNo"/>
        <w:rPr>
          <w:lang w:val="en-US"/>
        </w:rPr>
      </w:pPr>
    </w:p>
    <w:p w:rsidR="006F29B5" w:rsidRPr="00E33D47" w:rsidRDefault="006F29B5" w:rsidP="006F29B5">
      <w:pPr>
        <w:pStyle w:val="AnnexNo"/>
        <w:spacing w:before="360"/>
        <w:rPr>
          <w:lang w:val="en-US"/>
        </w:rPr>
      </w:pPr>
      <w:r w:rsidRPr="00E33D47">
        <w:rPr>
          <w:lang w:val="en-US"/>
        </w:rPr>
        <w:t>ANNEX</w:t>
      </w:r>
    </w:p>
    <w:p w:rsidR="006F29B5" w:rsidRDefault="006F29B5" w:rsidP="006F29B5">
      <w:pPr>
        <w:pStyle w:val="Proposal"/>
        <w:rPr>
          <w:lang w:eastAsia="zh-CN"/>
        </w:rPr>
      </w:pPr>
      <w:r>
        <w:rPr>
          <w:lang w:eastAsia="zh-CN"/>
        </w:rPr>
        <w:t>ADD</w:t>
      </w:r>
      <w:r>
        <w:rPr>
          <w:lang w:eastAsia="zh-CN"/>
        </w:rPr>
        <w:tab/>
        <w:t>CL/46/1</w:t>
      </w:r>
    </w:p>
    <w:p w:rsidR="006F29B5" w:rsidRDefault="006F29B5" w:rsidP="004A70CF">
      <w:pPr>
        <w:pStyle w:val="ResNo"/>
      </w:pPr>
      <w:r>
        <w:t>Draft New Resolution [CL-</w:t>
      </w:r>
      <w:r w:rsidR="004A70CF">
        <w:t>1</w:t>
      </w:r>
      <w:r>
        <w:t>]</w:t>
      </w:r>
    </w:p>
    <w:p w:rsidR="006F29B5" w:rsidRDefault="006F29B5" w:rsidP="006F29B5">
      <w:pPr>
        <w:pStyle w:val="Restitle"/>
      </w:pPr>
      <w:r w:rsidRPr="00486B4E">
        <w:t>Approval of the accounts</w:t>
      </w:r>
      <w:r>
        <w:t xml:space="preserve"> of the Union for the years 2014 to 2017</w:t>
      </w:r>
    </w:p>
    <w:p w:rsidR="006F29B5" w:rsidRPr="0058442C" w:rsidRDefault="006F29B5" w:rsidP="00F62A26">
      <w:pPr>
        <w:pStyle w:val="Normalaftertitle"/>
      </w:pPr>
      <w:r w:rsidRPr="0058442C">
        <w:t>The Plenipotentiary Conference of the International Telecommunication Union (Dubai, 2018),</w:t>
      </w:r>
    </w:p>
    <w:p w:rsidR="006F29B5" w:rsidRPr="00F62A26" w:rsidRDefault="006F29B5" w:rsidP="00F62A26">
      <w:pPr>
        <w:pStyle w:val="Call"/>
      </w:pPr>
      <w:r w:rsidRPr="00F62A26">
        <w:t>considering</w:t>
      </w:r>
    </w:p>
    <w:p w:rsidR="006F29B5" w:rsidRPr="00486B4E" w:rsidRDefault="006F29B5" w:rsidP="006F29B5">
      <w:r w:rsidRPr="00486B4E">
        <w:rPr>
          <w:i/>
          <w:iCs/>
        </w:rPr>
        <w:t>a)</w:t>
      </w:r>
      <w:r w:rsidRPr="00486B4E">
        <w:tab/>
        <w:t>the provisions of No. 53 of the ITU Constitution;</w:t>
      </w:r>
    </w:p>
    <w:p w:rsidR="006F29B5" w:rsidRPr="00CE78E5" w:rsidRDefault="006F29B5" w:rsidP="006F29B5">
      <w:r w:rsidRPr="00486B4E">
        <w:rPr>
          <w:i/>
          <w:iCs/>
        </w:rPr>
        <w:t>b)</w:t>
      </w:r>
      <w:r w:rsidRPr="00486B4E">
        <w:tab/>
        <w:t>the report of the Council to the Plenipotenti</w:t>
      </w:r>
      <w:r>
        <w:t>ary Conference in Document PP-18</w:t>
      </w:r>
      <w:r w:rsidRPr="00486B4E">
        <w:t>/</w:t>
      </w:r>
      <w:r>
        <w:t>46</w:t>
      </w:r>
      <w:r w:rsidRPr="00486B4E">
        <w:t xml:space="preserve"> relating to the financial management of</w:t>
      </w:r>
      <w:r>
        <w:t xml:space="preserve"> the Union during the years 2014 to 2017</w:t>
      </w:r>
      <w:r w:rsidRPr="00486B4E">
        <w:t xml:space="preserve">, and the report of the Finance Committee of </w:t>
      </w:r>
      <w:r>
        <w:t xml:space="preserve">this </w:t>
      </w:r>
      <w:r w:rsidRPr="00CE78E5">
        <w:t>conference (</w:t>
      </w:r>
      <w:r w:rsidRPr="0058442C">
        <w:t>Document [PP-18/XX]),</w:t>
      </w:r>
    </w:p>
    <w:p w:rsidR="006F29B5" w:rsidRPr="00F62A26" w:rsidRDefault="006F29B5" w:rsidP="00F62A26">
      <w:pPr>
        <w:pStyle w:val="Call"/>
      </w:pPr>
      <w:r w:rsidRPr="00F62A26">
        <w:t>resolves</w:t>
      </w:r>
    </w:p>
    <w:p w:rsidR="006F29B5" w:rsidRDefault="006F29B5" w:rsidP="006F29B5">
      <w:r w:rsidRPr="00486B4E">
        <w:t>to give its final approval of the accounts</w:t>
      </w:r>
      <w:r>
        <w:t xml:space="preserve"> of the Union for the years 2014 to 2017</w:t>
      </w:r>
      <w:r w:rsidRPr="00486B4E">
        <w:t>.</w:t>
      </w:r>
    </w:p>
    <w:p w:rsidR="006F29B5" w:rsidRPr="00486B4E" w:rsidRDefault="006F29B5" w:rsidP="006F29B5">
      <w:pPr>
        <w:pStyle w:val="Reasons"/>
      </w:pPr>
    </w:p>
    <w:p w:rsidR="006F29B5" w:rsidRPr="0008540E" w:rsidRDefault="006F29B5" w:rsidP="006F29B5">
      <w:pPr>
        <w:spacing w:before="840"/>
        <w:jc w:val="center"/>
      </w:pPr>
      <w:r w:rsidRPr="00486B4E">
        <w:t>______________</w:t>
      </w:r>
    </w:p>
    <w:sectPr w:rsidR="006F29B5" w:rsidRPr="0008540E" w:rsidSect="00361097">
      <w:headerReference w:type="default" r:id="rId21"/>
      <w:footerReference w:type="default" r:id="rId22"/>
      <w:headerReference w:type="first" r:id="rId23"/>
      <w:footerReference w:type="first" r:id="rId2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83" w:rsidRDefault="00EE1883">
      <w:r>
        <w:separator/>
      </w:r>
    </w:p>
  </w:endnote>
  <w:endnote w:type="continuationSeparator" w:id="0">
    <w:p w:rsidR="00EE1883" w:rsidRDefault="00EE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83" w:rsidRDefault="00EE1883" w:rsidP="006F29B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E1883" w:rsidRDefault="00EE1883">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83" w:rsidRDefault="00EE1883" w:rsidP="006F29B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EE1883" w:rsidRDefault="00EE1883">
    <w:pPr>
      <w:pStyle w:val="First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83" w:rsidRDefault="00EE1883" w:rsidP="00855DAB">
    <w:pPr>
      <w:pStyle w:val="Footer"/>
      <w:tabs>
        <w:tab w:val="clear" w:pos="5954"/>
        <w:tab w:val="clear" w:pos="9639"/>
        <w:tab w:val="left" w:pos="7655"/>
        <w:tab w:val="right" w:pos="949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83" w:rsidRDefault="00EE1883"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83" w:rsidRDefault="00EE1883">
      <w:r>
        <w:t>____________________</w:t>
      </w:r>
    </w:p>
  </w:footnote>
  <w:footnote w:type="continuationSeparator" w:id="0">
    <w:p w:rsidR="00EE1883" w:rsidRDefault="00EE1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83" w:rsidRDefault="00EE1883" w:rsidP="006F29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4634">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4634">
      <w:rPr>
        <w:rStyle w:val="PageNumber"/>
        <w:noProof/>
      </w:rPr>
      <w:t>47</w:t>
    </w:r>
    <w:r>
      <w:rPr>
        <w:rStyle w:val="PageNumber"/>
      </w:rPr>
      <w:fldChar w:fldCharType="end"/>
    </w:r>
  </w:p>
  <w:p w:rsidR="00EE1883" w:rsidRDefault="00EE1883" w:rsidP="006F29B5">
    <w:pPr>
      <w:pStyle w:val="Header"/>
      <w:rPr>
        <w:lang w:val="en-US"/>
      </w:rPr>
    </w:pPr>
    <w:r>
      <w:rPr>
        <w:lang w:val="en-US"/>
      </w:rPr>
      <w:t>PP-18/46-E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83" w:rsidRDefault="00EE1883" w:rsidP="006F29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4634">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4634">
      <w:rPr>
        <w:rStyle w:val="PageNumber"/>
        <w:noProof/>
      </w:rPr>
      <w:t>47</w:t>
    </w:r>
    <w:r>
      <w:rPr>
        <w:rStyle w:val="PageNumber"/>
      </w:rPr>
      <w:fldChar w:fldCharType="end"/>
    </w:r>
  </w:p>
  <w:p w:rsidR="00EE1883" w:rsidRDefault="00EE1883" w:rsidP="006F29B5">
    <w:pPr>
      <w:pStyle w:val="Header"/>
      <w:rPr>
        <w:lang w:val="en-US"/>
      </w:rPr>
    </w:pPr>
    <w:r>
      <w:rPr>
        <w:lang w:val="en-US"/>
      </w:rPr>
      <w:t>PP-18/46-E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83" w:rsidRDefault="00EE1883" w:rsidP="005F6DC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4634">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4634">
      <w:rPr>
        <w:rStyle w:val="PageNumber"/>
        <w:noProof/>
      </w:rPr>
      <w:t>47</w:t>
    </w:r>
    <w:r>
      <w:rPr>
        <w:rStyle w:val="PageNumber"/>
      </w:rPr>
      <w:fldChar w:fldCharType="end"/>
    </w:r>
  </w:p>
  <w:p w:rsidR="00EE1883" w:rsidRDefault="00EE1883" w:rsidP="0098524E">
    <w:pPr>
      <w:pStyle w:val="Header"/>
    </w:pPr>
    <w:r>
      <w:t>PP18/46-E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883" w:rsidRDefault="00EE1883" w:rsidP="00F62A2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14634">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4634">
      <w:rPr>
        <w:rStyle w:val="PageNumber"/>
        <w:noProof/>
      </w:rPr>
      <w:t>47</w:t>
    </w:r>
    <w:r>
      <w:rPr>
        <w:rStyle w:val="PageNumber"/>
      </w:rPr>
      <w:fldChar w:fldCharType="end"/>
    </w:r>
  </w:p>
  <w:p w:rsidR="00EE1883" w:rsidRDefault="00EE1883" w:rsidP="00F62A26">
    <w:pPr>
      <w:pStyle w:val="Header"/>
      <w:rPr>
        <w:lang w:val="en-US"/>
      </w:rPr>
    </w:pPr>
    <w:r>
      <w:rPr>
        <w:lang w:val="en-US"/>
      </w:rPr>
      <w:t>PP-18/46-E</w:t>
    </w:r>
  </w:p>
  <w:p w:rsidR="00EE1883" w:rsidRDefault="00EE1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2308"/>
    <w:multiLevelType w:val="hybridMultilevel"/>
    <w:tmpl w:val="DA601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A72075"/>
    <w:multiLevelType w:val="multilevel"/>
    <w:tmpl w:val="D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B636A"/>
    <w:multiLevelType w:val="hybridMultilevel"/>
    <w:tmpl w:val="5C5A699A"/>
    <w:lvl w:ilvl="0" w:tplc="294821C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24E3"/>
    <w:multiLevelType w:val="hybridMultilevel"/>
    <w:tmpl w:val="F4561D38"/>
    <w:lvl w:ilvl="0" w:tplc="79644D5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15:restartNumberingAfterBreak="0">
    <w:nsid w:val="58C373D7"/>
    <w:multiLevelType w:val="multilevel"/>
    <w:tmpl w:val="80FE1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A6046"/>
    <w:multiLevelType w:val="hybridMultilevel"/>
    <w:tmpl w:val="266EB176"/>
    <w:lvl w:ilvl="0" w:tplc="42122DD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7383A"/>
    <w:multiLevelType w:val="hybridMultilevel"/>
    <w:tmpl w:val="85B059F2"/>
    <w:lvl w:ilvl="0" w:tplc="77BCEF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71949"/>
    <w:multiLevelType w:val="hybridMultilevel"/>
    <w:tmpl w:val="EE62DF56"/>
    <w:lvl w:ilvl="0" w:tplc="81007716">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8"/>
  </w:num>
  <w:num w:numId="4">
    <w:abstractNumId w:val="4"/>
  </w:num>
  <w:num w:numId="5">
    <w:abstractNumId w:val="15"/>
  </w:num>
  <w:num w:numId="6">
    <w:abstractNumId w:val="18"/>
  </w:num>
  <w:num w:numId="7">
    <w:abstractNumId w:val="9"/>
  </w:num>
  <w:num w:numId="8">
    <w:abstractNumId w:val="23"/>
  </w:num>
  <w:num w:numId="9">
    <w:abstractNumId w:val="17"/>
  </w:num>
  <w:num w:numId="10">
    <w:abstractNumId w:val="14"/>
  </w:num>
  <w:num w:numId="11">
    <w:abstractNumId w:val="11"/>
  </w:num>
  <w:num w:numId="12">
    <w:abstractNumId w:val="3"/>
  </w:num>
  <w:num w:numId="13">
    <w:abstractNumId w:val="13"/>
  </w:num>
  <w:num w:numId="14">
    <w:abstractNumId w:val="16"/>
  </w:num>
  <w:num w:numId="15">
    <w:abstractNumId w:val="5"/>
  </w:num>
  <w:num w:numId="16">
    <w:abstractNumId w:val="6"/>
  </w:num>
  <w:num w:numId="17">
    <w:abstractNumId w:val="24"/>
  </w:num>
  <w:num w:numId="18">
    <w:abstractNumId w:val="21"/>
  </w:num>
  <w:num w:numId="19">
    <w:abstractNumId w:val="7"/>
  </w:num>
  <w:num w:numId="20">
    <w:abstractNumId w:val="2"/>
  </w:num>
  <w:num w:numId="21">
    <w:abstractNumId w:val="12"/>
  </w:num>
  <w:num w:numId="22">
    <w:abstractNumId w:val="20"/>
  </w:num>
  <w:num w:numId="23">
    <w:abstractNumId w:val="0"/>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4D96"/>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A70CF"/>
    <w:rsid w:val="004B0C10"/>
    <w:rsid w:val="004C19D7"/>
    <w:rsid w:val="004C297B"/>
    <w:rsid w:val="004C73C9"/>
    <w:rsid w:val="004E01FA"/>
    <w:rsid w:val="004E6764"/>
    <w:rsid w:val="004F041D"/>
    <w:rsid w:val="004F1C55"/>
    <w:rsid w:val="004F7925"/>
    <w:rsid w:val="00504FE5"/>
    <w:rsid w:val="00507348"/>
    <w:rsid w:val="00522C97"/>
    <w:rsid w:val="005356FD"/>
    <w:rsid w:val="00545FCB"/>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5F6DC4"/>
    <w:rsid w:val="00604079"/>
    <w:rsid w:val="00617BE4"/>
    <w:rsid w:val="00620233"/>
    <w:rsid w:val="006404B0"/>
    <w:rsid w:val="0066499C"/>
    <w:rsid w:val="00676E68"/>
    <w:rsid w:val="00685646"/>
    <w:rsid w:val="006A7108"/>
    <w:rsid w:val="006B2035"/>
    <w:rsid w:val="006B40DA"/>
    <w:rsid w:val="006C5D5D"/>
    <w:rsid w:val="006E215D"/>
    <w:rsid w:val="006E57C8"/>
    <w:rsid w:val="006E70E1"/>
    <w:rsid w:val="006F29B5"/>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C5ECD"/>
    <w:rsid w:val="008D3BE2"/>
    <w:rsid w:val="008D4D98"/>
    <w:rsid w:val="008E2A7B"/>
    <w:rsid w:val="008E6E9B"/>
    <w:rsid w:val="008F2C56"/>
    <w:rsid w:val="008F3C99"/>
    <w:rsid w:val="0090095C"/>
    <w:rsid w:val="00900D5B"/>
    <w:rsid w:val="009236FE"/>
    <w:rsid w:val="00940E00"/>
    <w:rsid w:val="00945D4B"/>
    <w:rsid w:val="00950E0F"/>
    <w:rsid w:val="0096150D"/>
    <w:rsid w:val="009630FA"/>
    <w:rsid w:val="00967103"/>
    <w:rsid w:val="00967670"/>
    <w:rsid w:val="00970996"/>
    <w:rsid w:val="009800CC"/>
    <w:rsid w:val="0098524E"/>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4634"/>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2DA4"/>
    <w:rsid w:val="00BF43BA"/>
    <w:rsid w:val="00BF5722"/>
    <w:rsid w:val="00BF6268"/>
    <w:rsid w:val="00BF720B"/>
    <w:rsid w:val="00C0040B"/>
    <w:rsid w:val="00C04511"/>
    <w:rsid w:val="00C112A3"/>
    <w:rsid w:val="00C16846"/>
    <w:rsid w:val="00C34851"/>
    <w:rsid w:val="00C42A5B"/>
    <w:rsid w:val="00C56038"/>
    <w:rsid w:val="00C6729F"/>
    <w:rsid w:val="00C72664"/>
    <w:rsid w:val="00C86F24"/>
    <w:rsid w:val="00C90632"/>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1883"/>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2A26"/>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uiPriority w:val="2"/>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link w:val="ProposalChar"/>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aliases w:val="encabezado Char1,he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customStyle="1" w:styleId="headingb0">
    <w:name w:val="heading_b"/>
    <w:basedOn w:val="Heading3"/>
    <w:next w:val="Normal"/>
    <w:uiPriority w:val="99"/>
    <w:rsid w:val="006F29B5"/>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rPr>
  </w:style>
  <w:style w:type="paragraph" w:customStyle="1" w:styleId="TableText0">
    <w:name w:val="Table_Text"/>
    <w:basedOn w:val="Normal"/>
    <w:rsid w:val="006F29B5"/>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rPr>
  </w:style>
  <w:style w:type="paragraph" w:customStyle="1" w:styleId="TableHead0">
    <w:name w:val="Table_Head"/>
    <w:basedOn w:val="TableText0"/>
    <w:rsid w:val="006F29B5"/>
    <w:pPr>
      <w:keepNext/>
      <w:spacing w:before="80" w:after="80"/>
      <w:jc w:val="center"/>
    </w:pPr>
    <w:rPr>
      <w:b/>
    </w:rPr>
  </w:style>
  <w:style w:type="character" w:styleId="CommentReference">
    <w:name w:val="annotation reference"/>
    <w:basedOn w:val="DefaultParagraphFont"/>
    <w:uiPriority w:val="99"/>
    <w:rsid w:val="006F29B5"/>
    <w:rPr>
      <w:sz w:val="16"/>
      <w:szCs w:val="16"/>
    </w:rPr>
  </w:style>
  <w:style w:type="paragraph" w:styleId="CommentText">
    <w:name w:val="annotation text"/>
    <w:basedOn w:val="Normal"/>
    <w:link w:val="CommentTextChar"/>
    <w:uiPriority w:val="99"/>
    <w:rsid w:val="006F29B5"/>
    <w:rPr>
      <w:sz w:val="20"/>
    </w:rPr>
  </w:style>
  <w:style w:type="character" w:customStyle="1" w:styleId="CommentTextChar">
    <w:name w:val="Comment Text Char"/>
    <w:basedOn w:val="DefaultParagraphFont"/>
    <w:link w:val="CommentText"/>
    <w:uiPriority w:val="99"/>
    <w:rsid w:val="006F29B5"/>
    <w:rPr>
      <w:rFonts w:ascii="Calibri" w:hAnsi="Calibri"/>
      <w:lang w:val="en-GB" w:eastAsia="en-US"/>
    </w:rPr>
  </w:style>
  <w:style w:type="paragraph" w:styleId="CommentSubject">
    <w:name w:val="annotation subject"/>
    <w:basedOn w:val="CommentText"/>
    <w:next w:val="CommentText"/>
    <w:link w:val="CommentSubjectChar"/>
    <w:uiPriority w:val="99"/>
    <w:rsid w:val="006F29B5"/>
    <w:rPr>
      <w:b/>
      <w:bCs/>
    </w:rPr>
  </w:style>
  <w:style w:type="character" w:customStyle="1" w:styleId="CommentSubjectChar">
    <w:name w:val="Comment Subject Char"/>
    <w:basedOn w:val="CommentTextChar"/>
    <w:link w:val="CommentSubject"/>
    <w:uiPriority w:val="99"/>
    <w:rsid w:val="006F29B5"/>
    <w:rPr>
      <w:rFonts w:ascii="Calibri" w:hAnsi="Calibri"/>
      <w:b/>
      <w:bCs/>
      <w:lang w:val="en-GB" w:eastAsia="en-US"/>
    </w:rPr>
  </w:style>
  <w:style w:type="paragraph" w:styleId="ListParagraph">
    <w:name w:val="List Paragraph"/>
    <w:basedOn w:val="Normal"/>
    <w:uiPriority w:val="34"/>
    <w:qFormat/>
    <w:rsid w:val="006F29B5"/>
    <w:pPr>
      <w:ind w:left="720"/>
      <w:contextualSpacing/>
    </w:pPr>
  </w:style>
  <w:style w:type="character" w:customStyle="1" w:styleId="Heading1Char">
    <w:name w:val="Heading 1 Char"/>
    <w:basedOn w:val="DefaultParagraphFont"/>
    <w:link w:val="Heading1"/>
    <w:rsid w:val="006F29B5"/>
    <w:rPr>
      <w:rFonts w:ascii="Calibri" w:hAnsi="Calibri"/>
      <w:b/>
      <w:sz w:val="28"/>
      <w:lang w:val="en-GB" w:eastAsia="en-US"/>
    </w:rPr>
  </w:style>
  <w:style w:type="character" w:customStyle="1" w:styleId="Heading2Char">
    <w:name w:val="Heading 2 Char"/>
    <w:basedOn w:val="DefaultParagraphFont"/>
    <w:link w:val="Heading2"/>
    <w:rsid w:val="006F29B5"/>
    <w:rPr>
      <w:rFonts w:ascii="Calibri" w:hAnsi="Calibri"/>
      <w:b/>
      <w:sz w:val="24"/>
      <w:lang w:val="en-GB" w:eastAsia="en-US"/>
    </w:rPr>
  </w:style>
  <w:style w:type="character" w:customStyle="1" w:styleId="Heading3Char">
    <w:name w:val="Heading 3 Char"/>
    <w:basedOn w:val="DefaultParagraphFont"/>
    <w:link w:val="Heading3"/>
    <w:uiPriority w:val="2"/>
    <w:rsid w:val="006F29B5"/>
    <w:rPr>
      <w:rFonts w:ascii="Calibri" w:hAnsi="Calibri"/>
      <w:b/>
      <w:sz w:val="24"/>
      <w:lang w:val="en-GB" w:eastAsia="en-US"/>
    </w:rPr>
  </w:style>
  <w:style w:type="paragraph" w:styleId="Index7">
    <w:name w:val="index 7"/>
    <w:basedOn w:val="Normal"/>
    <w:next w:val="Normal"/>
    <w:rsid w:val="006F29B5"/>
    <w:pPr>
      <w:ind w:left="1698"/>
    </w:pPr>
    <w:rPr>
      <w:lang w:val="fr-FR"/>
    </w:rPr>
  </w:style>
  <w:style w:type="paragraph" w:styleId="Index6">
    <w:name w:val="index 6"/>
    <w:basedOn w:val="Normal"/>
    <w:next w:val="Normal"/>
    <w:rsid w:val="006F29B5"/>
    <w:pPr>
      <w:ind w:left="1415"/>
    </w:pPr>
    <w:rPr>
      <w:lang w:val="fr-FR"/>
    </w:rPr>
  </w:style>
  <w:style w:type="paragraph" w:styleId="Index5">
    <w:name w:val="index 5"/>
    <w:basedOn w:val="Normal"/>
    <w:next w:val="Normal"/>
    <w:rsid w:val="006F29B5"/>
    <w:pPr>
      <w:ind w:left="1132"/>
    </w:pPr>
    <w:rPr>
      <w:lang w:val="fr-FR"/>
    </w:rPr>
  </w:style>
  <w:style w:type="paragraph" w:styleId="Index4">
    <w:name w:val="index 4"/>
    <w:basedOn w:val="Normal"/>
    <w:next w:val="Normal"/>
    <w:rsid w:val="006F29B5"/>
    <w:pPr>
      <w:ind w:left="849"/>
    </w:pPr>
    <w:rPr>
      <w:lang w:val="fr-FR"/>
    </w:rPr>
  </w:style>
  <w:style w:type="paragraph" w:styleId="Index3">
    <w:name w:val="index 3"/>
    <w:basedOn w:val="Normal"/>
    <w:next w:val="Normal"/>
    <w:rsid w:val="006F29B5"/>
    <w:pPr>
      <w:ind w:left="566"/>
    </w:pPr>
    <w:rPr>
      <w:lang w:val="fr-FR"/>
    </w:rPr>
  </w:style>
  <w:style w:type="paragraph" w:styleId="Index2">
    <w:name w:val="index 2"/>
    <w:basedOn w:val="Normal"/>
    <w:next w:val="Normal"/>
    <w:rsid w:val="006F29B5"/>
    <w:pPr>
      <w:ind w:left="283"/>
    </w:pPr>
    <w:rPr>
      <w:lang w:val="fr-FR"/>
    </w:rPr>
  </w:style>
  <w:style w:type="paragraph" w:styleId="Index1">
    <w:name w:val="index 1"/>
    <w:basedOn w:val="Normal"/>
    <w:next w:val="Normal"/>
    <w:rsid w:val="006F29B5"/>
    <w:rPr>
      <w:lang w:val="fr-FR"/>
    </w:rPr>
  </w:style>
  <w:style w:type="character" w:styleId="LineNumber">
    <w:name w:val="line number"/>
    <w:basedOn w:val="DefaultParagraphFont"/>
    <w:rsid w:val="006F29B5"/>
  </w:style>
  <w:style w:type="paragraph" w:styleId="IndexHeading">
    <w:name w:val="index heading"/>
    <w:basedOn w:val="Normal"/>
    <w:next w:val="Index1"/>
    <w:rsid w:val="006F29B5"/>
    <w:rPr>
      <w:lang w:val="fr-FR"/>
    </w:rPr>
  </w:style>
  <w:style w:type="character" w:customStyle="1" w:styleId="FooterChar">
    <w:name w:val="Footer Char"/>
    <w:basedOn w:val="DefaultParagraphFont"/>
    <w:link w:val="Footer"/>
    <w:rsid w:val="006F29B5"/>
    <w:rPr>
      <w:rFonts w:ascii="Calibri" w:hAnsi="Calibri"/>
      <w:caps/>
      <w:noProof/>
      <w:sz w:val="16"/>
      <w:lang w:val="en-GB" w:eastAsia="en-US"/>
    </w:rPr>
  </w:style>
  <w:style w:type="character" w:customStyle="1" w:styleId="FootnoteTextChar">
    <w:name w:val="Footnote Text Char"/>
    <w:basedOn w:val="DefaultParagraphFont"/>
    <w:link w:val="FootnoteText"/>
    <w:rsid w:val="006F29B5"/>
    <w:rPr>
      <w:rFonts w:ascii="Calibri" w:hAnsi="Calibri"/>
      <w:sz w:val="24"/>
      <w:lang w:val="en-GB" w:eastAsia="en-US"/>
    </w:rPr>
  </w:style>
  <w:style w:type="paragraph" w:customStyle="1" w:styleId="Equation">
    <w:name w:val="Equation"/>
    <w:basedOn w:val="Normal"/>
    <w:rsid w:val="006F29B5"/>
    <w:pPr>
      <w:tabs>
        <w:tab w:val="center" w:pos="4820"/>
        <w:tab w:val="right" w:pos="9639"/>
      </w:tabs>
    </w:pPr>
    <w:rPr>
      <w:lang w:val="fr-FR"/>
    </w:rPr>
  </w:style>
  <w:style w:type="paragraph" w:customStyle="1" w:styleId="Head">
    <w:name w:val="Head"/>
    <w:basedOn w:val="Normal"/>
    <w:rsid w:val="006F29B5"/>
    <w:pPr>
      <w:tabs>
        <w:tab w:val="left" w:pos="6663"/>
      </w:tabs>
      <w:overflowPunct/>
      <w:autoSpaceDE/>
      <w:autoSpaceDN/>
      <w:adjustRightInd/>
      <w:spacing w:before="0"/>
      <w:textAlignment w:val="auto"/>
    </w:pPr>
    <w:rPr>
      <w:lang w:val="fr-FR"/>
    </w:rPr>
  </w:style>
  <w:style w:type="character" w:customStyle="1" w:styleId="NormalaftertitleChar">
    <w:name w:val="Normal after title Char"/>
    <w:basedOn w:val="DefaultParagraphFont"/>
    <w:link w:val="Normalaftertitle"/>
    <w:rsid w:val="006F29B5"/>
    <w:rPr>
      <w:rFonts w:ascii="Calibri" w:hAnsi="Calibri"/>
      <w:sz w:val="24"/>
      <w:lang w:val="en-GB" w:eastAsia="en-US"/>
    </w:rPr>
  </w:style>
  <w:style w:type="character" w:customStyle="1" w:styleId="CallChar">
    <w:name w:val="Call Char"/>
    <w:basedOn w:val="DefaultParagraphFont"/>
    <w:link w:val="Call"/>
    <w:rsid w:val="006F29B5"/>
    <w:rPr>
      <w:rFonts w:ascii="Calibri" w:hAnsi="Calibri"/>
      <w:i/>
      <w:sz w:val="24"/>
      <w:lang w:val="en-GB" w:eastAsia="en-US"/>
    </w:rPr>
  </w:style>
  <w:style w:type="paragraph" w:styleId="List">
    <w:name w:val="List"/>
    <w:basedOn w:val="Normal"/>
    <w:rsid w:val="006F29B5"/>
    <w:pPr>
      <w:tabs>
        <w:tab w:val="left" w:pos="2127"/>
      </w:tabs>
      <w:ind w:left="2127" w:hanging="2127"/>
    </w:pPr>
    <w:rPr>
      <w:lang w:val="fr-FR"/>
    </w:rPr>
  </w:style>
  <w:style w:type="paragraph" w:customStyle="1" w:styleId="docnoted">
    <w:name w:val="docnoted"/>
    <w:basedOn w:val="Normal"/>
    <w:rsid w:val="006F29B5"/>
    <w:pPr>
      <w:pBdr>
        <w:top w:val="single" w:sz="6" w:space="0" w:color="auto"/>
        <w:left w:val="single" w:sz="6" w:space="0" w:color="auto"/>
        <w:bottom w:val="single" w:sz="6" w:space="0" w:color="auto"/>
        <w:right w:val="single" w:sz="6" w:space="0" w:color="auto"/>
      </w:pBdr>
      <w:shd w:val="pct10" w:color="auto" w:fill="auto"/>
    </w:pPr>
    <w:rPr>
      <w:sz w:val="20"/>
      <w:lang w:val="fr-FR"/>
    </w:rPr>
  </w:style>
  <w:style w:type="paragraph" w:customStyle="1" w:styleId="meeting">
    <w:name w:val="meeting"/>
    <w:basedOn w:val="Head"/>
    <w:next w:val="Head"/>
    <w:rsid w:val="006F29B5"/>
    <w:pPr>
      <w:tabs>
        <w:tab w:val="left" w:pos="7371"/>
      </w:tabs>
      <w:spacing w:after="567"/>
    </w:pPr>
  </w:style>
  <w:style w:type="paragraph" w:customStyle="1" w:styleId="Subject">
    <w:name w:val="Subject"/>
    <w:basedOn w:val="Normal"/>
    <w:next w:val="Source"/>
    <w:rsid w:val="006F29B5"/>
    <w:pPr>
      <w:tabs>
        <w:tab w:val="left" w:pos="709"/>
      </w:tabs>
      <w:spacing w:before="0"/>
      <w:ind w:left="709" w:hanging="709"/>
    </w:pPr>
    <w:rPr>
      <w:lang w:val="fr-FR"/>
    </w:rPr>
  </w:style>
  <w:style w:type="paragraph" w:customStyle="1" w:styleId="Object">
    <w:name w:val="Object"/>
    <w:basedOn w:val="Subject"/>
    <w:next w:val="Subject"/>
    <w:rsid w:val="006F29B5"/>
  </w:style>
  <w:style w:type="paragraph" w:customStyle="1" w:styleId="Data">
    <w:name w:val="Data"/>
    <w:basedOn w:val="Subject"/>
    <w:next w:val="Subject"/>
    <w:rsid w:val="006F29B5"/>
  </w:style>
  <w:style w:type="paragraph" w:customStyle="1" w:styleId="dnum">
    <w:name w:val="dnum"/>
    <w:basedOn w:val="Normal"/>
    <w:rsid w:val="006F29B5"/>
    <w:pPr>
      <w:framePr w:hSpace="181" w:wrap="notBeside" w:vAnchor="page" w:hAnchor="margin" w:x="1" w:y="852"/>
      <w:shd w:val="solid" w:color="FFFFFF" w:fill="FFFFFF"/>
      <w:tabs>
        <w:tab w:val="left" w:pos="1871"/>
      </w:tabs>
    </w:pPr>
    <w:rPr>
      <w:b/>
      <w:bCs/>
      <w:lang w:val="fr-FR"/>
    </w:rPr>
  </w:style>
  <w:style w:type="paragraph" w:styleId="TOC9">
    <w:name w:val="toc 9"/>
    <w:basedOn w:val="Normal"/>
    <w:next w:val="Normal"/>
    <w:rsid w:val="006F29B5"/>
    <w:pPr>
      <w:tabs>
        <w:tab w:val="clear" w:pos="567"/>
        <w:tab w:val="clear" w:pos="1134"/>
        <w:tab w:val="clear" w:pos="1701"/>
        <w:tab w:val="clear" w:pos="2268"/>
        <w:tab w:val="clear" w:pos="2835"/>
        <w:tab w:val="right" w:leader="dot" w:pos="9645"/>
      </w:tabs>
      <w:ind w:left="1920"/>
    </w:pPr>
    <w:rPr>
      <w:lang w:val="fr-FR"/>
    </w:rPr>
  </w:style>
  <w:style w:type="paragraph" w:customStyle="1" w:styleId="ddate">
    <w:name w:val="ddate"/>
    <w:basedOn w:val="Normal"/>
    <w:rsid w:val="006F29B5"/>
    <w:pPr>
      <w:framePr w:hSpace="181" w:wrap="notBeside" w:vAnchor="page" w:hAnchor="margin" w:x="1" w:y="852"/>
      <w:shd w:val="solid" w:color="FFFFFF" w:fill="FFFFFF"/>
      <w:tabs>
        <w:tab w:val="left" w:pos="1871"/>
      </w:tabs>
      <w:spacing w:before="0"/>
    </w:pPr>
    <w:rPr>
      <w:b/>
      <w:bCs/>
      <w:lang w:val="fr-FR"/>
    </w:rPr>
  </w:style>
  <w:style w:type="paragraph" w:customStyle="1" w:styleId="dorlang">
    <w:name w:val="dorlang"/>
    <w:basedOn w:val="Normal"/>
    <w:rsid w:val="006F29B5"/>
    <w:pPr>
      <w:framePr w:hSpace="181" w:wrap="notBeside" w:vAnchor="page" w:hAnchor="margin" w:x="1" w:y="852"/>
      <w:shd w:val="solid" w:color="FFFFFF" w:fill="FFFFFF"/>
      <w:tabs>
        <w:tab w:val="left" w:pos="1871"/>
      </w:tabs>
      <w:spacing w:before="0"/>
    </w:pPr>
    <w:rPr>
      <w:b/>
      <w:bCs/>
      <w:lang w:val="fr-FR"/>
    </w:rPr>
  </w:style>
  <w:style w:type="character" w:styleId="EndnoteReference">
    <w:name w:val="endnote reference"/>
    <w:basedOn w:val="DefaultParagraphFont"/>
    <w:rsid w:val="006F29B5"/>
    <w:rPr>
      <w:vertAlign w:val="superscript"/>
    </w:rPr>
  </w:style>
  <w:style w:type="paragraph" w:customStyle="1" w:styleId="Equationlegend">
    <w:name w:val="Equation_legend"/>
    <w:basedOn w:val="NormalIndent"/>
    <w:rsid w:val="006F29B5"/>
    <w:pPr>
      <w:tabs>
        <w:tab w:val="right" w:pos="1531"/>
      </w:tabs>
      <w:spacing w:before="80"/>
      <w:ind w:left="1701" w:hanging="1701"/>
    </w:pPr>
    <w:rPr>
      <w:lang w:val="fr-FR"/>
    </w:rPr>
  </w:style>
  <w:style w:type="paragraph" w:customStyle="1" w:styleId="Figure">
    <w:name w:val="Figure"/>
    <w:basedOn w:val="Normal"/>
    <w:next w:val="Figuretitle"/>
    <w:rsid w:val="006F29B5"/>
    <w:pPr>
      <w:keepNext/>
      <w:keepLines/>
      <w:spacing w:after="120"/>
      <w:jc w:val="center"/>
    </w:pPr>
    <w:rPr>
      <w:lang w:val="fr-FR"/>
    </w:rPr>
  </w:style>
  <w:style w:type="paragraph" w:customStyle="1" w:styleId="Figuretitle">
    <w:name w:val="Figure_title"/>
    <w:basedOn w:val="Tabletitle"/>
    <w:next w:val="Normalaftertitle"/>
    <w:rsid w:val="006F29B5"/>
    <w:pPr>
      <w:spacing w:before="240" w:after="480"/>
    </w:pPr>
    <w:rPr>
      <w:lang w:val="fr-FR"/>
    </w:rPr>
  </w:style>
  <w:style w:type="paragraph" w:customStyle="1" w:styleId="Figurelegend">
    <w:name w:val="Figure_legend"/>
    <w:basedOn w:val="Normal"/>
    <w:rsid w:val="006F29B5"/>
    <w:pPr>
      <w:keepNext/>
      <w:keepLines/>
      <w:spacing w:before="20" w:after="20"/>
    </w:pPr>
    <w:rPr>
      <w:sz w:val="18"/>
      <w:lang w:val="fr-FR"/>
    </w:rPr>
  </w:style>
  <w:style w:type="paragraph" w:customStyle="1" w:styleId="Figurewithouttitle">
    <w:name w:val="Figure_without_title"/>
    <w:basedOn w:val="Figure"/>
    <w:next w:val="Normalaftertitle"/>
    <w:rsid w:val="006F29B5"/>
    <w:pPr>
      <w:keepNext w:val="0"/>
      <w:spacing w:after="240"/>
    </w:pPr>
  </w:style>
  <w:style w:type="paragraph" w:customStyle="1" w:styleId="PartNo">
    <w:name w:val="Part_No"/>
    <w:basedOn w:val="AnnexNo"/>
    <w:next w:val="Parttitle"/>
    <w:rsid w:val="006F29B5"/>
    <w:rPr>
      <w:lang w:val="fr-FR"/>
    </w:rPr>
  </w:style>
  <w:style w:type="paragraph" w:customStyle="1" w:styleId="Parttitle">
    <w:name w:val="Part_title"/>
    <w:basedOn w:val="Annextitle"/>
    <w:next w:val="Partref"/>
    <w:rsid w:val="006F29B5"/>
    <w:rPr>
      <w:lang w:val="fr-FR"/>
    </w:rPr>
  </w:style>
  <w:style w:type="paragraph" w:customStyle="1" w:styleId="Partref">
    <w:name w:val="Part_ref"/>
    <w:basedOn w:val="Annexref"/>
    <w:next w:val="Normalaftertitle"/>
    <w:rsid w:val="006F29B5"/>
    <w:rPr>
      <w:sz w:val="28"/>
      <w:lang w:val="fr-FR"/>
    </w:rPr>
  </w:style>
  <w:style w:type="paragraph" w:customStyle="1" w:styleId="Recref">
    <w:name w:val="Rec_ref"/>
    <w:basedOn w:val="Rectitle"/>
    <w:next w:val="Recdate"/>
    <w:rsid w:val="006F29B5"/>
    <w:pPr>
      <w:spacing w:before="120"/>
    </w:pPr>
    <w:rPr>
      <w:rFonts w:ascii="Times New Roman" w:hAnsi="Times New Roman"/>
      <w:b w:val="0"/>
      <w:sz w:val="24"/>
      <w:lang w:val="fr-FR"/>
    </w:rPr>
  </w:style>
  <w:style w:type="paragraph" w:customStyle="1" w:styleId="Recdate">
    <w:name w:val="Rec_date"/>
    <w:basedOn w:val="Recref"/>
    <w:next w:val="Normalaftertitle"/>
    <w:rsid w:val="006F29B5"/>
    <w:pPr>
      <w:jc w:val="right"/>
    </w:pPr>
    <w:rPr>
      <w:sz w:val="22"/>
    </w:rPr>
  </w:style>
  <w:style w:type="paragraph" w:customStyle="1" w:styleId="Questiondate">
    <w:name w:val="Question_date"/>
    <w:basedOn w:val="Recdate"/>
    <w:next w:val="Normalaftertitle"/>
    <w:rsid w:val="006F29B5"/>
  </w:style>
  <w:style w:type="paragraph" w:customStyle="1" w:styleId="QuestionNo">
    <w:name w:val="Question_No"/>
    <w:basedOn w:val="RecNo"/>
    <w:next w:val="Questiontitle"/>
    <w:rsid w:val="006F29B5"/>
    <w:rPr>
      <w:lang w:val="fr-FR"/>
    </w:rPr>
  </w:style>
  <w:style w:type="paragraph" w:customStyle="1" w:styleId="Questiontitle">
    <w:name w:val="Question_title"/>
    <w:basedOn w:val="Rectitle"/>
    <w:next w:val="Questionref"/>
    <w:rsid w:val="006F29B5"/>
    <w:rPr>
      <w:lang w:val="fr-FR"/>
    </w:rPr>
  </w:style>
  <w:style w:type="paragraph" w:customStyle="1" w:styleId="Questionref">
    <w:name w:val="Question_ref"/>
    <w:basedOn w:val="Recref"/>
    <w:next w:val="Questiondate"/>
    <w:rsid w:val="006F29B5"/>
  </w:style>
  <w:style w:type="paragraph" w:customStyle="1" w:styleId="Repdate">
    <w:name w:val="Rep_date"/>
    <w:basedOn w:val="Recdate"/>
    <w:next w:val="Normalaftertitle"/>
    <w:rsid w:val="006F29B5"/>
  </w:style>
  <w:style w:type="paragraph" w:customStyle="1" w:styleId="RepNo">
    <w:name w:val="Rep_No"/>
    <w:basedOn w:val="RecNo"/>
    <w:next w:val="Reptitle"/>
    <w:rsid w:val="006F29B5"/>
    <w:rPr>
      <w:lang w:val="fr-FR"/>
    </w:rPr>
  </w:style>
  <w:style w:type="paragraph" w:customStyle="1" w:styleId="Reptitle">
    <w:name w:val="Rep_title"/>
    <w:basedOn w:val="Rectitle"/>
    <w:next w:val="Repref"/>
    <w:rsid w:val="006F29B5"/>
    <w:rPr>
      <w:lang w:val="fr-FR"/>
    </w:rPr>
  </w:style>
  <w:style w:type="paragraph" w:customStyle="1" w:styleId="Repref">
    <w:name w:val="Rep_ref"/>
    <w:basedOn w:val="Recref"/>
    <w:next w:val="Repdate"/>
    <w:rsid w:val="006F29B5"/>
  </w:style>
  <w:style w:type="paragraph" w:customStyle="1" w:styleId="Resdate">
    <w:name w:val="Res_date"/>
    <w:basedOn w:val="Recdate"/>
    <w:next w:val="Normalaftertitle"/>
    <w:rsid w:val="006F29B5"/>
  </w:style>
  <w:style w:type="paragraph" w:customStyle="1" w:styleId="Resref">
    <w:name w:val="Res_ref"/>
    <w:basedOn w:val="Recref"/>
    <w:next w:val="Resdate"/>
    <w:rsid w:val="006F29B5"/>
  </w:style>
  <w:style w:type="paragraph" w:customStyle="1" w:styleId="Tableref">
    <w:name w:val="Table_ref"/>
    <w:basedOn w:val="Normal"/>
    <w:next w:val="Tabletitle"/>
    <w:rsid w:val="006F29B5"/>
    <w:pPr>
      <w:keepNext/>
      <w:spacing w:before="567"/>
      <w:jc w:val="center"/>
    </w:pPr>
    <w:rPr>
      <w:lang w:val="fr-FR"/>
    </w:rPr>
  </w:style>
  <w:style w:type="paragraph" w:customStyle="1" w:styleId="Title4">
    <w:name w:val="Title 4"/>
    <w:basedOn w:val="Title3"/>
    <w:next w:val="Heading1"/>
    <w:rsid w:val="006F29B5"/>
    <w:pPr>
      <w:snapToGrid w:val="0"/>
    </w:pPr>
    <w:rPr>
      <w:b/>
      <w:lang w:val="fr-FR"/>
    </w:rPr>
  </w:style>
  <w:style w:type="paragraph" w:customStyle="1" w:styleId="FigureNo">
    <w:name w:val="Figure_No"/>
    <w:basedOn w:val="Normal"/>
    <w:next w:val="Figuretitle"/>
    <w:rsid w:val="006F29B5"/>
    <w:pPr>
      <w:keepNext/>
      <w:keepLines/>
      <w:spacing w:before="240" w:after="120"/>
      <w:jc w:val="center"/>
    </w:pPr>
    <w:rPr>
      <w:caps/>
      <w:lang w:val="fr-FR"/>
    </w:rPr>
  </w:style>
  <w:style w:type="paragraph" w:customStyle="1" w:styleId="Table">
    <w:name w:val="Table_#"/>
    <w:basedOn w:val="Normal"/>
    <w:next w:val="Normal"/>
    <w:rsid w:val="006F29B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odyTextIndent3">
    <w:name w:val="Body Text Indent 3"/>
    <w:basedOn w:val="Normal"/>
    <w:link w:val="BodyTextIndent3Char"/>
    <w:rsid w:val="006F29B5"/>
    <w:pPr>
      <w:tabs>
        <w:tab w:val="clear" w:pos="1701"/>
        <w:tab w:val="clear" w:pos="2268"/>
        <w:tab w:val="clear" w:pos="2835"/>
        <w:tab w:val="left" w:pos="851"/>
        <w:tab w:val="left" w:pos="1418"/>
      </w:tabs>
      <w:spacing w:line="240" w:lineRule="atLeast"/>
      <w:ind w:left="34"/>
    </w:pPr>
    <w:rPr>
      <w:rFonts w:ascii="Times New Roman" w:eastAsia="Batang" w:hAnsi="Times New Roman"/>
      <w:lang w:val="fr-FR"/>
    </w:rPr>
  </w:style>
  <w:style w:type="character" w:customStyle="1" w:styleId="BodyTextIndent3Char">
    <w:name w:val="Body Text Indent 3 Char"/>
    <w:basedOn w:val="DefaultParagraphFont"/>
    <w:link w:val="BodyTextIndent3"/>
    <w:rsid w:val="006F29B5"/>
    <w:rPr>
      <w:rFonts w:ascii="Times New Roman" w:eastAsia="Batang" w:hAnsi="Times New Roman"/>
      <w:sz w:val="24"/>
      <w:lang w:val="fr-FR" w:eastAsia="en-US"/>
    </w:rPr>
  </w:style>
  <w:style w:type="paragraph" w:customStyle="1" w:styleId="nlist">
    <w:name w:val="nlist"/>
    <w:basedOn w:val="Normal"/>
    <w:uiPriority w:val="99"/>
    <w:rsid w:val="006F29B5"/>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table" w:styleId="TableGrid">
    <w:name w:val="Table Grid"/>
    <w:basedOn w:val="TableNormal"/>
    <w:rsid w:val="006F29B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6F29B5"/>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6F29B5"/>
    <w:rPr>
      <w:rFonts w:ascii="Times New Roman" w:eastAsiaTheme="minorEastAsia" w:hAnsi="Times New Roman"/>
      <w:sz w:val="24"/>
      <w:szCs w:val="24"/>
    </w:rPr>
  </w:style>
  <w:style w:type="paragraph" w:styleId="BodyText3">
    <w:name w:val="Body Text 3"/>
    <w:basedOn w:val="Normal"/>
    <w:link w:val="BodyText3Char"/>
    <w:uiPriority w:val="99"/>
    <w:unhideWhenUsed/>
    <w:rsid w:val="006F29B5"/>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6F29B5"/>
    <w:rPr>
      <w:rFonts w:ascii="Times New Roman" w:eastAsiaTheme="minorEastAsia" w:hAnsi="Times New Roman"/>
      <w:sz w:val="16"/>
      <w:szCs w:val="16"/>
    </w:rPr>
  </w:style>
  <w:style w:type="character" w:styleId="Strong">
    <w:name w:val="Strong"/>
    <w:basedOn w:val="DefaultParagraphFont"/>
    <w:uiPriority w:val="22"/>
    <w:qFormat/>
    <w:rsid w:val="006F29B5"/>
    <w:rPr>
      <w:b/>
      <w:bCs/>
    </w:rPr>
  </w:style>
  <w:style w:type="paragraph" w:styleId="Revision">
    <w:name w:val="Revision"/>
    <w:hidden/>
    <w:uiPriority w:val="99"/>
    <w:semiHidden/>
    <w:rsid w:val="006F29B5"/>
    <w:rPr>
      <w:rFonts w:ascii="Times New Roman" w:eastAsiaTheme="minorEastAsia" w:hAnsi="Times New Roman"/>
      <w:sz w:val="24"/>
      <w:szCs w:val="24"/>
    </w:rPr>
  </w:style>
  <w:style w:type="paragraph" w:styleId="Caption">
    <w:name w:val="caption"/>
    <w:basedOn w:val="Normal"/>
    <w:next w:val="Normal"/>
    <w:uiPriority w:val="35"/>
    <w:unhideWhenUsed/>
    <w:qFormat/>
    <w:rsid w:val="006F29B5"/>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6F29B5"/>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fr-FR" w:eastAsia="en-US"/>
    </w:rPr>
  </w:style>
  <w:style w:type="character" w:customStyle="1" w:styleId="Heading4Char">
    <w:name w:val="Heading 4 Char"/>
    <w:basedOn w:val="DefaultParagraphFont"/>
    <w:link w:val="Heading4"/>
    <w:rsid w:val="006F29B5"/>
    <w:rPr>
      <w:rFonts w:ascii="Calibri" w:hAnsi="Calibri"/>
      <w:b/>
      <w:sz w:val="24"/>
      <w:lang w:val="en-GB" w:eastAsia="en-US"/>
    </w:rPr>
  </w:style>
  <w:style w:type="character" w:customStyle="1" w:styleId="Heading5Char">
    <w:name w:val="Heading 5 Char"/>
    <w:basedOn w:val="DefaultParagraphFont"/>
    <w:link w:val="Heading5"/>
    <w:rsid w:val="006F29B5"/>
    <w:rPr>
      <w:rFonts w:ascii="Calibri" w:hAnsi="Calibri"/>
      <w:b/>
      <w:sz w:val="24"/>
      <w:lang w:val="en-GB" w:eastAsia="en-US"/>
    </w:rPr>
  </w:style>
  <w:style w:type="character" w:customStyle="1" w:styleId="Heading6Char">
    <w:name w:val="Heading 6 Char"/>
    <w:basedOn w:val="DefaultParagraphFont"/>
    <w:link w:val="Heading6"/>
    <w:rsid w:val="006F29B5"/>
    <w:rPr>
      <w:rFonts w:ascii="Calibri" w:hAnsi="Calibri"/>
      <w:b/>
      <w:sz w:val="24"/>
      <w:lang w:val="en-GB" w:eastAsia="en-US"/>
    </w:rPr>
  </w:style>
  <w:style w:type="character" w:customStyle="1" w:styleId="Heading7Char">
    <w:name w:val="Heading 7 Char"/>
    <w:basedOn w:val="DefaultParagraphFont"/>
    <w:link w:val="Heading7"/>
    <w:rsid w:val="006F29B5"/>
    <w:rPr>
      <w:rFonts w:ascii="Calibri" w:hAnsi="Calibri"/>
      <w:b/>
      <w:sz w:val="24"/>
      <w:lang w:val="en-GB" w:eastAsia="en-US"/>
    </w:rPr>
  </w:style>
  <w:style w:type="character" w:customStyle="1" w:styleId="Heading8Char">
    <w:name w:val="Heading 8 Char"/>
    <w:basedOn w:val="DefaultParagraphFont"/>
    <w:link w:val="Heading8"/>
    <w:rsid w:val="006F29B5"/>
    <w:rPr>
      <w:rFonts w:ascii="Calibri" w:hAnsi="Calibri"/>
      <w:b/>
      <w:sz w:val="24"/>
      <w:lang w:val="en-GB" w:eastAsia="en-US"/>
    </w:rPr>
  </w:style>
  <w:style w:type="character" w:customStyle="1" w:styleId="Heading9Char">
    <w:name w:val="Heading 9 Char"/>
    <w:basedOn w:val="DefaultParagraphFont"/>
    <w:link w:val="Heading9"/>
    <w:rsid w:val="006F29B5"/>
    <w:rPr>
      <w:rFonts w:ascii="Calibri" w:hAnsi="Calibri"/>
      <w:b/>
      <w:sz w:val="24"/>
      <w:lang w:val="en-GB" w:eastAsia="en-US"/>
    </w:rPr>
  </w:style>
  <w:style w:type="paragraph" w:styleId="BodyTextIndent">
    <w:name w:val="Body Text Indent"/>
    <w:basedOn w:val="Normal"/>
    <w:link w:val="BodyTextIndentChar"/>
    <w:rsid w:val="006F29B5"/>
    <w:pPr>
      <w:spacing w:after="120"/>
      <w:ind w:left="283"/>
    </w:pPr>
    <w:rPr>
      <w:rFonts w:eastAsia="Batang"/>
      <w:lang w:val="fr-FR"/>
    </w:rPr>
  </w:style>
  <w:style w:type="character" w:customStyle="1" w:styleId="BodyTextIndentChar">
    <w:name w:val="Body Text Indent Char"/>
    <w:basedOn w:val="DefaultParagraphFont"/>
    <w:link w:val="BodyTextIndent"/>
    <w:rsid w:val="006F29B5"/>
    <w:rPr>
      <w:rFonts w:ascii="Calibri" w:eastAsia="Batang" w:hAnsi="Calibri"/>
      <w:sz w:val="24"/>
      <w:lang w:val="fr-FR" w:eastAsia="en-US"/>
    </w:rPr>
  </w:style>
  <w:style w:type="paragraph" w:styleId="BodyText">
    <w:name w:val="Body Text"/>
    <w:basedOn w:val="Normal"/>
    <w:link w:val="BodyTextChar"/>
    <w:uiPriority w:val="99"/>
    <w:unhideWhenUsed/>
    <w:rsid w:val="006F29B5"/>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6F29B5"/>
    <w:rPr>
      <w:rFonts w:ascii="Times New Roman" w:eastAsiaTheme="minorEastAsia" w:hAnsi="Times New Roman"/>
      <w:sz w:val="24"/>
      <w:szCs w:val="24"/>
    </w:rPr>
  </w:style>
  <w:style w:type="paragraph" w:customStyle="1" w:styleId="Style7">
    <w:name w:val="Style7"/>
    <w:basedOn w:val="Normal"/>
    <w:uiPriority w:val="99"/>
    <w:rsid w:val="006F29B5"/>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itle0">
    <w:name w:val="Table_Title"/>
    <w:basedOn w:val="Normal"/>
    <w:next w:val="TableText0"/>
    <w:uiPriority w:val="99"/>
    <w:rsid w:val="006F29B5"/>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lang w:val="fr-FR"/>
    </w:rPr>
  </w:style>
  <w:style w:type="paragraph" w:customStyle="1" w:styleId="P2">
    <w:name w:val="P2"/>
    <w:basedOn w:val="Normal"/>
    <w:uiPriority w:val="99"/>
    <w:rsid w:val="006F29B5"/>
    <w:pPr>
      <w:tabs>
        <w:tab w:val="clear" w:pos="567"/>
        <w:tab w:val="clear" w:pos="1134"/>
        <w:tab w:val="clear" w:pos="1701"/>
        <w:tab w:val="clear" w:pos="2268"/>
        <w:tab w:val="clear" w:pos="2835"/>
      </w:tabs>
      <w:spacing w:before="240"/>
      <w:ind w:left="1247"/>
      <w:jc w:val="both"/>
    </w:pPr>
    <w:rPr>
      <w:rFonts w:ascii="Arial" w:hAnsi="Arial"/>
      <w:sz w:val="22"/>
      <w:lang w:val="fr-FR" w:eastAsia="fr-FR"/>
    </w:rPr>
  </w:style>
  <w:style w:type="paragraph" w:customStyle="1" w:styleId="font5">
    <w:name w:val="font5"/>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3">
    <w:name w:val="xl63"/>
    <w:basedOn w:val="Normal"/>
    <w:uiPriority w:val="99"/>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4">
    <w:name w:val="xl64"/>
    <w:basedOn w:val="Normal"/>
    <w:uiPriority w:val="99"/>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5">
    <w:name w:val="xl65"/>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sz w:val="22"/>
      <w:szCs w:val="22"/>
      <w:lang w:val="en-US" w:eastAsia="zh-CN"/>
    </w:rPr>
  </w:style>
  <w:style w:type="paragraph" w:customStyle="1" w:styleId="xl66">
    <w:name w:val="xl66"/>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sz w:val="22"/>
      <w:szCs w:val="22"/>
      <w:lang w:val="en-US" w:eastAsia="zh-CN"/>
    </w:rPr>
  </w:style>
  <w:style w:type="paragraph" w:customStyle="1" w:styleId="xl67">
    <w:name w:val="xl67"/>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sz w:val="22"/>
      <w:szCs w:val="22"/>
      <w:lang w:val="en-US" w:eastAsia="zh-CN"/>
    </w:rPr>
  </w:style>
  <w:style w:type="paragraph" w:customStyle="1" w:styleId="xl68">
    <w:name w:val="xl68"/>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69">
    <w:name w:val="xl69"/>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0">
    <w:name w:val="xl70"/>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sz w:val="22"/>
      <w:szCs w:val="22"/>
      <w:lang w:val="en-US" w:eastAsia="zh-CN"/>
    </w:rPr>
  </w:style>
  <w:style w:type="paragraph" w:customStyle="1" w:styleId="xl71">
    <w:name w:val="xl71"/>
    <w:basedOn w:val="Normal"/>
    <w:rsid w:val="006F29B5"/>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2">
    <w:name w:val="xl72"/>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sz w:val="22"/>
      <w:szCs w:val="22"/>
      <w:lang w:val="en-US" w:eastAsia="zh-CN"/>
    </w:rPr>
  </w:style>
  <w:style w:type="paragraph" w:customStyle="1" w:styleId="xl73">
    <w:name w:val="xl73"/>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sz w:val="22"/>
      <w:szCs w:val="22"/>
      <w:lang w:val="en-US" w:eastAsia="zh-CN"/>
    </w:rPr>
  </w:style>
  <w:style w:type="paragraph" w:customStyle="1" w:styleId="xl74">
    <w:name w:val="xl74"/>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5">
    <w:name w:val="xl75"/>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sz w:val="22"/>
      <w:szCs w:val="22"/>
      <w:lang w:val="en-US" w:eastAsia="zh-CN"/>
    </w:rPr>
  </w:style>
  <w:style w:type="paragraph" w:customStyle="1" w:styleId="xl76">
    <w:name w:val="xl76"/>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color w:val="000000"/>
      <w:sz w:val="22"/>
      <w:szCs w:val="22"/>
      <w:lang w:val="en-US" w:eastAsia="zh-CN"/>
    </w:rPr>
  </w:style>
  <w:style w:type="paragraph" w:customStyle="1" w:styleId="xl77">
    <w:name w:val="xl77"/>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b/>
      <w:bCs/>
      <w:color w:val="000000"/>
      <w:sz w:val="22"/>
      <w:szCs w:val="22"/>
      <w:lang w:val="en-US" w:eastAsia="zh-CN"/>
    </w:rPr>
  </w:style>
  <w:style w:type="paragraph" w:customStyle="1" w:styleId="xl78">
    <w:name w:val="xl78"/>
    <w:basedOn w:val="Normal"/>
    <w:rsid w:val="006F29B5"/>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 w:val="22"/>
      <w:szCs w:val="22"/>
      <w:lang w:val="en-US" w:eastAsia="zh-CN"/>
    </w:rPr>
  </w:style>
  <w:style w:type="paragraph" w:customStyle="1" w:styleId="xl79">
    <w:name w:val="xl79"/>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color w:val="000000"/>
      <w:sz w:val="22"/>
      <w:szCs w:val="22"/>
      <w:lang w:val="en-US" w:eastAsia="zh-CN"/>
    </w:rPr>
  </w:style>
  <w:style w:type="table" w:customStyle="1" w:styleId="DarkList1">
    <w:name w:val="Dark List1"/>
    <w:basedOn w:val="TableNormal"/>
    <w:uiPriority w:val="70"/>
    <w:rsid w:val="006F29B5"/>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6F29B5"/>
    <w:pPr>
      <w:numPr>
        <w:numId w:val="1"/>
      </w:numPr>
    </w:pPr>
  </w:style>
  <w:style w:type="numbering" w:customStyle="1" w:styleId="Style2">
    <w:name w:val="Style2"/>
    <w:uiPriority w:val="99"/>
    <w:rsid w:val="006F29B5"/>
    <w:pPr>
      <w:numPr>
        <w:numId w:val="2"/>
      </w:numPr>
    </w:pPr>
  </w:style>
  <w:style w:type="numbering" w:customStyle="1" w:styleId="Style3">
    <w:name w:val="Style3"/>
    <w:uiPriority w:val="99"/>
    <w:rsid w:val="006F29B5"/>
    <w:pPr>
      <w:numPr>
        <w:numId w:val="3"/>
      </w:numPr>
    </w:pPr>
  </w:style>
  <w:style w:type="paragraph" w:customStyle="1" w:styleId="plist">
    <w:name w:val="plist"/>
    <w:basedOn w:val="Normal"/>
    <w:uiPriority w:val="99"/>
    <w:rsid w:val="006F29B5"/>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hAnsi="Verdana"/>
      <w:sz w:val="18"/>
      <w:szCs w:val="18"/>
      <w:lang w:val="en-US" w:eastAsia="zh-CN"/>
    </w:rPr>
  </w:style>
  <w:style w:type="character" w:customStyle="1" w:styleId="lang-en">
    <w:name w:val="lang-en"/>
    <w:basedOn w:val="DefaultParagraphFont"/>
    <w:rsid w:val="006F29B5"/>
  </w:style>
  <w:style w:type="paragraph" w:customStyle="1" w:styleId="aatinBodyCalibri">
    <w:name w:val="aatin) +Body (Calibri)"/>
    <w:aliases w:val="14 pt,Centered"/>
    <w:basedOn w:val="Normal"/>
    <w:rsid w:val="006F29B5"/>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6F29B5"/>
  </w:style>
  <w:style w:type="numbering" w:customStyle="1" w:styleId="NoList1">
    <w:name w:val="No List1"/>
    <w:next w:val="NoList"/>
    <w:uiPriority w:val="99"/>
    <w:semiHidden/>
    <w:unhideWhenUsed/>
    <w:rsid w:val="006F29B5"/>
  </w:style>
  <w:style w:type="numbering" w:customStyle="1" w:styleId="NoList2">
    <w:name w:val="No List2"/>
    <w:next w:val="NoList"/>
    <w:uiPriority w:val="99"/>
    <w:semiHidden/>
    <w:unhideWhenUsed/>
    <w:rsid w:val="006F29B5"/>
  </w:style>
  <w:style w:type="paragraph" w:customStyle="1" w:styleId="xl80">
    <w:name w:val="xl80"/>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6F29B5"/>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6F2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6F2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6F29B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6F29B5"/>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6F29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6F29B5"/>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val="fr-FR" w:eastAsia="zh-CN"/>
    </w:rPr>
  </w:style>
  <w:style w:type="character" w:customStyle="1" w:styleId="TitleChar">
    <w:name w:val="Title Char"/>
    <w:basedOn w:val="DefaultParagraphFont"/>
    <w:link w:val="Title"/>
    <w:rsid w:val="006F29B5"/>
    <w:rPr>
      <w:rFonts w:ascii="Arial" w:eastAsia="SimSun" w:hAnsi="Arial"/>
      <w:b/>
      <w:bCs/>
      <w:sz w:val="22"/>
      <w:szCs w:val="24"/>
      <w:lang w:val="fr-FR"/>
    </w:rPr>
  </w:style>
  <w:style w:type="paragraph" w:styleId="BlockText">
    <w:name w:val="Block Text"/>
    <w:basedOn w:val="Normal"/>
    <w:rsid w:val="006F29B5"/>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6F29B5"/>
    <w:rPr>
      <w:i/>
      <w:iCs/>
    </w:rPr>
  </w:style>
  <w:style w:type="character" w:customStyle="1" w:styleId="HeaderChar1">
    <w:name w:val="Header Char1"/>
    <w:aliases w:val="encabezado Char"/>
    <w:basedOn w:val="DefaultParagraphFont"/>
    <w:semiHidden/>
    <w:locked/>
    <w:rsid w:val="006F29B5"/>
    <w:rPr>
      <w:rFonts w:ascii="Times New Roman" w:hAnsi="Times New Roman"/>
      <w:sz w:val="18"/>
      <w:lang w:val="fr-FR" w:eastAsia="en-US"/>
    </w:rPr>
  </w:style>
  <w:style w:type="paragraph" w:customStyle="1" w:styleId="listitem">
    <w:name w:val="listitem"/>
    <w:basedOn w:val="Normal"/>
    <w:rsid w:val="006F29B5"/>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character" w:customStyle="1" w:styleId="ProposalChar">
    <w:name w:val="Proposal Char"/>
    <w:basedOn w:val="DefaultParagraphFont"/>
    <w:link w:val="Proposal"/>
    <w:locked/>
    <w:rsid w:val="006F29B5"/>
    <w:rPr>
      <w:rFonts w:asciiTheme="minorHAnsi" w:hAnsi="Times New Roman Bold"/>
      <w:b/>
      <w:sz w:val="24"/>
      <w:lang w:val="en-GB" w:eastAsia="en-US"/>
    </w:rPr>
  </w:style>
  <w:style w:type="paragraph" w:customStyle="1" w:styleId="Default">
    <w:name w:val="Default"/>
    <w:rsid w:val="006F29B5"/>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6F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itu.int/md/S14-CL-C-0010/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S18-CL-C-0043/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C-0042/en" TargetMode="External"/><Relationship Id="rId20" Type="http://schemas.openxmlformats.org/officeDocument/2006/relationships/hyperlink" Target="https://www.itu.int/md/S16-CL-C-0124/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S16-CL-C-0042/en"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itu.int/md/S17-CL-C-0034/e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tu.int/md/S1-CL-C-0050/e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11426</Words>
  <Characters>78420</Characters>
  <Application>Microsoft Office Word</Application>
  <DocSecurity>0</DocSecurity>
  <Lines>653</Lines>
  <Paragraphs>179</Paragraphs>
  <ScaleCrop>false</ScaleCrop>
  <HeadingPairs>
    <vt:vector size="2" baseType="variant">
      <vt:variant>
        <vt:lpstr>Title</vt:lpstr>
      </vt:variant>
      <vt:variant>
        <vt:i4>1</vt:i4>
      </vt:variant>
    </vt:vector>
  </HeadingPairs>
  <TitlesOfParts>
    <vt:vector size="1" baseType="lpstr">
      <vt:lpstr>Proposals for the work of the conference</vt:lpstr>
    </vt:vector>
  </TitlesOfParts>
  <Manager/>
  <Company/>
  <LinksUpToDate>false</LinksUpToDate>
  <CharactersWithSpaces>89667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dc:title>
  <dc:subject>Plenipotentiary Conference (PP-18)</dc:subject>
  <dc:creator/>
  <cp:keywords>PP-18, Plenipotentiary</cp:keywords>
  <cp:lastModifiedBy/>
  <cp:revision>1</cp:revision>
  <dcterms:created xsi:type="dcterms:W3CDTF">2018-08-17T07:57:00Z</dcterms:created>
  <dcterms:modified xsi:type="dcterms:W3CDTF">2018-08-17T09:17:00Z</dcterms:modified>
  <cp:category>Conference document</cp:category>
</cp:coreProperties>
</file>