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r w:rsidRPr="005A4DAC">
              <w:rPr>
                <w:b/>
                <w:bCs/>
                <w:w w:val="110"/>
                <w:sz w:val="32"/>
                <w:szCs w:val="44"/>
                <w:lang w:val="en-GB" w:bidi="ar-SY"/>
              </w:rPr>
              <w:t>1</w:t>
            </w:r>
            <w:r w:rsidR="00401C69" w:rsidRPr="005A4DAC">
              <w:rPr>
                <w:b/>
                <w:bCs/>
                <w:w w:val="110"/>
                <w:sz w:val="32"/>
                <w:szCs w:val="44"/>
                <w:lang w:val="en-GB"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 w:rsidRPr="005A4DAC">
              <w:rPr>
                <w:b/>
                <w:bCs/>
                <w:sz w:val="26"/>
                <w:szCs w:val="36"/>
                <w:lang w:val="en-GB"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 w:rsidRPr="005A4DAC">
              <w:rPr>
                <w:b/>
                <w:bCs/>
                <w:sz w:val="26"/>
                <w:szCs w:val="36"/>
                <w:lang w:val="en-GB"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 w:rsidRPr="005A4DAC">
              <w:rPr>
                <w:b/>
                <w:bCs/>
                <w:sz w:val="26"/>
                <w:szCs w:val="36"/>
                <w:lang w:val="en-GB"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5A4DAC" w:rsidRDefault="001100B7" w:rsidP="009945AD">
            <w:pPr>
              <w:spacing w:before="0" w:line="300" w:lineRule="exact"/>
              <w:rPr>
                <w:b/>
                <w:bCs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94BFA" w:rsidRDefault="00FC6FBF" w:rsidP="00FA45F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94BFA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5A4DAC" w:rsidRDefault="001100B7" w:rsidP="00FA45F0">
            <w:pPr>
              <w:spacing w:before="20" w:after="20" w:line="300" w:lineRule="exact"/>
              <w:rPr>
                <w:b/>
                <w:bCs/>
                <w:rtl/>
              </w:rPr>
            </w:pPr>
            <w:r w:rsidRPr="005A4DAC">
              <w:rPr>
                <w:b/>
                <w:bCs/>
                <w:rtl/>
              </w:rPr>
              <w:t>الوثيقة</w:t>
            </w:r>
            <w:r w:rsidRPr="005A4DAC">
              <w:rPr>
                <w:rFonts w:hint="cs"/>
                <w:b/>
                <w:bCs/>
                <w:rtl/>
              </w:rPr>
              <w:t xml:space="preserve"> </w:t>
            </w:r>
            <w:r w:rsidR="00F94BFA" w:rsidRPr="005A4DAC">
              <w:rPr>
                <w:b/>
                <w:bCs/>
                <w:lang w:val="en-GB"/>
              </w:rPr>
              <w:t>55</w:t>
            </w:r>
            <w:r w:rsidRPr="005A4DAC">
              <w:rPr>
                <w:b/>
                <w:bCs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A45F0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5A4DAC" w:rsidRDefault="00F94BFA" w:rsidP="00FA45F0">
            <w:pPr>
              <w:spacing w:before="20" w:after="20" w:line="300" w:lineRule="exact"/>
              <w:rPr>
                <w:b/>
                <w:bCs/>
                <w:rtl/>
              </w:rPr>
            </w:pPr>
            <w:r w:rsidRPr="005A4DAC">
              <w:rPr>
                <w:b/>
                <w:bCs/>
                <w:lang w:val="en-GB"/>
              </w:rPr>
              <w:t>21</w:t>
            </w:r>
            <w:r w:rsidR="001100B7" w:rsidRPr="005A4DAC">
              <w:rPr>
                <w:rFonts w:hint="cs"/>
                <w:b/>
                <w:bCs/>
                <w:rtl/>
              </w:rPr>
              <w:t xml:space="preserve"> </w:t>
            </w:r>
            <w:r w:rsidRPr="005A4DAC">
              <w:rPr>
                <w:rFonts w:hint="cs"/>
                <w:b/>
                <w:bCs/>
                <w:rtl/>
              </w:rPr>
              <w:t>سبتمبر</w:t>
            </w:r>
            <w:r w:rsidR="001100B7" w:rsidRPr="005A4DAC">
              <w:rPr>
                <w:rFonts w:hint="cs"/>
                <w:b/>
                <w:bCs/>
                <w:rtl/>
              </w:rPr>
              <w:t xml:space="preserve"> </w:t>
            </w:r>
            <w:r w:rsidR="00401C69" w:rsidRPr="005A4DAC">
              <w:rPr>
                <w:b/>
                <w:bCs/>
                <w:lang w:val="en-GB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A45F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5A4DAC" w:rsidRDefault="001100B7" w:rsidP="00FA45F0">
            <w:pPr>
              <w:spacing w:before="20" w:after="20" w:line="300" w:lineRule="exact"/>
              <w:rPr>
                <w:b/>
                <w:bCs/>
              </w:rPr>
            </w:pPr>
            <w:r w:rsidRPr="005A4DAC">
              <w:rPr>
                <w:b/>
                <w:bCs/>
                <w:rtl/>
              </w:rPr>
              <w:t xml:space="preserve">الأصل: </w:t>
            </w:r>
            <w:r w:rsidRPr="005A4DAC">
              <w:rPr>
                <w:rFonts w:hint="cs"/>
                <w:b/>
                <w:bCs/>
                <w:rtl/>
              </w:rPr>
              <w:t>بالإنكليزية</w:t>
            </w:r>
          </w:p>
        </w:tc>
      </w:tr>
      <w:tr w:rsidR="00F94BFA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F94BFA" w:rsidRPr="007161E9" w:rsidRDefault="00F94BFA" w:rsidP="00F94BFA">
            <w:pPr>
              <w:pStyle w:val="Source"/>
              <w:rPr>
                <w:szCs w:val="28"/>
                <w:rtl/>
              </w:rPr>
            </w:pPr>
            <w:r>
              <w:rPr>
                <w:rFonts w:ascii="Traditional Arabic" w:eastAsia="SimSun" w:hAnsi="Traditional Arabic"/>
                <w:rtl/>
              </w:rPr>
              <w:t>إدارات الاتحاد الإفريقي للاتصالات</w:t>
            </w:r>
          </w:p>
        </w:tc>
      </w:tr>
      <w:tr w:rsidR="00F94BFA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F94BFA" w:rsidRPr="007161E9" w:rsidRDefault="00F94BFA" w:rsidP="00F94BFA">
            <w:pPr>
              <w:pStyle w:val="Title1"/>
              <w:rPr>
                <w:szCs w:val="28"/>
                <w:rtl/>
              </w:rPr>
            </w:pPr>
            <w:r>
              <w:rPr>
                <w:rtl/>
                <w:lang w:bidi="ar-SY"/>
              </w:rPr>
              <w:t>مقترحات إفريقية مشتركة بشأن أعمال المؤتمر</w:t>
            </w:r>
          </w:p>
        </w:tc>
      </w:tr>
    </w:tbl>
    <w:p w:rsidR="00706D7A" w:rsidRDefault="00964939" w:rsidP="004946F4">
      <w:pPr>
        <w:spacing w:before="360" w:after="120"/>
        <w:rPr>
          <w:rtl/>
          <w:lang w:bidi="ar-EG"/>
        </w:rPr>
      </w:pPr>
      <w:r w:rsidRPr="00964939">
        <w:rPr>
          <w:rtl/>
          <w:lang w:bidi="ar-EG"/>
        </w:rPr>
        <w:t>يعرض الجدول الوارد أدناه مقترحات الاتحاد الإفريقي للاتصالات المقدمة إلى مؤتمر الاتحاد للمندوبين المفوضين لعام</w:t>
      </w:r>
      <w:r w:rsidR="004946F4">
        <w:rPr>
          <w:rFonts w:hint="cs"/>
          <w:rtl/>
          <w:lang w:bidi="ar-EG"/>
        </w:rPr>
        <w:t> </w:t>
      </w:r>
      <w:r w:rsidRPr="005A4DAC">
        <w:rPr>
          <w:lang w:val="en-GB" w:bidi="ar-EG"/>
        </w:rPr>
        <w:t>201</w:t>
      </w:r>
      <w:r w:rsidRPr="005A4DAC">
        <w:rPr>
          <w:rFonts w:hint="cs"/>
          <w:lang w:val="en-GB" w:bidi="ar-EG"/>
        </w:rPr>
        <w:t>8</w:t>
      </w:r>
      <w:r w:rsidRPr="00964939">
        <w:rPr>
          <w:rtl/>
          <w:lang w:bidi="ar-EG"/>
        </w:rPr>
        <w:t>، والإدارات التي تؤيد المقترحات الإفريقية المشتركة:</w:t>
      </w:r>
      <w:r w:rsidRPr="00964939">
        <w:rPr>
          <w:rtl/>
          <w:lang w:bidi="ar-EG"/>
        </w:rPr>
        <w:tab/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7946"/>
      </w:tblGrid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7046A1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48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إدارة الموارد البشرية وتنميتها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7046A1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70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تعميم مبدأ المساواة بين الجنسين في الاتحاد وترويج المساواة بين الجنسين وتمكين المرأة من خلال تكنولوجيا المعلومات والاتصالات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7046A1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130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تعزيز دور الاتحاد في بناء الثقة والأمن في استخدام تكنولوجيا المعلومات والاتصالات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7046A1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131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قياس تكنولوجيا المعلومات والاتصالات لبناء مجتمع معلومات جامع وشامل للجميع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5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7046A1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140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دور الات‍حاد في تنفيذ نواتج القمة العالمية لمجتمع المعلومات وفي الاستعراض الشامل للجمعية العامة للأمم المتحدة لتنفيذها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6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7046A1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لا تغيير في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174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دور الاتحاد الدولي للاتصالات في قضايا السياسة العامة الدولية المتعلقة بمخاطر الاستعمال غير القانوني لتكنولوجيا المعلومات والاتصالات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7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7046A1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175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إمكانية نفاذ الأشخاص ذوي الإعاقة والأشخاص ذوي الاحتياجات المحددة إلى الاتصالات/تكنولوجيا المعلومات والاتصالات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8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7046A1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179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دور الاتحاد الدولي للاتصالات في حماية الأطفال على الخط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9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7046A1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إلغاء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185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التتبع العالمي للرحلات الجوية</w:t>
            </w:r>
            <w:r w:rsidR="00A14B6B"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 في ا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لطيران المدني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10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A14B6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186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تعزيز دور الات‍حاد الدولي للاتصالات فيما يتعلق بتدابير كفالة الشفافية وبناء الثقة في أنشطة الفضاء الخارجي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11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A14B6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196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حماية م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ستعملي/مستهلكي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 خدمات الاتصالات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  <w:rtl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12</w:t>
            </w:r>
            <w:r w:rsidR="00FD3E1E">
              <w:rPr>
                <w:rFonts w:hint="eastAsia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shd w:val="clear" w:color="auto" w:fill="auto"/>
          </w:tcPr>
          <w:p w:rsidR="001C451B" w:rsidRPr="00FD3E1E" w:rsidRDefault="00A14B6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مشروع القرار الجديد </w:t>
            </w:r>
            <w:r w:rsidR="005A4DAC" w:rsidRPr="00FD3E1E">
              <w:rPr>
                <w:rFonts w:cs="Traditional Arabic"/>
                <w:sz w:val="22"/>
                <w:szCs w:val="30"/>
                <w:lang w:val="en-US" w:bidi="ar"/>
              </w:rPr>
              <w:t>[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AFCP-1</w:t>
            </w:r>
            <w:r w:rsidR="005A4DAC" w:rsidRPr="00FD3E1E">
              <w:rPr>
                <w:rFonts w:cs="Traditional Arabic"/>
                <w:sz w:val="22"/>
                <w:szCs w:val="30"/>
                <w:lang w:val="en-US" w:bidi="ar"/>
              </w:rPr>
              <w:t>]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تعزيز دور الاتحاد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 xml:space="preserve"> الدولي للاتصالات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 في استخدام تكنولوجيا المعلومات والاتصالات في مكافحة الاتجار بالبشر على الصعيد العالمي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  <w:tcBorders>
              <w:bottom w:val="single" w:sz="4" w:space="0" w:color="auto"/>
            </w:tcBorders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13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tcBorders>
              <w:bottom w:val="single" w:sz="4" w:space="0" w:color="auto"/>
            </w:tcBorders>
          </w:tcPr>
          <w:p w:rsidR="001C451B" w:rsidRPr="00214E07" w:rsidRDefault="00A14B6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pacing w:val="-2"/>
                <w:sz w:val="22"/>
                <w:szCs w:val="30"/>
                <w:lang w:val="en-US" w:bidi="ar"/>
              </w:rPr>
            </w:pPr>
            <w:r w:rsidRPr="00214E07">
              <w:rPr>
                <w:rFonts w:cs="Traditional Arabic" w:hint="cs"/>
                <w:spacing w:val="-2"/>
                <w:sz w:val="22"/>
                <w:szCs w:val="30"/>
                <w:rtl/>
                <w:lang w:val="en-US" w:bidi="ar"/>
              </w:rPr>
              <w:t xml:space="preserve">مشروع القرار الجديد </w:t>
            </w:r>
            <w:r w:rsidR="005A4DAC" w:rsidRPr="00214E07">
              <w:rPr>
                <w:rFonts w:cs="Traditional Arabic"/>
                <w:spacing w:val="-2"/>
                <w:sz w:val="22"/>
                <w:szCs w:val="30"/>
                <w:lang w:val="en-US" w:bidi="ar-EG"/>
              </w:rPr>
              <w:t>[</w:t>
            </w:r>
            <w:r w:rsidRPr="00214E07">
              <w:rPr>
                <w:rFonts w:cs="Traditional Arabic" w:hint="cs"/>
                <w:spacing w:val="-2"/>
                <w:sz w:val="22"/>
                <w:szCs w:val="30"/>
                <w:lang w:val="en-US" w:bidi="ar"/>
              </w:rPr>
              <w:t>AFCP-2</w:t>
            </w:r>
            <w:r w:rsidR="005A4DAC" w:rsidRPr="00214E07">
              <w:rPr>
                <w:rFonts w:cs="Traditional Arabic"/>
                <w:spacing w:val="-2"/>
                <w:sz w:val="22"/>
                <w:szCs w:val="30"/>
                <w:lang w:val="en-US" w:bidi="ar"/>
              </w:rPr>
              <w:t>]</w:t>
            </w:r>
            <w:r w:rsidRPr="00214E07">
              <w:rPr>
                <w:rFonts w:cs="Traditional Arabic" w:hint="cs"/>
                <w:spacing w:val="-2"/>
                <w:sz w:val="22"/>
                <w:szCs w:val="30"/>
                <w:rtl/>
                <w:lang w:val="en-US" w:bidi="ar"/>
              </w:rPr>
              <w:t xml:space="preserve">: </w:t>
            </w:r>
            <w:r w:rsidR="00906286" w:rsidRPr="00214E07">
              <w:rPr>
                <w:rFonts w:cs="Traditional Arabic" w:hint="cs"/>
                <w:spacing w:val="-2"/>
                <w:sz w:val="22"/>
                <w:szCs w:val="30"/>
                <w:rtl/>
                <w:lang w:val="en-US" w:bidi="ar"/>
              </w:rPr>
              <w:t>اعتبار</w:t>
            </w:r>
            <w:r w:rsidRPr="00214E07">
              <w:rPr>
                <w:rFonts w:cs="Traditional Arabic" w:hint="cs"/>
                <w:spacing w:val="-2"/>
                <w:sz w:val="22"/>
                <w:szCs w:val="30"/>
                <w:rtl/>
                <w:lang w:val="en-US" w:bidi="ar"/>
              </w:rPr>
              <w:t xml:space="preserve"> </w:t>
            </w:r>
            <w:r w:rsidR="00906286" w:rsidRPr="00214E07">
              <w:rPr>
                <w:rFonts w:cs="Traditional Arabic" w:hint="cs"/>
                <w:spacing w:val="-2"/>
                <w:sz w:val="22"/>
                <w:szCs w:val="30"/>
                <w:rtl/>
                <w:lang w:val="en-US" w:bidi="ar"/>
              </w:rPr>
              <w:t>المحتوى المستقل عن المشغِّل شأناً من شؤون</w:t>
            </w:r>
            <w:r w:rsidRPr="00214E07">
              <w:rPr>
                <w:rFonts w:cs="Traditional Arabic" w:hint="cs"/>
                <w:spacing w:val="-2"/>
                <w:sz w:val="22"/>
                <w:szCs w:val="30"/>
                <w:rtl/>
                <w:lang w:val="en-US" w:bidi="ar"/>
              </w:rPr>
              <w:t xml:space="preserve"> السياسة العامة الدولية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  <w:shd w:val="clear" w:color="auto" w:fill="D9D9D9" w:themeFill="background1" w:themeFillShade="D9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</w:p>
        </w:tc>
        <w:tc>
          <w:tcPr>
            <w:tcW w:w="7946" w:type="dxa"/>
            <w:shd w:val="clear" w:color="auto" w:fill="D9D9D9" w:themeFill="background1" w:themeFillShade="D9"/>
          </w:tcPr>
          <w:p w:rsidR="001C451B" w:rsidRPr="00FD3E1E" w:rsidRDefault="001C451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12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النفاذ الإلكتروني المجاني إلى منشور</w:t>
            </w:r>
            <w:bookmarkStart w:id="1" w:name="_GoBack"/>
            <w:bookmarkEnd w:id="1"/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ات الاتحاد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135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دور الاتحاد الدولي للاتصالات في تنمية الاتصالات/تكنولوجيا المعلومات والاتصالات وتقديم المساعدة التقنية والمشورة للبلدان النامية وتنفيذ المشاريع الوطنية والإقليمية والأقاليمية ذات</w:t>
            </w:r>
            <w:r w:rsidR="004946F4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 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الصلة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lastRenderedPageBreak/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154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استخدام اللغات الرسمية الست للاتحاد على قدم المساواة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167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 xml:space="preserve">تعزيز وتنمية قدرات </w:t>
            </w:r>
            <w:r w:rsidR="004946F4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الاتحاد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 xml:space="preserve"> الدولي للاتصالات فيما يتعلق بالاجتماعات الإلكترونية والوسائل اللازمة لإحراز التقدم في أعمال </w:t>
            </w:r>
            <w:r w:rsidR="004946F4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الاتحاد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5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189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مساعدة الدول الأعضاء في مكافحة سرقة الأجهزة المتنقلة ومنعها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  <w:tcBorders>
              <w:bottom w:val="single" w:sz="4" w:space="0" w:color="auto"/>
            </w:tcBorders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6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tcBorders>
              <w:bottom w:val="single" w:sz="4" w:space="0" w:color="auto"/>
            </w:tcBorders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إلغاء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194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 xml:space="preserve">الخيارات المتاحة بشأن مباني مقر </w:t>
            </w:r>
            <w:r w:rsidR="004946F4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الاتحاد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 xml:space="preserve"> في الأجل الطويل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  <w:shd w:val="clear" w:color="auto" w:fill="D9D9D9" w:themeFill="background1" w:themeFillShade="D9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</w:p>
        </w:tc>
        <w:tc>
          <w:tcPr>
            <w:tcW w:w="7946" w:type="dxa"/>
            <w:shd w:val="clear" w:color="auto" w:fill="D9D9D9" w:themeFill="background1" w:themeFillShade="D9"/>
          </w:tcPr>
          <w:p w:rsidR="001C451B" w:rsidRPr="00FD3E1E" w:rsidRDefault="001C451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64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النفاذ على أساس غير تمييزي إلى وسائل الاتصالات/تكنولوجيا المعلومات والاتصالات الحديثة وخدماتها وتطبيقاتها، بما في ذلك البحوث التطبيقية ونقل التكنولوجيا، والاجتماعات الإلكترونية، على أساس شروط متفق عليها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102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دور الاتحاد فيما يتعلق بقضايا السياسة العامة الدولية المتعلقة بالإنترنت وإدارة موارد الإنترنت، بما في ذلك أسماء الميادين وعناوينها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123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سد الفجوة التقييسية بين البلدان النامية والمتقدمة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133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دور إدارات الدول الأعضاء في إدارة أسماء الميادين الدولية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الطابع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 (المتعددة اللغات)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5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146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الاستعراض الدوري للوائح الاتصالات الدولية ومراجعتها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6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169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السماح للهيئات الأكاديمية بالمشاركة في أعمال الاتحاد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7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176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التعرض البشري للمجالات الكهرمغنطيسية وقياسها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8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197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تيسير إنترنت الأشياء تمهيداً لعالم موصل بالكامل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9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AE5F42" w:rsidP="00214E07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rtl/>
                <w:lang w:val="en-US" w:bidi="ar-EG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مشروع القرار الجديد </w:t>
            </w:r>
            <w:r w:rsidR="005A4DAC" w:rsidRPr="00FD3E1E">
              <w:rPr>
                <w:rFonts w:cs="Traditional Arabic"/>
                <w:sz w:val="22"/>
                <w:szCs w:val="30"/>
                <w:lang w:val="en-US" w:bidi="ar-EG"/>
              </w:rPr>
              <w:t>[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AFCP-3</w:t>
            </w:r>
            <w:r w:rsidR="005A4DAC" w:rsidRPr="00FD3E1E">
              <w:rPr>
                <w:rFonts w:cs="Traditional Arabic"/>
                <w:sz w:val="22"/>
                <w:szCs w:val="30"/>
                <w:lang w:val="en-US" w:bidi="ar"/>
              </w:rPr>
              <w:t>]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دور الاتحاد في تعزيز الابتكار </w:t>
            </w:r>
            <w:r w:rsidR="00214E07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المتمحور</w:t>
            </w:r>
            <w:r w:rsidR="00BE207B"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 حول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 تكنولوجيا المعلومات والاتصالات لتسريع التحول الرقمي للمجتمع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  <w:tcBorders>
              <w:bottom w:val="single" w:sz="4" w:space="0" w:color="auto"/>
            </w:tcBorders>
          </w:tcPr>
          <w:p w:rsidR="001C451B" w:rsidRPr="00FD3E1E" w:rsidRDefault="001C451B" w:rsidP="00FD3E1E">
            <w:pPr>
              <w:spacing w:before="60" w:after="60" w:line="168" w:lineRule="auto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3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10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tcBorders>
              <w:bottom w:val="single" w:sz="4" w:space="0" w:color="auto"/>
            </w:tcBorders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مشروع القرار الجديد </w:t>
            </w:r>
            <w:r w:rsidR="005A4DAC" w:rsidRPr="00FD3E1E">
              <w:rPr>
                <w:rFonts w:cs="Traditional Arabic"/>
                <w:sz w:val="22"/>
                <w:szCs w:val="30"/>
                <w:lang w:val="en-US" w:bidi="ar"/>
              </w:rPr>
              <w:t>[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AFCP-4</w:t>
            </w:r>
            <w:r w:rsidR="005A4DAC" w:rsidRPr="00FD3E1E">
              <w:rPr>
                <w:rFonts w:cs="Traditional Arabic"/>
                <w:sz w:val="22"/>
                <w:szCs w:val="30"/>
                <w:lang w:val="en-US" w:bidi="ar"/>
              </w:rPr>
              <w:t>]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استخدام تكنولوجيا المعلومات والاتصالات لسد فجوة الشمول المالي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  <w:shd w:val="clear" w:color="auto" w:fill="D9D9D9" w:themeFill="background1" w:themeFillShade="D9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946" w:type="dxa"/>
            <w:shd w:val="clear" w:color="auto" w:fill="D9D9D9" w:themeFill="background1" w:themeFillShade="D9"/>
          </w:tcPr>
          <w:p w:rsidR="001C451B" w:rsidRPr="00FD3E1E" w:rsidRDefault="001C451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لا تغيير في دستور الاتحاد الدولي للاتصالات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لا تغيير في اتفاقية الاتحاد الدولي للاتصالات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FD3E1E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  <w:r w:rsidR="001C451B" w:rsidRPr="00FD3E1E">
              <w:rPr>
                <w:b/>
                <w:bCs/>
                <w:sz w:val="22"/>
              </w:rPr>
              <w:t>AFCP/</w:t>
            </w:r>
            <w:r w:rsidR="001C451B" w:rsidRPr="00FD3E1E">
              <w:rPr>
                <w:b/>
                <w:bCs/>
                <w:sz w:val="22"/>
                <w:lang w:val="en-GB"/>
              </w:rPr>
              <w:t>55</w:t>
            </w:r>
            <w:r w:rsidR="001C451B" w:rsidRPr="00FD3E1E">
              <w:rPr>
                <w:b/>
                <w:bCs/>
                <w:sz w:val="22"/>
              </w:rPr>
              <w:t>A</w:t>
            </w:r>
            <w:r w:rsidR="001C451B" w:rsidRPr="00FD3E1E">
              <w:rPr>
                <w:b/>
                <w:bCs/>
                <w:sz w:val="22"/>
                <w:lang w:val="en-GB"/>
              </w:rPr>
              <w:t>4</w:t>
            </w:r>
            <w:r w:rsidR="001C451B" w:rsidRPr="00FD3E1E">
              <w:rPr>
                <w:b/>
                <w:bCs/>
                <w:sz w:val="22"/>
              </w:rPr>
              <w:t>/</w:t>
            </w:r>
            <w:r w:rsidR="001C451B" w:rsidRPr="00FD3E1E">
              <w:rPr>
                <w:b/>
                <w:bCs/>
                <w:sz w:val="22"/>
                <w:lang w:val="en-GB"/>
              </w:rPr>
              <w:t>3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21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التدابير المتعلقة بإجراءات النداء البديلة على شبكات الاتصالات الدولية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25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تعزيز الحضور الإقليمي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5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إلغاء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36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الاتصالات/تكنولوجيا المعلومات والاتصالات في خدمة المساعدات الإنسانية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6</w:t>
            </w:r>
            <w:r w:rsidR="00FD3E1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136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: 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استخدام الاتصالات/تكنولوجيا المعلومات والاتصالات في عمليات الرصد والإدارة الخاصة بحالات الطوارئ والكوارث من أجل الإنذار المبكر بها والوقاية منها</w:t>
            </w:r>
            <w:r w:rsidR="007A4D8C">
              <w:rPr>
                <w:rFonts w:cs="Traditional Arabic"/>
                <w:sz w:val="22"/>
                <w:szCs w:val="30"/>
                <w:rtl/>
                <w:lang w:val="en-US" w:bidi="ar"/>
              </w:rPr>
              <w:t xml:space="preserve"> والتخفيف من آثارها والإغاثة في</w:t>
            </w:r>
            <w:r w:rsidR="007A4D8C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 </w:t>
            </w: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حال وقوعها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7</w:t>
            </w:r>
            <w:r w:rsidR="00F77DA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إلغاء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137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نشر شبكات الجيل التالي في البلدان النامية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8</w:t>
            </w:r>
            <w:r w:rsidR="00F77DA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160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تقديم المساعدة إلى الصومال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9</w:t>
            </w:r>
            <w:r w:rsidR="00F77DA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177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المطابقة وقابلية التشغيل البيني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10</w:t>
            </w:r>
            <w:r w:rsidR="00F77DA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192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مشاركة الاتحاد في مذكرات التفاهم ذات الآثار المالية و/أو الاستراتيجية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11</w:t>
            </w:r>
            <w:r w:rsidR="00F77DA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إلغاء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202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استخدام تكنولوجيا المعلومات والاتصالات لكسر سلسلة حالات الطوارئ المتعلقة بالصحة مثل انتقال فيروس إيبولا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  <w:tcBorders>
              <w:bottom w:val="single" w:sz="4" w:space="0" w:color="auto"/>
            </w:tcBorders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4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12</w:t>
            </w:r>
            <w:r w:rsidR="00F77DA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  <w:tcBorders>
              <w:bottom w:val="single" w:sz="4" w:space="0" w:color="auto"/>
            </w:tcBorders>
          </w:tcPr>
          <w:p w:rsidR="001C451B" w:rsidRPr="00FD3E1E" w:rsidRDefault="00BE207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 xml:space="preserve">مراجعة القرار </w:t>
            </w:r>
            <w:r w:rsidRPr="00FD3E1E">
              <w:rPr>
                <w:rFonts w:cs="Traditional Arabic" w:hint="cs"/>
                <w:sz w:val="22"/>
                <w:szCs w:val="30"/>
                <w:lang w:val="en-US" w:bidi="ar"/>
              </w:rPr>
              <w:t>203</w:t>
            </w: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: التوصيلية بشبكات النطاق العريض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  <w:shd w:val="clear" w:color="auto" w:fill="D9D9D9" w:themeFill="background1" w:themeFillShade="D9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946" w:type="dxa"/>
            <w:shd w:val="clear" w:color="auto" w:fill="D9D9D9" w:themeFill="background1" w:themeFillShade="D9"/>
          </w:tcPr>
          <w:p w:rsidR="001C451B" w:rsidRPr="00FD3E1E" w:rsidRDefault="001C451B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lastRenderedPageBreak/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5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1</w:t>
            </w:r>
            <w:r w:rsidR="00F77DA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980B33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 w:hint="cs"/>
                <w:sz w:val="22"/>
                <w:szCs w:val="30"/>
                <w:rtl/>
                <w:lang w:val="en-US" w:bidi="ar"/>
              </w:rPr>
              <w:t>تحسينات لعمل مؤتمرات المندوبين المفوضين: العمليات الانتخابية</w:t>
            </w:r>
          </w:p>
        </w:tc>
      </w:tr>
      <w:tr w:rsidR="001C451B" w:rsidRPr="00FD3E1E" w:rsidTr="00FD3E1E">
        <w:trPr>
          <w:jc w:val="center"/>
        </w:trPr>
        <w:tc>
          <w:tcPr>
            <w:tcW w:w="1683" w:type="dxa"/>
          </w:tcPr>
          <w:p w:rsidR="001C451B" w:rsidRPr="00FD3E1E" w:rsidRDefault="001C451B" w:rsidP="00FD3E1E">
            <w:pPr>
              <w:spacing w:before="60" w:after="60" w:line="168" w:lineRule="auto"/>
              <w:jc w:val="center"/>
              <w:rPr>
                <w:b/>
                <w:bCs/>
                <w:sz w:val="22"/>
              </w:rPr>
            </w:pPr>
            <w:r w:rsidRPr="00FD3E1E">
              <w:rPr>
                <w:b/>
                <w:bCs/>
                <w:sz w:val="22"/>
              </w:rPr>
              <w:t>AFCP/</w:t>
            </w:r>
            <w:r w:rsidRPr="00FD3E1E">
              <w:rPr>
                <w:b/>
                <w:bCs/>
                <w:sz w:val="22"/>
                <w:lang w:val="en-GB"/>
              </w:rPr>
              <w:t>55</w:t>
            </w:r>
            <w:r w:rsidRPr="00FD3E1E">
              <w:rPr>
                <w:b/>
                <w:bCs/>
                <w:sz w:val="22"/>
              </w:rPr>
              <w:t>A</w:t>
            </w:r>
            <w:r w:rsidRPr="00FD3E1E">
              <w:rPr>
                <w:b/>
                <w:bCs/>
                <w:sz w:val="22"/>
                <w:lang w:val="en-GB"/>
              </w:rPr>
              <w:t>5</w:t>
            </w:r>
            <w:r w:rsidRPr="00FD3E1E">
              <w:rPr>
                <w:b/>
                <w:bCs/>
                <w:sz w:val="22"/>
              </w:rPr>
              <w:t>/</w:t>
            </w:r>
            <w:r w:rsidRPr="00FD3E1E">
              <w:rPr>
                <w:b/>
                <w:bCs/>
                <w:sz w:val="22"/>
                <w:lang w:val="en-GB"/>
              </w:rPr>
              <w:t>2</w:t>
            </w:r>
            <w:r w:rsidR="00F77DAE">
              <w:rPr>
                <w:rFonts w:hint="cs"/>
                <w:b/>
                <w:bCs/>
                <w:sz w:val="22"/>
                <w:rtl/>
                <w:lang w:val="en-GB"/>
              </w:rPr>
              <w:t> </w:t>
            </w:r>
          </w:p>
        </w:tc>
        <w:tc>
          <w:tcPr>
            <w:tcW w:w="7946" w:type="dxa"/>
          </w:tcPr>
          <w:p w:rsidR="001C451B" w:rsidRPr="00FD3E1E" w:rsidRDefault="00980B33" w:rsidP="004946F4">
            <w:pPr>
              <w:pStyle w:val="Tabletext"/>
              <w:bidi/>
              <w:spacing w:line="168" w:lineRule="auto"/>
              <w:jc w:val="both"/>
              <w:rPr>
                <w:rFonts w:cs="Traditional Arabic"/>
                <w:sz w:val="22"/>
                <w:szCs w:val="30"/>
                <w:lang w:val="en-US" w:bidi="ar"/>
              </w:rPr>
            </w:pPr>
            <w:r w:rsidRPr="00FD3E1E">
              <w:rPr>
                <w:rFonts w:cs="Traditional Arabic"/>
                <w:sz w:val="22"/>
                <w:szCs w:val="30"/>
                <w:rtl/>
                <w:lang w:val="en-US" w:bidi="ar"/>
              </w:rPr>
              <w:t>تبسيط قرارات مؤتمر المندوبين المفوضين والقطاعات</w:t>
            </w:r>
          </w:p>
        </w:tc>
      </w:tr>
    </w:tbl>
    <w:p w:rsidR="00F94BFA" w:rsidRDefault="00F94BFA" w:rsidP="004F6A10">
      <w:pPr>
        <w:rPr>
          <w:rtl/>
          <w:lang w:bidi="ar-EG"/>
        </w:rPr>
        <w:sectPr w:rsidR="00F94BFA" w:rsidSect="001100B7">
          <w:headerReference w:type="default" r:id="rId9"/>
          <w:footerReference w:type="first" r:id="rId1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94BFA" w:rsidRDefault="00F94BFA" w:rsidP="00446396">
      <w:pPr>
        <w:spacing w:after="120"/>
        <w:rPr>
          <w:rtl/>
        </w:rPr>
      </w:pPr>
      <w:r>
        <w:rPr>
          <w:rtl/>
        </w:rPr>
        <w:lastRenderedPageBreak/>
        <w:t xml:space="preserve">يعرض الجدول أدناه قائمة </w:t>
      </w:r>
      <w:r>
        <w:rPr>
          <w:rFonts w:hint="cs"/>
          <w:rtl/>
        </w:rPr>
        <w:t>بمقترحات</w:t>
      </w:r>
      <w:r>
        <w:rPr>
          <w:rtl/>
        </w:rPr>
        <w:t xml:space="preserve"> الاتحاد الإفريقي للاتصالات </w:t>
      </w:r>
      <w:r>
        <w:rPr>
          <w:rFonts w:hint="cs"/>
          <w:rtl/>
        </w:rPr>
        <w:t xml:space="preserve">المقدمة إلى مؤتمر الاتحاد للمندوبين المفوضين لعام </w:t>
      </w:r>
      <w:r w:rsidRPr="005A4DAC">
        <w:rPr>
          <w:lang w:val="en-GB"/>
        </w:rPr>
        <w:t>2018</w:t>
      </w:r>
      <w:r>
        <w:rPr>
          <w:rFonts w:hint="cs"/>
          <w:rtl/>
        </w:rPr>
        <w:t xml:space="preserve"> والإدارات </w:t>
      </w:r>
      <w:r>
        <w:rPr>
          <w:rtl/>
        </w:rPr>
        <w:t>التي تؤيد المقترحات الإفريقية المشتركة</w:t>
      </w:r>
      <w: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236"/>
        <w:gridCol w:w="876"/>
        <w:gridCol w:w="876"/>
        <w:gridCol w:w="876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F94BFA" w:rsidRPr="00F94BFA" w:rsidTr="00F94BFA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F94BFA" w:rsidRDefault="00F94BFA" w:rsidP="00F77DAE">
            <w:pPr>
              <w:spacing w:before="0" w:after="4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>
              <w:rPr>
                <w:b/>
                <w:bCs/>
                <w:sz w:val="18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rtl/>
                <w:lang w:val="fr-FR" w:bidi="ar-EG"/>
              </w:rPr>
            </w:pPr>
            <w:r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F94BFA">
              <w:rPr>
                <w:b/>
                <w:bCs/>
                <w:sz w:val="18"/>
                <w:szCs w:val="24"/>
              </w:rPr>
              <w:t>PP-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F94BFA">
              <w:rPr>
                <w:b/>
                <w:bCs/>
                <w:sz w:val="18"/>
                <w:szCs w:val="24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</w:rPr>
              <w:t>(Add.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</w:rPr>
              <w:t>)</w:t>
            </w:r>
          </w:p>
        </w:tc>
      </w:tr>
      <w:tr w:rsidR="00F94BFA" w:rsidRPr="00F94BFA" w:rsidTr="00F94BFA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F94BFA" w:rsidRDefault="00F94BFA" w:rsidP="00F77DAE">
            <w:pPr>
              <w:spacing w:before="0" w:after="4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13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الجزائر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أنغولا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بنن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بوتسوانا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بوركينا فاصو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</w:rPr>
              <w:t>بوروندي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الكاميرون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كابو فيردي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جمهورية إفريقيا الوسطى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تشاد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كوت ديفوار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جزر القمر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جيبوتي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مصر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إريتريا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205DE2" w:rsidRDefault="00205DE2" w:rsidP="00F77DAE">
            <w:pPr>
              <w:spacing w:before="0" w:after="40" w:line="220" w:lineRule="exact"/>
              <w:jc w:val="left"/>
              <w:rPr>
                <w:b/>
                <w:bCs/>
              </w:rPr>
            </w:pPr>
            <w:r w:rsidRPr="00980B33">
              <w:rPr>
                <w:sz w:val="18"/>
                <w:szCs w:val="24"/>
                <w:rtl/>
                <w:lang w:val="es-ES"/>
              </w:rPr>
              <w:t>إسواتيني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19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إثيوبيا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غينيا الاستوائية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الجمهورية الغابونية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غامبيا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غانا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غينيا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غينيا بيساو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كينيا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es-ES"/>
              </w:rPr>
              <w:t>ليسوتو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lastRenderedPageBreak/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ليبيا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مدغشقر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es-ES"/>
              </w:rPr>
              <w:t>ملاوي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مالي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موريتانيا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pacing w:val="-2"/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pacing w:val="-2"/>
                <w:sz w:val="18"/>
                <w:szCs w:val="24"/>
              </w:rPr>
            </w:pPr>
            <w:r>
              <w:rPr>
                <w:spacing w:val="-2"/>
                <w:sz w:val="18"/>
                <w:szCs w:val="24"/>
                <w:rtl/>
              </w:rPr>
              <w:t>المغرب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pacing w:val="-2"/>
                <w:sz w:val="18"/>
                <w:szCs w:val="24"/>
                <w:rtl/>
              </w:rPr>
              <w:t>موزامبيق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ناميبيا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النيجر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نيجيريا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رواندا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سان تومي وبرينسيبي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السنغال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سيشيل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سيراليون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الصومال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جنوب إفريقيا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جنوب السودان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F94BF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السودان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تنزانيا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جمهورية توغو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تونس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أوغندا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F77DAE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زامبيا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ز</w:t>
            </w:r>
            <w:r w:rsidR="003D319C">
              <w:rPr>
                <w:rFonts w:hint="cs"/>
                <w:sz w:val="18"/>
                <w:szCs w:val="24"/>
                <w:rtl/>
                <w:lang w:val="es-ES"/>
              </w:rPr>
              <w:t>م</w:t>
            </w:r>
            <w:r>
              <w:rPr>
                <w:sz w:val="18"/>
                <w:szCs w:val="24"/>
                <w:rtl/>
                <w:lang w:val="es-ES"/>
              </w:rPr>
              <w:t>بابوي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83" w:type="dxa"/>
            <w:vAlign w:val="center"/>
          </w:tcPr>
          <w:p w:rsidR="00F94BFA" w:rsidRPr="00F94BFA" w:rsidRDefault="00F94BFA" w:rsidP="00F77DAE">
            <w:pPr>
              <w:spacing w:before="0" w:after="4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F94BFA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F94BFA" w:rsidRPr="00F94BFA" w:rsidRDefault="00980B33" w:rsidP="00F77DAE">
            <w:pPr>
              <w:spacing w:before="0" w:after="40" w:line="220" w:lineRule="exact"/>
              <w:jc w:val="center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مجموع البلدان المشاركة في التوقيع</w:t>
            </w:r>
          </w:p>
        </w:tc>
        <w:tc>
          <w:tcPr>
            <w:tcW w:w="784" w:type="dxa"/>
            <w:vAlign w:val="center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4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4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4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3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3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3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3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3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3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3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3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83" w:type="dxa"/>
          </w:tcPr>
          <w:p w:rsidR="00F94BFA" w:rsidRPr="00F94BFA" w:rsidRDefault="00F94BFA" w:rsidP="00F77DAE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</w:tr>
    </w:tbl>
    <w:p w:rsidR="00F94BFA" w:rsidRDefault="00F94BFA" w:rsidP="003D319C">
      <w:pPr>
        <w:spacing w:before="0" w:line="160" w:lineRule="exact"/>
        <w:rPr>
          <w:rtl/>
        </w:rPr>
      </w:pPr>
    </w:p>
    <w:tbl>
      <w:tblPr>
        <w:bidiVisual/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761"/>
        <w:gridCol w:w="859"/>
        <w:gridCol w:w="786"/>
        <w:gridCol w:w="786"/>
        <w:gridCol w:w="785"/>
        <w:gridCol w:w="785"/>
        <w:gridCol w:w="785"/>
        <w:gridCol w:w="785"/>
        <w:gridCol w:w="785"/>
        <w:gridCol w:w="785"/>
        <w:gridCol w:w="785"/>
        <w:gridCol w:w="784"/>
        <w:gridCol w:w="784"/>
        <w:gridCol w:w="784"/>
        <w:gridCol w:w="784"/>
        <w:gridCol w:w="784"/>
        <w:gridCol w:w="784"/>
      </w:tblGrid>
      <w:tr w:rsidR="00F94BFA" w:rsidRPr="00F94BFA" w:rsidTr="003D319C">
        <w:trPr>
          <w:trHeight w:val="144"/>
          <w:tblHeader/>
          <w:jc w:val="center"/>
        </w:trPr>
        <w:tc>
          <w:tcPr>
            <w:tcW w:w="46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F94BFA" w:rsidRDefault="00F94BFA" w:rsidP="003D319C">
            <w:pPr>
              <w:spacing w:before="0" w:after="40" w:line="24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>
              <w:rPr>
                <w:b/>
                <w:bCs/>
                <w:sz w:val="18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4681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F94BFA">
              <w:rPr>
                <w:b/>
                <w:bCs/>
                <w:sz w:val="18"/>
                <w:szCs w:val="24"/>
              </w:rPr>
              <w:t>PP-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F94BFA">
              <w:rPr>
                <w:b/>
                <w:bCs/>
                <w:sz w:val="18"/>
                <w:szCs w:val="24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</w:rPr>
              <w:t>(Add.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F94BFA">
              <w:rPr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767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F94BFA">
              <w:rPr>
                <w:b/>
                <w:bCs/>
                <w:sz w:val="18"/>
                <w:szCs w:val="24"/>
              </w:rPr>
              <w:t>PP-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F94BFA">
              <w:rPr>
                <w:b/>
                <w:bCs/>
                <w:sz w:val="18"/>
                <w:szCs w:val="24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</w:rPr>
              <w:t>(Add.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</w:rPr>
              <w:t>)</w:t>
            </w:r>
          </w:p>
        </w:tc>
      </w:tr>
      <w:tr w:rsidR="005A4DAC" w:rsidRPr="00F94BFA" w:rsidTr="003D319C">
        <w:trPr>
          <w:trHeight w:val="144"/>
          <w:tblHeader/>
          <w:jc w:val="center"/>
        </w:trPr>
        <w:tc>
          <w:tcPr>
            <w:tcW w:w="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F94BFA" w:rsidRDefault="00F94BFA" w:rsidP="003D319C">
            <w:pPr>
              <w:spacing w:before="0" w:after="40" w:line="24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7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7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768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7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8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9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10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172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الجزائر</w:t>
            </w:r>
          </w:p>
        </w:tc>
        <w:tc>
          <w:tcPr>
            <w:tcW w:w="839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أنغولا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بنن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4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بوتسوانا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5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بوركينا فاصو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6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</w:rPr>
              <w:t>بوروندي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الكاميرون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كابو فيردي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جمهورية إفريقيا الوسطى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10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تشاد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11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44639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12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كوت ديفوار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13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14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جزر القمر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15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جيبوتي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16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مصر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17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إريتريا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205DE2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18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980B33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 w:rsidRPr="00980B33">
              <w:rPr>
                <w:sz w:val="18"/>
                <w:szCs w:val="24"/>
                <w:rtl/>
                <w:lang w:val="es-ES"/>
              </w:rPr>
              <w:t>إسواتيني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19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إثيوبيا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غينيا الاستوائية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21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الجمهورية الغابونية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غامبيا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23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غانا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24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غينيا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25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غينيا بيساو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26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كينيا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27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es-ES"/>
              </w:rPr>
              <w:t>ليسوتو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lastRenderedPageBreak/>
              <w:t>28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29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ليبيا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30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مدغشقر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31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es-ES"/>
              </w:rPr>
              <w:t>ملاوي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32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مالي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33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موريتانيا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pacing w:val="-2"/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pacing w:val="-2"/>
                <w:sz w:val="18"/>
                <w:szCs w:val="24"/>
              </w:rPr>
            </w:pPr>
            <w:r>
              <w:rPr>
                <w:spacing w:val="-2"/>
                <w:sz w:val="18"/>
                <w:szCs w:val="24"/>
                <w:rtl/>
              </w:rPr>
              <w:t>المغرب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36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pacing w:val="-2"/>
                <w:sz w:val="18"/>
                <w:szCs w:val="24"/>
                <w:rtl/>
              </w:rPr>
              <w:t>موزامبيق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144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37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ناميبيا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16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38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النيجر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01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39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نيجيريا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16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40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رواندا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01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41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سان تومي وبرينسيبي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316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42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السنغال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16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43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سيشيل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301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سيراليون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316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45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الصومال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01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46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جنوب إفريقيا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16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47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جنوب السودان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3D319C">
        <w:trPr>
          <w:trHeight w:val="301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48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السودان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01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تنزانيا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00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جمهورية توغو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01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تونس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16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أوغندا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01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53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زامبيا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3D319C">
        <w:trPr>
          <w:trHeight w:val="316"/>
          <w:jc w:val="center"/>
        </w:trPr>
        <w:tc>
          <w:tcPr>
            <w:tcW w:w="465" w:type="dxa"/>
            <w:shd w:val="clear" w:color="auto" w:fill="DAEEF3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lastRenderedPageBreak/>
              <w:t>55</w:t>
            </w:r>
          </w:p>
        </w:tc>
        <w:tc>
          <w:tcPr>
            <w:tcW w:w="1721" w:type="dxa"/>
            <w:shd w:val="clear" w:color="auto" w:fill="DAEEF3"/>
            <w:vAlign w:val="center"/>
          </w:tcPr>
          <w:p w:rsidR="00F94BFA" w:rsidRPr="00F94BFA" w:rsidRDefault="003F1566" w:rsidP="003D319C">
            <w:pPr>
              <w:spacing w:before="0" w:after="4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زمبابوي</w:t>
            </w:r>
          </w:p>
        </w:tc>
        <w:tc>
          <w:tcPr>
            <w:tcW w:w="83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9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8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:rsidR="00F94BFA" w:rsidRPr="00F94BFA" w:rsidRDefault="00F94BFA" w:rsidP="003D319C">
            <w:pPr>
              <w:spacing w:before="0" w:after="4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980B33" w:rsidRPr="00F94BFA" w:rsidTr="003D319C">
        <w:trPr>
          <w:trHeight w:val="172"/>
          <w:jc w:val="center"/>
        </w:trPr>
        <w:tc>
          <w:tcPr>
            <w:tcW w:w="2186" w:type="dxa"/>
            <w:gridSpan w:val="2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مجموع البلدان المشاركة في التوقيع</w:t>
            </w:r>
          </w:p>
        </w:tc>
        <w:tc>
          <w:tcPr>
            <w:tcW w:w="839" w:type="dxa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769" w:type="dxa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9" w:type="dxa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8" w:type="dxa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8" w:type="dxa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8" w:type="dxa"/>
            <w:tcBorders>
              <w:right w:val="thinThickSmallGap" w:sz="24" w:space="0" w:color="auto"/>
            </w:tcBorders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8" w:type="dxa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8" w:type="dxa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8" w:type="dxa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7" w:type="dxa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7" w:type="dxa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7" w:type="dxa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7" w:type="dxa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7" w:type="dxa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767" w:type="dxa"/>
            <w:vAlign w:val="center"/>
          </w:tcPr>
          <w:p w:rsidR="00980B33" w:rsidRPr="00F94BFA" w:rsidRDefault="00980B33" w:rsidP="003D319C">
            <w:pPr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</w:tr>
    </w:tbl>
    <w:p w:rsidR="00F94BFA" w:rsidRDefault="00F94BFA" w:rsidP="001100B7">
      <w:pPr>
        <w:rPr>
          <w:rtl/>
          <w:lang w:bidi="ar-SY"/>
        </w:rPr>
      </w:pPr>
    </w:p>
    <w:tbl>
      <w:tblPr>
        <w:bidiVisual/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73"/>
        <w:gridCol w:w="862"/>
        <w:gridCol w:w="864"/>
        <w:gridCol w:w="864"/>
        <w:gridCol w:w="864"/>
        <w:gridCol w:w="863"/>
        <w:gridCol w:w="863"/>
        <w:gridCol w:w="864"/>
        <w:gridCol w:w="863"/>
        <w:gridCol w:w="863"/>
        <w:gridCol w:w="863"/>
        <w:gridCol w:w="864"/>
        <w:gridCol w:w="863"/>
        <w:gridCol w:w="863"/>
        <w:gridCol w:w="864"/>
      </w:tblGrid>
      <w:tr w:rsidR="00F94BFA" w:rsidRPr="00F94BFA" w:rsidTr="00205DE2">
        <w:trPr>
          <w:trHeight w:val="144"/>
          <w:tblHeader/>
          <w:jc w:val="center"/>
        </w:trPr>
        <w:tc>
          <w:tcPr>
            <w:tcW w:w="52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F94BFA" w:rsidRDefault="00F94BFA" w:rsidP="000A5134">
            <w:pPr>
              <w:spacing w:before="20" w:after="60" w:line="24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>
              <w:rPr>
                <w:b/>
                <w:bCs/>
                <w:sz w:val="18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10132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F94BFA">
              <w:rPr>
                <w:b/>
                <w:bCs/>
                <w:sz w:val="18"/>
                <w:szCs w:val="24"/>
              </w:rPr>
              <w:t>PP-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F94BFA">
              <w:rPr>
                <w:b/>
                <w:bCs/>
                <w:sz w:val="18"/>
                <w:szCs w:val="24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</w:rPr>
              <w:t>(Add.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689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F94BFA" w:rsidRDefault="00446396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>
              <w:rPr>
                <w:rFonts w:hint="cs"/>
                <w:b/>
                <w:bCs/>
                <w:sz w:val="18"/>
                <w:szCs w:val="24"/>
                <w:rtl/>
                <w:lang w:val="fr-FR" w:bidi="ar-EG"/>
              </w:rPr>
              <w:t xml:space="preserve">الوثيقة </w:t>
            </w:r>
            <w:r w:rsidR="00F94BFA" w:rsidRPr="00F94BFA">
              <w:rPr>
                <w:b/>
                <w:bCs/>
                <w:sz w:val="18"/>
                <w:szCs w:val="24"/>
                <w:lang w:val="fr-FR"/>
              </w:rPr>
              <w:t>PP</w:t>
            </w:r>
            <w:r>
              <w:rPr>
                <w:b/>
                <w:bCs/>
                <w:sz w:val="18"/>
                <w:szCs w:val="24"/>
                <w:lang w:val="fr-FR"/>
              </w:rPr>
              <w:noBreakHyphen/>
            </w:r>
            <w:r w:rsidR="00F94BFA" w:rsidRPr="005A4DAC">
              <w:rPr>
                <w:b/>
                <w:bCs/>
                <w:sz w:val="18"/>
                <w:szCs w:val="24"/>
                <w:lang w:val="en-GB"/>
              </w:rPr>
              <w:t>18</w:t>
            </w:r>
            <w:r w:rsidR="00F94BFA"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="00F94BFA"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="00F94BFA" w:rsidRPr="00F94BFA">
              <w:rPr>
                <w:b/>
                <w:bCs/>
                <w:sz w:val="18"/>
                <w:szCs w:val="24"/>
                <w:lang w:val="fr-FR"/>
              </w:rPr>
              <w:t>(Add.</w:t>
            </w:r>
            <w:r w:rsidR="00F94BFA" w:rsidRPr="005A4DAC">
              <w:rPr>
                <w:b/>
                <w:bCs/>
                <w:sz w:val="18"/>
                <w:szCs w:val="24"/>
                <w:lang w:val="en-GB"/>
              </w:rPr>
              <w:t>5</w:t>
            </w:r>
            <w:r w:rsidR="00F94BFA" w:rsidRPr="00F94BFA">
              <w:rPr>
                <w:b/>
                <w:bCs/>
                <w:sz w:val="18"/>
                <w:szCs w:val="24"/>
                <w:lang w:val="fr-FR"/>
              </w:rPr>
              <w:t>)</w:t>
            </w:r>
          </w:p>
        </w:tc>
      </w:tr>
      <w:tr w:rsidR="00F94BFA" w:rsidRPr="00F94BFA" w:rsidTr="00205DE2">
        <w:trPr>
          <w:trHeight w:val="144"/>
          <w:tblHeader/>
          <w:jc w:val="center"/>
        </w:trPr>
        <w:tc>
          <w:tcPr>
            <w:tcW w:w="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F94BFA" w:rsidRDefault="00F94BFA" w:rsidP="000A5134">
            <w:pPr>
              <w:spacing w:before="20" w:after="60" w:line="240" w:lineRule="exact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1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7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8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9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11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12</w:t>
            </w:r>
          </w:p>
        </w:tc>
        <w:tc>
          <w:tcPr>
            <w:tcW w:w="84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5</w:t>
            </w:r>
            <w:r w:rsidRPr="00F94BF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5A4DAC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1929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الجزائر</w:t>
            </w:r>
          </w:p>
        </w:tc>
        <w:tc>
          <w:tcPr>
            <w:tcW w:w="843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tcBorders>
              <w:top w:val="single" w:sz="6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أنغولا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highlight w:val="yellow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بنن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4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بوتسوانا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5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بوركينا فاصو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6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</w:rPr>
              <w:t>بوروندي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الكاميرون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كابو فيردي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جمهورية إفريقيا الوسطى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10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تشاد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b/>
                <w:bCs/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11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44639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12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كوت ديفوار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13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14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جزر القمر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15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جيبوتي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16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rtl/>
                <w:lang w:val="fr-FR"/>
              </w:rPr>
              <w:t>مصر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lang w:val="en-GB"/>
              </w:rPr>
              <w:t>17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rtl/>
                <w:lang w:val="fr-FR" w:bidi="ar-EG"/>
              </w:rPr>
            </w:pPr>
            <w:r>
              <w:rPr>
                <w:sz w:val="18"/>
                <w:szCs w:val="24"/>
                <w:rtl/>
                <w:lang w:val="fr-FR"/>
              </w:rPr>
              <w:t>إريتريا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fr-FR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lastRenderedPageBreak/>
              <w:t>18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5A4DAC" w:rsidRDefault="005A4DAC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fr-FR"/>
              </w:rPr>
            </w:pPr>
            <w:r w:rsidRPr="005A4DAC">
              <w:rPr>
                <w:sz w:val="18"/>
                <w:szCs w:val="24"/>
                <w:rtl/>
                <w:lang w:val="fr-FR"/>
              </w:rPr>
              <w:t>إسواتيني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19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إثيوبيا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غينيا الاستوائية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21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الجمهورية الغابونية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غامبيا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23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غانا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24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غينيا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25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غينيا بيساو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26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كينيا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27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es-ES"/>
              </w:rPr>
              <w:t>ليسوتو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28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29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ليبيا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30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مدغشقر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31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es-ES"/>
              </w:rPr>
              <w:t>ملاوي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32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  <w:lang w:val="fr-FR"/>
              </w:rPr>
              <w:t>مالي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33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موريتانيا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pacing w:val="-2"/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pacing w:val="-2"/>
                <w:sz w:val="18"/>
                <w:szCs w:val="24"/>
              </w:rPr>
            </w:pPr>
            <w:r>
              <w:rPr>
                <w:spacing w:val="-2"/>
                <w:sz w:val="18"/>
                <w:szCs w:val="24"/>
                <w:rtl/>
              </w:rPr>
              <w:t>المغرب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36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pacing w:val="-2"/>
                <w:sz w:val="18"/>
                <w:szCs w:val="24"/>
                <w:rtl/>
              </w:rPr>
              <w:t>موزامبيق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44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37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ناميبيا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16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38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النيجر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01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39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نيجيريا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16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40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رواندا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01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41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سان تومي وبرينسيبي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316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lastRenderedPageBreak/>
              <w:t>42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السنغال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16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43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سيشيل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301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سيراليون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316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45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الصومال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01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46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جنوب إفريقيا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16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47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جنوب السودان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</w:p>
        </w:tc>
      </w:tr>
      <w:tr w:rsidR="00F94BFA" w:rsidRPr="00F94BFA" w:rsidTr="00205DE2">
        <w:trPr>
          <w:trHeight w:val="301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48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السودان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01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تنزانيا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00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جمهورية توغو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01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تونس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16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أوغندا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01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53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زامبيا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316"/>
          <w:jc w:val="center"/>
        </w:trPr>
        <w:tc>
          <w:tcPr>
            <w:tcW w:w="522" w:type="dxa"/>
            <w:shd w:val="clear" w:color="auto" w:fill="DAEEF3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5A4DAC">
              <w:rPr>
                <w:sz w:val="18"/>
                <w:szCs w:val="24"/>
                <w:lang w:val="en-GB"/>
              </w:rPr>
              <w:t>55</w:t>
            </w:r>
          </w:p>
        </w:tc>
        <w:tc>
          <w:tcPr>
            <w:tcW w:w="1929" w:type="dxa"/>
            <w:shd w:val="clear" w:color="auto" w:fill="DAEEF3"/>
            <w:vAlign w:val="center"/>
          </w:tcPr>
          <w:p w:rsidR="00F94BFA" w:rsidRPr="00F94BFA" w:rsidRDefault="003F1566" w:rsidP="000A5134">
            <w:pPr>
              <w:spacing w:before="20" w:after="60" w:line="24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sz w:val="18"/>
                <w:szCs w:val="24"/>
                <w:rtl/>
                <w:lang w:val="es-ES"/>
              </w:rPr>
              <w:t>زمبابوي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="20" w:after="60" w:line="240" w:lineRule="exact"/>
              <w:jc w:val="center"/>
              <w:rPr>
                <w:sz w:val="18"/>
                <w:szCs w:val="24"/>
                <w:lang w:val="es-ES"/>
              </w:rPr>
            </w:pPr>
            <w:r w:rsidRPr="00F94BFA">
              <w:rPr>
                <w:b/>
                <w:bCs/>
                <w:sz w:val="18"/>
                <w:szCs w:val="24"/>
              </w:rPr>
              <w:t>X</w:t>
            </w:r>
          </w:p>
        </w:tc>
      </w:tr>
      <w:tr w:rsidR="00F94BFA" w:rsidRPr="00F94BFA" w:rsidTr="00205DE2">
        <w:trPr>
          <w:trHeight w:val="172"/>
          <w:jc w:val="center"/>
        </w:trPr>
        <w:tc>
          <w:tcPr>
            <w:tcW w:w="2451" w:type="dxa"/>
            <w:gridSpan w:val="2"/>
            <w:vAlign w:val="center"/>
          </w:tcPr>
          <w:p w:rsidR="00F94BFA" w:rsidRPr="00F94BFA" w:rsidRDefault="00205DE2" w:rsidP="000A5134">
            <w:pPr>
              <w:spacing w:before="20" w:after="60" w:line="240" w:lineRule="exact"/>
              <w:jc w:val="center"/>
              <w:rPr>
                <w:sz w:val="18"/>
                <w:szCs w:val="24"/>
                <w:rtl/>
                <w:lang w:bidi="ar-EG"/>
              </w:rPr>
            </w:pPr>
            <w:r>
              <w:rPr>
                <w:rFonts w:hint="cs"/>
                <w:sz w:val="18"/>
                <w:szCs w:val="24"/>
                <w:rtl/>
              </w:rPr>
              <w:t>مجموع البلدان المشاركة في التوقيع</w:t>
            </w:r>
          </w:p>
        </w:tc>
        <w:tc>
          <w:tcPr>
            <w:tcW w:w="843" w:type="dxa"/>
            <w:vAlign w:val="center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5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5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5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4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4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5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4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4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4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5" w:type="dxa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4" w:type="dxa"/>
            <w:tcBorders>
              <w:right w:val="thinThickSmallGap" w:sz="24" w:space="0" w:color="auto"/>
            </w:tcBorders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4" w:type="dxa"/>
            <w:tcBorders>
              <w:left w:val="thinThickSmallGap" w:sz="24" w:space="0" w:color="auto"/>
            </w:tcBorders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845" w:type="dxa"/>
            <w:vAlign w:val="center"/>
          </w:tcPr>
          <w:p w:rsidR="00F94BFA" w:rsidRPr="00F94BFA" w:rsidRDefault="00F94BFA" w:rsidP="000A5134">
            <w:pPr>
              <w:spacing w:beforeLines="40" w:before="96" w:afterLines="40" w:after="96" w:line="240" w:lineRule="exact"/>
              <w:jc w:val="center"/>
              <w:rPr>
                <w:sz w:val="18"/>
                <w:szCs w:val="24"/>
              </w:rPr>
            </w:pPr>
            <w:r w:rsidRPr="005A4DAC">
              <w:rPr>
                <w:sz w:val="18"/>
                <w:szCs w:val="24"/>
                <w:lang w:val="en-GB"/>
              </w:rPr>
              <w:t>34</w:t>
            </w:r>
          </w:p>
        </w:tc>
      </w:tr>
    </w:tbl>
    <w:p w:rsidR="001100B7" w:rsidRPr="00706D7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B47EDC">
      <w:footerReference w:type="default" r:id="rId11"/>
      <w:headerReference w:type="first" r:id="rId12"/>
      <w:footerReference w:type="first" r:id="rId13"/>
      <w:pgSz w:w="16840" w:h="11907" w:orient="landscape" w:code="9"/>
      <w:pgMar w:top="1418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FA" w:rsidRDefault="005E5CFA" w:rsidP="001100B7">
      <w:pPr>
        <w:spacing w:before="0" w:line="240" w:lineRule="auto"/>
      </w:pPr>
      <w:r>
        <w:separator/>
      </w:r>
    </w:p>
  </w:endnote>
  <w:endnote w:type="continuationSeparator" w:id="0">
    <w:p w:rsidR="005E5CFA" w:rsidRDefault="005E5CFA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FA" w:rsidRPr="001100B7" w:rsidRDefault="005E5CFA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7046A1">
      <w:rPr>
        <w:rFonts w:ascii="Calibri" w:hAnsi="Calibri" w:cs="Calibri"/>
        <w:sz w:val="22"/>
        <w:szCs w:val="22"/>
        <w:lang w:val="en-GB"/>
      </w:rPr>
      <w:t xml:space="preserve"> </w:t>
    </w:r>
    <w:r w:rsidRPr="007046A1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7046A1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FA" w:rsidRPr="00BE6211" w:rsidRDefault="005E5CFA" w:rsidP="00BE62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FA" w:rsidRPr="00BE6211" w:rsidRDefault="005E5CFA" w:rsidP="00BE6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FA" w:rsidRDefault="005E5CFA" w:rsidP="001100B7">
      <w:pPr>
        <w:spacing w:before="0" w:line="240" w:lineRule="auto"/>
      </w:pPr>
      <w:r>
        <w:separator/>
      </w:r>
    </w:p>
  </w:footnote>
  <w:footnote w:type="continuationSeparator" w:id="0">
    <w:p w:rsidR="005E5CFA" w:rsidRDefault="005E5CFA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FA" w:rsidRPr="001100B7" w:rsidRDefault="005E5CFA" w:rsidP="00B47EDC">
    <w:pPr>
      <w:pStyle w:val="Header"/>
      <w:bidi w:val="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BE6211">
      <w:rPr>
        <w:rFonts w:cs="Calibri"/>
        <w:noProof/>
        <w:sz w:val="20"/>
        <w:szCs w:val="20"/>
        <w:lang w:val="en-GB"/>
      </w:rPr>
      <w:t>5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</w:t>
    </w:r>
    <w:r w:rsidRPr="005A4DAC">
      <w:rPr>
        <w:rFonts w:cs="Calibri"/>
        <w:sz w:val="20"/>
        <w:szCs w:val="20"/>
        <w:lang w:val="en-GB"/>
      </w:rPr>
      <w:t>18</w:t>
    </w:r>
    <w:r w:rsidRPr="001100B7">
      <w:rPr>
        <w:rFonts w:cs="Calibri"/>
        <w:sz w:val="20"/>
        <w:szCs w:val="20"/>
        <w:lang w:val="en-GB"/>
      </w:rPr>
      <w:t>/</w:t>
    </w:r>
    <w:r w:rsidRPr="005A4DAC">
      <w:rPr>
        <w:rFonts w:cs="Calibri"/>
        <w:sz w:val="20"/>
        <w:szCs w:val="20"/>
        <w:lang w:val="en-GB"/>
      </w:rPr>
      <w:t>55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FA" w:rsidRPr="001100B7" w:rsidRDefault="005E5CFA" w:rsidP="00B47EDC">
    <w:pPr>
      <w:pStyle w:val="Header"/>
      <w:bidi w:val="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BE6211">
      <w:rPr>
        <w:rFonts w:cs="Calibri"/>
        <w:noProof/>
        <w:sz w:val="20"/>
        <w:szCs w:val="20"/>
        <w:lang w:val="en-GB"/>
      </w:rPr>
      <w:t>4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</w:t>
    </w:r>
    <w:r w:rsidRPr="005A4DAC">
      <w:rPr>
        <w:rFonts w:cs="Calibri"/>
        <w:sz w:val="20"/>
        <w:szCs w:val="20"/>
        <w:lang w:val="en-GB"/>
      </w:rPr>
      <w:t>18</w:t>
    </w:r>
    <w:r w:rsidRPr="001100B7">
      <w:rPr>
        <w:rFonts w:cs="Calibri"/>
        <w:sz w:val="20"/>
        <w:szCs w:val="20"/>
        <w:lang w:val="en-GB"/>
      </w:rPr>
      <w:t>/</w:t>
    </w:r>
    <w:r w:rsidRPr="005A4DAC">
      <w:rPr>
        <w:rFonts w:cs="Calibri"/>
        <w:sz w:val="20"/>
        <w:szCs w:val="20"/>
        <w:lang w:val="en-GB"/>
      </w:rPr>
      <w:t>55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7E0AD9"/>
    <w:multiLevelType w:val="hybridMultilevel"/>
    <w:tmpl w:val="D276A306"/>
    <w:lvl w:ilvl="0" w:tplc="AA82C80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FA"/>
    <w:rsid w:val="00002571"/>
    <w:rsid w:val="00090574"/>
    <w:rsid w:val="000A0A0E"/>
    <w:rsid w:val="000A5134"/>
    <w:rsid w:val="000C6345"/>
    <w:rsid w:val="001100B7"/>
    <w:rsid w:val="001C451B"/>
    <w:rsid w:val="00205DE2"/>
    <w:rsid w:val="00214E07"/>
    <w:rsid w:val="0023283D"/>
    <w:rsid w:val="002978F4"/>
    <w:rsid w:val="002B028D"/>
    <w:rsid w:val="002E6541"/>
    <w:rsid w:val="003132DF"/>
    <w:rsid w:val="00357185"/>
    <w:rsid w:val="00377EAE"/>
    <w:rsid w:val="003D319C"/>
    <w:rsid w:val="003F1566"/>
    <w:rsid w:val="003F678F"/>
    <w:rsid w:val="00401C69"/>
    <w:rsid w:val="0042686F"/>
    <w:rsid w:val="00443869"/>
    <w:rsid w:val="00446396"/>
    <w:rsid w:val="00472EDC"/>
    <w:rsid w:val="004813D9"/>
    <w:rsid w:val="004946F4"/>
    <w:rsid w:val="004F6A10"/>
    <w:rsid w:val="00501E0E"/>
    <w:rsid w:val="0055516A"/>
    <w:rsid w:val="00561A38"/>
    <w:rsid w:val="005855A4"/>
    <w:rsid w:val="005A4DAC"/>
    <w:rsid w:val="005E5CFA"/>
    <w:rsid w:val="006F63F7"/>
    <w:rsid w:val="007046A1"/>
    <w:rsid w:val="00706D7A"/>
    <w:rsid w:val="007304F9"/>
    <w:rsid w:val="00765B24"/>
    <w:rsid w:val="007A4D8C"/>
    <w:rsid w:val="0080260C"/>
    <w:rsid w:val="00803F08"/>
    <w:rsid w:val="00807EB3"/>
    <w:rsid w:val="008235CD"/>
    <w:rsid w:val="008513CB"/>
    <w:rsid w:val="00906286"/>
    <w:rsid w:val="00922E43"/>
    <w:rsid w:val="00924EA7"/>
    <w:rsid w:val="00964939"/>
    <w:rsid w:val="00973ADC"/>
    <w:rsid w:val="00980B33"/>
    <w:rsid w:val="00982B28"/>
    <w:rsid w:val="009945AD"/>
    <w:rsid w:val="009B1CA0"/>
    <w:rsid w:val="00A14B6B"/>
    <w:rsid w:val="00A97F94"/>
    <w:rsid w:val="00AE5F42"/>
    <w:rsid w:val="00B47EDC"/>
    <w:rsid w:val="00B86CA4"/>
    <w:rsid w:val="00BC4430"/>
    <w:rsid w:val="00BE207B"/>
    <w:rsid w:val="00BE5A22"/>
    <w:rsid w:val="00BE6211"/>
    <w:rsid w:val="00C674FE"/>
    <w:rsid w:val="00C75633"/>
    <w:rsid w:val="00CE2EE1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F105FD"/>
    <w:rsid w:val="00F405C8"/>
    <w:rsid w:val="00F77DAE"/>
    <w:rsid w:val="00F84366"/>
    <w:rsid w:val="00F85089"/>
    <w:rsid w:val="00F94BFA"/>
    <w:rsid w:val="00FA45F0"/>
    <w:rsid w:val="00FC6FBF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C6037C8-0E84-40A7-9845-1AF1AAD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uiPriority w:val="99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styleId="NormalIndent">
    <w:name w:val="Normal Indent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F94BFA"/>
  </w:style>
  <w:style w:type="paragraph" w:customStyle="1" w:styleId="Tabletext">
    <w:name w:val="Table_text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F94BF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F94BFA"/>
    <w:pPr>
      <w:ind w:left="1134"/>
    </w:pPr>
  </w:style>
  <w:style w:type="paragraph" w:customStyle="1" w:styleId="enumlev30">
    <w:name w:val="enumlev3"/>
    <w:basedOn w:val="enumlev20"/>
    <w:rsid w:val="00F94BFA"/>
    <w:pPr>
      <w:ind w:left="1701"/>
    </w:pPr>
  </w:style>
  <w:style w:type="paragraph" w:customStyle="1" w:styleId="Tablehead0">
    <w:name w:val="Table_head"/>
    <w:basedOn w:val="Tabletext"/>
    <w:rsid w:val="00F94BFA"/>
  </w:style>
  <w:style w:type="paragraph" w:customStyle="1" w:styleId="AnnexNo0">
    <w:name w:val="Annex_No"/>
    <w:basedOn w:val="Normal"/>
    <w:next w:val="Annexref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F94BFA"/>
  </w:style>
  <w:style w:type="paragraph" w:customStyle="1" w:styleId="Appendixref">
    <w:name w:val="Appendix_ref"/>
    <w:basedOn w:val="Annexref"/>
    <w:next w:val="Appendixtitle0"/>
    <w:rsid w:val="00F94BFA"/>
  </w:style>
  <w:style w:type="paragraph" w:customStyle="1" w:styleId="Appendixtitle0">
    <w:name w:val="Appendix_title"/>
    <w:basedOn w:val="Annextitle0"/>
    <w:next w:val="Normal"/>
    <w:rsid w:val="00F94BFA"/>
  </w:style>
  <w:style w:type="paragraph" w:customStyle="1" w:styleId="Reftext">
    <w:name w:val="Ref_text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F94BFA"/>
  </w:style>
  <w:style w:type="paragraph" w:customStyle="1" w:styleId="Chaptitle">
    <w:name w:val="Chap_title"/>
    <w:basedOn w:val="Arttitle"/>
    <w:next w:val="Normal"/>
    <w:rsid w:val="00F94BFA"/>
  </w:style>
  <w:style w:type="paragraph" w:customStyle="1" w:styleId="ResNo">
    <w:name w:val="Res_No"/>
    <w:basedOn w:val="AnnexNo0"/>
    <w:next w:val="Restitle"/>
    <w:rsid w:val="00F94BFA"/>
  </w:style>
  <w:style w:type="paragraph" w:customStyle="1" w:styleId="Restitle">
    <w:name w:val="Res_title"/>
    <w:basedOn w:val="Annextitle0"/>
    <w:next w:val="Normal"/>
    <w:rsid w:val="00F94BFA"/>
  </w:style>
  <w:style w:type="paragraph" w:customStyle="1" w:styleId="AnnexNoS2">
    <w:name w:val="Annex_No_S2"/>
    <w:basedOn w:val="AnnexNo0"/>
    <w:next w:val="Annexref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0"/>
    <w:next w:val="Appendixref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F94BFA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F94BFA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F94BFA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F94BFA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F94BFA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9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F94BFA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ReasonsS2">
    <w:name w:val="Reasons_S2"/>
    <w:basedOn w:val="Reasons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F94BFA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eastAsia="Times New Roman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F94BFA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eastAsia="Times New Roman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F94BFA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F94BFA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eastAsia="Times New Roman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F94BFA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F94BFA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0"/>
    <w:rsid w:val="00F94BFA"/>
    <w:pPr>
      <w:tabs>
        <w:tab w:val="left" w:pos="851"/>
      </w:tabs>
      <w:spacing w:before="120" w:after="0"/>
    </w:pPr>
    <w:rPr>
      <w:b/>
    </w:rPr>
  </w:style>
  <w:style w:type="paragraph" w:customStyle="1" w:styleId="TabletextS2">
    <w:name w:val="Table_text_S2"/>
    <w:basedOn w:val="Tabletext"/>
    <w:rsid w:val="00F94BFA"/>
  </w:style>
  <w:style w:type="paragraph" w:customStyle="1" w:styleId="TabletitleS2">
    <w:name w:val="Table_title_S2"/>
    <w:basedOn w:val="Tabletitle0"/>
    <w:next w:val="TabletextS2"/>
    <w:rsid w:val="00F94BFA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F94BFA"/>
    <w:pPr>
      <w:tabs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hAnsi="Calibri"/>
      <w:caps/>
      <w:noProof/>
      <w:sz w:val="16"/>
      <w:lang w:val="en-GB"/>
    </w:rPr>
  </w:style>
  <w:style w:type="paragraph" w:customStyle="1" w:styleId="HeaderS2">
    <w:name w:val="Header_S2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F94BFA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F94BFA"/>
  </w:style>
  <w:style w:type="paragraph" w:customStyle="1" w:styleId="HeadingbS2">
    <w:name w:val="Headingb_S2"/>
    <w:basedOn w:val="Headingb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F94BFA"/>
    <w:pPr>
      <w:tabs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character" w:styleId="PageNumber">
    <w:name w:val="page number"/>
    <w:basedOn w:val="DefaultParagraphFont"/>
    <w:rsid w:val="00F94BFA"/>
    <w:rPr>
      <w:rFonts w:ascii="Calibri" w:hAnsi="Calibri"/>
    </w:rPr>
  </w:style>
  <w:style w:type="character" w:styleId="FollowedHyperlink">
    <w:name w:val="FollowedHyperlink"/>
    <w:basedOn w:val="DefaultParagraphFont"/>
    <w:rsid w:val="00F94BFA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  <w:outlineLvl w:val="9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</w:rPr>
  </w:style>
  <w:style w:type="paragraph" w:customStyle="1" w:styleId="Normalpv">
    <w:name w:val="Normal pv"/>
    <w:basedOn w:val="Normal"/>
    <w:rsid w:val="00F94BF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F94BF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ind w:left="794" w:hanging="794"/>
      <w:jc w:val="left"/>
      <w:textAlignment w:val="baseline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F94BFA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F94BFA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F94BFA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lang w:val="en-GB"/>
    </w:rPr>
  </w:style>
  <w:style w:type="paragraph" w:customStyle="1" w:styleId="NormalendS2">
    <w:name w:val="Normal_end_S2"/>
    <w:basedOn w:val="Normal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Dectitle">
    <w:name w:val="Dec_title"/>
    <w:basedOn w:val="Restitle"/>
    <w:next w:val="Normalaftertitle"/>
    <w:qFormat/>
    <w:rsid w:val="00F94BFA"/>
  </w:style>
  <w:style w:type="paragraph" w:customStyle="1" w:styleId="DecNo">
    <w:name w:val="Dec_No"/>
    <w:basedOn w:val="ResNo"/>
    <w:next w:val="Dectitle"/>
    <w:qFormat/>
    <w:rsid w:val="00F94BFA"/>
  </w:style>
  <w:style w:type="paragraph" w:customStyle="1" w:styleId="DectitleS2">
    <w:name w:val="Dec_title_S2"/>
    <w:basedOn w:val="RestitleS2"/>
    <w:next w:val="Normal"/>
    <w:qFormat/>
    <w:rsid w:val="00F94BFA"/>
  </w:style>
  <w:style w:type="paragraph" w:customStyle="1" w:styleId="DecNoS2">
    <w:name w:val="Dec_No_S2"/>
    <w:basedOn w:val="ResNoS2"/>
    <w:next w:val="DectitleS2"/>
    <w:qFormat/>
    <w:rsid w:val="00F94BFA"/>
  </w:style>
  <w:style w:type="paragraph" w:customStyle="1" w:styleId="Sectiontitle0">
    <w:name w:val="Section_title"/>
    <w:basedOn w:val="Arttitle"/>
    <w:next w:val="Normalaftertitle"/>
    <w:qFormat/>
    <w:rsid w:val="00F94BFA"/>
  </w:style>
  <w:style w:type="paragraph" w:customStyle="1" w:styleId="SectionNo0">
    <w:name w:val="Section_No"/>
    <w:basedOn w:val="ArtNo"/>
    <w:next w:val="Sectiontitle0"/>
    <w:qFormat/>
    <w:rsid w:val="00F94BFA"/>
  </w:style>
  <w:style w:type="paragraph" w:customStyle="1" w:styleId="SectiontitleS2">
    <w:name w:val="Section_title_S2"/>
    <w:basedOn w:val="ArttitleS2"/>
    <w:next w:val="Normal"/>
    <w:qFormat/>
    <w:rsid w:val="00F94BFA"/>
  </w:style>
  <w:style w:type="paragraph" w:customStyle="1" w:styleId="SectionNoS2">
    <w:name w:val="Section_No_S2"/>
    <w:basedOn w:val="ArtNoS2"/>
    <w:next w:val="SectiontitleS2"/>
    <w:qFormat/>
    <w:rsid w:val="00F94BFA"/>
  </w:style>
  <w:style w:type="paragraph" w:customStyle="1" w:styleId="Agendaitem0">
    <w:name w:val="Agenda_item"/>
    <w:basedOn w:val="Normal"/>
    <w:next w:val="Normal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00" w:line="276" w:lineRule="auto"/>
      <w:jc w:val="center"/>
    </w:pPr>
    <w:rPr>
      <w:rFonts w:asciiTheme="minorHAnsi" w:hAnsiTheme="minorHAnsi" w:cstheme="minorBidi"/>
      <w:sz w:val="28"/>
      <w:szCs w:val="22"/>
      <w:lang w:val="es-ES_tradnl"/>
    </w:rPr>
  </w:style>
  <w:style w:type="paragraph" w:customStyle="1" w:styleId="Committee">
    <w:name w:val="Committee"/>
    <w:basedOn w:val="Normal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bidi w:val="0"/>
      <w:spacing w:before="0" w:after="200" w:line="240" w:lineRule="atLeast"/>
      <w:jc w:val="left"/>
    </w:pPr>
    <w:rPr>
      <w:rFonts w:asciiTheme="minorHAnsi" w:hAnsiTheme="minorHAnsi" w:cstheme="minorHAnsi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94BF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VolumeTitle0">
    <w:name w:val="VolumeTitle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40" w:line="240" w:lineRule="auto"/>
      <w:jc w:val="center"/>
    </w:pPr>
    <w:rPr>
      <w:rFonts w:asciiTheme="minorHAnsi" w:hAnsiTheme="minorHAnsi" w:cstheme="minorBidi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F94BFA"/>
  </w:style>
  <w:style w:type="paragraph" w:customStyle="1" w:styleId="OP">
    <w:name w:val="OP"/>
    <w:basedOn w:val="Normal"/>
    <w:next w:val="Normal"/>
    <w:qFormat/>
    <w:rsid w:val="00F94BFA"/>
    <w:pPr>
      <w:pageBreakBefore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eastAsia="Times New Roman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F94BFA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94BFA"/>
    <w:rPr>
      <w:rFonts w:ascii="Calibri" w:hAnsi="Calibri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F94BFA"/>
    <w:rPr>
      <w:rFonts w:ascii="Calibri" w:hAnsi="Calibri" w:cs="Traditional Arabic"/>
      <w:i/>
      <w:iCs/>
      <w:szCs w:val="30"/>
    </w:rPr>
  </w:style>
  <w:style w:type="table" w:styleId="TableGrid">
    <w:name w:val="Table Grid"/>
    <w:basedOn w:val="TableNormal"/>
    <w:rsid w:val="00F94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F94BFA"/>
  </w:style>
  <w:style w:type="table" w:styleId="GridTable1Light-Accent1">
    <w:name w:val="Grid Table 1 Light Accent 1"/>
    <w:basedOn w:val="TableNormal"/>
    <w:uiPriority w:val="46"/>
    <w:rsid w:val="00F94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C784-2CC9-45E1-993C-3E065DF1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/>
  <dc:creator>Elbahnassawy, Ganat</dc:creator>
  <cp:keywords>PP-18, Plenipotentiary</cp:keywords>
  <dc:description/>
  <cp:lastModifiedBy>Mestrallet, Francoise</cp:lastModifiedBy>
  <cp:revision>11</cp:revision>
  <dcterms:created xsi:type="dcterms:W3CDTF">2018-10-16T10:19:00Z</dcterms:created>
  <dcterms:modified xsi:type="dcterms:W3CDTF">2018-10-18T11:07:00Z</dcterms:modified>
</cp:coreProperties>
</file>