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848F4" w:rsidTr="00E63DAB">
        <w:trPr>
          <w:cantSplit/>
        </w:trPr>
        <w:tc>
          <w:tcPr>
            <w:tcW w:w="6911" w:type="dxa"/>
          </w:tcPr>
          <w:p w:rsidR="00F96AB4" w:rsidRPr="00B848F4" w:rsidRDefault="00F96AB4" w:rsidP="00F2796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848F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B848F4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B848F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B848F4">
              <w:rPr>
                <w:rFonts w:ascii="Verdana" w:hAnsi="Verdana"/>
                <w:szCs w:val="22"/>
                <w:lang w:val="ru-RU"/>
              </w:rPr>
              <w:br/>
            </w:r>
            <w:r w:rsidR="002D024B" w:rsidRPr="00B848F4">
              <w:rPr>
                <w:b/>
                <w:szCs w:val="22"/>
                <w:lang w:val="ru-RU"/>
              </w:rPr>
              <w:t>Дубай</w:t>
            </w:r>
            <w:r w:rsidRPr="00B848F4">
              <w:rPr>
                <w:b/>
                <w:bCs/>
                <w:lang w:val="ru-RU"/>
              </w:rPr>
              <w:t>, 2</w:t>
            </w:r>
            <w:r w:rsidR="002D024B" w:rsidRPr="00B848F4">
              <w:rPr>
                <w:b/>
                <w:bCs/>
                <w:lang w:val="ru-RU"/>
              </w:rPr>
              <w:t>9</w:t>
            </w:r>
            <w:r w:rsidRPr="00B848F4">
              <w:rPr>
                <w:b/>
                <w:bCs/>
                <w:lang w:val="ru-RU"/>
              </w:rPr>
              <w:t xml:space="preserve"> октября – </w:t>
            </w:r>
            <w:r w:rsidR="002D024B" w:rsidRPr="00B848F4">
              <w:rPr>
                <w:b/>
                <w:bCs/>
                <w:lang w:val="ru-RU"/>
              </w:rPr>
              <w:t>16</w:t>
            </w:r>
            <w:r w:rsidRPr="00B848F4">
              <w:rPr>
                <w:b/>
                <w:bCs/>
                <w:lang w:val="ru-RU"/>
              </w:rPr>
              <w:t xml:space="preserve"> ноября 201</w:t>
            </w:r>
            <w:r w:rsidR="002D024B" w:rsidRPr="00B848F4">
              <w:rPr>
                <w:b/>
                <w:bCs/>
                <w:lang w:val="ru-RU"/>
              </w:rPr>
              <w:t>8</w:t>
            </w:r>
            <w:r w:rsidRPr="00B848F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B848F4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B848F4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848F4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848F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848F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B848F4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848F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B848F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81A1A" w:rsidTr="00E63DAB">
        <w:trPr>
          <w:cantSplit/>
        </w:trPr>
        <w:tc>
          <w:tcPr>
            <w:tcW w:w="6911" w:type="dxa"/>
          </w:tcPr>
          <w:p w:rsidR="00F96AB4" w:rsidRPr="00B848F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848F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B848F4" w:rsidRDefault="00F96AB4" w:rsidP="002B391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848F4">
              <w:rPr>
                <w:rFonts w:cstheme="minorHAnsi"/>
                <w:b/>
                <w:bCs/>
                <w:szCs w:val="28"/>
                <w:lang w:val="ru-RU"/>
              </w:rPr>
              <w:t>Исправление 1</w:t>
            </w:r>
            <w:r w:rsidRPr="00B848F4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2B3916" w:rsidRPr="00B848F4">
              <w:rPr>
                <w:rFonts w:cstheme="minorHAnsi"/>
                <w:b/>
                <w:bCs/>
                <w:szCs w:val="28"/>
                <w:lang w:val="ru-RU"/>
              </w:rPr>
              <w:t xml:space="preserve">к </w:t>
            </w:r>
            <w:r w:rsidRPr="00B848F4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2B3916" w:rsidRPr="00B848F4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Pr="00B848F4">
              <w:rPr>
                <w:rFonts w:cstheme="minorHAnsi"/>
                <w:b/>
                <w:bCs/>
                <w:szCs w:val="28"/>
                <w:lang w:val="ru-RU"/>
              </w:rPr>
              <w:t xml:space="preserve"> 55(Add.3)</w:t>
            </w:r>
            <w:r w:rsidR="007919C2" w:rsidRPr="00B848F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B848F4" w:rsidTr="00E63DAB">
        <w:trPr>
          <w:cantSplit/>
        </w:trPr>
        <w:tc>
          <w:tcPr>
            <w:tcW w:w="6911" w:type="dxa"/>
          </w:tcPr>
          <w:p w:rsidR="00F96AB4" w:rsidRPr="00B848F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848F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848F4">
              <w:rPr>
                <w:rFonts w:cstheme="minorHAnsi"/>
                <w:b/>
                <w:bCs/>
                <w:szCs w:val="28"/>
                <w:lang w:val="ru-RU"/>
              </w:rPr>
              <w:t>28 октября 2018 года</w:t>
            </w:r>
          </w:p>
        </w:tc>
      </w:tr>
      <w:tr w:rsidR="00F96AB4" w:rsidRPr="00B848F4" w:rsidTr="00E63DAB">
        <w:trPr>
          <w:cantSplit/>
        </w:trPr>
        <w:tc>
          <w:tcPr>
            <w:tcW w:w="6911" w:type="dxa"/>
          </w:tcPr>
          <w:p w:rsidR="00F96AB4" w:rsidRPr="00B848F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848F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848F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B848F4" w:rsidTr="00E63DAB">
        <w:trPr>
          <w:cantSplit/>
        </w:trPr>
        <w:tc>
          <w:tcPr>
            <w:tcW w:w="10031" w:type="dxa"/>
            <w:gridSpan w:val="2"/>
          </w:tcPr>
          <w:p w:rsidR="00F96AB4" w:rsidRPr="00B848F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848F4" w:rsidTr="00E63DAB">
        <w:trPr>
          <w:cantSplit/>
        </w:trPr>
        <w:tc>
          <w:tcPr>
            <w:tcW w:w="10031" w:type="dxa"/>
            <w:gridSpan w:val="2"/>
          </w:tcPr>
          <w:p w:rsidR="00F96AB4" w:rsidRPr="00B848F4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848F4">
              <w:rPr>
                <w:lang w:val="ru-RU"/>
              </w:rPr>
              <w:t>Администрации Африканского союза электросвязи</w:t>
            </w:r>
          </w:p>
        </w:tc>
      </w:tr>
      <w:tr w:rsidR="00F96AB4" w:rsidRPr="00481A1A" w:rsidTr="00E63DAB">
        <w:trPr>
          <w:cantSplit/>
        </w:trPr>
        <w:tc>
          <w:tcPr>
            <w:tcW w:w="10031" w:type="dxa"/>
            <w:gridSpan w:val="2"/>
          </w:tcPr>
          <w:p w:rsidR="00F96AB4" w:rsidRPr="00B848F4" w:rsidRDefault="002B3916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848F4">
              <w:rPr>
                <w:lang w:val="ru-RU"/>
              </w:rPr>
              <w:t xml:space="preserve">ОБЩИЕ </w:t>
            </w:r>
            <w:r w:rsidR="00F96AB4" w:rsidRPr="00B848F4">
              <w:rPr>
                <w:lang w:val="ru-RU"/>
              </w:rPr>
              <w:t xml:space="preserve">Предложения </w:t>
            </w:r>
            <w:r w:rsidRPr="00B848F4">
              <w:rPr>
                <w:lang w:val="ru-RU"/>
              </w:rPr>
              <w:t xml:space="preserve">АФРИКАНСКИХ СТРАН </w:t>
            </w:r>
            <w:r w:rsidR="00F96AB4" w:rsidRPr="00B848F4">
              <w:rPr>
                <w:lang w:val="ru-RU"/>
              </w:rPr>
              <w:t>для работы конференции</w:t>
            </w:r>
          </w:p>
        </w:tc>
      </w:tr>
      <w:tr w:rsidR="00F96AB4" w:rsidRPr="00481A1A" w:rsidTr="00E63DAB">
        <w:trPr>
          <w:cantSplit/>
        </w:trPr>
        <w:tc>
          <w:tcPr>
            <w:tcW w:w="10031" w:type="dxa"/>
            <w:gridSpan w:val="2"/>
          </w:tcPr>
          <w:p w:rsidR="00F96AB4" w:rsidRPr="00B848F4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481A1A" w:rsidTr="00E63DAB">
        <w:trPr>
          <w:cantSplit/>
        </w:trPr>
        <w:tc>
          <w:tcPr>
            <w:tcW w:w="10031" w:type="dxa"/>
            <w:gridSpan w:val="2"/>
          </w:tcPr>
          <w:p w:rsidR="00F96AB4" w:rsidRPr="00B848F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2B3916" w:rsidRPr="00B848F4" w:rsidRDefault="00DB5E6A" w:rsidP="00DB5E6A">
      <w:pPr>
        <w:pStyle w:val="Normalaftertitle"/>
        <w:rPr>
          <w:lang w:val="ru-RU"/>
        </w:rPr>
      </w:pPr>
      <w:r>
        <w:rPr>
          <w:lang w:val="ru-RU"/>
        </w:rPr>
        <w:t>Просьба заменить предложение</w:t>
      </w:r>
      <w:r w:rsidR="002B3916" w:rsidRPr="00B848F4">
        <w:rPr>
          <w:lang w:val="ru-RU"/>
        </w:rPr>
        <w:t xml:space="preserve"> </w:t>
      </w:r>
      <w:r w:rsidR="002B3916" w:rsidRPr="00B848F4">
        <w:rPr>
          <w:b/>
          <w:bCs/>
          <w:lang w:val="ru-RU"/>
        </w:rPr>
        <w:t>AFCP/55A3/10</w:t>
      </w:r>
      <w:r w:rsidR="002B3916" w:rsidRPr="00B848F4">
        <w:rPr>
          <w:lang w:val="ru-RU"/>
        </w:rPr>
        <w:t xml:space="preserve"> – проект новой Резолюции [AFCP-4] – </w:t>
      </w:r>
      <w:r>
        <w:rPr>
          <w:lang w:val="ru-RU"/>
        </w:rPr>
        <w:t>прилагаемым текстом</w:t>
      </w:r>
      <w:r w:rsidR="002B3916" w:rsidRPr="00B848F4">
        <w:rPr>
          <w:lang w:val="ru-RU"/>
        </w:rPr>
        <w:t>.</w:t>
      </w:r>
    </w:p>
    <w:p w:rsidR="00F96AB4" w:rsidRPr="00B848F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848F4">
        <w:rPr>
          <w:lang w:val="ru-RU"/>
        </w:rPr>
        <w:br w:type="page"/>
      </w:r>
    </w:p>
    <w:p w:rsidR="00A13B23" w:rsidRPr="00B848F4" w:rsidRDefault="00D818DF">
      <w:pPr>
        <w:pStyle w:val="Proposal"/>
      </w:pPr>
      <w:r w:rsidRPr="00B848F4">
        <w:lastRenderedPageBreak/>
        <w:t>ADD</w:t>
      </w:r>
      <w:r w:rsidRPr="00B848F4">
        <w:tab/>
        <w:t>AFCP/55A3/1</w:t>
      </w:r>
      <w:r w:rsidR="00481A1A" w:rsidRPr="00481A1A">
        <w:t>0</w:t>
      </w:r>
      <w:bookmarkStart w:id="8" w:name="_GoBack"/>
      <w:bookmarkEnd w:id="8"/>
      <w:r w:rsidRPr="00B848F4">
        <w:rPr>
          <w:vanish/>
          <w:color w:val="7F7F7F" w:themeColor="text1" w:themeTint="80"/>
          <w:vertAlign w:val="superscript"/>
        </w:rPr>
        <w:t>#48546</w:t>
      </w:r>
    </w:p>
    <w:p w:rsidR="00F572BF" w:rsidRPr="00B848F4" w:rsidRDefault="00D818DF" w:rsidP="00B72AB2">
      <w:pPr>
        <w:pStyle w:val="ResNo"/>
        <w:rPr>
          <w:lang w:val="ru-RU"/>
        </w:rPr>
      </w:pPr>
      <w:r w:rsidRPr="00B848F4">
        <w:rPr>
          <w:lang w:val="ru-RU"/>
        </w:rPr>
        <w:t>Проект новой Резолюции [AFCP-4]</w:t>
      </w:r>
    </w:p>
    <w:p w:rsidR="00F572BF" w:rsidRPr="00B848F4" w:rsidRDefault="00D818DF" w:rsidP="00B12EFE">
      <w:pPr>
        <w:pStyle w:val="Restitle"/>
        <w:rPr>
          <w:lang w:val="ru-RU"/>
        </w:rPr>
      </w:pPr>
      <w:r w:rsidRPr="00B848F4">
        <w:rPr>
          <w:lang w:val="ru-RU"/>
        </w:rPr>
        <w:t xml:space="preserve">Использование </w:t>
      </w:r>
      <w:r w:rsidRPr="00B848F4">
        <w:rPr>
          <w:rFonts w:asciiTheme="minorHAnsi" w:hAnsiTheme="minorHAnsi"/>
          <w:szCs w:val="22"/>
          <w:lang w:val="ru-RU"/>
        </w:rPr>
        <w:t>информационно-коммуникационных технологий для преодоления разрыва в охвате финансовыми услугами</w:t>
      </w:r>
      <w:r w:rsidRPr="00B848F4">
        <w:rPr>
          <w:lang w:val="ru-RU"/>
        </w:rPr>
        <w:t xml:space="preserve"> </w:t>
      </w:r>
    </w:p>
    <w:p w:rsidR="00A93DFF" w:rsidRPr="00B848F4" w:rsidRDefault="00D818DF" w:rsidP="00A93DFF">
      <w:pPr>
        <w:pStyle w:val="Normalaftertitle"/>
        <w:rPr>
          <w:lang w:val="ru-RU"/>
        </w:rPr>
      </w:pPr>
      <w:r w:rsidRPr="00B848F4">
        <w:rPr>
          <w:lang w:val="ru-RU"/>
        </w:rPr>
        <w:t>Полномочная конференция Международного союза электросвязи (Дубай, 2018 г.)</w:t>
      </w:r>
    </w:p>
    <w:p w:rsidR="00A93DFF" w:rsidRPr="00B848F4" w:rsidRDefault="00D818DF" w:rsidP="00A93DFF">
      <w:pPr>
        <w:pStyle w:val="Call"/>
        <w:rPr>
          <w:i w:val="0"/>
          <w:iCs/>
          <w:lang w:val="ru-RU"/>
        </w:rPr>
      </w:pPr>
      <w:r w:rsidRPr="00B848F4">
        <w:rPr>
          <w:lang w:val="ru-RU"/>
        </w:rPr>
        <w:t>напоминая</w:t>
      </w:r>
      <w:r w:rsidRPr="00B848F4">
        <w:rPr>
          <w:i w:val="0"/>
          <w:iCs/>
          <w:lang w:val="ru-RU"/>
        </w:rPr>
        <w:t>,</w:t>
      </w:r>
    </w:p>
    <w:p w:rsidR="006B4C99" w:rsidRPr="00B848F4" w:rsidRDefault="00D818DF" w:rsidP="004B4B4A">
      <w:pPr>
        <w:rPr>
          <w:lang w:val="ru-RU"/>
        </w:rPr>
      </w:pPr>
      <w:r w:rsidRPr="00B848F4">
        <w:rPr>
          <w:i/>
          <w:iCs/>
          <w:lang w:val="ru-RU"/>
        </w:rPr>
        <w:t>a)</w:t>
      </w:r>
      <w:r w:rsidRPr="00B848F4">
        <w:rPr>
          <w:lang w:val="ru-RU"/>
        </w:rPr>
        <w:tab/>
        <w:t>что охват финансовыми услугами является одним из ключевых факторов сокращения масштабов нищеты и повышения благосостояния – около двух миллиардов человек в мире не имеют доступа к официальным финансовым услугам и более 50 процентов взрослого населения в беднейших домашних хозяйствах не имеют банковского счета;</w:t>
      </w:r>
    </w:p>
    <w:p w:rsidR="006B4C99" w:rsidRPr="00B848F4" w:rsidRDefault="00D818DF" w:rsidP="00FF59BE">
      <w:pPr>
        <w:rPr>
          <w:lang w:val="ru-RU"/>
        </w:rPr>
      </w:pPr>
      <w:r w:rsidRPr="00B848F4">
        <w:rPr>
          <w:i/>
          <w:iCs/>
          <w:lang w:val="ru-RU"/>
        </w:rPr>
        <w:t>b)</w:t>
      </w:r>
      <w:r w:rsidRPr="00B848F4">
        <w:rPr>
          <w:lang w:val="ru-RU"/>
        </w:rPr>
        <w:tab/>
        <w:t xml:space="preserve">что один из путей сокращения разрыва в </w:t>
      </w:r>
      <w:r w:rsidRPr="00B848F4">
        <w:rPr>
          <w:color w:val="000000"/>
          <w:lang w:val="ru-RU"/>
        </w:rPr>
        <w:t>охвате финансовыми услугами</w:t>
      </w:r>
      <w:r w:rsidRPr="00B848F4">
        <w:rPr>
          <w:lang w:val="ru-RU"/>
        </w:rPr>
        <w:t xml:space="preserve"> заключается в использовании информационно-коммуникационных технологий (ИКТ), в частности технологий на основе мобильных телефонов;</w:t>
      </w:r>
    </w:p>
    <w:p w:rsidR="006B4C99" w:rsidRPr="00B848F4" w:rsidRDefault="00D818DF" w:rsidP="00AB32CA">
      <w:pPr>
        <w:rPr>
          <w:lang w:val="ru-RU"/>
        </w:rPr>
      </w:pPr>
      <w:r w:rsidRPr="00B848F4">
        <w:rPr>
          <w:i/>
          <w:iCs/>
          <w:lang w:val="ru-RU"/>
        </w:rPr>
        <w:t>c)</w:t>
      </w:r>
      <w:r w:rsidRPr="00B848F4">
        <w:rPr>
          <w:i/>
          <w:iCs/>
          <w:lang w:val="ru-RU"/>
        </w:rPr>
        <w:tab/>
      </w:r>
      <w:r w:rsidRPr="00B848F4">
        <w:rPr>
          <w:lang w:val="ru-RU"/>
        </w:rPr>
        <w:t>что цели Союза включают содействие развитию сотрудничества между его членами в интересах гармоничного развития электросвязи, обмена передовым опытом и предоставления услуг по наименее возможной стоимости;</w:t>
      </w:r>
    </w:p>
    <w:p w:rsidR="006B4C99" w:rsidRPr="00B848F4" w:rsidRDefault="00D818DF" w:rsidP="005B56B3">
      <w:pPr>
        <w:rPr>
          <w:lang w:val="ru-RU"/>
        </w:rPr>
      </w:pPr>
      <w:r w:rsidRPr="00B848F4">
        <w:rPr>
          <w:i/>
          <w:iCs/>
          <w:lang w:val="ru-RU"/>
        </w:rPr>
        <w:t>d)</w:t>
      </w:r>
      <w:r w:rsidRPr="00B848F4">
        <w:rPr>
          <w:lang w:val="ru-RU"/>
        </w:rPr>
        <w:tab/>
        <w:t>Резолюцию 1353 (Женева, 2012 г.) Совета МСЭ, в которой признается, что электросвязь и ИКТ являются существенными компонентами для развитых и развивающихся стран с точки зрения обеспечения устойчивого развития, и в которой Генеральному секретарю поручается определить, во взаимодействии с Директорами Бюро,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:rsidR="006B4C99" w:rsidRPr="00B848F4" w:rsidRDefault="00D818DF" w:rsidP="00236569">
      <w:pPr>
        <w:rPr>
          <w:lang w:val="ru-RU"/>
        </w:rPr>
      </w:pPr>
      <w:r w:rsidRPr="00B848F4">
        <w:rPr>
          <w:i/>
          <w:iCs/>
          <w:lang w:val="ru-RU"/>
        </w:rPr>
        <w:t>e)</w:t>
      </w:r>
      <w:r w:rsidRPr="00B848F4">
        <w:rPr>
          <w:lang w:val="ru-RU"/>
        </w:rPr>
        <w:tab/>
        <w:t>Резолюцию 89 (Хаммамет, 2016 г.) ВАСЭ о содействии использованию информационно-коммуникационных технологий для сокращения разрыва в охвате финансовыми услугами,</w:t>
      </w:r>
    </w:p>
    <w:p w:rsidR="00085271" w:rsidRPr="00B848F4" w:rsidRDefault="00D818DF" w:rsidP="00BB469D">
      <w:pPr>
        <w:pStyle w:val="Call"/>
        <w:rPr>
          <w:i w:val="0"/>
          <w:iCs/>
          <w:lang w:val="ru-RU"/>
        </w:rPr>
      </w:pPr>
      <w:r w:rsidRPr="00B848F4">
        <w:rPr>
          <w:lang w:val="ru-RU"/>
        </w:rPr>
        <w:t>признавая</w:t>
      </w:r>
    </w:p>
    <w:p w:rsidR="00085271" w:rsidRPr="00B848F4" w:rsidRDefault="00D818DF" w:rsidP="00D94C05">
      <w:pPr>
        <w:rPr>
          <w:lang w:val="ru-RU"/>
        </w:rPr>
      </w:pPr>
      <w:r w:rsidRPr="00B848F4">
        <w:rPr>
          <w:i/>
          <w:iCs/>
          <w:lang w:val="ru-RU"/>
        </w:rPr>
        <w:t>a)</w:t>
      </w:r>
      <w:r w:rsidRPr="00B848F4">
        <w:rPr>
          <w:i/>
          <w:iCs/>
          <w:lang w:val="ru-RU"/>
        </w:rPr>
        <w:tab/>
      </w:r>
      <w:r w:rsidRPr="00B848F4">
        <w:rPr>
          <w:lang w:val="ru-RU"/>
        </w:rPr>
        <w:t>исследования и текущую работу по изучению мобильных финансовых услуг в ИК3 МСЭ-T</w:t>
      </w:r>
      <w:r w:rsidR="00D94C05" w:rsidRPr="00B848F4">
        <w:rPr>
          <w:lang w:val="ru-RU"/>
        </w:rPr>
        <w:t xml:space="preserve"> и ИК12 МСЭ-Т</w:t>
      </w:r>
      <w:r w:rsidRPr="00B848F4">
        <w:rPr>
          <w:lang w:val="ru-RU"/>
        </w:rPr>
        <w:t>, в особенности по Вопросу 12/3</w:t>
      </w:r>
      <w:r w:rsidR="00D94C05" w:rsidRPr="00B848F4">
        <w:rPr>
          <w:lang w:val="ru-RU"/>
        </w:rPr>
        <w:t xml:space="preserve"> и Вопросу 13/12</w:t>
      </w:r>
      <w:r w:rsidRPr="00B848F4">
        <w:rPr>
          <w:lang w:val="ru-RU"/>
        </w:rPr>
        <w:t>;</w:t>
      </w:r>
    </w:p>
    <w:p w:rsidR="00085271" w:rsidRPr="00B848F4" w:rsidRDefault="00D818DF" w:rsidP="00236569">
      <w:pPr>
        <w:rPr>
          <w:lang w:val="ru-RU"/>
        </w:rPr>
      </w:pPr>
      <w:r w:rsidRPr="00B848F4">
        <w:rPr>
          <w:i/>
          <w:iCs/>
          <w:lang w:val="ru-RU"/>
        </w:rPr>
        <w:t>b)</w:t>
      </w:r>
      <w:r w:rsidRPr="00B848F4">
        <w:rPr>
          <w:lang w:val="ru-RU"/>
        </w:rPr>
        <w:tab/>
        <w:t>что согласно данным Глобального исследования Всемирного банка по охвату населения финансовыми услугами (Findex), в 2014 году свыше половины взрослых в 40 процентах беднейших домашних хозяйств в развивающихся странах</w:t>
      </w:r>
      <w:r w:rsidRPr="00B848F4">
        <w:rPr>
          <w:rStyle w:val="FootnoteReference"/>
          <w:lang w:val="ru-RU"/>
        </w:rPr>
        <w:footnoteReference w:customMarkFollows="1" w:id="1"/>
        <w:t>1</w:t>
      </w:r>
      <w:r w:rsidRPr="00B848F4">
        <w:rPr>
          <w:lang w:val="ru-RU"/>
        </w:rPr>
        <w:t xml:space="preserve"> все еще не имели банковских счетов [к тому же, гендерный разрыв во владении банковскими счетами сократился лишь незначительно: в 2011 году банковский счет имели 47 процентов женщин и 54 процента мужчин, а в 2014 году эти цифры составили 58 процентов женщин и 65 процентов мужчин, при этом на региональном уровне самый большой гендерный разрыв наблюдается в Южной Азии, где счет в банке имеют 37 процентов женщин по сравнению с 55 процентами мужчин;]</w:t>
      </w:r>
    </w:p>
    <w:p w:rsidR="00A93DFF" w:rsidRPr="00B848F4" w:rsidRDefault="00D818DF" w:rsidP="00A93DFF">
      <w:pPr>
        <w:rPr>
          <w:lang w:val="ru-RU"/>
        </w:rPr>
      </w:pPr>
      <w:r w:rsidRPr="00B848F4">
        <w:rPr>
          <w:i/>
          <w:iCs/>
          <w:lang w:val="ru-RU"/>
        </w:rPr>
        <w:t>c)</w:t>
      </w:r>
      <w:r w:rsidRPr="00B848F4">
        <w:rPr>
          <w:lang w:val="ru-RU"/>
        </w:rPr>
        <w:tab/>
        <w:t>создание Консультативной группой по стандартизации электросвязи (КГСЭ) на ее собрании в Женеве 17–20 июня 2014 года Оперативной группы МСЭ-Т по цифровым финансовым услугам (ОГ</w:t>
      </w:r>
      <w:r w:rsidRPr="00B848F4">
        <w:rPr>
          <w:lang w:val="ru-RU"/>
        </w:rPr>
        <w:noBreakHyphen/>
        <w:t xml:space="preserve">DFS), в мандате которой основное внимание уделяется инновациям в сфере платежей и </w:t>
      </w:r>
      <w:r w:rsidRPr="00B848F4">
        <w:rPr>
          <w:lang w:val="ru-RU"/>
        </w:rPr>
        <w:lastRenderedPageBreak/>
        <w:t>предоставлению финансовых услуг посредством мобильных технологий как в развитых, так и в развивающихся странах;</w:t>
      </w:r>
    </w:p>
    <w:p w:rsidR="009414DC" w:rsidRPr="00B848F4" w:rsidRDefault="00D818DF" w:rsidP="00311DD9">
      <w:pPr>
        <w:rPr>
          <w:lang w:val="ru-RU"/>
        </w:rPr>
      </w:pPr>
      <w:r w:rsidRPr="00B848F4">
        <w:rPr>
          <w:i/>
          <w:iCs/>
          <w:lang w:val="ru-RU"/>
        </w:rPr>
        <w:t>d)</w:t>
      </w:r>
      <w:r w:rsidRPr="00B848F4">
        <w:rPr>
          <w:lang w:val="ru-RU"/>
        </w:rPr>
        <w:tab/>
        <w:t>Технический отчет ИК3 МСЭ-T о Глоссарии по ЦФУ (2018 г.);</w:t>
      </w:r>
    </w:p>
    <w:p w:rsidR="009414DC" w:rsidRPr="00B848F4" w:rsidRDefault="00D818DF" w:rsidP="00645081">
      <w:pPr>
        <w:rPr>
          <w:lang w:val="ru-RU"/>
        </w:rPr>
      </w:pPr>
      <w:r w:rsidRPr="00B848F4">
        <w:rPr>
          <w:i/>
          <w:iCs/>
          <w:lang w:val="ru-RU"/>
        </w:rPr>
        <w:t>e)</w:t>
      </w:r>
      <w:r w:rsidRPr="00B848F4">
        <w:rPr>
          <w:lang w:val="ru-RU"/>
        </w:rPr>
        <w:tab/>
        <w:t>создание Консультативной группой по стандартизации электросвязи (КГСЭ) на ее собрании в Женеве в 2017 году Оперативной группы по цифровой фиатной валюте (ОГ-DFC), мандат которой касается изучения экономического воздействия, экосистемы и регуляторных последствий цифровой фиатной валюты;</w:t>
      </w:r>
    </w:p>
    <w:p w:rsidR="009414DC" w:rsidRPr="00B848F4" w:rsidRDefault="00D818DF" w:rsidP="00645081">
      <w:pPr>
        <w:rPr>
          <w:lang w:val="ru-RU"/>
        </w:rPr>
      </w:pPr>
      <w:r w:rsidRPr="00B848F4">
        <w:rPr>
          <w:i/>
          <w:iCs/>
          <w:lang w:val="ru-RU"/>
        </w:rPr>
        <w:t>f)</w:t>
      </w:r>
      <w:r w:rsidRPr="00B848F4">
        <w:rPr>
          <w:lang w:val="ru-RU"/>
        </w:rPr>
        <w:tab/>
        <w:t>Глобальную инициативу по охвату финансовыми услугами (FIGI), которая представляет собой совместную инициативу Группы Всемирного банка, Фонда Билла и Мелинды Гейтс, Комитета по платежам и рыночным инфраструктурам (КПРИ) и Международного союза электросвязи (МСЭ), предполагающую широкое участие в ее мероприятиях партнеров из государственного и частного секторов;</w:t>
      </w:r>
    </w:p>
    <w:p w:rsidR="005C306F" w:rsidRPr="00B848F4" w:rsidRDefault="00D818DF" w:rsidP="008F0FA5">
      <w:pPr>
        <w:rPr>
          <w:lang w:val="ru-RU"/>
        </w:rPr>
      </w:pPr>
      <w:r w:rsidRPr="00B848F4">
        <w:rPr>
          <w:i/>
          <w:iCs/>
          <w:lang w:val="ru-RU"/>
        </w:rPr>
        <w:t>g)</w:t>
      </w:r>
      <w:r w:rsidRPr="00B848F4">
        <w:rPr>
          <w:lang w:val="ru-RU"/>
        </w:rPr>
        <w:tab/>
        <w:t xml:space="preserve">работу, проделанную 2-й Исследовательской комиссией МСЭ-T в области </w:t>
      </w:r>
      <w:r w:rsidRPr="00B848F4">
        <w:rPr>
          <w:color w:val="000000"/>
          <w:lang w:val="ru-RU"/>
        </w:rPr>
        <w:t>финансовых операций с использованием средств электросвязи</w:t>
      </w:r>
      <w:r w:rsidRPr="00B848F4">
        <w:rPr>
          <w:lang w:val="ru-RU"/>
        </w:rPr>
        <w:t xml:space="preserve"> во время последнего исследовательского периода;</w:t>
      </w:r>
    </w:p>
    <w:p w:rsidR="008F0FA5" w:rsidRPr="00B848F4" w:rsidRDefault="00D818DF" w:rsidP="00645081">
      <w:pPr>
        <w:rPr>
          <w:lang w:val="ru-RU"/>
        </w:rPr>
      </w:pPr>
      <w:r w:rsidRPr="00B848F4">
        <w:rPr>
          <w:i/>
          <w:iCs/>
          <w:lang w:val="ru-RU"/>
        </w:rPr>
        <w:t>h)</w:t>
      </w:r>
      <w:r w:rsidRPr="00B848F4">
        <w:rPr>
          <w:lang w:val="ru-RU"/>
        </w:rPr>
        <w:tab/>
        <w:t>работу Сектора развития в рамках 2-й Исследовательской комиссии по вопросу цифровых финансовых услуг;</w:t>
      </w:r>
    </w:p>
    <w:p w:rsidR="008F0FA5" w:rsidRPr="00B848F4" w:rsidRDefault="00D818DF" w:rsidP="006927D9">
      <w:pPr>
        <w:rPr>
          <w:lang w:val="ru-RU"/>
        </w:rPr>
      </w:pPr>
      <w:r w:rsidRPr="00B848F4">
        <w:rPr>
          <w:i/>
          <w:iCs/>
          <w:lang w:val="ru-RU"/>
        </w:rPr>
        <w:t>i)</w:t>
      </w:r>
      <w:r w:rsidRPr="00B848F4">
        <w:rPr>
          <w:lang w:val="ru-RU"/>
        </w:rPr>
        <w:tab/>
        <w:t>текущую работу в Секторе развития в рамках региональной инициативы для арабских государств по охвату цифровыми финансовыми услугами в целях поддержки использования цифровых финансовых услуг и обеспечения доступа к ним с помощью электросвязи и информационных технологий, а также в целях обеспечения высокого уровня охвата цифровыми финансовыми услугами;</w:t>
      </w:r>
    </w:p>
    <w:p w:rsidR="008F0FA5" w:rsidRPr="00B848F4" w:rsidRDefault="00D818DF" w:rsidP="00645081">
      <w:pPr>
        <w:rPr>
          <w:lang w:val="ru-RU"/>
        </w:rPr>
      </w:pPr>
      <w:r w:rsidRPr="00B848F4">
        <w:rPr>
          <w:i/>
          <w:iCs/>
          <w:lang w:val="ru-RU"/>
        </w:rPr>
        <w:t>j)</w:t>
      </w:r>
      <w:r w:rsidRPr="00B848F4">
        <w:rPr>
          <w:lang w:val="ru-RU"/>
        </w:rPr>
        <w:tab/>
        <w:t>мероприятия, проводимые в рамках Глобальной инициативы по охвату финансовыми услугами (FIGI)</w:t>
      </w:r>
      <w:r w:rsidR="00B848F4">
        <w:rPr>
          <w:lang w:val="ru-RU"/>
        </w:rPr>
        <w:t>,</w:t>
      </w:r>
    </w:p>
    <w:p w:rsidR="003E2C1A" w:rsidRPr="00B848F4" w:rsidRDefault="00D818DF" w:rsidP="003E2C1A">
      <w:pPr>
        <w:pStyle w:val="Call"/>
        <w:rPr>
          <w:i w:val="0"/>
          <w:iCs/>
          <w:lang w:val="ru-RU"/>
        </w:rPr>
      </w:pPr>
      <w:r w:rsidRPr="00B848F4">
        <w:rPr>
          <w:lang w:val="ru-RU"/>
        </w:rPr>
        <w:t>учитывая</w:t>
      </w:r>
      <w:r w:rsidRPr="00B848F4">
        <w:rPr>
          <w:i w:val="0"/>
          <w:iCs/>
          <w:lang w:val="ru-RU"/>
        </w:rPr>
        <w:t>,</w:t>
      </w:r>
    </w:p>
    <w:p w:rsidR="003901B6" w:rsidRPr="00B848F4" w:rsidRDefault="00D818DF" w:rsidP="003901B6">
      <w:pPr>
        <w:rPr>
          <w:lang w:val="ru-RU"/>
        </w:rPr>
      </w:pPr>
      <w:r w:rsidRPr="00B848F4">
        <w:rPr>
          <w:i/>
          <w:iCs/>
          <w:lang w:val="ru-RU"/>
        </w:rPr>
        <w:t>a)</w:t>
      </w:r>
      <w:r w:rsidRPr="00B848F4">
        <w:rPr>
          <w:lang w:val="ru-RU"/>
        </w:rPr>
        <w:tab/>
        <w:t>что проблема доступа к финансовым услугам является одной из глобальных проблем и требует сотрудничества в глобальном масштабе;</w:t>
      </w:r>
    </w:p>
    <w:p w:rsidR="003901B6" w:rsidRPr="00B848F4" w:rsidRDefault="00D818DF" w:rsidP="0013443B">
      <w:pPr>
        <w:rPr>
          <w:rFonts w:ascii="TimesNewRoman" w:hAnsi="TimesNewRoman" w:cs="TimesNewRoman"/>
          <w:sz w:val="20"/>
          <w:lang w:val="ru-RU" w:eastAsia="zh-CN"/>
        </w:rPr>
      </w:pPr>
      <w:r w:rsidRPr="00B848F4">
        <w:rPr>
          <w:i/>
          <w:iCs/>
          <w:lang w:val="ru-RU"/>
        </w:rPr>
        <w:t>b)</w:t>
      </w:r>
      <w:r w:rsidRPr="00B848F4">
        <w:rPr>
          <w:lang w:val="ru-RU"/>
        </w:rPr>
        <w:tab/>
        <w:t xml:space="preserve">Резолюцию 70/1 Генеральной Ассамблеи Организации Объединенных Наций от 25 сентября 2015 года "Преобразование нашего мира: Повестка дня в области устойчивого развития на период до 2030 года", в которой признается, что она основывается на Целях в области развития, сформулированных в Декларации тысячелетия, и направлена на завершение начатой в этих рамках работы, а также подчеркивается важность выполнения этой новой масштабной повестки дня, которая имеет в своей основе искоренение нищеты и направлена на содействие реализации </w:t>
      </w:r>
      <w:r w:rsidRPr="00B848F4">
        <w:rPr>
          <w:color w:val="000000"/>
          <w:lang w:val="ru-RU"/>
        </w:rPr>
        <w:t>экономических, социальных и экологических аспектов устойчивого развития</w:t>
      </w:r>
      <w:r w:rsidRPr="00B848F4">
        <w:rPr>
          <w:lang w:val="ru-RU"/>
        </w:rPr>
        <w:t>;</w:t>
      </w:r>
    </w:p>
    <w:p w:rsidR="003901B6" w:rsidRPr="00B848F4" w:rsidRDefault="00D818DF" w:rsidP="00707753">
      <w:pPr>
        <w:rPr>
          <w:lang w:val="ru-RU"/>
        </w:rPr>
      </w:pPr>
      <w:r w:rsidRPr="00B848F4">
        <w:rPr>
          <w:i/>
          <w:iCs/>
          <w:lang w:val="ru-RU"/>
        </w:rPr>
        <w:t>c)</w:t>
      </w:r>
      <w:r w:rsidRPr="00B848F4">
        <w:rPr>
          <w:lang w:val="ru-RU"/>
        </w:rPr>
        <w:tab/>
        <w:t xml:space="preserve">что эта новая повестка дня, в частности, предусматривает принятие и реализацию политики, направленной на расширение охвата финансовыми услугами, и поэтому включает проблему охвата финансовыми услугами в некоторые задачи, связанные с Целями устойчивого развития, и </w:t>
      </w:r>
      <w:r w:rsidRPr="00B848F4">
        <w:rPr>
          <w:color w:val="000000"/>
          <w:lang w:val="ru-RU"/>
        </w:rPr>
        <w:t>средства их реализации</w:t>
      </w:r>
      <w:r w:rsidRPr="00B848F4">
        <w:rPr>
          <w:lang w:val="ru-RU"/>
        </w:rPr>
        <w:t>;</w:t>
      </w:r>
    </w:p>
    <w:p w:rsidR="003901B6" w:rsidRPr="00B848F4" w:rsidRDefault="00D818DF" w:rsidP="003901B6">
      <w:pPr>
        <w:rPr>
          <w:lang w:val="ru-RU"/>
        </w:rPr>
      </w:pPr>
      <w:r w:rsidRPr="00B848F4">
        <w:rPr>
          <w:i/>
          <w:iCs/>
          <w:lang w:val="ru-RU"/>
        </w:rPr>
        <w:t>d)</w:t>
      </w:r>
      <w:r w:rsidRPr="00B848F4">
        <w:rPr>
          <w:lang w:val="ru-RU"/>
        </w:rPr>
        <w:tab/>
        <w:t>необходимость для регуляторных органов секторов электросвязи и финансовых услуг сотрудничать друг с другом и, в частности, со своими министерствами финансов и другими заинтересованными сторонами и обмениваться передовым опытом, поскольку цифровые финансовые услуги охватывают области, относящиеся к компетенции всех сторон,</w:t>
      </w:r>
    </w:p>
    <w:p w:rsidR="00EB6900" w:rsidRPr="00B848F4" w:rsidRDefault="00D818DF" w:rsidP="00EB6900">
      <w:pPr>
        <w:pStyle w:val="Call"/>
        <w:rPr>
          <w:lang w:val="ru-RU"/>
        </w:rPr>
      </w:pPr>
      <w:r w:rsidRPr="00B848F4">
        <w:rPr>
          <w:lang w:val="ru-RU"/>
        </w:rPr>
        <w:t>отмечая</w:t>
      </w:r>
    </w:p>
    <w:p w:rsidR="00E95D51" w:rsidRPr="00B848F4" w:rsidRDefault="00D818DF" w:rsidP="00E95D51">
      <w:pPr>
        <w:rPr>
          <w:lang w:val="ru-RU"/>
        </w:rPr>
      </w:pPr>
      <w:r w:rsidRPr="00B848F4">
        <w:rPr>
          <w:i/>
          <w:iCs/>
          <w:lang w:val="ru-RU"/>
        </w:rPr>
        <w:t>a)</w:t>
      </w:r>
      <w:r w:rsidRPr="00B848F4">
        <w:rPr>
          <w:lang w:val="ru-RU"/>
        </w:rPr>
        <w:tab/>
        <w:t xml:space="preserve">цель обеспечения к 2020 году </w:t>
      </w:r>
      <w:r w:rsidRPr="00B848F4">
        <w:rPr>
          <w:color w:val="000000"/>
          <w:lang w:val="ru-RU"/>
        </w:rPr>
        <w:t>всеобщего доступа к финансовым услугам,</w:t>
      </w:r>
      <w:r w:rsidRPr="00B848F4">
        <w:rPr>
          <w:lang w:val="ru-RU"/>
        </w:rPr>
        <w:t xml:space="preserve"> установленную Всемирным банком, и что эта цель будет достигнута на глобальном уровне путем предоставления доступа к текущему счету или электронному средству, позволяющему людям хранить деньги, </w:t>
      </w:r>
      <w:r w:rsidRPr="00B848F4">
        <w:rPr>
          <w:lang w:val="ru-RU"/>
        </w:rPr>
        <w:lastRenderedPageBreak/>
        <w:t>направлять и принимать платежи, в качестве основного структурного элемента управления их финансовыми операциями;</w:t>
      </w:r>
    </w:p>
    <w:p w:rsidR="00E95D51" w:rsidRPr="00B848F4" w:rsidRDefault="00D818DF" w:rsidP="00E95D51">
      <w:pPr>
        <w:rPr>
          <w:lang w:val="ru-RU"/>
        </w:rPr>
      </w:pPr>
      <w:r w:rsidRPr="00B848F4">
        <w:rPr>
          <w:i/>
          <w:iCs/>
          <w:lang w:val="ru-RU"/>
        </w:rPr>
        <w:t>b)</w:t>
      </w:r>
      <w:r w:rsidRPr="00B848F4">
        <w:rPr>
          <w:lang w:val="ru-RU"/>
        </w:rPr>
        <w:tab/>
        <w:t>что Группа Всемирного банка взяла на себя обязательство обеспечить для одного миллиарда человек возможность доступа к текущим счетам путем реализации целевых мер;</w:t>
      </w:r>
    </w:p>
    <w:p w:rsidR="00E95D51" w:rsidRPr="00B848F4" w:rsidRDefault="00D818DF" w:rsidP="00356B6F">
      <w:pPr>
        <w:rPr>
          <w:lang w:val="ru-RU"/>
        </w:rPr>
      </w:pPr>
      <w:r w:rsidRPr="00B848F4">
        <w:rPr>
          <w:i/>
          <w:iCs/>
          <w:lang w:val="ru-RU"/>
        </w:rPr>
        <w:t>c)</w:t>
      </w:r>
      <w:r w:rsidRPr="00B848F4">
        <w:rPr>
          <w:lang w:val="ru-RU"/>
        </w:rPr>
        <w:tab/>
        <w:t>что функциональная совместимость является, в частности, важным элементом для обеспечения возможности удобного, приемлемого в ценовом отношении, быстрого, бесперебойного и безопасного осуществления электронных платежей через текущий счет; необходимость обеспечения функциональной совместимости отмечена также в выводах Комитета по платежам и рыночным инфраструктурам (КПРИ) и Целевой группы по платежным аспектам охвата финансовыми услугами (PAFI) Группы Всемирного банка, определивших области существующих платежных систем и услуг, в которых необходимы улучшения для дальнейшего расширения охвата финансовыми услугами, с учетом того, что внедрение существующих стандартов и передового опыта должно иметь приоритетное значение;</w:t>
      </w:r>
    </w:p>
    <w:p w:rsidR="00E95D51" w:rsidRPr="00B848F4" w:rsidRDefault="00D818DF" w:rsidP="004C6E6E">
      <w:pPr>
        <w:rPr>
          <w:lang w:val="ru-RU"/>
        </w:rPr>
      </w:pPr>
      <w:r w:rsidRPr="00B848F4">
        <w:rPr>
          <w:i/>
          <w:iCs/>
          <w:lang w:val="ru-RU"/>
        </w:rPr>
        <w:t>d)</w:t>
      </w:r>
      <w:r w:rsidRPr="00B848F4">
        <w:rPr>
          <w:lang w:val="ru-RU"/>
        </w:rPr>
        <w:tab/>
        <w:t>что несмотря на колоссальный успех услуги мобильных денег в таких странах, как Кения, Танзания, Парагвай, Уганда и Зимбабве, во многих других странах с формирующейся экономикой мобильные финансовые услуги не имели такого же успеха и масштаба использования, и поэтому деятельность по развертыванию стандартов и систем для оказания поддержки цифровым финансовым услугам необходимо будет продолжить и ускорить;</w:t>
      </w:r>
    </w:p>
    <w:p w:rsidR="00E95D51" w:rsidRPr="00B848F4" w:rsidRDefault="00D818DF" w:rsidP="00E95D51">
      <w:pPr>
        <w:rPr>
          <w:lang w:val="ru-RU"/>
        </w:rPr>
      </w:pPr>
      <w:r w:rsidRPr="00B848F4">
        <w:rPr>
          <w:i/>
          <w:iCs/>
          <w:lang w:val="ru-RU"/>
        </w:rPr>
        <w:t>e)</w:t>
      </w:r>
      <w:r w:rsidRPr="00B848F4">
        <w:rPr>
          <w:lang w:val="ru-RU"/>
        </w:rPr>
        <w:tab/>
        <w:t xml:space="preserve">важность обеспечения ценовой доступности цифровых финансовых услуг, особенно для лиц в </w:t>
      </w:r>
      <w:r w:rsidRPr="00B848F4">
        <w:rPr>
          <w:color w:val="000000"/>
          <w:lang w:val="ru-RU"/>
        </w:rPr>
        <w:t>домашних хозяйствах с низким уровнем дохода, для</w:t>
      </w:r>
      <w:r w:rsidRPr="00B848F4">
        <w:rPr>
          <w:lang w:val="ru-RU"/>
        </w:rPr>
        <w:t xml:space="preserve"> д</w:t>
      </w:r>
      <w:r w:rsidRPr="00B848F4">
        <w:rPr>
          <w:color w:val="000000"/>
          <w:lang w:val="ru-RU"/>
        </w:rPr>
        <w:t>остижения цели охвата финансовыми услугами</w:t>
      </w:r>
      <w:r w:rsidRPr="00B848F4">
        <w:rPr>
          <w:lang w:val="ru-RU"/>
        </w:rPr>
        <w:t>;</w:t>
      </w:r>
    </w:p>
    <w:p w:rsidR="00E95D51" w:rsidRPr="00B848F4" w:rsidRDefault="00D818DF" w:rsidP="005F6225">
      <w:pPr>
        <w:rPr>
          <w:lang w:val="ru-RU"/>
        </w:rPr>
      </w:pPr>
      <w:r w:rsidRPr="00B848F4">
        <w:rPr>
          <w:i/>
          <w:iCs/>
          <w:lang w:val="ru-RU"/>
        </w:rPr>
        <w:t>f)</w:t>
      </w:r>
      <w:r w:rsidRPr="00B848F4">
        <w:rPr>
          <w:lang w:val="ru-RU"/>
        </w:rPr>
        <w:tab/>
        <w:t>работу ОГ-DFS, результаты которой были представлены КГСЭ в 2017 году;</w:t>
      </w:r>
    </w:p>
    <w:p w:rsidR="00E95D51" w:rsidRPr="00B848F4" w:rsidRDefault="00D818DF" w:rsidP="00E95D51">
      <w:pPr>
        <w:rPr>
          <w:lang w:val="ru-RU"/>
        </w:rPr>
      </w:pPr>
      <w:r w:rsidRPr="00B848F4">
        <w:rPr>
          <w:i/>
          <w:iCs/>
          <w:lang w:val="ru-RU"/>
        </w:rPr>
        <w:t>g)</w:t>
      </w:r>
      <w:r w:rsidRPr="00B848F4">
        <w:rPr>
          <w:lang w:val="ru-RU"/>
        </w:rPr>
        <w:tab/>
        <w:t>возросший интерес к использованию мобильных финансовых услуг в развивающихся странах,</w:t>
      </w:r>
    </w:p>
    <w:p w:rsidR="004A50D3" w:rsidRPr="00B848F4" w:rsidRDefault="00D818DF" w:rsidP="004A50D3">
      <w:pPr>
        <w:pStyle w:val="Call"/>
        <w:rPr>
          <w:lang w:val="ru-RU"/>
        </w:rPr>
      </w:pPr>
      <w:r w:rsidRPr="00B848F4">
        <w:rPr>
          <w:lang w:val="ru-RU"/>
        </w:rPr>
        <w:t>решает</w:t>
      </w:r>
    </w:p>
    <w:p w:rsidR="00427E18" w:rsidRPr="00B848F4" w:rsidRDefault="00D818DF" w:rsidP="00707753">
      <w:pPr>
        <w:rPr>
          <w:lang w:val="ru-RU"/>
        </w:rPr>
      </w:pPr>
      <w:r w:rsidRPr="00B848F4">
        <w:rPr>
          <w:lang w:val="ru-RU"/>
        </w:rPr>
        <w:t>1</w:t>
      </w:r>
      <w:r w:rsidRPr="00B848F4">
        <w:rPr>
          <w:lang w:val="ru-RU"/>
        </w:rPr>
        <w:tab/>
        <w:t>продолжать изучение вопроса цифровых финансовых услуг в целях расширения охвата финансовыми услугами в развивающихся странах;</w:t>
      </w:r>
    </w:p>
    <w:p w:rsidR="00427E18" w:rsidRPr="00B848F4" w:rsidRDefault="00D818DF" w:rsidP="008852B3">
      <w:pPr>
        <w:rPr>
          <w:lang w:val="ru-RU"/>
        </w:rPr>
      </w:pPr>
      <w:r w:rsidRPr="00B848F4">
        <w:rPr>
          <w:lang w:val="ru-RU"/>
        </w:rPr>
        <w:t>2</w:t>
      </w:r>
      <w:r w:rsidRPr="00B848F4">
        <w:rPr>
          <w:lang w:val="ru-RU"/>
        </w:rPr>
        <w:tab/>
        <w:t>поощрять сотрудничество между регуляторными органами в области электросвязи и регуляторными органами в сфере финансовых услуг в целях разработки и внедрения стандартов и руководящих указаний;</w:t>
      </w:r>
    </w:p>
    <w:p w:rsidR="00427E18" w:rsidRPr="00B848F4" w:rsidRDefault="00D818DF" w:rsidP="00427E18">
      <w:pPr>
        <w:rPr>
          <w:lang w:val="ru-RU"/>
        </w:rPr>
      </w:pPr>
      <w:r w:rsidRPr="00B848F4">
        <w:rPr>
          <w:lang w:val="ru-RU"/>
        </w:rPr>
        <w:t>3</w:t>
      </w:r>
      <w:r w:rsidRPr="00B848F4">
        <w:rPr>
          <w:lang w:val="ru-RU"/>
        </w:rPr>
        <w:tab/>
        <w:t>поощрять использование инновационных цифровых инструментов и технологий, в зависимости от ситуации, чтобы ускорить охват финансовыми услугами,</w:t>
      </w:r>
    </w:p>
    <w:p w:rsidR="00D7520A" w:rsidRPr="00B848F4" w:rsidRDefault="00D818DF" w:rsidP="00001325">
      <w:pPr>
        <w:pStyle w:val="Call"/>
        <w:rPr>
          <w:lang w:val="ru-RU"/>
        </w:rPr>
      </w:pPr>
      <w:r w:rsidRPr="00B848F4">
        <w:rPr>
          <w:lang w:val="ru-RU"/>
        </w:rPr>
        <w:t xml:space="preserve">поручает ИК3 МСЭ-T </w:t>
      </w:r>
      <w:r w:rsidR="00D94C05" w:rsidRPr="00B848F4">
        <w:rPr>
          <w:lang w:val="ru-RU"/>
        </w:rPr>
        <w:t>и ИК12 МСЭ-Т</w:t>
      </w:r>
    </w:p>
    <w:p w:rsidR="00D7520A" w:rsidRPr="00B848F4" w:rsidRDefault="00D818DF" w:rsidP="00001325">
      <w:pPr>
        <w:rPr>
          <w:lang w:val="ru-RU"/>
        </w:rPr>
      </w:pPr>
      <w:r w:rsidRPr="00B848F4">
        <w:rPr>
          <w:lang w:val="ru-RU"/>
        </w:rPr>
        <w:t>1</w:t>
      </w:r>
      <w:r w:rsidRPr="00B848F4">
        <w:rPr>
          <w:lang w:val="ru-RU"/>
        </w:rPr>
        <w:tab/>
        <w:t>продолжать изучать и разрабатывать стандарты, нормативные положения и руководящие указания в области цифровых финансовых услуг в рамках Вопроса 12/3</w:t>
      </w:r>
      <w:r w:rsidR="00D94C05" w:rsidRPr="00B848F4">
        <w:rPr>
          <w:lang w:val="ru-RU"/>
        </w:rPr>
        <w:t xml:space="preserve"> и Вопроса 13/12</w:t>
      </w:r>
      <w:r w:rsidRPr="00B848F4">
        <w:rPr>
          <w:lang w:val="ru-RU"/>
        </w:rPr>
        <w:t>;</w:t>
      </w:r>
    </w:p>
    <w:p w:rsidR="00700430" w:rsidRPr="00B848F4" w:rsidRDefault="00D818DF" w:rsidP="000710A9">
      <w:pPr>
        <w:rPr>
          <w:lang w:val="ru-RU"/>
        </w:rPr>
      </w:pPr>
      <w:r w:rsidRPr="00B848F4">
        <w:rPr>
          <w:lang w:val="ru-RU"/>
        </w:rPr>
        <w:t>2</w:t>
      </w:r>
      <w:r w:rsidRPr="00B848F4">
        <w:rPr>
          <w:lang w:val="ru-RU"/>
        </w:rPr>
        <w:tab/>
        <w:t>продолжать изучать темы функциональной совместимости, перевода платежей в цифровую форму, защиты потребителя, качества обслуживания, больших данных и посредников в тех областях, где такие исследования, стандарты и руководящие указания не дублируют деятельность других учреждений и связаны с мандатом Союза;</w:t>
      </w:r>
    </w:p>
    <w:p w:rsidR="00700430" w:rsidRPr="00B848F4" w:rsidRDefault="00D818DF" w:rsidP="00810224">
      <w:pPr>
        <w:rPr>
          <w:lang w:val="ru-RU"/>
        </w:rPr>
      </w:pPr>
      <w:r w:rsidRPr="00B848F4">
        <w:rPr>
          <w:lang w:val="ru-RU"/>
        </w:rPr>
        <w:t>3</w:t>
      </w:r>
      <w:r w:rsidRPr="00B848F4">
        <w:rPr>
          <w:lang w:val="ru-RU"/>
        </w:rPr>
        <w:tab/>
        <w:t>продолжать свою деятельность в области сотрудничества между регуляторными органами электросвязи и центральными банками;</w:t>
      </w:r>
    </w:p>
    <w:p w:rsidR="00700430" w:rsidRPr="00B848F4" w:rsidRDefault="00D818DF" w:rsidP="000D14D1">
      <w:pPr>
        <w:rPr>
          <w:lang w:val="ru-RU"/>
        </w:rPr>
      </w:pPr>
      <w:r w:rsidRPr="00B848F4">
        <w:rPr>
          <w:lang w:val="ru-RU"/>
        </w:rPr>
        <w:t>4</w:t>
      </w:r>
      <w:r w:rsidRPr="00B848F4">
        <w:rPr>
          <w:lang w:val="ru-RU"/>
        </w:rPr>
        <w:tab/>
        <w:t>осуществлять координацию деятельности и взаимодействие с другими соответствующими организациями по разработке стандартов (ОРС) и учреждениями, на которые возложена основная ответственность за разработку и внедрение стандартов финансовых услуг и создание потенциала в этой области, а также с другими комиссиями в МСЭ,</w:t>
      </w:r>
    </w:p>
    <w:p w:rsidR="005F5CFA" w:rsidRPr="00B848F4" w:rsidRDefault="00D818DF" w:rsidP="005F5CFA">
      <w:pPr>
        <w:pStyle w:val="Call"/>
        <w:rPr>
          <w:lang w:val="ru-RU"/>
        </w:rPr>
      </w:pPr>
      <w:r w:rsidRPr="00B848F4">
        <w:rPr>
          <w:lang w:val="ru-RU"/>
        </w:rPr>
        <w:lastRenderedPageBreak/>
        <w:t>поручает МСЭ-D</w:t>
      </w:r>
    </w:p>
    <w:p w:rsidR="005F5CFA" w:rsidRPr="00B848F4" w:rsidRDefault="00D818DF" w:rsidP="000D14D1">
      <w:pPr>
        <w:rPr>
          <w:lang w:val="ru-RU"/>
        </w:rPr>
      </w:pPr>
      <w:r w:rsidRPr="00B848F4">
        <w:rPr>
          <w:lang w:val="ru-RU"/>
        </w:rPr>
        <w:t>1</w:t>
      </w:r>
      <w:r w:rsidRPr="00B848F4">
        <w:rPr>
          <w:lang w:val="ru-RU"/>
        </w:rPr>
        <w:tab/>
        <w:t>продолжать региональные исследования, касающиеся охвата цифровыми финансовыми услугами;</w:t>
      </w:r>
    </w:p>
    <w:p w:rsidR="005F5CFA" w:rsidRPr="00B848F4" w:rsidRDefault="00D818DF" w:rsidP="005F6225">
      <w:pPr>
        <w:rPr>
          <w:lang w:val="ru-RU"/>
        </w:rPr>
      </w:pPr>
      <w:r w:rsidRPr="00B848F4">
        <w:rPr>
          <w:lang w:val="ru-RU"/>
        </w:rPr>
        <w:t>2</w:t>
      </w:r>
      <w:r w:rsidRPr="00B848F4">
        <w:rPr>
          <w:lang w:val="ru-RU"/>
        </w:rPr>
        <w:tab/>
        <w:t>поощрять оказание регионами спонсорской поддержки новым инициативам по обеспечению охвата цифровыми финансовыми услугами;</w:t>
      </w:r>
    </w:p>
    <w:p w:rsidR="005F5CFA" w:rsidRPr="00B848F4" w:rsidRDefault="00D818DF" w:rsidP="00381F74">
      <w:pPr>
        <w:rPr>
          <w:lang w:val="ru-RU"/>
        </w:rPr>
      </w:pPr>
      <w:r w:rsidRPr="00B848F4">
        <w:rPr>
          <w:lang w:val="ru-RU"/>
        </w:rPr>
        <w:t>3</w:t>
      </w:r>
      <w:r w:rsidRPr="00B848F4">
        <w:rPr>
          <w:lang w:val="ru-RU"/>
        </w:rPr>
        <w:tab/>
        <w:t>продолжать свою деятельность по поддержке повышения осведомленности Членов об охвате цифровыми финансовыми услугами,</w:t>
      </w:r>
    </w:p>
    <w:p w:rsidR="00926D5C" w:rsidRPr="00B848F4" w:rsidRDefault="00D818DF" w:rsidP="000D14D1">
      <w:pPr>
        <w:pStyle w:val="Call"/>
        <w:rPr>
          <w:lang w:val="ru-RU"/>
        </w:rPr>
      </w:pPr>
      <w:r w:rsidRPr="00B848F4">
        <w:rPr>
          <w:lang w:val="ru-RU"/>
        </w:rPr>
        <w:t>поручает Директорам Бюро стандартизации электросвязи и Бюро развития электросвязи</w:t>
      </w:r>
    </w:p>
    <w:p w:rsidR="00926D5C" w:rsidRPr="00B848F4" w:rsidRDefault="00D818DF" w:rsidP="00EE5D9F">
      <w:pPr>
        <w:rPr>
          <w:iCs/>
          <w:lang w:val="ru-RU"/>
        </w:rPr>
      </w:pPr>
      <w:r w:rsidRPr="00B848F4">
        <w:rPr>
          <w:iCs/>
          <w:lang w:val="ru-RU"/>
        </w:rPr>
        <w:t>1</w:t>
      </w:r>
      <w:r w:rsidRPr="00B848F4">
        <w:rPr>
          <w:i/>
          <w:lang w:val="ru-RU"/>
        </w:rPr>
        <w:tab/>
      </w:r>
      <w:r w:rsidRPr="00B848F4">
        <w:rPr>
          <w:lang w:val="ru-RU"/>
        </w:rPr>
        <w:t>активно сотрудничать, представлять информацию и оказывать поддержку по вопросам, касающимся настоящей Резолюции;</w:t>
      </w:r>
    </w:p>
    <w:p w:rsidR="00926D5C" w:rsidRPr="00B848F4" w:rsidRDefault="00D818DF" w:rsidP="000D14D1">
      <w:pPr>
        <w:rPr>
          <w:lang w:val="ru-RU"/>
        </w:rPr>
      </w:pPr>
      <w:r w:rsidRPr="00B848F4">
        <w:rPr>
          <w:lang w:val="ru-RU"/>
        </w:rPr>
        <w:t>2</w:t>
      </w:r>
      <w:r w:rsidRPr="00B848F4">
        <w:rPr>
          <w:lang w:val="ru-RU"/>
        </w:rPr>
        <w:tab/>
        <w:t>представлять ежегодный отчет Совету о ходе работы по выполнению настоящей Резолюции;</w:t>
      </w:r>
    </w:p>
    <w:p w:rsidR="00926D5C" w:rsidRPr="00B848F4" w:rsidRDefault="00D818DF" w:rsidP="00AF3DC3">
      <w:pPr>
        <w:rPr>
          <w:lang w:val="ru-RU"/>
        </w:rPr>
      </w:pPr>
      <w:r w:rsidRPr="00B848F4">
        <w:rPr>
          <w:lang w:val="ru-RU"/>
        </w:rPr>
        <w:t>3</w:t>
      </w:r>
      <w:r w:rsidRPr="00B848F4">
        <w:rPr>
          <w:lang w:val="ru-RU"/>
        </w:rPr>
        <w:tab/>
        <w:t>оказывать поддержку в подготовке отчетов и передовой практики в области охвата цифровыми финансовыми услугами с учетом соответствующих исследований, при условии, что они имеют прямое отношение к мандату Союза и не дублируют работу, относящуюся к сфере ответственности других ОРС и учреждений;</w:t>
      </w:r>
    </w:p>
    <w:p w:rsidR="00926D5C" w:rsidRPr="00B848F4" w:rsidRDefault="00D818DF" w:rsidP="00F3099C">
      <w:pPr>
        <w:rPr>
          <w:lang w:val="ru-RU"/>
        </w:rPr>
      </w:pPr>
      <w:r w:rsidRPr="00B848F4">
        <w:rPr>
          <w:lang w:val="ru-RU"/>
        </w:rPr>
        <w:t>4</w:t>
      </w:r>
      <w:r w:rsidRPr="00B848F4">
        <w:rPr>
          <w:lang w:val="ru-RU"/>
        </w:rPr>
        <w:tab/>
        <w:t xml:space="preserve">создать </w:t>
      </w:r>
      <w:r w:rsidRPr="00B848F4">
        <w:rPr>
          <w:color w:val="000000"/>
          <w:lang w:val="ru-RU"/>
        </w:rPr>
        <w:t>платформу или, если это возможно, присоединиться к уже существующим платформам для взаимного обучения</w:t>
      </w:r>
      <w:r w:rsidRPr="00B848F4">
        <w:rPr>
          <w:lang w:val="ru-RU"/>
        </w:rPr>
        <w:t>, ведения диалога и обмена опытом в области цифровых финансовых услуг между странами и регионами, регуляторными органами из секторов электросвязи и финансовых услуг, экспертами отрасли, а также международными и региональными организациями;</w:t>
      </w:r>
    </w:p>
    <w:p w:rsidR="00926D5C" w:rsidRPr="00B848F4" w:rsidRDefault="00D818DF" w:rsidP="00F3099C">
      <w:pPr>
        <w:rPr>
          <w:lang w:val="ru-RU"/>
        </w:rPr>
      </w:pPr>
      <w:r w:rsidRPr="00B848F4">
        <w:rPr>
          <w:lang w:val="ru-RU"/>
        </w:rPr>
        <w:t>5</w:t>
      </w:r>
      <w:r w:rsidRPr="00B848F4">
        <w:rPr>
          <w:lang w:val="ru-RU"/>
        </w:rPr>
        <w:tab/>
        <w:t>проводить семинары-практикумы и семинары для членов МСЭ в сотрудничестве с другими соответствующими ОРС и учреждениями, чтобы повысить уровень осведомленности и определить конкретные потребности регуляторных органов и проблемы, связанные с расширением охвата финансовыми услугами,</w:t>
      </w:r>
    </w:p>
    <w:p w:rsidR="00A23532" w:rsidRPr="00B848F4" w:rsidRDefault="00D818DF" w:rsidP="00A23532">
      <w:pPr>
        <w:pStyle w:val="Call"/>
        <w:rPr>
          <w:lang w:val="ru-RU"/>
        </w:rPr>
      </w:pPr>
      <w:r w:rsidRPr="00B848F4">
        <w:rPr>
          <w:lang w:val="ru-RU"/>
        </w:rPr>
        <w:t>предлагает Генеральному секретарю</w:t>
      </w:r>
    </w:p>
    <w:p w:rsidR="00A23532" w:rsidRPr="00B848F4" w:rsidRDefault="00D818DF" w:rsidP="00B848F4">
      <w:pPr>
        <w:rPr>
          <w:lang w:val="ru-RU"/>
        </w:rPr>
      </w:pPr>
      <w:r w:rsidRPr="00B848F4">
        <w:rPr>
          <w:lang w:val="ru-RU"/>
        </w:rPr>
        <w:t>продолжать сотрудничать и взаимодействовать с другими учреждениями системы Организации Объединенных Наций и другими соответствующими объединениями при определении будущих международных мер для эффективного решения проблемы охвата финансовыми услугами,</w:t>
      </w:r>
    </w:p>
    <w:p w:rsidR="0001512B" w:rsidRPr="00B848F4" w:rsidRDefault="00D818DF" w:rsidP="0001512B">
      <w:pPr>
        <w:pStyle w:val="Call"/>
        <w:rPr>
          <w:lang w:val="ru-RU"/>
        </w:rPr>
      </w:pPr>
      <w:r w:rsidRPr="00B848F4">
        <w:rPr>
          <w:lang w:val="ru-RU"/>
        </w:rPr>
        <w:t>предлагает Государствам-Членам, Членам Сектора и Ассоциированным членам</w:t>
      </w:r>
    </w:p>
    <w:p w:rsidR="0001512B" w:rsidRPr="00B848F4" w:rsidRDefault="00D818DF" w:rsidP="0001512B">
      <w:pPr>
        <w:rPr>
          <w:lang w:val="ru-RU"/>
        </w:rPr>
      </w:pPr>
      <w:r w:rsidRPr="00B848F4">
        <w:rPr>
          <w:lang w:val="ru-RU"/>
        </w:rPr>
        <w:t>1</w:t>
      </w:r>
      <w:r w:rsidRPr="00B848F4">
        <w:rPr>
          <w:lang w:val="ru-RU"/>
        </w:rPr>
        <w:tab/>
        <w:t>продолжать активно содействовать работе исследовательских комиссий МСЭ-Т и МСЭ-D по вопросам, касающимся использования ИКТ для расширения охвата финансовыми ус</w:t>
      </w:r>
      <w:r w:rsidR="00DB5E6A">
        <w:rPr>
          <w:lang w:val="ru-RU"/>
        </w:rPr>
        <w:t>лугами, в рамках мандата Союза;</w:t>
      </w:r>
    </w:p>
    <w:p w:rsidR="0001512B" w:rsidRPr="00B848F4" w:rsidRDefault="00D818DF" w:rsidP="006864E1">
      <w:pPr>
        <w:rPr>
          <w:lang w:val="ru-RU"/>
        </w:rPr>
      </w:pPr>
      <w:r w:rsidRPr="00B848F4">
        <w:rPr>
          <w:lang w:val="ru-RU"/>
        </w:rPr>
        <w:t>2</w:t>
      </w:r>
      <w:r w:rsidRPr="00B848F4">
        <w:rPr>
          <w:lang w:val="ru-RU"/>
        </w:rPr>
        <w:tab/>
        <w:t>поощрять внедрение политических принципов, относящихся к ИКТ, финансовым услугам и защите потребителей, для более активного использования цифровых финансовых услуг с целью расширения охвата финансовыми услугами,</w:t>
      </w:r>
    </w:p>
    <w:p w:rsidR="00C01C1F" w:rsidRPr="00B848F4" w:rsidRDefault="00D818DF" w:rsidP="00C01C1F">
      <w:pPr>
        <w:pStyle w:val="Call"/>
        <w:rPr>
          <w:lang w:val="ru-RU"/>
        </w:rPr>
      </w:pPr>
      <w:r w:rsidRPr="00B848F4">
        <w:rPr>
          <w:lang w:val="ru-RU"/>
        </w:rPr>
        <w:t>предлагает Государствам-Членам</w:t>
      </w:r>
    </w:p>
    <w:p w:rsidR="00E65769" w:rsidRPr="00B848F4" w:rsidRDefault="00D818DF" w:rsidP="000D14D1">
      <w:pPr>
        <w:rPr>
          <w:lang w:val="ru-RU"/>
        </w:rPr>
      </w:pPr>
      <w:r w:rsidRPr="00B848F4">
        <w:rPr>
          <w:lang w:val="ru-RU"/>
        </w:rPr>
        <w:t>1</w:t>
      </w:r>
      <w:r w:rsidRPr="00B848F4">
        <w:rPr>
          <w:lang w:val="ru-RU"/>
        </w:rPr>
        <w:tab/>
        <w:t>вносить свой вклад в вышеупомянутую деятельность и принимать активное участие в выполнении настоящей Резолюции;</w:t>
      </w:r>
    </w:p>
    <w:p w:rsidR="00D7520A" w:rsidRPr="00B848F4" w:rsidRDefault="00D818DF" w:rsidP="00AF3DC3">
      <w:pPr>
        <w:rPr>
          <w:lang w:val="ru-RU"/>
        </w:rPr>
      </w:pPr>
      <w:r w:rsidRPr="00B848F4">
        <w:rPr>
          <w:lang w:val="ru-RU"/>
        </w:rPr>
        <w:t>2</w:t>
      </w:r>
      <w:r w:rsidRPr="00B848F4">
        <w:rPr>
          <w:lang w:val="ru-RU"/>
        </w:rPr>
        <w:tab/>
        <w:t>сделать одним из приоритетов своей деятельности разработку и внедрение национальных стратегий решения проблемы охвата финансовыми услугами и использовать потенциал ИКТ для обеспечения доступа к финансовым услугам для тех, кто не имеет банковского счета;</w:t>
      </w:r>
    </w:p>
    <w:p w:rsidR="00E65769" w:rsidRPr="00B848F4" w:rsidRDefault="00D818DF" w:rsidP="007E3713">
      <w:pPr>
        <w:rPr>
          <w:lang w:val="ru-RU"/>
        </w:rPr>
      </w:pPr>
      <w:r w:rsidRPr="00B848F4">
        <w:rPr>
          <w:lang w:val="ru-RU"/>
        </w:rPr>
        <w:t>3</w:t>
      </w:r>
      <w:r w:rsidRPr="00B848F4">
        <w:rPr>
          <w:lang w:val="ru-RU"/>
        </w:rPr>
        <w:tab/>
        <w:t>провести реформы, которые позволят использовать потенциал ИКТ для достижения гендерного равенства с учетом целей настоящей Резолюции.</w:t>
      </w:r>
    </w:p>
    <w:p w:rsidR="00DE6E53" w:rsidRPr="00B848F4" w:rsidRDefault="00DE6E53" w:rsidP="0032202E">
      <w:pPr>
        <w:pStyle w:val="Reasons"/>
        <w:rPr>
          <w:lang w:val="ru-RU"/>
        </w:rPr>
      </w:pPr>
    </w:p>
    <w:p w:rsidR="00A13B23" w:rsidRPr="00B848F4" w:rsidRDefault="00DE6E53" w:rsidP="00D818DF">
      <w:pPr>
        <w:spacing w:before="0"/>
        <w:jc w:val="center"/>
        <w:rPr>
          <w:lang w:val="ru-RU"/>
        </w:rPr>
      </w:pPr>
      <w:r w:rsidRPr="00B848F4">
        <w:rPr>
          <w:lang w:val="ru-RU"/>
        </w:rPr>
        <w:t>______________</w:t>
      </w:r>
    </w:p>
    <w:sectPr w:rsidR="00A13B23" w:rsidRPr="00B848F4" w:rsidSect="00D818DF">
      <w:headerReference w:type="default" r:id="rId10"/>
      <w:footerReference w:type="default" r:id="rId11"/>
      <w:footerReference w:type="first" r:id="rId12"/>
      <w:pgSz w:w="11913" w:h="16834" w:code="9"/>
      <w:pgMar w:top="1418" w:right="1134" w:bottom="1134" w:left="1134" w:header="624" w:footer="62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DE6E53" w:rsidRDefault="00DE6E53" w:rsidP="00DE6E53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D818DF">
      <w:rPr>
        <w:lang w:val="en-US"/>
      </w:rPr>
      <w:t>P:\RUS\SG\CONF-SG\PP18\000\055ADD03COR1R.docx</w:t>
    </w:r>
    <w:r>
      <w:rPr>
        <w:lang w:val="en-US"/>
      </w:rPr>
      <w:fldChar w:fldCharType="end"/>
    </w:r>
    <w:r>
      <w:rPr>
        <w:lang w:val="en-US"/>
      </w:rPr>
      <w:t xml:space="preserve"> (445911)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1A1A">
      <w:t>29.10.18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18DF">
      <w:t>29.10.18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D97CC5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D818DF">
      <w:rPr>
        <w:lang w:val="en-US"/>
      </w:rPr>
      <w:t>P:\RUS\SG\CONF-SG\PP18\000\055ADD03COR1R.docx</w:t>
    </w:r>
    <w:r>
      <w:rPr>
        <w:lang w:val="en-US"/>
      </w:rPr>
      <w:fldChar w:fldCharType="end"/>
    </w:r>
    <w:r w:rsidR="00DE6E53">
      <w:rPr>
        <w:lang w:val="en-US"/>
      </w:rPr>
      <w:t xml:space="preserve"> (445911)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481A1A">
      <w:t>29.10.18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D818DF">
      <w:t>29.10.18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  <w:footnote w:id="1">
    <w:p w:rsidR="004E529D" w:rsidRPr="005B5143" w:rsidRDefault="00D818DF" w:rsidP="005B5143">
      <w:pPr>
        <w:pStyle w:val="FootnoteText"/>
        <w:rPr>
          <w:bCs/>
          <w:sz w:val="22"/>
          <w:lang w:val="ru-RU"/>
        </w:rPr>
      </w:pPr>
      <w:r w:rsidRPr="005B5143">
        <w:rPr>
          <w:rStyle w:val="FootnoteReference"/>
          <w:lang w:val="ru-RU"/>
        </w:rPr>
        <w:t>1</w:t>
      </w:r>
      <w:r w:rsidRPr="005B5143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1A1A">
      <w:rPr>
        <w:noProof/>
      </w:rPr>
      <w:t>2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/55(Add.3)(Cor.1)-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B3916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81A1A"/>
    <w:rsid w:val="004B03E9"/>
    <w:rsid w:val="004B3A6C"/>
    <w:rsid w:val="004B70DA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13B23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848F4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818DF"/>
    <w:rsid w:val="00D94C05"/>
    <w:rsid w:val="00D955EF"/>
    <w:rsid w:val="00D97CC5"/>
    <w:rsid w:val="00DB5E6A"/>
    <w:rsid w:val="00DC7337"/>
    <w:rsid w:val="00DD26B1"/>
    <w:rsid w:val="00DD6770"/>
    <w:rsid w:val="00DE24EF"/>
    <w:rsid w:val="00DE6E53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27964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91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B3916"/>
    <w:pPr>
      <w:keepNext/>
    </w:pPr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B3916"/>
    <w:pPr>
      <w:keepNext/>
    </w:pPr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99debfb-0407-4de6-b1c7-2de97e258a6d">DPM</DPM_x0020_Author>
    <DPM_x0020_File_x0020_name xmlns="599debfb-0407-4de6-b1c7-2de97e258a6d">S18-PP-C-0055!A3-C1!MSW-R</DPM_x0020_File_x0020_name>
    <DPM_x0020_Version xmlns="599debfb-0407-4de6-b1c7-2de97e258a6d">DPM_2018.10.17.1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99debfb-0407-4de6-b1c7-2de97e258a6d" targetNamespace="http://schemas.microsoft.com/office/2006/metadata/properties" ma:root="true" ma:fieldsID="d41af5c836d734370eb92e7ee5f83852" ns2:_="" ns3:_="">
    <xsd:import namespace="996b2e75-67fd-4955-a3b0-5ab9934cb50b"/>
    <xsd:import namespace="599debfb-0407-4de6-b1c7-2de97e258a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debfb-0407-4de6-b1c7-2de97e258a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599debfb-0407-4de6-b1c7-2de97e258a6d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99debfb-0407-4de6-b1c7-2de97e258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1844</Words>
  <Characters>10514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S18-PP-C-0055!A3-C1!MSW-R</vt:lpstr>
    </vt:vector>
  </TitlesOfParts>
  <Manager/>
  <Company/>
  <LinksUpToDate>false</LinksUpToDate>
  <CharactersWithSpaces>12334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S18-PP-C-0055!A3-C1!MSW-R</dc:title>
  <dc:subject>Plenipotentiary Conference (PP-18)</dc:subject>
  <dc:creator>Documents Proposals Manager (DPM)</dc:creator>
  <cp:keywords>DPM_v2018.10.27.1_prod</cp:keywords>
  <dc:description/>
  <cp:lastModifiedBy>Janin, Patricia</cp:lastModifiedBy>
  <cp:revision>2</cp:revision>
  <cp:lastPrinted>2018-10-29T07:08:00Z</cp:lastPrinted>
  <dcterms:created xsi:type="dcterms:W3CDTF">2018-10-29T17:23:00Z</dcterms:created>
  <dcterms:modified xsi:type="dcterms:W3CDTF">2018-10-29T17:23:00Z</dcterms:modified>
  <cp:category>Conference document</cp:category>
</cp:coreProperties>
</file>