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733A29">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733A29">
            <w:pPr>
              <w:spacing w:before="0" w:line="240" w:lineRule="atLeast"/>
              <w:rPr>
                <w:rFonts w:cstheme="minorHAnsi"/>
                <w:lang w:val="en-US"/>
              </w:rPr>
            </w:pPr>
            <w:bookmarkStart w:id="2" w:name="ditulogo"/>
            <w:bookmarkEnd w:id="2"/>
            <w:r w:rsidRPr="008C10D9">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733A29">
        <w:trPr>
          <w:cantSplit/>
        </w:trPr>
        <w:tc>
          <w:tcPr>
            <w:tcW w:w="6911" w:type="dxa"/>
            <w:tcBorders>
              <w:bottom w:val="single" w:sz="12" w:space="0" w:color="auto"/>
            </w:tcBorders>
          </w:tcPr>
          <w:p w:rsidR="00BD1614" w:rsidRPr="008C10D9" w:rsidRDefault="00BD1614" w:rsidP="00733A29">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733A29">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733A29">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077155">
            <w:pPr>
              <w:spacing w:before="0"/>
              <w:rPr>
                <w:rFonts w:cstheme="minorHAnsi"/>
                <w:szCs w:val="24"/>
                <w:lang w:val="en-US"/>
              </w:rPr>
            </w:pPr>
            <w:r>
              <w:rPr>
                <w:rFonts w:cstheme="minorHAnsi"/>
                <w:b/>
                <w:szCs w:val="24"/>
                <w:lang w:val="en-US"/>
              </w:rPr>
              <w:t xml:space="preserve">Document </w:t>
            </w:r>
            <w:r w:rsidR="00077155">
              <w:rPr>
                <w:rFonts w:cstheme="minorHAnsi"/>
                <w:b/>
                <w:szCs w:val="24"/>
                <w:lang w:val="en-US"/>
              </w:rPr>
              <w:t>64</w:t>
            </w:r>
            <w:r>
              <w:rPr>
                <w:rFonts w:cstheme="minorHAnsi"/>
                <w:b/>
                <w:szCs w:val="24"/>
                <w:lang w:val="en-US"/>
              </w:rPr>
              <w:t>-F</w:t>
            </w:r>
          </w:p>
        </w:tc>
      </w:tr>
      <w:tr w:rsidR="00BD1614" w:rsidRPr="002A6F8F" w:rsidTr="00733A29">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077155" w:rsidP="003D637A">
            <w:pPr>
              <w:spacing w:before="0"/>
              <w:rPr>
                <w:rFonts w:cstheme="minorHAnsi"/>
                <w:b/>
                <w:szCs w:val="24"/>
                <w:lang w:val="en-US"/>
              </w:rPr>
            </w:pPr>
            <w:r>
              <w:rPr>
                <w:rFonts w:cstheme="minorHAnsi"/>
                <w:b/>
                <w:szCs w:val="24"/>
                <w:lang w:val="en-US"/>
              </w:rPr>
              <w:t>15 octobre 2018</w:t>
            </w:r>
          </w:p>
        </w:tc>
      </w:tr>
      <w:tr w:rsidR="00BD1614" w:rsidRPr="002A6F8F" w:rsidTr="00733A29">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733A29">
        <w:trPr>
          <w:cantSplit/>
        </w:trPr>
        <w:tc>
          <w:tcPr>
            <w:tcW w:w="10031" w:type="dxa"/>
            <w:gridSpan w:val="2"/>
          </w:tcPr>
          <w:p w:rsidR="00BD1614" w:rsidRPr="008C10D9" w:rsidRDefault="00BD1614" w:rsidP="00733A29">
            <w:pPr>
              <w:spacing w:before="0" w:line="240" w:lineRule="atLeast"/>
              <w:rPr>
                <w:rFonts w:cstheme="minorHAnsi"/>
                <w:b/>
                <w:szCs w:val="24"/>
                <w:lang w:val="en-US"/>
              </w:rPr>
            </w:pPr>
          </w:p>
        </w:tc>
      </w:tr>
      <w:tr w:rsidR="00BD1614" w:rsidRPr="002A6F8F" w:rsidTr="00733A29">
        <w:trPr>
          <w:cantSplit/>
        </w:trPr>
        <w:tc>
          <w:tcPr>
            <w:tcW w:w="10031" w:type="dxa"/>
            <w:gridSpan w:val="2"/>
          </w:tcPr>
          <w:p w:rsidR="00BD1614" w:rsidRPr="00077155" w:rsidRDefault="00077155" w:rsidP="00733A29">
            <w:pPr>
              <w:pStyle w:val="Source"/>
              <w:rPr>
                <w:lang w:val="fr-CH"/>
              </w:rPr>
            </w:pPr>
            <w:bookmarkStart w:id="4" w:name="dsource" w:colFirst="0" w:colLast="0"/>
            <w:bookmarkEnd w:id="3"/>
            <w:r w:rsidRPr="00030501">
              <w:rPr>
                <w:lang w:val="fr-CH"/>
              </w:rPr>
              <w:t>Administrations des pays membres de la Télécommunauté Asie-Pacifique</w:t>
            </w:r>
          </w:p>
        </w:tc>
      </w:tr>
      <w:tr w:rsidR="00BD1614" w:rsidRPr="002A6F8F" w:rsidTr="00733A29">
        <w:trPr>
          <w:cantSplit/>
        </w:trPr>
        <w:tc>
          <w:tcPr>
            <w:tcW w:w="10031" w:type="dxa"/>
            <w:gridSpan w:val="2"/>
          </w:tcPr>
          <w:p w:rsidR="00BD1614" w:rsidRPr="00077155" w:rsidRDefault="00077155" w:rsidP="00733A29">
            <w:pPr>
              <w:pStyle w:val="Title1"/>
              <w:rPr>
                <w:lang w:val="fr-CH"/>
              </w:rPr>
            </w:pPr>
            <w:bookmarkStart w:id="5" w:name="dtitle1" w:colFirst="0" w:colLast="0"/>
            <w:bookmarkEnd w:id="4"/>
            <w:r w:rsidRPr="00030501">
              <w:rPr>
                <w:lang w:val="fr-CH"/>
              </w:rPr>
              <w:t>Propositions</w:t>
            </w:r>
            <w:r w:rsidR="00733A29">
              <w:rPr>
                <w:lang w:val="fr-CH"/>
              </w:rPr>
              <w:t xml:space="preserve"> communes de la Télécommunauté Asie</w:t>
            </w:r>
            <w:r w:rsidR="00733A29">
              <w:rPr>
                <w:lang w:val="fr-CH"/>
              </w:rPr>
              <w:noBreakHyphen/>
              <w:t>Pacifique</w:t>
            </w:r>
            <w:r w:rsidR="00733A29">
              <w:rPr>
                <w:lang w:val="fr-CH"/>
              </w:rPr>
              <w:br/>
            </w:r>
            <w:r w:rsidRPr="00030501">
              <w:rPr>
                <w:lang w:val="fr-CH"/>
              </w:rPr>
              <w:t>pour les travaux de la conférence</w:t>
            </w:r>
          </w:p>
        </w:tc>
      </w:tr>
      <w:tr w:rsidR="00BD1614" w:rsidRPr="002A6F8F" w:rsidTr="00733A29">
        <w:trPr>
          <w:cantSplit/>
        </w:trPr>
        <w:tc>
          <w:tcPr>
            <w:tcW w:w="10031" w:type="dxa"/>
            <w:gridSpan w:val="2"/>
          </w:tcPr>
          <w:p w:rsidR="00BD1614" w:rsidRPr="00733A29" w:rsidRDefault="00BD1614" w:rsidP="00733A29">
            <w:pPr>
              <w:pStyle w:val="Title2"/>
              <w:rPr>
                <w:lang w:val="fr-CH"/>
              </w:rPr>
            </w:pPr>
            <w:bookmarkStart w:id="6" w:name="dtitle2" w:colFirst="0" w:colLast="0"/>
            <w:bookmarkEnd w:id="5"/>
          </w:p>
        </w:tc>
      </w:tr>
      <w:tr w:rsidR="00BD1614" w:rsidTr="00733A29">
        <w:trPr>
          <w:cantSplit/>
        </w:trPr>
        <w:tc>
          <w:tcPr>
            <w:tcW w:w="10031" w:type="dxa"/>
            <w:gridSpan w:val="2"/>
          </w:tcPr>
          <w:p w:rsidR="00BD1614" w:rsidRDefault="00BD1614" w:rsidP="00733A29">
            <w:pPr>
              <w:pStyle w:val="Agendaitem"/>
            </w:pPr>
            <w:bookmarkStart w:id="7" w:name="dtitle3" w:colFirst="0" w:colLast="0"/>
            <w:bookmarkEnd w:id="6"/>
          </w:p>
        </w:tc>
      </w:tr>
    </w:tbl>
    <w:bookmarkEnd w:id="7"/>
    <w:p w:rsidR="00077155" w:rsidRPr="004E2558" w:rsidRDefault="00077155" w:rsidP="00077155">
      <w:pPr>
        <w:pStyle w:val="Headingb"/>
        <w:rPr>
          <w:lang w:val="fr-CH"/>
        </w:rPr>
      </w:pPr>
      <w:r w:rsidRPr="004E2558">
        <w:rPr>
          <w:lang w:val="fr-CH"/>
        </w:rPr>
        <w:t>Introduction</w:t>
      </w:r>
    </w:p>
    <w:p w:rsidR="00077155" w:rsidRPr="008E1DD0" w:rsidRDefault="00077155" w:rsidP="00077155">
      <w:pPr>
        <w:rPr>
          <w:highlight w:val="yellow"/>
          <w:lang w:val="fr-CH"/>
        </w:rPr>
      </w:pPr>
      <w:r>
        <w:rPr>
          <w:color w:val="000000"/>
        </w:rPr>
        <w:t>Les propositions communes de la Télécommunauté Asie-Pacifique (ACP) en vue de la PP-18 ont été élaborées lors de quatre réunions préparatoires. Les propositions contenues dans l'addendum ont été définitivement mises au point lors de la 4ème réunion préparatoire de l'APT en vue de la PP-18 (APT PP-18), qui s'est tenue du 27 au 3</w:t>
      </w:r>
      <w:r w:rsidR="00733A29">
        <w:rPr>
          <w:color w:val="000000"/>
        </w:rPr>
        <w:t>0</w:t>
      </w:r>
      <w:r>
        <w:rPr>
          <w:color w:val="000000"/>
        </w:rPr>
        <w:t xml:space="preserve"> août 2018 à Kuala Lumpur (Malaisie), puis ont été approuvées par les Administrations des pays membres de l'APT.</w:t>
      </w:r>
    </w:p>
    <w:p w:rsidR="00077155" w:rsidRPr="0028492A" w:rsidRDefault="00077155" w:rsidP="00733A29">
      <w:pPr>
        <w:rPr>
          <w:lang w:val="fr-CH"/>
        </w:rPr>
      </w:pPr>
      <w:r w:rsidRPr="008E1DD0">
        <w:rPr>
          <w:lang w:val="fr-CH"/>
        </w:rPr>
        <w:t xml:space="preserve">Les propositions communes de l'APT </w:t>
      </w:r>
      <w:r w:rsidR="00733A29">
        <w:rPr>
          <w:lang w:val="fr-CH"/>
        </w:rPr>
        <w:t xml:space="preserve">concernent </w:t>
      </w:r>
      <w:r w:rsidRPr="008E1DD0">
        <w:rPr>
          <w:lang w:val="fr-CH"/>
        </w:rPr>
        <w:t>la stabilité de la Constitution et de la Convention de l'UIT, la révision de plusieurs résolutions, la suppression d'une résolution ainsi qu'un projet de nouvelle résolution. Au total, l'APT soumet 25 propositions, figurant dans l'Addendum 1 du présent document.</w:t>
      </w:r>
    </w:p>
    <w:p w:rsidR="00077155" w:rsidRDefault="00077155" w:rsidP="00733A29">
      <w:pPr>
        <w:rPr>
          <w:lang w:val="fr-CH"/>
        </w:rPr>
      </w:pPr>
      <w:r w:rsidRPr="008E1DD0">
        <w:rPr>
          <w:lang w:val="fr-CH"/>
        </w:rPr>
        <w:t>On trouvera dans l'</w:t>
      </w:r>
      <w:r w:rsidRPr="008E1DD0">
        <w:rPr>
          <w:b/>
          <w:bCs/>
          <w:lang w:val="fr-CH"/>
        </w:rPr>
        <w:t>Annexe 1</w:t>
      </w:r>
      <w:r w:rsidRPr="008E1DD0">
        <w:rPr>
          <w:lang w:val="fr-CH"/>
        </w:rPr>
        <w:t xml:space="preserve"> un tableau répertoriant les propositions communes de l'APT, avec leur numéro et leur titre respectif</w:t>
      </w:r>
      <w:r w:rsidR="00733A29">
        <w:rPr>
          <w:lang w:val="fr-CH"/>
        </w:rPr>
        <w:t>s</w:t>
      </w:r>
      <w:r w:rsidRPr="008E1DD0">
        <w:rPr>
          <w:lang w:val="fr-CH"/>
        </w:rPr>
        <w:t xml:space="preserve">, </w:t>
      </w:r>
      <w:r w:rsidR="00733A29">
        <w:rPr>
          <w:lang w:val="fr-CH"/>
        </w:rPr>
        <w:t xml:space="preserve">pour </w:t>
      </w:r>
      <w:r w:rsidRPr="008E1DD0">
        <w:rPr>
          <w:lang w:val="fr-CH"/>
        </w:rPr>
        <w:t>référence.</w:t>
      </w:r>
    </w:p>
    <w:p w:rsidR="00077155" w:rsidRPr="0028492A" w:rsidRDefault="00077155" w:rsidP="00077155">
      <w:pPr>
        <w:rPr>
          <w:lang w:val="fr-CH"/>
        </w:rPr>
      </w:pPr>
      <w:r w:rsidRPr="008E1DD0">
        <w:rPr>
          <w:lang w:val="fr-CH"/>
        </w:rPr>
        <w:t>On trouvera dans l'</w:t>
      </w:r>
      <w:r w:rsidRPr="008E1DD0">
        <w:rPr>
          <w:b/>
          <w:bCs/>
          <w:lang w:val="fr-CH"/>
        </w:rPr>
        <w:t xml:space="preserve">Annexe 2 </w:t>
      </w:r>
      <w:r w:rsidRPr="008E1DD0">
        <w:rPr>
          <w:lang w:val="fr-CH"/>
        </w:rPr>
        <w:t xml:space="preserve">la liste des Administrations des pays membres de l'APT </w:t>
      </w:r>
      <w:r>
        <w:rPr>
          <w:lang w:val="fr-CH"/>
        </w:rPr>
        <w:t>ainsi que</w:t>
      </w:r>
      <w:r w:rsidRPr="008E1DD0">
        <w:rPr>
          <w:lang w:val="fr-CH"/>
        </w:rPr>
        <w:t xml:space="preserve"> </w:t>
      </w:r>
      <w:r>
        <w:rPr>
          <w:lang w:val="fr-CH"/>
        </w:rPr>
        <w:t>les propositions approuvées par chacune d'elles.</w:t>
      </w:r>
    </w:p>
    <w:p w:rsidR="00077155" w:rsidRDefault="00077155" w:rsidP="00077155">
      <w:pPr>
        <w:tabs>
          <w:tab w:val="clear" w:pos="567"/>
          <w:tab w:val="clear" w:pos="1134"/>
          <w:tab w:val="clear" w:pos="1701"/>
          <w:tab w:val="clear" w:pos="2268"/>
          <w:tab w:val="clear" w:pos="2835"/>
          <w:tab w:val="left" w:pos="6755"/>
        </w:tabs>
        <w:rPr>
          <w:lang w:val="fr-CH"/>
        </w:rPr>
      </w:pPr>
      <w:r w:rsidRPr="0028492A">
        <w:rPr>
          <w:lang w:val="fr-CH"/>
        </w:rPr>
        <w:tab/>
      </w:r>
      <w:r>
        <w:rPr>
          <w:lang w:val="fr-CH"/>
        </w:rPr>
        <w:br w:type="page"/>
      </w:r>
    </w:p>
    <w:p w:rsidR="00077155" w:rsidRPr="00F2104A" w:rsidRDefault="00077155" w:rsidP="00CB12D9">
      <w:pPr>
        <w:pStyle w:val="AnnexNo"/>
        <w:rPr>
          <w:b/>
          <w:bCs/>
        </w:rPr>
      </w:pPr>
      <w:r w:rsidRPr="00F2104A">
        <w:rPr>
          <w:b/>
          <w:bCs/>
        </w:rPr>
        <w:lastRenderedPageBreak/>
        <w:t>ANNEXE 1</w:t>
      </w:r>
    </w:p>
    <w:tbl>
      <w:tblPr>
        <w:tblStyle w:val="TableGrid"/>
        <w:tblW w:w="0" w:type="auto"/>
        <w:jc w:val="center"/>
        <w:tblLook w:val="04A0" w:firstRow="1" w:lastRow="0" w:firstColumn="1" w:lastColumn="0" w:noHBand="0" w:noVBand="1"/>
      </w:tblPr>
      <w:tblGrid>
        <w:gridCol w:w="1413"/>
        <w:gridCol w:w="7127"/>
      </w:tblGrid>
      <w:tr w:rsidR="00077155" w:rsidRPr="00F2104A" w:rsidTr="00733A29">
        <w:trPr>
          <w:jc w:val="center"/>
        </w:trPr>
        <w:tc>
          <w:tcPr>
            <w:tcW w:w="1413" w:type="dxa"/>
          </w:tcPr>
          <w:p w:rsidR="00077155" w:rsidRPr="00F2104A" w:rsidRDefault="00077155" w:rsidP="00733A29">
            <w:pPr>
              <w:pStyle w:val="Tablehead"/>
              <w:rPr>
                <w:b w:val="0"/>
                <w:bCs/>
              </w:rPr>
            </w:pPr>
            <w:r w:rsidRPr="00F2104A">
              <w:rPr>
                <w:b w:val="0"/>
                <w:bCs/>
              </w:rPr>
              <w:t>Numéro ACP</w:t>
            </w:r>
            <w:r w:rsidR="00CB12D9" w:rsidRPr="00F2104A">
              <w:rPr>
                <w:b w:val="0"/>
                <w:bCs/>
              </w:rPr>
              <w:br/>
            </w:r>
            <w:r w:rsidRPr="00F2104A">
              <w:rPr>
                <w:b w:val="0"/>
                <w:bCs/>
              </w:rPr>
              <w:t>ACP/64A1/</w:t>
            </w:r>
          </w:p>
        </w:tc>
        <w:tc>
          <w:tcPr>
            <w:tcW w:w="7127" w:type="dxa"/>
            <w:vAlign w:val="center"/>
          </w:tcPr>
          <w:p w:rsidR="00077155" w:rsidRPr="00F2104A" w:rsidRDefault="00077155" w:rsidP="00CB12D9">
            <w:pPr>
              <w:pStyle w:val="Tablehead"/>
              <w:rPr>
                <w:b w:val="0"/>
                <w:bCs/>
              </w:rPr>
            </w:pPr>
            <w:r w:rsidRPr="00F2104A">
              <w:rPr>
                <w:b w:val="0"/>
                <w:bCs/>
              </w:rPr>
              <w:t>Propositions</w:t>
            </w:r>
          </w:p>
        </w:tc>
      </w:tr>
      <w:tr w:rsidR="00077155" w:rsidRPr="008E1DD0" w:rsidTr="00733A29">
        <w:trPr>
          <w:jc w:val="center"/>
        </w:trPr>
        <w:tc>
          <w:tcPr>
            <w:tcW w:w="1413" w:type="dxa"/>
          </w:tcPr>
          <w:p w:rsidR="00077155" w:rsidRDefault="00077155" w:rsidP="00733A29">
            <w:pPr>
              <w:pStyle w:val="Tabletext"/>
              <w:jc w:val="center"/>
            </w:pPr>
            <w:r>
              <w:t>1</w:t>
            </w:r>
          </w:p>
        </w:tc>
        <w:tc>
          <w:tcPr>
            <w:tcW w:w="7127" w:type="dxa"/>
          </w:tcPr>
          <w:p w:rsidR="00077155" w:rsidRPr="00CB12D9" w:rsidRDefault="00077155" w:rsidP="00CB12D9">
            <w:pPr>
              <w:pStyle w:val="Tabletext"/>
              <w:rPr>
                <w:rFonts w:asciiTheme="minorHAnsi" w:hAnsiTheme="minorHAnsi" w:cstheme="minorHAnsi"/>
                <w:bCs/>
                <w:highlight w:val="yellow"/>
                <w:lang w:val="fr-CH"/>
              </w:rPr>
            </w:pPr>
            <w:r w:rsidRPr="00CB12D9">
              <w:rPr>
                <w:rFonts w:asciiTheme="minorHAnsi" w:hAnsiTheme="minorHAnsi" w:cstheme="minorHAnsi"/>
                <w:bCs/>
                <w:lang w:val="fr-CH"/>
              </w:rPr>
              <w:t>Constitution stable de l'UIT</w:t>
            </w:r>
          </w:p>
        </w:tc>
      </w:tr>
      <w:tr w:rsidR="00077155" w:rsidRPr="008E1DD0" w:rsidTr="00733A29">
        <w:trPr>
          <w:jc w:val="center"/>
        </w:trPr>
        <w:tc>
          <w:tcPr>
            <w:tcW w:w="1413" w:type="dxa"/>
          </w:tcPr>
          <w:p w:rsidR="00077155" w:rsidRDefault="00077155" w:rsidP="00733A29">
            <w:pPr>
              <w:pStyle w:val="Tabletext"/>
              <w:jc w:val="center"/>
            </w:pPr>
            <w:r>
              <w:t>2</w:t>
            </w:r>
          </w:p>
        </w:tc>
        <w:tc>
          <w:tcPr>
            <w:tcW w:w="7127" w:type="dxa"/>
          </w:tcPr>
          <w:p w:rsidR="00077155" w:rsidRPr="00CB12D9" w:rsidRDefault="00077155" w:rsidP="00CB12D9">
            <w:pPr>
              <w:pStyle w:val="Tabletext"/>
              <w:rPr>
                <w:rFonts w:cstheme="minorHAnsi"/>
                <w:bCs/>
                <w:highlight w:val="yellow"/>
                <w:lang w:val="fr-CH"/>
              </w:rPr>
            </w:pPr>
            <w:r w:rsidRPr="00CB12D9">
              <w:rPr>
                <w:rFonts w:cstheme="minorHAnsi"/>
                <w:bCs/>
                <w:szCs w:val="22"/>
                <w:lang w:val="fr-CH"/>
              </w:rPr>
              <w:t>Convention stable de l'UIT</w:t>
            </w:r>
          </w:p>
        </w:tc>
      </w:tr>
      <w:tr w:rsidR="00077155" w:rsidRPr="000669B4" w:rsidTr="00733A29">
        <w:trPr>
          <w:jc w:val="center"/>
        </w:trPr>
        <w:tc>
          <w:tcPr>
            <w:tcW w:w="1413" w:type="dxa"/>
          </w:tcPr>
          <w:p w:rsidR="00077155" w:rsidRDefault="00077155" w:rsidP="00733A29">
            <w:pPr>
              <w:pStyle w:val="Tabletext"/>
              <w:jc w:val="center"/>
            </w:pPr>
            <w:r>
              <w:t>3</w:t>
            </w:r>
          </w:p>
        </w:tc>
        <w:tc>
          <w:tcPr>
            <w:tcW w:w="7127" w:type="dxa"/>
          </w:tcPr>
          <w:p w:rsidR="00077155" w:rsidRPr="00DD0B2A" w:rsidRDefault="00077155" w:rsidP="00CB12D9">
            <w:pPr>
              <w:pStyle w:val="Tabletext"/>
              <w:rPr>
                <w:rFonts w:cstheme="minorHAnsi"/>
                <w:bCs/>
                <w:szCs w:val="22"/>
                <w:lang w:val="fr-CH"/>
              </w:rPr>
            </w:pPr>
            <w:r w:rsidRPr="00DD0B2A">
              <w:rPr>
                <w:rFonts w:cstheme="minorHAnsi"/>
                <w:bCs/>
                <w:szCs w:val="22"/>
                <w:lang w:val="fr-CH"/>
              </w:rPr>
              <w:t>Révision de la Résolution 11 – Manifestations ITU TEL</w:t>
            </w:r>
            <w:r>
              <w:rPr>
                <w:rFonts w:cstheme="minorHAnsi"/>
                <w:bCs/>
                <w:szCs w:val="22"/>
                <w:lang w:val="fr-CH"/>
              </w:rPr>
              <w:t>EC</w:t>
            </w:r>
            <w:r w:rsidRPr="00DD0B2A">
              <w:rPr>
                <w:rFonts w:cstheme="minorHAnsi"/>
                <w:bCs/>
                <w:szCs w:val="22"/>
                <w:lang w:val="fr-CH"/>
              </w:rPr>
              <w:t>OM</w:t>
            </w:r>
          </w:p>
        </w:tc>
      </w:tr>
      <w:tr w:rsidR="00077155" w:rsidRPr="000669B4" w:rsidTr="00733A29">
        <w:trPr>
          <w:jc w:val="center"/>
        </w:trPr>
        <w:tc>
          <w:tcPr>
            <w:tcW w:w="1413" w:type="dxa"/>
          </w:tcPr>
          <w:p w:rsidR="00077155" w:rsidRDefault="00077155" w:rsidP="00733A29">
            <w:pPr>
              <w:pStyle w:val="Tabletext"/>
              <w:jc w:val="center"/>
            </w:pPr>
            <w:r>
              <w:t>4</w:t>
            </w:r>
          </w:p>
        </w:tc>
        <w:tc>
          <w:tcPr>
            <w:tcW w:w="7127" w:type="dxa"/>
          </w:tcPr>
          <w:p w:rsidR="00077155" w:rsidRPr="00DD0B2A" w:rsidRDefault="00077155" w:rsidP="00CB12D9">
            <w:pPr>
              <w:pStyle w:val="Tabletext"/>
              <w:rPr>
                <w:rFonts w:asciiTheme="minorHAnsi" w:hAnsiTheme="minorHAnsi" w:cstheme="minorHAnsi"/>
                <w:szCs w:val="22"/>
                <w:lang w:val="fr-CH"/>
              </w:rPr>
            </w:pPr>
            <w:r w:rsidRPr="00DD0B2A">
              <w:rPr>
                <w:rFonts w:asciiTheme="minorHAnsi" w:hAnsiTheme="minorHAnsi" w:cstheme="minorHAnsi"/>
                <w:szCs w:val="22"/>
                <w:lang w:val="fr-CH"/>
              </w:rPr>
              <w:t xml:space="preserve">Révision de la Résolution 25 </w:t>
            </w:r>
            <w:r w:rsidR="00073490" w:rsidRPr="00073490">
              <w:rPr>
                <w:rFonts w:asciiTheme="minorHAnsi" w:hAnsiTheme="minorHAnsi" w:cstheme="minorHAnsi"/>
                <w:szCs w:val="22"/>
                <w:lang w:val="fr-CH"/>
              </w:rPr>
              <w:t>–</w:t>
            </w:r>
            <w:r w:rsidRPr="00DD0B2A">
              <w:rPr>
                <w:rFonts w:asciiTheme="minorHAnsi" w:hAnsiTheme="minorHAnsi" w:cstheme="minorHAnsi"/>
                <w:szCs w:val="22"/>
                <w:lang w:val="fr-CH"/>
              </w:rPr>
              <w:t xml:space="preserve"> </w:t>
            </w:r>
            <w:bookmarkStart w:id="8" w:name="_Toc407016188"/>
            <w:r w:rsidRPr="00DD0B2A">
              <w:t>Renforcement de la présence régionale</w:t>
            </w:r>
            <w:bookmarkEnd w:id="8"/>
          </w:p>
        </w:tc>
      </w:tr>
      <w:tr w:rsidR="00077155" w:rsidRPr="000669B4" w:rsidTr="00733A29">
        <w:trPr>
          <w:jc w:val="center"/>
        </w:trPr>
        <w:tc>
          <w:tcPr>
            <w:tcW w:w="1413" w:type="dxa"/>
          </w:tcPr>
          <w:p w:rsidR="00077155" w:rsidRDefault="00077155" w:rsidP="00733A29">
            <w:pPr>
              <w:pStyle w:val="Tabletext"/>
              <w:jc w:val="center"/>
            </w:pPr>
            <w:r>
              <w:t>5</w:t>
            </w:r>
          </w:p>
        </w:tc>
        <w:tc>
          <w:tcPr>
            <w:tcW w:w="7127" w:type="dxa"/>
          </w:tcPr>
          <w:p w:rsidR="00077155" w:rsidRPr="00DD0B2A" w:rsidRDefault="00077155" w:rsidP="00CB12D9">
            <w:pPr>
              <w:pStyle w:val="Tabletext"/>
              <w:rPr>
                <w:lang w:val="fr-CH"/>
              </w:rPr>
            </w:pPr>
            <w:r w:rsidRPr="00DD0B2A">
              <w:rPr>
                <w:bCs/>
                <w:lang w:val="fr-CH"/>
              </w:rPr>
              <w:t xml:space="preserve">Révision de la Résolution 30 </w:t>
            </w:r>
            <w:r w:rsidR="00733A29" w:rsidRPr="00073490">
              <w:rPr>
                <w:rFonts w:asciiTheme="minorHAnsi" w:hAnsiTheme="minorHAnsi" w:cstheme="minorHAnsi"/>
                <w:szCs w:val="22"/>
                <w:lang w:val="fr-CH"/>
              </w:rPr>
              <w:t>–</w:t>
            </w:r>
            <w:r w:rsidRPr="00DD0B2A">
              <w:rPr>
                <w:bCs/>
                <w:lang w:val="fr-CH"/>
              </w:rPr>
              <w:t xml:space="preserve"> </w:t>
            </w:r>
            <w:bookmarkStart w:id="9" w:name="_Toc407016191"/>
            <w:r w:rsidRPr="00DD0B2A">
              <w:t>Mesures spéciales en faveur des pays les moins avancés, des petits Etats insulaires en développement, des pays en développement sans littoral et des pays dont l'économie est en transition</w:t>
            </w:r>
            <w:bookmarkEnd w:id="9"/>
          </w:p>
        </w:tc>
      </w:tr>
      <w:tr w:rsidR="00077155" w:rsidRPr="000669B4" w:rsidTr="00733A29">
        <w:trPr>
          <w:jc w:val="center"/>
        </w:trPr>
        <w:tc>
          <w:tcPr>
            <w:tcW w:w="1413" w:type="dxa"/>
          </w:tcPr>
          <w:p w:rsidR="00077155" w:rsidRDefault="00077155" w:rsidP="00733A29">
            <w:pPr>
              <w:pStyle w:val="Tabletext"/>
              <w:jc w:val="center"/>
            </w:pPr>
            <w:r>
              <w:t>6</w:t>
            </w:r>
          </w:p>
        </w:tc>
        <w:tc>
          <w:tcPr>
            <w:tcW w:w="7127" w:type="dxa"/>
          </w:tcPr>
          <w:p w:rsidR="00077155" w:rsidRPr="00DD0B2A" w:rsidRDefault="00077155" w:rsidP="00073490">
            <w:pPr>
              <w:pStyle w:val="Tabletext"/>
              <w:rPr>
                <w:lang w:val="fr-CH"/>
              </w:rPr>
            </w:pPr>
            <w:r w:rsidRPr="00DD0B2A">
              <w:rPr>
                <w:bCs/>
                <w:lang w:val="fr-CH"/>
              </w:rPr>
              <w:t xml:space="preserve">Révision de la Résolution 48 </w:t>
            </w:r>
            <w:r w:rsidR="00073490" w:rsidRPr="00073490">
              <w:rPr>
                <w:rFonts w:asciiTheme="minorHAnsi" w:hAnsiTheme="minorHAnsi" w:cstheme="minorHAnsi"/>
                <w:szCs w:val="22"/>
                <w:lang w:val="fr-CH"/>
              </w:rPr>
              <w:t>–</w:t>
            </w:r>
            <w:r w:rsidRPr="00DD0B2A">
              <w:rPr>
                <w:bCs/>
                <w:lang w:val="fr-CH"/>
              </w:rPr>
              <w:t xml:space="preserve"> </w:t>
            </w:r>
            <w:bookmarkStart w:id="10" w:name="_Toc165351408"/>
            <w:bookmarkStart w:id="11" w:name="_Toc407016197"/>
            <w:r w:rsidRPr="00DD0B2A">
              <w:t>Gestion et développement des ressources humaines</w:t>
            </w:r>
            <w:bookmarkEnd w:id="10"/>
            <w:bookmarkEnd w:id="11"/>
          </w:p>
        </w:tc>
      </w:tr>
      <w:tr w:rsidR="00077155" w:rsidRPr="000669B4" w:rsidTr="00733A29">
        <w:trPr>
          <w:jc w:val="center"/>
        </w:trPr>
        <w:tc>
          <w:tcPr>
            <w:tcW w:w="1413" w:type="dxa"/>
          </w:tcPr>
          <w:p w:rsidR="00077155" w:rsidRDefault="00077155" w:rsidP="00733A29">
            <w:pPr>
              <w:pStyle w:val="Tabletext"/>
              <w:jc w:val="center"/>
            </w:pPr>
            <w:r>
              <w:t>7</w:t>
            </w:r>
          </w:p>
        </w:tc>
        <w:tc>
          <w:tcPr>
            <w:tcW w:w="7127" w:type="dxa"/>
          </w:tcPr>
          <w:p w:rsidR="00077155" w:rsidRPr="00DD0B2A" w:rsidRDefault="00077155" w:rsidP="00073490">
            <w:pPr>
              <w:pStyle w:val="Tabletext"/>
              <w:rPr>
                <w:bCs/>
                <w:lang w:val="fr-CH"/>
              </w:rPr>
            </w:pPr>
            <w:r w:rsidRPr="00DD0B2A">
              <w:rPr>
                <w:bCs/>
                <w:lang w:val="fr-CH"/>
              </w:rPr>
              <w:t xml:space="preserve">Révision de la Résolution 70 </w:t>
            </w:r>
            <w:r w:rsidR="00073490" w:rsidRPr="00073490">
              <w:rPr>
                <w:rFonts w:asciiTheme="minorHAnsi" w:hAnsiTheme="minorHAnsi" w:cstheme="minorHAnsi"/>
                <w:szCs w:val="22"/>
                <w:lang w:val="fr-CH"/>
              </w:rPr>
              <w:t>–</w:t>
            </w:r>
            <w:r w:rsidRPr="00DD0B2A">
              <w:rPr>
                <w:bCs/>
                <w:lang w:val="fr-CH"/>
              </w:rPr>
              <w:t xml:space="preserve"> </w:t>
            </w:r>
            <w:bookmarkStart w:id="12" w:name="_Toc407016203"/>
            <w:r w:rsidRPr="00DD0B2A">
              <w:t>Intégration du principe de l'égalité hommes/femmes à l'UIT, promotion de l'égalité hommes/femmes et autonomisation des femmes grâce aux technologies de l'information et de la communication</w:t>
            </w:r>
            <w:bookmarkEnd w:id="12"/>
          </w:p>
        </w:tc>
      </w:tr>
      <w:tr w:rsidR="00077155" w:rsidRPr="000669B4" w:rsidTr="00733A29">
        <w:trPr>
          <w:jc w:val="center"/>
        </w:trPr>
        <w:tc>
          <w:tcPr>
            <w:tcW w:w="1413" w:type="dxa"/>
          </w:tcPr>
          <w:p w:rsidR="00077155" w:rsidRDefault="00077155" w:rsidP="00733A29">
            <w:pPr>
              <w:pStyle w:val="Tabletext"/>
              <w:jc w:val="center"/>
            </w:pPr>
            <w:r>
              <w:t>8</w:t>
            </w:r>
          </w:p>
        </w:tc>
        <w:tc>
          <w:tcPr>
            <w:tcW w:w="7127" w:type="dxa"/>
          </w:tcPr>
          <w:p w:rsidR="00077155" w:rsidRPr="00DD0B2A" w:rsidRDefault="00077155" w:rsidP="00733A29">
            <w:pPr>
              <w:pStyle w:val="Tabletext"/>
              <w:rPr>
                <w:bCs/>
                <w:lang w:val="fr-CH"/>
              </w:rPr>
            </w:pPr>
            <w:r w:rsidRPr="00DD0B2A">
              <w:rPr>
                <w:bCs/>
                <w:lang w:val="fr-CH"/>
              </w:rPr>
              <w:t>Révision de la Résolution 71 – Plan stratégique de l</w:t>
            </w:r>
            <w:r w:rsidR="00733A29">
              <w:rPr>
                <w:bCs/>
                <w:lang w:val="fr-CH"/>
              </w:rPr>
              <w:t>'</w:t>
            </w:r>
            <w:r w:rsidRPr="00DD0B2A">
              <w:rPr>
                <w:bCs/>
                <w:lang w:val="fr-CH"/>
              </w:rPr>
              <w:t>Union pour</w:t>
            </w:r>
            <w:r w:rsidR="00733A29">
              <w:rPr>
                <w:bCs/>
                <w:lang w:val="fr-CH"/>
              </w:rPr>
              <w:t xml:space="preserve"> la période </w:t>
            </w:r>
            <w:r w:rsidRPr="00DD0B2A">
              <w:rPr>
                <w:bCs/>
                <w:lang w:val="fr-CH"/>
              </w:rPr>
              <w:t>2020-2023</w:t>
            </w:r>
          </w:p>
        </w:tc>
      </w:tr>
      <w:tr w:rsidR="00077155" w:rsidRPr="000669B4" w:rsidTr="00733A29">
        <w:trPr>
          <w:jc w:val="center"/>
        </w:trPr>
        <w:tc>
          <w:tcPr>
            <w:tcW w:w="1413" w:type="dxa"/>
          </w:tcPr>
          <w:p w:rsidR="00077155" w:rsidRDefault="00077155" w:rsidP="00733A29">
            <w:pPr>
              <w:pStyle w:val="Tabletext"/>
              <w:jc w:val="center"/>
            </w:pPr>
            <w:r>
              <w:t>9</w:t>
            </w:r>
          </w:p>
        </w:tc>
        <w:tc>
          <w:tcPr>
            <w:tcW w:w="7127" w:type="dxa"/>
          </w:tcPr>
          <w:p w:rsidR="00077155" w:rsidRPr="00DD0B2A" w:rsidRDefault="00077155" w:rsidP="00073490">
            <w:pPr>
              <w:pStyle w:val="Tabletext"/>
              <w:rPr>
                <w:rFonts w:asciiTheme="minorHAnsi" w:hAnsiTheme="minorHAnsi" w:cstheme="minorHAnsi"/>
                <w:bCs/>
                <w:lang w:val="fr-CH"/>
              </w:rPr>
            </w:pPr>
            <w:r w:rsidRPr="00DD0B2A">
              <w:rPr>
                <w:rFonts w:asciiTheme="minorHAnsi" w:hAnsiTheme="minorHAnsi" w:cstheme="minorHAnsi"/>
                <w:bCs/>
                <w:szCs w:val="22"/>
                <w:lang w:val="fr-CH"/>
              </w:rPr>
              <w:t>Révision de l</w:t>
            </w:r>
            <w:r w:rsidR="00733A29">
              <w:rPr>
                <w:rFonts w:asciiTheme="minorHAnsi" w:hAnsiTheme="minorHAnsi" w:cstheme="minorHAnsi"/>
                <w:bCs/>
                <w:szCs w:val="22"/>
                <w:lang w:val="fr-CH"/>
              </w:rPr>
              <w:t>'</w:t>
            </w:r>
            <w:r w:rsidRPr="00DD0B2A">
              <w:rPr>
                <w:rFonts w:asciiTheme="minorHAnsi" w:hAnsiTheme="minorHAnsi" w:cstheme="minorHAnsi"/>
                <w:bCs/>
                <w:szCs w:val="22"/>
                <w:lang w:val="fr-CH"/>
              </w:rPr>
              <w:t xml:space="preserve">Annexe 1 à la Résolution 71 </w:t>
            </w:r>
            <w:r w:rsidR="00073490" w:rsidRPr="00073490">
              <w:rPr>
                <w:rFonts w:asciiTheme="minorHAnsi" w:hAnsiTheme="minorHAnsi" w:cstheme="minorHAnsi"/>
                <w:szCs w:val="22"/>
                <w:lang w:val="fr-CH"/>
              </w:rPr>
              <w:t>–</w:t>
            </w:r>
            <w:r w:rsidRPr="00DD0B2A">
              <w:rPr>
                <w:rFonts w:asciiTheme="minorHAnsi" w:hAnsiTheme="minorHAnsi" w:cstheme="minorHAnsi"/>
                <w:bCs/>
                <w:szCs w:val="22"/>
                <w:lang w:val="fr-CH"/>
              </w:rPr>
              <w:t xml:space="preserve"> </w:t>
            </w:r>
            <w:r w:rsidRPr="00DD0B2A">
              <w:rPr>
                <w:bCs/>
                <w:lang w:val="fr-CH"/>
              </w:rPr>
              <w:t>Plan stratégique de l</w:t>
            </w:r>
            <w:r w:rsidR="00733A29">
              <w:rPr>
                <w:bCs/>
                <w:lang w:val="fr-CH"/>
              </w:rPr>
              <w:t>'</w:t>
            </w:r>
            <w:r w:rsidRPr="00DD0B2A">
              <w:rPr>
                <w:bCs/>
                <w:lang w:val="fr-CH"/>
              </w:rPr>
              <w:t xml:space="preserve">Union pour </w:t>
            </w:r>
            <w:r w:rsidR="00733A29">
              <w:rPr>
                <w:bCs/>
                <w:lang w:val="fr-CH"/>
              </w:rPr>
              <w:t xml:space="preserve">la période </w:t>
            </w:r>
            <w:r w:rsidRPr="00DD0B2A">
              <w:rPr>
                <w:rFonts w:asciiTheme="minorHAnsi" w:hAnsiTheme="minorHAnsi" w:cstheme="minorHAnsi"/>
                <w:bCs/>
                <w:szCs w:val="22"/>
                <w:lang w:val="fr-CH"/>
              </w:rPr>
              <w:t>2020-2023</w:t>
            </w:r>
          </w:p>
        </w:tc>
      </w:tr>
      <w:tr w:rsidR="00077155" w:rsidRPr="000669B4" w:rsidTr="00733A29">
        <w:trPr>
          <w:jc w:val="center"/>
        </w:trPr>
        <w:tc>
          <w:tcPr>
            <w:tcW w:w="1413" w:type="dxa"/>
          </w:tcPr>
          <w:p w:rsidR="00077155" w:rsidRDefault="00077155" w:rsidP="00733A29">
            <w:pPr>
              <w:pStyle w:val="Tabletext"/>
              <w:jc w:val="center"/>
            </w:pPr>
            <w:r>
              <w:t>10</w:t>
            </w:r>
          </w:p>
        </w:tc>
        <w:tc>
          <w:tcPr>
            <w:tcW w:w="7127" w:type="dxa"/>
          </w:tcPr>
          <w:p w:rsidR="00077155" w:rsidRPr="00DD0B2A" w:rsidRDefault="00077155" w:rsidP="00073490">
            <w:pPr>
              <w:pStyle w:val="Tabletext"/>
              <w:rPr>
                <w:bCs/>
                <w:lang w:val="fr-CH"/>
              </w:rPr>
            </w:pPr>
            <w:r w:rsidRPr="00DD0B2A">
              <w:rPr>
                <w:bCs/>
                <w:lang w:val="fr-CH"/>
              </w:rPr>
              <w:t xml:space="preserve">Révision de la Résolution 101 </w:t>
            </w:r>
            <w:r w:rsidR="00073490" w:rsidRPr="00073490">
              <w:rPr>
                <w:rFonts w:asciiTheme="minorHAnsi" w:hAnsiTheme="minorHAnsi" w:cstheme="minorHAnsi"/>
                <w:szCs w:val="22"/>
                <w:lang w:val="fr-CH"/>
              </w:rPr>
              <w:t>–</w:t>
            </w:r>
            <w:r w:rsidRPr="00DD0B2A">
              <w:rPr>
                <w:bCs/>
                <w:lang w:val="fr-CH"/>
              </w:rPr>
              <w:t xml:space="preserve"> </w:t>
            </w:r>
            <w:bookmarkStart w:id="13" w:name="_Toc165351472"/>
            <w:bookmarkStart w:id="14" w:name="_Toc407016215"/>
            <w:r w:rsidRPr="00DD0B2A">
              <w:t>Réseaux fondés sur le protocole Internet</w:t>
            </w:r>
            <w:bookmarkEnd w:id="13"/>
            <w:bookmarkEnd w:id="14"/>
          </w:p>
        </w:tc>
      </w:tr>
      <w:tr w:rsidR="00077155" w:rsidRPr="000669B4" w:rsidTr="00733A29">
        <w:trPr>
          <w:jc w:val="center"/>
        </w:trPr>
        <w:tc>
          <w:tcPr>
            <w:tcW w:w="1413" w:type="dxa"/>
          </w:tcPr>
          <w:p w:rsidR="00077155" w:rsidRDefault="00077155" w:rsidP="00733A29">
            <w:pPr>
              <w:pStyle w:val="Tabletext"/>
              <w:jc w:val="center"/>
            </w:pPr>
            <w:r>
              <w:t>11</w:t>
            </w:r>
          </w:p>
        </w:tc>
        <w:tc>
          <w:tcPr>
            <w:tcW w:w="7127" w:type="dxa"/>
          </w:tcPr>
          <w:p w:rsidR="00077155" w:rsidRPr="00DD0B2A" w:rsidRDefault="00077155" w:rsidP="00073490">
            <w:pPr>
              <w:pStyle w:val="Tabletext"/>
              <w:rPr>
                <w:lang w:val="fr-CH"/>
              </w:rPr>
            </w:pPr>
            <w:r w:rsidRPr="00DD0B2A">
              <w:rPr>
                <w:bCs/>
                <w:lang w:val="fr-CH"/>
              </w:rPr>
              <w:t xml:space="preserve">Révision de la Résolution 102 </w:t>
            </w:r>
            <w:r w:rsidR="00073490" w:rsidRPr="00073490">
              <w:rPr>
                <w:rFonts w:asciiTheme="minorHAnsi" w:hAnsiTheme="minorHAnsi" w:cstheme="minorHAnsi"/>
                <w:szCs w:val="22"/>
                <w:lang w:val="fr-CH"/>
              </w:rPr>
              <w:t>–</w:t>
            </w:r>
            <w:r w:rsidRPr="00DD0B2A">
              <w:rPr>
                <w:bCs/>
                <w:lang w:val="fr-CH"/>
              </w:rPr>
              <w:t xml:space="preserve"> </w:t>
            </w:r>
            <w:bookmarkStart w:id="15" w:name="_Toc407016217"/>
            <w:r w:rsidRPr="00DD0B2A">
              <w:t>Rôle de l'UIT concernant les questions de politiques publiques internationales ayant trait à l'Internet et à la gestion des ressources de l'Internet, y compris les noms de domaine et les adresses</w:t>
            </w:r>
            <w:bookmarkEnd w:id="15"/>
          </w:p>
        </w:tc>
      </w:tr>
      <w:tr w:rsidR="00077155" w:rsidRPr="000669B4" w:rsidTr="00733A29">
        <w:trPr>
          <w:jc w:val="center"/>
        </w:trPr>
        <w:tc>
          <w:tcPr>
            <w:tcW w:w="1413" w:type="dxa"/>
          </w:tcPr>
          <w:p w:rsidR="00077155" w:rsidRDefault="00077155" w:rsidP="00733A29">
            <w:pPr>
              <w:pStyle w:val="Tabletext"/>
              <w:jc w:val="center"/>
            </w:pPr>
            <w:r>
              <w:t>12</w:t>
            </w:r>
          </w:p>
        </w:tc>
        <w:tc>
          <w:tcPr>
            <w:tcW w:w="7127" w:type="dxa"/>
          </w:tcPr>
          <w:p w:rsidR="00077155" w:rsidRPr="00DD0B2A" w:rsidRDefault="00077155" w:rsidP="00073490">
            <w:pPr>
              <w:pStyle w:val="Tabletext"/>
              <w:rPr>
                <w:lang w:val="fr-CH"/>
              </w:rPr>
            </w:pPr>
            <w:r w:rsidRPr="00DD0B2A">
              <w:rPr>
                <w:bCs/>
                <w:lang w:val="fr-CH"/>
              </w:rPr>
              <w:t xml:space="preserve">Révision de la Résolution 123 </w:t>
            </w:r>
            <w:r w:rsidR="00073490" w:rsidRPr="00073490">
              <w:rPr>
                <w:rFonts w:asciiTheme="minorHAnsi" w:hAnsiTheme="minorHAnsi" w:cstheme="minorHAnsi"/>
                <w:szCs w:val="22"/>
                <w:lang w:val="fr-CH"/>
              </w:rPr>
              <w:t>–</w:t>
            </w:r>
            <w:r w:rsidRPr="00DD0B2A">
              <w:rPr>
                <w:bCs/>
                <w:lang w:val="fr-CH"/>
              </w:rPr>
              <w:t xml:space="preserve"> </w:t>
            </w:r>
            <w:bookmarkStart w:id="16" w:name="_Toc407016221"/>
            <w:r w:rsidRPr="00DD0B2A">
              <w:t>Réduire l'écart qui existe en matière de normalisation entre pays en développement et pays développés</w:t>
            </w:r>
            <w:bookmarkEnd w:id="16"/>
          </w:p>
        </w:tc>
      </w:tr>
      <w:tr w:rsidR="00077155" w:rsidRPr="000669B4" w:rsidTr="00733A29">
        <w:trPr>
          <w:jc w:val="center"/>
        </w:trPr>
        <w:tc>
          <w:tcPr>
            <w:tcW w:w="1413" w:type="dxa"/>
          </w:tcPr>
          <w:p w:rsidR="00077155" w:rsidRDefault="00077155" w:rsidP="00733A29">
            <w:pPr>
              <w:pStyle w:val="Tabletext"/>
              <w:jc w:val="center"/>
            </w:pPr>
            <w:r>
              <w:t>13</w:t>
            </w:r>
          </w:p>
        </w:tc>
        <w:tc>
          <w:tcPr>
            <w:tcW w:w="7127" w:type="dxa"/>
          </w:tcPr>
          <w:p w:rsidR="00077155" w:rsidRPr="00DD0B2A" w:rsidRDefault="00077155" w:rsidP="00073490">
            <w:pPr>
              <w:pStyle w:val="Tabletext"/>
              <w:rPr>
                <w:lang w:val="fr-CH"/>
              </w:rPr>
            </w:pPr>
            <w:r w:rsidRPr="00DD0B2A">
              <w:rPr>
                <w:bCs/>
                <w:lang w:val="fr-CH"/>
              </w:rPr>
              <w:t xml:space="preserve">Révision de la Résolution 130 </w:t>
            </w:r>
            <w:r w:rsidR="00073490" w:rsidRPr="00073490">
              <w:rPr>
                <w:rFonts w:asciiTheme="minorHAnsi" w:hAnsiTheme="minorHAnsi" w:cstheme="minorHAnsi"/>
                <w:szCs w:val="22"/>
                <w:lang w:val="fr-CH"/>
              </w:rPr>
              <w:t>–</w:t>
            </w:r>
            <w:r w:rsidRPr="00DD0B2A">
              <w:rPr>
                <w:bCs/>
                <w:lang w:val="fr-CH"/>
              </w:rPr>
              <w:t xml:space="preserve"> </w:t>
            </w:r>
            <w:bookmarkStart w:id="17" w:name="_Toc165351506"/>
            <w:bookmarkStart w:id="18" w:name="_Toc407016225"/>
            <w:r w:rsidRPr="00DD0B2A">
              <w:t>Renforcement du rôle de l'UIT dans l'instauration de la confiance et de la sécurité dans l'utilisation des technologies de l'information et de la communication</w:t>
            </w:r>
            <w:bookmarkEnd w:id="17"/>
            <w:bookmarkEnd w:id="18"/>
          </w:p>
        </w:tc>
      </w:tr>
      <w:tr w:rsidR="00077155" w:rsidRPr="000669B4" w:rsidTr="00733A29">
        <w:trPr>
          <w:jc w:val="center"/>
        </w:trPr>
        <w:tc>
          <w:tcPr>
            <w:tcW w:w="1413" w:type="dxa"/>
          </w:tcPr>
          <w:p w:rsidR="00077155" w:rsidRDefault="00077155" w:rsidP="00733A29">
            <w:pPr>
              <w:pStyle w:val="Tabletext"/>
              <w:jc w:val="center"/>
            </w:pPr>
            <w:r>
              <w:t>14</w:t>
            </w:r>
          </w:p>
        </w:tc>
        <w:tc>
          <w:tcPr>
            <w:tcW w:w="7127" w:type="dxa"/>
          </w:tcPr>
          <w:p w:rsidR="00077155" w:rsidRPr="00DD0B2A" w:rsidRDefault="00077155" w:rsidP="00073490">
            <w:pPr>
              <w:pStyle w:val="Tabletext"/>
              <w:rPr>
                <w:bCs/>
                <w:lang w:val="fr-CH"/>
              </w:rPr>
            </w:pPr>
            <w:r w:rsidRPr="00DD0B2A">
              <w:rPr>
                <w:bCs/>
                <w:lang w:val="fr-CH"/>
              </w:rPr>
              <w:t xml:space="preserve">Révision de la Résolution 131 </w:t>
            </w:r>
            <w:r w:rsidR="00073490" w:rsidRPr="00073490">
              <w:rPr>
                <w:rFonts w:asciiTheme="minorHAnsi" w:hAnsiTheme="minorHAnsi" w:cstheme="minorHAnsi"/>
                <w:szCs w:val="22"/>
                <w:lang w:val="fr-CH"/>
              </w:rPr>
              <w:t>–</w:t>
            </w:r>
            <w:r w:rsidRPr="00DD0B2A">
              <w:rPr>
                <w:bCs/>
                <w:lang w:val="fr-CH"/>
              </w:rPr>
              <w:t xml:space="preserve"> </w:t>
            </w:r>
            <w:bookmarkStart w:id="19" w:name="_Toc407016227"/>
            <w:r>
              <w:t>Mesurer les technologies de l'information et de la communication pour édifier une société de l'information et une économie numérique inclusives et qui facilitent l'intégration</w:t>
            </w:r>
            <w:bookmarkEnd w:id="19"/>
          </w:p>
        </w:tc>
      </w:tr>
      <w:tr w:rsidR="00077155" w:rsidRPr="000669B4" w:rsidTr="00733A29">
        <w:trPr>
          <w:jc w:val="center"/>
        </w:trPr>
        <w:tc>
          <w:tcPr>
            <w:tcW w:w="1413" w:type="dxa"/>
          </w:tcPr>
          <w:p w:rsidR="00077155" w:rsidRDefault="00077155" w:rsidP="00733A29">
            <w:pPr>
              <w:pStyle w:val="Tabletext"/>
              <w:jc w:val="center"/>
            </w:pPr>
            <w:r>
              <w:t>15</w:t>
            </w:r>
          </w:p>
        </w:tc>
        <w:tc>
          <w:tcPr>
            <w:tcW w:w="7127" w:type="dxa"/>
          </w:tcPr>
          <w:p w:rsidR="00077155" w:rsidRPr="00DD0B2A" w:rsidRDefault="00077155" w:rsidP="00073490">
            <w:pPr>
              <w:pStyle w:val="Tabletext"/>
              <w:rPr>
                <w:bCs/>
                <w:lang w:val="fr-CH"/>
              </w:rPr>
            </w:pPr>
            <w:r w:rsidRPr="00DD0B2A">
              <w:rPr>
                <w:bCs/>
                <w:lang w:val="fr-CH"/>
              </w:rPr>
              <w:t xml:space="preserve">Révision de la Résolution 135 </w:t>
            </w:r>
            <w:r w:rsidR="00073490" w:rsidRPr="00073490">
              <w:rPr>
                <w:rFonts w:asciiTheme="minorHAnsi" w:hAnsiTheme="minorHAnsi" w:cstheme="minorHAnsi"/>
                <w:szCs w:val="22"/>
                <w:lang w:val="fr-CH"/>
              </w:rPr>
              <w:t>–</w:t>
            </w:r>
            <w:r w:rsidRPr="00DD0B2A">
              <w:rPr>
                <w:bCs/>
                <w:lang w:val="fr-CH"/>
              </w:rPr>
              <w:t xml:space="preserve"> </w:t>
            </w:r>
            <w:bookmarkStart w:id="20" w:name="_Toc407016231"/>
            <w:r w:rsidRPr="00DD0B2A">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bookmarkEnd w:id="20"/>
          </w:p>
        </w:tc>
      </w:tr>
      <w:tr w:rsidR="00077155" w:rsidRPr="000669B4" w:rsidTr="00733A29">
        <w:trPr>
          <w:jc w:val="center"/>
        </w:trPr>
        <w:tc>
          <w:tcPr>
            <w:tcW w:w="1413" w:type="dxa"/>
          </w:tcPr>
          <w:p w:rsidR="00077155" w:rsidRDefault="00077155" w:rsidP="00733A29">
            <w:pPr>
              <w:pStyle w:val="Tabletext"/>
              <w:jc w:val="center"/>
            </w:pPr>
            <w:r>
              <w:t>16</w:t>
            </w:r>
          </w:p>
        </w:tc>
        <w:tc>
          <w:tcPr>
            <w:tcW w:w="7127" w:type="dxa"/>
          </w:tcPr>
          <w:p w:rsidR="00077155" w:rsidRPr="00DD0B2A" w:rsidRDefault="00077155" w:rsidP="00073490">
            <w:pPr>
              <w:pStyle w:val="Tabletext"/>
            </w:pPr>
            <w:r w:rsidRPr="00DD0B2A">
              <w:rPr>
                <w:bCs/>
              </w:rPr>
              <w:t xml:space="preserve">Révision de la Résolution 139 </w:t>
            </w:r>
            <w:r w:rsidR="00073490" w:rsidRPr="00073490">
              <w:rPr>
                <w:rFonts w:asciiTheme="minorHAnsi" w:hAnsiTheme="minorHAnsi" w:cstheme="minorHAnsi"/>
                <w:szCs w:val="22"/>
                <w:lang w:val="fr-CH"/>
              </w:rPr>
              <w:t>–</w:t>
            </w:r>
            <w:r w:rsidRPr="00DD0B2A">
              <w:rPr>
                <w:bCs/>
              </w:rPr>
              <w:t xml:space="preserve"> </w:t>
            </w:r>
            <w:bookmarkStart w:id="21" w:name="_Toc407016237"/>
            <w:r w:rsidRPr="00DD0B2A">
              <w:t>Utilisation des télécommunications et des technologies de l'information et de la communication pour réduire la fracture numérique et édifier une société de l'information inclusive</w:t>
            </w:r>
            <w:bookmarkEnd w:id="21"/>
          </w:p>
        </w:tc>
      </w:tr>
      <w:tr w:rsidR="00077155" w:rsidRPr="000669B4" w:rsidTr="00733A29">
        <w:trPr>
          <w:jc w:val="center"/>
        </w:trPr>
        <w:tc>
          <w:tcPr>
            <w:tcW w:w="1413" w:type="dxa"/>
          </w:tcPr>
          <w:p w:rsidR="00077155" w:rsidRDefault="00077155" w:rsidP="00733A29">
            <w:pPr>
              <w:pStyle w:val="Tabletext"/>
              <w:jc w:val="center"/>
            </w:pPr>
            <w:r>
              <w:lastRenderedPageBreak/>
              <w:t>17</w:t>
            </w:r>
          </w:p>
        </w:tc>
        <w:tc>
          <w:tcPr>
            <w:tcW w:w="7127" w:type="dxa"/>
          </w:tcPr>
          <w:p w:rsidR="00077155" w:rsidRPr="00DD0B2A" w:rsidRDefault="00077155" w:rsidP="00EA3EB7">
            <w:pPr>
              <w:pStyle w:val="Tabletext"/>
              <w:rPr>
                <w:lang w:val="fr-CH"/>
              </w:rPr>
            </w:pPr>
            <w:r w:rsidRPr="00DD0B2A">
              <w:rPr>
                <w:bCs/>
                <w:lang w:val="fr-CH"/>
              </w:rPr>
              <w:t xml:space="preserve">Révision de la Résolution 140 </w:t>
            </w:r>
            <w:r w:rsidR="00073490" w:rsidRPr="00073490">
              <w:rPr>
                <w:rFonts w:asciiTheme="minorHAnsi" w:hAnsiTheme="minorHAnsi" w:cstheme="minorHAnsi"/>
                <w:szCs w:val="22"/>
                <w:lang w:val="fr-CH"/>
              </w:rPr>
              <w:t>–</w:t>
            </w:r>
            <w:r w:rsidRPr="00DD0B2A">
              <w:rPr>
                <w:bCs/>
                <w:lang w:val="fr-CH"/>
              </w:rPr>
              <w:t xml:space="preserve"> </w:t>
            </w:r>
            <w:bookmarkStart w:id="22" w:name="_Toc165351524"/>
            <w:r>
              <w:t xml:space="preserve">Rôle de l'UIT dans la mise en </w:t>
            </w:r>
            <w:r w:rsidR="00EA3EB7">
              <w:t>oe</w:t>
            </w:r>
            <w:r>
              <w:t>uvre des résultats du Sommet mondial sur la société de l'information</w:t>
            </w:r>
            <w:bookmarkEnd w:id="22"/>
            <w:r w:rsidR="00EA3EB7">
              <w:t xml:space="preserve"> et dans la réalisation </w:t>
            </w:r>
            <w:r>
              <w:t>du Programme de développement durable à l'horizon</w:t>
            </w:r>
            <w:r w:rsidR="00EA3EB7">
              <w:t xml:space="preserve"> 2030</w:t>
            </w:r>
          </w:p>
        </w:tc>
      </w:tr>
      <w:tr w:rsidR="00077155" w:rsidRPr="000669B4" w:rsidTr="00733A29">
        <w:trPr>
          <w:jc w:val="center"/>
        </w:trPr>
        <w:tc>
          <w:tcPr>
            <w:tcW w:w="1413" w:type="dxa"/>
          </w:tcPr>
          <w:p w:rsidR="00077155" w:rsidRDefault="00077155" w:rsidP="00733A29">
            <w:pPr>
              <w:pStyle w:val="Tabletext"/>
              <w:jc w:val="center"/>
            </w:pPr>
            <w:r>
              <w:t>18</w:t>
            </w:r>
          </w:p>
        </w:tc>
        <w:tc>
          <w:tcPr>
            <w:tcW w:w="7127" w:type="dxa"/>
          </w:tcPr>
          <w:p w:rsidR="00077155" w:rsidRPr="00DD0B2A" w:rsidRDefault="00077155" w:rsidP="00073490">
            <w:pPr>
              <w:pStyle w:val="Tabletext"/>
              <w:rPr>
                <w:bCs/>
                <w:lang w:val="fr-CH"/>
              </w:rPr>
            </w:pPr>
            <w:r w:rsidRPr="00DD0B2A">
              <w:rPr>
                <w:bCs/>
                <w:lang w:val="fr-CH"/>
              </w:rPr>
              <w:t xml:space="preserve">Révision de la Résolution 177 </w:t>
            </w:r>
            <w:r w:rsidR="00073490" w:rsidRPr="00073490">
              <w:rPr>
                <w:rFonts w:asciiTheme="minorHAnsi" w:hAnsiTheme="minorHAnsi" w:cstheme="minorHAnsi"/>
                <w:szCs w:val="22"/>
                <w:lang w:val="fr-CH"/>
              </w:rPr>
              <w:t>–</w:t>
            </w:r>
            <w:r w:rsidRPr="00DD0B2A">
              <w:rPr>
                <w:bCs/>
                <w:lang w:val="fr-CH"/>
              </w:rPr>
              <w:t xml:space="preserve"> </w:t>
            </w:r>
            <w:bookmarkStart w:id="23" w:name="_Toc407016275"/>
            <w:r w:rsidRPr="00DD0B2A">
              <w:t>Conformité et interopérabilité</w:t>
            </w:r>
            <w:bookmarkEnd w:id="23"/>
          </w:p>
        </w:tc>
      </w:tr>
      <w:tr w:rsidR="00077155" w:rsidRPr="000669B4" w:rsidTr="00733A29">
        <w:trPr>
          <w:jc w:val="center"/>
        </w:trPr>
        <w:tc>
          <w:tcPr>
            <w:tcW w:w="1413" w:type="dxa"/>
          </w:tcPr>
          <w:p w:rsidR="00077155" w:rsidRDefault="00077155" w:rsidP="00733A29">
            <w:pPr>
              <w:pStyle w:val="Tabletext"/>
              <w:jc w:val="center"/>
            </w:pPr>
            <w:r>
              <w:t>19</w:t>
            </w:r>
          </w:p>
        </w:tc>
        <w:tc>
          <w:tcPr>
            <w:tcW w:w="7127" w:type="dxa"/>
          </w:tcPr>
          <w:p w:rsidR="00077155" w:rsidRPr="00DD0B2A" w:rsidRDefault="00077155" w:rsidP="00073490">
            <w:pPr>
              <w:pStyle w:val="Tabletext"/>
              <w:rPr>
                <w:bCs/>
                <w:lang w:val="fr-CH"/>
              </w:rPr>
            </w:pPr>
            <w:r w:rsidRPr="00DD0B2A">
              <w:rPr>
                <w:bCs/>
                <w:lang w:val="fr-CH"/>
              </w:rPr>
              <w:t xml:space="preserve">Révision de la Résolution 179 </w:t>
            </w:r>
            <w:r w:rsidR="00073490" w:rsidRPr="00073490">
              <w:rPr>
                <w:rFonts w:asciiTheme="minorHAnsi" w:hAnsiTheme="minorHAnsi" w:cstheme="minorHAnsi"/>
                <w:szCs w:val="22"/>
                <w:lang w:val="fr-CH"/>
              </w:rPr>
              <w:t>–</w:t>
            </w:r>
            <w:r w:rsidRPr="00DD0B2A">
              <w:rPr>
                <w:bCs/>
                <w:lang w:val="fr-CH"/>
              </w:rPr>
              <w:t xml:space="preserve"> </w:t>
            </w:r>
            <w:bookmarkStart w:id="24" w:name="_Toc407016277"/>
            <w:r w:rsidRPr="00DD0B2A">
              <w:t>Rôle de l'UIT dans la protection en ligne des enfants</w:t>
            </w:r>
            <w:bookmarkEnd w:id="24"/>
          </w:p>
        </w:tc>
      </w:tr>
      <w:tr w:rsidR="00077155" w:rsidRPr="00DD0B2A" w:rsidTr="00733A29">
        <w:trPr>
          <w:jc w:val="center"/>
        </w:trPr>
        <w:tc>
          <w:tcPr>
            <w:tcW w:w="1413" w:type="dxa"/>
          </w:tcPr>
          <w:p w:rsidR="00077155" w:rsidRDefault="00077155" w:rsidP="00733A29">
            <w:pPr>
              <w:pStyle w:val="Tabletext"/>
              <w:jc w:val="center"/>
            </w:pPr>
            <w:r>
              <w:t>20</w:t>
            </w:r>
          </w:p>
        </w:tc>
        <w:tc>
          <w:tcPr>
            <w:tcW w:w="7127" w:type="dxa"/>
          </w:tcPr>
          <w:p w:rsidR="00077155" w:rsidRPr="00DD0B2A" w:rsidRDefault="00077155" w:rsidP="00073490">
            <w:pPr>
              <w:pStyle w:val="Tabletext"/>
              <w:rPr>
                <w:bCs/>
                <w:lang w:val="fr-CH"/>
              </w:rPr>
            </w:pPr>
            <w:r w:rsidRPr="00DD0B2A">
              <w:rPr>
                <w:bCs/>
                <w:lang w:val="fr-CH"/>
              </w:rPr>
              <w:t xml:space="preserve">Suppression </w:t>
            </w:r>
            <w:r>
              <w:rPr>
                <w:bCs/>
                <w:lang w:val="fr-CH"/>
              </w:rPr>
              <w:t xml:space="preserve">de la </w:t>
            </w:r>
            <w:r w:rsidRPr="00DD0B2A">
              <w:rPr>
                <w:bCs/>
                <w:lang w:val="fr-CH"/>
              </w:rPr>
              <w:t>R</w:t>
            </w:r>
            <w:r>
              <w:rPr>
                <w:bCs/>
                <w:lang w:val="fr-CH"/>
              </w:rPr>
              <w:t>é</w:t>
            </w:r>
            <w:r w:rsidRPr="00DD0B2A">
              <w:rPr>
                <w:bCs/>
                <w:lang w:val="fr-CH"/>
              </w:rPr>
              <w:t xml:space="preserve">solution 185 </w:t>
            </w:r>
            <w:r w:rsidR="00733A29" w:rsidRPr="00073490">
              <w:rPr>
                <w:rFonts w:asciiTheme="minorHAnsi" w:hAnsiTheme="minorHAnsi" w:cstheme="minorHAnsi"/>
                <w:szCs w:val="22"/>
                <w:lang w:val="fr-CH"/>
              </w:rPr>
              <w:t>–</w:t>
            </w:r>
            <w:r w:rsidRPr="00DD0B2A">
              <w:rPr>
                <w:bCs/>
                <w:lang w:val="fr-CH"/>
              </w:rPr>
              <w:t xml:space="preserve"> </w:t>
            </w:r>
            <w:bookmarkStart w:id="25" w:name="_Toc407016285"/>
            <w:r w:rsidRPr="00DD0B2A">
              <w:t>Suivi des vols à l'échelle mondiale pour l'aviation civile</w:t>
            </w:r>
            <w:bookmarkEnd w:id="25"/>
          </w:p>
        </w:tc>
      </w:tr>
      <w:tr w:rsidR="00077155" w:rsidRPr="00DD0B2A" w:rsidTr="00733A29">
        <w:trPr>
          <w:jc w:val="center"/>
        </w:trPr>
        <w:tc>
          <w:tcPr>
            <w:tcW w:w="1413" w:type="dxa"/>
          </w:tcPr>
          <w:p w:rsidR="00077155" w:rsidRDefault="00077155" w:rsidP="00733A29">
            <w:pPr>
              <w:pStyle w:val="Tabletext"/>
              <w:jc w:val="center"/>
            </w:pPr>
            <w:r>
              <w:t>21</w:t>
            </w:r>
          </w:p>
        </w:tc>
        <w:tc>
          <w:tcPr>
            <w:tcW w:w="7127" w:type="dxa"/>
          </w:tcPr>
          <w:p w:rsidR="00077155" w:rsidRPr="00DD0B2A" w:rsidRDefault="00077155" w:rsidP="00073490">
            <w:pPr>
              <w:pStyle w:val="Tabletext"/>
              <w:rPr>
                <w:bCs/>
                <w:lang w:val="fr-CH"/>
              </w:rPr>
            </w:pPr>
            <w:r w:rsidRPr="00DD0B2A">
              <w:rPr>
                <w:bCs/>
                <w:lang w:val="fr-CH"/>
              </w:rPr>
              <w:t xml:space="preserve">Révision de la Résolution 186 </w:t>
            </w:r>
            <w:r w:rsidR="00073490" w:rsidRPr="00073490">
              <w:rPr>
                <w:rFonts w:asciiTheme="minorHAnsi" w:hAnsiTheme="minorHAnsi" w:cstheme="minorHAnsi"/>
                <w:szCs w:val="22"/>
                <w:lang w:val="fr-CH"/>
              </w:rPr>
              <w:t>–</w:t>
            </w:r>
            <w:r w:rsidRPr="00DD0B2A">
              <w:rPr>
                <w:bCs/>
                <w:lang w:val="fr-CH"/>
              </w:rPr>
              <w:t xml:space="preserve"> </w:t>
            </w:r>
            <w:bookmarkStart w:id="26" w:name="_Toc407016287"/>
            <w:r w:rsidRPr="00DD0B2A">
              <w:t>Renforcement du rôle de l'UIT en ce qui concerne les mesures de transparence et de confiance relatives aux activités spatiales</w:t>
            </w:r>
            <w:bookmarkEnd w:id="26"/>
          </w:p>
        </w:tc>
      </w:tr>
      <w:tr w:rsidR="00077155" w:rsidRPr="00DD0B2A" w:rsidTr="00733A29">
        <w:trPr>
          <w:jc w:val="center"/>
        </w:trPr>
        <w:tc>
          <w:tcPr>
            <w:tcW w:w="1413" w:type="dxa"/>
          </w:tcPr>
          <w:p w:rsidR="00077155" w:rsidRDefault="00077155" w:rsidP="00733A29">
            <w:pPr>
              <w:pStyle w:val="Tabletext"/>
              <w:jc w:val="center"/>
            </w:pPr>
            <w:r>
              <w:t>22</w:t>
            </w:r>
          </w:p>
        </w:tc>
        <w:tc>
          <w:tcPr>
            <w:tcW w:w="7127" w:type="dxa"/>
          </w:tcPr>
          <w:p w:rsidR="00077155" w:rsidRPr="00DD0B2A" w:rsidRDefault="00077155" w:rsidP="00073490">
            <w:pPr>
              <w:pStyle w:val="Tabletext"/>
              <w:rPr>
                <w:lang w:val="fr-CH"/>
              </w:rPr>
            </w:pPr>
            <w:r w:rsidRPr="00DD0B2A">
              <w:rPr>
                <w:bCs/>
                <w:lang w:val="fr-CH"/>
              </w:rPr>
              <w:t xml:space="preserve">Révision de la Résolution 197 </w:t>
            </w:r>
            <w:r w:rsidR="00073490" w:rsidRPr="00073490">
              <w:rPr>
                <w:rFonts w:asciiTheme="minorHAnsi" w:hAnsiTheme="minorHAnsi" w:cstheme="minorHAnsi"/>
                <w:szCs w:val="22"/>
                <w:lang w:val="fr-CH"/>
              </w:rPr>
              <w:t>–</w:t>
            </w:r>
            <w:r w:rsidRPr="00DD0B2A">
              <w:rPr>
                <w:bCs/>
                <w:lang w:val="fr-CH"/>
              </w:rPr>
              <w:t xml:space="preserve"> </w:t>
            </w:r>
            <w:bookmarkStart w:id="27" w:name="_Toc407016308"/>
            <w:r w:rsidRPr="00DD0B2A">
              <w:t>Faciliter l'avènement de l'Internet des objets dans la perspective d'un monde global interconnecté</w:t>
            </w:r>
            <w:bookmarkEnd w:id="27"/>
          </w:p>
        </w:tc>
      </w:tr>
      <w:tr w:rsidR="00077155" w:rsidRPr="00DD0B2A" w:rsidTr="00733A29">
        <w:trPr>
          <w:jc w:val="center"/>
        </w:trPr>
        <w:tc>
          <w:tcPr>
            <w:tcW w:w="1413" w:type="dxa"/>
          </w:tcPr>
          <w:p w:rsidR="00077155" w:rsidRDefault="00077155" w:rsidP="00733A29">
            <w:pPr>
              <w:pStyle w:val="Tabletext"/>
              <w:jc w:val="center"/>
            </w:pPr>
            <w:r>
              <w:t>23</w:t>
            </w:r>
          </w:p>
        </w:tc>
        <w:tc>
          <w:tcPr>
            <w:tcW w:w="7127" w:type="dxa"/>
          </w:tcPr>
          <w:p w:rsidR="00077155" w:rsidRPr="00DD0B2A" w:rsidRDefault="00077155" w:rsidP="00073490">
            <w:pPr>
              <w:pStyle w:val="Tabletext"/>
              <w:rPr>
                <w:lang w:val="fr-CH"/>
              </w:rPr>
            </w:pPr>
            <w:r w:rsidRPr="00DD0B2A">
              <w:rPr>
                <w:bCs/>
                <w:lang w:val="fr-CH"/>
              </w:rPr>
              <w:t xml:space="preserve">Révision de la Résolution 200 </w:t>
            </w:r>
            <w:r w:rsidR="00073490" w:rsidRPr="00073490">
              <w:rPr>
                <w:rFonts w:asciiTheme="minorHAnsi" w:hAnsiTheme="minorHAnsi" w:cstheme="minorHAnsi"/>
                <w:szCs w:val="22"/>
                <w:lang w:val="fr-CH"/>
              </w:rPr>
              <w:t>–</w:t>
            </w:r>
            <w:r w:rsidRPr="00DD0B2A">
              <w:rPr>
                <w:bCs/>
                <w:lang w:val="fr-CH"/>
              </w:rPr>
              <w:t xml:space="preserve"> </w:t>
            </w:r>
            <w:r w:rsidRPr="00DD0B2A">
              <w:t>Programme Connect 2030 pour le développement des télécommunications/technologies de l'information et de la communication dans le monde</w:t>
            </w:r>
          </w:p>
        </w:tc>
      </w:tr>
      <w:tr w:rsidR="00077155" w:rsidRPr="00DD0B2A" w:rsidTr="00733A29">
        <w:trPr>
          <w:jc w:val="center"/>
        </w:trPr>
        <w:tc>
          <w:tcPr>
            <w:tcW w:w="1413" w:type="dxa"/>
          </w:tcPr>
          <w:p w:rsidR="00077155" w:rsidRDefault="00077155" w:rsidP="00733A29">
            <w:pPr>
              <w:pStyle w:val="Tabletext"/>
              <w:jc w:val="center"/>
            </w:pPr>
            <w:r>
              <w:t>24</w:t>
            </w:r>
          </w:p>
        </w:tc>
        <w:tc>
          <w:tcPr>
            <w:tcW w:w="7127" w:type="dxa"/>
          </w:tcPr>
          <w:p w:rsidR="00077155" w:rsidRPr="00DD0B2A" w:rsidRDefault="00077155" w:rsidP="00073490">
            <w:pPr>
              <w:pStyle w:val="Tabletext"/>
              <w:rPr>
                <w:lang w:val="fr-CH"/>
              </w:rPr>
            </w:pPr>
            <w:r w:rsidRPr="00DD0B2A">
              <w:rPr>
                <w:bCs/>
                <w:lang w:val="fr-CH"/>
              </w:rPr>
              <w:t xml:space="preserve">Révision de la Résolution 203 </w:t>
            </w:r>
            <w:r w:rsidR="00073490" w:rsidRPr="00073490">
              <w:rPr>
                <w:rFonts w:asciiTheme="minorHAnsi" w:hAnsiTheme="minorHAnsi" w:cstheme="minorHAnsi"/>
                <w:szCs w:val="22"/>
                <w:lang w:val="fr-CH"/>
              </w:rPr>
              <w:t>–</w:t>
            </w:r>
            <w:r w:rsidRPr="00DD0B2A">
              <w:rPr>
                <w:bCs/>
                <w:lang w:val="fr-CH"/>
              </w:rPr>
              <w:t xml:space="preserve"> </w:t>
            </w:r>
            <w:bookmarkStart w:id="28" w:name="_Toc407016319"/>
            <w:r>
              <w:t>Connectivité aux réseaux large bande</w:t>
            </w:r>
            <w:bookmarkEnd w:id="28"/>
            <w:r>
              <w:t xml:space="preserve"> et villes et communautés intelligentes</w:t>
            </w:r>
            <w:r w:rsidR="00EA3EB7">
              <w:t xml:space="preserve"> et</w:t>
            </w:r>
            <w:r>
              <w:t xml:space="preserve"> durables </w:t>
            </w:r>
          </w:p>
        </w:tc>
      </w:tr>
      <w:tr w:rsidR="00077155" w:rsidRPr="004E2558" w:rsidTr="00733A29">
        <w:trPr>
          <w:jc w:val="center"/>
        </w:trPr>
        <w:tc>
          <w:tcPr>
            <w:tcW w:w="1413" w:type="dxa"/>
          </w:tcPr>
          <w:p w:rsidR="00077155" w:rsidRDefault="00077155" w:rsidP="00733A29">
            <w:pPr>
              <w:pStyle w:val="Tabletext"/>
              <w:jc w:val="center"/>
            </w:pPr>
            <w:r>
              <w:t>25</w:t>
            </w:r>
          </w:p>
        </w:tc>
        <w:tc>
          <w:tcPr>
            <w:tcW w:w="7127" w:type="dxa"/>
          </w:tcPr>
          <w:p w:rsidR="00077155" w:rsidRPr="004E2558" w:rsidRDefault="00077155" w:rsidP="002304F0">
            <w:pPr>
              <w:pStyle w:val="Tabletext"/>
              <w:rPr>
                <w:bCs/>
                <w:highlight w:val="yellow"/>
                <w:lang w:val="fr-CH"/>
              </w:rPr>
            </w:pPr>
            <w:r w:rsidRPr="004E2558">
              <w:rPr>
                <w:bCs/>
                <w:lang w:val="fr-CH"/>
              </w:rPr>
              <w:t>Nouvelle Résolution</w:t>
            </w:r>
            <w:r>
              <w:rPr>
                <w:bCs/>
                <w:lang w:val="fr-CH"/>
              </w:rPr>
              <w:t xml:space="preserve"> sur le r</w:t>
            </w:r>
            <w:r>
              <w:t xml:space="preserve">ôle de l'UIT dans la promotion d'une innovation </w:t>
            </w:r>
            <w:r w:rsidR="00EA3EB7">
              <w:t>centrée</w:t>
            </w:r>
            <w:r>
              <w:t xml:space="preserve"> sur les télécommunications/</w:t>
            </w:r>
            <w:r w:rsidR="00EA3EB7">
              <w:t>technologies de l'information et de la communication propres à favoriser le développement de l'économie numérique</w:t>
            </w:r>
            <w:r>
              <w:t xml:space="preserve"> </w:t>
            </w:r>
          </w:p>
        </w:tc>
      </w:tr>
    </w:tbl>
    <w:p w:rsidR="00077155" w:rsidRDefault="00077155" w:rsidP="00077155">
      <w:pPr>
        <w:pStyle w:val="Reasons"/>
        <w:rPr>
          <w:lang w:val="fr-CH"/>
        </w:rPr>
        <w:sectPr w:rsidR="00077155" w:rsidSect="00733A29">
          <w:headerReference w:type="even" r:id="rId9"/>
          <w:headerReference w:type="default" r:id="rId10"/>
          <w:footerReference w:type="even" r:id="rId11"/>
          <w:footerReference w:type="default" r:id="rId12"/>
          <w:headerReference w:type="first" r:id="rId13"/>
          <w:footerReference w:type="first" r:id="rId14"/>
          <w:pgSz w:w="11913" w:h="16834"/>
          <w:pgMar w:top="1418" w:right="1134" w:bottom="1418" w:left="1134" w:header="720" w:footer="720" w:gutter="0"/>
          <w:paperSrc w:first="15" w:other="15"/>
          <w:cols w:space="720"/>
          <w:titlePg/>
        </w:sectPr>
      </w:pPr>
    </w:p>
    <w:p w:rsidR="00077155" w:rsidRPr="00F2104A" w:rsidRDefault="00077155" w:rsidP="00073490">
      <w:pPr>
        <w:pStyle w:val="AnnexNo"/>
        <w:rPr>
          <w:b/>
          <w:bCs/>
          <w:lang w:val="fr-CH"/>
        </w:rPr>
      </w:pPr>
      <w:r w:rsidRPr="00F2104A">
        <w:rPr>
          <w:b/>
          <w:bCs/>
          <w:lang w:val="fr-CH"/>
        </w:rPr>
        <w:lastRenderedPageBreak/>
        <w:t>ANNEXE 2</w:t>
      </w:r>
    </w:p>
    <w:p w:rsidR="00077155" w:rsidRPr="000669B4" w:rsidRDefault="00EA3EB7" w:rsidP="00F2104A">
      <w:pPr>
        <w:pStyle w:val="Annextitle"/>
        <w:rPr>
          <w:rFonts w:cstheme="minorHAnsi"/>
          <w:sz w:val="20"/>
          <w:lang w:val="fr-CH"/>
        </w:rPr>
      </w:pPr>
      <w:r>
        <w:rPr>
          <w:lang w:val="fr-CH"/>
        </w:rPr>
        <w:t xml:space="preserve">Liste des </w:t>
      </w:r>
      <w:r w:rsidR="00077155" w:rsidRPr="00203B18">
        <w:rPr>
          <w:lang w:val="fr-CH"/>
        </w:rPr>
        <w:t xml:space="preserve">Administrations des pays membres de l'APT </w:t>
      </w:r>
      <w:r>
        <w:rPr>
          <w:lang w:val="fr-CH"/>
        </w:rPr>
        <w:t>et</w:t>
      </w:r>
      <w:r w:rsidR="00077155" w:rsidRPr="00203B18">
        <w:rPr>
          <w:lang w:val="fr-CH"/>
        </w:rPr>
        <w:t xml:space="preserve"> propositions </w:t>
      </w:r>
      <w:r>
        <w:rPr>
          <w:lang w:val="fr-CH"/>
        </w:rPr>
        <w:t>approuvées par chacune d'elles</w:t>
      </w:r>
    </w:p>
    <w:tbl>
      <w:tblPr>
        <w:tblStyle w:val="TableGrid"/>
        <w:tblW w:w="152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858"/>
        <w:gridCol w:w="344"/>
        <w:gridCol w:w="343"/>
        <w:gridCol w:w="343"/>
        <w:gridCol w:w="343"/>
        <w:gridCol w:w="343"/>
        <w:gridCol w:w="343"/>
        <w:gridCol w:w="343"/>
        <w:gridCol w:w="343"/>
        <w:gridCol w:w="343"/>
        <w:gridCol w:w="343"/>
        <w:gridCol w:w="343"/>
        <w:gridCol w:w="531"/>
        <w:gridCol w:w="322"/>
        <w:gridCol w:w="317"/>
        <w:gridCol w:w="379"/>
        <w:gridCol w:w="379"/>
        <w:gridCol w:w="379"/>
        <w:gridCol w:w="379"/>
        <w:gridCol w:w="379"/>
        <w:gridCol w:w="379"/>
        <w:gridCol w:w="379"/>
        <w:gridCol w:w="379"/>
        <w:gridCol w:w="379"/>
        <w:gridCol w:w="379"/>
        <w:gridCol w:w="379"/>
        <w:gridCol w:w="379"/>
        <w:gridCol w:w="379"/>
        <w:gridCol w:w="468"/>
        <w:gridCol w:w="401"/>
        <w:gridCol w:w="401"/>
        <w:gridCol w:w="401"/>
        <w:gridCol w:w="401"/>
        <w:gridCol w:w="401"/>
        <w:gridCol w:w="401"/>
        <w:gridCol w:w="401"/>
        <w:gridCol w:w="401"/>
        <w:gridCol w:w="401"/>
        <w:gridCol w:w="401"/>
      </w:tblGrid>
      <w:tr w:rsidR="00B93DCC" w:rsidRPr="00F2104A" w:rsidTr="00F2104A">
        <w:trPr>
          <w:cantSplit/>
          <w:trHeight w:hRule="exact" w:val="2355"/>
          <w:tblHeader/>
          <w:jc w:val="center"/>
        </w:trPr>
        <w:tc>
          <w:tcPr>
            <w:tcW w:w="858" w:type="dxa"/>
            <w:shd w:val="pct15" w:color="auto" w:fill="auto"/>
            <w:vAlign w:val="center"/>
          </w:tcPr>
          <w:p w:rsidR="00077155" w:rsidRPr="00F2104A" w:rsidRDefault="00077155" w:rsidP="001D493B">
            <w:pPr>
              <w:pStyle w:val="Tablehead"/>
              <w:spacing w:before="0" w:after="0"/>
              <w:rPr>
                <w:sz w:val="19"/>
                <w:szCs w:val="19"/>
              </w:rPr>
            </w:pPr>
            <w:r w:rsidRPr="00F2104A">
              <w:rPr>
                <w:sz w:val="19"/>
                <w:szCs w:val="19"/>
              </w:rPr>
              <w:t>Numéro ACP</w:t>
            </w:r>
          </w:p>
          <w:p w:rsidR="00077155" w:rsidRPr="00F2104A" w:rsidRDefault="00077155" w:rsidP="001D493B">
            <w:pPr>
              <w:pStyle w:val="Tablehead"/>
              <w:spacing w:before="0" w:after="0"/>
              <w:rPr>
                <w:sz w:val="19"/>
                <w:szCs w:val="19"/>
              </w:rPr>
            </w:pPr>
            <w:r w:rsidRPr="00F2104A">
              <w:rPr>
                <w:sz w:val="19"/>
                <w:szCs w:val="19"/>
              </w:rPr>
              <w:t>ACP/</w:t>
            </w:r>
          </w:p>
          <w:p w:rsidR="00077155" w:rsidRPr="00F2104A" w:rsidRDefault="00077155" w:rsidP="001D493B">
            <w:pPr>
              <w:pStyle w:val="Tablehead"/>
              <w:spacing w:before="0" w:after="0"/>
              <w:rPr>
                <w:sz w:val="19"/>
                <w:szCs w:val="19"/>
              </w:rPr>
            </w:pPr>
            <w:r w:rsidRPr="00F2104A">
              <w:rPr>
                <w:sz w:val="19"/>
                <w:szCs w:val="19"/>
              </w:rPr>
              <w:t>64A1/</w:t>
            </w:r>
          </w:p>
        </w:tc>
        <w:tc>
          <w:tcPr>
            <w:tcW w:w="344"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Afghanistan</w:t>
            </w: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Australie</w:t>
            </w: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Bangladesh</w:t>
            </w: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Bhoutan</w:t>
            </w: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Brunéi Darussalam</w:t>
            </w: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Cambodge</w:t>
            </w: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Chine</w:t>
            </w: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Rép. pop. dém. de Corée</w:t>
            </w: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Fidji</w:t>
            </w: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Inde</w:t>
            </w:r>
          </w:p>
        </w:tc>
        <w:tc>
          <w:tcPr>
            <w:tcW w:w="343"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Indonésie</w:t>
            </w:r>
          </w:p>
        </w:tc>
        <w:tc>
          <w:tcPr>
            <w:tcW w:w="531" w:type="dxa"/>
            <w:shd w:val="pct15" w:color="auto" w:fill="auto"/>
            <w:textDirection w:val="btLr"/>
          </w:tcPr>
          <w:p w:rsidR="00077155" w:rsidRPr="00F2104A" w:rsidRDefault="00077155" w:rsidP="00F2104A">
            <w:pPr>
              <w:pStyle w:val="Tablehead"/>
              <w:spacing w:before="0" w:after="0"/>
              <w:rPr>
                <w:sz w:val="19"/>
                <w:szCs w:val="19"/>
              </w:rPr>
            </w:pPr>
            <w:r w:rsidRPr="00F2104A">
              <w:rPr>
                <w:sz w:val="19"/>
                <w:szCs w:val="19"/>
              </w:rPr>
              <w:t>Iran (République islamique</w:t>
            </w:r>
            <w:r w:rsidR="00F2104A">
              <w:rPr>
                <w:sz w:val="19"/>
                <w:szCs w:val="19"/>
              </w:rPr>
              <w:t> </w:t>
            </w:r>
            <w:r w:rsidRPr="00F2104A">
              <w:rPr>
                <w:sz w:val="19"/>
                <w:szCs w:val="19"/>
              </w:rPr>
              <w:t>d')</w:t>
            </w:r>
          </w:p>
        </w:tc>
        <w:tc>
          <w:tcPr>
            <w:tcW w:w="322"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Japon</w:t>
            </w:r>
          </w:p>
        </w:tc>
        <w:tc>
          <w:tcPr>
            <w:tcW w:w="317"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Kiribati</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Corée (Rép. de)</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Lao (R.d.p.)</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Malaisie</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Maldives</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Marshall (Iles)</w:t>
            </w: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Micronésie</w:t>
            </w: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p w:rsidR="00077155" w:rsidRPr="00F2104A" w:rsidRDefault="00077155" w:rsidP="001D493B">
            <w:pPr>
              <w:pStyle w:val="Tablehead"/>
              <w:spacing w:before="0" w:after="0"/>
              <w:rPr>
                <w:sz w:val="19"/>
                <w:szCs w:val="19"/>
              </w:rPr>
            </w:pP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Mongolie</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Myanmar</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Nauru</w:t>
            </w:r>
          </w:p>
        </w:tc>
        <w:tc>
          <w:tcPr>
            <w:tcW w:w="379" w:type="dxa"/>
            <w:shd w:val="pct15" w:color="auto" w:fill="auto"/>
            <w:textDirection w:val="btLr"/>
          </w:tcPr>
          <w:p w:rsidR="00077155" w:rsidRPr="00F2104A" w:rsidRDefault="00077155" w:rsidP="00F2104A">
            <w:pPr>
              <w:pStyle w:val="Tablehead"/>
              <w:spacing w:before="0" w:after="0"/>
              <w:rPr>
                <w:sz w:val="19"/>
                <w:szCs w:val="19"/>
              </w:rPr>
            </w:pPr>
            <w:r w:rsidRPr="00F2104A">
              <w:rPr>
                <w:sz w:val="19"/>
                <w:szCs w:val="19"/>
              </w:rPr>
              <w:t>Népal (République</w:t>
            </w:r>
            <w:r w:rsidR="001D493B" w:rsidRPr="00F2104A">
              <w:rPr>
                <w:sz w:val="19"/>
                <w:szCs w:val="19"/>
              </w:rPr>
              <w:t xml:space="preserve"> du</w:t>
            </w:r>
            <w:r w:rsidRPr="00F2104A">
              <w:rPr>
                <w:sz w:val="19"/>
                <w:szCs w:val="19"/>
              </w:rPr>
              <w:t>)</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Nouvelle-Zélande</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Pakistan</w:t>
            </w:r>
          </w:p>
        </w:tc>
        <w:tc>
          <w:tcPr>
            <w:tcW w:w="379"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Palaos</w:t>
            </w:r>
          </w:p>
        </w:tc>
        <w:tc>
          <w:tcPr>
            <w:tcW w:w="468" w:type="dxa"/>
            <w:shd w:val="pct15" w:color="auto" w:fill="auto"/>
            <w:textDirection w:val="btLr"/>
          </w:tcPr>
          <w:p w:rsidR="00077155" w:rsidRPr="00F2104A" w:rsidRDefault="00077155" w:rsidP="001D493B">
            <w:pPr>
              <w:pStyle w:val="Tablehead"/>
              <w:spacing w:before="0" w:after="0"/>
              <w:rPr>
                <w:sz w:val="19"/>
                <w:szCs w:val="19"/>
                <w:highlight w:val="yellow"/>
              </w:rPr>
            </w:pPr>
            <w:r w:rsidRPr="00F2104A">
              <w:rPr>
                <w:sz w:val="19"/>
                <w:szCs w:val="19"/>
              </w:rPr>
              <w:t>Papouasie-Nouvelle-Guinée</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Philippines</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Samoa</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Singapour</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Salomon (Iles)</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Sri Lanka</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Thaïlande</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Tonga</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Tuvalu</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Vanuatu</w:t>
            </w:r>
          </w:p>
        </w:tc>
        <w:tc>
          <w:tcPr>
            <w:tcW w:w="401" w:type="dxa"/>
            <w:shd w:val="pct15" w:color="auto" w:fill="auto"/>
            <w:textDirection w:val="btLr"/>
          </w:tcPr>
          <w:p w:rsidR="00077155" w:rsidRPr="00F2104A" w:rsidRDefault="00077155" w:rsidP="001D493B">
            <w:pPr>
              <w:pStyle w:val="Tablehead"/>
              <w:spacing w:before="0" w:after="0"/>
              <w:rPr>
                <w:sz w:val="19"/>
                <w:szCs w:val="19"/>
              </w:rPr>
            </w:pPr>
            <w:r w:rsidRPr="00F2104A">
              <w:rPr>
                <w:sz w:val="19"/>
                <w:szCs w:val="19"/>
              </w:rPr>
              <w:t>Viet Nam</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2</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858" w:type="dxa"/>
          </w:tcPr>
          <w:p w:rsidR="00077155" w:rsidRPr="00F2104A" w:rsidRDefault="00077155" w:rsidP="001D493B">
            <w:pPr>
              <w:pStyle w:val="Tabletext"/>
              <w:jc w:val="center"/>
              <w:rPr>
                <w:sz w:val="19"/>
                <w:szCs w:val="19"/>
              </w:rPr>
            </w:pPr>
            <w:r w:rsidRPr="00F2104A">
              <w:rPr>
                <w:sz w:val="19"/>
                <w:szCs w:val="19"/>
              </w:rPr>
              <w:t>3</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4</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5</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6</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7</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8</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9</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10</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11</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12</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13</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14</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lastRenderedPageBreak/>
              <w:t>15</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16</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color w:val="FF0000"/>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17</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18</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19</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20</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21</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22</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23</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r w:rsidRPr="00F2104A">
              <w:rPr>
                <w:sz w:val="19"/>
                <w:szCs w:val="19"/>
              </w:rPr>
              <w:t>Y</w:t>
            </w: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24</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r w:rsidR="00077155" w:rsidRPr="00F2104A" w:rsidTr="00CF7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58" w:type="dxa"/>
          </w:tcPr>
          <w:p w:rsidR="00077155" w:rsidRPr="00F2104A" w:rsidRDefault="00077155" w:rsidP="001D493B">
            <w:pPr>
              <w:pStyle w:val="Tabletext"/>
              <w:jc w:val="center"/>
              <w:rPr>
                <w:sz w:val="19"/>
                <w:szCs w:val="19"/>
              </w:rPr>
            </w:pPr>
            <w:r w:rsidRPr="00F2104A">
              <w:rPr>
                <w:sz w:val="19"/>
                <w:szCs w:val="19"/>
              </w:rPr>
              <w:t>25</w:t>
            </w:r>
          </w:p>
        </w:tc>
        <w:tc>
          <w:tcPr>
            <w:tcW w:w="344"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343" w:type="dxa"/>
          </w:tcPr>
          <w:p w:rsidR="00077155" w:rsidRPr="00F2104A" w:rsidRDefault="00077155" w:rsidP="001D493B">
            <w:pPr>
              <w:pStyle w:val="Tabletext"/>
              <w:jc w:val="center"/>
              <w:rPr>
                <w:sz w:val="19"/>
                <w:szCs w:val="19"/>
              </w:rPr>
            </w:pPr>
            <w:r w:rsidRPr="00F2104A">
              <w:rPr>
                <w:sz w:val="19"/>
                <w:szCs w:val="19"/>
              </w:rPr>
              <w:t>Y</w:t>
            </w:r>
          </w:p>
        </w:tc>
        <w:tc>
          <w:tcPr>
            <w:tcW w:w="531" w:type="dxa"/>
          </w:tcPr>
          <w:p w:rsidR="00077155" w:rsidRPr="00F2104A" w:rsidRDefault="00077155" w:rsidP="001D493B">
            <w:pPr>
              <w:pStyle w:val="Tabletext"/>
              <w:jc w:val="center"/>
              <w:rPr>
                <w:sz w:val="19"/>
                <w:szCs w:val="19"/>
              </w:rPr>
            </w:pPr>
            <w:r w:rsidRPr="00F2104A">
              <w:rPr>
                <w:sz w:val="19"/>
                <w:szCs w:val="19"/>
              </w:rPr>
              <w:t>Y</w:t>
            </w:r>
          </w:p>
        </w:tc>
        <w:tc>
          <w:tcPr>
            <w:tcW w:w="322" w:type="dxa"/>
          </w:tcPr>
          <w:p w:rsidR="00077155" w:rsidRPr="00F2104A" w:rsidRDefault="00077155" w:rsidP="001D493B">
            <w:pPr>
              <w:pStyle w:val="Tabletext"/>
              <w:jc w:val="center"/>
              <w:rPr>
                <w:sz w:val="19"/>
                <w:szCs w:val="19"/>
              </w:rPr>
            </w:pPr>
          </w:p>
        </w:tc>
        <w:tc>
          <w:tcPr>
            <w:tcW w:w="317"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p>
        </w:tc>
        <w:tc>
          <w:tcPr>
            <w:tcW w:w="379" w:type="dxa"/>
          </w:tcPr>
          <w:p w:rsidR="00077155" w:rsidRPr="00F2104A" w:rsidRDefault="00077155" w:rsidP="001D493B">
            <w:pPr>
              <w:pStyle w:val="Tabletext"/>
              <w:jc w:val="center"/>
              <w:rPr>
                <w:sz w:val="19"/>
                <w:szCs w:val="19"/>
              </w:rPr>
            </w:pPr>
            <w:r w:rsidRPr="00F2104A">
              <w:rPr>
                <w:sz w:val="19"/>
                <w:szCs w:val="19"/>
              </w:rPr>
              <w:t>Y</w:t>
            </w:r>
          </w:p>
        </w:tc>
        <w:tc>
          <w:tcPr>
            <w:tcW w:w="379" w:type="dxa"/>
          </w:tcPr>
          <w:p w:rsidR="00077155" w:rsidRPr="00F2104A" w:rsidRDefault="00077155" w:rsidP="001D493B">
            <w:pPr>
              <w:pStyle w:val="Tabletext"/>
              <w:jc w:val="center"/>
              <w:rPr>
                <w:sz w:val="19"/>
                <w:szCs w:val="19"/>
              </w:rPr>
            </w:pPr>
          </w:p>
        </w:tc>
        <w:tc>
          <w:tcPr>
            <w:tcW w:w="468"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r w:rsidRPr="00F2104A">
              <w:rPr>
                <w:sz w:val="19"/>
                <w:szCs w:val="19"/>
              </w:rPr>
              <w:t>Y</w:t>
            </w:r>
          </w:p>
        </w:tc>
        <w:tc>
          <w:tcPr>
            <w:tcW w:w="401" w:type="dxa"/>
          </w:tcPr>
          <w:p w:rsidR="00077155" w:rsidRPr="00F2104A" w:rsidRDefault="00077155" w:rsidP="001D493B">
            <w:pPr>
              <w:pStyle w:val="Tabletext"/>
              <w:jc w:val="center"/>
              <w:rPr>
                <w:sz w:val="19"/>
                <w:szCs w:val="19"/>
              </w:rPr>
            </w:pPr>
          </w:p>
        </w:tc>
        <w:tc>
          <w:tcPr>
            <w:tcW w:w="401" w:type="dxa"/>
          </w:tcPr>
          <w:p w:rsidR="00077155" w:rsidRPr="00F2104A" w:rsidRDefault="00077155" w:rsidP="001D493B">
            <w:pPr>
              <w:pStyle w:val="Tabletext"/>
              <w:jc w:val="center"/>
              <w:rPr>
                <w:sz w:val="19"/>
                <w:szCs w:val="19"/>
              </w:rPr>
            </w:pPr>
            <w:r w:rsidRPr="00F2104A">
              <w:rPr>
                <w:sz w:val="19"/>
                <w:szCs w:val="19"/>
              </w:rPr>
              <w:t>Y</w:t>
            </w:r>
          </w:p>
        </w:tc>
      </w:tr>
    </w:tbl>
    <w:p w:rsidR="00077155" w:rsidRPr="007625FD" w:rsidRDefault="00077155" w:rsidP="00073490"/>
    <w:p w:rsidR="00073490" w:rsidRDefault="00073490" w:rsidP="00733A29">
      <w:pPr>
        <w:pStyle w:val="Reasons"/>
      </w:pPr>
    </w:p>
    <w:p w:rsidR="00077155" w:rsidRDefault="00073490" w:rsidP="00073490">
      <w:pPr>
        <w:jc w:val="center"/>
      </w:pPr>
      <w:r>
        <w:t>______________</w:t>
      </w:r>
    </w:p>
    <w:sectPr w:rsidR="00077155" w:rsidSect="00C238E8">
      <w:headerReference w:type="default" r:id="rId15"/>
      <w:footerReference w:type="default" r:id="rId16"/>
      <w:headerReference w:type="first" r:id="rId17"/>
      <w:footerReference w:type="first" r:id="rId18"/>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A29" w:rsidRDefault="00733A29">
      <w:r>
        <w:separator/>
      </w:r>
    </w:p>
  </w:endnote>
  <w:endnote w:type="continuationSeparator" w:id="0">
    <w:p w:rsidR="00733A29" w:rsidRDefault="0073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CC" w:rsidRDefault="00B93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E8" w:rsidRPr="00B93DCC" w:rsidRDefault="00C238E8" w:rsidP="00B93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E8" w:rsidRPr="00C238E8" w:rsidRDefault="00C238E8" w:rsidP="00C238E8">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29" w:rsidRPr="00B93DCC" w:rsidRDefault="00733A29" w:rsidP="00B93D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29" w:rsidRPr="00B93DCC" w:rsidRDefault="00733A29" w:rsidP="00B93DCC">
    <w:pPr>
      <w:pStyle w:val="Footer"/>
    </w:pPr>
    <w:bookmarkStart w:id="29" w:name="_GoBack"/>
    <w:bookmarkEnd w:id="2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A29" w:rsidRDefault="00733A29">
      <w:r>
        <w:t>____________________</w:t>
      </w:r>
    </w:p>
  </w:footnote>
  <w:footnote w:type="continuationSeparator" w:id="0">
    <w:p w:rsidR="00733A29" w:rsidRDefault="0073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CC" w:rsidRDefault="00B93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29" w:rsidRDefault="00733A29" w:rsidP="00733A29">
    <w:pPr>
      <w:pStyle w:val="Header"/>
    </w:pPr>
    <w:r>
      <w:fldChar w:fldCharType="begin"/>
    </w:r>
    <w:r>
      <w:instrText xml:space="preserve"> PAGE   \* MERGEFORMAT </w:instrText>
    </w:r>
    <w:r>
      <w:fldChar w:fldCharType="separate"/>
    </w:r>
    <w:r w:rsidR="00B93DCC">
      <w:rPr>
        <w:noProof/>
      </w:rPr>
      <w:t>3</w:t>
    </w:r>
    <w:r>
      <w:fldChar w:fldCharType="end"/>
    </w:r>
  </w:p>
  <w:p w:rsidR="00733A29" w:rsidRDefault="00733A29" w:rsidP="00733A29">
    <w:pPr>
      <w:pStyle w:val="Header"/>
    </w:pPr>
    <w:r>
      <w:t>PP18/64-F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CC" w:rsidRDefault="00B93D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29" w:rsidRDefault="00733A29" w:rsidP="00BD1614">
    <w:pPr>
      <w:pStyle w:val="Header"/>
    </w:pPr>
    <w:r>
      <w:fldChar w:fldCharType="begin"/>
    </w:r>
    <w:r>
      <w:instrText xml:space="preserve"> PAGE </w:instrText>
    </w:r>
    <w:r>
      <w:fldChar w:fldCharType="separate"/>
    </w:r>
    <w:r w:rsidR="00B93DCC">
      <w:rPr>
        <w:noProof/>
      </w:rPr>
      <w:t>5</w:t>
    </w:r>
    <w:r>
      <w:fldChar w:fldCharType="end"/>
    </w:r>
  </w:p>
  <w:p w:rsidR="00733A29" w:rsidRDefault="00733A29" w:rsidP="00077155">
    <w:pPr>
      <w:pStyle w:val="Header"/>
    </w:pPr>
    <w:r>
      <w:t>PP18/64-F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E8" w:rsidRDefault="00C238E8" w:rsidP="00C238E8">
    <w:pPr>
      <w:pStyle w:val="Header"/>
    </w:pPr>
    <w:r>
      <w:fldChar w:fldCharType="begin"/>
    </w:r>
    <w:r>
      <w:instrText xml:space="preserve"> PAGE   \* MERGEFORMAT </w:instrText>
    </w:r>
    <w:r>
      <w:fldChar w:fldCharType="separate"/>
    </w:r>
    <w:r w:rsidR="00B93DCC">
      <w:rPr>
        <w:noProof/>
      </w:rPr>
      <w:t>4</w:t>
    </w:r>
    <w:r>
      <w:fldChar w:fldCharType="end"/>
    </w:r>
  </w:p>
  <w:p w:rsidR="00C238E8" w:rsidRPr="00C238E8" w:rsidRDefault="00C238E8" w:rsidP="00C238E8">
    <w:pPr>
      <w:pStyle w:val="Header"/>
    </w:pPr>
    <w:r>
      <w:t>PP18/64-F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C60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EED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902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089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025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74EC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503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06DE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AA0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827D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0E11BCE"/>
    <w:multiLevelType w:val="hybridMultilevel"/>
    <w:tmpl w:val="F0D23D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7666B"/>
    <w:multiLevelType w:val="hybridMultilevel"/>
    <w:tmpl w:val="4FF4D22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26F5"/>
    <w:multiLevelType w:val="hybridMultilevel"/>
    <w:tmpl w:val="2ECC9E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D206213"/>
    <w:multiLevelType w:val="hybridMultilevel"/>
    <w:tmpl w:val="98A8D68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4"/>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BD"/>
    <w:rsid w:val="000054D8"/>
    <w:rsid w:val="00060D74"/>
    <w:rsid w:val="00072D5C"/>
    <w:rsid w:val="00073490"/>
    <w:rsid w:val="00077155"/>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D493B"/>
    <w:rsid w:val="001E1B9B"/>
    <w:rsid w:val="001E2226"/>
    <w:rsid w:val="001F6233"/>
    <w:rsid w:val="002304F0"/>
    <w:rsid w:val="002355CD"/>
    <w:rsid w:val="00270B2F"/>
    <w:rsid w:val="002A0E1B"/>
    <w:rsid w:val="002C1059"/>
    <w:rsid w:val="002C2F9C"/>
    <w:rsid w:val="00322DEA"/>
    <w:rsid w:val="00355FBD"/>
    <w:rsid w:val="00381461"/>
    <w:rsid w:val="003A0B7D"/>
    <w:rsid w:val="003A45C2"/>
    <w:rsid w:val="003C4BE2"/>
    <w:rsid w:val="003D147D"/>
    <w:rsid w:val="003D637A"/>
    <w:rsid w:val="00417658"/>
    <w:rsid w:val="00430015"/>
    <w:rsid w:val="004678D0"/>
    <w:rsid w:val="00482954"/>
    <w:rsid w:val="004951C0"/>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3A29"/>
    <w:rsid w:val="00735F13"/>
    <w:rsid w:val="007717F2"/>
    <w:rsid w:val="00772E3B"/>
    <w:rsid w:val="0078134C"/>
    <w:rsid w:val="007A5830"/>
    <w:rsid w:val="00801256"/>
    <w:rsid w:val="008257BD"/>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93DCC"/>
    <w:rsid w:val="00B96B1E"/>
    <w:rsid w:val="00BB2A6F"/>
    <w:rsid w:val="00BD1614"/>
    <w:rsid w:val="00BD5DA6"/>
    <w:rsid w:val="00BF7D25"/>
    <w:rsid w:val="00C010C0"/>
    <w:rsid w:val="00C238E8"/>
    <w:rsid w:val="00C40CB5"/>
    <w:rsid w:val="00C54CE6"/>
    <w:rsid w:val="00C575E2"/>
    <w:rsid w:val="00C7368B"/>
    <w:rsid w:val="00C92746"/>
    <w:rsid w:val="00C94D16"/>
    <w:rsid w:val="00CB12D9"/>
    <w:rsid w:val="00CC4DC5"/>
    <w:rsid w:val="00CE1A7C"/>
    <w:rsid w:val="00CF7F2B"/>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146E"/>
    <w:rsid w:val="00E54FCE"/>
    <w:rsid w:val="00E60DA1"/>
    <w:rsid w:val="00E93D35"/>
    <w:rsid w:val="00EA3EB7"/>
    <w:rsid w:val="00EA45DB"/>
    <w:rsid w:val="00ED2CD9"/>
    <w:rsid w:val="00F07DA7"/>
    <w:rsid w:val="00F2104A"/>
    <w:rsid w:val="00F564C1"/>
    <w:rsid w:val="00F77FA2"/>
    <w:rsid w:val="00F8357A"/>
    <w:rsid w:val="00FA1B77"/>
    <w:rsid w:val="00FB3D21"/>
    <w:rsid w:val="00FB4B65"/>
    <w:rsid w:val="00FB5741"/>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6F40813-9B19-4BDC-BEEB-8F0B07D5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qFormat/>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qFormat/>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07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155"/>
    <w:pPr>
      <w:ind w:left="720"/>
      <w:contextualSpacing/>
    </w:pPr>
  </w:style>
  <w:style w:type="paragraph" w:customStyle="1" w:styleId="Reasons0">
    <w:name w:val="* * * *Reasons"/>
    <w:basedOn w:val="Reasons"/>
    <w:rsid w:val="00077155"/>
  </w:style>
  <w:style w:type="paragraph" w:customStyle="1" w:styleId="Norml">
    <w:name w:val="Norml"/>
    <w:basedOn w:val="Normal"/>
    <w:rsid w:val="00077155"/>
    <w:pPr>
      <w:tabs>
        <w:tab w:val="clear" w:pos="567"/>
        <w:tab w:val="clear" w:pos="1134"/>
        <w:tab w:val="clear" w:pos="1701"/>
        <w:tab w:val="clear" w:pos="2268"/>
        <w:tab w:val="clear" w:pos="2835"/>
      </w:tabs>
      <w:overflowPunct/>
      <w:spacing w:before="0"/>
      <w:jc w:val="both"/>
      <w:textAlignment w:val="auto"/>
    </w:pPr>
    <w:rPr>
      <w:rFonts w:eastAsia="Calibri"/>
      <w:b/>
      <w:szCs w:val="24"/>
    </w:rPr>
  </w:style>
  <w:style w:type="character" w:styleId="FollowedHyperlink">
    <w:name w:val="FollowedHyperlink"/>
    <w:basedOn w:val="DefaultParagraphFont"/>
    <w:rsid w:val="00077155"/>
    <w:rPr>
      <w:color w:val="800080"/>
      <w:u w:val="single"/>
    </w:rPr>
  </w:style>
  <w:style w:type="paragraph" w:customStyle="1" w:styleId="SpecialFooter">
    <w:name w:val="Special Footer"/>
    <w:basedOn w:val="Footer"/>
    <w:rsid w:val="00077155"/>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S2">
    <w:name w:val="VolumeTitle_S2"/>
    <w:basedOn w:val="VolumeTitle"/>
    <w:next w:val="Normal"/>
    <w:qFormat/>
    <w:rsid w:val="00077155"/>
  </w:style>
  <w:style w:type="paragraph" w:customStyle="1" w:styleId="StyleCommitteeAfter0ptLinespacingsingle">
    <w:name w:val="Style Committee + After:  0 pt Line spacing:  single"/>
    <w:basedOn w:val="Committee"/>
    <w:rsid w:val="00077155"/>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character" w:customStyle="1" w:styleId="Appdef">
    <w:name w:val="App_def"/>
    <w:basedOn w:val="DefaultParagraphFont"/>
    <w:rsid w:val="00077155"/>
    <w:rPr>
      <w:rFonts w:asciiTheme="minorHAnsi" w:hAnsiTheme="minorHAnsi"/>
      <w:b/>
    </w:rPr>
  </w:style>
  <w:style w:type="character" w:customStyle="1" w:styleId="Appref">
    <w:name w:val="App_ref"/>
    <w:basedOn w:val="DefaultParagraphFont"/>
    <w:rsid w:val="00077155"/>
    <w:rPr>
      <w:rFonts w:asciiTheme="minorHAnsi" w:hAnsiTheme="minorHAnsi"/>
    </w:rPr>
  </w:style>
  <w:style w:type="paragraph" w:customStyle="1" w:styleId="ApptoAnnex">
    <w:name w:val="App_to_Annex"/>
    <w:basedOn w:val="AppendixNo"/>
    <w:next w:val="Normal"/>
    <w:qFormat/>
    <w:rsid w:val="00077155"/>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heme="minorHAnsi" w:hAnsiTheme="minorHAnsi"/>
      <w:lang w:val="en-GB"/>
    </w:rPr>
  </w:style>
  <w:style w:type="character" w:customStyle="1" w:styleId="Artdef">
    <w:name w:val="Art_def"/>
    <w:basedOn w:val="DefaultParagraphFont"/>
    <w:rsid w:val="00077155"/>
    <w:rPr>
      <w:rFonts w:asciiTheme="minorHAnsi" w:hAnsiTheme="minorHAnsi"/>
      <w:b/>
    </w:rPr>
  </w:style>
  <w:style w:type="character" w:customStyle="1" w:styleId="Artref">
    <w:name w:val="Art_ref"/>
    <w:basedOn w:val="DefaultParagraphFont"/>
    <w:rsid w:val="00077155"/>
    <w:rPr>
      <w:rFonts w:asciiTheme="minorHAnsi" w:hAnsiTheme="minorHAnsi"/>
    </w:rPr>
  </w:style>
  <w:style w:type="paragraph" w:customStyle="1" w:styleId="Equation">
    <w:name w:val="Equation"/>
    <w:basedOn w:val="Normal"/>
    <w:rsid w:val="00077155"/>
    <w:pPr>
      <w:tabs>
        <w:tab w:val="clear" w:pos="567"/>
        <w:tab w:val="clear" w:pos="1134"/>
        <w:tab w:val="clear" w:pos="1701"/>
        <w:tab w:val="clear" w:pos="2268"/>
        <w:tab w:val="clear" w:pos="2835"/>
        <w:tab w:val="left" w:pos="794"/>
        <w:tab w:val="left" w:pos="1191"/>
        <w:tab w:val="left" w:pos="1588"/>
        <w:tab w:val="left" w:pos="1985"/>
        <w:tab w:val="center" w:pos="4820"/>
        <w:tab w:val="right" w:pos="9639"/>
      </w:tabs>
    </w:pPr>
    <w:rPr>
      <w:rFonts w:asciiTheme="minorHAnsi" w:hAnsiTheme="minorHAnsi"/>
      <w:lang w:val="en-GB"/>
    </w:rPr>
  </w:style>
  <w:style w:type="paragraph" w:customStyle="1" w:styleId="Equationlegend">
    <w:name w:val="Equation_legend"/>
    <w:basedOn w:val="NormalIndent"/>
    <w:rsid w:val="00077155"/>
    <w:pPr>
      <w:tabs>
        <w:tab w:val="clear" w:pos="567"/>
        <w:tab w:val="clear" w:pos="1134"/>
        <w:tab w:val="clear" w:pos="1701"/>
        <w:tab w:val="clear" w:pos="2268"/>
        <w:tab w:val="clear" w:pos="2835"/>
        <w:tab w:val="left" w:pos="794"/>
        <w:tab w:val="left" w:pos="1191"/>
        <w:tab w:val="left" w:pos="1588"/>
        <w:tab w:val="right" w:pos="1871"/>
        <w:tab w:val="left" w:pos="1985"/>
        <w:tab w:val="left" w:pos="2041"/>
      </w:tabs>
      <w:spacing w:before="80"/>
      <w:ind w:left="2041" w:hanging="2041"/>
    </w:pPr>
    <w:rPr>
      <w:rFonts w:asciiTheme="minorHAnsi" w:hAnsiTheme="minorHAnsi"/>
      <w:lang w:val="en-GB"/>
    </w:rPr>
  </w:style>
  <w:style w:type="paragraph" w:customStyle="1" w:styleId="Figure">
    <w:name w:val="Figure"/>
    <w:basedOn w:val="Normal"/>
    <w:next w:val="Normal"/>
    <w:rsid w:val="00077155"/>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heme="minorHAnsi" w:hAnsiTheme="minorHAnsi"/>
      <w:lang w:val="en-GB"/>
    </w:rPr>
  </w:style>
  <w:style w:type="paragraph" w:customStyle="1" w:styleId="Figurelegend">
    <w:name w:val="Figure_legend"/>
    <w:basedOn w:val="Normal"/>
    <w:rsid w:val="00077155"/>
    <w:pPr>
      <w:keepNext/>
      <w:keepLines/>
      <w:tabs>
        <w:tab w:val="clear" w:pos="567"/>
        <w:tab w:val="clear" w:pos="1134"/>
        <w:tab w:val="clear" w:pos="1701"/>
        <w:tab w:val="clear" w:pos="2268"/>
        <w:tab w:val="clear" w:pos="2835"/>
        <w:tab w:val="left" w:pos="794"/>
        <w:tab w:val="left" w:pos="1191"/>
        <w:tab w:val="left" w:pos="1588"/>
        <w:tab w:val="left" w:pos="1985"/>
      </w:tabs>
      <w:spacing w:before="20" w:after="20"/>
    </w:pPr>
    <w:rPr>
      <w:rFonts w:asciiTheme="minorHAnsi" w:hAnsiTheme="minorHAnsi"/>
      <w:sz w:val="18"/>
      <w:lang w:val="en-GB"/>
    </w:rPr>
  </w:style>
  <w:style w:type="paragraph" w:customStyle="1" w:styleId="FigureNo">
    <w:name w:val="Figure_No"/>
    <w:basedOn w:val="Normal"/>
    <w:next w:val="Normal"/>
    <w:rsid w:val="00077155"/>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heme="minorHAnsi" w:hAnsiTheme="minorHAnsi"/>
      <w:caps/>
      <w:sz w:val="20"/>
      <w:lang w:val="en-GB"/>
    </w:rPr>
  </w:style>
  <w:style w:type="paragraph" w:customStyle="1" w:styleId="Figuretitle">
    <w:name w:val="Figure_title"/>
    <w:basedOn w:val="Normal"/>
    <w:next w:val="Normal"/>
    <w:rsid w:val="00077155"/>
    <w:pPr>
      <w:keepNext/>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heme="minorHAnsi" w:hAnsiTheme="minorHAnsi"/>
      <w:b/>
      <w:sz w:val="20"/>
      <w:lang w:val="en-GB"/>
    </w:rPr>
  </w:style>
  <w:style w:type="paragraph" w:customStyle="1" w:styleId="Figurewithouttitle">
    <w:name w:val="Figure_without_title"/>
    <w:basedOn w:val="FigureNo"/>
    <w:next w:val="Normal"/>
    <w:rsid w:val="00077155"/>
    <w:pPr>
      <w:keepNext w:val="0"/>
    </w:pPr>
  </w:style>
  <w:style w:type="character" w:customStyle="1" w:styleId="FooterChar">
    <w:name w:val="Footer Char"/>
    <w:basedOn w:val="DefaultParagraphFont"/>
    <w:link w:val="Footer"/>
    <w:rsid w:val="00077155"/>
    <w:rPr>
      <w:rFonts w:ascii="Calibri" w:hAnsi="Calibri"/>
      <w:caps/>
      <w:noProof/>
      <w:sz w:val="16"/>
      <w:lang w:val="fr-FR" w:eastAsia="en-US"/>
    </w:rPr>
  </w:style>
  <w:style w:type="character" w:customStyle="1" w:styleId="FootnoteTextChar">
    <w:name w:val="Footnote Text Char"/>
    <w:basedOn w:val="DefaultParagraphFont"/>
    <w:link w:val="FootnoteText"/>
    <w:rsid w:val="00077155"/>
    <w:rPr>
      <w:rFonts w:ascii="Calibri" w:hAnsi="Calibri"/>
      <w:sz w:val="24"/>
      <w:lang w:val="fr-FR" w:eastAsia="en-US"/>
    </w:rPr>
  </w:style>
  <w:style w:type="paragraph" w:customStyle="1" w:styleId="Section10">
    <w:name w:val="Section_1"/>
    <w:basedOn w:val="Normal"/>
    <w:rsid w:val="00077155"/>
    <w:pPr>
      <w:tabs>
        <w:tab w:val="clear" w:pos="567"/>
        <w:tab w:val="clear" w:pos="1134"/>
        <w:tab w:val="clear" w:pos="1701"/>
        <w:tab w:val="clear" w:pos="2268"/>
        <w:tab w:val="clear" w:pos="2835"/>
        <w:tab w:val="left" w:pos="794"/>
        <w:tab w:val="left" w:pos="1191"/>
        <w:tab w:val="left" w:pos="1588"/>
        <w:tab w:val="left" w:pos="1985"/>
        <w:tab w:val="center" w:pos="4820"/>
      </w:tabs>
      <w:spacing w:before="360"/>
      <w:jc w:val="center"/>
    </w:pPr>
    <w:rPr>
      <w:rFonts w:asciiTheme="minorHAnsi" w:hAnsiTheme="minorHAnsi"/>
      <w:b/>
      <w:lang w:val="en-GB"/>
    </w:rPr>
  </w:style>
  <w:style w:type="paragraph" w:customStyle="1" w:styleId="Section20">
    <w:name w:val="Section_2"/>
    <w:basedOn w:val="Section10"/>
    <w:rsid w:val="00077155"/>
    <w:rPr>
      <w:b w:val="0"/>
      <w:i/>
    </w:rPr>
  </w:style>
  <w:style w:type="paragraph" w:customStyle="1" w:styleId="Section3">
    <w:name w:val="Section_3"/>
    <w:basedOn w:val="Section10"/>
    <w:rsid w:val="00077155"/>
    <w:rPr>
      <w:b w:val="0"/>
    </w:rPr>
  </w:style>
  <w:style w:type="paragraph" w:customStyle="1" w:styleId="Subsection1">
    <w:name w:val="Subsection_1"/>
    <w:basedOn w:val="Section10"/>
    <w:next w:val="Normalaftertitle"/>
    <w:qFormat/>
    <w:rsid w:val="00077155"/>
  </w:style>
  <w:style w:type="character" w:customStyle="1" w:styleId="Tablefreq">
    <w:name w:val="Table_freq"/>
    <w:basedOn w:val="DefaultParagraphFont"/>
    <w:rsid w:val="00077155"/>
    <w:rPr>
      <w:rFonts w:asciiTheme="minorHAnsi" w:hAnsiTheme="minorHAnsi"/>
      <w:b/>
      <w:color w:val="auto"/>
      <w:sz w:val="20"/>
    </w:rPr>
  </w:style>
  <w:style w:type="paragraph" w:customStyle="1" w:styleId="Tableref">
    <w:name w:val="Table_ref"/>
    <w:basedOn w:val="Normal"/>
    <w:next w:val="Normal"/>
    <w:rsid w:val="00077155"/>
    <w:pPr>
      <w:keepNext/>
      <w:tabs>
        <w:tab w:val="clear" w:pos="567"/>
        <w:tab w:val="clear" w:pos="1134"/>
        <w:tab w:val="clear" w:pos="1701"/>
        <w:tab w:val="clear" w:pos="2268"/>
        <w:tab w:val="clear" w:pos="2835"/>
        <w:tab w:val="left" w:pos="794"/>
        <w:tab w:val="left" w:pos="1191"/>
        <w:tab w:val="left" w:pos="1588"/>
        <w:tab w:val="left" w:pos="1985"/>
      </w:tabs>
      <w:spacing w:before="560"/>
      <w:jc w:val="center"/>
    </w:pPr>
    <w:rPr>
      <w:rFonts w:asciiTheme="minorHAnsi" w:hAnsiTheme="minorHAnsi"/>
      <w:sz w:val="20"/>
      <w:lang w:val="en-GB"/>
    </w:rPr>
  </w:style>
  <w:style w:type="paragraph" w:customStyle="1" w:styleId="Normalend">
    <w:name w:val="Normal_end"/>
    <w:basedOn w:val="Normal"/>
    <w:next w:val="Normal"/>
    <w:qFormat/>
    <w:rsid w:val="00077155"/>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lang w:val="en-US"/>
    </w:rPr>
  </w:style>
  <w:style w:type="paragraph" w:customStyle="1" w:styleId="Questiondate">
    <w:name w:val="Question_date"/>
    <w:basedOn w:val="Normal"/>
    <w:next w:val="Normalaftertitle"/>
    <w:rsid w:val="00077155"/>
    <w:pPr>
      <w:keepNext/>
      <w:keepLines/>
      <w:tabs>
        <w:tab w:val="clear" w:pos="567"/>
        <w:tab w:val="clear" w:pos="1134"/>
        <w:tab w:val="clear" w:pos="1701"/>
        <w:tab w:val="clear" w:pos="2268"/>
        <w:tab w:val="clear" w:pos="2835"/>
        <w:tab w:val="left" w:pos="794"/>
        <w:tab w:val="left" w:pos="1191"/>
        <w:tab w:val="left" w:pos="1588"/>
        <w:tab w:val="left" w:pos="1985"/>
      </w:tabs>
      <w:jc w:val="right"/>
    </w:pPr>
    <w:rPr>
      <w:rFonts w:asciiTheme="minorHAnsi" w:hAnsiTheme="minorHAnsi"/>
      <w:sz w:val="22"/>
      <w:lang w:val="en-GB"/>
    </w:rPr>
  </w:style>
  <w:style w:type="paragraph" w:customStyle="1" w:styleId="QuestionNo">
    <w:name w:val="Question_No"/>
    <w:basedOn w:val="Normal"/>
    <w:next w:val="Normal"/>
    <w:rsid w:val="00077155"/>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hAnsiTheme="minorHAnsi"/>
      <w:caps/>
      <w:sz w:val="28"/>
      <w:lang w:val="en-GB"/>
    </w:rPr>
  </w:style>
  <w:style w:type="paragraph" w:customStyle="1" w:styleId="Questiontitle">
    <w:name w:val="Question_title"/>
    <w:basedOn w:val="Normal"/>
    <w:next w:val="Normal"/>
    <w:rsid w:val="00077155"/>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heme="minorHAnsi" w:hAnsiTheme="minorHAnsi"/>
      <w:b/>
      <w:sz w:val="28"/>
      <w:lang w:val="en-GB"/>
    </w:rPr>
  </w:style>
  <w:style w:type="paragraph" w:customStyle="1" w:styleId="Title4">
    <w:name w:val="Title 4"/>
    <w:basedOn w:val="Title3"/>
    <w:next w:val="Heading1"/>
    <w:rsid w:val="00077155"/>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pPr>
    <w:rPr>
      <w:rFonts w:asciiTheme="minorHAnsi" w:hAnsiTheme="minorHAnsi"/>
      <w:b/>
      <w:lang w:val="en-GB"/>
    </w:rPr>
  </w:style>
  <w:style w:type="paragraph" w:customStyle="1" w:styleId="Part1">
    <w:name w:val="Part_1"/>
    <w:basedOn w:val="Section10"/>
    <w:next w:val="Section10"/>
    <w:qFormat/>
    <w:rsid w:val="00077155"/>
  </w:style>
  <w:style w:type="paragraph" w:customStyle="1" w:styleId="PartNo">
    <w:name w:val="Part_No"/>
    <w:basedOn w:val="AnnexNo"/>
    <w:next w:val="Normal"/>
    <w:rsid w:val="00077155"/>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heme="minorHAnsi" w:hAnsiTheme="minorHAnsi"/>
      <w:lang w:val="en-GB"/>
    </w:rPr>
  </w:style>
  <w:style w:type="paragraph" w:customStyle="1" w:styleId="Partref">
    <w:name w:val="Part_ref"/>
    <w:basedOn w:val="Annexref"/>
    <w:next w:val="Normal"/>
    <w:rsid w:val="00077155"/>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heme="minorHAnsi" w:hAnsiTheme="minorHAnsi"/>
      <w:sz w:val="24"/>
      <w:lang w:val="en-GB"/>
    </w:rPr>
  </w:style>
  <w:style w:type="paragraph" w:customStyle="1" w:styleId="Parttitle">
    <w:name w:val="Part_title"/>
    <w:basedOn w:val="Annextitle"/>
    <w:next w:val="Normalaftertitle"/>
    <w:rsid w:val="00077155"/>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heme="minorHAnsi" w:hAnsiTheme="minorHAnsi"/>
      <w:lang w:val="en-GB"/>
    </w:rPr>
  </w:style>
  <w:style w:type="paragraph" w:customStyle="1" w:styleId="Recdate">
    <w:name w:val="Rec_date"/>
    <w:basedOn w:val="Normal"/>
    <w:next w:val="Normalaftertitle"/>
    <w:rsid w:val="00077155"/>
    <w:pPr>
      <w:keepNext/>
      <w:keepLines/>
      <w:tabs>
        <w:tab w:val="clear" w:pos="567"/>
        <w:tab w:val="clear" w:pos="1134"/>
        <w:tab w:val="clear" w:pos="1701"/>
        <w:tab w:val="clear" w:pos="2268"/>
        <w:tab w:val="clear" w:pos="2835"/>
        <w:tab w:val="left" w:pos="794"/>
        <w:tab w:val="left" w:pos="1191"/>
        <w:tab w:val="left" w:pos="1588"/>
        <w:tab w:val="left" w:pos="1985"/>
      </w:tabs>
      <w:jc w:val="right"/>
    </w:pPr>
    <w:rPr>
      <w:rFonts w:asciiTheme="minorHAnsi" w:hAnsiTheme="minorHAnsi"/>
      <w:sz w:val="22"/>
      <w:lang w:val="en-GB"/>
    </w:rPr>
  </w:style>
  <w:style w:type="paragraph" w:customStyle="1" w:styleId="AppArtNo">
    <w:name w:val="App_Art_No"/>
    <w:basedOn w:val="ArtNo"/>
    <w:qFormat/>
    <w:rsid w:val="00077155"/>
    <w:pPr>
      <w:keepNext/>
      <w:keepLines/>
      <w:tabs>
        <w:tab w:val="left" w:pos="794"/>
        <w:tab w:val="left" w:pos="1191"/>
        <w:tab w:val="left" w:pos="1588"/>
        <w:tab w:val="left" w:pos="1985"/>
      </w:tabs>
      <w:spacing w:before="480"/>
    </w:pPr>
    <w:rPr>
      <w:rFonts w:asciiTheme="minorHAnsi" w:hAnsiTheme="minorHAnsi"/>
      <w:lang w:val="en-GB"/>
    </w:rPr>
  </w:style>
  <w:style w:type="paragraph" w:customStyle="1" w:styleId="AppArttitle">
    <w:name w:val="App_Art_title"/>
    <w:basedOn w:val="Arttitle"/>
    <w:qFormat/>
    <w:rsid w:val="00077155"/>
    <w:pPr>
      <w:keepNext/>
      <w:keepLines/>
      <w:tabs>
        <w:tab w:val="left" w:pos="794"/>
        <w:tab w:val="left" w:pos="1191"/>
        <w:tab w:val="left" w:pos="1588"/>
        <w:tab w:val="left" w:pos="1985"/>
      </w:tabs>
      <w:spacing w:after="0"/>
    </w:pPr>
    <w:rPr>
      <w:rFonts w:asciiTheme="minorHAnsi" w:hAnsiTheme="minorHAnsi"/>
      <w:lang w:val="en-GB"/>
    </w:rPr>
  </w:style>
  <w:style w:type="paragraph" w:customStyle="1" w:styleId="Opiniontitle">
    <w:name w:val="Opinion_title"/>
    <w:basedOn w:val="Rectitle"/>
    <w:next w:val="Normalaftertitle"/>
    <w:qFormat/>
    <w:rsid w:val="00077155"/>
    <w:pPr>
      <w:keepNext/>
      <w:keepLines/>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lang w:val="en-GB"/>
    </w:rPr>
  </w:style>
  <w:style w:type="paragraph" w:customStyle="1" w:styleId="OpinionNo">
    <w:name w:val="Opinion_No"/>
    <w:basedOn w:val="RecNo"/>
    <w:next w:val="Opiniontitle"/>
    <w:qFormat/>
    <w:rsid w:val="00077155"/>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heme="minorHAnsi" w:hAnsiTheme="minorHAnsi"/>
      <w:lang w:val="en-GB"/>
    </w:rPr>
  </w:style>
  <w:style w:type="paragraph" w:customStyle="1" w:styleId="Volumetitle0">
    <w:name w:val="Volume_title"/>
    <w:basedOn w:val="Normal"/>
    <w:qFormat/>
    <w:rsid w:val="00077155"/>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textAlignment w:val="auto"/>
    </w:pPr>
    <w:rPr>
      <w:rFonts w:asciiTheme="minorHAnsi" w:hAnsiTheme="minorHAnsi"/>
      <w:b/>
      <w:sz w:val="28"/>
      <w:lang w:val="en-US"/>
    </w:rPr>
  </w:style>
  <w:style w:type="character" w:customStyle="1" w:styleId="NormalaftertitleChar">
    <w:name w:val="Normal after title Char"/>
    <w:basedOn w:val="DefaultParagraphFont"/>
    <w:link w:val="Normalaftertitle"/>
    <w:locked/>
    <w:rsid w:val="00077155"/>
    <w:rPr>
      <w:rFonts w:ascii="Calibri" w:hAnsi="Calibri"/>
      <w:sz w:val="24"/>
      <w:lang w:val="fr-FR" w:eastAsia="en-US"/>
    </w:rPr>
  </w:style>
  <w:style w:type="paragraph" w:customStyle="1" w:styleId="Priorityarea">
    <w:name w:val="Priorityarea"/>
    <w:basedOn w:val="ListParagraph"/>
    <w:qFormat/>
    <w:rsid w:val="00077155"/>
    <w:pPr>
      <w:tabs>
        <w:tab w:val="clear" w:pos="567"/>
        <w:tab w:val="clear" w:pos="1134"/>
        <w:tab w:val="clear" w:pos="1701"/>
        <w:tab w:val="clear" w:pos="2835"/>
        <w:tab w:val="left" w:pos="1588"/>
        <w:tab w:val="left" w:pos="1985"/>
      </w:tabs>
      <w:spacing w:before="20"/>
      <w:ind w:left="0"/>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59C29-0263-443A-AC28-9D04C0D9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54</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Administrations des pays membres de la Télécommunauté Asie-Pacifique</dc:title>
  <dc:subject>Plenipotentiary Conference (PP-18)</dc:subject>
  <dc:creator>Durand, Alexandra</dc:creator>
  <cp:keywords>PP18, Plenipoentiary</cp:keywords>
  <dc:description/>
  <cp:lastModifiedBy>Mestrallet, Francoise</cp:lastModifiedBy>
  <cp:revision>11</cp:revision>
  <cp:lastPrinted>2018-10-24T08:56:00Z</cp:lastPrinted>
  <dcterms:created xsi:type="dcterms:W3CDTF">2018-10-24T08:10:00Z</dcterms:created>
  <dcterms:modified xsi:type="dcterms:W3CDTF">2018-10-24T12:41:00Z</dcterms:modified>
  <cp:category>Conference document</cp:category>
</cp:coreProperties>
</file>