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4C6F72">
        <w:trPr>
          <w:cantSplit/>
        </w:trPr>
        <w:tc>
          <w:tcPr>
            <w:tcW w:w="6911" w:type="dxa"/>
          </w:tcPr>
          <w:p w:rsidR="007E4D0F" w:rsidRPr="004C6F72" w:rsidRDefault="007E4D0F" w:rsidP="00C12AD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4C6F7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C12ADD" w:rsidRPr="004C6F72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6F7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C6F72">
              <w:rPr>
                <w:rFonts w:ascii="Verdana" w:hAnsi="Verdana"/>
                <w:szCs w:val="22"/>
                <w:lang w:val="ru-RU"/>
              </w:rPr>
              <w:br/>
            </w:r>
            <w:r w:rsidR="00C12ADD" w:rsidRPr="004C6F72">
              <w:rPr>
                <w:b/>
                <w:bCs/>
                <w:lang w:val="ru-RU"/>
              </w:rPr>
              <w:t>Дубай</w:t>
            </w:r>
            <w:r w:rsidR="00D37469" w:rsidRPr="004C6F72">
              <w:rPr>
                <w:b/>
                <w:bCs/>
                <w:lang w:val="ru-RU"/>
              </w:rPr>
              <w:t>, 2</w:t>
            </w:r>
            <w:r w:rsidR="00C12ADD" w:rsidRPr="004C6F72">
              <w:rPr>
                <w:b/>
                <w:bCs/>
                <w:lang w:val="ru-RU"/>
              </w:rPr>
              <w:t>9</w:t>
            </w:r>
            <w:r w:rsidR="00D37469" w:rsidRPr="004C6F72">
              <w:rPr>
                <w:b/>
                <w:bCs/>
                <w:lang w:val="ru-RU"/>
              </w:rPr>
              <w:t xml:space="preserve"> октября – </w:t>
            </w:r>
            <w:r w:rsidR="00C12ADD" w:rsidRPr="004C6F72">
              <w:rPr>
                <w:b/>
                <w:bCs/>
                <w:lang w:val="ru-RU"/>
              </w:rPr>
              <w:t>16</w:t>
            </w:r>
            <w:r w:rsidR="00D37469" w:rsidRPr="004C6F72">
              <w:rPr>
                <w:b/>
                <w:bCs/>
                <w:lang w:val="ru-RU"/>
              </w:rPr>
              <w:t xml:space="preserve"> ноября 201</w:t>
            </w:r>
            <w:r w:rsidR="00C12ADD" w:rsidRPr="004C6F72">
              <w:rPr>
                <w:b/>
                <w:bCs/>
                <w:lang w:val="ru-RU"/>
              </w:rPr>
              <w:t>8</w:t>
            </w:r>
            <w:r w:rsidR="00D37469" w:rsidRPr="004C6F72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4C6F72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C6F72">
              <w:rPr>
                <w:noProof/>
                <w:lang w:eastAsia="zh-CN"/>
              </w:rPr>
              <w:drawing>
                <wp:inline distT="0" distB="0" distL="0" distR="0" wp14:anchorId="0A181C8C" wp14:editId="5A0BDE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4C6F7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4C6F72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4C6F72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4C6F7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4C6F72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4C6F72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4C6F72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4C6F72" w:rsidRDefault="00156B65" w:rsidP="009A365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4C6F72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4C6F72" w:rsidRDefault="00156B65" w:rsidP="00C12AD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4C6F72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DE3701" w:rsidRPr="004C6F72">
              <w:rPr>
                <w:rFonts w:eastAsia="PMingLiU"/>
                <w:b/>
                <w:bCs/>
                <w:szCs w:val="22"/>
                <w:lang w:val="ru-RU" w:eastAsia="zh-TW"/>
              </w:rPr>
              <w:t>64</w:t>
            </w:r>
            <w:r w:rsidRPr="004C6F7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4C6F72">
        <w:trPr>
          <w:cantSplit/>
          <w:trHeight w:val="23"/>
        </w:trPr>
        <w:tc>
          <w:tcPr>
            <w:tcW w:w="6911" w:type="dxa"/>
            <w:vMerge/>
          </w:tcPr>
          <w:p w:rsidR="00156B65" w:rsidRPr="004C6F72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4C6F72" w:rsidRDefault="00DE3701" w:rsidP="00DE370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C6F72">
              <w:rPr>
                <w:b/>
                <w:bCs/>
                <w:szCs w:val="22"/>
                <w:lang w:val="ru-RU"/>
              </w:rPr>
              <w:t>15</w:t>
            </w:r>
            <w:r w:rsidR="00D82588" w:rsidRPr="004C6F72">
              <w:rPr>
                <w:b/>
                <w:bCs/>
                <w:szCs w:val="22"/>
                <w:lang w:val="ru-RU"/>
              </w:rPr>
              <w:t xml:space="preserve"> </w:t>
            </w:r>
            <w:r w:rsidRPr="004C6F72">
              <w:rPr>
                <w:b/>
                <w:bCs/>
                <w:szCs w:val="22"/>
                <w:lang w:val="ru-RU"/>
              </w:rPr>
              <w:t>октября</w:t>
            </w:r>
            <w:r w:rsidR="00156B65" w:rsidRPr="004C6F72">
              <w:rPr>
                <w:b/>
                <w:bCs/>
                <w:szCs w:val="22"/>
                <w:lang w:val="ru-RU"/>
              </w:rPr>
              <w:t xml:space="preserve"> 201</w:t>
            </w:r>
            <w:r w:rsidRPr="004C6F72">
              <w:rPr>
                <w:b/>
                <w:bCs/>
                <w:szCs w:val="22"/>
                <w:lang w:val="ru-RU"/>
              </w:rPr>
              <w:t>8 </w:t>
            </w:r>
            <w:r w:rsidR="00156B65" w:rsidRPr="004C6F72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156B65" w:rsidRPr="004C6F72">
        <w:trPr>
          <w:cantSplit/>
          <w:trHeight w:val="23"/>
        </w:trPr>
        <w:tc>
          <w:tcPr>
            <w:tcW w:w="6911" w:type="dxa"/>
            <w:vMerge/>
          </w:tcPr>
          <w:p w:rsidR="00156B65" w:rsidRPr="004C6F72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4C6F72" w:rsidRDefault="00156B65" w:rsidP="00881C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C6F7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9E3EA7">
        <w:trPr>
          <w:cantSplit/>
        </w:trPr>
        <w:tc>
          <w:tcPr>
            <w:tcW w:w="10031" w:type="dxa"/>
            <w:gridSpan w:val="2"/>
          </w:tcPr>
          <w:p w:rsidR="007E4D0F" w:rsidRPr="004C6F72" w:rsidRDefault="00DE45DA" w:rsidP="00FA5D43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4C6F72">
              <w:rPr>
                <w:lang w:val="ru-RU"/>
              </w:rPr>
              <w:t>Администраци</w:t>
            </w:r>
            <w:r w:rsidR="00FA5D43" w:rsidRPr="004C6F72">
              <w:rPr>
                <w:lang w:val="ru-RU"/>
              </w:rPr>
              <w:t>и</w:t>
            </w:r>
            <w:r w:rsidRPr="004C6F72">
              <w:rPr>
                <w:lang w:val="ru-RU"/>
              </w:rPr>
              <w:t xml:space="preserve"> Азиатско-Тихоокеанского сообщества электросвязи</w:t>
            </w:r>
          </w:p>
        </w:tc>
      </w:tr>
      <w:tr w:rsidR="00156B65" w:rsidRPr="009E3EA7">
        <w:trPr>
          <w:cantSplit/>
        </w:trPr>
        <w:tc>
          <w:tcPr>
            <w:tcW w:w="10031" w:type="dxa"/>
            <w:gridSpan w:val="2"/>
          </w:tcPr>
          <w:p w:rsidR="00156B65" w:rsidRPr="004C6F72" w:rsidRDefault="00DE45DA" w:rsidP="00DE45DA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4C6F72">
              <w:rPr>
                <w:lang w:val="ru-RU"/>
              </w:rPr>
              <w:t xml:space="preserve">общие предложения азиатско-тихоокеанского региона </w:t>
            </w:r>
            <w:r w:rsidR="00CC4391" w:rsidRPr="004C6F72">
              <w:rPr>
                <w:lang w:val="ru-RU"/>
              </w:rPr>
              <w:br/>
              <w:t>для работы конференции</w:t>
            </w:r>
          </w:p>
        </w:tc>
      </w:tr>
      <w:tr w:rsidR="00156B65" w:rsidRPr="009E3EA7">
        <w:trPr>
          <w:cantSplit/>
        </w:trPr>
        <w:tc>
          <w:tcPr>
            <w:tcW w:w="10031" w:type="dxa"/>
            <w:gridSpan w:val="2"/>
          </w:tcPr>
          <w:p w:rsidR="00156B65" w:rsidRPr="004C6F72" w:rsidRDefault="00156B65" w:rsidP="00156B65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9E3EA7">
        <w:trPr>
          <w:cantSplit/>
        </w:trPr>
        <w:tc>
          <w:tcPr>
            <w:tcW w:w="10031" w:type="dxa"/>
            <w:gridSpan w:val="2"/>
          </w:tcPr>
          <w:p w:rsidR="007E4D0F" w:rsidRPr="004C6F72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DE3701" w:rsidRPr="004C6F72" w:rsidRDefault="00AD2B3B" w:rsidP="00CC4391">
      <w:pPr>
        <w:pStyle w:val="Headingb"/>
        <w:rPr>
          <w:lang w:val="ru-RU"/>
        </w:rPr>
      </w:pPr>
      <w:bookmarkStart w:id="9" w:name="dbreak"/>
      <w:bookmarkEnd w:id="8"/>
      <w:bookmarkEnd w:id="9"/>
      <w:r w:rsidRPr="004C6F72">
        <w:rPr>
          <w:lang w:val="ru-RU"/>
        </w:rPr>
        <w:t>Введение</w:t>
      </w:r>
    </w:p>
    <w:p w:rsidR="00FA5D43" w:rsidRPr="004C6F72" w:rsidRDefault="00CC4391" w:rsidP="008B2FE4">
      <w:pPr>
        <w:rPr>
          <w:lang w:val="ru-RU"/>
        </w:rPr>
      </w:pPr>
      <w:r w:rsidRPr="004C6F72">
        <w:rPr>
          <w:lang w:val="ru-RU"/>
        </w:rPr>
        <w:t>Общие предложения Азиатско-Тихоокеанского сообщества электросвязи (ОП АТСЭ) для ПК</w:t>
      </w:r>
      <w:r w:rsidR="00FA5D43" w:rsidRPr="004C6F72">
        <w:rPr>
          <w:lang w:val="ru-RU"/>
        </w:rPr>
        <w:t>-</w:t>
      </w:r>
      <w:r w:rsidRPr="004C6F72">
        <w:rPr>
          <w:lang w:val="ru-RU"/>
        </w:rPr>
        <w:t>18 разрабатывались на четырех подготовительных собраниях</w:t>
      </w:r>
      <w:r w:rsidR="00DE3701" w:rsidRPr="004C6F72">
        <w:rPr>
          <w:lang w:val="ru-RU"/>
        </w:rPr>
        <w:t xml:space="preserve">. </w:t>
      </w:r>
      <w:r w:rsidR="00FA5D43" w:rsidRPr="004C6F72">
        <w:rPr>
          <w:lang w:val="ru-RU"/>
        </w:rPr>
        <w:t>ОП АТСЭ, представленные в Дополнительном документе</w:t>
      </w:r>
      <w:r w:rsidR="00E911B8" w:rsidRPr="004C6F72">
        <w:rPr>
          <w:lang w:val="ru-RU"/>
        </w:rPr>
        <w:t xml:space="preserve">, были окончательно </w:t>
      </w:r>
      <w:r w:rsidR="00FA5D43" w:rsidRPr="004C6F72">
        <w:rPr>
          <w:lang w:val="ru-RU"/>
        </w:rPr>
        <w:t xml:space="preserve">доработаны на 4-м </w:t>
      </w:r>
      <w:r w:rsidR="00E911B8" w:rsidRPr="004C6F72">
        <w:rPr>
          <w:lang w:val="ru-RU"/>
        </w:rPr>
        <w:t>П</w:t>
      </w:r>
      <w:r w:rsidR="00FA5D43" w:rsidRPr="004C6F72">
        <w:rPr>
          <w:lang w:val="ru-RU"/>
        </w:rPr>
        <w:t xml:space="preserve">одготовительном собрании </w:t>
      </w:r>
      <w:r w:rsidR="00E911B8" w:rsidRPr="004C6F72">
        <w:rPr>
          <w:lang w:val="ru-RU"/>
        </w:rPr>
        <w:t xml:space="preserve">АТСЭ </w:t>
      </w:r>
      <w:r w:rsidR="00FA5D43" w:rsidRPr="004C6F72">
        <w:rPr>
          <w:lang w:val="ru-RU"/>
        </w:rPr>
        <w:t xml:space="preserve">для </w:t>
      </w:r>
      <w:r w:rsidR="00E911B8" w:rsidRPr="004C6F72">
        <w:rPr>
          <w:lang w:val="ru-RU"/>
        </w:rPr>
        <w:t>ПК</w:t>
      </w:r>
      <w:r w:rsidR="00FA5D43" w:rsidRPr="004C6F72">
        <w:rPr>
          <w:lang w:val="ru-RU"/>
        </w:rPr>
        <w:t>-18 (</w:t>
      </w:r>
      <w:r w:rsidR="00E911B8" w:rsidRPr="004C6F72">
        <w:rPr>
          <w:lang w:val="ru-RU"/>
        </w:rPr>
        <w:t>АТСЭ ПК</w:t>
      </w:r>
      <w:r w:rsidR="00FA5D43" w:rsidRPr="004C6F72">
        <w:rPr>
          <w:lang w:val="ru-RU"/>
        </w:rPr>
        <w:t xml:space="preserve">-18), которое </w:t>
      </w:r>
      <w:r w:rsidR="00E911B8" w:rsidRPr="004C6F72">
        <w:rPr>
          <w:lang w:val="ru-RU"/>
        </w:rPr>
        <w:t>прошло</w:t>
      </w:r>
      <w:r w:rsidR="00FA5D43" w:rsidRPr="004C6F72">
        <w:rPr>
          <w:lang w:val="ru-RU"/>
        </w:rPr>
        <w:t xml:space="preserve"> 27</w:t>
      </w:r>
      <w:r w:rsidR="00E911B8" w:rsidRPr="004C6F72">
        <w:rPr>
          <w:lang w:val="ru-RU"/>
        </w:rPr>
        <w:t>−</w:t>
      </w:r>
      <w:r w:rsidR="00FA5D43" w:rsidRPr="004C6F72">
        <w:rPr>
          <w:lang w:val="ru-RU"/>
        </w:rPr>
        <w:t xml:space="preserve">30 августа 2018 года в Куала-Лумпуре, Малайзия, </w:t>
      </w:r>
      <w:r w:rsidR="00E911B8" w:rsidRPr="004C6F72">
        <w:rPr>
          <w:lang w:val="ru-RU"/>
        </w:rPr>
        <w:t>и впоследствии были одобрены администрациями стран – членов АТСЭ</w:t>
      </w:r>
      <w:r w:rsidR="00FA5D43" w:rsidRPr="004C6F72">
        <w:rPr>
          <w:lang w:val="ru-RU"/>
        </w:rPr>
        <w:t>.</w:t>
      </w:r>
    </w:p>
    <w:p w:rsidR="00E911B8" w:rsidRPr="004C6F72" w:rsidRDefault="00E911B8" w:rsidP="00540C52">
      <w:pPr>
        <w:rPr>
          <w:lang w:val="ru-RU"/>
        </w:rPr>
      </w:pPr>
      <w:r w:rsidRPr="004C6F72">
        <w:rPr>
          <w:lang w:val="ru-RU"/>
        </w:rPr>
        <w:t xml:space="preserve">ОП АТСЭ включают предложения по стабильному Уставу (У) и Конвенции (К) МСЭ, пересмотру нескольких Резолюций, исключению Резолюции и проекту новой Резолюции. </w:t>
      </w:r>
      <w:r w:rsidRPr="004C6F72">
        <w:rPr>
          <w:color w:val="000000"/>
          <w:lang w:val="ru-RU"/>
        </w:rPr>
        <w:t>В общей сложности</w:t>
      </w:r>
      <w:r w:rsidRPr="004C6F72">
        <w:rPr>
          <w:lang w:val="ru-RU"/>
        </w:rPr>
        <w:t xml:space="preserve"> в Дополнительн</w:t>
      </w:r>
      <w:r w:rsidR="00540C52" w:rsidRPr="004C6F72">
        <w:rPr>
          <w:lang w:val="ru-RU"/>
        </w:rPr>
        <w:t>о</w:t>
      </w:r>
      <w:r w:rsidRPr="004C6F72">
        <w:rPr>
          <w:lang w:val="ru-RU"/>
        </w:rPr>
        <w:t>м документ</w:t>
      </w:r>
      <w:r w:rsidR="00540C52" w:rsidRPr="004C6F72">
        <w:rPr>
          <w:lang w:val="ru-RU"/>
        </w:rPr>
        <w:t>е</w:t>
      </w:r>
      <w:r w:rsidRPr="004C6F72">
        <w:rPr>
          <w:lang w:val="ru-RU"/>
        </w:rPr>
        <w:t xml:space="preserve"> 1 к настоящему документу</w:t>
      </w:r>
      <w:r w:rsidRPr="004C6F72">
        <w:rPr>
          <w:color w:val="000000"/>
          <w:lang w:val="ru-RU"/>
        </w:rPr>
        <w:t xml:space="preserve"> </w:t>
      </w:r>
      <w:r w:rsidR="00540C52" w:rsidRPr="004C6F72">
        <w:rPr>
          <w:lang w:val="ru-RU"/>
        </w:rPr>
        <w:t>содержится</w:t>
      </w:r>
      <w:r w:rsidR="0086715B" w:rsidRPr="004C6F72">
        <w:rPr>
          <w:lang w:val="ru-RU"/>
        </w:rPr>
        <w:t xml:space="preserve"> 25 ОП АТСЭ в виде 25 </w:t>
      </w:r>
      <w:r w:rsidRPr="004C6F72">
        <w:rPr>
          <w:lang w:val="ru-RU"/>
        </w:rPr>
        <w:t>предложений.</w:t>
      </w:r>
    </w:p>
    <w:p w:rsidR="00DE3701" w:rsidRPr="004C6F72" w:rsidRDefault="00DE3701" w:rsidP="00F8625C">
      <w:pPr>
        <w:rPr>
          <w:lang w:val="ru-RU"/>
        </w:rPr>
      </w:pPr>
      <w:r w:rsidRPr="004C6F72">
        <w:rPr>
          <w:b/>
          <w:bCs/>
          <w:lang w:val="ru-RU"/>
        </w:rPr>
        <w:t>Приложение 1</w:t>
      </w:r>
      <w:r w:rsidRPr="004C6F72">
        <w:rPr>
          <w:lang w:val="ru-RU"/>
        </w:rPr>
        <w:t xml:space="preserve"> </w:t>
      </w:r>
      <w:r w:rsidR="00772267" w:rsidRPr="004C6F72">
        <w:rPr>
          <w:lang w:val="ru-RU"/>
        </w:rPr>
        <w:t>содержит таблицу ОП АТСЭ, включающую номер ОП АТСЭ и его название для перекрестной ссылки</w:t>
      </w:r>
      <w:r w:rsidRPr="004C6F72">
        <w:rPr>
          <w:lang w:val="ru-RU"/>
        </w:rPr>
        <w:t>.</w:t>
      </w:r>
    </w:p>
    <w:p w:rsidR="00DE3701" w:rsidRPr="004C6F72" w:rsidRDefault="00DE3701" w:rsidP="00F8625C">
      <w:pPr>
        <w:rPr>
          <w:rFonts w:cs="Cordia New"/>
          <w:lang w:val="ru-RU" w:bidi="th-TH"/>
        </w:rPr>
      </w:pPr>
      <w:r w:rsidRPr="004C6F72">
        <w:rPr>
          <w:b/>
          <w:bCs/>
          <w:lang w:val="ru-RU"/>
        </w:rPr>
        <w:t>Приложение 2</w:t>
      </w:r>
      <w:r w:rsidRPr="004C6F72">
        <w:rPr>
          <w:lang w:val="ru-RU"/>
        </w:rPr>
        <w:t xml:space="preserve"> </w:t>
      </w:r>
      <w:r w:rsidR="00F8625C" w:rsidRPr="004C6F72">
        <w:rPr>
          <w:lang w:val="ru-RU"/>
        </w:rPr>
        <w:t>содержит список администраций стран – членов АТСЭ и статус одобрения ОП АТСЭ</w:t>
      </w:r>
      <w:r w:rsidRPr="004C6F72">
        <w:rPr>
          <w:lang w:val="ru-RU"/>
        </w:rPr>
        <w:t>.</w:t>
      </w:r>
    </w:p>
    <w:p w:rsidR="00C5117D" w:rsidRPr="004C6F72" w:rsidRDefault="0058145D" w:rsidP="00066BA9">
      <w:pPr>
        <w:pStyle w:val="AnnexNo"/>
        <w:spacing w:after="240"/>
        <w:rPr>
          <w:lang w:val="ru-RU"/>
        </w:rPr>
      </w:pPr>
      <w:r w:rsidRPr="004C6F72">
        <w:rPr>
          <w:rFonts w:asciiTheme="minorHAnsi" w:hAnsiTheme="minorHAnsi"/>
          <w:szCs w:val="22"/>
          <w:lang w:val="ru-RU"/>
        </w:rPr>
        <w:br w:type="page"/>
      </w:r>
      <w:r w:rsidR="00F8625C" w:rsidRPr="004C6F72">
        <w:rPr>
          <w:lang w:val="ru-RU"/>
        </w:rPr>
        <w:lastRenderedPageBreak/>
        <w:t>ПРИЛОЖЕНИЕ</w:t>
      </w:r>
      <w:r w:rsidR="00C5117D" w:rsidRPr="004C6F72">
        <w:rPr>
          <w:lang w:val="ru-RU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8395"/>
      </w:tblGrid>
      <w:tr w:rsidR="00C5117D" w:rsidRPr="004C6F72" w:rsidTr="00066BA9">
        <w:trPr>
          <w:tblHeader/>
        </w:trPr>
        <w:tc>
          <w:tcPr>
            <w:tcW w:w="1206" w:type="dxa"/>
            <w:vAlign w:val="center"/>
          </w:tcPr>
          <w:p w:rsidR="00C5117D" w:rsidRPr="004C6F72" w:rsidRDefault="00F8625C" w:rsidP="00066BA9">
            <w:pPr>
              <w:pStyle w:val="Tablehead"/>
              <w:rPr>
                <w:sz w:val="22"/>
                <w:szCs w:val="22"/>
                <w:lang w:val="ru-RU"/>
              </w:rPr>
            </w:pPr>
            <w:r w:rsidRPr="004C6F72">
              <w:rPr>
                <w:sz w:val="22"/>
                <w:szCs w:val="22"/>
                <w:lang w:val="ru-RU"/>
              </w:rPr>
              <w:t>№ ОП АТСЭ</w:t>
            </w:r>
            <w:r w:rsidR="00AD2B3B" w:rsidRPr="004C6F72">
              <w:rPr>
                <w:sz w:val="22"/>
                <w:szCs w:val="22"/>
                <w:lang w:val="ru-RU"/>
              </w:rPr>
              <w:br/>
            </w:r>
            <w:r w:rsidR="00C5117D" w:rsidRPr="004C6F72">
              <w:rPr>
                <w:sz w:val="22"/>
                <w:szCs w:val="22"/>
                <w:lang w:val="ru-RU"/>
              </w:rPr>
              <w:t>ACP/64A1/</w:t>
            </w:r>
          </w:p>
        </w:tc>
        <w:tc>
          <w:tcPr>
            <w:tcW w:w="8428" w:type="dxa"/>
            <w:vAlign w:val="center"/>
          </w:tcPr>
          <w:p w:rsidR="00C5117D" w:rsidRPr="004C6F72" w:rsidRDefault="00F8625C" w:rsidP="00066BA9">
            <w:pPr>
              <w:pStyle w:val="Tablehead"/>
              <w:rPr>
                <w:sz w:val="22"/>
                <w:szCs w:val="22"/>
                <w:lang w:val="ru-RU"/>
              </w:rPr>
            </w:pPr>
            <w:r w:rsidRPr="004C6F72">
              <w:rPr>
                <w:sz w:val="22"/>
                <w:szCs w:val="22"/>
                <w:lang w:val="ru-RU"/>
              </w:rPr>
              <w:t>Предложения</w:t>
            </w:r>
          </w:p>
        </w:tc>
      </w:tr>
      <w:tr w:rsidR="00C5117D" w:rsidRPr="004C6F72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4C6F72">
              <w:rPr>
                <w:szCs w:val="24"/>
                <w:lang w:val="ru-RU"/>
              </w:rPr>
              <w:t>Стабильный Устав (У)</w:t>
            </w:r>
            <w:r w:rsidR="00C5117D"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</w:t>
            </w:r>
            <w:r w:rsidRPr="004C6F72">
              <w:rPr>
                <w:szCs w:val="24"/>
                <w:lang w:val="ru-RU"/>
              </w:rPr>
              <w:t>МСЭ</w:t>
            </w:r>
          </w:p>
        </w:tc>
      </w:tr>
      <w:tr w:rsidR="00C5117D" w:rsidRPr="004C6F72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4C6F72">
              <w:rPr>
                <w:szCs w:val="24"/>
                <w:lang w:val="ru-RU"/>
              </w:rPr>
              <w:t>Стабильная Конвенция (К) МСЭ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3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4C6F72">
              <w:rPr>
                <w:szCs w:val="24"/>
                <w:lang w:val="ru-RU"/>
              </w:rPr>
              <w:t>Пересмотр Резолюции</w:t>
            </w:r>
            <w:r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</w:t>
            </w:r>
            <w:r w:rsidR="00C5117D"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>11</w:t>
            </w:r>
            <w:r w:rsidR="006A04CE"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− </w:t>
            </w:r>
            <w:r w:rsidR="00A93A7A" w:rsidRPr="004C6F72">
              <w:rPr>
                <w:szCs w:val="24"/>
                <w:lang w:val="ru-RU"/>
              </w:rPr>
              <w:t>Мероприятия ITU TELECOM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4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C6F72">
              <w:rPr>
                <w:szCs w:val="24"/>
                <w:lang w:val="ru-RU"/>
              </w:rPr>
              <w:t>Пересмотр Резолюции</w:t>
            </w:r>
            <w:r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</w:t>
            </w:r>
            <w:r w:rsidR="00C5117D" w:rsidRPr="004C6F72">
              <w:rPr>
                <w:rFonts w:asciiTheme="minorHAnsi" w:hAnsiTheme="minorHAnsi" w:cstheme="minorHAnsi"/>
                <w:szCs w:val="24"/>
                <w:lang w:val="ru-RU"/>
              </w:rPr>
              <w:t>25</w:t>
            </w:r>
            <w:r w:rsidR="006A04CE" w:rsidRPr="004C6F72">
              <w:rPr>
                <w:rFonts w:asciiTheme="minorHAnsi" w:hAnsiTheme="minorHAnsi" w:cstheme="minorHAnsi"/>
                <w:szCs w:val="24"/>
                <w:lang w:val="ru-RU"/>
              </w:rPr>
              <w:t xml:space="preserve"> − </w:t>
            </w:r>
            <w:r w:rsidR="00A93A7A" w:rsidRPr="004C6F72">
              <w:rPr>
                <w:szCs w:val="24"/>
                <w:lang w:val="ru-RU"/>
              </w:rPr>
              <w:t>Укрепление регионального присутствия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5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szCs w:val="24"/>
                <w:lang w:val="ru-RU"/>
              </w:rPr>
              <w:t>Пересмотр Резолюции</w:t>
            </w:r>
            <w:r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</w:t>
            </w:r>
            <w:r w:rsidR="00C5117D" w:rsidRPr="004C6F72">
              <w:rPr>
                <w:bCs/>
                <w:szCs w:val="24"/>
                <w:lang w:val="ru-RU"/>
              </w:rPr>
              <w:t>30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0" w:name="_Toc407102897"/>
            <w:r w:rsidR="00A93A7A" w:rsidRPr="004C6F72">
              <w:rPr>
                <w:szCs w:val="24"/>
                <w:lang w:val="ru-RU"/>
              </w:rPr>
    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</w:t>
            </w:r>
            <w:r w:rsidR="00066BA9" w:rsidRPr="004C6F72">
              <w:rPr>
                <w:szCs w:val="24"/>
                <w:lang w:val="ru-RU"/>
              </w:rPr>
              <w:t xml:space="preserve"> </w:t>
            </w:r>
            <w:r w:rsidR="00A93A7A" w:rsidRPr="004C6F72">
              <w:rPr>
                <w:szCs w:val="24"/>
                <w:lang w:val="ru-RU"/>
              </w:rPr>
              <w:t>с переходной экономикой</w:t>
            </w:r>
            <w:bookmarkEnd w:id="10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6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48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r w:rsidR="00A93A7A" w:rsidRPr="004C6F72">
              <w:rPr>
                <w:szCs w:val="24"/>
                <w:lang w:val="ru-RU"/>
              </w:rPr>
              <w:t>Управление людскими ресурсами и их развитие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7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70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1" w:name="_Toc407102909"/>
            <w:r w:rsidR="00A93A7A" w:rsidRPr="004C6F72">
              <w:rPr>
                <w:szCs w:val="24"/>
                <w:lang w:val="ru-RU"/>
              </w:rPr>
              <w:t>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  <w:bookmarkEnd w:id="11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8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71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r w:rsidR="00A93A7A" w:rsidRPr="004C6F72">
              <w:rPr>
                <w:szCs w:val="24"/>
                <w:lang w:val="ru-RU"/>
              </w:rPr>
              <w:t>Стратегический план Союза на 20</w:t>
            </w:r>
            <w:r w:rsidRPr="004C6F72">
              <w:rPr>
                <w:szCs w:val="24"/>
                <w:lang w:val="ru-RU"/>
              </w:rPr>
              <w:t>20</w:t>
            </w:r>
            <w:r w:rsidR="00A93A7A" w:rsidRPr="004C6F72">
              <w:rPr>
                <w:szCs w:val="24"/>
                <w:lang w:val="ru-RU"/>
              </w:rPr>
              <w:t>−20</w:t>
            </w:r>
            <w:r w:rsidRPr="004C6F72">
              <w:rPr>
                <w:szCs w:val="24"/>
                <w:lang w:val="ru-RU"/>
              </w:rPr>
              <w:t>23</w:t>
            </w:r>
            <w:r w:rsidR="00A93A7A" w:rsidRPr="004C6F72">
              <w:rPr>
                <w:szCs w:val="24"/>
                <w:lang w:val="ru-RU"/>
              </w:rPr>
              <w:t> годы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9</w:t>
            </w:r>
          </w:p>
        </w:tc>
        <w:tc>
          <w:tcPr>
            <w:tcW w:w="8428" w:type="dxa"/>
          </w:tcPr>
          <w:p w:rsidR="00C5117D" w:rsidRPr="004C6F72" w:rsidRDefault="00755A1D" w:rsidP="00066BA9">
            <w:pPr>
              <w:spacing w:before="60" w:after="6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Пересмотр Приложения 1 к Резолюции </w:t>
            </w:r>
            <w:r w:rsidR="00C5117D"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>71</w:t>
            </w:r>
            <w:r w:rsidR="006A04CE" w:rsidRPr="004C6F72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− </w:t>
            </w:r>
            <w:r w:rsidR="00071950" w:rsidRPr="004C6F72">
              <w:rPr>
                <w:szCs w:val="24"/>
                <w:lang w:val="ru-RU"/>
              </w:rPr>
              <w:t>Стратегический план Союза на 2020−2023 годы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10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101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2" w:name="_Toc407102921"/>
            <w:r w:rsidR="000F31C4" w:rsidRPr="004C6F72">
              <w:rPr>
                <w:szCs w:val="24"/>
                <w:lang w:val="ru-RU"/>
              </w:rPr>
              <w:t>Сети, базирующиеся на протоколе Интернет</w:t>
            </w:r>
            <w:bookmarkEnd w:id="12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11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102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3" w:name="_Toc407102923"/>
            <w:r w:rsidR="000F31C4" w:rsidRPr="004C6F72">
              <w:rPr>
                <w:szCs w:val="24"/>
                <w:lang w:val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  <w:bookmarkEnd w:id="13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12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123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4" w:name="_Toc407102927"/>
            <w:r w:rsidR="000F31C4" w:rsidRPr="004C6F72">
              <w:rPr>
                <w:szCs w:val="24"/>
                <w:lang w:val="ru-RU"/>
              </w:rPr>
              <w:t>Преодоление разрыва в стандартизации между развивающимися и развитыми странами</w:t>
            </w:r>
            <w:bookmarkEnd w:id="14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13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130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5" w:name="_Toc164569862"/>
            <w:bookmarkStart w:id="16" w:name="_Toc407102931"/>
            <w:r w:rsidR="000F31C4" w:rsidRPr="004C6F72">
              <w:rPr>
                <w:szCs w:val="24"/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  <w:bookmarkEnd w:id="15"/>
            <w:bookmarkEnd w:id="16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14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131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7" w:name="_Toc407102933"/>
            <w:r w:rsidR="004A6C52" w:rsidRPr="004C6F72">
              <w:rPr>
                <w:color w:val="000000"/>
                <w:szCs w:val="24"/>
                <w:lang w:val="ru-RU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  <w:bookmarkEnd w:id="17"/>
            <w:r w:rsidR="00540C52" w:rsidRPr="004C6F72">
              <w:rPr>
                <w:color w:val="000000"/>
                <w:szCs w:val="24"/>
                <w:lang w:val="ru-RU"/>
              </w:rPr>
              <w:t xml:space="preserve"> и цифровой экономики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15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135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8" w:name="_Toc407102937"/>
            <w:r w:rsidR="004A6C52" w:rsidRPr="004C6F72">
              <w:rPr>
                <w:color w:val="000000"/>
                <w:szCs w:val="24"/>
                <w:lang w:val="ru-RU"/>
              </w:rPr>
    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  <w:bookmarkEnd w:id="18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16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139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19" w:name="_Toc407102943"/>
            <w:r w:rsidR="004A6C52" w:rsidRPr="004C6F72">
              <w:rPr>
                <w:szCs w:val="24"/>
                <w:lang w:val="ru-RU"/>
              </w:rPr>
              <w:t>Использование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      </w:r>
            <w:bookmarkEnd w:id="19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17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140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20" w:name="_Toc407102945"/>
            <w:r w:rsidR="004A6C52" w:rsidRPr="004C6F72">
              <w:rPr>
                <w:szCs w:val="24"/>
                <w:lang w:val="ru-RU"/>
              </w:rPr>
              <w:t>Роль МСЭ в выполнении решений Всемирной встречи на высшем уровне по вопросам информационного общества</w:t>
            </w:r>
            <w:r w:rsidR="00755A1D" w:rsidRPr="004C6F72">
              <w:rPr>
                <w:szCs w:val="24"/>
                <w:lang w:val="ru-RU"/>
              </w:rPr>
              <w:t xml:space="preserve"> и в</w:t>
            </w:r>
            <w:r w:rsidR="004A6C52" w:rsidRPr="004C6F72">
              <w:rPr>
                <w:szCs w:val="24"/>
                <w:lang w:val="ru-RU"/>
              </w:rPr>
              <w:t xml:space="preserve"> </w:t>
            </w:r>
            <w:r w:rsidR="00755A1D" w:rsidRPr="004C6F72">
              <w:rPr>
                <w:szCs w:val="24"/>
                <w:lang w:val="ru-RU"/>
              </w:rPr>
              <w:t>осуществлении Повестки дня в области устойчивого развития на период до 2030 года</w:t>
            </w:r>
            <w:bookmarkEnd w:id="20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18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177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21" w:name="_Toc407102981"/>
            <w:r w:rsidR="004A6C52" w:rsidRPr="004C6F72">
              <w:rPr>
                <w:szCs w:val="24"/>
                <w:lang w:val="ru-RU"/>
              </w:rPr>
              <w:t>Соответствие и функциональная совместимость</w:t>
            </w:r>
            <w:bookmarkEnd w:id="21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lastRenderedPageBreak/>
              <w:t>19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179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22" w:name="_Toc407102983"/>
            <w:r w:rsidR="004A6C52" w:rsidRPr="004C6F72">
              <w:rPr>
                <w:szCs w:val="24"/>
                <w:lang w:val="ru-RU"/>
              </w:rPr>
              <w:t>Роль МСЭ в защите ребенка в онлайновой среде</w:t>
            </w:r>
            <w:bookmarkEnd w:id="22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20</w:t>
            </w:r>
          </w:p>
        </w:tc>
        <w:tc>
          <w:tcPr>
            <w:tcW w:w="8428" w:type="dxa"/>
          </w:tcPr>
          <w:p w:rsidR="00C5117D" w:rsidRPr="004C6F72" w:rsidRDefault="00755A1D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 xml:space="preserve">Исключение Резолюции </w:t>
            </w:r>
            <w:r w:rsidR="00C5117D" w:rsidRPr="004C6F72">
              <w:rPr>
                <w:bCs/>
                <w:szCs w:val="24"/>
                <w:lang w:val="ru-RU"/>
              </w:rPr>
              <w:t>185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23" w:name="_Toc407102991"/>
            <w:r w:rsidR="004A6C52" w:rsidRPr="004C6F72">
              <w:rPr>
                <w:szCs w:val="24"/>
                <w:lang w:val="ru-RU"/>
              </w:rPr>
              <w:t>Глобальное слежение за рейсами гражданской авиации</w:t>
            </w:r>
            <w:bookmarkEnd w:id="23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21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186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24" w:name="_Toc407102993"/>
            <w:r w:rsidR="004A6C52" w:rsidRPr="004C6F72">
              <w:rPr>
                <w:szCs w:val="24"/>
                <w:lang w:val="ru-RU"/>
              </w:rPr>
              <w:t>Усиление роли МСЭ в отношении мер по обеспечению прозрачности и укреплению доверия в космической деятельности</w:t>
            </w:r>
            <w:bookmarkEnd w:id="24"/>
            <w:r w:rsidR="004A6C52" w:rsidRPr="004C6F72">
              <w:rPr>
                <w:szCs w:val="24"/>
                <w:lang w:val="ru-RU"/>
              </w:rPr>
              <w:t xml:space="preserve"> 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22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197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25" w:name="_Toc407103015"/>
            <w:r w:rsidR="004A6C52" w:rsidRPr="004C6F72">
              <w:rPr>
                <w:szCs w:val="24"/>
                <w:lang w:val="ru-RU" w:eastAsia="ko-KR"/>
              </w:rPr>
              <w:t xml:space="preserve">Содействие развитию интернета вещей </w:t>
            </w:r>
            <w:r w:rsidR="00755A1D" w:rsidRPr="004C6F72">
              <w:rPr>
                <w:szCs w:val="24"/>
                <w:lang w:val="ru-RU" w:eastAsia="ko-KR"/>
              </w:rPr>
              <w:t xml:space="preserve">и его приложений </w:t>
            </w:r>
            <w:r w:rsidR="004A6C52" w:rsidRPr="004C6F72">
              <w:rPr>
                <w:szCs w:val="24"/>
                <w:lang w:val="ru-RU" w:eastAsia="ko-KR"/>
              </w:rPr>
              <w:t>для подготовки к глобально соединенному миру</w:t>
            </w:r>
            <w:bookmarkEnd w:id="25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23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200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26" w:name="_Toc407103021"/>
            <w:r w:rsidR="004A6C52" w:rsidRPr="004C6F72">
              <w:rPr>
                <w:szCs w:val="24"/>
                <w:lang w:val="ru-RU"/>
              </w:rPr>
              <w:t xml:space="preserve">Повестка дня в области глобального развития электросвязи/информационно-коммуникационных технологий </w:t>
            </w:r>
            <w:r w:rsidR="004A6C52" w:rsidRPr="004C6F72">
              <w:rPr>
                <w:bCs/>
                <w:szCs w:val="24"/>
                <w:lang w:val="ru-RU"/>
              </w:rPr>
              <w:t>"</w:t>
            </w:r>
            <w:r w:rsidR="004A6C52" w:rsidRPr="004C6F72">
              <w:rPr>
                <w:szCs w:val="24"/>
                <w:lang w:val="ru-RU"/>
              </w:rPr>
              <w:t>Соединим к 20</w:t>
            </w:r>
            <w:r w:rsidR="00755A1D" w:rsidRPr="004C6F72">
              <w:rPr>
                <w:szCs w:val="24"/>
                <w:lang w:val="ru-RU"/>
              </w:rPr>
              <w:t>3</w:t>
            </w:r>
            <w:r w:rsidR="004A6C52" w:rsidRPr="004C6F72">
              <w:rPr>
                <w:szCs w:val="24"/>
                <w:lang w:val="ru-RU"/>
              </w:rPr>
              <w:t>0 году</w:t>
            </w:r>
            <w:r w:rsidR="004A6C52" w:rsidRPr="004C6F72">
              <w:rPr>
                <w:bCs/>
                <w:szCs w:val="24"/>
                <w:lang w:val="ru-RU"/>
              </w:rPr>
              <w:t>"</w:t>
            </w:r>
            <w:bookmarkEnd w:id="26"/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24</w:t>
            </w:r>
          </w:p>
        </w:tc>
        <w:tc>
          <w:tcPr>
            <w:tcW w:w="8428" w:type="dxa"/>
          </w:tcPr>
          <w:p w:rsidR="00C5117D" w:rsidRPr="004C6F72" w:rsidRDefault="00F8625C" w:rsidP="00066BA9">
            <w:pPr>
              <w:spacing w:before="60" w:after="60"/>
              <w:rPr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Пересмотр Резолюции</w:t>
            </w:r>
            <w:r w:rsidR="00C5117D" w:rsidRPr="004C6F72">
              <w:rPr>
                <w:bCs/>
                <w:szCs w:val="24"/>
                <w:lang w:val="ru-RU"/>
              </w:rPr>
              <w:t xml:space="preserve"> 203</w:t>
            </w:r>
            <w:r w:rsidR="006A04CE" w:rsidRPr="004C6F72">
              <w:rPr>
                <w:bCs/>
                <w:szCs w:val="24"/>
                <w:lang w:val="ru-RU"/>
              </w:rPr>
              <w:t xml:space="preserve"> − </w:t>
            </w:r>
            <w:bookmarkStart w:id="27" w:name="_Toc407103027"/>
            <w:r w:rsidR="004A6C52" w:rsidRPr="004C6F72">
              <w:rPr>
                <w:color w:val="000000"/>
                <w:szCs w:val="24"/>
                <w:lang w:val="ru-RU"/>
              </w:rPr>
              <w:t xml:space="preserve">Возможность установления соединения </w:t>
            </w:r>
            <w:r w:rsidR="004A6C52" w:rsidRPr="004C6F72">
              <w:rPr>
                <w:szCs w:val="24"/>
                <w:lang w:val="ru-RU"/>
              </w:rPr>
              <w:t>с сетями широкополосной связи</w:t>
            </w:r>
            <w:bookmarkEnd w:id="27"/>
            <w:r w:rsidR="00755A1D" w:rsidRPr="004C6F72">
              <w:rPr>
                <w:szCs w:val="24"/>
                <w:lang w:val="ru-RU"/>
              </w:rPr>
              <w:t xml:space="preserve"> и "умные" устойчивые города и </w:t>
            </w:r>
            <w:r w:rsidR="00AD2B3B" w:rsidRPr="004C6F72">
              <w:rPr>
                <w:szCs w:val="24"/>
                <w:lang w:val="ru-RU"/>
              </w:rPr>
              <w:t>сообщества</w:t>
            </w:r>
          </w:p>
        </w:tc>
      </w:tr>
      <w:tr w:rsidR="00C5117D" w:rsidRPr="009E3EA7" w:rsidTr="00AD2B3B">
        <w:tc>
          <w:tcPr>
            <w:tcW w:w="1206" w:type="dxa"/>
          </w:tcPr>
          <w:p w:rsidR="00C5117D" w:rsidRPr="004C6F72" w:rsidRDefault="00C5117D" w:rsidP="00066BA9">
            <w:pPr>
              <w:spacing w:before="60" w:after="60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25</w:t>
            </w:r>
          </w:p>
        </w:tc>
        <w:tc>
          <w:tcPr>
            <w:tcW w:w="8428" w:type="dxa"/>
          </w:tcPr>
          <w:p w:rsidR="00755A1D" w:rsidRPr="004C6F72" w:rsidRDefault="00755A1D" w:rsidP="00066BA9">
            <w:pPr>
              <w:spacing w:before="60" w:after="60"/>
              <w:rPr>
                <w:bCs/>
                <w:szCs w:val="24"/>
                <w:lang w:val="ru-RU"/>
              </w:rPr>
            </w:pPr>
            <w:r w:rsidRPr="004C6F72">
              <w:rPr>
                <w:bCs/>
                <w:szCs w:val="24"/>
                <w:lang w:val="ru-RU"/>
              </w:rPr>
              <w:t>Новая резолюция о роли МСЭ в поощрении инноваций в области электросвязи/ИКТ для содействия развитию цифровой экономики</w:t>
            </w:r>
          </w:p>
        </w:tc>
      </w:tr>
    </w:tbl>
    <w:p w:rsidR="00DE45DA" w:rsidRPr="004C6F72" w:rsidRDefault="00DE45D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  <w:sectPr w:rsidR="00DE45DA" w:rsidRPr="004C6F72" w:rsidSect="006C6085">
          <w:headerReference w:type="default" r:id="rId9"/>
          <w:footerReference w:type="first" r:id="rId10"/>
          <w:pgSz w:w="11913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DE45DA" w:rsidRPr="004C6F72" w:rsidRDefault="00E3541C" w:rsidP="00066BA9">
      <w:pPr>
        <w:pStyle w:val="AnnexNo"/>
        <w:spacing w:before="0"/>
        <w:rPr>
          <w:lang w:val="ru-RU"/>
        </w:rPr>
      </w:pPr>
      <w:r w:rsidRPr="004C6F72">
        <w:rPr>
          <w:lang w:val="ru-RU"/>
        </w:rPr>
        <w:lastRenderedPageBreak/>
        <w:t xml:space="preserve">ПРИЛОЖЕНИЕ </w:t>
      </w:r>
      <w:r w:rsidR="00DE45DA" w:rsidRPr="004C6F72">
        <w:rPr>
          <w:lang w:val="ru-RU"/>
        </w:rPr>
        <w:t>2</w:t>
      </w:r>
    </w:p>
    <w:p w:rsidR="00DE45DA" w:rsidRPr="004C6F72" w:rsidRDefault="00E3541C" w:rsidP="005670A0">
      <w:pPr>
        <w:pStyle w:val="Annextitle"/>
        <w:rPr>
          <w:lang w:val="ru-RU"/>
        </w:rPr>
      </w:pPr>
      <w:r w:rsidRPr="004C6F72">
        <w:rPr>
          <w:lang w:val="ru-RU"/>
        </w:rPr>
        <w:t>Список администраций стран – членов АТСЭ и статус одобрения ОП АТСЭ</w:t>
      </w:r>
    </w:p>
    <w:tbl>
      <w:tblPr>
        <w:tblStyle w:val="TableGrid"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35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9E3EA7" w:rsidRPr="004C6F72" w:rsidTr="00C9382A">
        <w:trPr>
          <w:cantSplit/>
          <w:trHeight w:hRule="exact" w:val="2553"/>
          <w:tblHeader/>
        </w:trPr>
        <w:tc>
          <w:tcPr>
            <w:tcW w:w="990" w:type="dxa"/>
            <w:shd w:val="pct15" w:color="auto" w:fill="auto"/>
            <w:vAlign w:val="center"/>
          </w:tcPr>
          <w:p w:rsidR="00AD2B3B" w:rsidRPr="004C6F72" w:rsidRDefault="00AD2B3B" w:rsidP="00AD2B3B">
            <w:pPr>
              <w:spacing w:before="0"/>
              <w:ind w:left="-57" w:right="-57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№ ОП АТСЭ</w:t>
            </w:r>
            <w:r w:rsidRPr="004C6F72">
              <w:rPr>
                <w:rFonts w:cstheme="minorHAnsi"/>
                <w:b/>
                <w:sz w:val="20"/>
                <w:lang w:val="ru-RU"/>
              </w:rPr>
              <w:br/>
              <w:t>ACP/64A1/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Афганистан</w:t>
            </w:r>
          </w:p>
        </w:tc>
        <w:tc>
          <w:tcPr>
            <w:tcW w:w="356" w:type="dxa"/>
            <w:shd w:val="pct15" w:color="auto" w:fill="auto"/>
            <w:textDirection w:val="btLr"/>
          </w:tcPr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Австралия</w:t>
            </w:r>
          </w:p>
        </w:tc>
        <w:tc>
          <w:tcPr>
            <w:tcW w:w="376" w:type="dxa"/>
            <w:shd w:val="pct15" w:color="auto" w:fill="auto"/>
            <w:textDirection w:val="btLr"/>
          </w:tcPr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Бангладеш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Бутан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Бруней-Даруссалам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Камбоджа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Китай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AD2B3B" w:rsidP="00C9382A">
            <w:pPr>
              <w:spacing w:before="0"/>
              <w:ind w:left="-57" w:right="-57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Корейская Нар.-Дем. Респ.</w:t>
            </w:r>
          </w:p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Фиджи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Индия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Индонезия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Иран (Исламская Респ.)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Япония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Кирибати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Корея (Республика)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Лаос (Н.Д.Р.)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Малайзия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Мальдивы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Маршалловы Острова</w:t>
            </w:r>
          </w:p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Микронезия</w:t>
            </w:r>
          </w:p>
          <w:p w:rsidR="00AD2B3B" w:rsidRPr="004C6F72" w:rsidRDefault="00AD2B3B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Монголия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Мьянма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Науру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Непал (Республика)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Новая Зеландия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Пакистан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Палау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Папуа-Новая Гвинея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Филиппины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Самоа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Сингапур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Соломоновы Острова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Шри-Ланка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Таиланд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Тонга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Тувалу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Вануату</w:t>
            </w:r>
          </w:p>
        </w:tc>
        <w:tc>
          <w:tcPr>
            <w:tcW w:w="375" w:type="dxa"/>
            <w:shd w:val="pct15" w:color="auto" w:fill="auto"/>
            <w:textDirection w:val="btLr"/>
          </w:tcPr>
          <w:p w:rsidR="00AD2B3B" w:rsidRPr="004C6F72" w:rsidRDefault="00C9382A" w:rsidP="00AD2B3B">
            <w:pPr>
              <w:spacing w:before="0"/>
              <w:jc w:val="center"/>
              <w:rPr>
                <w:rFonts w:cstheme="minorHAnsi"/>
                <w:b/>
                <w:sz w:val="20"/>
                <w:lang w:val="ru-RU"/>
              </w:rPr>
            </w:pPr>
            <w:r w:rsidRPr="004C6F72">
              <w:rPr>
                <w:rFonts w:cstheme="minorHAnsi"/>
                <w:b/>
                <w:sz w:val="20"/>
                <w:lang w:val="ru-RU"/>
              </w:rPr>
              <w:t>Вьетнам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3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4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5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6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7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8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9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10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11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12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13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14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15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bookmarkStart w:id="28" w:name="_GoBack"/>
            <w:bookmarkEnd w:id="28"/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lastRenderedPageBreak/>
              <w:t>16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17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18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19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20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21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22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23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24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  <w:tr w:rsidR="0086715B" w:rsidRPr="004C6F72" w:rsidTr="00AD2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25</w:t>
            </w:r>
          </w:p>
        </w:tc>
        <w:tc>
          <w:tcPr>
            <w:tcW w:w="360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5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6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75" w:type="dxa"/>
          </w:tcPr>
          <w:p w:rsidR="00AD2B3B" w:rsidRPr="004C6F72" w:rsidRDefault="00AD2B3B" w:rsidP="00066BA9">
            <w:pPr>
              <w:pStyle w:val="Tabletext"/>
              <w:jc w:val="center"/>
              <w:rPr>
                <w:lang w:val="ru-RU"/>
              </w:rPr>
            </w:pPr>
            <w:r w:rsidRPr="004C6F72">
              <w:rPr>
                <w:lang w:val="ru-RU"/>
              </w:rPr>
              <w:t>Y</w:t>
            </w:r>
          </w:p>
        </w:tc>
      </w:tr>
    </w:tbl>
    <w:p w:rsidR="0058145D" w:rsidRPr="004C6F72" w:rsidRDefault="00C9382A" w:rsidP="00C9382A">
      <w:pPr>
        <w:spacing w:before="480"/>
        <w:jc w:val="center"/>
        <w:rPr>
          <w:lang w:val="ru-RU"/>
        </w:rPr>
      </w:pPr>
      <w:r w:rsidRPr="004C6F72">
        <w:rPr>
          <w:lang w:val="ru-RU"/>
        </w:rPr>
        <w:t>_______________</w:t>
      </w:r>
    </w:p>
    <w:sectPr w:rsidR="0058145D" w:rsidRPr="004C6F72" w:rsidSect="00DE45DA">
      <w:footerReference w:type="default" r:id="rId11"/>
      <w:headerReference w:type="first" r:id="rId12"/>
      <w:footerReference w:type="first" r:id="rId13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3B" w:rsidRDefault="00AD2B3B" w:rsidP="0079159C">
      <w:r>
        <w:separator/>
      </w:r>
    </w:p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4B3A6C"/>
    <w:p w:rsidR="00AD2B3B" w:rsidRDefault="00AD2B3B" w:rsidP="004B3A6C"/>
  </w:endnote>
  <w:endnote w:type="continuationSeparator" w:id="0">
    <w:p w:rsidR="00AD2B3B" w:rsidRDefault="00AD2B3B" w:rsidP="0079159C">
      <w:r>
        <w:continuationSeparator/>
      </w:r>
    </w:p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4B3A6C"/>
    <w:p w:rsidR="00AD2B3B" w:rsidRDefault="00AD2B3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3B" w:rsidRPr="00770B23" w:rsidRDefault="00AD2B3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770B23">
      <w:rPr>
        <w:sz w:val="20"/>
        <w:szCs w:val="20"/>
      </w:rPr>
      <w:t xml:space="preserve"> </w:t>
    </w:r>
    <w:r w:rsidRPr="00770B23">
      <w:rPr>
        <w:rStyle w:val="Hyperlink"/>
        <w:sz w:val="22"/>
        <w:szCs w:val="22"/>
      </w:rPr>
      <w:t>www.itu.int/plenipotentiary/</w:t>
    </w:r>
    <w:r w:rsidRPr="00770B23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3B" w:rsidRPr="009E3EA7" w:rsidRDefault="00AD2B3B" w:rsidP="009E3E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3B" w:rsidRPr="009E3EA7" w:rsidRDefault="00AD2B3B" w:rsidP="009E3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3B" w:rsidRDefault="00AD2B3B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AD2B3B" w:rsidRDefault="00AD2B3B" w:rsidP="0079159C">
      <w:r>
        <w:continuationSeparator/>
      </w:r>
    </w:p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79159C"/>
    <w:p w:rsidR="00AD2B3B" w:rsidRDefault="00AD2B3B" w:rsidP="004B3A6C"/>
    <w:p w:rsidR="00AD2B3B" w:rsidRDefault="00AD2B3B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3B" w:rsidRPr="008C1810" w:rsidRDefault="00AD2B3B" w:rsidP="008C1810">
    <w:pPr>
      <w:pStyle w:val="Header"/>
      <w:rPr>
        <w:lang w:val="en-US"/>
      </w:rPr>
    </w:pPr>
    <w:r w:rsidRPr="008C1810">
      <w:fldChar w:fldCharType="begin"/>
    </w:r>
    <w:r w:rsidRPr="008C1810">
      <w:instrText xml:space="preserve"> PAGE </w:instrText>
    </w:r>
    <w:r w:rsidRPr="008C1810">
      <w:fldChar w:fldCharType="separate"/>
    </w:r>
    <w:r w:rsidR="00AB77DF">
      <w:rPr>
        <w:noProof/>
      </w:rPr>
      <w:t>5</w:t>
    </w:r>
    <w:r w:rsidRPr="008C1810">
      <w:fldChar w:fldCharType="end"/>
    </w:r>
  </w:p>
  <w:p w:rsidR="00AD2B3B" w:rsidRPr="008C1810" w:rsidRDefault="00AD2B3B" w:rsidP="00AD2B3B">
    <w:pPr>
      <w:pStyle w:val="Header"/>
      <w:spacing w:after="240"/>
      <w:rPr>
        <w:rFonts w:cstheme="minorHAnsi"/>
        <w:szCs w:val="18"/>
        <w:lang w:val="ru-RU"/>
      </w:rPr>
    </w:pPr>
    <w:r w:rsidRPr="008C1810">
      <w:rPr>
        <w:rFonts w:eastAsia="PMingLiU" w:cstheme="minorHAnsi"/>
        <w:szCs w:val="18"/>
        <w:lang w:val="en-US" w:eastAsia="zh-TW"/>
      </w:rPr>
      <w:t>PP-1</w:t>
    </w:r>
    <w:r w:rsidRPr="008C1810">
      <w:rPr>
        <w:rFonts w:eastAsia="PMingLiU" w:cstheme="minorHAnsi"/>
        <w:szCs w:val="18"/>
        <w:lang w:val="ru-RU" w:eastAsia="zh-TW"/>
      </w:rPr>
      <w:t>8</w:t>
    </w:r>
    <w:r w:rsidRPr="008C1810">
      <w:rPr>
        <w:rFonts w:eastAsia="PMingLiU" w:cstheme="minorHAnsi"/>
        <w:szCs w:val="18"/>
        <w:lang w:val="en-US" w:eastAsia="zh-TW"/>
      </w:rPr>
      <w:t>/</w:t>
    </w:r>
    <w:r>
      <w:rPr>
        <w:rFonts w:eastAsia="PMingLiU" w:cstheme="minorHAnsi"/>
        <w:szCs w:val="18"/>
        <w:lang w:val="ru-RU" w:eastAsia="zh-TW"/>
      </w:rPr>
      <w:t>64</w:t>
    </w:r>
    <w:r w:rsidRPr="008C1810">
      <w:rPr>
        <w:rFonts w:eastAsia="PMingLiU" w:cstheme="minorHAnsi"/>
        <w:szCs w:val="18"/>
        <w:lang w:val="en-US" w:eastAsia="zh-TW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A9" w:rsidRPr="008C1810" w:rsidRDefault="00066BA9" w:rsidP="00066BA9">
    <w:pPr>
      <w:pStyle w:val="Header"/>
      <w:rPr>
        <w:lang w:val="en-US"/>
      </w:rPr>
    </w:pPr>
    <w:r w:rsidRPr="008C1810">
      <w:fldChar w:fldCharType="begin"/>
    </w:r>
    <w:r w:rsidRPr="008C1810">
      <w:instrText xml:space="preserve"> PAGE </w:instrText>
    </w:r>
    <w:r w:rsidRPr="008C1810">
      <w:fldChar w:fldCharType="separate"/>
    </w:r>
    <w:r w:rsidR="00AB77DF">
      <w:rPr>
        <w:noProof/>
      </w:rPr>
      <w:t>4</w:t>
    </w:r>
    <w:r w:rsidRPr="008C1810">
      <w:fldChar w:fldCharType="end"/>
    </w:r>
  </w:p>
  <w:p w:rsidR="00066BA9" w:rsidRPr="00066BA9" w:rsidRDefault="00066BA9" w:rsidP="00066BA9">
    <w:pPr>
      <w:pStyle w:val="Header"/>
      <w:spacing w:after="240"/>
      <w:rPr>
        <w:rFonts w:cstheme="minorHAnsi"/>
        <w:szCs w:val="18"/>
        <w:lang w:val="ru-RU"/>
      </w:rPr>
    </w:pPr>
    <w:r w:rsidRPr="008C1810">
      <w:rPr>
        <w:rFonts w:eastAsia="PMingLiU" w:cstheme="minorHAnsi"/>
        <w:szCs w:val="18"/>
        <w:lang w:val="en-US" w:eastAsia="zh-TW"/>
      </w:rPr>
      <w:t>PP-1</w:t>
    </w:r>
    <w:r w:rsidRPr="008C1810">
      <w:rPr>
        <w:rFonts w:eastAsia="PMingLiU" w:cstheme="minorHAnsi"/>
        <w:szCs w:val="18"/>
        <w:lang w:val="ru-RU" w:eastAsia="zh-TW"/>
      </w:rPr>
      <w:t>8</w:t>
    </w:r>
    <w:r w:rsidRPr="008C1810">
      <w:rPr>
        <w:rFonts w:eastAsia="PMingLiU" w:cstheme="minorHAnsi"/>
        <w:szCs w:val="18"/>
        <w:lang w:val="en-US" w:eastAsia="zh-TW"/>
      </w:rPr>
      <w:t>/</w:t>
    </w:r>
    <w:r>
      <w:rPr>
        <w:rFonts w:eastAsia="PMingLiU" w:cstheme="minorHAnsi"/>
        <w:szCs w:val="18"/>
        <w:lang w:val="ru-RU" w:eastAsia="zh-TW"/>
      </w:rPr>
      <w:t>64</w:t>
    </w:r>
    <w:r w:rsidRPr="008C1810">
      <w:rPr>
        <w:rFonts w:eastAsia="PMingLiU" w:cstheme="minorHAnsi"/>
        <w:szCs w:val="18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C"/>
    <w:rsid w:val="00014808"/>
    <w:rsid w:val="00016EB5"/>
    <w:rsid w:val="0002174D"/>
    <w:rsid w:val="00023AEC"/>
    <w:rsid w:val="0003029E"/>
    <w:rsid w:val="000626B1"/>
    <w:rsid w:val="00063CA3"/>
    <w:rsid w:val="00065F00"/>
    <w:rsid w:val="00066BA9"/>
    <w:rsid w:val="00071950"/>
    <w:rsid w:val="00071D10"/>
    <w:rsid w:val="00073CDA"/>
    <w:rsid w:val="000765F5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0F31C4"/>
    <w:rsid w:val="00100DF6"/>
    <w:rsid w:val="0010371B"/>
    <w:rsid w:val="001042B7"/>
    <w:rsid w:val="001155E0"/>
    <w:rsid w:val="00116A50"/>
    <w:rsid w:val="00120697"/>
    <w:rsid w:val="00132631"/>
    <w:rsid w:val="00142ED7"/>
    <w:rsid w:val="00156B65"/>
    <w:rsid w:val="00160FE6"/>
    <w:rsid w:val="00162C35"/>
    <w:rsid w:val="001636BD"/>
    <w:rsid w:val="00170AC3"/>
    <w:rsid w:val="00171990"/>
    <w:rsid w:val="00171E2E"/>
    <w:rsid w:val="001729A7"/>
    <w:rsid w:val="001A0EEB"/>
    <w:rsid w:val="001B2BFF"/>
    <w:rsid w:val="001B5341"/>
    <w:rsid w:val="001C1388"/>
    <w:rsid w:val="001C2688"/>
    <w:rsid w:val="001E1CF7"/>
    <w:rsid w:val="00200992"/>
    <w:rsid w:val="00202880"/>
    <w:rsid w:val="0020313F"/>
    <w:rsid w:val="002200CD"/>
    <w:rsid w:val="00224E76"/>
    <w:rsid w:val="00225036"/>
    <w:rsid w:val="00225DF7"/>
    <w:rsid w:val="00232D57"/>
    <w:rsid w:val="00233209"/>
    <w:rsid w:val="002356E7"/>
    <w:rsid w:val="0023599D"/>
    <w:rsid w:val="00252F26"/>
    <w:rsid w:val="002578B4"/>
    <w:rsid w:val="00273A0B"/>
    <w:rsid w:val="002750E2"/>
    <w:rsid w:val="00277F85"/>
    <w:rsid w:val="00281A66"/>
    <w:rsid w:val="002907D4"/>
    <w:rsid w:val="002951C1"/>
    <w:rsid w:val="002A409A"/>
    <w:rsid w:val="002A5402"/>
    <w:rsid w:val="002A57FF"/>
    <w:rsid w:val="002B033B"/>
    <w:rsid w:val="002C5477"/>
    <w:rsid w:val="002C78FF"/>
    <w:rsid w:val="002C7CEB"/>
    <w:rsid w:val="002D0055"/>
    <w:rsid w:val="002D1CBD"/>
    <w:rsid w:val="002D53B5"/>
    <w:rsid w:val="002E72AB"/>
    <w:rsid w:val="002F019D"/>
    <w:rsid w:val="002F240C"/>
    <w:rsid w:val="003411E6"/>
    <w:rsid w:val="003429D1"/>
    <w:rsid w:val="00342E23"/>
    <w:rsid w:val="00351E21"/>
    <w:rsid w:val="00375BBA"/>
    <w:rsid w:val="00382736"/>
    <w:rsid w:val="003941C7"/>
    <w:rsid w:val="00395CE4"/>
    <w:rsid w:val="003E7EAA"/>
    <w:rsid w:val="003F6CDD"/>
    <w:rsid w:val="00400855"/>
    <w:rsid w:val="004014B0"/>
    <w:rsid w:val="00403789"/>
    <w:rsid w:val="00423E32"/>
    <w:rsid w:val="00426AC1"/>
    <w:rsid w:val="00436749"/>
    <w:rsid w:val="00441F18"/>
    <w:rsid w:val="004676C0"/>
    <w:rsid w:val="00471ABB"/>
    <w:rsid w:val="00483750"/>
    <w:rsid w:val="004942CC"/>
    <w:rsid w:val="004A6C52"/>
    <w:rsid w:val="004B03E9"/>
    <w:rsid w:val="004B3A6C"/>
    <w:rsid w:val="004C029D"/>
    <w:rsid w:val="004C036A"/>
    <w:rsid w:val="004C6F72"/>
    <w:rsid w:val="004C7B87"/>
    <w:rsid w:val="004D4A39"/>
    <w:rsid w:val="004F07ED"/>
    <w:rsid w:val="00517C54"/>
    <w:rsid w:val="0052010F"/>
    <w:rsid w:val="005356FD"/>
    <w:rsid w:val="00540C52"/>
    <w:rsid w:val="0054139B"/>
    <w:rsid w:val="00544215"/>
    <w:rsid w:val="00554E24"/>
    <w:rsid w:val="00563711"/>
    <w:rsid w:val="005653D6"/>
    <w:rsid w:val="005670A0"/>
    <w:rsid w:val="00567130"/>
    <w:rsid w:val="00572BE8"/>
    <w:rsid w:val="0058145D"/>
    <w:rsid w:val="00584918"/>
    <w:rsid w:val="00587367"/>
    <w:rsid w:val="005A26FA"/>
    <w:rsid w:val="005C0517"/>
    <w:rsid w:val="005C3DE4"/>
    <w:rsid w:val="005C67E8"/>
    <w:rsid w:val="005D0C15"/>
    <w:rsid w:val="005F526C"/>
    <w:rsid w:val="00600272"/>
    <w:rsid w:val="00600730"/>
    <w:rsid w:val="0061434A"/>
    <w:rsid w:val="00616D0D"/>
    <w:rsid w:val="00617BE4"/>
    <w:rsid w:val="006418E6"/>
    <w:rsid w:val="006520D7"/>
    <w:rsid w:val="00657FF6"/>
    <w:rsid w:val="006675B4"/>
    <w:rsid w:val="00667CB9"/>
    <w:rsid w:val="006758EE"/>
    <w:rsid w:val="0067722F"/>
    <w:rsid w:val="006A04CE"/>
    <w:rsid w:val="006A5D5C"/>
    <w:rsid w:val="006B7F84"/>
    <w:rsid w:val="006C1A71"/>
    <w:rsid w:val="006C6085"/>
    <w:rsid w:val="006E57C8"/>
    <w:rsid w:val="006F0221"/>
    <w:rsid w:val="006F1B21"/>
    <w:rsid w:val="00710760"/>
    <w:rsid w:val="0073319E"/>
    <w:rsid w:val="007340B5"/>
    <w:rsid w:val="00743125"/>
    <w:rsid w:val="00750829"/>
    <w:rsid w:val="00755A1D"/>
    <w:rsid w:val="00755CD3"/>
    <w:rsid w:val="00760830"/>
    <w:rsid w:val="00770A4D"/>
    <w:rsid w:val="00770B23"/>
    <w:rsid w:val="00772267"/>
    <w:rsid w:val="007870BC"/>
    <w:rsid w:val="0079159C"/>
    <w:rsid w:val="007C0279"/>
    <w:rsid w:val="007C50AF"/>
    <w:rsid w:val="007C5F7B"/>
    <w:rsid w:val="007E4D0F"/>
    <w:rsid w:val="008005E3"/>
    <w:rsid w:val="008034F1"/>
    <w:rsid w:val="008102A6"/>
    <w:rsid w:val="00826A7C"/>
    <w:rsid w:val="008314CA"/>
    <w:rsid w:val="00833DEB"/>
    <w:rsid w:val="00850AEF"/>
    <w:rsid w:val="0086715B"/>
    <w:rsid w:val="00870059"/>
    <w:rsid w:val="00881CA3"/>
    <w:rsid w:val="008A2FB3"/>
    <w:rsid w:val="008A7C03"/>
    <w:rsid w:val="008B2FE4"/>
    <w:rsid w:val="008C1810"/>
    <w:rsid w:val="008D3134"/>
    <w:rsid w:val="008D3BE2"/>
    <w:rsid w:val="008D56C6"/>
    <w:rsid w:val="008D765D"/>
    <w:rsid w:val="008E337A"/>
    <w:rsid w:val="008E5C80"/>
    <w:rsid w:val="008F7C2B"/>
    <w:rsid w:val="00901A3F"/>
    <w:rsid w:val="009125CE"/>
    <w:rsid w:val="00932B9A"/>
    <w:rsid w:val="0093377B"/>
    <w:rsid w:val="00934241"/>
    <w:rsid w:val="0094059F"/>
    <w:rsid w:val="00942231"/>
    <w:rsid w:val="00944228"/>
    <w:rsid w:val="00950E0F"/>
    <w:rsid w:val="00952946"/>
    <w:rsid w:val="00962CCF"/>
    <w:rsid w:val="0096571A"/>
    <w:rsid w:val="00967BBB"/>
    <w:rsid w:val="00967CA2"/>
    <w:rsid w:val="00971767"/>
    <w:rsid w:val="00975A97"/>
    <w:rsid w:val="0097690C"/>
    <w:rsid w:val="00976AB6"/>
    <w:rsid w:val="00996435"/>
    <w:rsid w:val="009973AB"/>
    <w:rsid w:val="009A365E"/>
    <w:rsid w:val="009A47A2"/>
    <w:rsid w:val="009A6D9A"/>
    <w:rsid w:val="009A7AEA"/>
    <w:rsid w:val="009C32E1"/>
    <w:rsid w:val="009E3EA7"/>
    <w:rsid w:val="009E4F4B"/>
    <w:rsid w:val="009E6F14"/>
    <w:rsid w:val="009F0097"/>
    <w:rsid w:val="00A1444E"/>
    <w:rsid w:val="00A15DB3"/>
    <w:rsid w:val="00A3200E"/>
    <w:rsid w:val="00A54F56"/>
    <w:rsid w:val="00A60973"/>
    <w:rsid w:val="00A63862"/>
    <w:rsid w:val="00A726E6"/>
    <w:rsid w:val="00A73415"/>
    <w:rsid w:val="00A8738B"/>
    <w:rsid w:val="00A93A7A"/>
    <w:rsid w:val="00AA412C"/>
    <w:rsid w:val="00AB165A"/>
    <w:rsid w:val="00AB2D95"/>
    <w:rsid w:val="00AB77DF"/>
    <w:rsid w:val="00AC20C0"/>
    <w:rsid w:val="00AC210F"/>
    <w:rsid w:val="00AD0948"/>
    <w:rsid w:val="00AD2B3B"/>
    <w:rsid w:val="00AD3CCC"/>
    <w:rsid w:val="00AD6841"/>
    <w:rsid w:val="00AE493D"/>
    <w:rsid w:val="00AF3326"/>
    <w:rsid w:val="00B06493"/>
    <w:rsid w:val="00B14377"/>
    <w:rsid w:val="00B1733E"/>
    <w:rsid w:val="00B45785"/>
    <w:rsid w:val="00B62568"/>
    <w:rsid w:val="00B71B96"/>
    <w:rsid w:val="00B871BB"/>
    <w:rsid w:val="00BA154E"/>
    <w:rsid w:val="00BA3E3A"/>
    <w:rsid w:val="00BA4EA4"/>
    <w:rsid w:val="00BA6D1E"/>
    <w:rsid w:val="00BC346E"/>
    <w:rsid w:val="00BD25E9"/>
    <w:rsid w:val="00BF720B"/>
    <w:rsid w:val="00C04511"/>
    <w:rsid w:val="00C12ADD"/>
    <w:rsid w:val="00C16846"/>
    <w:rsid w:val="00C30428"/>
    <w:rsid w:val="00C40979"/>
    <w:rsid w:val="00C46ECA"/>
    <w:rsid w:val="00C5117D"/>
    <w:rsid w:val="00C62242"/>
    <w:rsid w:val="00C624D9"/>
    <w:rsid w:val="00C6326D"/>
    <w:rsid w:val="00C673E5"/>
    <w:rsid w:val="00C9382A"/>
    <w:rsid w:val="00C93DC4"/>
    <w:rsid w:val="00CA38C9"/>
    <w:rsid w:val="00CB7121"/>
    <w:rsid w:val="00CC4391"/>
    <w:rsid w:val="00CC6362"/>
    <w:rsid w:val="00CD163A"/>
    <w:rsid w:val="00CE40BB"/>
    <w:rsid w:val="00D239D9"/>
    <w:rsid w:val="00D27AE0"/>
    <w:rsid w:val="00D37275"/>
    <w:rsid w:val="00D37469"/>
    <w:rsid w:val="00D50E12"/>
    <w:rsid w:val="00D5704B"/>
    <w:rsid w:val="00D61092"/>
    <w:rsid w:val="00D82588"/>
    <w:rsid w:val="00D92DC3"/>
    <w:rsid w:val="00D955EF"/>
    <w:rsid w:val="00D978E7"/>
    <w:rsid w:val="00DC7337"/>
    <w:rsid w:val="00DD26B1"/>
    <w:rsid w:val="00DD361C"/>
    <w:rsid w:val="00DD6770"/>
    <w:rsid w:val="00DE24EF"/>
    <w:rsid w:val="00DE3701"/>
    <w:rsid w:val="00DE45DA"/>
    <w:rsid w:val="00DF23FC"/>
    <w:rsid w:val="00DF39CD"/>
    <w:rsid w:val="00DF3D53"/>
    <w:rsid w:val="00DF449B"/>
    <w:rsid w:val="00DF4F81"/>
    <w:rsid w:val="00E156C1"/>
    <w:rsid w:val="00E17F8D"/>
    <w:rsid w:val="00E227E4"/>
    <w:rsid w:val="00E3541C"/>
    <w:rsid w:val="00E54E66"/>
    <w:rsid w:val="00E56E57"/>
    <w:rsid w:val="00E70B1B"/>
    <w:rsid w:val="00E7267F"/>
    <w:rsid w:val="00E832AD"/>
    <w:rsid w:val="00E86DC6"/>
    <w:rsid w:val="00E911B8"/>
    <w:rsid w:val="00E91D24"/>
    <w:rsid w:val="00E95CBB"/>
    <w:rsid w:val="00E9727C"/>
    <w:rsid w:val="00EA6E5D"/>
    <w:rsid w:val="00EB2181"/>
    <w:rsid w:val="00EC064C"/>
    <w:rsid w:val="00ED279F"/>
    <w:rsid w:val="00EE5E85"/>
    <w:rsid w:val="00EF0DD2"/>
    <w:rsid w:val="00EF2642"/>
    <w:rsid w:val="00EF3681"/>
    <w:rsid w:val="00F02B49"/>
    <w:rsid w:val="00F06FDE"/>
    <w:rsid w:val="00F076D9"/>
    <w:rsid w:val="00F15D94"/>
    <w:rsid w:val="00F17A78"/>
    <w:rsid w:val="00F203EF"/>
    <w:rsid w:val="00F20BC2"/>
    <w:rsid w:val="00F20CE2"/>
    <w:rsid w:val="00F232C0"/>
    <w:rsid w:val="00F247A9"/>
    <w:rsid w:val="00F342E4"/>
    <w:rsid w:val="00F44625"/>
    <w:rsid w:val="00F44B70"/>
    <w:rsid w:val="00F57A92"/>
    <w:rsid w:val="00F61D15"/>
    <w:rsid w:val="00F649D6"/>
    <w:rsid w:val="00F654DD"/>
    <w:rsid w:val="00F67DE0"/>
    <w:rsid w:val="00F8625C"/>
    <w:rsid w:val="00F9549B"/>
    <w:rsid w:val="00FA10A0"/>
    <w:rsid w:val="00FA5D43"/>
    <w:rsid w:val="00FB0B98"/>
    <w:rsid w:val="00FD125E"/>
    <w:rsid w:val="00FD574A"/>
    <w:rsid w:val="00FD7B1D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AB4C035-444F-457E-9BC6-58DC597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qFormat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066BA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8C1810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C5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E45DA"/>
  </w:style>
  <w:style w:type="paragraph" w:customStyle="1" w:styleId="SpecialFooter">
    <w:name w:val="Special Footer"/>
    <w:basedOn w:val="Footer"/>
    <w:rsid w:val="00DE45D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Agendaitem">
    <w:name w:val="Agenda_item"/>
    <w:basedOn w:val="Normal"/>
    <w:next w:val="Normal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DE45D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5DA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DE45DA"/>
  </w:style>
  <w:style w:type="paragraph" w:customStyle="1" w:styleId="OP">
    <w:name w:val="OP"/>
    <w:basedOn w:val="Normal"/>
    <w:next w:val="Normal"/>
    <w:qFormat/>
    <w:rsid w:val="00DE45DA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DE45DA"/>
    <w:pPr>
      <w:jc w:val="center"/>
    </w:pPr>
    <w:rPr>
      <w:b/>
      <w:bCs/>
      <w:sz w:val="24"/>
    </w:rPr>
  </w:style>
  <w:style w:type="paragraph" w:customStyle="1" w:styleId="StyleCommitteeAfter0ptLinespacingsingle">
    <w:name w:val="Style Committee + After:  0 pt Line spacing:  single"/>
    <w:basedOn w:val="Committee"/>
    <w:rsid w:val="00DE45DA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Appdef">
    <w:name w:val="App_def"/>
    <w:basedOn w:val="DefaultParagraphFont"/>
    <w:rsid w:val="00DE45DA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E45DA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E45DA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E45DA"/>
    <w:rPr>
      <w:rFonts w:asciiTheme="minorHAnsi" w:hAnsiTheme="minorHAnsi"/>
    </w:rPr>
  </w:style>
  <w:style w:type="paragraph" w:customStyle="1" w:styleId="Equation">
    <w:name w:val="Equation"/>
    <w:basedOn w:val="Normal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</w:pPr>
    <w:rPr>
      <w:rFonts w:asciiTheme="minorHAnsi" w:hAnsiTheme="minorHAnsi"/>
      <w:sz w:val="24"/>
    </w:rPr>
  </w:style>
  <w:style w:type="paragraph" w:customStyle="1" w:styleId="Equationlegend">
    <w:name w:val="Equation_legend"/>
    <w:basedOn w:val="NormalIndent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  <w:sz w:val="24"/>
    </w:rPr>
  </w:style>
  <w:style w:type="paragraph" w:customStyle="1" w:styleId="Figure">
    <w:name w:val="Figure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Theme="minorHAnsi" w:hAnsiTheme="minorHAnsi"/>
      <w:sz w:val="24"/>
    </w:rPr>
  </w:style>
  <w:style w:type="paragraph" w:customStyle="1" w:styleId="Figurelegend">
    <w:name w:val="Figure_legend"/>
    <w:basedOn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0" w:after="20"/>
    </w:pPr>
    <w:rPr>
      <w:rFonts w:asciiTheme="minorHAnsi" w:hAnsiTheme="minorHAnsi"/>
      <w:sz w:val="18"/>
    </w:rPr>
  </w:style>
  <w:style w:type="paragraph" w:customStyle="1" w:styleId="FigureNo">
    <w:name w:val="Figure_No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Theme="minorHAnsi" w:hAnsiTheme="minorHAnsi"/>
      <w:caps/>
      <w:sz w:val="20"/>
    </w:rPr>
  </w:style>
  <w:style w:type="paragraph" w:customStyle="1" w:styleId="Figuretitle">
    <w:name w:val="Figure_title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Theme="minorHAnsi" w:hAnsiTheme="minorHAnsi"/>
      <w:b/>
      <w:sz w:val="20"/>
    </w:rPr>
  </w:style>
  <w:style w:type="paragraph" w:customStyle="1" w:styleId="Figurewithouttitle">
    <w:name w:val="Figure_without_title"/>
    <w:basedOn w:val="FigureNo"/>
    <w:next w:val="Normal"/>
    <w:rsid w:val="00DE45DA"/>
    <w:pPr>
      <w:keepNext w:val="0"/>
    </w:pPr>
  </w:style>
  <w:style w:type="character" w:customStyle="1" w:styleId="FooterChar">
    <w:name w:val="Footer Char"/>
    <w:basedOn w:val="DefaultParagraphFont"/>
    <w:link w:val="Footer"/>
    <w:rsid w:val="00DE45DA"/>
    <w:rPr>
      <w:rFonts w:ascii="Calibri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E45DA"/>
    <w:rPr>
      <w:rFonts w:ascii="Calibri" w:hAnsi="Calibri"/>
      <w:lang w:val="en-GB" w:eastAsia="en-US"/>
    </w:rPr>
  </w:style>
  <w:style w:type="paragraph" w:customStyle="1" w:styleId="Section10">
    <w:name w:val="Section_1"/>
    <w:basedOn w:val="Normal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</w:pPr>
    <w:rPr>
      <w:rFonts w:asciiTheme="minorHAnsi" w:hAnsiTheme="minorHAnsi"/>
      <w:b/>
      <w:sz w:val="24"/>
    </w:rPr>
  </w:style>
  <w:style w:type="paragraph" w:customStyle="1" w:styleId="Section20">
    <w:name w:val="Section_2"/>
    <w:basedOn w:val="Section10"/>
    <w:rsid w:val="00DE45DA"/>
    <w:rPr>
      <w:b w:val="0"/>
      <w:i/>
    </w:rPr>
  </w:style>
  <w:style w:type="paragraph" w:customStyle="1" w:styleId="Section3">
    <w:name w:val="Section_3"/>
    <w:basedOn w:val="Section10"/>
    <w:rsid w:val="00DE45DA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DE45DA"/>
  </w:style>
  <w:style w:type="character" w:customStyle="1" w:styleId="Tablefreq">
    <w:name w:val="Table_freq"/>
    <w:basedOn w:val="DefaultParagraphFont"/>
    <w:rsid w:val="00DE45DA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DE45D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/>
      <w:jc w:val="center"/>
    </w:pPr>
    <w:rPr>
      <w:rFonts w:asciiTheme="minorHAnsi" w:hAnsiTheme="minorHAnsi"/>
      <w:sz w:val="20"/>
    </w:rPr>
  </w:style>
  <w:style w:type="paragraph" w:customStyle="1" w:styleId="Normalend">
    <w:name w:val="Normal_end"/>
    <w:basedOn w:val="Normal"/>
    <w:next w:val="Normal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sz w:val="24"/>
      <w:lang w:val="en-US"/>
    </w:rPr>
  </w:style>
  <w:style w:type="paragraph" w:customStyle="1" w:styleId="Questiondate">
    <w:name w:val="Question_date"/>
    <w:basedOn w:val="Normal"/>
    <w:next w:val="Normalaftertitle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</w:rPr>
  </w:style>
  <w:style w:type="paragraph" w:customStyle="1" w:styleId="QuestionNo">
    <w:name w:val="Question_No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hAnsiTheme="minorHAnsi"/>
      <w:caps/>
      <w:sz w:val="28"/>
    </w:rPr>
  </w:style>
  <w:style w:type="paragraph" w:customStyle="1" w:styleId="Questiontitle">
    <w:name w:val="Question_title"/>
    <w:basedOn w:val="Normal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Theme="minorHAnsi" w:hAnsiTheme="minorHAnsi"/>
      <w:b/>
      <w:sz w:val="28"/>
    </w:rPr>
  </w:style>
  <w:style w:type="paragraph" w:customStyle="1" w:styleId="Title4">
    <w:name w:val="Title 4"/>
    <w:basedOn w:val="Title3"/>
    <w:next w:val="Heading1"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Theme="minorHAnsi" w:hAnsiTheme="minorHAnsi"/>
      <w:b/>
      <w:sz w:val="28"/>
    </w:rPr>
  </w:style>
  <w:style w:type="paragraph" w:customStyle="1" w:styleId="Part1">
    <w:name w:val="Part_1"/>
    <w:basedOn w:val="Section10"/>
    <w:next w:val="Section10"/>
    <w:qFormat/>
    <w:rsid w:val="00DE45DA"/>
  </w:style>
  <w:style w:type="paragraph" w:customStyle="1" w:styleId="PartNo">
    <w:name w:val="Part_No"/>
    <w:basedOn w:val="AnnexNo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sz w:val="28"/>
    </w:rPr>
  </w:style>
  <w:style w:type="paragraph" w:customStyle="1" w:styleId="Partref">
    <w:name w:val="Part_ref"/>
    <w:basedOn w:val="Annexref"/>
    <w:next w:val="Normal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sz w:val="24"/>
    </w:rPr>
  </w:style>
  <w:style w:type="paragraph" w:customStyle="1" w:styleId="Parttitle">
    <w:name w:val="Part_title"/>
    <w:basedOn w:val="Annextitle"/>
    <w:next w:val="Normalaftertitle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sz w:val="28"/>
    </w:rPr>
  </w:style>
  <w:style w:type="paragraph" w:customStyle="1" w:styleId="Recdate">
    <w:name w:val="Rec_date"/>
    <w:basedOn w:val="Normal"/>
    <w:next w:val="Normalaftertitle"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</w:rPr>
  </w:style>
  <w:style w:type="paragraph" w:customStyle="1" w:styleId="AppArtNo">
    <w:name w:val="App_Art_No"/>
    <w:basedOn w:val="ArtNo"/>
    <w:qFormat/>
    <w:rsid w:val="00DE45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sz w:val="28"/>
    </w:rPr>
  </w:style>
  <w:style w:type="paragraph" w:customStyle="1" w:styleId="AppArttitle">
    <w:name w:val="App_Art_title"/>
    <w:basedOn w:val="Arttitle"/>
    <w:qFormat/>
    <w:rsid w:val="00DE45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  <w:sz w:val="28"/>
    </w:rPr>
  </w:style>
  <w:style w:type="paragraph" w:styleId="ListParagraph">
    <w:name w:val="List Paragraph"/>
    <w:basedOn w:val="Normal"/>
    <w:uiPriority w:val="34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contextualSpacing/>
    </w:pPr>
    <w:rPr>
      <w:rFonts w:asciiTheme="minorHAnsi" w:hAnsiTheme="minorHAnsi"/>
      <w:sz w:val="24"/>
    </w:rPr>
  </w:style>
  <w:style w:type="paragraph" w:customStyle="1" w:styleId="Opiniontitle">
    <w:name w:val="Opinion_title"/>
    <w:basedOn w:val="Rectitle"/>
    <w:next w:val="Normalaftertitle"/>
    <w:qFormat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sz w:val="28"/>
    </w:rPr>
  </w:style>
  <w:style w:type="paragraph" w:customStyle="1" w:styleId="OpinionNo">
    <w:name w:val="Opinion_No"/>
    <w:basedOn w:val="RecNo"/>
    <w:next w:val="Opiniontitle"/>
    <w:qFormat/>
    <w:rsid w:val="00DE45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sz w:val="28"/>
    </w:rPr>
  </w:style>
  <w:style w:type="paragraph" w:customStyle="1" w:styleId="Volumetitle0">
    <w:name w:val="Volume_title"/>
    <w:basedOn w:val="Normal"/>
    <w:qFormat/>
    <w:rsid w:val="00DE45D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E45DA"/>
    <w:rPr>
      <w:rFonts w:ascii="Calibri" w:hAnsi="Calibri"/>
      <w:sz w:val="22"/>
      <w:lang w:val="en-GB" w:eastAsia="en-US"/>
    </w:rPr>
  </w:style>
  <w:style w:type="paragraph" w:customStyle="1" w:styleId="Priorityarea">
    <w:name w:val="Priorityarea"/>
    <w:basedOn w:val="ListParagraph"/>
    <w:qFormat/>
    <w:rsid w:val="00DE45DA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5574-B02F-45FE-A976-8DAAD4BF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139</TotalTime>
  <Pages>5</Pages>
  <Words>1298</Words>
  <Characters>5259</Characters>
  <Application>Microsoft Office Word</Application>
  <DocSecurity>0</DocSecurity>
  <Lines>43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ASIA-PACIFIC COMMON PROPOSALS FOR THE WORK OF THE CONFERENCE</dc:title>
  <dc:subject>Plenipotentiary Conference (PP-06)</dc:subject>
  <dc:creator>Maloletkova, Svetlana</dc:creator>
  <cp:keywords>PP-18</cp:keywords>
  <dc:description/>
  <cp:lastModifiedBy>Botalla, Sabine</cp:lastModifiedBy>
  <cp:revision>20</cp:revision>
  <cp:lastPrinted>2018-10-23T14:02:00Z</cp:lastPrinted>
  <dcterms:created xsi:type="dcterms:W3CDTF">2018-10-17T12:01:00Z</dcterms:created>
  <dcterms:modified xsi:type="dcterms:W3CDTF">2018-10-23T14:05:00Z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