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907630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907630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907630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907630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907630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9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907630">
              <w:rPr>
                <w:rStyle w:val="PageNumber"/>
                <w:b/>
                <w:szCs w:val="24"/>
                <w:lang w:val="es-ES"/>
              </w:rPr>
              <w:t>–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16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907630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07630" w:rsidRDefault="00255FA1" w:rsidP="009F1472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07630" w:rsidRDefault="00255FA1" w:rsidP="009F1472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07630" w:rsidRDefault="00255FA1" w:rsidP="009F1472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07630" w:rsidRDefault="00255FA1" w:rsidP="009F1472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006EAE" w:rsidP="009F14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907630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907630" w:rsidRDefault="00EB3E73" w:rsidP="009F1472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07630">
              <w:rPr>
                <w:rFonts w:cstheme="minorHAnsi"/>
                <w:b/>
                <w:szCs w:val="24"/>
                <w:lang w:val="es-ES"/>
              </w:rPr>
              <w:t>Documento 64</w:t>
            </w:r>
            <w:r w:rsidR="00006EAE" w:rsidRPr="00907630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7630" w:rsidRDefault="00EB3E73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7630">
              <w:rPr>
                <w:rStyle w:val="PageNumber"/>
                <w:b/>
                <w:szCs w:val="24"/>
                <w:lang w:val="es-ES"/>
              </w:rPr>
              <w:t>15</w:t>
            </w:r>
            <w:r w:rsidR="00006EAE" w:rsidRPr="00907630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907630">
              <w:rPr>
                <w:rStyle w:val="PageNumber"/>
                <w:b/>
                <w:szCs w:val="24"/>
                <w:lang w:val="es-ES"/>
              </w:rPr>
              <w:t>octubre</w:t>
            </w:r>
            <w:r w:rsidR="00006EAE" w:rsidRPr="00907630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907630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7630" w:rsidRDefault="00006EAE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7630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EB3E73" w:rsidP="009F147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907630">
              <w:rPr>
                <w:lang w:val="es-ES"/>
              </w:rPr>
              <w:t xml:space="preserve">Administraciones de la </w:t>
            </w:r>
            <w:proofErr w:type="spellStart"/>
            <w:r w:rsidRPr="00907630">
              <w:rPr>
                <w:lang w:val="es-ES"/>
              </w:rPr>
              <w:t>Telecomunidad</w:t>
            </w:r>
            <w:proofErr w:type="spellEnd"/>
            <w:r w:rsidRPr="00907630">
              <w:rPr>
                <w:lang w:val="es-ES"/>
              </w:rPr>
              <w:t xml:space="preserve"> Asia-Pacífico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EB3E73" w:rsidP="009F1472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907630">
              <w:rPr>
                <w:lang w:val="es-ES"/>
              </w:rPr>
              <w:t>PROPUESTAS COMUNES DE Asia-PacÍFICO PARA LOS TRABAJOS DE LA CONFERENCIA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EB3E73" w:rsidRPr="00907630" w:rsidRDefault="00EB3E73" w:rsidP="000D75F8">
      <w:pPr>
        <w:pStyle w:val="Headingb"/>
        <w:rPr>
          <w:lang w:val="es-ES"/>
        </w:rPr>
      </w:pPr>
      <w:r w:rsidRPr="00907630">
        <w:rPr>
          <w:lang w:val="es-ES"/>
        </w:rPr>
        <w:t>INTRODUC</w:t>
      </w:r>
      <w:r w:rsidR="00907630" w:rsidRPr="00907630">
        <w:rPr>
          <w:lang w:val="es-ES"/>
        </w:rPr>
        <w:t>C</w:t>
      </w:r>
      <w:r w:rsidRPr="00907630">
        <w:rPr>
          <w:lang w:val="es-ES"/>
        </w:rPr>
        <w:t>I</w:t>
      </w:r>
      <w:r w:rsidR="00907630" w:rsidRPr="00907630">
        <w:rPr>
          <w:lang w:val="es-ES"/>
        </w:rPr>
        <w:t>Ó</w:t>
      </w:r>
      <w:r w:rsidRPr="00907630">
        <w:rPr>
          <w:lang w:val="es-ES"/>
        </w:rPr>
        <w:t>N</w:t>
      </w:r>
    </w:p>
    <w:p w:rsidR="00EB3E73" w:rsidRPr="00907630" w:rsidRDefault="00EB3E73" w:rsidP="009F1472">
      <w:pPr>
        <w:rPr>
          <w:lang w:val="es-ES"/>
        </w:rPr>
      </w:pPr>
      <w:r w:rsidRPr="00907630">
        <w:rPr>
          <w:lang w:val="es-ES"/>
        </w:rPr>
        <w:t xml:space="preserve">Las propuestas comunes de la </w:t>
      </w:r>
      <w:proofErr w:type="spellStart"/>
      <w:r w:rsidRPr="00907630">
        <w:rPr>
          <w:lang w:val="es-ES"/>
        </w:rPr>
        <w:t>Telecomunidad</w:t>
      </w:r>
      <w:proofErr w:type="spellEnd"/>
      <w:r w:rsidRPr="00907630">
        <w:rPr>
          <w:lang w:val="es-ES"/>
        </w:rPr>
        <w:t xml:space="preserve"> Asia-Pacífico (ACP) para la </w:t>
      </w:r>
      <w:r w:rsidRPr="00907630">
        <w:rPr>
          <w:rFonts w:cstheme="majorBidi"/>
          <w:szCs w:val="24"/>
          <w:lang w:val="es-ES"/>
        </w:rPr>
        <w:t>PP-18 se elaboraron en el transcurso de cuatro reuniones preparatorias</w:t>
      </w:r>
      <w:r w:rsidRPr="00907630">
        <w:rPr>
          <w:lang w:val="es-ES"/>
        </w:rPr>
        <w:t xml:space="preserve">. </w:t>
      </w:r>
      <w:r w:rsidR="00907630" w:rsidRPr="00907630">
        <w:rPr>
          <w:lang w:val="es-ES"/>
        </w:rPr>
        <w:t xml:space="preserve">Las ACP que se facilitan en el </w:t>
      </w:r>
      <w:proofErr w:type="spellStart"/>
      <w:r w:rsidR="00907630" w:rsidRPr="00907630">
        <w:rPr>
          <w:lang w:val="es-ES"/>
        </w:rPr>
        <w:t>addéndum</w:t>
      </w:r>
      <w:proofErr w:type="spellEnd"/>
      <w:r w:rsidR="00907630" w:rsidRPr="00907630">
        <w:rPr>
          <w:lang w:val="es-ES"/>
        </w:rPr>
        <w:t xml:space="preserve"> se finalizaron durante la 4ª Reunión Preparatoria de la APT para la PP-18 </w:t>
      </w:r>
      <w:r w:rsidRPr="00907630">
        <w:rPr>
          <w:lang w:val="es-ES"/>
        </w:rPr>
        <w:t xml:space="preserve">(APT PP-18), </w:t>
      </w:r>
      <w:r w:rsidR="00EF6DB3">
        <w:rPr>
          <w:lang w:val="es-ES"/>
        </w:rPr>
        <w:t xml:space="preserve">que se celebró </w:t>
      </w:r>
      <w:proofErr w:type="gramStart"/>
      <w:r w:rsidR="00EF6DB3">
        <w:rPr>
          <w:lang w:val="es-ES"/>
        </w:rPr>
        <w:t>del</w:t>
      </w:r>
      <w:proofErr w:type="gramEnd"/>
      <w:r w:rsidR="00EF6DB3">
        <w:rPr>
          <w:lang w:val="es-ES"/>
        </w:rPr>
        <w:t xml:space="preserve"> 27 al 30 de a</w:t>
      </w:r>
      <w:r w:rsidR="00907630" w:rsidRPr="00907630">
        <w:rPr>
          <w:lang w:val="es-ES"/>
        </w:rPr>
        <w:t xml:space="preserve">gosto de 2018 en </w:t>
      </w:r>
      <w:r w:rsidRPr="00907630">
        <w:rPr>
          <w:lang w:val="es-ES"/>
        </w:rPr>
        <w:t>Kuala Lumpur</w:t>
      </w:r>
      <w:r w:rsidR="00907630" w:rsidRPr="00907630">
        <w:rPr>
          <w:lang w:val="es-ES"/>
        </w:rPr>
        <w:t xml:space="preserve"> (Malasia), y fueron refrendadas posteriormente por las </w:t>
      </w:r>
      <w:r w:rsidR="00907630">
        <w:rPr>
          <w:lang w:val="es-ES"/>
        </w:rPr>
        <w:t xml:space="preserve">Administraciones </w:t>
      </w:r>
      <w:r w:rsidR="00907630" w:rsidRPr="00907630">
        <w:rPr>
          <w:lang w:val="es-ES"/>
        </w:rPr>
        <w:t xml:space="preserve">Miembro de la APT. </w:t>
      </w:r>
    </w:p>
    <w:p w:rsidR="00EB3E73" w:rsidRPr="00907630" w:rsidRDefault="00907630" w:rsidP="009F1472">
      <w:pPr>
        <w:rPr>
          <w:lang w:val="es-ES"/>
        </w:rPr>
      </w:pPr>
      <w:r>
        <w:rPr>
          <w:lang w:val="es-ES"/>
        </w:rPr>
        <w:t xml:space="preserve">Las ACP incluyen propuestas para una Constitución (CS) y un Convenio (CV) de la UIT estables, la revisión de varias Resoluciones, la supresión de una Resolución y un proyecto de nueva Resolución. Las 25 ACP se presentan como 25 propuestas en el </w:t>
      </w:r>
      <w:proofErr w:type="spellStart"/>
      <w:r>
        <w:rPr>
          <w:lang w:val="es-ES"/>
        </w:rPr>
        <w:t>Addéndum</w:t>
      </w:r>
      <w:proofErr w:type="spellEnd"/>
      <w:r>
        <w:rPr>
          <w:lang w:val="es-ES"/>
        </w:rPr>
        <w:t xml:space="preserve"> 1 al presente documento</w:t>
      </w:r>
      <w:r w:rsidR="00EB3E73" w:rsidRPr="00907630">
        <w:rPr>
          <w:lang w:val="es-ES"/>
        </w:rPr>
        <w:t>.</w:t>
      </w:r>
    </w:p>
    <w:p w:rsidR="00EB3E73" w:rsidRPr="00907630" w:rsidRDefault="00EB3E73" w:rsidP="009F1472">
      <w:pPr>
        <w:rPr>
          <w:lang w:val="es-ES"/>
        </w:rPr>
      </w:pPr>
    </w:p>
    <w:p w:rsidR="00EB3E73" w:rsidRPr="00907630" w:rsidRDefault="00907630" w:rsidP="009F1472">
      <w:pPr>
        <w:rPr>
          <w:lang w:val="es-ES"/>
        </w:rPr>
      </w:pPr>
      <w:r w:rsidRPr="00907630">
        <w:rPr>
          <w:lang w:val="es-ES"/>
        </w:rPr>
        <w:t>E</w:t>
      </w:r>
      <w:r>
        <w:rPr>
          <w:lang w:val="es-ES"/>
        </w:rPr>
        <w:t>n e</w:t>
      </w:r>
      <w:r w:rsidRPr="00907630">
        <w:rPr>
          <w:lang w:val="es-ES"/>
        </w:rPr>
        <w:t xml:space="preserve">l </w:t>
      </w:r>
      <w:r w:rsidRPr="00907630">
        <w:rPr>
          <w:b/>
          <w:bCs/>
          <w:lang w:val="es-ES"/>
        </w:rPr>
        <w:t>Anexo</w:t>
      </w:r>
      <w:r w:rsidR="00EB3E73" w:rsidRPr="00907630">
        <w:rPr>
          <w:b/>
          <w:bCs/>
          <w:lang w:val="es-ES"/>
        </w:rPr>
        <w:t xml:space="preserve"> 1</w:t>
      </w:r>
      <w:r w:rsidR="00EB3E73" w:rsidRPr="00907630">
        <w:rPr>
          <w:lang w:val="es-ES"/>
        </w:rPr>
        <w:t xml:space="preserve"> </w:t>
      </w:r>
      <w:r>
        <w:rPr>
          <w:lang w:val="es-ES"/>
        </w:rPr>
        <w:t xml:space="preserve">se presenta un cuadro de las ACP, que incluye el número de la ACP y su título para las referencias cruzadas. </w:t>
      </w:r>
    </w:p>
    <w:p w:rsidR="00EB3E73" w:rsidRPr="00907630" w:rsidRDefault="00907630" w:rsidP="009F1472">
      <w:pPr>
        <w:rPr>
          <w:rFonts w:cs="Cordia New"/>
          <w:cs/>
          <w:lang w:val="es-ES" w:bidi="th-TH"/>
        </w:rPr>
      </w:pPr>
      <w:r w:rsidRPr="00907630">
        <w:rPr>
          <w:lang w:val="es-ES"/>
        </w:rPr>
        <w:t>E</w:t>
      </w:r>
      <w:r>
        <w:rPr>
          <w:lang w:val="es-ES"/>
        </w:rPr>
        <w:t>n e</w:t>
      </w:r>
      <w:r w:rsidRPr="00907630">
        <w:rPr>
          <w:lang w:val="es-ES"/>
        </w:rPr>
        <w:t xml:space="preserve">l </w:t>
      </w:r>
      <w:r w:rsidRPr="00907630">
        <w:rPr>
          <w:b/>
          <w:bCs/>
          <w:lang w:val="es-ES"/>
        </w:rPr>
        <w:t>Anexo</w:t>
      </w:r>
      <w:r w:rsidR="00EB3E73" w:rsidRPr="00907630">
        <w:rPr>
          <w:b/>
          <w:bCs/>
          <w:lang w:val="es-ES"/>
        </w:rPr>
        <w:t xml:space="preserve"> 2</w:t>
      </w:r>
      <w:r w:rsidR="00EB3E73" w:rsidRPr="00907630">
        <w:rPr>
          <w:lang w:val="es-ES"/>
        </w:rPr>
        <w:t xml:space="preserve"> </w:t>
      </w:r>
      <w:r>
        <w:rPr>
          <w:lang w:val="es-ES"/>
        </w:rPr>
        <w:t>se facilita la lista de las Administraciones Miembro de la APT y</w:t>
      </w:r>
      <w:r w:rsidRPr="00907630">
        <w:rPr>
          <w:lang w:val="es-ES"/>
        </w:rPr>
        <w:t xml:space="preserve"> su ratificación, o no, de las ACP</w:t>
      </w:r>
      <w:r w:rsidR="00EB3E73" w:rsidRPr="00907630">
        <w:rPr>
          <w:lang w:val="es-ES"/>
        </w:rPr>
        <w:t>.</w:t>
      </w:r>
    </w:p>
    <w:p w:rsidR="00EB3E73" w:rsidRPr="00907630" w:rsidRDefault="00EB3E73" w:rsidP="009F1472">
      <w:pPr>
        <w:pStyle w:val="Reasons"/>
        <w:rPr>
          <w:lang w:val="es-ES"/>
        </w:rPr>
      </w:pPr>
    </w:p>
    <w:p w:rsidR="00504FD4" w:rsidRPr="00907630" w:rsidRDefault="00504FD4" w:rsidP="009F1472">
      <w:pPr>
        <w:rPr>
          <w:lang w:val="es-ES"/>
        </w:rPr>
      </w:pPr>
    </w:p>
    <w:p w:rsidR="00E61432" w:rsidRPr="00907630" w:rsidRDefault="00255FA1" w:rsidP="000D75F8">
      <w:pPr>
        <w:pStyle w:val="AnnexNo"/>
        <w:rPr>
          <w:lang w:val="es-ES"/>
        </w:rPr>
      </w:pPr>
      <w:r w:rsidRPr="00907630">
        <w:rPr>
          <w:rStyle w:val="PageNumber"/>
          <w:lang w:val="es-ES"/>
        </w:rPr>
        <w:br w:type="page"/>
      </w:r>
      <w:r w:rsidR="00FD31EC" w:rsidRPr="00907630">
        <w:rPr>
          <w:lang w:val="es-ES"/>
        </w:rPr>
        <w:lastRenderedPageBreak/>
        <w:t>Anexo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7300"/>
      </w:tblGrid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ACP No.</w:t>
            </w:r>
          </w:p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ACP/64A1/</w:t>
            </w:r>
          </w:p>
        </w:tc>
        <w:tc>
          <w:tcPr>
            <w:tcW w:w="7300" w:type="dxa"/>
          </w:tcPr>
          <w:p w:rsidR="00E61432" w:rsidRPr="000D75F8" w:rsidRDefault="00E61432" w:rsidP="000D75F8">
            <w:pPr>
              <w:pStyle w:val="Tabletext"/>
              <w:spacing w:before="240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Prop</w:t>
            </w:r>
            <w:r w:rsidR="00907630" w:rsidRPr="000D75F8">
              <w:rPr>
                <w:sz w:val="24"/>
                <w:szCs w:val="24"/>
                <w:lang w:val="es-ES"/>
              </w:rPr>
              <w:t>uestas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Constitución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(CS) </w:t>
            </w: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estable de la UIT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0D75F8">
              <w:rPr>
                <w:rFonts w:cstheme="minorHAnsi"/>
                <w:bCs/>
                <w:sz w:val="24"/>
                <w:szCs w:val="24"/>
                <w:lang w:val="es-ES"/>
              </w:rPr>
              <w:t>Convenio</w:t>
            </w:r>
            <w:r w:rsidR="00E61432" w:rsidRPr="000D75F8">
              <w:rPr>
                <w:rFonts w:cstheme="minorHAnsi"/>
                <w:bCs/>
                <w:sz w:val="24"/>
                <w:szCs w:val="24"/>
                <w:lang w:val="es-ES"/>
              </w:rPr>
              <w:t xml:space="preserve"> (CV) </w:t>
            </w:r>
            <w:r w:rsidRPr="000D75F8">
              <w:rPr>
                <w:rFonts w:cstheme="minorHAnsi"/>
                <w:bCs/>
                <w:sz w:val="24"/>
                <w:szCs w:val="24"/>
                <w:lang w:val="es-ES"/>
              </w:rPr>
              <w:t>estable de la UIT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rFonts w:cstheme="minorHAnsi"/>
                <w:b/>
                <w:bCs/>
                <w:color w:val="800000"/>
                <w:sz w:val="24"/>
                <w:szCs w:val="24"/>
                <w:lang w:val="es-ES"/>
              </w:rPr>
            </w:pPr>
            <w:r w:rsidRPr="000D75F8">
              <w:rPr>
                <w:rFonts w:cstheme="minorHAnsi"/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0D75F8">
              <w:rPr>
                <w:rFonts w:cstheme="minorHAnsi"/>
                <w:bCs/>
                <w:sz w:val="24"/>
                <w:szCs w:val="24"/>
                <w:lang w:val="es-ES"/>
              </w:rPr>
              <w:t xml:space="preserve">11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4D0A37" w:rsidRPr="000D75F8">
              <w:rPr>
                <w:rFonts w:cstheme="minorHAnsi"/>
                <w:bCs/>
                <w:sz w:val="24"/>
                <w:szCs w:val="24"/>
                <w:lang w:val="es-ES"/>
              </w:rPr>
              <w:t>Eventos ITU Telecom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0D75F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25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  <w:r w:rsidR="00FD31EC" w:rsidRPr="000D75F8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Fortalecimiento de la presencia regional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30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377FB1" w:rsidRPr="000D75F8">
              <w:rPr>
                <w:bCs/>
                <w:sz w:val="24"/>
                <w:szCs w:val="24"/>
                <w:lang w:val="es-ES"/>
              </w:rPr>
              <w:t>Medidas especiales en favor de los países menos adelantados, los pequeños Estados insulares en desarrollo, los países en desarrollo sin litoral y los países con economías en transición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48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Gestión y desarrollo de los recursos humanos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70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Incorporación de una perspectiva de género en la UIT y promoción de la igualdad de género y el empoderamiento de la mujer por medio de las tecnologías de la información y la comunicación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8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71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bookmarkStart w:id="8" w:name="_Toc37487561"/>
            <w:bookmarkStart w:id="9" w:name="_Toc406754151"/>
            <w:r w:rsidR="00E87D59" w:rsidRPr="000D75F8">
              <w:rPr>
                <w:sz w:val="24"/>
                <w:szCs w:val="24"/>
                <w:lang w:val="es-ES"/>
              </w:rPr>
              <w:t xml:space="preserve">Plan Estratégico de la Unión para </w:t>
            </w:r>
            <w:bookmarkEnd w:id="8"/>
            <w:r w:rsidR="00E87D59" w:rsidRPr="000D75F8">
              <w:rPr>
                <w:sz w:val="24"/>
                <w:szCs w:val="24"/>
                <w:lang w:val="es-ES"/>
              </w:rPr>
              <w:t>2020-20</w:t>
            </w:r>
            <w:bookmarkEnd w:id="9"/>
            <w:r w:rsidR="00E87D59" w:rsidRPr="000D75F8">
              <w:rPr>
                <w:sz w:val="24"/>
                <w:szCs w:val="24"/>
                <w:lang w:val="es-ES"/>
              </w:rPr>
              <w:t>23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Revisión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del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Anexo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1 </w:t>
            </w: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a la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Resolución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71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sz w:val="24"/>
                <w:szCs w:val="24"/>
                <w:lang w:val="es-ES"/>
              </w:rPr>
              <w:t>Plan Estratégico de la Unión para 2020-2023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101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Redes basadas en el protocolo Internet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11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102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12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123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Reducción de la disparidad entre los países en desarrollo y los desarrollados en materia de normalización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13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130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Fortalecimiento del papel de la UIT en la creación de confianza y seguridad en la utilización de las tecnologías de la información y la comunicación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131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Medición de las tecnologías de la información y la comunicación para la construcción de una sociedad de la información integradora e inclusiva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135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Función de la UIT en el desarrollo de las telecomunicaciones/tecnologías de la información y la comunicación, en la prestación de asistencia y asesoramiento técnicos a los países en desarrollo1 y en la realización de proyectos nacionales, regionales e interregionales pertinentes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16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139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 xml:space="preserve">Utilización de las telecomunicaciones/tecnologías de la información y la comunicación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lastRenderedPageBreak/>
              <w:t>para reducir la brecha digital y crear una sociedad de la información integradora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lastRenderedPageBreak/>
              <w:t>17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140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Función de la UIT en la puesta en práctica de los resultados de la Cumbre Mundial sobre la Sociedad de la Información y en el examen general de su aplicación por parte de la Asamblea General de las Naciones Unidas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177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 xml:space="preserve">Conformidad e </w:t>
            </w:r>
            <w:proofErr w:type="spellStart"/>
            <w:r w:rsidR="00E87D59" w:rsidRPr="000D75F8">
              <w:rPr>
                <w:bCs/>
                <w:sz w:val="24"/>
                <w:szCs w:val="24"/>
                <w:lang w:val="es-ES"/>
              </w:rPr>
              <w:t>interoperatividad</w:t>
            </w:r>
            <w:proofErr w:type="spellEnd"/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179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Función de la UIT en la protección de la infancia en línea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>Supresión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Pr="000D75F8">
              <w:rPr>
                <w:bCs/>
                <w:sz w:val="24"/>
                <w:szCs w:val="24"/>
                <w:lang w:val="es-ES"/>
              </w:rPr>
              <w:t>de la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Pr="000D75F8">
              <w:rPr>
                <w:bCs/>
                <w:sz w:val="24"/>
                <w:szCs w:val="24"/>
                <w:lang w:val="es-ES"/>
              </w:rPr>
              <w:t>Resolución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185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Seguimiento mundial de vuelos de la aviación civil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21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Cs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186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Fortalecimiento del papel de la UIT respecto de las medidas de transparencia y fomento de la confianza en las actividades relativas al espacio ultraterrestre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22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197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Facilitación de la Internet de las cosas como preparación para un mundo globalmente conectado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200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C80A28">
              <w:rPr>
                <w:bCs/>
                <w:sz w:val="24"/>
                <w:szCs w:val="24"/>
                <w:lang w:val="es-ES"/>
              </w:rPr>
              <w:t>Agenda Conectar 203</w:t>
            </w:r>
            <w:r w:rsidR="00E87D59" w:rsidRPr="000D75F8">
              <w:rPr>
                <w:bCs/>
                <w:sz w:val="24"/>
                <w:szCs w:val="24"/>
                <w:lang w:val="es-ES"/>
              </w:rPr>
              <w:t>0 para el desarrollo mundial de las telecomunicaciones/tecnologías de la información y la comunicación (TIC)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24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Revisión de la Resolución 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203 </w:t>
            </w:r>
            <w:r w:rsidR="000D75F8" w:rsidRPr="000D75F8">
              <w:rPr>
                <w:rFonts w:cstheme="minorHAnsi"/>
                <w:bCs/>
                <w:sz w:val="24"/>
                <w:szCs w:val="24"/>
                <w:lang w:val="es-ES"/>
              </w:rPr>
              <w:t>–</w:t>
            </w:r>
            <w:r w:rsidR="00E61432" w:rsidRPr="000D75F8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FD31EC" w:rsidRPr="000D75F8">
              <w:rPr>
                <w:bCs/>
                <w:sz w:val="24"/>
                <w:szCs w:val="24"/>
                <w:lang w:val="es-ES"/>
              </w:rPr>
              <w:t xml:space="preserve">Conectividad a redes de banda ancha </w:t>
            </w:r>
            <w:r w:rsidRPr="000D75F8">
              <w:rPr>
                <w:bCs/>
                <w:sz w:val="24"/>
                <w:szCs w:val="24"/>
                <w:lang w:val="es-ES"/>
              </w:rPr>
              <w:t>y ciudades y comunidades sostenibles e inteligentes</w:t>
            </w:r>
          </w:p>
        </w:tc>
      </w:tr>
      <w:tr w:rsidR="00E61432" w:rsidRPr="000D75F8" w:rsidTr="00E87D59">
        <w:tc>
          <w:tcPr>
            <w:tcW w:w="1038" w:type="dxa"/>
          </w:tcPr>
          <w:p w:rsidR="00E61432" w:rsidRPr="000D75F8" w:rsidRDefault="00E61432" w:rsidP="000D75F8">
            <w:pPr>
              <w:pStyle w:val="Tabletext"/>
              <w:jc w:val="center"/>
              <w:rPr>
                <w:sz w:val="24"/>
                <w:szCs w:val="24"/>
                <w:lang w:val="es-ES"/>
              </w:rPr>
            </w:pPr>
            <w:r w:rsidRPr="000D75F8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7300" w:type="dxa"/>
          </w:tcPr>
          <w:p w:rsidR="00E61432" w:rsidRPr="000D75F8" w:rsidRDefault="00907630" w:rsidP="000D75F8">
            <w:pPr>
              <w:pStyle w:val="Tabletext"/>
              <w:rPr>
                <w:b/>
                <w:bCs/>
                <w:color w:val="800000"/>
                <w:sz w:val="24"/>
                <w:szCs w:val="24"/>
                <w:lang w:val="es-ES"/>
              </w:rPr>
            </w:pPr>
            <w:r w:rsidRPr="000D75F8">
              <w:rPr>
                <w:bCs/>
                <w:sz w:val="24"/>
                <w:szCs w:val="24"/>
                <w:lang w:val="es-ES"/>
              </w:rPr>
              <w:t xml:space="preserve">Nueva Resolución sobre el papel de la UIT en el fomento de la innovación centrada en las telecomunicaciones/TIC para promover el desarrollo de la economía digital </w:t>
            </w:r>
          </w:p>
        </w:tc>
      </w:tr>
    </w:tbl>
    <w:p w:rsidR="00B45C2E" w:rsidRPr="00907630" w:rsidRDefault="00B45C2E" w:rsidP="009F14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  <w:sectPr w:rsidR="00B45C2E" w:rsidRPr="00907630" w:rsidSect="00A70E95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45C2E" w:rsidRPr="00907630" w:rsidRDefault="00FD31EC" w:rsidP="000D75F8">
      <w:pPr>
        <w:pStyle w:val="AnnexNo"/>
        <w:rPr>
          <w:lang w:val="es-ES"/>
        </w:rPr>
      </w:pPr>
      <w:r w:rsidRPr="00907630">
        <w:rPr>
          <w:lang w:val="es-ES"/>
        </w:rPr>
        <w:lastRenderedPageBreak/>
        <w:t>Anexo 2</w:t>
      </w:r>
    </w:p>
    <w:p w:rsidR="00B45C2E" w:rsidRPr="00907630" w:rsidRDefault="009F1472" w:rsidP="000D75F8">
      <w:pPr>
        <w:pStyle w:val="Annextitle"/>
        <w:rPr>
          <w:lang w:val="es-ES"/>
        </w:rPr>
      </w:pPr>
      <w:r w:rsidRPr="009F1472">
        <w:rPr>
          <w:lang w:val="es-ES"/>
        </w:rPr>
        <w:t>Lista de las Administraciones Miembros de la APT y ratificación o no de las ACP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8B7257" w:rsidRPr="00907630" w:rsidTr="00502ADF">
        <w:trPr>
          <w:cantSplit/>
          <w:trHeight w:val="2203"/>
          <w:tblHeader/>
        </w:trPr>
        <w:tc>
          <w:tcPr>
            <w:tcW w:w="584" w:type="dxa"/>
            <w:shd w:val="pct15" w:color="auto" w:fill="auto"/>
            <w:vAlign w:val="center"/>
          </w:tcPr>
          <w:p w:rsidR="00502ADF" w:rsidRPr="00502ADF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Número de ACP</w:t>
            </w:r>
          </w:p>
          <w:p w:rsidR="00502ADF" w:rsidRPr="00502ADF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ACP/</w:t>
            </w:r>
          </w:p>
          <w:p w:rsidR="00EF6DB3" w:rsidRPr="00907630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64A1/</w:t>
            </w:r>
          </w:p>
        </w:tc>
        <w:tc>
          <w:tcPr>
            <w:tcW w:w="212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Afganistán</w:t>
            </w:r>
          </w:p>
        </w:tc>
        <w:tc>
          <w:tcPr>
            <w:tcW w:w="210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Australia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Bangladesh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Bután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Brunei Darussalam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Camboya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China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502ADF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 xml:space="preserve">Rep. Pop. </w:t>
            </w:r>
            <w:proofErr w:type="spellStart"/>
            <w:r w:rsidRPr="00502ADF">
              <w:rPr>
                <w:rFonts w:cstheme="minorHAnsi"/>
                <w:b/>
                <w:sz w:val="20"/>
                <w:lang w:val="es-ES"/>
              </w:rPr>
              <w:t>Dem</w:t>
            </w:r>
            <w:proofErr w:type="spellEnd"/>
            <w:r w:rsidRPr="00502ADF">
              <w:rPr>
                <w:rFonts w:cstheme="minorHAnsi"/>
                <w:b/>
                <w:sz w:val="20"/>
                <w:lang w:val="es-ES"/>
              </w:rPr>
              <w:t>. de Corea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proofErr w:type="spellStart"/>
            <w:r w:rsidRPr="00907630">
              <w:rPr>
                <w:rFonts w:cstheme="minorHAnsi"/>
                <w:b/>
                <w:sz w:val="20"/>
                <w:lang w:val="es-ES"/>
              </w:rPr>
              <w:t>Fiji</w:t>
            </w:r>
            <w:proofErr w:type="spellEnd"/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India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Indonesia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Irán (</w:t>
            </w:r>
            <w:r>
              <w:rPr>
                <w:rFonts w:cstheme="minorHAnsi"/>
                <w:b/>
                <w:sz w:val="20"/>
                <w:lang w:val="es-ES"/>
              </w:rPr>
              <w:t>Rep. Islámica de)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Japón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Kiribati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Corea (Rep.</w:t>
            </w:r>
            <w:r>
              <w:rPr>
                <w:rFonts w:cstheme="minorHAnsi"/>
                <w:b/>
                <w:sz w:val="20"/>
                <w:lang w:val="es-ES"/>
              </w:rPr>
              <w:t xml:space="preserve"> de</w:t>
            </w:r>
            <w:r w:rsidRPr="00907630">
              <w:rPr>
                <w:rFonts w:cstheme="minorHAnsi"/>
                <w:b/>
                <w:sz w:val="20"/>
                <w:lang w:val="es-ES"/>
              </w:rPr>
              <w:t>)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Lao (R.D.P.)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Malasia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Maldivas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Marshall (Islas)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Micronesia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Mongolia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Myanmar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Nauru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Nepal (Rep.</w:t>
            </w:r>
            <w:r>
              <w:rPr>
                <w:rFonts w:cstheme="minorHAnsi"/>
                <w:b/>
                <w:sz w:val="20"/>
                <w:lang w:val="es-ES"/>
              </w:rPr>
              <w:t xml:space="preserve"> de</w:t>
            </w:r>
            <w:r w:rsidRPr="00907630">
              <w:rPr>
                <w:rFonts w:cstheme="minorHAnsi"/>
                <w:b/>
                <w:sz w:val="20"/>
                <w:lang w:val="es-ES"/>
              </w:rPr>
              <w:t>)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>
              <w:rPr>
                <w:rFonts w:cstheme="minorHAnsi"/>
                <w:b/>
                <w:sz w:val="20"/>
                <w:lang w:val="es-ES"/>
              </w:rPr>
              <w:t xml:space="preserve">Nueva </w:t>
            </w:r>
            <w:r w:rsidRPr="00907630">
              <w:rPr>
                <w:rFonts w:cstheme="minorHAnsi"/>
                <w:b/>
                <w:sz w:val="20"/>
                <w:lang w:val="es-ES"/>
              </w:rPr>
              <w:t>Zeland</w:t>
            </w:r>
            <w:r>
              <w:rPr>
                <w:rFonts w:cstheme="minorHAnsi"/>
                <w:b/>
                <w:sz w:val="20"/>
                <w:lang w:val="es-ES"/>
              </w:rPr>
              <w:t>i</w:t>
            </w:r>
            <w:r w:rsidRPr="00907630">
              <w:rPr>
                <w:rFonts w:cstheme="minorHAnsi"/>
                <w:b/>
                <w:sz w:val="20"/>
                <w:lang w:val="es-ES"/>
              </w:rPr>
              <w:t>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Pakistán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proofErr w:type="spellStart"/>
            <w:r w:rsidRPr="00907630">
              <w:rPr>
                <w:rFonts w:cstheme="minorHAnsi"/>
                <w:b/>
                <w:sz w:val="20"/>
                <w:lang w:val="es-ES"/>
              </w:rPr>
              <w:t>Palau</w:t>
            </w:r>
            <w:proofErr w:type="spellEnd"/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proofErr w:type="spellStart"/>
            <w:r w:rsidRPr="00907630">
              <w:rPr>
                <w:rFonts w:cstheme="minorHAnsi"/>
                <w:b/>
                <w:sz w:val="20"/>
                <w:lang w:val="es-ES"/>
              </w:rPr>
              <w:t>Papua</w:t>
            </w:r>
            <w:proofErr w:type="spellEnd"/>
            <w:r w:rsidRPr="00907630">
              <w:rPr>
                <w:rFonts w:cstheme="minorHAnsi"/>
                <w:b/>
                <w:sz w:val="20"/>
                <w:lang w:val="es-ES"/>
              </w:rPr>
              <w:t xml:space="preserve"> </w:t>
            </w:r>
            <w:r>
              <w:rPr>
                <w:rFonts w:cstheme="minorHAnsi"/>
                <w:b/>
                <w:sz w:val="20"/>
                <w:lang w:val="es-ES"/>
              </w:rPr>
              <w:t>Nueva</w:t>
            </w:r>
            <w:r w:rsidRPr="00907630">
              <w:rPr>
                <w:rFonts w:cstheme="minorHAnsi"/>
                <w:b/>
                <w:sz w:val="20"/>
                <w:lang w:val="es-ES"/>
              </w:rPr>
              <w:t xml:space="preserve"> Guinea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>
              <w:rPr>
                <w:rFonts w:cstheme="minorHAnsi"/>
                <w:b/>
                <w:sz w:val="20"/>
                <w:lang w:val="es-ES"/>
              </w:rPr>
              <w:t>F</w:t>
            </w:r>
            <w:r w:rsidRPr="00907630">
              <w:rPr>
                <w:rFonts w:cstheme="minorHAnsi"/>
                <w:b/>
                <w:sz w:val="20"/>
                <w:lang w:val="es-ES"/>
              </w:rPr>
              <w:t>ilipinas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Samoa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Singapur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Salomón (Islas)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Sri Lanka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Tailandia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Tonga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Tuvalu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Vanuatu</w:t>
            </w:r>
          </w:p>
        </w:tc>
        <w:tc>
          <w:tcPr>
            <w:tcW w:w="221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proofErr w:type="spellStart"/>
            <w:r w:rsidRPr="00907630">
              <w:rPr>
                <w:rFonts w:cstheme="minorHAnsi"/>
                <w:b/>
                <w:sz w:val="20"/>
                <w:lang w:val="es-ES"/>
              </w:rPr>
              <w:t>Viet</w:t>
            </w:r>
            <w:proofErr w:type="spellEnd"/>
            <w:r w:rsidRPr="00907630">
              <w:rPr>
                <w:rFonts w:cstheme="minorHAnsi"/>
                <w:b/>
                <w:sz w:val="20"/>
                <w:lang w:val="es-ES"/>
              </w:rPr>
              <w:t xml:space="preserve"> </w:t>
            </w:r>
            <w:proofErr w:type="spellStart"/>
            <w:r w:rsidRPr="00907630">
              <w:rPr>
                <w:rFonts w:cstheme="minorHAnsi"/>
                <w:b/>
                <w:sz w:val="20"/>
                <w:lang w:val="es-ES"/>
              </w:rPr>
              <w:t>Nam</w:t>
            </w:r>
            <w:proofErr w:type="spellEnd"/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3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4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5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6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7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8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9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10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11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12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13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14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lastRenderedPageBreak/>
              <w:t>15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16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color w:val="FF0000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17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18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19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20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21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22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23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24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EF6DB3" w:rsidRPr="00907630" w:rsidTr="00EF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25</w:t>
            </w:r>
          </w:p>
        </w:tc>
        <w:tc>
          <w:tcPr>
            <w:tcW w:w="360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EF6DB3" w:rsidRPr="00907630" w:rsidRDefault="00EF6DB3" w:rsidP="00EF6DB3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</w:tbl>
    <w:p w:rsidR="00255FA1" w:rsidRPr="00907630" w:rsidRDefault="00255FA1" w:rsidP="009F14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bookmarkStart w:id="10" w:name="_GoBack"/>
      <w:bookmarkEnd w:id="10"/>
    </w:p>
    <w:sectPr w:rsidR="00255FA1" w:rsidRPr="00907630" w:rsidSect="00E87D59">
      <w:headerReference w:type="default" r:id="rId10"/>
      <w:headerReference w:type="first" r:id="rId11"/>
      <w:footerReference w:type="first" r:id="rId12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E3" w:rsidRDefault="00C202E3">
      <w:r>
        <w:separator/>
      </w:r>
    </w:p>
  </w:endnote>
  <w:endnote w:type="continuationSeparator" w:id="0">
    <w:p w:rsidR="00C202E3" w:rsidRDefault="00C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E3" w:rsidRPr="00E61432" w:rsidRDefault="00C202E3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E61432">
      <w:rPr>
        <w:sz w:val="20"/>
        <w:szCs w:val="20"/>
        <w:lang w:val="fr-CH"/>
      </w:rPr>
      <w:t xml:space="preserve"> </w:t>
    </w:r>
    <w:r w:rsidRPr="00E61432">
      <w:rPr>
        <w:rStyle w:val="Hyperlink"/>
        <w:sz w:val="22"/>
        <w:szCs w:val="22"/>
        <w:lang w:val="fr-CH"/>
      </w:rPr>
      <w:t>www.itu.int/plenipotentiary/</w:t>
    </w:r>
    <w:r w:rsidRPr="00E61432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23" w:rsidRPr="008B7257" w:rsidRDefault="00B72623" w:rsidP="008B7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E3" w:rsidRDefault="00C202E3">
      <w:r>
        <w:t>____________________</w:t>
      </w:r>
    </w:p>
  </w:footnote>
  <w:footnote w:type="continuationSeparator" w:id="0">
    <w:p w:rsidR="00C202E3" w:rsidRDefault="00C2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E3" w:rsidRDefault="00C202E3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B7257">
      <w:rPr>
        <w:noProof/>
      </w:rPr>
      <w:t>3</w:t>
    </w:r>
    <w:r>
      <w:fldChar w:fldCharType="end"/>
    </w:r>
  </w:p>
  <w:p w:rsidR="00C202E3" w:rsidRDefault="00C202E3" w:rsidP="00006EAE">
    <w:pPr>
      <w:pStyle w:val="Header"/>
    </w:pPr>
    <w:r>
      <w:rPr>
        <w:lang w:val="en-US"/>
      </w:rPr>
      <w:t>PP18</w:t>
    </w:r>
    <w:r>
      <w:t>/64-S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E3" w:rsidRDefault="00C202E3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B7257">
      <w:rPr>
        <w:noProof/>
      </w:rPr>
      <w:t>5</w:t>
    </w:r>
    <w:r>
      <w:fldChar w:fldCharType="end"/>
    </w:r>
  </w:p>
  <w:p w:rsidR="00C202E3" w:rsidRDefault="00C202E3" w:rsidP="00006EAE">
    <w:pPr>
      <w:pStyle w:val="Header"/>
    </w:pPr>
    <w:r>
      <w:rPr>
        <w:lang w:val="en-US"/>
      </w:rPr>
      <w:t>PP18</w:t>
    </w:r>
    <w:r>
      <w:t>/64-S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E3" w:rsidRDefault="00C202E3" w:rsidP="001C0BC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B7257">
      <w:rPr>
        <w:noProof/>
      </w:rPr>
      <w:t>4</w:t>
    </w:r>
    <w:r>
      <w:fldChar w:fldCharType="end"/>
    </w:r>
  </w:p>
  <w:p w:rsidR="00C202E3" w:rsidRDefault="00C202E3" w:rsidP="001C0BC3">
    <w:pPr>
      <w:pStyle w:val="Header"/>
    </w:pPr>
    <w:r>
      <w:rPr>
        <w:lang w:val="en-US"/>
      </w:rPr>
      <w:t>PP18</w:t>
    </w:r>
    <w:r>
      <w:t>/64-S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D06706"/>
    <w:multiLevelType w:val="hybridMultilevel"/>
    <w:tmpl w:val="4D1C8AA6"/>
    <w:lvl w:ilvl="0" w:tplc="F97811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3"/>
    <w:rsid w:val="0000188C"/>
    <w:rsid w:val="00006EAE"/>
    <w:rsid w:val="0004016C"/>
    <w:rsid w:val="000863AB"/>
    <w:rsid w:val="000A1523"/>
    <w:rsid w:val="000B1752"/>
    <w:rsid w:val="000D75F8"/>
    <w:rsid w:val="0010546D"/>
    <w:rsid w:val="00135F93"/>
    <w:rsid w:val="001632E3"/>
    <w:rsid w:val="001729A9"/>
    <w:rsid w:val="001A157B"/>
    <w:rsid w:val="001C0BC3"/>
    <w:rsid w:val="001C731E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65E9E"/>
    <w:rsid w:val="002C6527"/>
    <w:rsid w:val="002E44FC"/>
    <w:rsid w:val="00364C81"/>
    <w:rsid w:val="003707E5"/>
    <w:rsid w:val="00377FB1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0A37"/>
    <w:rsid w:val="004D23BA"/>
    <w:rsid w:val="004E069C"/>
    <w:rsid w:val="004E08E0"/>
    <w:rsid w:val="004E28FB"/>
    <w:rsid w:val="004F4BB1"/>
    <w:rsid w:val="00502ADF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B75D7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D4F61"/>
    <w:rsid w:val="007F6EBC"/>
    <w:rsid w:val="00882773"/>
    <w:rsid w:val="008B4706"/>
    <w:rsid w:val="008B6676"/>
    <w:rsid w:val="008B7257"/>
    <w:rsid w:val="008B7B2E"/>
    <w:rsid w:val="008E51C5"/>
    <w:rsid w:val="008F7109"/>
    <w:rsid w:val="00907630"/>
    <w:rsid w:val="009107B0"/>
    <w:rsid w:val="009220DE"/>
    <w:rsid w:val="00930E84"/>
    <w:rsid w:val="0099270D"/>
    <w:rsid w:val="0099551E"/>
    <w:rsid w:val="009A1A86"/>
    <w:rsid w:val="009E0C42"/>
    <w:rsid w:val="009F1472"/>
    <w:rsid w:val="00A70E95"/>
    <w:rsid w:val="00AA1F73"/>
    <w:rsid w:val="00AB34CA"/>
    <w:rsid w:val="00AD400E"/>
    <w:rsid w:val="00AF0DC5"/>
    <w:rsid w:val="00B45C2E"/>
    <w:rsid w:val="00B501AB"/>
    <w:rsid w:val="00B72623"/>
    <w:rsid w:val="00B73978"/>
    <w:rsid w:val="00B77C4D"/>
    <w:rsid w:val="00BB13FE"/>
    <w:rsid w:val="00BC7EE2"/>
    <w:rsid w:val="00BF5475"/>
    <w:rsid w:val="00C202E3"/>
    <w:rsid w:val="00C42D2D"/>
    <w:rsid w:val="00C43474"/>
    <w:rsid w:val="00C61A48"/>
    <w:rsid w:val="00C64338"/>
    <w:rsid w:val="00C80A2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2372E"/>
    <w:rsid w:val="00E53DFC"/>
    <w:rsid w:val="00E61432"/>
    <w:rsid w:val="00E66FC3"/>
    <w:rsid w:val="00E677DD"/>
    <w:rsid w:val="00E77F17"/>
    <w:rsid w:val="00E87D59"/>
    <w:rsid w:val="00E921EC"/>
    <w:rsid w:val="00EB23D0"/>
    <w:rsid w:val="00EB3E73"/>
    <w:rsid w:val="00EC395A"/>
    <w:rsid w:val="00EF6DB3"/>
    <w:rsid w:val="00F01632"/>
    <w:rsid w:val="00F04858"/>
    <w:rsid w:val="00F271A2"/>
    <w:rsid w:val="00F3510D"/>
    <w:rsid w:val="00F43C07"/>
    <w:rsid w:val="00F43D44"/>
    <w:rsid w:val="00F7545A"/>
    <w:rsid w:val="00F80E6E"/>
    <w:rsid w:val="00FD31EC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B52C291-DA9E-4561-B585-360F11A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E6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  <w:lang w:val="en-GB"/>
    </w:rPr>
  </w:style>
  <w:style w:type="character" w:styleId="FollowedHyperlink">
    <w:name w:val="FollowedHyperlink"/>
    <w:basedOn w:val="DefaultParagraphFont"/>
    <w:unhideWhenUsed/>
    <w:rsid w:val="00E61432"/>
    <w:rPr>
      <w:color w:val="800080" w:themeColor="followedHyperlink"/>
      <w:u w:val="single"/>
    </w:rPr>
  </w:style>
  <w:style w:type="paragraph" w:customStyle="1" w:styleId="SpecialFooter">
    <w:name w:val="Special Footer"/>
    <w:basedOn w:val="Footer"/>
    <w:rsid w:val="00B45C2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B45C2E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character" w:customStyle="1" w:styleId="Appdef">
    <w:name w:val="App_def"/>
    <w:basedOn w:val="DefaultParagraphFont"/>
    <w:rsid w:val="00B45C2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45C2E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character" w:customStyle="1" w:styleId="Artdef">
    <w:name w:val="Art_def"/>
    <w:basedOn w:val="DefaultParagraphFont"/>
    <w:rsid w:val="00B45C2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45C2E"/>
    <w:rPr>
      <w:rFonts w:asciiTheme="minorHAnsi" w:hAnsiTheme="minorHAnsi"/>
    </w:rPr>
  </w:style>
  <w:style w:type="paragraph" w:customStyle="1" w:styleId="Equation">
    <w:name w:val="Equation"/>
    <w:basedOn w:val="Normal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  <w:lang w:val="en-GB"/>
    </w:rPr>
  </w:style>
  <w:style w:type="paragraph" w:customStyle="1" w:styleId="Equationlegend">
    <w:name w:val="Equation_legend"/>
    <w:basedOn w:val="NormalIndent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  <w:lang w:val="en-GB"/>
    </w:rPr>
  </w:style>
  <w:style w:type="paragraph" w:customStyle="1" w:styleId="Figurelegend">
    <w:name w:val="Figure_legend"/>
    <w:basedOn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">
    <w:name w:val="Figure_titl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B45C2E"/>
    <w:pPr>
      <w:keepNext w:val="0"/>
    </w:pPr>
  </w:style>
  <w:style w:type="character" w:customStyle="1" w:styleId="FooterChar">
    <w:name w:val="Footer Char"/>
    <w:basedOn w:val="DefaultParagraphFont"/>
    <w:link w:val="Footer"/>
    <w:rsid w:val="00B45C2E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B45C2E"/>
    <w:rPr>
      <w:rFonts w:ascii="Calibri" w:hAnsi="Calibri"/>
      <w:sz w:val="24"/>
      <w:lang w:val="es-ES_tradnl" w:eastAsia="en-US"/>
    </w:rPr>
  </w:style>
  <w:style w:type="paragraph" w:customStyle="1" w:styleId="Section10">
    <w:name w:val="Section_1"/>
    <w:basedOn w:val="Normal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0">
    <w:name w:val="Section_2"/>
    <w:basedOn w:val="Section10"/>
    <w:rsid w:val="00B45C2E"/>
    <w:rPr>
      <w:b w:val="0"/>
      <w:i/>
    </w:rPr>
  </w:style>
  <w:style w:type="paragraph" w:customStyle="1" w:styleId="Section3">
    <w:name w:val="Section_3"/>
    <w:basedOn w:val="Section10"/>
    <w:rsid w:val="00B45C2E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B45C2E"/>
  </w:style>
  <w:style w:type="character" w:customStyle="1" w:styleId="Tablefreq">
    <w:name w:val="Table_freq"/>
    <w:basedOn w:val="DefaultParagraphFont"/>
    <w:rsid w:val="00B45C2E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B45C2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QuestionNo">
    <w:name w:val="Question_No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Questiontitle">
    <w:name w:val="Question_titl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itle4">
    <w:name w:val="Title 4"/>
    <w:basedOn w:val="Title3"/>
    <w:next w:val="Heading1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  <w:lang w:val="en-GB"/>
    </w:rPr>
  </w:style>
  <w:style w:type="paragraph" w:customStyle="1" w:styleId="Part1">
    <w:name w:val="Part_1"/>
    <w:basedOn w:val="Section10"/>
    <w:next w:val="Section10"/>
    <w:qFormat/>
    <w:rsid w:val="00B45C2E"/>
  </w:style>
  <w:style w:type="paragraph" w:customStyle="1" w:styleId="PartNo">
    <w:name w:val="Part_No"/>
    <w:basedOn w:val="AnnexNo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paragraph" w:customStyle="1" w:styleId="Partref">
    <w:name w:val="Part_ref"/>
    <w:basedOn w:val="Annexref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Recdate">
    <w:name w:val="Rec_date"/>
    <w:basedOn w:val="Normal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AppArtNo">
    <w:name w:val="App_Art_No"/>
    <w:basedOn w:val="ArtNo"/>
    <w:qFormat/>
    <w:rsid w:val="00B45C2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AppArttitle">
    <w:name w:val="App_Art_title"/>
    <w:basedOn w:val="Arttitle"/>
    <w:qFormat/>
    <w:rsid w:val="00B45C2E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GB"/>
    </w:rPr>
  </w:style>
  <w:style w:type="paragraph" w:customStyle="1" w:styleId="OpinionNo">
    <w:name w:val="Opinion_No"/>
    <w:basedOn w:val="RecNo"/>
    <w:next w:val="Opiniontitle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Volumetitle0">
    <w:name w:val="Volume_title"/>
    <w:basedOn w:val="Normal"/>
    <w:qFormat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45C2E"/>
    <w:rPr>
      <w:rFonts w:ascii="Calibri" w:hAnsi="Calibri"/>
      <w:sz w:val="24"/>
      <w:lang w:val="es-ES_tradnl" w:eastAsia="en-US"/>
    </w:rPr>
  </w:style>
  <w:style w:type="paragraph" w:customStyle="1" w:styleId="Priorityarea">
    <w:name w:val="Priorityarea"/>
    <w:basedOn w:val="ListParagraph"/>
    <w:qFormat/>
    <w:rsid w:val="00B45C2E"/>
    <w:pPr>
      <w:tabs>
        <w:tab w:val="clear" w:pos="794"/>
        <w:tab w:val="clear" w:pos="1191"/>
        <w:tab w:val="left" w:pos="2268"/>
      </w:tabs>
      <w:spacing w:before="20"/>
    </w:pPr>
  </w:style>
  <w:style w:type="table" w:styleId="GridTable1Light-Accent1">
    <w:name w:val="Grid Table 1 Light Accent 1"/>
    <w:basedOn w:val="TableNormal"/>
    <w:uiPriority w:val="46"/>
    <w:rsid w:val="00B45C2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35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Administraciones de la Telecomunidad Asia-Pacífico</dc:title>
  <dc:subject>Plenipotentiary Conference (PP-18)</dc:subject>
  <dc:creator>Spanish</dc:creator>
  <cp:keywords>PP-18, Plenipotentiary</cp:keywords>
  <dc:description/>
  <cp:lastModifiedBy>Mestrallet, Francoise</cp:lastModifiedBy>
  <cp:revision>10</cp:revision>
  <cp:lastPrinted>2018-10-17T13:57:00Z</cp:lastPrinted>
  <dcterms:created xsi:type="dcterms:W3CDTF">2018-10-17T13:23:00Z</dcterms:created>
  <dcterms:modified xsi:type="dcterms:W3CDTF">2018-10-18T11:38:00Z</dcterms:modified>
  <cp:category>Conference document</cp:category>
</cp:coreProperties>
</file>