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0873C7" w:rsidP="00A91554">
            <w:pPr>
              <w:tabs>
                <w:tab w:val="left" w:pos="851"/>
              </w:tabs>
              <w:spacing w:before="0"/>
              <w:rPr>
                <w:rFonts w:cstheme="minorHAnsi"/>
                <w:b/>
                <w:szCs w:val="24"/>
              </w:rPr>
            </w:pPr>
            <w:r>
              <w:rPr>
                <w:rFonts w:cstheme="minorHAnsi"/>
                <w:b/>
                <w:szCs w:val="24"/>
              </w:rPr>
              <w:t xml:space="preserve">Document </w:t>
            </w:r>
            <w:r w:rsidR="005C1AE3">
              <w:rPr>
                <w:rFonts w:cstheme="minorHAnsi"/>
                <w:b/>
                <w:szCs w:val="24"/>
              </w:rPr>
              <w:t>1</w:t>
            </w:r>
            <w:r w:rsidR="00A91554">
              <w:rPr>
                <w:rFonts w:cstheme="minorHAnsi"/>
                <w:b/>
                <w:szCs w:val="24"/>
              </w:rPr>
              <w:t>70</w:t>
            </w:r>
            <w:r w:rsidR="00E26429">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0873C7" w:rsidP="003740BC">
            <w:pPr>
              <w:spacing w:before="0"/>
              <w:rPr>
                <w:rFonts w:cstheme="minorHAnsi"/>
                <w:szCs w:val="24"/>
              </w:rPr>
            </w:pPr>
            <w:r>
              <w:rPr>
                <w:rFonts w:cstheme="minorHAnsi"/>
                <w:b/>
                <w:szCs w:val="24"/>
              </w:rPr>
              <w:t xml:space="preserve">27 November </w:t>
            </w:r>
            <w:r w:rsidR="00E26429">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9609D9" w:rsidRPr="00DB0816" w:rsidRDefault="009609D9" w:rsidP="009609D9">
            <w:pPr>
              <w:pStyle w:val="Title1"/>
              <w:spacing w:before="720"/>
              <w:rPr>
                <w:lang w:val="en-CA"/>
              </w:rPr>
            </w:pPr>
            <w:r w:rsidRPr="00DB0816">
              <w:rPr>
                <w:lang w:val="en-CA"/>
              </w:rPr>
              <w:t>minutes</w:t>
            </w:r>
          </w:p>
          <w:p w:rsidR="009609D9" w:rsidRPr="00DB0816" w:rsidRDefault="009609D9" w:rsidP="009609D9">
            <w:pPr>
              <w:pStyle w:val="Title1"/>
              <w:rPr>
                <w:lang w:val="en-CA"/>
              </w:rPr>
            </w:pPr>
            <w:r w:rsidRPr="00DB0816">
              <w:rPr>
                <w:lang w:val="en-CA"/>
              </w:rPr>
              <w:t>OF THE</w:t>
            </w:r>
          </w:p>
          <w:p w:rsidR="001A16ED" w:rsidRDefault="00936422" w:rsidP="00A91554">
            <w:pPr>
              <w:pStyle w:val="Title2"/>
              <w:spacing w:after="240"/>
            </w:pPr>
            <w:r>
              <w:rPr>
                <w:lang w:val="en-CA"/>
              </w:rPr>
              <w:t>T</w:t>
            </w:r>
            <w:r w:rsidR="00A91554">
              <w:rPr>
                <w:lang w:val="en-CA"/>
              </w:rPr>
              <w:t>HIRTEEN</w:t>
            </w:r>
            <w:r>
              <w:rPr>
                <w:lang w:val="en-CA"/>
              </w:rPr>
              <w:t>TH</w:t>
            </w:r>
            <w:r w:rsidR="009609D9" w:rsidRPr="00DB0816">
              <w:rPr>
                <w:lang w:val="en-CA"/>
              </w:rPr>
              <w:t xml:space="preserve"> PLENARY MEETING</w:t>
            </w:r>
          </w:p>
        </w:tc>
      </w:tr>
      <w:tr w:rsidR="009609D9" w:rsidRPr="00C324A8" w:rsidTr="006A046E">
        <w:trPr>
          <w:cantSplit/>
          <w:trHeight w:val="23"/>
        </w:trPr>
        <w:tc>
          <w:tcPr>
            <w:tcW w:w="10031" w:type="dxa"/>
            <w:gridSpan w:val="2"/>
            <w:shd w:val="clear" w:color="auto" w:fill="auto"/>
          </w:tcPr>
          <w:p w:rsidR="009609D9" w:rsidRPr="00DB0816" w:rsidRDefault="00A91554" w:rsidP="00A91554">
            <w:pPr>
              <w:jc w:val="center"/>
              <w:rPr>
                <w:lang w:val="en-CA"/>
              </w:rPr>
            </w:pPr>
            <w:r>
              <w:rPr>
                <w:lang w:val="en-CA"/>
              </w:rPr>
              <w:t>Tuesd</w:t>
            </w:r>
            <w:r w:rsidR="00936422">
              <w:rPr>
                <w:lang w:val="en-CA"/>
              </w:rPr>
              <w:t>ay</w:t>
            </w:r>
            <w:r w:rsidR="009609D9" w:rsidRPr="00DB0816">
              <w:rPr>
                <w:lang w:val="en-CA"/>
              </w:rPr>
              <w:t xml:space="preserve">, </w:t>
            </w:r>
            <w:r w:rsidR="00936422">
              <w:rPr>
                <w:lang w:val="en-CA"/>
              </w:rPr>
              <w:t>1</w:t>
            </w:r>
            <w:r>
              <w:rPr>
                <w:lang w:val="en-CA"/>
              </w:rPr>
              <w:t>3</w:t>
            </w:r>
            <w:r w:rsidR="009609D9" w:rsidRPr="00DB0816">
              <w:rPr>
                <w:lang w:val="en-CA"/>
              </w:rPr>
              <w:t xml:space="preserve"> </w:t>
            </w:r>
            <w:r w:rsidR="00936422">
              <w:rPr>
                <w:lang w:val="en-CA"/>
              </w:rPr>
              <w:t>Novem</w:t>
            </w:r>
            <w:r w:rsidR="009609D9" w:rsidRPr="00DB0816">
              <w:rPr>
                <w:lang w:val="en-CA"/>
              </w:rPr>
              <w:t xml:space="preserve">ber, at </w:t>
            </w:r>
            <w:r>
              <w:rPr>
                <w:lang w:val="en-CA"/>
              </w:rPr>
              <w:t>09</w:t>
            </w:r>
            <w:r w:rsidR="009609D9" w:rsidRPr="00DB0816">
              <w:rPr>
                <w:lang w:val="en-CA"/>
              </w:rPr>
              <w:t>35 hours</w:t>
            </w:r>
          </w:p>
        </w:tc>
      </w:tr>
      <w:tr w:rsidR="009609D9" w:rsidRPr="00C324A8" w:rsidTr="006A046E">
        <w:trPr>
          <w:cantSplit/>
          <w:trHeight w:val="23"/>
        </w:trPr>
        <w:tc>
          <w:tcPr>
            <w:tcW w:w="10031" w:type="dxa"/>
            <w:gridSpan w:val="2"/>
            <w:shd w:val="clear" w:color="auto" w:fill="auto"/>
          </w:tcPr>
          <w:p w:rsidR="009609D9" w:rsidRPr="00DB0816" w:rsidRDefault="009609D9" w:rsidP="009609D9">
            <w:pPr>
              <w:jc w:val="center"/>
              <w:rPr>
                <w:b/>
                <w:bCs/>
                <w:lang w:val="en-CA"/>
              </w:rPr>
            </w:pPr>
            <w:r w:rsidRPr="00DB0816">
              <w:rPr>
                <w:b/>
                <w:bCs/>
                <w:lang w:val="en-CA"/>
              </w:rPr>
              <w:t xml:space="preserve">Chairman: </w:t>
            </w:r>
            <w:r w:rsidRPr="00DB0816">
              <w:rPr>
                <w:bCs/>
                <w:lang w:val="en-CA"/>
              </w:rPr>
              <w:t>Mr M</w:t>
            </w:r>
            <w:r>
              <w:rPr>
                <w:bCs/>
                <w:lang w:val="en-CA"/>
              </w:rPr>
              <w:t>ajed</w:t>
            </w:r>
            <w:r w:rsidRPr="00DB0816">
              <w:rPr>
                <w:bCs/>
                <w:lang w:val="en-CA"/>
              </w:rPr>
              <w:t xml:space="preserve"> ALMESMAR (United Arab Emirates)</w:t>
            </w:r>
          </w:p>
        </w:tc>
      </w:tr>
      <w:bookmarkEnd w:id="7"/>
      <w:bookmarkEnd w:id="8"/>
    </w:tbl>
    <w:p w:rsidR="001A16ED" w:rsidRDefault="001A16ED" w:rsidP="00AB2D04"/>
    <w:tbl>
      <w:tblPr>
        <w:tblW w:w="10031" w:type="dxa"/>
        <w:tblLayout w:type="fixed"/>
        <w:tblLook w:val="0000" w:firstRow="0" w:lastRow="0" w:firstColumn="0" w:lastColumn="0" w:noHBand="0" w:noVBand="0"/>
      </w:tblPr>
      <w:tblGrid>
        <w:gridCol w:w="534"/>
        <w:gridCol w:w="7164"/>
        <w:gridCol w:w="2333"/>
      </w:tblGrid>
      <w:tr w:rsidR="00A91554" w:rsidRPr="003A5D8B" w:rsidTr="007D4E4E">
        <w:tc>
          <w:tcPr>
            <w:tcW w:w="534" w:type="dxa"/>
          </w:tcPr>
          <w:p w:rsidR="00A91554" w:rsidRPr="003A5D8B" w:rsidRDefault="00A91554" w:rsidP="007D4E4E">
            <w:pPr>
              <w:pStyle w:val="toc0"/>
              <w:rPr>
                <w:lang w:val="en-CA"/>
              </w:rPr>
            </w:pPr>
          </w:p>
        </w:tc>
        <w:tc>
          <w:tcPr>
            <w:tcW w:w="7164" w:type="dxa"/>
          </w:tcPr>
          <w:p w:rsidR="00A91554" w:rsidRPr="003A5D8B" w:rsidRDefault="00A91554" w:rsidP="007D4E4E">
            <w:pPr>
              <w:pStyle w:val="toc0"/>
              <w:rPr>
                <w:lang w:val="en-CA"/>
              </w:rPr>
            </w:pPr>
            <w:r w:rsidRPr="003A5D8B">
              <w:rPr>
                <w:lang w:val="en-CA"/>
              </w:rPr>
              <w:t>Subjects discussed</w:t>
            </w:r>
          </w:p>
        </w:tc>
        <w:tc>
          <w:tcPr>
            <w:tcW w:w="2333" w:type="dxa"/>
          </w:tcPr>
          <w:p w:rsidR="00A91554" w:rsidRPr="003A5D8B" w:rsidRDefault="00A91554" w:rsidP="007D4E4E">
            <w:pPr>
              <w:pStyle w:val="toc0"/>
              <w:jc w:val="center"/>
              <w:rPr>
                <w:lang w:val="en-CA"/>
              </w:rPr>
            </w:pPr>
            <w:r w:rsidRPr="003A5D8B">
              <w:rPr>
                <w:lang w:val="en-CA"/>
              </w:rPr>
              <w:t>Documents</w:t>
            </w:r>
          </w:p>
        </w:tc>
      </w:tr>
      <w:tr w:rsidR="00A91554" w:rsidRPr="003A5D8B" w:rsidTr="007D4E4E">
        <w:tc>
          <w:tcPr>
            <w:tcW w:w="534" w:type="dxa"/>
          </w:tcPr>
          <w:p w:rsidR="00A91554" w:rsidRPr="003A5D8B" w:rsidRDefault="00A91554" w:rsidP="007D4E4E">
            <w:pPr>
              <w:ind w:left="567" w:hanging="567"/>
              <w:rPr>
                <w:lang w:val="en-CA"/>
              </w:rPr>
            </w:pPr>
            <w:r w:rsidRPr="003A5D8B">
              <w:rPr>
                <w:lang w:val="en-CA"/>
              </w:rPr>
              <w:t>1</w:t>
            </w:r>
          </w:p>
        </w:tc>
        <w:tc>
          <w:tcPr>
            <w:tcW w:w="7164" w:type="dxa"/>
          </w:tcPr>
          <w:p w:rsidR="00A91554" w:rsidRPr="003A5D8B" w:rsidRDefault="00A91554" w:rsidP="007D4E4E">
            <w:pPr>
              <w:rPr>
                <w:lang w:val="en-CA"/>
              </w:rPr>
            </w:pPr>
            <w:r w:rsidRPr="003A5D8B">
              <w:rPr>
                <w:rFonts w:asciiTheme="minorHAnsi" w:hAnsiTheme="minorHAnsi"/>
                <w:szCs w:val="24"/>
                <w:lang w:val="en-CA"/>
              </w:rPr>
              <w:t>Report of Committee 3 (Budget Control)</w:t>
            </w:r>
          </w:p>
        </w:tc>
        <w:tc>
          <w:tcPr>
            <w:tcW w:w="2333" w:type="dxa"/>
          </w:tcPr>
          <w:p w:rsidR="00A91554" w:rsidRPr="003A5D8B" w:rsidRDefault="00A452FE" w:rsidP="007D4E4E">
            <w:pPr>
              <w:jc w:val="center"/>
              <w:rPr>
                <w:lang w:val="en-CA"/>
              </w:rPr>
            </w:pPr>
            <w:hyperlink r:id="rId8" w:history="1">
              <w:r w:rsidR="00A91554" w:rsidRPr="00A452FE">
                <w:rPr>
                  <w:rStyle w:val="Hyperlink"/>
                  <w:lang w:val="en-CA"/>
                </w:rPr>
                <w:t>129</w:t>
              </w:r>
            </w:hyperlink>
          </w:p>
        </w:tc>
      </w:tr>
      <w:tr w:rsidR="00A91554" w:rsidRPr="003A5D8B" w:rsidTr="007D4E4E">
        <w:tc>
          <w:tcPr>
            <w:tcW w:w="534" w:type="dxa"/>
          </w:tcPr>
          <w:p w:rsidR="00A91554" w:rsidRPr="003A5D8B" w:rsidRDefault="00A91554" w:rsidP="007D4E4E">
            <w:pPr>
              <w:ind w:left="567" w:hanging="567"/>
              <w:rPr>
                <w:lang w:val="en-CA"/>
              </w:rPr>
            </w:pPr>
            <w:r w:rsidRPr="003A5D8B">
              <w:rPr>
                <w:lang w:val="en-CA"/>
              </w:rPr>
              <w:t>2</w:t>
            </w:r>
          </w:p>
        </w:tc>
        <w:tc>
          <w:tcPr>
            <w:tcW w:w="7164" w:type="dxa"/>
          </w:tcPr>
          <w:p w:rsidR="00A91554" w:rsidRPr="003A5D8B" w:rsidRDefault="00A91554" w:rsidP="007D4E4E">
            <w:pPr>
              <w:rPr>
                <w:lang w:val="en-CA"/>
              </w:rPr>
            </w:pPr>
            <w:r w:rsidRPr="003A5D8B">
              <w:rPr>
                <w:rFonts w:asciiTheme="minorHAnsi" w:hAnsiTheme="minorHAnsi"/>
                <w:szCs w:val="24"/>
                <w:lang w:val="en-CA"/>
              </w:rPr>
              <w:t xml:space="preserve">Sixth series of texts </w:t>
            </w:r>
            <w:r>
              <w:rPr>
                <w:rFonts w:asciiTheme="minorHAnsi" w:hAnsiTheme="minorHAnsi"/>
                <w:szCs w:val="24"/>
                <w:lang w:val="en-CA"/>
              </w:rPr>
              <w:t>submitted by</w:t>
            </w:r>
            <w:r w:rsidRPr="003A5D8B">
              <w:rPr>
                <w:rFonts w:asciiTheme="minorHAnsi" w:hAnsiTheme="minorHAnsi"/>
                <w:szCs w:val="24"/>
                <w:lang w:val="en-CA"/>
              </w:rPr>
              <w:t xml:space="preserve"> the Editorial Committee for first reading (B6)</w:t>
            </w:r>
          </w:p>
        </w:tc>
        <w:tc>
          <w:tcPr>
            <w:tcW w:w="2333" w:type="dxa"/>
          </w:tcPr>
          <w:p w:rsidR="00A91554" w:rsidRPr="003A5D8B" w:rsidRDefault="00A452FE" w:rsidP="007D4E4E">
            <w:pPr>
              <w:jc w:val="center"/>
              <w:rPr>
                <w:lang w:val="en-CA"/>
              </w:rPr>
            </w:pPr>
            <w:hyperlink r:id="rId9" w:history="1">
              <w:r w:rsidR="00A91554" w:rsidRPr="00A452FE">
                <w:rPr>
                  <w:rStyle w:val="Hyperlink"/>
                  <w:lang w:val="en-CA"/>
                </w:rPr>
                <w:t>127</w:t>
              </w:r>
            </w:hyperlink>
          </w:p>
        </w:tc>
      </w:tr>
      <w:tr w:rsidR="00A91554" w:rsidRPr="003A5D8B" w:rsidTr="007D4E4E">
        <w:tc>
          <w:tcPr>
            <w:tcW w:w="534" w:type="dxa"/>
          </w:tcPr>
          <w:p w:rsidR="00A91554" w:rsidRPr="003A5D8B" w:rsidRDefault="00A91554" w:rsidP="007D4E4E">
            <w:pPr>
              <w:ind w:left="567" w:hanging="567"/>
              <w:rPr>
                <w:lang w:val="en-CA"/>
              </w:rPr>
            </w:pPr>
            <w:r w:rsidRPr="003A5D8B">
              <w:rPr>
                <w:lang w:val="en-CA"/>
              </w:rPr>
              <w:t>3</w:t>
            </w:r>
          </w:p>
        </w:tc>
        <w:tc>
          <w:tcPr>
            <w:tcW w:w="7164" w:type="dxa"/>
          </w:tcPr>
          <w:p w:rsidR="00A91554" w:rsidRPr="003A5D8B" w:rsidRDefault="00A91554" w:rsidP="007D4E4E">
            <w:pPr>
              <w:rPr>
                <w:lang w:val="en-CA"/>
              </w:rPr>
            </w:pPr>
            <w:r w:rsidRPr="003A5D8B">
              <w:rPr>
                <w:rFonts w:asciiTheme="minorHAnsi" w:hAnsiTheme="minorHAnsi"/>
                <w:szCs w:val="24"/>
                <w:lang w:val="en-CA"/>
              </w:rPr>
              <w:t xml:space="preserve">Seventh series of texts </w:t>
            </w:r>
            <w:r>
              <w:rPr>
                <w:rFonts w:asciiTheme="minorHAnsi" w:hAnsiTheme="minorHAnsi"/>
                <w:szCs w:val="24"/>
                <w:lang w:val="en-CA"/>
              </w:rPr>
              <w:t>submitted by</w:t>
            </w:r>
            <w:r w:rsidRPr="003A5D8B">
              <w:rPr>
                <w:rFonts w:asciiTheme="minorHAnsi" w:hAnsiTheme="minorHAnsi"/>
                <w:szCs w:val="24"/>
                <w:lang w:val="en-CA"/>
              </w:rPr>
              <w:t xml:space="preserve"> the Editorial Committee for first reading (B7)</w:t>
            </w:r>
          </w:p>
        </w:tc>
        <w:tc>
          <w:tcPr>
            <w:tcW w:w="2333" w:type="dxa"/>
          </w:tcPr>
          <w:p w:rsidR="00A91554" w:rsidRPr="003A5D8B" w:rsidRDefault="00A452FE" w:rsidP="007D4E4E">
            <w:pPr>
              <w:jc w:val="center"/>
              <w:rPr>
                <w:lang w:val="en-CA"/>
              </w:rPr>
            </w:pPr>
            <w:hyperlink r:id="rId10" w:history="1">
              <w:r w:rsidR="00A91554" w:rsidRPr="00A452FE">
                <w:rPr>
                  <w:rStyle w:val="Hyperlink"/>
                  <w:lang w:val="en-CA"/>
                </w:rPr>
                <w:t>128</w:t>
              </w:r>
            </w:hyperlink>
          </w:p>
        </w:tc>
      </w:tr>
      <w:tr w:rsidR="00A91554" w:rsidRPr="003A5D8B" w:rsidTr="007D4E4E">
        <w:tc>
          <w:tcPr>
            <w:tcW w:w="534" w:type="dxa"/>
          </w:tcPr>
          <w:p w:rsidR="00A91554" w:rsidRPr="003A5D8B" w:rsidRDefault="00A91554" w:rsidP="007D4E4E">
            <w:pPr>
              <w:ind w:left="567" w:hanging="567"/>
              <w:rPr>
                <w:lang w:val="en-CA"/>
              </w:rPr>
            </w:pPr>
            <w:r w:rsidRPr="003A5D8B">
              <w:rPr>
                <w:lang w:val="en-CA"/>
              </w:rPr>
              <w:t>4</w:t>
            </w:r>
          </w:p>
        </w:tc>
        <w:tc>
          <w:tcPr>
            <w:tcW w:w="7164" w:type="dxa"/>
          </w:tcPr>
          <w:p w:rsidR="00A91554" w:rsidRPr="003A5D8B" w:rsidRDefault="00A91554" w:rsidP="007D4E4E">
            <w:pPr>
              <w:rPr>
                <w:lang w:val="en-CA"/>
              </w:rPr>
            </w:pPr>
            <w:r w:rsidRPr="003A5D8B">
              <w:rPr>
                <w:rFonts w:asciiTheme="minorHAnsi" w:hAnsiTheme="minorHAnsi"/>
                <w:szCs w:val="24"/>
                <w:lang w:val="en-CA"/>
              </w:rPr>
              <w:t xml:space="preserve">Sixth series of texts </w:t>
            </w:r>
            <w:r>
              <w:rPr>
                <w:rFonts w:asciiTheme="minorHAnsi" w:hAnsiTheme="minorHAnsi"/>
                <w:szCs w:val="24"/>
                <w:lang w:val="en-CA"/>
              </w:rPr>
              <w:t>submitted by</w:t>
            </w:r>
            <w:r w:rsidRPr="003A5D8B">
              <w:rPr>
                <w:rFonts w:asciiTheme="minorHAnsi" w:hAnsiTheme="minorHAnsi"/>
                <w:szCs w:val="24"/>
                <w:lang w:val="en-CA"/>
              </w:rPr>
              <w:t xml:space="preserve"> the Editorial Committee - second reading</w:t>
            </w:r>
          </w:p>
        </w:tc>
        <w:tc>
          <w:tcPr>
            <w:tcW w:w="2333" w:type="dxa"/>
          </w:tcPr>
          <w:p w:rsidR="00A91554" w:rsidRPr="003A5D8B" w:rsidRDefault="00A452FE" w:rsidP="007D4E4E">
            <w:pPr>
              <w:jc w:val="center"/>
              <w:rPr>
                <w:lang w:val="en-CA"/>
              </w:rPr>
            </w:pPr>
            <w:hyperlink r:id="rId11" w:history="1">
              <w:r w:rsidRPr="00A452FE">
                <w:rPr>
                  <w:rStyle w:val="Hyperlink"/>
                  <w:lang w:val="en-CA"/>
                </w:rPr>
                <w:t>127</w:t>
              </w:r>
            </w:hyperlink>
          </w:p>
        </w:tc>
      </w:tr>
      <w:tr w:rsidR="00A91554" w:rsidRPr="003A5D8B" w:rsidTr="007D4E4E">
        <w:tc>
          <w:tcPr>
            <w:tcW w:w="534" w:type="dxa"/>
          </w:tcPr>
          <w:p w:rsidR="00A91554" w:rsidRPr="003A5D8B" w:rsidRDefault="00A91554" w:rsidP="007D4E4E">
            <w:pPr>
              <w:ind w:left="567" w:hanging="567"/>
              <w:rPr>
                <w:lang w:val="en-CA"/>
              </w:rPr>
            </w:pPr>
            <w:r w:rsidRPr="003A5D8B">
              <w:rPr>
                <w:lang w:val="en-CA"/>
              </w:rPr>
              <w:t>5</w:t>
            </w:r>
          </w:p>
        </w:tc>
        <w:tc>
          <w:tcPr>
            <w:tcW w:w="7164" w:type="dxa"/>
          </w:tcPr>
          <w:p w:rsidR="00A91554" w:rsidRPr="003A5D8B" w:rsidRDefault="00A91554" w:rsidP="007D4E4E">
            <w:pPr>
              <w:rPr>
                <w:lang w:val="en-CA"/>
              </w:rPr>
            </w:pPr>
            <w:r w:rsidRPr="003A5D8B">
              <w:rPr>
                <w:rFonts w:asciiTheme="minorHAnsi" w:hAnsiTheme="minorHAnsi"/>
                <w:szCs w:val="24"/>
                <w:lang w:val="en-CA"/>
              </w:rPr>
              <w:t xml:space="preserve">Seventh series of texts </w:t>
            </w:r>
            <w:r>
              <w:rPr>
                <w:rFonts w:asciiTheme="minorHAnsi" w:hAnsiTheme="minorHAnsi"/>
                <w:szCs w:val="24"/>
                <w:lang w:val="en-CA"/>
              </w:rPr>
              <w:t>submitted by</w:t>
            </w:r>
            <w:r w:rsidRPr="003A5D8B">
              <w:rPr>
                <w:rFonts w:asciiTheme="minorHAnsi" w:hAnsiTheme="minorHAnsi"/>
                <w:szCs w:val="24"/>
                <w:lang w:val="en-CA"/>
              </w:rPr>
              <w:t xml:space="preserve"> the Editorial Committee - second reading</w:t>
            </w:r>
          </w:p>
        </w:tc>
        <w:tc>
          <w:tcPr>
            <w:tcW w:w="2333" w:type="dxa"/>
          </w:tcPr>
          <w:p w:rsidR="00A91554" w:rsidRPr="003A5D8B" w:rsidRDefault="00A452FE" w:rsidP="007D4E4E">
            <w:pPr>
              <w:jc w:val="center"/>
              <w:rPr>
                <w:lang w:val="en-CA"/>
              </w:rPr>
            </w:pPr>
            <w:hyperlink r:id="rId12" w:history="1">
              <w:r w:rsidRPr="00A452FE">
                <w:rPr>
                  <w:rStyle w:val="Hyperlink"/>
                  <w:lang w:val="en-CA"/>
                </w:rPr>
                <w:t>128</w:t>
              </w:r>
            </w:hyperlink>
          </w:p>
        </w:tc>
      </w:tr>
      <w:tr w:rsidR="00A91554" w:rsidRPr="003A5D8B" w:rsidTr="007D4E4E">
        <w:tc>
          <w:tcPr>
            <w:tcW w:w="534" w:type="dxa"/>
          </w:tcPr>
          <w:p w:rsidR="00A91554" w:rsidRPr="003A5D8B" w:rsidRDefault="00A91554" w:rsidP="007D4E4E">
            <w:pPr>
              <w:ind w:left="567" w:hanging="567"/>
              <w:rPr>
                <w:lang w:val="en-CA"/>
              </w:rPr>
            </w:pPr>
            <w:r w:rsidRPr="003A5D8B">
              <w:rPr>
                <w:lang w:val="en-CA"/>
              </w:rPr>
              <w:t>6</w:t>
            </w:r>
          </w:p>
        </w:tc>
        <w:tc>
          <w:tcPr>
            <w:tcW w:w="7164" w:type="dxa"/>
          </w:tcPr>
          <w:p w:rsidR="00A91554" w:rsidRPr="003A5D8B" w:rsidRDefault="00A91554" w:rsidP="007D4E4E">
            <w:pPr>
              <w:tabs>
                <w:tab w:val="left" w:pos="4660"/>
              </w:tabs>
              <w:rPr>
                <w:lang w:val="en-CA"/>
              </w:rPr>
            </w:pPr>
            <w:r w:rsidRPr="003A5D8B">
              <w:rPr>
                <w:lang w:val="en-CA"/>
              </w:rPr>
              <w:t>Approval of minutes</w:t>
            </w:r>
          </w:p>
        </w:tc>
        <w:tc>
          <w:tcPr>
            <w:tcW w:w="2333" w:type="dxa"/>
          </w:tcPr>
          <w:p w:rsidR="00A91554" w:rsidRPr="003A5D8B" w:rsidRDefault="00A452FE" w:rsidP="007D4E4E">
            <w:pPr>
              <w:jc w:val="center"/>
              <w:rPr>
                <w:lang w:val="en-CA"/>
              </w:rPr>
            </w:pPr>
            <w:hyperlink r:id="rId13" w:history="1">
              <w:r w:rsidR="00A91554" w:rsidRPr="00A452FE">
                <w:rPr>
                  <w:rStyle w:val="Hyperlink"/>
                  <w:lang w:val="en-CA"/>
                </w:rPr>
                <w:t>102</w:t>
              </w:r>
            </w:hyperlink>
            <w:r w:rsidR="00A91554" w:rsidRPr="003A5D8B">
              <w:rPr>
                <w:lang w:val="en-CA"/>
              </w:rPr>
              <w:t xml:space="preserve">, </w:t>
            </w:r>
            <w:hyperlink r:id="rId14" w:history="1">
              <w:r w:rsidR="00A91554" w:rsidRPr="00A452FE">
                <w:rPr>
                  <w:rStyle w:val="Hyperlink"/>
                  <w:lang w:val="en-CA"/>
                </w:rPr>
                <w:t>103</w:t>
              </w:r>
            </w:hyperlink>
            <w:r w:rsidR="00A91554" w:rsidRPr="003A5D8B">
              <w:rPr>
                <w:lang w:val="en-CA"/>
              </w:rPr>
              <w:t xml:space="preserve">, </w:t>
            </w:r>
            <w:hyperlink r:id="rId15" w:history="1">
              <w:r w:rsidR="00A91554" w:rsidRPr="00A452FE">
                <w:rPr>
                  <w:rStyle w:val="Hyperlink"/>
                  <w:lang w:val="en-CA"/>
                </w:rPr>
                <w:t>114</w:t>
              </w:r>
            </w:hyperlink>
          </w:p>
        </w:tc>
      </w:tr>
    </w:tbl>
    <w:p w:rsidR="00A91554" w:rsidRPr="003A5D8B" w:rsidRDefault="00A91554" w:rsidP="00A91554">
      <w:pPr>
        <w:rPr>
          <w:lang w:val="en-CA"/>
        </w:rPr>
      </w:pPr>
    </w:p>
    <w:p w:rsidR="00A91554" w:rsidRPr="003A5D8B" w:rsidRDefault="00A91554" w:rsidP="00A91554">
      <w:pPr>
        <w:tabs>
          <w:tab w:val="clear" w:pos="567"/>
          <w:tab w:val="clear" w:pos="1134"/>
          <w:tab w:val="clear" w:pos="1701"/>
          <w:tab w:val="clear" w:pos="2268"/>
          <w:tab w:val="clear" w:pos="2835"/>
          <w:tab w:val="left" w:pos="720"/>
          <w:tab w:val="left" w:pos="1440"/>
        </w:tabs>
        <w:rPr>
          <w:lang w:val="en-CA"/>
        </w:rPr>
      </w:pPr>
    </w:p>
    <w:p w:rsidR="00A91554" w:rsidRPr="003A5D8B" w:rsidRDefault="00A91554" w:rsidP="00A91554">
      <w:pPr>
        <w:tabs>
          <w:tab w:val="clear" w:pos="567"/>
          <w:tab w:val="clear" w:pos="1134"/>
          <w:tab w:val="clear" w:pos="1701"/>
          <w:tab w:val="clear" w:pos="2268"/>
          <w:tab w:val="clear" w:pos="2835"/>
        </w:tabs>
        <w:overflowPunct/>
        <w:autoSpaceDE/>
        <w:autoSpaceDN/>
        <w:adjustRightInd/>
        <w:spacing w:before="0"/>
        <w:textAlignment w:val="auto"/>
        <w:rPr>
          <w:lang w:val="en-CA"/>
        </w:rPr>
      </w:pPr>
      <w:r w:rsidRPr="003A5D8B">
        <w:rPr>
          <w:lang w:val="en-CA"/>
        </w:rPr>
        <w:br w:type="page"/>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before="360" w:after="120"/>
        <w:textAlignment w:val="auto"/>
        <w:rPr>
          <w:rFonts w:asciiTheme="minorHAnsi" w:hAnsiTheme="minorHAnsi"/>
          <w:b/>
          <w:sz w:val="26"/>
          <w:szCs w:val="26"/>
          <w:lang w:val="en-CA"/>
        </w:rPr>
      </w:pPr>
      <w:r>
        <w:rPr>
          <w:rFonts w:asciiTheme="minorHAnsi" w:hAnsiTheme="minorHAnsi"/>
          <w:b/>
          <w:sz w:val="26"/>
          <w:szCs w:val="26"/>
          <w:lang w:val="en-CA"/>
        </w:rPr>
        <w:lastRenderedPageBreak/>
        <w:t>1</w:t>
      </w:r>
      <w:r>
        <w:rPr>
          <w:rFonts w:asciiTheme="minorHAnsi" w:hAnsiTheme="minorHAnsi"/>
          <w:b/>
          <w:sz w:val="26"/>
          <w:szCs w:val="26"/>
          <w:lang w:val="en-CA"/>
        </w:rPr>
        <w:tab/>
      </w:r>
      <w:r w:rsidRPr="003A5D8B">
        <w:rPr>
          <w:rFonts w:asciiTheme="minorHAnsi" w:hAnsiTheme="minorHAnsi"/>
          <w:b/>
          <w:sz w:val="26"/>
          <w:szCs w:val="26"/>
          <w:lang w:val="en-CA"/>
        </w:rPr>
        <w:t xml:space="preserve">Report of Committee 3 (Budget Control) (Document </w:t>
      </w:r>
      <w:hyperlink r:id="rId16" w:history="1">
        <w:r w:rsidRPr="00A452FE">
          <w:rPr>
            <w:rStyle w:val="Hyperlink"/>
            <w:rFonts w:asciiTheme="minorHAnsi" w:hAnsiTheme="minorHAnsi"/>
            <w:b/>
            <w:sz w:val="26"/>
            <w:szCs w:val="26"/>
            <w:lang w:val="en-CA"/>
          </w:rPr>
          <w:t>129</w:t>
        </w:r>
      </w:hyperlink>
      <w:r w:rsidRPr="003A5D8B">
        <w:rPr>
          <w:rFonts w:asciiTheme="minorHAnsi" w:hAnsiTheme="minorHAnsi"/>
          <w:b/>
          <w:sz w:val="26"/>
          <w:szCs w:val="26"/>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1.1</w:t>
      </w:r>
      <w:r>
        <w:rPr>
          <w:rFonts w:asciiTheme="minorHAnsi" w:hAnsiTheme="minorHAnsi"/>
          <w:szCs w:val="24"/>
          <w:lang w:val="en-CA"/>
        </w:rPr>
        <w:tab/>
      </w:r>
      <w:r w:rsidRPr="003A5D8B">
        <w:rPr>
          <w:rFonts w:asciiTheme="minorHAnsi" w:hAnsiTheme="minorHAnsi"/>
          <w:szCs w:val="24"/>
          <w:lang w:val="en-CA"/>
        </w:rPr>
        <w:t xml:space="preserve">The </w:t>
      </w:r>
      <w:r w:rsidRPr="003A5D8B">
        <w:rPr>
          <w:rFonts w:asciiTheme="minorHAnsi" w:hAnsiTheme="minorHAnsi"/>
          <w:b/>
          <w:bCs/>
          <w:szCs w:val="24"/>
          <w:lang w:val="en-CA"/>
        </w:rPr>
        <w:t>Chairman of Committee 3 (Budget Control)</w:t>
      </w:r>
      <w:r w:rsidRPr="003A5D8B">
        <w:rPr>
          <w:rFonts w:asciiTheme="minorHAnsi" w:hAnsiTheme="minorHAnsi"/>
          <w:szCs w:val="24"/>
          <w:lang w:val="en-CA"/>
        </w:rPr>
        <w:t xml:space="preserve">, introducing the Committee’s report in Document 129, said that it would subsequently be submitted to Council-19. </w:t>
      </w:r>
      <w:r>
        <w:rPr>
          <w:rFonts w:asciiTheme="minorHAnsi" w:hAnsiTheme="minorHAnsi"/>
          <w:szCs w:val="24"/>
          <w:lang w:val="en-CA"/>
        </w:rPr>
        <w:t xml:space="preserve">She noted </w:t>
      </w:r>
      <w:r w:rsidRPr="002A01E4">
        <w:rPr>
          <w:rFonts w:asciiTheme="minorHAnsi" w:hAnsiTheme="minorHAnsi"/>
          <w:i/>
          <w:szCs w:val="24"/>
          <w:lang w:val="en-CA"/>
        </w:rPr>
        <w:t>inter alia</w:t>
      </w:r>
      <w:r>
        <w:rPr>
          <w:rFonts w:asciiTheme="minorHAnsi" w:hAnsiTheme="minorHAnsi"/>
          <w:szCs w:val="24"/>
          <w:lang w:val="en-CA"/>
        </w:rPr>
        <w:t xml:space="preserve"> that, h</w:t>
      </w:r>
      <w:r w:rsidRPr="003A5D8B">
        <w:rPr>
          <w:rFonts w:asciiTheme="minorHAnsi" w:hAnsiTheme="minorHAnsi"/>
          <w:szCs w:val="24"/>
          <w:lang w:val="en-CA"/>
        </w:rPr>
        <w:t>aving carried out the various tasks constituting its terms of reference, the Budget Control Committee projected, as at 6 November 2018, a budget imple</w:t>
      </w:r>
      <w:r>
        <w:rPr>
          <w:rFonts w:asciiTheme="minorHAnsi" w:hAnsiTheme="minorHAnsi"/>
          <w:szCs w:val="24"/>
          <w:lang w:val="en-CA"/>
        </w:rPr>
        <w:t xml:space="preserve">mentation rate of 90.3 per cent, the total conference budget being </w:t>
      </w:r>
      <w:r w:rsidRPr="003A5D8B">
        <w:rPr>
          <w:rFonts w:asciiTheme="minorHAnsi" w:hAnsiTheme="minorHAnsi"/>
          <w:szCs w:val="24"/>
          <w:lang w:val="en-CA"/>
        </w:rPr>
        <w:t>CHF 2 953 000, which equated to total budget savings of CHF 286 000, including CHF 190 000 on expenses and CHF 96 000 on documentation. The Committee wished to express its gratitude the Government of the United Arab Emirates for its warm welcome and the high quality of its services and infrastructure, which had ensured the efficient and effective running of the conference.</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1.2</w:t>
      </w:r>
      <w:r>
        <w:rPr>
          <w:rFonts w:asciiTheme="minorHAnsi" w:hAnsiTheme="minorHAnsi"/>
          <w:szCs w:val="24"/>
          <w:lang w:val="en-CA"/>
        </w:rPr>
        <w:tab/>
      </w:r>
      <w:r w:rsidRPr="003A5D8B">
        <w:rPr>
          <w:rFonts w:asciiTheme="minorHAnsi" w:hAnsiTheme="minorHAnsi"/>
          <w:szCs w:val="24"/>
          <w:lang w:val="en-CA"/>
        </w:rPr>
        <w:t>The report of Committee 3 (Budget Control) (Document 1</w:t>
      </w:r>
      <w:r>
        <w:rPr>
          <w:rFonts w:asciiTheme="minorHAnsi" w:hAnsiTheme="minorHAnsi"/>
          <w:szCs w:val="24"/>
          <w:lang w:val="en-CA"/>
        </w:rPr>
        <w:t>29</w:t>
      </w:r>
      <w:r w:rsidRPr="003A5D8B">
        <w:rPr>
          <w:rFonts w:asciiTheme="minorHAnsi" w:hAnsiTheme="minorHAnsi"/>
          <w:szCs w:val="24"/>
          <w:lang w:val="en-CA"/>
        </w:rPr>
        <w:t xml:space="preserve">) was </w:t>
      </w:r>
      <w:r w:rsidRPr="003A5D8B">
        <w:rPr>
          <w:rFonts w:asciiTheme="minorHAnsi" w:hAnsiTheme="minorHAnsi"/>
          <w:b/>
          <w:bCs/>
          <w:szCs w:val="24"/>
          <w:lang w:val="en-CA"/>
        </w:rPr>
        <w:t>approved</w:t>
      </w:r>
      <w:r w:rsidRPr="003A5D8B">
        <w:rPr>
          <w:rFonts w:asciiTheme="minorHAnsi" w:hAnsiTheme="minorHAnsi"/>
          <w:szCs w:val="24"/>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before="360" w:after="120"/>
        <w:ind w:left="720" w:hanging="720"/>
        <w:textAlignment w:val="auto"/>
        <w:rPr>
          <w:rFonts w:asciiTheme="minorHAnsi" w:hAnsiTheme="minorHAnsi"/>
          <w:b/>
          <w:sz w:val="26"/>
          <w:szCs w:val="26"/>
          <w:lang w:val="en-CA"/>
        </w:rPr>
      </w:pPr>
      <w:r>
        <w:rPr>
          <w:rFonts w:asciiTheme="minorHAnsi" w:hAnsiTheme="minorHAnsi"/>
          <w:b/>
          <w:sz w:val="26"/>
          <w:szCs w:val="26"/>
          <w:lang w:val="en-CA"/>
        </w:rPr>
        <w:t>2</w:t>
      </w:r>
      <w:r>
        <w:rPr>
          <w:rFonts w:asciiTheme="minorHAnsi" w:hAnsiTheme="minorHAnsi"/>
          <w:b/>
          <w:sz w:val="26"/>
          <w:szCs w:val="26"/>
          <w:lang w:val="en-CA"/>
        </w:rPr>
        <w:tab/>
      </w:r>
      <w:r w:rsidRPr="003A5D8B">
        <w:rPr>
          <w:rFonts w:asciiTheme="minorHAnsi" w:hAnsiTheme="minorHAnsi"/>
          <w:b/>
          <w:sz w:val="26"/>
          <w:szCs w:val="26"/>
          <w:lang w:val="en-CA"/>
        </w:rPr>
        <w:t xml:space="preserve">Sixth series of texts </w:t>
      </w:r>
      <w:r>
        <w:rPr>
          <w:rFonts w:asciiTheme="minorHAnsi" w:hAnsiTheme="minorHAnsi"/>
          <w:b/>
          <w:sz w:val="26"/>
          <w:szCs w:val="26"/>
          <w:lang w:val="en-CA"/>
        </w:rPr>
        <w:t>submitted by</w:t>
      </w:r>
      <w:r w:rsidRPr="003A5D8B">
        <w:rPr>
          <w:rFonts w:asciiTheme="minorHAnsi" w:hAnsiTheme="minorHAnsi"/>
          <w:b/>
          <w:sz w:val="26"/>
          <w:szCs w:val="26"/>
          <w:lang w:val="en-CA"/>
        </w:rPr>
        <w:t xml:space="preserve"> the Editorial Committee for first reading (B6) (Document </w:t>
      </w:r>
      <w:hyperlink r:id="rId17" w:history="1">
        <w:r w:rsidRPr="00A452FE">
          <w:rPr>
            <w:rStyle w:val="Hyperlink"/>
            <w:rFonts w:asciiTheme="minorHAnsi" w:hAnsiTheme="minorHAnsi"/>
            <w:b/>
            <w:sz w:val="26"/>
            <w:szCs w:val="26"/>
            <w:lang w:val="en-CA"/>
          </w:rPr>
          <w:t>127</w:t>
        </w:r>
      </w:hyperlink>
      <w:r w:rsidRPr="003A5D8B">
        <w:rPr>
          <w:rFonts w:asciiTheme="minorHAnsi" w:hAnsiTheme="minorHAnsi"/>
          <w:b/>
          <w:sz w:val="26"/>
          <w:szCs w:val="26"/>
          <w:lang w:val="en-CA"/>
        </w:rPr>
        <w:t>)</w:t>
      </w:r>
    </w:p>
    <w:p w:rsidR="00A91554"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2.1</w:t>
      </w:r>
      <w:r>
        <w:rPr>
          <w:lang w:val="en-CA"/>
        </w:rPr>
        <w:tab/>
      </w:r>
      <w:r w:rsidRPr="003A5D8B">
        <w:rPr>
          <w:lang w:val="en-CA"/>
        </w:rPr>
        <w:t xml:space="preserve">The </w:t>
      </w:r>
      <w:r w:rsidRPr="003A5D8B">
        <w:rPr>
          <w:b/>
          <w:lang w:val="en-CA"/>
        </w:rPr>
        <w:t xml:space="preserve">Chairman of the Editorial Committee </w:t>
      </w:r>
      <w:r w:rsidRPr="003A5D8B">
        <w:rPr>
          <w:lang w:val="en-CA"/>
        </w:rPr>
        <w:t xml:space="preserve">drew attention to the fact that </w:t>
      </w:r>
      <w:r>
        <w:rPr>
          <w:lang w:val="en-CA"/>
        </w:rPr>
        <w:t>d</w:t>
      </w:r>
      <w:r w:rsidRPr="003A5D8B">
        <w:rPr>
          <w:lang w:val="en-CA"/>
        </w:rPr>
        <w:t>raft Resolution 175 (Rev. Dubai, 2018) contained text in square brackets</w:t>
      </w:r>
      <w:r>
        <w:rPr>
          <w:lang w:val="en-CA"/>
        </w:rPr>
        <w:t>,</w:t>
      </w:r>
      <w:r w:rsidRPr="003A5D8B">
        <w:rPr>
          <w:lang w:val="en-CA"/>
        </w:rPr>
        <w:t xml:space="preserve"> under </w:t>
      </w:r>
      <w:r w:rsidRPr="003A5D8B">
        <w:rPr>
          <w:i/>
          <w:iCs/>
          <w:lang w:val="en-CA"/>
        </w:rPr>
        <w:t>recognizing c</w:t>
      </w:r>
      <w:proofErr w:type="gramStart"/>
      <w:r w:rsidRPr="003A5D8B">
        <w:rPr>
          <w:i/>
          <w:iCs/>
          <w:lang w:val="en-CA"/>
        </w:rPr>
        <w:t>)</w:t>
      </w:r>
      <w:r>
        <w:rPr>
          <w:lang w:val="en-CA"/>
        </w:rPr>
        <w:t>,</w:t>
      </w:r>
      <w:r w:rsidRPr="003A5D8B">
        <w:rPr>
          <w:lang w:val="en-CA"/>
        </w:rPr>
        <w:t xml:space="preserve"> </w:t>
      </w:r>
      <w:r>
        <w:rPr>
          <w:lang w:val="en-CA"/>
        </w:rPr>
        <w:t>that</w:t>
      </w:r>
      <w:proofErr w:type="gramEnd"/>
      <w:r>
        <w:rPr>
          <w:lang w:val="en-CA"/>
        </w:rPr>
        <w:t xml:space="preserve"> referred to</w:t>
      </w:r>
      <w:r w:rsidRPr="0026485C">
        <w:rPr>
          <w:lang w:val="en-CA"/>
        </w:rPr>
        <w:t xml:space="preserve"> the strategic plan for the Union for 2020-2023, the adoption of which remained pending. </w:t>
      </w:r>
      <w:r>
        <w:rPr>
          <w:lang w:val="en-CA"/>
        </w:rPr>
        <w:t xml:space="preserve">She </w:t>
      </w:r>
      <w:r w:rsidRPr="003A5D8B">
        <w:rPr>
          <w:lang w:val="en-CA"/>
        </w:rPr>
        <w:t xml:space="preserve">proposed that the text </w:t>
      </w:r>
      <w:r>
        <w:rPr>
          <w:lang w:val="en-CA"/>
        </w:rPr>
        <w:t xml:space="preserve">could </w:t>
      </w:r>
      <w:r w:rsidRPr="003A5D8B">
        <w:rPr>
          <w:lang w:val="en-CA"/>
        </w:rPr>
        <w:t xml:space="preserve">nevertheless be </w:t>
      </w:r>
      <w:r>
        <w:rPr>
          <w:lang w:val="en-CA"/>
        </w:rPr>
        <w:t>approved</w:t>
      </w:r>
      <w:r w:rsidRPr="003A5D8B">
        <w:rPr>
          <w:lang w:val="en-CA"/>
        </w:rPr>
        <w:t xml:space="preserve"> on first reading and that the Plenary </w:t>
      </w:r>
      <w:r>
        <w:rPr>
          <w:lang w:val="en-CA"/>
        </w:rPr>
        <w:t xml:space="preserve">could </w:t>
      </w:r>
      <w:r w:rsidRPr="003A5D8B">
        <w:rPr>
          <w:lang w:val="en-CA"/>
        </w:rPr>
        <w:t xml:space="preserve">instruct the Editorial Committee to make any changes necessary once the strategic plan had been adopted. The text would </w:t>
      </w:r>
      <w:r>
        <w:rPr>
          <w:lang w:val="en-CA"/>
        </w:rPr>
        <w:t xml:space="preserve">subsequently </w:t>
      </w:r>
      <w:r w:rsidRPr="003A5D8B">
        <w:rPr>
          <w:lang w:val="en-CA"/>
        </w:rPr>
        <w:t xml:space="preserve">be submitted </w:t>
      </w:r>
      <w:r>
        <w:rPr>
          <w:lang w:val="en-CA"/>
        </w:rPr>
        <w:t xml:space="preserve">to the Plenary </w:t>
      </w:r>
      <w:r w:rsidRPr="003A5D8B">
        <w:rPr>
          <w:lang w:val="en-CA"/>
        </w:rPr>
        <w:t>for second reading.</w:t>
      </w:r>
    </w:p>
    <w:p w:rsidR="00A91554" w:rsidRPr="005C17FA"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lang w:val="en-CA"/>
        </w:rPr>
        <w:t>2.2</w:t>
      </w:r>
      <w:r>
        <w:rPr>
          <w:lang w:val="en-CA"/>
        </w:rPr>
        <w:tab/>
        <w:t xml:space="preserve">It was so </w:t>
      </w:r>
      <w:r>
        <w:rPr>
          <w:b/>
          <w:lang w:val="en-CA"/>
        </w:rPr>
        <w:t>agreed</w:t>
      </w:r>
      <w:r>
        <w:rPr>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rPr>
      </w:pPr>
      <w:r w:rsidRPr="003A5D8B">
        <w:rPr>
          <w:rFonts w:asciiTheme="minorHAnsi" w:hAnsiTheme="minorHAnsi"/>
          <w:b/>
          <w:bCs/>
          <w:szCs w:val="24"/>
          <w:lang w:val="en-CA"/>
        </w:rPr>
        <w:t>Draft Resolution 175 (Rev. Dubai, 2018) - Telecommunication/information and communication technology accessibility for persons with disabilities and persons with specific needs</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rPr>
      </w:pPr>
      <w:r w:rsidRPr="003A5D8B">
        <w:rPr>
          <w:rFonts w:asciiTheme="minorHAnsi" w:hAnsiTheme="minorHAnsi"/>
          <w:b/>
          <w:bCs/>
          <w:szCs w:val="24"/>
          <w:lang w:val="en-CA"/>
        </w:rPr>
        <w:t>Draft Resolution 186 (Rev. Dubai, 2018) - Strengthening the role of ITU with regard to transparency and confidence-building measures in outer space activities</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rPr>
      </w:pPr>
      <w:r w:rsidRPr="003A5D8B">
        <w:rPr>
          <w:rFonts w:asciiTheme="minorHAnsi" w:hAnsiTheme="minorHAnsi"/>
          <w:b/>
          <w:bCs/>
          <w:szCs w:val="24"/>
          <w:lang w:val="en-CA"/>
        </w:rPr>
        <w:t>Draft Resolution COM5/4 (Dubai, 2018) - ITU's role as supervisory authority of the international registration system for space assets under the space protocol</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2.3</w:t>
      </w:r>
      <w:r>
        <w:rPr>
          <w:rFonts w:asciiTheme="minorHAnsi" w:hAnsiTheme="minorHAnsi"/>
          <w:szCs w:val="24"/>
          <w:lang w:val="en-CA"/>
        </w:rPr>
        <w:tab/>
      </w:r>
      <w:r w:rsidRPr="003A5D8B">
        <w:rPr>
          <w:rFonts w:asciiTheme="minorHAnsi" w:hAnsiTheme="minorHAnsi"/>
          <w:b/>
          <w:bCs/>
          <w:szCs w:val="24"/>
          <w:lang w:val="en-CA"/>
        </w:rPr>
        <w:t>Adopted</w:t>
      </w:r>
      <w:r w:rsidRPr="003A5D8B">
        <w:rPr>
          <w:rFonts w:asciiTheme="minorHAnsi" w:hAnsiTheme="minorHAnsi"/>
          <w:szCs w:val="24"/>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2.4</w:t>
      </w:r>
      <w:r>
        <w:rPr>
          <w:rFonts w:asciiTheme="minorHAnsi" w:hAnsiTheme="minorHAnsi"/>
          <w:szCs w:val="24"/>
          <w:lang w:val="en-CA"/>
        </w:rPr>
        <w:tab/>
      </w:r>
      <w:r w:rsidRPr="003A5D8B">
        <w:rPr>
          <w:rFonts w:asciiTheme="minorHAnsi" w:hAnsiTheme="minorHAnsi"/>
          <w:szCs w:val="24"/>
          <w:lang w:val="en-CA"/>
        </w:rPr>
        <w:t xml:space="preserve">The sixth series of texts submitted by the Editorial Committee for first reading (B6) (Document 127) was </w:t>
      </w:r>
      <w:r w:rsidRPr="003A5D8B">
        <w:rPr>
          <w:rFonts w:asciiTheme="minorHAnsi" w:hAnsiTheme="minorHAnsi"/>
          <w:b/>
          <w:szCs w:val="24"/>
          <w:lang w:val="en-CA"/>
        </w:rPr>
        <w:t>approved</w:t>
      </w:r>
      <w:r w:rsidRPr="003A5D8B">
        <w:rPr>
          <w:rFonts w:asciiTheme="minorHAnsi" w:hAnsiTheme="minorHAnsi"/>
          <w:szCs w:val="24"/>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before="360" w:after="120"/>
        <w:ind w:left="720" w:hanging="720"/>
        <w:textAlignment w:val="auto"/>
        <w:rPr>
          <w:rFonts w:asciiTheme="minorHAnsi" w:hAnsiTheme="minorHAnsi"/>
          <w:b/>
          <w:sz w:val="26"/>
          <w:szCs w:val="26"/>
          <w:lang w:val="en-CA"/>
        </w:rPr>
      </w:pPr>
      <w:r>
        <w:rPr>
          <w:rFonts w:asciiTheme="minorHAnsi" w:hAnsiTheme="minorHAnsi"/>
          <w:b/>
          <w:sz w:val="26"/>
          <w:szCs w:val="26"/>
          <w:lang w:val="en-CA"/>
        </w:rPr>
        <w:t>3</w:t>
      </w:r>
      <w:r>
        <w:rPr>
          <w:rFonts w:asciiTheme="minorHAnsi" w:hAnsiTheme="minorHAnsi"/>
          <w:b/>
          <w:sz w:val="26"/>
          <w:szCs w:val="26"/>
          <w:lang w:val="en-CA"/>
        </w:rPr>
        <w:tab/>
        <w:t>Seventh series of texts submitted by</w:t>
      </w:r>
      <w:r w:rsidRPr="003A5D8B">
        <w:rPr>
          <w:rFonts w:asciiTheme="minorHAnsi" w:hAnsiTheme="minorHAnsi"/>
          <w:b/>
          <w:sz w:val="26"/>
          <w:szCs w:val="26"/>
          <w:lang w:val="en-CA"/>
        </w:rPr>
        <w:t xml:space="preserve"> the Editorial Committee for first reading (B7) (Document </w:t>
      </w:r>
      <w:hyperlink r:id="rId18" w:history="1">
        <w:r w:rsidRPr="00A452FE">
          <w:rPr>
            <w:rStyle w:val="Hyperlink"/>
            <w:rFonts w:asciiTheme="minorHAnsi" w:hAnsiTheme="minorHAnsi"/>
            <w:b/>
            <w:sz w:val="26"/>
            <w:szCs w:val="26"/>
            <w:lang w:val="en-CA"/>
          </w:rPr>
          <w:t>128</w:t>
        </w:r>
      </w:hyperlink>
      <w:r w:rsidRPr="003A5D8B">
        <w:rPr>
          <w:rFonts w:asciiTheme="minorHAnsi" w:hAnsiTheme="minorHAnsi"/>
          <w:b/>
          <w:sz w:val="26"/>
          <w:szCs w:val="26"/>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rPr>
      </w:pPr>
      <w:r w:rsidRPr="003A5D8B">
        <w:rPr>
          <w:rFonts w:asciiTheme="minorHAnsi" w:hAnsiTheme="minorHAnsi"/>
          <w:b/>
          <w:bCs/>
          <w:szCs w:val="24"/>
          <w:lang w:val="en-CA"/>
        </w:rPr>
        <w:t>Draft Resolution 140 (Rev. Dubai, 2018) - ITU's role in implementing the outcomes of the World Summit on the Information Society and the 2030 Agenda for Sustainable Development, as well as in their follow-up and review processes</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3.1</w:t>
      </w:r>
      <w:r>
        <w:rPr>
          <w:rFonts w:asciiTheme="minorHAnsi" w:hAnsiTheme="minorHAnsi"/>
          <w:szCs w:val="24"/>
          <w:lang w:val="en-CA"/>
        </w:rPr>
        <w:tab/>
      </w:r>
      <w:r w:rsidRPr="003A5D8B">
        <w:rPr>
          <w:rFonts w:asciiTheme="minorHAnsi" w:hAnsiTheme="minorHAnsi"/>
          <w:b/>
          <w:bCs/>
          <w:szCs w:val="24"/>
          <w:lang w:val="en-CA"/>
        </w:rPr>
        <w:t>Adopted</w:t>
      </w:r>
      <w:r w:rsidRPr="003A5D8B">
        <w:rPr>
          <w:rFonts w:asciiTheme="minorHAnsi" w:hAnsiTheme="minorHAnsi"/>
          <w:szCs w:val="24"/>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rPr>
      </w:pPr>
      <w:r w:rsidRPr="003A5D8B">
        <w:rPr>
          <w:rFonts w:asciiTheme="minorHAnsi" w:hAnsiTheme="minorHAnsi"/>
          <w:b/>
          <w:bCs/>
          <w:szCs w:val="24"/>
          <w:lang w:val="en-CA"/>
        </w:rPr>
        <w:t>Draft Resolution WGPL/1 (Dubai, 2018) - Use of information and communication technologies to bridge the financial inclusion gap</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lang w:val="en-CA"/>
        </w:rPr>
        <w:t>3.2</w:t>
      </w:r>
      <w:r>
        <w:rPr>
          <w:lang w:val="en-CA"/>
        </w:rPr>
        <w:tab/>
        <w:t>T</w:t>
      </w:r>
      <w:r w:rsidRPr="003A5D8B">
        <w:rPr>
          <w:rFonts w:asciiTheme="minorHAnsi" w:hAnsiTheme="minorHAnsi"/>
          <w:szCs w:val="24"/>
          <w:lang w:val="en-CA"/>
        </w:rPr>
        <w:t xml:space="preserve">he </w:t>
      </w:r>
      <w:r>
        <w:rPr>
          <w:rFonts w:asciiTheme="minorHAnsi" w:hAnsiTheme="minorHAnsi"/>
          <w:b/>
          <w:bCs/>
          <w:szCs w:val="24"/>
          <w:lang w:val="en-CA"/>
        </w:rPr>
        <w:t>d</w:t>
      </w:r>
      <w:r w:rsidRPr="003A5D8B">
        <w:rPr>
          <w:rFonts w:asciiTheme="minorHAnsi" w:hAnsiTheme="minorHAnsi"/>
          <w:b/>
          <w:bCs/>
          <w:szCs w:val="24"/>
          <w:lang w:val="en-CA"/>
        </w:rPr>
        <w:t>elegate of the Russian Federation</w:t>
      </w:r>
      <w:r w:rsidRPr="003A5D8B">
        <w:rPr>
          <w:rFonts w:asciiTheme="minorHAnsi" w:hAnsiTheme="minorHAnsi"/>
          <w:szCs w:val="24"/>
          <w:lang w:val="en-CA"/>
        </w:rPr>
        <w:t xml:space="preserve"> </w:t>
      </w:r>
      <w:r>
        <w:rPr>
          <w:rFonts w:asciiTheme="minorHAnsi" w:hAnsiTheme="minorHAnsi"/>
          <w:szCs w:val="24"/>
          <w:lang w:val="en-CA"/>
        </w:rPr>
        <w:t xml:space="preserve">requested an amendment to </w:t>
      </w:r>
      <w:r w:rsidRPr="003A5D8B">
        <w:rPr>
          <w:rFonts w:asciiTheme="minorHAnsi" w:hAnsiTheme="minorHAnsi"/>
          <w:szCs w:val="24"/>
          <w:lang w:val="en-CA"/>
        </w:rPr>
        <w:t xml:space="preserve">the Russian language version </w:t>
      </w:r>
      <w:r>
        <w:rPr>
          <w:rFonts w:asciiTheme="minorHAnsi" w:hAnsiTheme="minorHAnsi"/>
          <w:szCs w:val="24"/>
          <w:lang w:val="en-CA"/>
        </w:rPr>
        <w:t xml:space="preserve">only of “other groups” in </w:t>
      </w:r>
      <w:r>
        <w:rPr>
          <w:rFonts w:asciiTheme="minorHAnsi" w:hAnsiTheme="minorHAnsi"/>
          <w:i/>
          <w:szCs w:val="24"/>
          <w:lang w:val="en-CA"/>
        </w:rPr>
        <w:t xml:space="preserve">instructs the relevant study groups of the ITU Telecommunication </w:t>
      </w:r>
      <w:r>
        <w:rPr>
          <w:rFonts w:asciiTheme="minorHAnsi" w:hAnsiTheme="minorHAnsi"/>
          <w:i/>
          <w:szCs w:val="24"/>
          <w:lang w:val="en-CA"/>
        </w:rPr>
        <w:lastRenderedPageBreak/>
        <w:t xml:space="preserve">Standardization Sector </w:t>
      </w:r>
      <w:r>
        <w:rPr>
          <w:rFonts w:asciiTheme="minorHAnsi" w:hAnsiTheme="minorHAnsi"/>
          <w:szCs w:val="24"/>
          <w:lang w:val="en-CA"/>
        </w:rPr>
        <w:t>4, t</w:t>
      </w:r>
      <w:r w:rsidRPr="003A5D8B">
        <w:rPr>
          <w:rFonts w:asciiTheme="minorHAnsi" w:hAnsiTheme="minorHAnsi"/>
          <w:szCs w:val="24"/>
          <w:lang w:val="en-CA"/>
        </w:rPr>
        <w:t>o ensure</w:t>
      </w:r>
      <w:r>
        <w:rPr>
          <w:rFonts w:asciiTheme="minorHAnsi" w:hAnsiTheme="minorHAnsi"/>
          <w:szCs w:val="24"/>
          <w:lang w:val="en-CA"/>
        </w:rPr>
        <w:t xml:space="preserve"> that</w:t>
      </w:r>
      <w:r w:rsidRPr="003A5D8B">
        <w:rPr>
          <w:rFonts w:asciiTheme="minorHAnsi" w:hAnsiTheme="minorHAnsi"/>
          <w:szCs w:val="24"/>
          <w:lang w:val="en-CA"/>
        </w:rPr>
        <w:t xml:space="preserve"> th</w:t>
      </w:r>
      <w:r>
        <w:rPr>
          <w:rFonts w:asciiTheme="minorHAnsi" w:hAnsiTheme="minorHAnsi"/>
          <w:szCs w:val="24"/>
          <w:lang w:val="en-CA"/>
        </w:rPr>
        <w:t xml:space="preserve">e text included </w:t>
      </w:r>
      <w:r w:rsidRPr="003A5D8B">
        <w:rPr>
          <w:rFonts w:asciiTheme="minorHAnsi" w:hAnsiTheme="minorHAnsi"/>
          <w:szCs w:val="24"/>
          <w:lang w:val="en-CA"/>
        </w:rPr>
        <w:t xml:space="preserve">other </w:t>
      </w:r>
      <w:r>
        <w:rPr>
          <w:rFonts w:asciiTheme="minorHAnsi" w:hAnsiTheme="minorHAnsi"/>
          <w:szCs w:val="24"/>
          <w:lang w:val="en-CA"/>
        </w:rPr>
        <w:t xml:space="preserve">study groups as in other </w:t>
      </w:r>
      <w:r w:rsidRPr="003A5D8B">
        <w:rPr>
          <w:rFonts w:asciiTheme="minorHAnsi" w:hAnsiTheme="minorHAnsi"/>
          <w:szCs w:val="24"/>
          <w:lang w:val="en-CA"/>
        </w:rPr>
        <w:t>language versions.</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3.3</w:t>
      </w:r>
      <w:r>
        <w:rPr>
          <w:rFonts w:asciiTheme="minorHAnsi" w:hAnsiTheme="minorHAnsi"/>
          <w:szCs w:val="24"/>
          <w:lang w:val="en-CA"/>
        </w:rPr>
        <w:tab/>
      </w:r>
      <w:r w:rsidRPr="003A5D8B">
        <w:rPr>
          <w:rFonts w:asciiTheme="minorHAnsi" w:hAnsiTheme="minorHAnsi"/>
          <w:szCs w:val="24"/>
          <w:lang w:val="en-CA"/>
        </w:rPr>
        <w:t xml:space="preserve">It was so </w:t>
      </w:r>
      <w:r w:rsidRPr="003A5D8B">
        <w:rPr>
          <w:rFonts w:asciiTheme="minorHAnsi" w:hAnsiTheme="minorHAnsi"/>
          <w:b/>
          <w:bCs/>
          <w:szCs w:val="24"/>
          <w:lang w:val="en-CA"/>
        </w:rPr>
        <w:t>agreed</w:t>
      </w:r>
      <w:r w:rsidRPr="003A5D8B">
        <w:rPr>
          <w:rFonts w:asciiTheme="minorHAnsi" w:hAnsiTheme="minorHAnsi"/>
          <w:szCs w:val="24"/>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3.4</w:t>
      </w:r>
      <w:r>
        <w:rPr>
          <w:rFonts w:asciiTheme="minorHAnsi" w:hAnsiTheme="minorHAnsi"/>
          <w:szCs w:val="24"/>
          <w:lang w:val="en-CA"/>
        </w:rPr>
        <w:tab/>
      </w:r>
      <w:r w:rsidRPr="003A5D8B">
        <w:rPr>
          <w:rFonts w:asciiTheme="minorHAnsi" w:hAnsiTheme="minorHAnsi"/>
          <w:szCs w:val="24"/>
          <w:lang w:val="en-CA"/>
        </w:rPr>
        <w:t>Draft Resolution WGPL/1 (Dubai, 2018), as amended</w:t>
      </w:r>
      <w:r>
        <w:rPr>
          <w:rFonts w:asciiTheme="minorHAnsi" w:hAnsiTheme="minorHAnsi"/>
          <w:szCs w:val="24"/>
          <w:lang w:val="en-CA"/>
        </w:rPr>
        <w:t xml:space="preserve"> in the Russian language version</w:t>
      </w:r>
      <w:r w:rsidRPr="003A5D8B">
        <w:rPr>
          <w:rFonts w:asciiTheme="minorHAnsi" w:hAnsiTheme="minorHAnsi"/>
          <w:szCs w:val="24"/>
          <w:lang w:val="en-CA"/>
        </w:rPr>
        <w:t xml:space="preserve">, was </w:t>
      </w:r>
      <w:r w:rsidRPr="003A5D8B">
        <w:rPr>
          <w:rFonts w:asciiTheme="minorHAnsi" w:hAnsiTheme="minorHAnsi"/>
          <w:b/>
          <w:bCs/>
          <w:szCs w:val="24"/>
          <w:lang w:val="en-CA"/>
        </w:rPr>
        <w:t>adopted</w:t>
      </w:r>
      <w:r w:rsidRPr="003A5D8B">
        <w:rPr>
          <w:rFonts w:asciiTheme="minorHAnsi" w:hAnsiTheme="minorHAnsi"/>
          <w:szCs w:val="24"/>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3.5</w:t>
      </w:r>
      <w:r>
        <w:rPr>
          <w:rFonts w:asciiTheme="minorHAnsi" w:hAnsiTheme="minorHAnsi"/>
          <w:szCs w:val="24"/>
          <w:lang w:val="en-CA"/>
        </w:rPr>
        <w:tab/>
      </w:r>
      <w:r w:rsidRPr="003A5D8B">
        <w:rPr>
          <w:rFonts w:asciiTheme="minorHAnsi" w:hAnsiTheme="minorHAnsi"/>
          <w:szCs w:val="24"/>
          <w:lang w:val="en-CA"/>
        </w:rPr>
        <w:t xml:space="preserve">The seventh series of texts submitted by the Editorial Committee for first reading (Document 128), as amended, was </w:t>
      </w:r>
      <w:r w:rsidRPr="003A5D8B">
        <w:rPr>
          <w:rFonts w:asciiTheme="minorHAnsi" w:hAnsiTheme="minorHAnsi"/>
          <w:b/>
          <w:szCs w:val="24"/>
          <w:lang w:val="en-CA"/>
        </w:rPr>
        <w:t>approved</w:t>
      </w:r>
      <w:r w:rsidRPr="003A5D8B">
        <w:rPr>
          <w:rFonts w:asciiTheme="minorHAnsi" w:hAnsiTheme="minorHAnsi"/>
          <w:szCs w:val="24"/>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before="360" w:after="120"/>
        <w:ind w:left="720" w:hanging="720"/>
        <w:textAlignment w:val="auto"/>
        <w:rPr>
          <w:rFonts w:asciiTheme="minorHAnsi" w:hAnsiTheme="minorHAnsi"/>
          <w:b/>
          <w:sz w:val="26"/>
          <w:szCs w:val="26"/>
          <w:lang w:val="en-CA"/>
        </w:rPr>
      </w:pPr>
      <w:r>
        <w:rPr>
          <w:rFonts w:asciiTheme="minorHAnsi" w:hAnsiTheme="minorHAnsi"/>
          <w:b/>
          <w:sz w:val="26"/>
          <w:szCs w:val="26"/>
          <w:lang w:val="en-CA"/>
        </w:rPr>
        <w:t>4</w:t>
      </w:r>
      <w:r>
        <w:rPr>
          <w:rFonts w:asciiTheme="minorHAnsi" w:hAnsiTheme="minorHAnsi"/>
          <w:b/>
          <w:sz w:val="26"/>
          <w:szCs w:val="26"/>
          <w:lang w:val="en-CA"/>
        </w:rPr>
        <w:tab/>
      </w:r>
      <w:r w:rsidRPr="003A5D8B">
        <w:rPr>
          <w:rFonts w:asciiTheme="minorHAnsi" w:hAnsiTheme="minorHAnsi"/>
          <w:b/>
          <w:sz w:val="26"/>
          <w:szCs w:val="26"/>
          <w:lang w:val="en-CA"/>
        </w:rPr>
        <w:t xml:space="preserve">Sixth series of texts </w:t>
      </w:r>
      <w:r>
        <w:rPr>
          <w:rFonts w:asciiTheme="minorHAnsi" w:hAnsiTheme="minorHAnsi"/>
          <w:b/>
          <w:sz w:val="26"/>
          <w:szCs w:val="26"/>
          <w:lang w:val="en-CA"/>
        </w:rPr>
        <w:t xml:space="preserve">submitted by </w:t>
      </w:r>
      <w:r w:rsidRPr="003A5D8B">
        <w:rPr>
          <w:rFonts w:asciiTheme="minorHAnsi" w:hAnsiTheme="minorHAnsi"/>
          <w:b/>
          <w:sz w:val="26"/>
          <w:szCs w:val="26"/>
          <w:lang w:val="en-CA"/>
        </w:rPr>
        <w:t>the Editorial Committee - second reading (Document </w:t>
      </w:r>
      <w:hyperlink r:id="rId19" w:history="1">
        <w:r w:rsidRPr="00A452FE">
          <w:rPr>
            <w:rStyle w:val="Hyperlink"/>
            <w:rFonts w:asciiTheme="minorHAnsi" w:hAnsiTheme="minorHAnsi"/>
            <w:b/>
            <w:sz w:val="26"/>
            <w:szCs w:val="26"/>
            <w:lang w:val="en-CA"/>
          </w:rPr>
          <w:t>127</w:t>
        </w:r>
      </w:hyperlink>
      <w:r w:rsidRPr="003A5D8B">
        <w:rPr>
          <w:rFonts w:asciiTheme="minorHAnsi" w:hAnsiTheme="minorHAnsi"/>
          <w:b/>
          <w:sz w:val="26"/>
          <w:szCs w:val="26"/>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4.1</w:t>
      </w:r>
      <w:r>
        <w:rPr>
          <w:rFonts w:asciiTheme="minorHAnsi" w:hAnsiTheme="minorHAnsi"/>
          <w:szCs w:val="24"/>
          <w:lang w:val="en-CA"/>
        </w:rPr>
        <w:tab/>
      </w:r>
      <w:r w:rsidRPr="003A5D8B">
        <w:rPr>
          <w:rFonts w:asciiTheme="minorHAnsi" w:hAnsiTheme="minorHAnsi"/>
          <w:szCs w:val="24"/>
          <w:lang w:val="en-CA"/>
        </w:rPr>
        <w:t xml:space="preserve">With the exception of draft Resolution 175 (Rev. Dubai 2018), the sixth series of texts submitted by the Editorial Committee (Document 127) was </w:t>
      </w:r>
      <w:r w:rsidRPr="003A5D8B">
        <w:rPr>
          <w:rFonts w:asciiTheme="minorHAnsi" w:hAnsiTheme="minorHAnsi"/>
          <w:b/>
          <w:szCs w:val="24"/>
          <w:lang w:val="en-CA"/>
        </w:rPr>
        <w:t>approved</w:t>
      </w:r>
      <w:r w:rsidRPr="003A5D8B">
        <w:rPr>
          <w:rFonts w:asciiTheme="minorHAnsi" w:hAnsiTheme="minorHAnsi"/>
          <w:bCs/>
          <w:szCs w:val="24"/>
          <w:lang w:val="en-CA"/>
        </w:rPr>
        <w:t xml:space="preserve"> on second reading</w:t>
      </w:r>
      <w:r w:rsidRPr="003A5D8B">
        <w:rPr>
          <w:rFonts w:asciiTheme="minorHAnsi" w:hAnsiTheme="minorHAnsi"/>
          <w:szCs w:val="24"/>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before="360" w:after="120"/>
        <w:ind w:left="720" w:hanging="720"/>
        <w:textAlignment w:val="auto"/>
        <w:rPr>
          <w:rFonts w:asciiTheme="minorHAnsi" w:hAnsiTheme="minorHAnsi"/>
          <w:b/>
          <w:sz w:val="26"/>
          <w:szCs w:val="26"/>
          <w:lang w:val="en-CA"/>
        </w:rPr>
      </w:pPr>
      <w:r>
        <w:rPr>
          <w:rFonts w:asciiTheme="minorHAnsi" w:hAnsiTheme="minorHAnsi"/>
          <w:b/>
          <w:sz w:val="26"/>
          <w:szCs w:val="26"/>
          <w:lang w:val="en-CA"/>
        </w:rPr>
        <w:t>5</w:t>
      </w:r>
      <w:r>
        <w:rPr>
          <w:rFonts w:asciiTheme="minorHAnsi" w:hAnsiTheme="minorHAnsi"/>
          <w:b/>
          <w:sz w:val="26"/>
          <w:szCs w:val="26"/>
          <w:lang w:val="en-CA"/>
        </w:rPr>
        <w:tab/>
      </w:r>
      <w:r w:rsidRPr="003A5D8B">
        <w:rPr>
          <w:rFonts w:asciiTheme="minorHAnsi" w:hAnsiTheme="minorHAnsi"/>
          <w:b/>
          <w:sz w:val="26"/>
          <w:szCs w:val="26"/>
          <w:lang w:val="en-CA"/>
        </w:rPr>
        <w:t xml:space="preserve">Seventh series of texts </w:t>
      </w:r>
      <w:r>
        <w:rPr>
          <w:rFonts w:asciiTheme="minorHAnsi" w:hAnsiTheme="minorHAnsi"/>
          <w:b/>
          <w:sz w:val="26"/>
          <w:szCs w:val="26"/>
          <w:lang w:val="en-CA"/>
        </w:rPr>
        <w:t xml:space="preserve">submitted by </w:t>
      </w:r>
      <w:r w:rsidRPr="003A5D8B">
        <w:rPr>
          <w:rFonts w:asciiTheme="minorHAnsi" w:hAnsiTheme="minorHAnsi"/>
          <w:b/>
          <w:sz w:val="26"/>
          <w:szCs w:val="26"/>
          <w:lang w:val="en-CA"/>
        </w:rPr>
        <w:t>the Editorial Committee - second reading (Document </w:t>
      </w:r>
      <w:hyperlink r:id="rId20" w:history="1">
        <w:r w:rsidRPr="00A452FE">
          <w:rPr>
            <w:rStyle w:val="Hyperlink"/>
            <w:rFonts w:asciiTheme="minorHAnsi" w:hAnsiTheme="minorHAnsi"/>
            <w:b/>
            <w:sz w:val="26"/>
            <w:szCs w:val="26"/>
            <w:lang w:val="en-CA"/>
          </w:rPr>
          <w:t>128</w:t>
        </w:r>
      </w:hyperlink>
      <w:r w:rsidRPr="003A5D8B">
        <w:rPr>
          <w:rFonts w:asciiTheme="minorHAnsi" w:hAnsiTheme="minorHAnsi"/>
          <w:b/>
          <w:sz w:val="26"/>
          <w:szCs w:val="26"/>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5.1</w:t>
      </w:r>
      <w:r>
        <w:rPr>
          <w:rFonts w:asciiTheme="minorHAnsi" w:hAnsiTheme="minorHAnsi"/>
          <w:szCs w:val="24"/>
          <w:lang w:val="en-CA"/>
        </w:rPr>
        <w:tab/>
      </w:r>
      <w:r w:rsidRPr="003A5D8B">
        <w:rPr>
          <w:rFonts w:asciiTheme="minorHAnsi" w:hAnsiTheme="minorHAnsi"/>
          <w:szCs w:val="24"/>
          <w:lang w:val="en-CA"/>
        </w:rPr>
        <w:t xml:space="preserve">The seventh series of texts submitted by the Editorial Committee (Document 128), as amended on first reading, was </w:t>
      </w:r>
      <w:r w:rsidRPr="003A5D8B">
        <w:rPr>
          <w:rFonts w:asciiTheme="minorHAnsi" w:hAnsiTheme="minorHAnsi"/>
          <w:b/>
          <w:szCs w:val="24"/>
          <w:lang w:val="en-CA"/>
        </w:rPr>
        <w:t>approved</w:t>
      </w:r>
      <w:r w:rsidRPr="003A5D8B">
        <w:rPr>
          <w:rFonts w:asciiTheme="minorHAnsi" w:hAnsiTheme="minorHAnsi"/>
          <w:bCs/>
          <w:szCs w:val="24"/>
          <w:lang w:val="en-CA"/>
        </w:rPr>
        <w:t xml:space="preserve"> on second reading</w:t>
      </w:r>
      <w:r w:rsidRPr="003A5D8B">
        <w:rPr>
          <w:rFonts w:asciiTheme="minorHAnsi" w:hAnsiTheme="minorHAnsi"/>
          <w:szCs w:val="24"/>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before="360" w:after="120"/>
        <w:textAlignment w:val="auto"/>
        <w:rPr>
          <w:rFonts w:asciiTheme="minorHAnsi" w:hAnsiTheme="minorHAnsi"/>
          <w:b/>
          <w:sz w:val="26"/>
          <w:szCs w:val="26"/>
          <w:lang w:val="en-CA"/>
        </w:rPr>
      </w:pPr>
      <w:r>
        <w:rPr>
          <w:rFonts w:asciiTheme="minorHAnsi" w:hAnsiTheme="minorHAnsi"/>
          <w:b/>
          <w:sz w:val="26"/>
          <w:szCs w:val="26"/>
          <w:lang w:val="en-CA"/>
        </w:rPr>
        <w:t>6</w:t>
      </w:r>
      <w:r>
        <w:rPr>
          <w:rFonts w:asciiTheme="minorHAnsi" w:hAnsiTheme="minorHAnsi"/>
          <w:b/>
          <w:sz w:val="26"/>
          <w:szCs w:val="26"/>
          <w:lang w:val="en-CA"/>
        </w:rPr>
        <w:tab/>
      </w:r>
      <w:r w:rsidRPr="003A5D8B">
        <w:rPr>
          <w:rFonts w:asciiTheme="minorHAnsi" w:hAnsiTheme="minorHAnsi"/>
          <w:b/>
          <w:sz w:val="26"/>
          <w:szCs w:val="26"/>
          <w:lang w:val="en-CA"/>
        </w:rPr>
        <w:t xml:space="preserve">Approval of minutes (Documents </w:t>
      </w:r>
      <w:hyperlink r:id="rId21" w:history="1">
        <w:r w:rsidRPr="00A452FE">
          <w:rPr>
            <w:rStyle w:val="Hyperlink"/>
            <w:rFonts w:asciiTheme="minorHAnsi" w:hAnsiTheme="minorHAnsi"/>
            <w:b/>
            <w:sz w:val="26"/>
            <w:szCs w:val="26"/>
            <w:lang w:val="en-CA"/>
          </w:rPr>
          <w:t>102</w:t>
        </w:r>
      </w:hyperlink>
      <w:r w:rsidRPr="003A5D8B">
        <w:rPr>
          <w:rFonts w:asciiTheme="minorHAnsi" w:hAnsiTheme="minorHAnsi"/>
          <w:b/>
          <w:sz w:val="26"/>
          <w:szCs w:val="26"/>
          <w:lang w:val="en-CA"/>
        </w:rPr>
        <w:t xml:space="preserve">, </w:t>
      </w:r>
      <w:hyperlink r:id="rId22" w:history="1">
        <w:r w:rsidRPr="00A452FE">
          <w:rPr>
            <w:rStyle w:val="Hyperlink"/>
            <w:rFonts w:asciiTheme="minorHAnsi" w:hAnsiTheme="minorHAnsi"/>
            <w:b/>
            <w:sz w:val="26"/>
            <w:szCs w:val="26"/>
            <w:lang w:val="en-CA"/>
          </w:rPr>
          <w:t>103</w:t>
        </w:r>
      </w:hyperlink>
      <w:r w:rsidRPr="003A5D8B">
        <w:rPr>
          <w:rFonts w:asciiTheme="minorHAnsi" w:hAnsiTheme="minorHAnsi"/>
          <w:b/>
          <w:sz w:val="26"/>
          <w:szCs w:val="26"/>
          <w:lang w:val="en-CA"/>
        </w:rPr>
        <w:t xml:space="preserve"> and </w:t>
      </w:r>
      <w:hyperlink r:id="rId23" w:history="1">
        <w:r w:rsidRPr="00A452FE">
          <w:rPr>
            <w:rStyle w:val="Hyperlink"/>
            <w:rFonts w:asciiTheme="minorHAnsi" w:hAnsiTheme="minorHAnsi"/>
            <w:b/>
            <w:sz w:val="26"/>
            <w:szCs w:val="26"/>
            <w:lang w:val="en-CA"/>
          </w:rPr>
          <w:t>114</w:t>
        </w:r>
      </w:hyperlink>
      <w:bookmarkStart w:id="9" w:name="_GoBack"/>
      <w:bookmarkEnd w:id="9"/>
      <w:r w:rsidRPr="003A5D8B">
        <w:rPr>
          <w:rFonts w:asciiTheme="minorHAnsi" w:hAnsiTheme="minorHAnsi"/>
          <w:b/>
          <w:sz w:val="26"/>
          <w:szCs w:val="26"/>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6.1</w:t>
      </w:r>
      <w:r>
        <w:rPr>
          <w:rFonts w:asciiTheme="minorHAnsi" w:hAnsiTheme="minorHAnsi"/>
          <w:szCs w:val="24"/>
          <w:lang w:val="en-CA"/>
        </w:rPr>
        <w:tab/>
      </w:r>
      <w:r w:rsidRPr="003A5D8B">
        <w:rPr>
          <w:rFonts w:asciiTheme="minorHAnsi" w:hAnsiTheme="minorHAnsi"/>
          <w:szCs w:val="24"/>
          <w:lang w:val="en-CA"/>
        </w:rPr>
        <w:t xml:space="preserve">The minutes of the eighth plenary meeting (Document 102), ninth plenary meeting (Document 103) and tenth plenary meeting (Document 114) were </w:t>
      </w:r>
      <w:r w:rsidRPr="003A5D8B">
        <w:rPr>
          <w:rFonts w:asciiTheme="minorHAnsi" w:hAnsiTheme="minorHAnsi"/>
          <w:b/>
          <w:bCs/>
          <w:szCs w:val="24"/>
          <w:lang w:val="en-CA"/>
        </w:rPr>
        <w:t>approved</w:t>
      </w:r>
      <w:r w:rsidRPr="003A5D8B">
        <w:rPr>
          <w:rFonts w:asciiTheme="minorHAnsi" w:hAnsiTheme="minorHAnsi"/>
          <w:szCs w:val="24"/>
          <w:lang w:val="en-CA"/>
        </w:rPr>
        <w:t>.</w:t>
      </w:r>
    </w:p>
    <w:p w:rsidR="00A91554" w:rsidRPr="003A5D8B" w:rsidRDefault="00A91554" w:rsidP="00A452FE">
      <w:pPr>
        <w:tabs>
          <w:tab w:val="clear" w:pos="567"/>
          <w:tab w:val="clear" w:pos="1134"/>
          <w:tab w:val="clear" w:pos="1701"/>
          <w:tab w:val="clear" w:pos="2268"/>
          <w:tab w:val="clear" w:pos="2835"/>
        </w:tabs>
        <w:overflowPunct/>
        <w:autoSpaceDE/>
        <w:autoSpaceDN/>
        <w:adjustRightInd/>
        <w:spacing w:before="0"/>
        <w:textAlignment w:val="auto"/>
        <w:rPr>
          <w:b/>
          <w:lang w:val="en-CA"/>
        </w:rPr>
      </w:pPr>
    </w:p>
    <w:p w:rsidR="00A91554" w:rsidRPr="003A5D8B" w:rsidRDefault="00A91554" w:rsidP="00A452FE">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en-CA"/>
        </w:rPr>
      </w:pPr>
      <w:r w:rsidRPr="003A5D8B">
        <w:rPr>
          <w:rFonts w:asciiTheme="minorHAnsi" w:hAnsiTheme="minorHAnsi"/>
          <w:b/>
          <w:bCs/>
          <w:szCs w:val="24"/>
          <w:lang w:val="en-CA"/>
        </w:rPr>
        <w:t>The meeting rose at 1000 hours.</w:t>
      </w:r>
    </w:p>
    <w:p w:rsidR="00936422" w:rsidRPr="006D75A7" w:rsidRDefault="00936422" w:rsidP="00A452FE">
      <w:pPr>
        <w:spacing w:before="160"/>
        <w:rPr>
          <w:b/>
          <w:bCs/>
          <w:lang w:val="en-CA"/>
        </w:rPr>
      </w:pPr>
    </w:p>
    <w:p w:rsidR="00936422" w:rsidRPr="005043C3" w:rsidRDefault="00936422" w:rsidP="00A452FE">
      <w:pPr>
        <w:tabs>
          <w:tab w:val="clear" w:pos="567"/>
          <w:tab w:val="clear" w:pos="1134"/>
          <w:tab w:val="clear" w:pos="1701"/>
          <w:tab w:val="clear" w:pos="2268"/>
          <w:tab w:val="clear" w:pos="2835"/>
          <w:tab w:val="left" w:pos="6804"/>
        </w:tabs>
        <w:spacing w:before="240"/>
        <w:rPr>
          <w:lang w:val="en-CA"/>
        </w:rPr>
      </w:pPr>
      <w:r w:rsidRPr="005043C3">
        <w:rPr>
          <w:lang w:val="en-CA"/>
        </w:rPr>
        <w:t>The Secretary-General:</w:t>
      </w:r>
      <w:r w:rsidRPr="005043C3">
        <w:rPr>
          <w:lang w:val="en-CA"/>
        </w:rPr>
        <w:tab/>
        <w:t>The Chairman:</w:t>
      </w:r>
    </w:p>
    <w:p w:rsidR="00936422" w:rsidRPr="005043C3" w:rsidRDefault="00936422" w:rsidP="00A452FE">
      <w:pPr>
        <w:tabs>
          <w:tab w:val="clear" w:pos="567"/>
          <w:tab w:val="clear" w:pos="1134"/>
          <w:tab w:val="clear" w:pos="1701"/>
          <w:tab w:val="clear" w:pos="2268"/>
          <w:tab w:val="clear" w:pos="2835"/>
          <w:tab w:val="left" w:pos="6804"/>
        </w:tabs>
        <w:spacing w:before="0"/>
        <w:rPr>
          <w:lang w:val="en-CA"/>
        </w:rPr>
      </w:pPr>
      <w:r w:rsidRPr="005043C3">
        <w:rPr>
          <w:lang w:val="en-CA"/>
        </w:rPr>
        <w:t>H. ZHAO</w:t>
      </w:r>
      <w:r w:rsidRPr="005043C3">
        <w:rPr>
          <w:lang w:val="en-CA"/>
        </w:rPr>
        <w:tab/>
        <w:t>M. ALMESMAR</w:t>
      </w:r>
    </w:p>
    <w:p w:rsidR="00936422" w:rsidRPr="00175A51" w:rsidRDefault="00936422" w:rsidP="00A452FE">
      <w:pPr>
        <w:spacing w:before="160"/>
        <w:rPr>
          <w:lang w:val="en-CA"/>
        </w:rPr>
      </w:pPr>
    </w:p>
    <w:sectPr w:rsidR="00936422" w:rsidRPr="00175A51" w:rsidSect="00361097">
      <w:headerReference w:type="default" r:id="rId24"/>
      <w:footerReference w:type="default" r:id="rId25"/>
      <w:footerReference w:type="first" r:id="rId2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A452FE">
      <w:rPr>
        <w:noProof/>
      </w:rPr>
      <w:t>2</w:t>
    </w:r>
    <w:r>
      <w:fldChar w:fldCharType="end"/>
    </w:r>
  </w:p>
  <w:p w:rsidR="00CE1B90" w:rsidRDefault="00CE1B90" w:rsidP="00A452FE">
    <w:pPr>
      <w:pStyle w:val="Header"/>
    </w:pPr>
    <w:r>
      <w:t>PP1</w:t>
    </w:r>
    <w:r w:rsidR="004F7925">
      <w:t>8</w:t>
    </w:r>
    <w:r w:rsidR="00E26429">
      <w:t>/</w:t>
    </w:r>
    <w:r w:rsidR="000873C7">
      <w:t>1</w:t>
    </w:r>
    <w:r w:rsidR="00A452FE">
      <w:t>70</w:t>
    </w:r>
    <w:r w:rsidR="00E26429">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873C7"/>
    <w:rsid w:val="00094B4F"/>
    <w:rsid w:val="000A1015"/>
    <w:rsid w:val="000B03F9"/>
    <w:rsid w:val="000B0A77"/>
    <w:rsid w:val="000B0D6C"/>
    <w:rsid w:val="000B5BB9"/>
    <w:rsid w:val="000B7152"/>
    <w:rsid w:val="000C4701"/>
    <w:rsid w:val="000C72DD"/>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448DA"/>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1AE3"/>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6422"/>
    <w:rsid w:val="00940E00"/>
    <w:rsid w:val="00945D4B"/>
    <w:rsid w:val="00950E0F"/>
    <w:rsid w:val="009609D9"/>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171AE"/>
    <w:rsid w:val="00A314A2"/>
    <w:rsid w:val="00A452FE"/>
    <w:rsid w:val="00A516BB"/>
    <w:rsid w:val="00A619C5"/>
    <w:rsid w:val="00A808E1"/>
    <w:rsid w:val="00A8262F"/>
    <w:rsid w:val="00A84B32"/>
    <w:rsid w:val="00A84B3A"/>
    <w:rsid w:val="00A9155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265E"/>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itu.int/md/S18-PP-C-0129/en" TargetMode="External"/><Relationship Id="rId13" Type="http://schemas.openxmlformats.org/officeDocument/2006/relationships/hyperlink" Target="https://www.itu.int/md/S18-PP-C-0102/en" TargetMode="External"/><Relationship Id="rId18" Type="http://schemas.openxmlformats.org/officeDocument/2006/relationships/hyperlink" Target="https://www.itu.int/md/S18-PP-C-0128/e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S18-PP-C-0102/en" TargetMode="External"/><Relationship Id="rId7" Type="http://schemas.openxmlformats.org/officeDocument/2006/relationships/image" Target="media/image1.png"/><Relationship Id="rId12" Type="http://schemas.openxmlformats.org/officeDocument/2006/relationships/hyperlink" Target="https://www.itu.int/md/S18-PP-C-0128/en" TargetMode="External"/><Relationship Id="rId17" Type="http://schemas.openxmlformats.org/officeDocument/2006/relationships/hyperlink" Target="https://www.itu.int/md/S18-PP-C-0127/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18-PP-C-0129/en" TargetMode="External"/><Relationship Id="rId20" Type="http://schemas.openxmlformats.org/officeDocument/2006/relationships/hyperlink" Target="https://www.itu.int/md/S18-PP-C-0128/en" TargetMode="Externa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yperlink" Target="https://www.itu.int/md/S18-PP-C-0127/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18-PP-C-0114/en" TargetMode="External"/><Relationship Id="rId23" Type="http://schemas.openxmlformats.org/officeDocument/2006/relationships/hyperlink" Target="https://www.itu.int/md/S18-PP-C-0114/en" TargetMode="External"/><Relationship Id="rId28" Type="http://schemas.openxmlformats.org/officeDocument/2006/relationships/theme" Target="theme/theme1.xml"/><Relationship Id="rId10" Type="http://schemas.openxmlformats.org/officeDocument/2006/relationships/hyperlink" Target="https://www.itu.int/md/S18-PP-C-0128/en" TargetMode="External"/><Relationship Id="rId19" Type="http://schemas.openxmlformats.org/officeDocument/2006/relationships/hyperlink" Target="https://www.itu.int/md/S18-PP-C-0127/en" TargetMode="External"/><Relationship Id="rId4" Type="http://schemas.openxmlformats.org/officeDocument/2006/relationships/webSettings" Target="webSettings.xml"/><Relationship Id="rId9" Type="http://schemas.openxmlformats.org/officeDocument/2006/relationships/hyperlink" Target="https://www.itu.int/md/S18-PP-C-0127/en" TargetMode="External"/><Relationship Id="rId14" Type="http://schemas.openxmlformats.org/officeDocument/2006/relationships/hyperlink" Target="https://www.itu.int/md/S18-PP-C-0103/en" TargetMode="External"/><Relationship Id="rId22" Type="http://schemas.openxmlformats.org/officeDocument/2006/relationships/hyperlink" Target="https://www.itu.int/md/S18-PP-C-0103/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Plenary meeting</vt:lpstr>
    </vt:vector>
  </TitlesOfParts>
  <Manager/>
  <Company/>
  <LinksUpToDate>false</LinksUpToDate>
  <CharactersWithSpaces>5704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Plenary meeting</dc:title>
  <dc:subject>Plenipotentiary Conference (PP-18)</dc:subject>
  <dc:creator/>
  <cp:keywords>PP-18, Plenipotentiary</cp:keywords>
  <cp:lastModifiedBy/>
  <cp:revision>1</cp:revision>
  <dcterms:created xsi:type="dcterms:W3CDTF">2018-11-30T09:00:00Z</dcterms:created>
  <dcterms:modified xsi:type="dcterms:W3CDTF">2018-11-30T09:04:00Z</dcterms:modified>
  <cp:category>Conference document</cp:category>
</cp:coreProperties>
</file>