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797A82" w:rsidTr="006A046E">
        <w:trPr>
          <w:cantSplit/>
        </w:trPr>
        <w:tc>
          <w:tcPr>
            <w:tcW w:w="6911" w:type="dxa"/>
          </w:tcPr>
          <w:p w:rsidR="00BD1614" w:rsidRPr="00797A82" w:rsidRDefault="00BD1614" w:rsidP="00183ADD">
            <w:pPr>
              <w:rPr>
                <w:b/>
                <w:bCs/>
                <w:position w:val="6"/>
                <w:szCs w:val="24"/>
                <w:lang w:val="fr-CH"/>
              </w:rPr>
            </w:pPr>
            <w:bookmarkStart w:id="0" w:name="dbreak"/>
            <w:bookmarkStart w:id="1" w:name="dpp"/>
            <w:bookmarkEnd w:id="0"/>
            <w:bookmarkEnd w:id="1"/>
            <w:r w:rsidRPr="00797A82">
              <w:rPr>
                <w:rFonts w:cs="Times"/>
                <w:b/>
                <w:sz w:val="30"/>
                <w:szCs w:val="30"/>
                <w:lang w:val="fr-CH"/>
              </w:rPr>
              <w:t>Conférence de plénipotentiaires</w:t>
            </w:r>
            <w:r w:rsidRPr="00797A82">
              <w:rPr>
                <w:b/>
                <w:smallCaps/>
                <w:sz w:val="30"/>
                <w:szCs w:val="30"/>
                <w:lang w:val="fr-CH"/>
              </w:rPr>
              <w:t xml:space="preserve"> (PP-1</w:t>
            </w:r>
            <w:r w:rsidR="001E2226" w:rsidRPr="00797A82">
              <w:rPr>
                <w:b/>
                <w:smallCaps/>
                <w:sz w:val="30"/>
                <w:szCs w:val="30"/>
                <w:lang w:val="fr-CH"/>
              </w:rPr>
              <w:t>8</w:t>
            </w:r>
            <w:r w:rsidRPr="00797A82">
              <w:rPr>
                <w:b/>
                <w:smallCaps/>
                <w:sz w:val="30"/>
                <w:szCs w:val="30"/>
                <w:lang w:val="fr-CH"/>
              </w:rPr>
              <w:t>)</w:t>
            </w:r>
            <w:r w:rsidRPr="00797A82">
              <w:rPr>
                <w:b/>
                <w:smallCaps/>
                <w:sz w:val="36"/>
                <w:lang w:val="fr-CH"/>
              </w:rPr>
              <w:br/>
            </w:r>
            <w:r w:rsidR="001E2226" w:rsidRPr="00797A82">
              <w:rPr>
                <w:rFonts w:cs="Times New Roman Bold"/>
                <w:b/>
                <w:bCs/>
                <w:szCs w:val="24"/>
                <w:lang w:val="fr-CH"/>
              </w:rPr>
              <w:t>Dubaï</w:t>
            </w:r>
            <w:r w:rsidRPr="00797A82">
              <w:rPr>
                <w:rFonts w:cs="Times New Roman Bold"/>
                <w:b/>
                <w:bCs/>
                <w:szCs w:val="24"/>
                <w:lang w:val="fr-CH"/>
              </w:rPr>
              <w:t>, 2</w:t>
            </w:r>
            <w:r w:rsidR="001E2226" w:rsidRPr="00797A82">
              <w:rPr>
                <w:rFonts w:cs="Times New Roman Bold"/>
                <w:b/>
                <w:bCs/>
                <w:szCs w:val="24"/>
                <w:lang w:val="fr-CH"/>
              </w:rPr>
              <w:t>9</w:t>
            </w:r>
            <w:r w:rsidRPr="00797A82">
              <w:rPr>
                <w:rFonts w:cs="Times New Roman Bold"/>
                <w:b/>
                <w:bCs/>
                <w:szCs w:val="24"/>
                <w:lang w:val="fr-CH"/>
              </w:rPr>
              <w:t xml:space="preserve"> octobre </w:t>
            </w:r>
            <w:r w:rsidR="001E2226" w:rsidRPr="00797A82">
              <w:rPr>
                <w:rFonts w:cs="Times New Roman Bold"/>
                <w:b/>
                <w:bCs/>
                <w:szCs w:val="24"/>
                <w:lang w:val="fr-CH"/>
              </w:rPr>
              <w:t>–</w:t>
            </w:r>
            <w:r w:rsidRPr="00797A82">
              <w:rPr>
                <w:rFonts w:cs="Times New Roman Bold"/>
                <w:b/>
                <w:bCs/>
                <w:szCs w:val="24"/>
                <w:lang w:val="fr-CH"/>
              </w:rPr>
              <w:t xml:space="preserve"> </w:t>
            </w:r>
            <w:r w:rsidR="001E2226" w:rsidRPr="00797A82">
              <w:rPr>
                <w:rFonts w:cs="Times New Roman Bold"/>
                <w:b/>
                <w:bCs/>
                <w:szCs w:val="24"/>
                <w:lang w:val="fr-CH"/>
              </w:rPr>
              <w:t>16</w:t>
            </w:r>
            <w:r w:rsidRPr="00797A82">
              <w:rPr>
                <w:rFonts w:cs="Times New Roman Bold"/>
                <w:b/>
                <w:bCs/>
                <w:szCs w:val="24"/>
                <w:lang w:val="fr-CH"/>
              </w:rPr>
              <w:t xml:space="preserve"> novembre 201</w:t>
            </w:r>
            <w:r w:rsidR="001E2226" w:rsidRPr="00797A82">
              <w:rPr>
                <w:rFonts w:cs="Times New Roman Bold"/>
                <w:b/>
                <w:bCs/>
                <w:szCs w:val="24"/>
                <w:lang w:val="fr-CH"/>
              </w:rPr>
              <w:t>8</w:t>
            </w:r>
          </w:p>
        </w:tc>
        <w:tc>
          <w:tcPr>
            <w:tcW w:w="3120" w:type="dxa"/>
          </w:tcPr>
          <w:p w:rsidR="00BD1614" w:rsidRPr="00797A82" w:rsidRDefault="00BD1614" w:rsidP="00183ADD">
            <w:pPr>
              <w:spacing w:before="0"/>
              <w:rPr>
                <w:rFonts w:cstheme="minorHAnsi"/>
                <w:lang w:val="fr-CH"/>
              </w:rPr>
            </w:pPr>
            <w:bookmarkStart w:id="2" w:name="ditulogo"/>
            <w:bookmarkEnd w:id="2"/>
            <w:r w:rsidRPr="00797A82">
              <w:rPr>
                <w:rFonts w:cstheme="minorHAnsi"/>
                <w:b/>
                <w:bCs/>
                <w:noProof/>
                <w:lang w:val="fr-CH" w:eastAsia="zh-CN"/>
              </w:rPr>
              <w:drawing>
                <wp:inline distT="0" distB="0" distL="0" distR="0" wp14:anchorId="17972A46" wp14:editId="1D3D841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797A82" w:rsidTr="006A046E">
        <w:trPr>
          <w:cantSplit/>
        </w:trPr>
        <w:tc>
          <w:tcPr>
            <w:tcW w:w="6911" w:type="dxa"/>
            <w:tcBorders>
              <w:bottom w:val="single" w:sz="12" w:space="0" w:color="auto"/>
            </w:tcBorders>
          </w:tcPr>
          <w:p w:rsidR="00BD1614" w:rsidRPr="00797A82" w:rsidRDefault="00BD1614" w:rsidP="00183ADD">
            <w:pPr>
              <w:spacing w:before="0" w:after="48"/>
              <w:rPr>
                <w:rFonts w:cstheme="minorHAnsi"/>
                <w:b/>
                <w:smallCaps/>
                <w:szCs w:val="24"/>
                <w:lang w:val="fr-CH"/>
              </w:rPr>
            </w:pPr>
            <w:bookmarkStart w:id="3" w:name="dhead"/>
          </w:p>
        </w:tc>
        <w:tc>
          <w:tcPr>
            <w:tcW w:w="3120" w:type="dxa"/>
            <w:tcBorders>
              <w:bottom w:val="single" w:sz="12" w:space="0" w:color="auto"/>
            </w:tcBorders>
          </w:tcPr>
          <w:p w:rsidR="00BD1614" w:rsidRPr="00797A82" w:rsidRDefault="00BD1614" w:rsidP="00183ADD">
            <w:pPr>
              <w:spacing w:before="0" w:after="48"/>
              <w:rPr>
                <w:rFonts w:cstheme="minorHAnsi"/>
                <w:b/>
                <w:smallCaps/>
                <w:szCs w:val="24"/>
                <w:lang w:val="fr-CH"/>
              </w:rPr>
            </w:pPr>
          </w:p>
        </w:tc>
      </w:tr>
      <w:tr w:rsidR="00BD1614" w:rsidRPr="00797A82" w:rsidTr="006A046E">
        <w:trPr>
          <w:cantSplit/>
        </w:trPr>
        <w:tc>
          <w:tcPr>
            <w:tcW w:w="6911" w:type="dxa"/>
            <w:tcBorders>
              <w:top w:val="single" w:sz="12" w:space="0" w:color="auto"/>
            </w:tcBorders>
          </w:tcPr>
          <w:p w:rsidR="00BD1614" w:rsidRPr="00797A82" w:rsidRDefault="00BD1614" w:rsidP="00183ADD">
            <w:pPr>
              <w:spacing w:before="0"/>
              <w:rPr>
                <w:rFonts w:cstheme="minorHAnsi"/>
                <w:b/>
                <w:smallCaps/>
                <w:szCs w:val="24"/>
                <w:lang w:val="fr-CH"/>
              </w:rPr>
            </w:pPr>
          </w:p>
        </w:tc>
        <w:tc>
          <w:tcPr>
            <w:tcW w:w="3120" w:type="dxa"/>
            <w:tcBorders>
              <w:top w:val="single" w:sz="12" w:space="0" w:color="auto"/>
            </w:tcBorders>
          </w:tcPr>
          <w:p w:rsidR="00BD1614" w:rsidRPr="00797A82" w:rsidRDefault="00BD1614" w:rsidP="00183ADD">
            <w:pPr>
              <w:spacing w:before="0"/>
              <w:rPr>
                <w:rFonts w:cstheme="minorHAnsi"/>
                <w:szCs w:val="24"/>
                <w:lang w:val="fr-CH"/>
              </w:rPr>
            </w:pPr>
          </w:p>
        </w:tc>
      </w:tr>
      <w:tr w:rsidR="00BD1614" w:rsidRPr="00797A82" w:rsidTr="006A046E">
        <w:trPr>
          <w:cantSplit/>
        </w:trPr>
        <w:tc>
          <w:tcPr>
            <w:tcW w:w="6911" w:type="dxa"/>
          </w:tcPr>
          <w:p w:rsidR="00BD1614" w:rsidRPr="00797A82" w:rsidRDefault="00417658" w:rsidP="00183ADD">
            <w:pPr>
              <w:pStyle w:val="Committee"/>
              <w:framePr w:hSpace="0" w:wrap="auto" w:hAnchor="text" w:yAlign="inline"/>
              <w:spacing w:after="0" w:line="240" w:lineRule="auto"/>
              <w:rPr>
                <w:lang w:val="fr-CH"/>
              </w:rPr>
            </w:pPr>
            <w:r w:rsidRPr="00797A82">
              <w:rPr>
                <w:lang w:val="fr-CH"/>
              </w:rPr>
              <w:t>SÉANCE PLÉNIÈRE</w:t>
            </w:r>
          </w:p>
        </w:tc>
        <w:tc>
          <w:tcPr>
            <w:tcW w:w="3120" w:type="dxa"/>
          </w:tcPr>
          <w:p w:rsidR="00BD1614" w:rsidRPr="00797A82" w:rsidRDefault="00417658" w:rsidP="00183ADD">
            <w:pPr>
              <w:spacing w:before="0"/>
              <w:rPr>
                <w:rFonts w:cstheme="minorHAnsi"/>
                <w:szCs w:val="24"/>
                <w:lang w:val="fr-CH"/>
              </w:rPr>
            </w:pPr>
            <w:r w:rsidRPr="00797A82">
              <w:rPr>
                <w:rFonts w:cstheme="minorHAnsi"/>
                <w:b/>
                <w:szCs w:val="24"/>
                <w:lang w:val="fr-CH"/>
              </w:rPr>
              <w:t xml:space="preserve">Document </w:t>
            </w:r>
            <w:r w:rsidR="00615114" w:rsidRPr="00797A82">
              <w:rPr>
                <w:rFonts w:cstheme="minorHAnsi"/>
                <w:b/>
                <w:szCs w:val="24"/>
                <w:lang w:val="fr-CH"/>
              </w:rPr>
              <w:t>17</w:t>
            </w:r>
            <w:r w:rsidR="00183ADD" w:rsidRPr="00797A82">
              <w:rPr>
                <w:rFonts w:cstheme="minorHAnsi"/>
                <w:b/>
                <w:szCs w:val="24"/>
                <w:lang w:val="fr-CH"/>
              </w:rPr>
              <w:t>0</w:t>
            </w:r>
            <w:r w:rsidRPr="00797A82">
              <w:rPr>
                <w:rFonts w:cstheme="minorHAnsi"/>
                <w:b/>
                <w:szCs w:val="24"/>
                <w:lang w:val="fr-CH"/>
              </w:rPr>
              <w:t>-F</w:t>
            </w:r>
          </w:p>
        </w:tc>
      </w:tr>
      <w:tr w:rsidR="00BD1614" w:rsidRPr="00797A82" w:rsidTr="006A046E">
        <w:trPr>
          <w:cantSplit/>
        </w:trPr>
        <w:tc>
          <w:tcPr>
            <w:tcW w:w="6911" w:type="dxa"/>
          </w:tcPr>
          <w:p w:rsidR="00BD1614" w:rsidRPr="00797A82" w:rsidRDefault="00BD1614" w:rsidP="00183ADD">
            <w:pPr>
              <w:spacing w:before="0"/>
              <w:rPr>
                <w:rFonts w:cstheme="minorHAnsi"/>
                <w:b/>
                <w:szCs w:val="24"/>
                <w:lang w:val="fr-CH"/>
              </w:rPr>
            </w:pPr>
          </w:p>
        </w:tc>
        <w:tc>
          <w:tcPr>
            <w:tcW w:w="3120" w:type="dxa"/>
          </w:tcPr>
          <w:p w:rsidR="00BD1614" w:rsidRPr="00797A82" w:rsidRDefault="00615114" w:rsidP="00183ADD">
            <w:pPr>
              <w:spacing w:before="0"/>
              <w:rPr>
                <w:rFonts w:cstheme="minorHAnsi"/>
                <w:b/>
                <w:szCs w:val="24"/>
                <w:lang w:val="fr-CH"/>
              </w:rPr>
            </w:pPr>
            <w:r w:rsidRPr="00797A82">
              <w:rPr>
                <w:rFonts w:cstheme="minorHAnsi"/>
                <w:b/>
                <w:szCs w:val="24"/>
                <w:lang w:val="fr-CH"/>
              </w:rPr>
              <w:t>27</w:t>
            </w:r>
            <w:r w:rsidR="00417658" w:rsidRPr="00797A82">
              <w:rPr>
                <w:rFonts w:cstheme="minorHAnsi"/>
                <w:b/>
                <w:szCs w:val="24"/>
                <w:lang w:val="fr-CH"/>
              </w:rPr>
              <w:t xml:space="preserve"> novembre 201</w:t>
            </w:r>
            <w:r w:rsidR="00084EA9" w:rsidRPr="00797A82">
              <w:rPr>
                <w:rFonts w:cstheme="minorHAnsi"/>
                <w:b/>
                <w:szCs w:val="24"/>
                <w:lang w:val="fr-CH"/>
              </w:rPr>
              <w:t>8</w:t>
            </w:r>
          </w:p>
        </w:tc>
      </w:tr>
      <w:tr w:rsidR="00BD1614" w:rsidRPr="00797A82" w:rsidTr="006A046E">
        <w:trPr>
          <w:cantSplit/>
        </w:trPr>
        <w:tc>
          <w:tcPr>
            <w:tcW w:w="6911" w:type="dxa"/>
          </w:tcPr>
          <w:p w:rsidR="00BD1614" w:rsidRPr="00797A82" w:rsidRDefault="00BD1614" w:rsidP="00183ADD">
            <w:pPr>
              <w:spacing w:before="0"/>
              <w:rPr>
                <w:rFonts w:cstheme="minorHAnsi"/>
                <w:b/>
                <w:smallCaps/>
                <w:szCs w:val="24"/>
                <w:lang w:val="fr-CH"/>
              </w:rPr>
            </w:pPr>
          </w:p>
        </w:tc>
        <w:tc>
          <w:tcPr>
            <w:tcW w:w="3120" w:type="dxa"/>
          </w:tcPr>
          <w:p w:rsidR="00BD1614" w:rsidRPr="00797A82" w:rsidRDefault="00417658" w:rsidP="00183ADD">
            <w:pPr>
              <w:spacing w:before="0"/>
              <w:rPr>
                <w:rFonts w:cstheme="minorHAnsi"/>
                <w:b/>
                <w:szCs w:val="24"/>
                <w:lang w:val="fr-CH"/>
              </w:rPr>
            </w:pPr>
            <w:r w:rsidRPr="00797A82">
              <w:rPr>
                <w:rFonts w:cstheme="minorHAnsi"/>
                <w:b/>
                <w:szCs w:val="24"/>
                <w:lang w:val="fr-CH"/>
              </w:rPr>
              <w:t>Original: anglais</w:t>
            </w:r>
          </w:p>
        </w:tc>
      </w:tr>
      <w:tr w:rsidR="00BD1614" w:rsidRPr="00797A82" w:rsidTr="006A046E">
        <w:trPr>
          <w:cantSplit/>
        </w:trPr>
        <w:tc>
          <w:tcPr>
            <w:tcW w:w="10031" w:type="dxa"/>
            <w:gridSpan w:val="2"/>
          </w:tcPr>
          <w:p w:rsidR="00BD1614" w:rsidRPr="00797A82" w:rsidRDefault="00BD1614" w:rsidP="00183ADD">
            <w:pPr>
              <w:spacing w:before="0"/>
              <w:rPr>
                <w:rFonts w:cstheme="minorHAnsi"/>
                <w:b/>
                <w:szCs w:val="24"/>
                <w:lang w:val="fr-CH"/>
              </w:rPr>
            </w:pPr>
          </w:p>
        </w:tc>
      </w:tr>
      <w:tr w:rsidR="008B6A61" w:rsidRPr="00797A82" w:rsidTr="006A046E">
        <w:trPr>
          <w:cantSplit/>
        </w:trPr>
        <w:tc>
          <w:tcPr>
            <w:tcW w:w="10031" w:type="dxa"/>
            <w:gridSpan w:val="2"/>
          </w:tcPr>
          <w:p w:rsidR="008B6A61" w:rsidRPr="00797A82" w:rsidRDefault="008B6A61" w:rsidP="00183ADD">
            <w:pPr>
              <w:pStyle w:val="Title1"/>
              <w:spacing w:before="720"/>
              <w:rPr>
                <w:lang w:val="fr-CH"/>
              </w:rPr>
            </w:pPr>
            <w:bookmarkStart w:id="4" w:name="dsource" w:colFirst="0" w:colLast="0"/>
            <w:bookmarkEnd w:id="3"/>
            <w:r w:rsidRPr="00797A82">
              <w:rPr>
                <w:lang w:val="fr-CH"/>
              </w:rPr>
              <w:t>procès-verbal</w:t>
            </w:r>
          </w:p>
          <w:p w:rsidR="008B6A61" w:rsidRPr="00797A82" w:rsidRDefault="008B6A61" w:rsidP="00183ADD">
            <w:pPr>
              <w:pStyle w:val="Title1"/>
              <w:rPr>
                <w:lang w:val="fr-CH"/>
              </w:rPr>
            </w:pPr>
            <w:r w:rsidRPr="00797A82">
              <w:rPr>
                <w:lang w:val="fr-CH"/>
              </w:rPr>
              <w:t>DE LA</w:t>
            </w:r>
          </w:p>
          <w:p w:rsidR="008B6A61" w:rsidRPr="00797A82" w:rsidRDefault="00183ADD" w:rsidP="00183ADD">
            <w:pPr>
              <w:pStyle w:val="Title1"/>
              <w:rPr>
                <w:lang w:val="fr-CH"/>
              </w:rPr>
            </w:pPr>
            <w:r w:rsidRPr="00797A82">
              <w:rPr>
                <w:lang w:val="fr-CH"/>
              </w:rPr>
              <w:t xml:space="preserve">TREIZIèME </w:t>
            </w:r>
            <w:r w:rsidR="00615114" w:rsidRPr="00797A82">
              <w:rPr>
                <w:lang w:val="fr-CH"/>
              </w:rPr>
              <w:t>SéANCE PLéNIèRE</w:t>
            </w:r>
          </w:p>
        </w:tc>
      </w:tr>
      <w:tr w:rsidR="008B6A61" w:rsidRPr="00797A82" w:rsidTr="006A046E">
        <w:trPr>
          <w:cantSplit/>
        </w:trPr>
        <w:tc>
          <w:tcPr>
            <w:tcW w:w="10031" w:type="dxa"/>
            <w:gridSpan w:val="2"/>
          </w:tcPr>
          <w:p w:rsidR="008B6A61" w:rsidRPr="00797A82" w:rsidRDefault="00183ADD" w:rsidP="00183ADD">
            <w:pPr>
              <w:jc w:val="center"/>
              <w:rPr>
                <w:lang w:val="fr-CH"/>
              </w:rPr>
            </w:pPr>
            <w:bookmarkStart w:id="5" w:name="dtitle3" w:colFirst="0" w:colLast="0"/>
            <w:bookmarkEnd w:id="4"/>
            <w:r w:rsidRPr="00797A82">
              <w:rPr>
                <w:szCs w:val="24"/>
                <w:lang w:val="fr-CH"/>
              </w:rPr>
              <w:t>Mardi 13</w:t>
            </w:r>
            <w:r w:rsidR="00615114" w:rsidRPr="00797A82">
              <w:rPr>
                <w:szCs w:val="24"/>
                <w:lang w:val="fr-CH"/>
              </w:rPr>
              <w:t xml:space="preserve"> novembre 2018, à </w:t>
            </w:r>
            <w:r w:rsidRPr="00797A82">
              <w:rPr>
                <w:szCs w:val="24"/>
                <w:lang w:val="fr-CH"/>
              </w:rPr>
              <w:t>9 h 35</w:t>
            </w:r>
          </w:p>
        </w:tc>
      </w:tr>
      <w:tr w:rsidR="00615114" w:rsidRPr="00797A82" w:rsidTr="006A046E">
        <w:trPr>
          <w:cantSplit/>
        </w:trPr>
        <w:tc>
          <w:tcPr>
            <w:tcW w:w="10031" w:type="dxa"/>
            <w:gridSpan w:val="2"/>
          </w:tcPr>
          <w:p w:rsidR="00615114" w:rsidRPr="00797A82" w:rsidRDefault="00615114" w:rsidP="00183ADD">
            <w:pPr>
              <w:jc w:val="center"/>
              <w:rPr>
                <w:b/>
                <w:bCs/>
                <w:lang w:val="fr-CH"/>
              </w:rPr>
            </w:pPr>
            <w:r w:rsidRPr="00797A82">
              <w:rPr>
                <w:b/>
                <w:bCs/>
                <w:szCs w:val="24"/>
                <w:lang w:val="fr-CH"/>
              </w:rPr>
              <w:t>Président:</w:t>
            </w:r>
            <w:r w:rsidRPr="00797A82">
              <w:rPr>
                <w:szCs w:val="24"/>
                <w:lang w:val="fr-CH"/>
              </w:rPr>
              <w:t xml:space="preserve"> M.</w:t>
            </w:r>
            <w:r w:rsidRPr="00797A82">
              <w:rPr>
                <w:bCs/>
                <w:szCs w:val="24"/>
                <w:lang w:val="fr-CH"/>
              </w:rPr>
              <w:t xml:space="preserve"> Majed ALMESMAR (Emirats arabes unis)</w:t>
            </w:r>
          </w:p>
        </w:tc>
      </w:tr>
      <w:bookmarkEnd w:id="5"/>
    </w:tbl>
    <w:p w:rsidR="008B6A61" w:rsidRPr="00797A82" w:rsidRDefault="008B6A61" w:rsidP="00183ADD">
      <w:pPr>
        <w:rPr>
          <w:lang w:val="fr-CH"/>
        </w:rPr>
      </w:pPr>
    </w:p>
    <w:tbl>
      <w:tblPr>
        <w:tblW w:w="10031" w:type="dxa"/>
        <w:tblLook w:val="0000" w:firstRow="0" w:lastRow="0" w:firstColumn="0" w:lastColumn="0" w:noHBand="0" w:noVBand="0"/>
      </w:tblPr>
      <w:tblGrid>
        <w:gridCol w:w="534"/>
        <w:gridCol w:w="7164"/>
        <w:gridCol w:w="2333"/>
      </w:tblGrid>
      <w:tr w:rsidR="008B6A61" w:rsidRPr="00797A82" w:rsidTr="00B23C9D">
        <w:tc>
          <w:tcPr>
            <w:tcW w:w="534" w:type="dxa"/>
          </w:tcPr>
          <w:p w:rsidR="008B6A61" w:rsidRPr="00797A82" w:rsidRDefault="008B6A61" w:rsidP="00183ADD">
            <w:pPr>
              <w:pStyle w:val="toc0"/>
              <w:rPr>
                <w:lang w:val="fr-CH"/>
              </w:rPr>
            </w:pPr>
          </w:p>
        </w:tc>
        <w:tc>
          <w:tcPr>
            <w:tcW w:w="7164" w:type="dxa"/>
          </w:tcPr>
          <w:p w:rsidR="008B6A61" w:rsidRPr="00797A82" w:rsidRDefault="008B6A61" w:rsidP="00183ADD">
            <w:pPr>
              <w:pStyle w:val="toc0"/>
              <w:rPr>
                <w:lang w:val="fr-CH"/>
              </w:rPr>
            </w:pPr>
            <w:r w:rsidRPr="00797A82">
              <w:rPr>
                <w:lang w:val="fr-CH"/>
              </w:rPr>
              <w:t>Sujets traités</w:t>
            </w:r>
          </w:p>
        </w:tc>
        <w:tc>
          <w:tcPr>
            <w:tcW w:w="2333" w:type="dxa"/>
          </w:tcPr>
          <w:p w:rsidR="008B6A61" w:rsidRPr="00797A82" w:rsidRDefault="008B6A61" w:rsidP="00183ADD">
            <w:pPr>
              <w:pStyle w:val="toc0"/>
              <w:jc w:val="center"/>
              <w:rPr>
                <w:lang w:val="fr-CH"/>
              </w:rPr>
            </w:pPr>
            <w:r w:rsidRPr="00797A82">
              <w:rPr>
                <w:lang w:val="fr-CH"/>
              </w:rPr>
              <w:t>Documents</w:t>
            </w:r>
          </w:p>
        </w:tc>
      </w:tr>
      <w:tr w:rsidR="00183ADD" w:rsidRPr="00797A82" w:rsidTr="00B23C9D">
        <w:tc>
          <w:tcPr>
            <w:tcW w:w="534" w:type="dxa"/>
          </w:tcPr>
          <w:p w:rsidR="00183ADD" w:rsidRPr="00797A82" w:rsidRDefault="00183ADD" w:rsidP="00183ADD">
            <w:pPr>
              <w:snapToGrid w:val="0"/>
              <w:spacing w:before="60" w:after="60"/>
              <w:ind w:left="567" w:hanging="567"/>
              <w:rPr>
                <w:rFonts w:asciiTheme="minorHAnsi" w:hAnsiTheme="minorHAnsi"/>
                <w:lang w:val="fr-CH"/>
              </w:rPr>
            </w:pPr>
            <w:r w:rsidRPr="00797A82">
              <w:rPr>
                <w:rFonts w:asciiTheme="minorHAnsi" w:hAnsiTheme="minorHAnsi"/>
                <w:lang w:val="fr-CH"/>
              </w:rPr>
              <w:t>1</w:t>
            </w:r>
          </w:p>
        </w:tc>
        <w:tc>
          <w:tcPr>
            <w:tcW w:w="7164" w:type="dxa"/>
          </w:tcPr>
          <w:p w:rsidR="00183ADD" w:rsidRPr="00797A82" w:rsidRDefault="00183ADD" w:rsidP="00183ADD">
            <w:pPr>
              <w:snapToGrid w:val="0"/>
              <w:spacing w:before="60" w:after="60"/>
              <w:rPr>
                <w:rFonts w:asciiTheme="minorHAnsi" w:hAnsiTheme="minorHAnsi"/>
                <w:lang w:val="fr-CH"/>
              </w:rPr>
            </w:pPr>
            <w:r w:rsidRPr="00797A82">
              <w:rPr>
                <w:lang w:val="fr-CH"/>
              </w:rPr>
              <w:t>Rapport de la Commission 3 (Contrôle budgétaire)</w:t>
            </w:r>
          </w:p>
        </w:tc>
        <w:tc>
          <w:tcPr>
            <w:tcW w:w="2333" w:type="dxa"/>
          </w:tcPr>
          <w:p w:rsidR="00183ADD" w:rsidRPr="00797A82" w:rsidRDefault="00891C55" w:rsidP="00183ADD">
            <w:pPr>
              <w:snapToGrid w:val="0"/>
              <w:spacing w:before="60" w:after="60"/>
              <w:jc w:val="center"/>
              <w:rPr>
                <w:lang w:val="fr-CH"/>
              </w:rPr>
            </w:pPr>
            <w:hyperlink r:id="rId8" w:history="1">
              <w:r w:rsidR="00183ADD" w:rsidRPr="00797A82">
                <w:rPr>
                  <w:rStyle w:val="Hyperlink"/>
                  <w:lang w:val="fr-CH"/>
                </w:rPr>
                <w:t>129</w:t>
              </w:r>
            </w:hyperlink>
          </w:p>
        </w:tc>
      </w:tr>
      <w:tr w:rsidR="00183ADD" w:rsidRPr="00797A82" w:rsidTr="00B23C9D">
        <w:tc>
          <w:tcPr>
            <w:tcW w:w="534" w:type="dxa"/>
          </w:tcPr>
          <w:p w:rsidR="00183ADD" w:rsidRPr="00797A82" w:rsidRDefault="00183ADD" w:rsidP="00183ADD">
            <w:pPr>
              <w:snapToGrid w:val="0"/>
              <w:spacing w:before="60" w:after="60"/>
              <w:ind w:left="567" w:hanging="567"/>
              <w:rPr>
                <w:rFonts w:asciiTheme="minorHAnsi" w:hAnsiTheme="minorHAnsi"/>
                <w:lang w:val="fr-CH"/>
              </w:rPr>
            </w:pPr>
            <w:r w:rsidRPr="00797A82">
              <w:rPr>
                <w:rFonts w:asciiTheme="minorHAnsi" w:hAnsiTheme="minorHAnsi"/>
                <w:lang w:val="fr-CH"/>
              </w:rPr>
              <w:t>2</w:t>
            </w:r>
          </w:p>
        </w:tc>
        <w:tc>
          <w:tcPr>
            <w:tcW w:w="7164" w:type="dxa"/>
          </w:tcPr>
          <w:p w:rsidR="00183ADD" w:rsidRPr="00797A82" w:rsidRDefault="00183ADD" w:rsidP="00183ADD">
            <w:pPr>
              <w:spacing w:before="60" w:after="60"/>
              <w:rPr>
                <w:lang w:val="fr-CH"/>
              </w:rPr>
            </w:pPr>
            <w:r w:rsidRPr="00797A82">
              <w:rPr>
                <w:lang w:val="fr-CH"/>
              </w:rPr>
              <w:t>Sixième série de textes soumis par la Commission de rédaction en première lecture</w:t>
            </w:r>
            <w:r w:rsidRPr="00797A82">
              <w:rPr>
                <w:szCs w:val="24"/>
                <w:lang w:val="fr-CH"/>
              </w:rPr>
              <w:t xml:space="preserve"> (B6) </w:t>
            </w:r>
          </w:p>
        </w:tc>
        <w:tc>
          <w:tcPr>
            <w:tcW w:w="2333" w:type="dxa"/>
          </w:tcPr>
          <w:p w:rsidR="00183ADD" w:rsidRPr="00797A82" w:rsidRDefault="00891C55" w:rsidP="00183ADD">
            <w:pPr>
              <w:snapToGrid w:val="0"/>
              <w:spacing w:before="60" w:after="60"/>
              <w:jc w:val="center"/>
              <w:rPr>
                <w:lang w:val="fr-CH"/>
              </w:rPr>
            </w:pPr>
            <w:hyperlink r:id="rId9" w:history="1">
              <w:r w:rsidR="00183ADD" w:rsidRPr="00797A82">
                <w:rPr>
                  <w:rStyle w:val="Hyperlink"/>
                  <w:lang w:val="fr-CH"/>
                </w:rPr>
                <w:t>127</w:t>
              </w:r>
            </w:hyperlink>
          </w:p>
        </w:tc>
      </w:tr>
      <w:tr w:rsidR="00183ADD" w:rsidRPr="00797A82" w:rsidTr="00B23C9D">
        <w:tc>
          <w:tcPr>
            <w:tcW w:w="534" w:type="dxa"/>
          </w:tcPr>
          <w:p w:rsidR="00183ADD" w:rsidRPr="00797A82" w:rsidRDefault="00183ADD" w:rsidP="00183ADD">
            <w:pPr>
              <w:snapToGrid w:val="0"/>
              <w:spacing w:before="60" w:after="60"/>
              <w:ind w:left="567" w:hanging="567"/>
              <w:rPr>
                <w:rFonts w:asciiTheme="minorHAnsi" w:hAnsiTheme="minorHAnsi"/>
                <w:lang w:val="fr-CH"/>
              </w:rPr>
            </w:pPr>
            <w:r w:rsidRPr="00797A82">
              <w:rPr>
                <w:rFonts w:asciiTheme="minorHAnsi" w:hAnsiTheme="minorHAnsi"/>
                <w:lang w:val="fr-CH"/>
              </w:rPr>
              <w:t>3</w:t>
            </w:r>
          </w:p>
        </w:tc>
        <w:tc>
          <w:tcPr>
            <w:tcW w:w="7164" w:type="dxa"/>
          </w:tcPr>
          <w:p w:rsidR="00183ADD" w:rsidRPr="00797A82" w:rsidRDefault="00183ADD" w:rsidP="00183ADD">
            <w:pPr>
              <w:spacing w:before="60" w:after="60"/>
              <w:rPr>
                <w:lang w:val="fr-CH"/>
              </w:rPr>
            </w:pPr>
            <w:r w:rsidRPr="00797A82">
              <w:rPr>
                <w:lang w:val="fr-CH"/>
              </w:rPr>
              <w:t>Septième série de textes soumis par la Commission de rédaction en première lecture (B7)</w:t>
            </w:r>
            <w:r w:rsidRPr="00797A82">
              <w:rPr>
                <w:szCs w:val="24"/>
                <w:lang w:val="fr-CH"/>
              </w:rPr>
              <w:t xml:space="preserve"> </w:t>
            </w:r>
          </w:p>
        </w:tc>
        <w:tc>
          <w:tcPr>
            <w:tcW w:w="2333" w:type="dxa"/>
          </w:tcPr>
          <w:p w:rsidR="00183ADD" w:rsidRPr="00797A82" w:rsidRDefault="00891C55" w:rsidP="00183ADD">
            <w:pPr>
              <w:snapToGrid w:val="0"/>
              <w:spacing w:before="60" w:after="60"/>
              <w:jc w:val="center"/>
              <w:rPr>
                <w:lang w:val="fr-CH"/>
              </w:rPr>
            </w:pPr>
            <w:hyperlink r:id="rId10" w:history="1">
              <w:r w:rsidR="00183ADD" w:rsidRPr="00797A82">
                <w:rPr>
                  <w:rStyle w:val="Hyperlink"/>
                  <w:lang w:val="fr-CH"/>
                </w:rPr>
                <w:t>128</w:t>
              </w:r>
            </w:hyperlink>
          </w:p>
        </w:tc>
      </w:tr>
      <w:tr w:rsidR="00183ADD" w:rsidRPr="00797A82" w:rsidTr="00B23C9D">
        <w:tc>
          <w:tcPr>
            <w:tcW w:w="534" w:type="dxa"/>
          </w:tcPr>
          <w:p w:rsidR="00183ADD" w:rsidRPr="00797A82" w:rsidRDefault="00183ADD" w:rsidP="00183ADD">
            <w:pPr>
              <w:snapToGrid w:val="0"/>
              <w:spacing w:before="60" w:after="60"/>
              <w:ind w:left="567" w:hanging="567"/>
              <w:rPr>
                <w:rFonts w:asciiTheme="minorHAnsi" w:hAnsiTheme="minorHAnsi"/>
                <w:lang w:val="fr-CH"/>
              </w:rPr>
            </w:pPr>
            <w:r w:rsidRPr="00797A82">
              <w:rPr>
                <w:rFonts w:asciiTheme="minorHAnsi" w:hAnsiTheme="minorHAnsi"/>
                <w:lang w:val="fr-CH"/>
              </w:rPr>
              <w:t>4</w:t>
            </w:r>
          </w:p>
        </w:tc>
        <w:tc>
          <w:tcPr>
            <w:tcW w:w="7164" w:type="dxa"/>
          </w:tcPr>
          <w:p w:rsidR="00183ADD" w:rsidRPr="00797A82" w:rsidRDefault="00183ADD" w:rsidP="00797A82">
            <w:pPr>
              <w:spacing w:before="60" w:after="60"/>
              <w:rPr>
                <w:lang w:val="fr-CH"/>
              </w:rPr>
            </w:pPr>
            <w:r w:rsidRPr="00797A82">
              <w:rPr>
                <w:szCs w:val="24"/>
                <w:lang w:val="fr-CH"/>
              </w:rPr>
              <w:t xml:space="preserve">Sixième </w:t>
            </w:r>
            <w:r w:rsidRPr="00797A82">
              <w:rPr>
                <w:lang w:val="fr-CH"/>
              </w:rPr>
              <w:t xml:space="preserve">série de textes soumis par la Commission de rédaction </w:t>
            </w:r>
            <w:r w:rsidR="00797A82" w:rsidRPr="00797A82">
              <w:rPr>
                <w:lang w:val="fr-CH"/>
              </w:rPr>
              <w:t>–</w:t>
            </w:r>
            <w:r w:rsidRPr="00797A82">
              <w:rPr>
                <w:lang w:val="fr-CH"/>
              </w:rPr>
              <w:t xml:space="preserve"> seconde lecture</w:t>
            </w:r>
          </w:p>
        </w:tc>
        <w:tc>
          <w:tcPr>
            <w:tcW w:w="2333" w:type="dxa"/>
          </w:tcPr>
          <w:p w:rsidR="00183ADD" w:rsidRPr="00797A82" w:rsidRDefault="00891C55" w:rsidP="00183ADD">
            <w:pPr>
              <w:snapToGrid w:val="0"/>
              <w:spacing w:before="60" w:after="60"/>
              <w:jc w:val="center"/>
              <w:rPr>
                <w:lang w:val="fr-CH"/>
              </w:rPr>
            </w:pPr>
            <w:hyperlink r:id="rId11" w:history="1">
              <w:r w:rsidR="00183ADD" w:rsidRPr="00797A82">
                <w:rPr>
                  <w:rStyle w:val="Hyperlink"/>
                  <w:lang w:val="fr-CH"/>
                </w:rPr>
                <w:t>127</w:t>
              </w:r>
            </w:hyperlink>
          </w:p>
        </w:tc>
      </w:tr>
      <w:tr w:rsidR="00A624A7" w:rsidRPr="00A624A7" w:rsidTr="00B23C9D">
        <w:tc>
          <w:tcPr>
            <w:tcW w:w="534" w:type="dxa"/>
          </w:tcPr>
          <w:p w:rsidR="00183ADD" w:rsidRPr="00A624A7" w:rsidRDefault="00183ADD" w:rsidP="00183ADD">
            <w:pPr>
              <w:snapToGrid w:val="0"/>
              <w:spacing w:before="60" w:after="60"/>
              <w:ind w:left="567" w:hanging="567"/>
              <w:rPr>
                <w:rFonts w:asciiTheme="minorHAnsi" w:hAnsiTheme="minorHAnsi"/>
                <w:lang w:val="fr-CH"/>
              </w:rPr>
            </w:pPr>
            <w:r w:rsidRPr="00A624A7">
              <w:rPr>
                <w:rFonts w:asciiTheme="minorHAnsi" w:hAnsiTheme="minorHAnsi"/>
                <w:lang w:val="fr-CH"/>
              </w:rPr>
              <w:t>5</w:t>
            </w:r>
          </w:p>
        </w:tc>
        <w:tc>
          <w:tcPr>
            <w:tcW w:w="7164" w:type="dxa"/>
          </w:tcPr>
          <w:p w:rsidR="00183ADD" w:rsidRPr="00A624A7" w:rsidRDefault="00183ADD" w:rsidP="00797A82">
            <w:pPr>
              <w:snapToGrid w:val="0"/>
              <w:spacing w:before="60" w:after="60"/>
              <w:rPr>
                <w:b/>
                <w:sz w:val="22"/>
                <w:szCs w:val="24"/>
                <w:lang w:val="fr-CH"/>
              </w:rPr>
            </w:pPr>
            <w:r w:rsidRPr="00A624A7">
              <w:rPr>
                <w:szCs w:val="24"/>
                <w:lang w:val="fr-CH"/>
              </w:rPr>
              <w:t xml:space="preserve">Septième </w:t>
            </w:r>
            <w:r w:rsidRPr="00A624A7">
              <w:rPr>
                <w:lang w:val="fr-CH"/>
              </w:rPr>
              <w:t xml:space="preserve">série de textes soumis par la Commission de rédaction </w:t>
            </w:r>
            <w:r w:rsidR="00797A82" w:rsidRPr="00A624A7">
              <w:rPr>
                <w:lang w:val="fr-CH"/>
              </w:rPr>
              <w:t>–</w:t>
            </w:r>
            <w:r w:rsidRPr="00A624A7">
              <w:rPr>
                <w:lang w:val="fr-CH"/>
              </w:rPr>
              <w:t xml:space="preserve"> seconde lecture</w:t>
            </w:r>
          </w:p>
        </w:tc>
        <w:tc>
          <w:tcPr>
            <w:tcW w:w="2333" w:type="dxa"/>
          </w:tcPr>
          <w:p w:rsidR="00183ADD" w:rsidRPr="00A624A7" w:rsidRDefault="00891C55" w:rsidP="00183ADD">
            <w:pPr>
              <w:snapToGrid w:val="0"/>
              <w:spacing w:before="60" w:after="60"/>
              <w:jc w:val="center"/>
              <w:rPr>
                <w:lang w:val="fr-CH"/>
              </w:rPr>
            </w:pPr>
            <w:hyperlink r:id="rId12" w:history="1">
              <w:r w:rsidR="00183ADD" w:rsidRPr="00A624A7">
                <w:rPr>
                  <w:rStyle w:val="Hyperlink"/>
                  <w:color w:val="auto"/>
                  <w:lang w:val="fr-CH"/>
                </w:rPr>
                <w:t>128</w:t>
              </w:r>
            </w:hyperlink>
          </w:p>
        </w:tc>
      </w:tr>
      <w:tr w:rsidR="00183ADD" w:rsidRPr="00797A82" w:rsidTr="00B23C9D">
        <w:tc>
          <w:tcPr>
            <w:tcW w:w="534" w:type="dxa"/>
          </w:tcPr>
          <w:p w:rsidR="00183ADD" w:rsidRPr="00797A82" w:rsidRDefault="00183ADD" w:rsidP="00183ADD">
            <w:pPr>
              <w:snapToGrid w:val="0"/>
              <w:spacing w:before="60" w:after="60"/>
              <w:ind w:left="567" w:hanging="567"/>
              <w:rPr>
                <w:rFonts w:asciiTheme="minorHAnsi" w:hAnsiTheme="minorHAnsi"/>
                <w:lang w:val="fr-CH"/>
              </w:rPr>
            </w:pPr>
            <w:r w:rsidRPr="00797A82">
              <w:rPr>
                <w:rFonts w:asciiTheme="minorHAnsi" w:hAnsiTheme="minorHAnsi"/>
                <w:lang w:val="fr-CH"/>
              </w:rPr>
              <w:t>6</w:t>
            </w:r>
          </w:p>
        </w:tc>
        <w:tc>
          <w:tcPr>
            <w:tcW w:w="7164" w:type="dxa"/>
          </w:tcPr>
          <w:p w:rsidR="00183ADD" w:rsidRPr="00797A82" w:rsidRDefault="00183ADD" w:rsidP="00183ADD">
            <w:pPr>
              <w:snapToGrid w:val="0"/>
              <w:spacing w:before="60" w:after="60"/>
              <w:rPr>
                <w:rFonts w:asciiTheme="minorHAnsi" w:hAnsiTheme="minorHAnsi"/>
                <w:szCs w:val="24"/>
                <w:lang w:val="fr-CH"/>
              </w:rPr>
            </w:pPr>
            <w:r w:rsidRPr="00797A82">
              <w:rPr>
                <w:lang w:val="fr-CH"/>
              </w:rPr>
              <w:t>Approbation des procès-verbaux</w:t>
            </w:r>
          </w:p>
        </w:tc>
        <w:tc>
          <w:tcPr>
            <w:tcW w:w="2333" w:type="dxa"/>
          </w:tcPr>
          <w:p w:rsidR="00183ADD" w:rsidRPr="00797A82" w:rsidRDefault="00891C55" w:rsidP="00183ADD">
            <w:pPr>
              <w:snapToGrid w:val="0"/>
              <w:spacing w:before="60" w:after="60"/>
              <w:jc w:val="center"/>
              <w:rPr>
                <w:lang w:val="fr-CH"/>
              </w:rPr>
            </w:pPr>
            <w:hyperlink r:id="rId13" w:history="1">
              <w:r w:rsidR="00183ADD" w:rsidRPr="00797A82">
                <w:rPr>
                  <w:rStyle w:val="Hyperlink"/>
                  <w:lang w:val="fr-CH"/>
                </w:rPr>
                <w:t>102</w:t>
              </w:r>
            </w:hyperlink>
            <w:r w:rsidR="00183ADD" w:rsidRPr="00797A82">
              <w:rPr>
                <w:lang w:val="fr-CH"/>
              </w:rPr>
              <w:t xml:space="preserve">, </w:t>
            </w:r>
            <w:hyperlink r:id="rId14" w:history="1">
              <w:r w:rsidR="00183ADD" w:rsidRPr="00797A82">
                <w:rPr>
                  <w:rStyle w:val="Hyperlink"/>
                  <w:lang w:val="fr-CH"/>
                </w:rPr>
                <w:t>103</w:t>
              </w:r>
            </w:hyperlink>
            <w:r w:rsidR="00183ADD" w:rsidRPr="00797A82">
              <w:rPr>
                <w:lang w:val="fr-CH"/>
              </w:rPr>
              <w:t xml:space="preserve">, </w:t>
            </w:r>
            <w:hyperlink r:id="rId15" w:history="1">
              <w:r w:rsidR="00183ADD" w:rsidRPr="00797A82">
                <w:rPr>
                  <w:rStyle w:val="Hyperlink"/>
                  <w:lang w:val="fr-CH"/>
                </w:rPr>
                <w:t>114</w:t>
              </w:r>
            </w:hyperlink>
          </w:p>
        </w:tc>
      </w:tr>
    </w:tbl>
    <w:p w:rsidR="008B6A61" w:rsidRPr="00797A82" w:rsidRDefault="008B6A61" w:rsidP="00183ADD">
      <w:pPr>
        <w:rPr>
          <w:lang w:val="fr-CH"/>
        </w:rPr>
      </w:pPr>
    </w:p>
    <w:p w:rsidR="00BD1614" w:rsidRPr="00797A82" w:rsidRDefault="00BD1614" w:rsidP="00183ADD">
      <w:pPr>
        <w:tabs>
          <w:tab w:val="clear" w:pos="567"/>
          <w:tab w:val="clear" w:pos="1134"/>
          <w:tab w:val="clear" w:pos="1701"/>
          <w:tab w:val="clear" w:pos="2268"/>
          <w:tab w:val="clear" w:pos="2835"/>
        </w:tabs>
        <w:overflowPunct/>
        <w:autoSpaceDE/>
        <w:autoSpaceDN/>
        <w:adjustRightInd/>
        <w:spacing w:before="0"/>
        <w:textAlignment w:val="auto"/>
        <w:rPr>
          <w:lang w:val="fr-CH"/>
        </w:rPr>
      </w:pPr>
      <w:r w:rsidRPr="00797A82">
        <w:rPr>
          <w:lang w:val="fr-CH"/>
        </w:rPr>
        <w:br w:type="page"/>
      </w:r>
    </w:p>
    <w:p w:rsidR="00183ADD" w:rsidRPr="00797A82" w:rsidRDefault="00183ADD" w:rsidP="00183ADD">
      <w:pPr>
        <w:pStyle w:val="Heading1"/>
        <w:rPr>
          <w:lang w:val="fr-CH"/>
        </w:rPr>
      </w:pPr>
      <w:r w:rsidRPr="00797A82">
        <w:rPr>
          <w:lang w:val="fr-CH"/>
        </w:rPr>
        <w:lastRenderedPageBreak/>
        <w:t>1</w:t>
      </w:r>
      <w:r w:rsidRPr="00797A82">
        <w:rPr>
          <w:lang w:val="fr-CH"/>
        </w:rPr>
        <w:tab/>
      </w:r>
      <w:bookmarkStart w:id="6" w:name="lt_pId036"/>
      <w:r w:rsidRPr="00797A82">
        <w:rPr>
          <w:lang w:val="fr-CH"/>
        </w:rPr>
        <w:t xml:space="preserve">Rapport de la Commission 3 (Contrôle budgétaire) (Document </w:t>
      </w:r>
      <w:hyperlink r:id="rId16" w:history="1">
        <w:r w:rsidRPr="00797A82">
          <w:rPr>
            <w:rStyle w:val="Hyperlink"/>
            <w:rFonts w:asciiTheme="minorHAnsi" w:hAnsiTheme="minorHAnsi"/>
            <w:sz w:val="26"/>
            <w:szCs w:val="26"/>
            <w:lang w:val="fr-CH"/>
          </w:rPr>
          <w:t>129</w:t>
        </w:r>
      </w:hyperlink>
      <w:r w:rsidRPr="00797A82">
        <w:rPr>
          <w:lang w:val="fr-CH"/>
        </w:rPr>
        <w:t>)</w:t>
      </w:r>
      <w:bookmarkEnd w:id="6"/>
      <w:r w:rsidRPr="00797A82">
        <w:rPr>
          <w:rFonts w:cs="Calibri"/>
          <w:color w:val="800000"/>
          <w:sz w:val="22"/>
          <w:szCs w:val="24"/>
          <w:lang w:val="fr-CH"/>
        </w:rPr>
        <w:t xml:space="preserve"> </w:t>
      </w:r>
    </w:p>
    <w:p w:rsidR="00183ADD" w:rsidRPr="00797A82" w:rsidRDefault="00183ADD" w:rsidP="005700A8">
      <w:pPr>
        <w:tabs>
          <w:tab w:val="clear" w:pos="567"/>
          <w:tab w:val="clear" w:pos="1134"/>
          <w:tab w:val="clear" w:pos="1701"/>
          <w:tab w:val="clear" w:pos="2268"/>
          <w:tab w:val="clear" w:pos="2835"/>
        </w:tabs>
        <w:overflowPunct/>
        <w:autoSpaceDE/>
        <w:autoSpaceDN/>
        <w:snapToGrid w:val="0"/>
        <w:spacing w:after="120"/>
        <w:textAlignment w:val="auto"/>
        <w:rPr>
          <w:rFonts w:asciiTheme="minorHAnsi" w:hAnsiTheme="minorHAnsi"/>
          <w:szCs w:val="24"/>
          <w:lang w:val="fr-CH"/>
        </w:rPr>
      </w:pPr>
      <w:r w:rsidRPr="00797A82">
        <w:rPr>
          <w:rFonts w:asciiTheme="minorHAnsi" w:hAnsiTheme="minorHAnsi"/>
          <w:szCs w:val="24"/>
          <w:lang w:val="fr-CH"/>
        </w:rPr>
        <w:t>1.1</w:t>
      </w:r>
      <w:r w:rsidRPr="00797A82">
        <w:rPr>
          <w:rFonts w:asciiTheme="minorHAnsi" w:hAnsiTheme="minorHAnsi"/>
          <w:szCs w:val="24"/>
          <w:lang w:val="fr-CH"/>
        </w:rPr>
        <w:tab/>
      </w:r>
      <w:bookmarkStart w:id="7" w:name="lt_pId038"/>
      <w:r w:rsidRPr="00797A82">
        <w:rPr>
          <w:rFonts w:asciiTheme="minorHAnsi" w:hAnsiTheme="minorHAnsi"/>
          <w:lang w:val="fr-CH"/>
        </w:rPr>
        <w:t>La</w:t>
      </w:r>
      <w:r w:rsidRPr="00797A82">
        <w:rPr>
          <w:rFonts w:asciiTheme="minorHAnsi" w:hAnsiTheme="minorHAnsi"/>
          <w:b/>
          <w:bCs/>
          <w:lang w:val="fr-CH"/>
        </w:rPr>
        <w:t xml:space="preserve"> Présidente de la Commission 3 (Contrôle budgétaire)</w:t>
      </w:r>
      <w:r w:rsidRPr="00797A82">
        <w:rPr>
          <w:rFonts w:asciiTheme="minorHAnsi" w:hAnsiTheme="minorHAnsi"/>
          <w:lang w:val="fr-CH"/>
        </w:rPr>
        <w:t>, présentant le rapport de la Commission (Document 129), dit que ce rapport sera ultérieurement présenté au Conseil à sa session de 2019.</w:t>
      </w:r>
      <w:bookmarkStart w:id="8" w:name="lt_pId039"/>
      <w:bookmarkEnd w:id="7"/>
      <w:r w:rsidRPr="00797A82">
        <w:rPr>
          <w:rFonts w:asciiTheme="minorHAnsi" w:hAnsiTheme="minorHAnsi"/>
          <w:szCs w:val="24"/>
          <w:lang w:val="fr-CH"/>
        </w:rPr>
        <w:t xml:space="preserve"> Elle note, entre autres, qu'ayant mené à bien </w:t>
      </w:r>
      <w:r w:rsidR="005700A8" w:rsidRPr="00797A82">
        <w:rPr>
          <w:rFonts w:asciiTheme="minorHAnsi" w:hAnsiTheme="minorHAnsi"/>
          <w:szCs w:val="24"/>
          <w:lang w:val="fr-CH"/>
        </w:rPr>
        <w:t xml:space="preserve">les </w:t>
      </w:r>
      <w:r w:rsidRPr="00797A82">
        <w:rPr>
          <w:rFonts w:asciiTheme="minorHAnsi" w:hAnsiTheme="minorHAnsi"/>
          <w:szCs w:val="24"/>
          <w:lang w:val="fr-CH"/>
        </w:rPr>
        <w:t xml:space="preserve">différentes tâches </w:t>
      </w:r>
      <w:r w:rsidR="005700A8" w:rsidRPr="00797A82">
        <w:rPr>
          <w:rFonts w:asciiTheme="minorHAnsi" w:hAnsiTheme="minorHAnsi"/>
          <w:szCs w:val="24"/>
          <w:lang w:val="fr-CH"/>
        </w:rPr>
        <w:t>composant</w:t>
      </w:r>
      <w:r w:rsidRPr="00797A82">
        <w:rPr>
          <w:rFonts w:asciiTheme="minorHAnsi" w:hAnsiTheme="minorHAnsi"/>
          <w:szCs w:val="24"/>
          <w:lang w:val="fr-CH"/>
        </w:rPr>
        <w:t xml:space="preserve"> son mandat, la Commission de contrôle budgétaire prévoit, au 6 novembre 2018, un taux d'exécution du budget de 90,30 pour</w:t>
      </w:r>
      <w:r w:rsidR="005700A8" w:rsidRPr="00797A82">
        <w:rPr>
          <w:rFonts w:asciiTheme="minorHAnsi" w:hAnsiTheme="minorHAnsi"/>
          <w:szCs w:val="24"/>
          <w:lang w:val="fr-CH"/>
        </w:rPr>
        <w:t xml:space="preserve"> </w:t>
      </w:r>
      <w:r w:rsidRPr="00797A82">
        <w:rPr>
          <w:rFonts w:asciiTheme="minorHAnsi" w:hAnsiTheme="minorHAnsi"/>
          <w:szCs w:val="24"/>
          <w:lang w:val="fr-CH"/>
        </w:rPr>
        <w:t>cent, le budget total de la conférence s'élevant 2 953 000</w:t>
      </w:r>
      <w:r w:rsidR="005700A8" w:rsidRPr="00797A82">
        <w:rPr>
          <w:rFonts w:asciiTheme="minorHAnsi" w:hAnsiTheme="minorHAnsi"/>
          <w:szCs w:val="24"/>
          <w:lang w:val="fr-CH"/>
        </w:rPr>
        <w:t> </w:t>
      </w:r>
      <w:r w:rsidRPr="00797A82">
        <w:rPr>
          <w:rFonts w:asciiTheme="minorHAnsi" w:hAnsiTheme="minorHAnsi"/>
          <w:szCs w:val="24"/>
          <w:lang w:val="fr-CH"/>
        </w:rPr>
        <w:t xml:space="preserve">CHF, soit une économie budgétaire </w:t>
      </w:r>
      <w:r w:rsidR="005700A8" w:rsidRPr="00797A82">
        <w:rPr>
          <w:rFonts w:asciiTheme="minorHAnsi" w:hAnsiTheme="minorHAnsi"/>
          <w:szCs w:val="24"/>
          <w:lang w:val="fr-CH"/>
        </w:rPr>
        <w:t xml:space="preserve">totale </w:t>
      </w:r>
      <w:r w:rsidRPr="00797A82">
        <w:rPr>
          <w:rFonts w:asciiTheme="minorHAnsi" w:hAnsiTheme="minorHAnsi"/>
          <w:szCs w:val="24"/>
          <w:lang w:val="fr-CH"/>
        </w:rPr>
        <w:t>de 286 000 CHF, dont 190 000 CHF concernant les dépenses et 96 000 CHF concernant la documentation.</w:t>
      </w:r>
      <w:bookmarkEnd w:id="8"/>
      <w:r w:rsidRPr="00797A82">
        <w:rPr>
          <w:rFonts w:asciiTheme="minorHAnsi" w:hAnsiTheme="minorHAnsi"/>
          <w:szCs w:val="24"/>
          <w:lang w:val="fr-CH"/>
        </w:rPr>
        <w:t xml:space="preserve"> </w:t>
      </w:r>
      <w:bookmarkStart w:id="9" w:name="lt_pId040"/>
      <w:r w:rsidRPr="00797A82">
        <w:rPr>
          <w:rFonts w:asciiTheme="minorHAnsi" w:hAnsiTheme="minorHAnsi"/>
          <w:szCs w:val="24"/>
          <w:lang w:val="fr-CH"/>
        </w:rPr>
        <w:t>La Commission souhaite adresser sa gratitude au Gouvernement des Emirats arabes unis pour son accueil chaleureux et la grande qualité de ses services et infrastructure</w:t>
      </w:r>
      <w:r w:rsidR="005700A8" w:rsidRPr="00797A82">
        <w:rPr>
          <w:rFonts w:asciiTheme="minorHAnsi" w:hAnsiTheme="minorHAnsi"/>
          <w:szCs w:val="24"/>
          <w:lang w:val="fr-CH"/>
        </w:rPr>
        <w:t>s</w:t>
      </w:r>
      <w:r w:rsidRPr="00797A82">
        <w:rPr>
          <w:rFonts w:asciiTheme="minorHAnsi" w:hAnsiTheme="minorHAnsi"/>
          <w:szCs w:val="24"/>
          <w:lang w:val="fr-CH"/>
        </w:rPr>
        <w:t xml:space="preserve">, qui ont permis </w:t>
      </w:r>
      <w:r w:rsidR="005700A8" w:rsidRPr="00797A82">
        <w:rPr>
          <w:rFonts w:asciiTheme="minorHAnsi" w:hAnsiTheme="minorHAnsi"/>
          <w:szCs w:val="24"/>
          <w:lang w:val="fr-CH"/>
        </w:rPr>
        <w:t>de tenir</w:t>
      </w:r>
      <w:r w:rsidRPr="00797A82">
        <w:rPr>
          <w:rFonts w:asciiTheme="minorHAnsi" w:hAnsiTheme="minorHAnsi"/>
          <w:szCs w:val="24"/>
          <w:lang w:val="fr-CH"/>
        </w:rPr>
        <w:t xml:space="preserve"> la Conférence de manière efficiente et efficace.</w:t>
      </w:r>
    </w:p>
    <w:bookmarkEnd w:id="9"/>
    <w:p w:rsidR="00183ADD" w:rsidRPr="00797A82" w:rsidRDefault="00183ADD" w:rsidP="00183ADD">
      <w:pPr>
        <w:tabs>
          <w:tab w:val="clear" w:pos="567"/>
          <w:tab w:val="clear" w:pos="1134"/>
          <w:tab w:val="clear" w:pos="1701"/>
          <w:tab w:val="clear" w:pos="2268"/>
          <w:tab w:val="clear" w:pos="2835"/>
        </w:tabs>
        <w:overflowPunct/>
        <w:autoSpaceDE/>
        <w:autoSpaceDN/>
        <w:snapToGrid w:val="0"/>
        <w:spacing w:after="120"/>
        <w:textAlignment w:val="auto"/>
        <w:rPr>
          <w:rFonts w:asciiTheme="minorHAnsi" w:hAnsiTheme="minorHAnsi"/>
          <w:szCs w:val="24"/>
          <w:lang w:val="fr-CH"/>
        </w:rPr>
      </w:pPr>
      <w:r w:rsidRPr="00797A82">
        <w:rPr>
          <w:rFonts w:asciiTheme="minorHAnsi" w:hAnsiTheme="minorHAnsi"/>
          <w:szCs w:val="24"/>
          <w:lang w:val="fr-CH"/>
        </w:rPr>
        <w:t>1.2</w:t>
      </w:r>
      <w:r w:rsidRPr="00797A82">
        <w:rPr>
          <w:rFonts w:asciiTheme="minorHAnsi" w:hAnsiTheme="minorHAnsi"/>
          <w:szCs w:val="24"/>
          <w:lang w:val="fr-CH"/>
        </w:rPr>
        <w:tab/>
      </w:r>
      <w:bookmarkStart w:id="10" w:name="lt_pId042"/>
      <w:r w:rsidRPr="00797A82">
        <w:rPr>
          <w:rFonts w:asciiTheme="minorHAnsi" w:hAnsiTheme="minorHAnsi"/>
          <w:lang w:val="fr-CH"/>
        </w:rPr>
        <w:t xml:space="preserve">Le rapport de la Commission 3 (Contrôle budgétaire) (Document 129) est </w:t>
      </w:r>
      <w:r w:rsidRPr="00797A82">
        <w:rPr>
          <w:rFonts w:asciiTheme="minorHAnsi" w:hAnsiTheme="minorHAnsi"/>
          <w:b/>
          <w:bCs/>
          <w:lang w:val="fr-CH"/>
        </w:rPr>
        <w:t>approuvé</w:t>
      </w:r>
      <w:bookmarkEnd w:id="10"/>
      <w:r w:rsidRPr="00797A82">
        <w:rPr>
          <w:rFonts w:asciiTheme="minorHAnsi" w:hAnsiTheme="minorHAnsi"/>
          <w:bCs/>
          <w:lang w:val="fr-CH"/>
        </w:rPr>
        <w:t>.</w:t>
      </w:r>
    </w:p>
    <w:p w:rsidR="00183ADD" w:rsidRPr="00797A82" w:rsidRDefault="00183ADD" w:rsidP="00183ADD">
      <w:pPr>
        <w:pStyle w:val="Heading1"/>
        <w:rPr>
          <w:rFonts w:asciiTheme="minorHAnsi" w:hAnsiTheme="minorHAnsi"/>
          <w:sz w:val="26"/>
          <w:szCs w:val="26"/>
          <w:lang w:val="fr-CH"/>
        </w:rPr>
      </w:pPr>
      <w:r w:rsidRPr="00797A82">
        <w:rPr>
          <w:rFonts w:asciiTheme="minorHAnsi" w:hAnsiTheme="minorHAnsi"/>
          <w:sz w:val="26"/>
          <w:szCs w:val="26"/>
          <w:lang w:val="fr-CH"/>
        </w:rPr>
        <w:t>2</w:t>
      </w:r>
      <w:r w:rsidRPr="00797A82">
        <w:rPr>
          <w:rFonts w:asciiTheme="minorHAnsi" w:hAnsiTheme="minorHAnsi"/>
          <w:sz w:val="26"/>
          <w:szCs w:val="26"/>
          <w:lang w:val="fr-CH"/>
        </w:rPr>
        <w:tab/>
      </w:r>
      <w:bookmarkStart w:id="11" w:name="lt_pId044"/>
      <w:r w:rsidRPr="00797A82">
        <w:rPr>
          <w:lang w:val="fr-CH"/>
        </w:rPr>
        <w:t>Sixième série de textes soumis par la Commission de rédaction en première lecture</w:t>
      </w:r>
      <w:r w:rsidRPr="00797A82">
        <w:rPr>
          <w:szCs w:val="24"/>
          <w:lang w:val="fr-CH"/>
        </w:rPr>
        <w:t xml:space="preserve"> (B6)</w:t>
      </w:r>
      <w:r w:rsidRPr="00797A82">
        <w:rPr>
          <w:rFonts w:asciiTheme="minorHAnsi" w:hAnsiTheme="minorHAnsi"/>
          <w:sz w:val="26"/>
          <w:szCs w:val="26"/>
          <w:lang w:val="fr-CH"/>
        </w:rPr>
        <w:t xml:space="preserve"> (Document </w:t>
      </w:r>
      <w:hyperlink r:id="rId17" w:history="1">
        <w:r w:rsidRPr="00797A82">
          <w:rPr>
            <w:rStyle w:val="Hyperlink"/>
            <w:rFonts w:asciiTheme="minorHAnsi" w:hAnsiTheme="minorHAnsi"/>
            <w:sz w:val="26"/>
            <w:szCs w:val="26"/>
            <w:lang w:val="fr-CH"/>
          </w:rPr>
          <w:t>127</w:t>
        </w:r>
      </w:hyperlink>
      <w:r w:rsidRPr="00797A82">
        <w:rPr>
          <w:rFonts w:asciiTheme="minorHAnsi" w:hAnsiTheme="minorHAnsi"/>
          <w:sz w:val="26"/>
          <w:szCs w:val="26"/>
          <w:lang w:val="fr-CH"/>
        </w:rPr>
        <w:t>)</w:t>
      </w:r>
      <w:bookmarkEnd w:id="11"/>
    </w:p>
    <w:p w:rsidR="00183ADD" w:rsidRPr="00797A82" w:rsidRDefault="00183ADD" w:rsidP="00183ADD">
      <w:pPr>
        <w:tabs>
          <w:tab w:val="clear" w:pos="567"/>
          <w:tab w:val="clear" w:pos="1134"/>
          <w:tab w:val="clear" w:pos="1701"/>
          <w:tab w:val="clear" w:pos="2268"/>
          <w:tab w:val="clear" w:pos="2835"/>
        </w:tabs>
        <w:overflowPunct/>
        <w:autoSpaceDE/>
        <w:autoSpaceDN/>
        <w:snapToGrid w:val="0"/>
        <w:spacing w:after="120"/>
        <w:textAlignment w:val="auto"/>
        <w:rPr>
          <w:lang w:val="fr-CH"/>
        </w:rPr>
      </w:pPr>
      <w:r w:rsidRPr="00797A82">
        <w:rPr>
          <w:lang w:val="fr-CH"/>
        </w:rPr>
        <w:t>2.1</w:t>
      </w:r>
      <w:r w:rsidRPr="00797A82">
        <w:rPr>
          <w:lang w:val="fr-CH"/>
        </w:rPr>
        <w:tab/>
      </w:r>
      <w:bookmarkStart w:id="12" w:name="lt_pId046"/>
      <w:r w:rsidRPr="00797A82">
        <w:rPr>
          <w:lang w:val="fr-CH"/>
        </w:rPr>
        <w:t xml:space="preserve">La </w:t>
      </w:r>
      <w:r w:rsidRPr="00797A82">
        <w:rPr>
          <w:b/>
          <w:lang w:val="fr-CH"/>
        </w:rPr>
        <w:t xml:space="preserve">Présidente de la Commission de rédaction </w:t>
      </w:r>
      <w:r w:rsidRPr="00797A82">
        <w:rPr>
          <w:lang w:val="fr-CH"/>
        </w:rPr>
        <w:t xml:space="preserve">attire l'attention sur le fait que le projet de Résolution 175 (Rév. Dubaï, 2018) contient, dans le point </w:t>
      </w:r>
      <w:r w:rsidRPr="00891C55">
        <w:rPr>
          <w:i/>
          <w:iCs/>
          <w:lang w:val="fr-CH"/>
        </w:rPr>
        <w:t>c)</w:t>
      </w:r>
      <w:r w:rsidRPr="00797A82">
        <w:rPr>
          <w:lang w:val="fr-CH"/>
        </w:rPr>
        <w:t xml:space="preserve"> du </w:t>
      </w:r>
      <w:r w:rsidRPr="00797A82">
        <w:rPr>
          <w:i/>
          <w:iCs/>
          <w:lang w:val="fr-CH"/>
        </w:rPr>
        <w:t>reconnaissant</w:t>
      </w:r>
      <w:r w:rsidRPr="00797A82">
        <w:rPr>
          <w:lang w:val="fr-CH"/>
        </w:rPr>
        <w:t>, du texte figurant entre crochets qui renvoie au plan stratégique de l'Union pour la période 2020-2023, lequel n'a pas encore été adopté. Elle propose que le texte s</w:t>
      </w:r>
      <w:bookmarkStart w:id="13" w:name="_GoBack"/>
      <w:bookmarkEnd w:id="13"/>
      <w:r w:rsidRPr="00797A82">
        <w:rPr>
          <w:lang w:val="fr-CH"/>
        </w:rPr>
        <w:t>oit néanmoins approuvé en première lecture et que la plénière charge la Commission de rédaction d'apporter les éventuelles modifications nécessaires une fois que le plan stratégique aura été adopté. Le texte sera ensuite soumis à la plénière en seconde lecture.</w:t>
      </w:r>
    </w:p>
    <w:bookmarkEnd w:id="12"/>
    <w:p w:rsidR="00183ADD" w:rsidRPr="00797A82" w:rsidRDefault="00183ADD" w:rsidP="00183ADD">
      <w:pPr>
        <w:tabs>
          <w:tab w:val="clear" w:pos="567"/>
          <w:tab w:val="clear" w:pos="1134"/>
          <w:tab w:val="clear" w:pos="1701"/>
          <w:tab w:val="clear" w:pos="2268"/>
          <w:tab w:val="clear" w:pos="2835"/>
        </w:tabs>
        <w:overflowPunct/>
        <w:autoSpaceDE/>
        <w:autoSpaceDN/>
        <w:snapToGrid w:val="0"/>
        <w:spacing w:after="120"/>
        <w:textAlignment w:val="auto"/>
        <w:rPr>
          <w:rFonts w:asciiTheme="minorHAnsi" w:hAnsiTheme="minorHAnsi"/>
          <w:szCs w:val="24"/>
          <w:lang w:val="fr-CH"/>
        </w:rPr>
      </w:pPr>
      <w:r w:rsidRPr="00797A82">
        <w:rPr>
          <w:lang w:val="fr-CH"/>
        </w:rPr>
        <w:t>2.2</w:t>
      </w:r>
      <w:r w:rsidRPr="00797A82">
        <w:rPr>
          <w:lang w:val="fr-CH"/>
        </w:rPr>
        <w:tab/>
        <w:t xml:space="preserve">Il en est ainsi </w:t>
      </w:r>
      <w:r w:rsidRPr="00797A82">
        <w:rPr>
          <w:b/>
          <w:bCs/>
          <w:lang w:val="fr-CH"/>
        </w:rPr>
        <w:t>décidé</w:t>
      </w:r>
      <w:r w:rsidRPr="00797A82">
        <w:rPr>
          <w:lang w:val="fr-CH"/>
        </w:rPr>
        <w:t>.</w:t>
      </w:r>
    </w:p>
    <w:p w:rsidR="00183ADD" w:rsidRPr="00797A82" w:rsidRDefault="00183ADD" w:rsidP="00183ADD">
      <w:pPr>
        <w:tabs>
          <w:tab w:val="clear" w:pos="567"/>
          <w:tab w:val="clear" w:pos="1134"/>
          <w:tab w:val="clear" w:pos="1701"/>
          <w:tab w:val="clear" w:pos="2268"/>
          <w:tab w:val="clear" w:pos="2835"/>
        </w:tabs>
        <w:overflowPunct/>
        <w:autoSpaceDE/>
        <w:autoSpaceDN/>
        <w:snapToGrid w:val="0"/>
        <w:spacing w:after="120"/>
        <w:textAlignment w:val="auto"/>
        <w:rPr>
          <w:rFonts w:asciiTheme="minorHAnsi" w:hAnsiTheme="minorHAnsi"/>
          <w:b/>
          <w:bCs/>
          <w:szCs w:val="24"/>
          <w:lang w:val="fr-CH"/>
        </w:rPr>
      </w:pPr>
      <w:bookmarkStart w:id="14" w:name="lt_pId051"/>
      <w:r w:rsidRPr="00797A82">
        <w:rPr>
          <w:rFonts w:asciiTheme="minorHAnsi" w:hAnsiTheme="minorHAnsi"/>
          <w:b/>
          <w:bCs/>
          <w:szCs w:val="24"/>
          <w:lang w:val="fr-CH"/>
        </w:rPr>
        <w:t xml:space="preserve">Projet de Résolution 175 (Rév. Dubaï, 2018) – </w:t>
      </w:r>
      <w:bookmarkEnd w:id="14"/>
      <w:r w:rsidRPr="00797A82">
        <w:rPr>
          <w:b/>
          <w:bCs/>
          <w:lang w:val="fr-CH"/>
        </w:rPr>
        <w:t>Accessibilité des télécommunications/technologies de l'information et de la c</w:t>
      </w:r>
      <w:r w:rsidR="00051FE6">
        <w:rPr>
          <w:b/>
          <w:bCs/>
          <w:lang w:val="fr-CH"/>
        </w:rPr>
        <w:t>ommunication pour les personnes </w:t>
      </w:r>
      <w:r w:rsidRPr="00797A82">
        <w:rPr>
          <w:b/>
          <w:bCs/>
          <w:lang w:val="fr-CH"/>
        </w:rPr>
        <w:t>handicapées et les personnes ayant des besoins particuliers</w:t>
      </w:r>
    </w:p>
    <w:p w:rsidR="00183ADD" w:rsidRPr="00797A82" w:rsidRDefault="00183ADD" w:rsidP="00183ADD">
      <w:pPr>
        <w:tabs>
          <w:tab w:val="clear" w:pos="567"/>
          <w:tab w:val="clear" w:pos="1134"/>
          <w:tab w:val="clear" w:pos="1701"/>
          <w:tab w:val="clear" w:pos="2268"/>
          <w:tab w:val="clear" w:pos="2835"/>
        </w:tabs>
        <w:overflowPunct/>
        <w:autoSpaceDE/>
        <w:autoSpaceDN/>
        <w:snapToGrid w:val="0"/>
        <w:spacing w:after="120"/>
        <w:textAlignment w:val="auto"/>
        <w:rPr>
          <w:rFonts w:asciiTheme="minorHAnsi" w:hAnsiTheme="minorHAnsi"/>
          <w:b/>
          <w:bCs/>
          <w:szCs w:val="24"/>
          <w:lang w:val="fr-CH"/>
        </w:rPr>
      </w:pPr>
      <w:bookmarkStart w:id="15" w:name="lt_pId052"/>
      <w:r w:rsidRPr="00797A82">
        <w:rPr>
          <w:rFonts w:asciiTheme="minorHAnsi" w:hAnsiTheme="minorHAnsi"/>
          <w:b/>
          <w:bCs/>
          <w:szCs w:val="24"/>
          <w:lang w:val="fr-CH"/>
        </w:rPr>
        <w:t xml:space="preserve">Projet de Résolution 186 (Rév. Dubaï, 2018) – </w:t>
      </w:r>
      <w:bookmarkStart w:id="16" w:name="_Toc407016287"/>
      <w:bookmarkEnd w:id="15"/>
      <w:r w:rsidRPr="00797A82">
        <w:rPr>
          <w:b/>
          <w:bCs/>
          <w:lang w:val="fr-CH"/>
        </w:rPr>
        <w:t>Renforcement du rôle de l'UIT en ce qui concerne les mesures de transparence et de confiance relatives aux activités spatiales</w:t>
      </w:r>
      <w:bookmarkEnd w:id="16"/>
    </w:p>
    <w:p w:rsidR="00183ADD" w:rsidRPr="00797A82" w:rsidRDefault="00183ADD" w:rsidP="00183ADD">
      <w:pPr>
        <w:tabs>
          <w:tab w:val="clear" w:pos="567"/>
          <w:tab w:val="clear" w:pos="1134"/>
          <w:tab w:val="clear" w:pos="1701"/>
          <w:tab w:val="clear" w:pos="2268"/>
          <w:tab w:val="clear" w:pos="2835"/>
        </w:tabs>
        <w:overflowPunct/>
        <w:autoSpaceDE/>
        <w:autoSpaceDN/>
        <w:snapToGrid w:val="0"/>
        <w:spacing w:after="120"/>
        <w:textAlignment w:val="auto"/>
        <w:rPr>
          <w:rFonts w:asciiTheme="minorHAnsi" w:hAnsiTheme="minorHAnsi"/>
          <w:b/>
          <w:bCs/>
          <w:szCs w:val="24"/>
          <w:lang w:val="fr-CH"/>
        </w:rPr>
      </w:pPr>
      <w:bookmarkStart w:id="17" w:name="lt_pId053"/>
      <w:r w:rsidRPr="00797A82">
        <w:rPr>
          <w:rFonts w:asciiTheme="minorHAnsi" w:hAnsiTheme="minorHAnsi"/>
          <w:b/>
          <w:bCs/>
          <w:szCs w:val="24"/>
          <w:lang w:val="fr-CH"/>
        </w:rPr>
        <w:t xml:space="preserve">Projet de Résolution COM5/4 (Dubaï, 2018) – </w:t>
      </w:r>
      <w:bookmarkEnd w:id="17"/>
      <w:r w:rsidRPr="00797A82">
        <w:rPr>
          <w:b/>
          <w:bCs/>
          <w:lang w:val="fr-CH"/>
        </w:rPr>
        <w:t xml:space="preserve">Rôle de l'UIT en tant qu'Autorité de surveillance </w:t>
      </w:r>
      <w:r w:rsidRPr="00797A82">
        <w:rPr>
          <w:b/>
          <w:bCs/>
          <w:color w:val="000000"/>
          <w:lang w:val="fr-CH"/>
        </w:rPr>
        <w:t>du</w:t>
      </w:r>
      <w:r w:rsidRPr="00797A82">
        <w:rPr>
          <w:b/>
          <w:bCs/>
          <w:lang w:val="fr-CH"/>
        </w:rPr>
        <w:t xml:space="preserve"> système </w:t>
      </w:r>
      <w:r w:rsidRPr="00797A82">
        <w:rPr>
          <w:b/>
          <w:bCs/>
          <w:color w:val="000000"/>
          <w:lang w:val="fr-CH"/>
        </w:rPr>
        <w:t>international d'inscription pour les biens spatiaux conformément au Protocole portant sur les biens spatiaux</w:t>
      </w:r>
    </w:p>
    <w:p w:rsidR="00183ADD" w:rsidRPr="00797A82" w:rsidRDefault="00183ADD" w:rsidP="00183ADD">
      <w:pPr>
        <w:tabs>
          <w:tab w:val="clear" w:pos="567"/>
          <w:tab w:val="clear" w:pos="1134"/>
          <w:tab w:val="clear" w:pos="1701"/>
          <w:tab w:val="clear" w:pos="2268"/>
          <w:tab w:val="clear" w:pos="2835"/>
        </w:tabs>
        <w:overflowPunct/>
        <w:autoSpaceDE/>
        <w:autoSpaceDN/>
        <w:snapToGrid w:val="0"/>
        <w:spacing w:after="120"/>
        <w:textAlignment w:val="auto"/>
        <w:rPr>
          <w:rFonts w:asciiTheme="minorHAnsi" w:hAnsiTheme="minorHAnsi"/>
          <w:szCs w:val="24"/>
          <w:lang w:val="fr-CH"/>
        </w:rPr>
      </w:pPr>
      <w:r w:rsidRPr="00797A82">
        <w:rPr>
          <w:rFonts w:asciiTheme="minorHAnsi" w:hAnsiTheme="minorHAnsi"/>
          <w:szCs w:val="24"/>
          <w:lang w:val="fr-CH"/>
        </w:rPr>
        <w:t>2.3</w:t>
      </w:r>
      <w:r w:rsidRPr="00797A82">
        <w:rPr>
          <w:rFonts w:asciiTheme="minorHAnsi" w:hAnsiTheme="minorHAnsi"/>
          <w:szCs w:val="24"/>
          <w:lang w:val="fr-CH"/>
        </w:rPr>
        <w:tab/>
      </w:r>
      <w:r w:rsidRPr="00797A82">
        <w:rPr>
          <w:rFonts w:asciiTheme="minorHAnsi" w:hAnsiTheme="minorHAnsi"/>
          <w:b/>
          <w:bCs/>
          <w:szCs w:val="24"/>
          <w:lang w:val="fr-CH"/>
        </w:rPr>
        <w:t>Adoptés</w:t>
      </w:r>
      <w:r w:rsidRPr="00797A82">
        <w:rPr>
          <w:rFonts w:asciiTheme="minorHAnsi" w:hAnsiTheme="minorHAnsi"/>
          <w:szCs w:val="24"/>
          <w:lang w:val="fr-CH"/>
        </w:rPr>
        <w:t>.</w:t>
      </w:r>
    </w:p>
    <w:p w:rsidR="00183ADD" w:rsidRPr="00797A82" w:rsidRDefault="00183ADD" w:rsidP="00183ADD">
      <w:pPr>
        <w:tabs>
          <w:tab w:val="clear" w:pos="567"/>
          <w:tab w:val="clear" w:pos="1134"/>
          <w:tab w:val="clear" w:pos="1701"/>
          <w:tab w:val="clear" w:pos="2268"/>
          <w:tab w:val="clear" w:pos="2835"/>
        </w:tabs>
        <w:overflowPunct/>
        <w:autoSpaceDE/>
        <w:autoSpaceDN/>
        <w:snapToGrid w:val="0"/>
        <w:spacing w:after="120"/>
        <w:textAlignment w:val="auto"/>
        <w:rPr>
          <w:rFonts w:asciiTheme="minorHAnsi" w:hAnsiTheme="minorHAnsi"/>
          <w:szCs w:val="24"/>
          <w:lang w:val="fr-CH"/>
        </w:rPr>
      </w:pPr>
      <w:r w:rsidRPr="00797A82">
        <w:rPr>
          <w:rFonts w:asciiTheme="minorHAnsi" w:hAnsiTheme="minorHAnsi"/>
          <w:szCs w:val="24"/>
          <w:lang w:val="fr-CH"/>
        </w:rPr>
        <w:t>2.4</w:t>
      </w:r>
      <w:r w:rsidRPr="00797A82">
        <w:rPr>
          <w:rFonts w:asciiTheme="minorHAnsi" w:hAnsiTheme="minorHAnsi"/>
          <w:szCs w:val="24"/>
          <w:lang w:val="fr-CH"/>
        </w:rPr>
        <w:tab/>
      </w:r>
      <w:bookmarkStart w:id="18" w:name="lt_pId057"/>
      <w:r w:rsidRPr="00797A82">
        <w:rPr>
          <w:lang w:val="fr-CH"/>
        </w:rPr>
        <w:t xml:space="preserve">La sixième série de textes soumis par la Commission de rédaction en première lecture (B6) (Document 127) est </w:t>
      </w:r>
      <w:r w:rsidRPr="00797A82">
        <w:rPr>
          <w:b/>
          <w:bCs/>
          <w:lang w:val="fr-CH"/>
        </w:rPr>
        <w:t>approuvée</w:t>
      </w:r>
      <w:bookmarkEnd w:id="18"/>
      <w:r w:rsidRPr="00797A82">
        <w:rPr>
          <w:lang w:val="fr-CH"/>
        </w:rPr>
        <w:t>.</w:t>
      </w:r>
    </w:p>
    <w:p w:rsidR="00183ADD" w:rsidRPr="00797A82" w:rsidRDefault="00183ADD" w:rsidP="00183ADD">
      <w:pPr>
        <w:pStyle w:val="Heading1"/>
        <w:rPr>
          <w:rFonts w:asciiTheme="minorHAnsi" w:hAnsiTheme="minorHAnsi"/>
          <w:sz w:val="26"/>
          <w:szCs w:val="26"/>
          <w:lang w:val="fr-CH"/>
        </w:rPr>
      </w:pPr>
      <w:r w:rsidRPr="00797A82">
        <w:rPr>
          <w:rFonts w:asciiTheme="minorHAnsi" w:hAnsiTheme="minorHAnsi"/>
          <w:sz w:val="26"/>
          <w:szCs w:val="26"/>
          <w:lang w:val="fr-CH"/>
        </w:rPr>
        <w:t>3</w:t>
      </w:r>
      <w:r w:rsidRPr="00797A82">
        <w:rPr>
          <w:rFonts w:asciiTheme="minorHAnsi" w:hAnsiTheme="minorHAnsi"/>
          <w:sz w:val="26"/>
          <w:szCs w:val="26"/>
          <w:lang w:val="fr-CH"/>
        </w:rPr>
        <w:tab/>
      </w:r>
      <w:bookmarkStart w:id="19" w:name="lt_pId059"/>
      <w:r w:rsidRPr="00797A82">
        <w:rPr>
          <w:lang w:val="fr-CH"/>
        </w:rPr>
        <w:t>Septième série de textes soumis par la Commission de rédaction en première lecture (B7)</w:t>
      </w:r>
      <w:r w:rsidRPr="00797A82">
        <w:rPr>
          <w:rFonts w:asciiTheme="minorHAnsi" w:hAnsiTheme="minorHAnsi"/>
          <w:sz w:val="26"/>
          <w:szCs w:val="26"/>
          <w:lang w:val="fr-CH"/>
        </w:rPr>
        <w:t xml:space="preserve"> (Document </w:t>
      </w:r>
      <w:hyperlink r:id="rId18" w:history="1">
        <w:r w:rsidRPr="00797A82">
          <w:rPr>
            <w:rStyle w:val="Hyperlink"/>
            <w:rFonts w:asciiTheme="minorHAnsi" w:hAnsiTheme="minorHAnsi"/>
            <w:sz w:val="26"/>
            <w:szCs w:val="26"/>
            <w:lang w:val="fr-CH"/>
          </w:rPr>
          <w:t>128</w:t>
        </w:r>
      </w:hyperlink>
      <w:r w:rsidRPr="00797A82">
        <w:rPr>
          <w:rFonts w:asciiTheme="minorHAnsi" w:hAnsiTheme="minorHAnsi"/>
          <w:sz w:val="26"/>
          <w:szCs w:val="26"/>
          <w:lang w:val="fr-CH"/>
        </w:rPr>
        <w:t>)</w:t>
      </w:r>
      <w:bookmarkEnd w:id="19"/>
      <w:r w:rsidRPr="00797A82">
        <w:rPr>
          <w:rFonts w:cs="Calibri"/>
          <w:color w:val="800000"/>
          <w:sz w:val="22"/>
          <w:szCs w:val="24"/>
          <w:lang w:val="fr-CH"/>
        </w:rPr>
        <w:t xml:space="preserve"> </w:t>
      </w:r>
    </w:p>
    <w:p w:rsidR="00183ADD" w:rsidRPr="00797A82" w:rsidRDefault="00183ADD" w:rsidP="00183ADD">
      <w:pPr>
        <w:tabs>
          <w:tab w:val="clear" w:pos="567"/>
          <w:tab w:val="clear" w:pos="1134"/>
          <w:tab w:val="clear" w:pos="1701"/>
          <w:tab w:val="clear" w:pos="2268"/>
          <w:tab w:val="clear" w:pos="2835"/>
        </w:tabs>
        <w:overflowPunct/>
        <w:autoSpaceDE/>
        <w:autoSpaceDN/>
        <w:snapToGrid w:val="0"/>
        <w:spacing w:after="120"/>
        <w:textAlignment w:val="auto"/>
        <w:rPr>
          <w:rFonts w:asciiTheme="minorHAnsi" w:hAnsiTheme="minorHAnsi"/>
          <w:b/>
          <w:bCs/>
          <w:szCs w:val="24"/>
          <w:lang w:val="fr-CH"/>
        </w:rPr>
      </w:pPr>
      <w:bookmarkStart w:id="20" w:name="lt_pId060"/>
      <w:r w:rsidRPr="00797A82">
        <w:rPr>
          <w:rFonts w:asciiTheme="minorHAnsi" w:hAnsiTheme="minorHAnsi"/>
          <w:b/>
          <w:bCs/>
          <w:szCs w:val="24"/>
          <w:lang w:val="fr-CH"/>
        </w:rPr>
        <w:t xml:space="preserve">Projet de Résolution 140 (Rév. Dubaï, 2018) – </w:t>
      </w:r>
      <w:bookmarkStart w:id="21" w:name="_Toc165351524"/>
      <w:bookmarkStart w:id="22" w:name="_Toc407016239"/>
      <w:bookmarkEnd w:id="20"/>
      <w:r w:rsidRPr="00797A82">
        <w:rPr>
          <w:b/>
          <w:bCs/>
          <w:lang w:val="fr-CH"/>
        </w:rPr>
        <w:t>Rôle de l'UIT dans la mise en oeuvre des résultats du Sommet mondial sur la société de l'information</w:t>
      </w:r>
      <w:bookmarkEnd w:id="21"/>
      <w:r w:rsidRPr="00797A82">
        <w:rPr>
          <w:b/>
          <w:bCs/>
          <w:lang w:val="fr-CH"/>
        </w:rPr>
        <w:t xml:space="preserve"> et du Programme de développement durable à l'horizon 2030 </w:t>
      </w:r>
      <w:bookmarkEnd w:id="22"/>
      <w:r w:rsidRPr="00797A82">
        <w:rPr>
          <w:b/>
          <w:bCs/>
          <w:lang w:val="fr-CH"/>
        </w:rPr>
        <w:t>ainsi que dans les processus de suivi et d'examen associés</w:t>
      </w:r>
    </w:p>
    <w:p w:rsidR="00183ADD" w:rsidRPr="00797A82" w:rsidRDefault="00183ADD" w:rsidP="00183ADD">
      <w:pPr>
        <w:tabs>
          <w:tab w:val="clear" w:pos="567"/>
          <w:tab w:val="clear" w:pos="1134"/>
          <w:tab w:val="clear" w:pos="1701"/>
          <w:tab w:val="clear" w:pos="2268"/>
          <w:tab w:val="clear" w:pos="2835"/>
        </w:tabs>
        <w:overflowPunct/>
        <w:autoSpaceDE/>
        <w:autoSpaceDN/>
        <w:snapToGrid w:val="0"/>
        <w:spacing w:after="120"/>
        <w:textAlignment w:val="auto"/>
        <w:rPr>
          <w:rFonts w:asciiTheme="minorHAnsi" w:hAnsiTheme="minorHAnsi"/>
          <w:szCs w:val="24"/>
          <w:lang w:val="fr-CH"/>
        </w:rPr>
      </w:pPr>
      <w:r w:rsidRPr="00797A82">
        <w:rPr>
          <w:rFonts w:asciiTheme="minorHAnsi" w:hAnsiTheme="minorHAnsi"/>
          <w:szCs w:val="24"/>
          <w:lang w:val="fr-CH"/>
        </w:rPr>
        <w:t>3.1</w:t>
      </w:r>
      <w:r w:rsidRPr="00797A82">
        <w:rPr>
          <w:rFonts w:asciiTheme="minorHAnsi" w:hAnsiTheme="minorHAnsi"/>
          <w:szCs w:val="24"/>
          <w:lang w:val="fr-CH"/>
        </w:rPr>
        <w:tab/>
      </w:r>
      <w:bookmarkStart w:id="23" w:name="lt_pId062"/>
      <w:r w:rsidRPr="00797A82">
        <w:rPr>
          <w:rFonts w:asciiTheme="minorHAnsi" w:hAnsiTheme="minorHAnsi"/>
          <w:b/>
          <w:bCs/>
          <w:szCs w:val="24"/>
          <w:lang w:val="fr-CH"/>
        </w:rPr>
        <w:t>Adopté</w:t>
      </w:r>
      <w:r w:rsidRPr="00797A82">
        <w:rPr>
          <w:rFonts w:asciiTheme="minorHAnsi" w:hAnsiTheme="minorHAnsi"/>
          <w:szCs w:val="24"/>
          <w:lang w:val="fr-CH"/>
        </w:rPr>
        <w:t>.</w:t>
      </w:r>
      <w:bookmarkEnd w:id="23"/>
    </w:p>
    <w:p w:rsidR="00183ADD" w:rsidRPr="00797A82" w:rsidRDefault="00183ADD" w:rsidP="00183ADD">
      <w:pPr>
        <w:tabs>
          <w:tab w:val="clear" w:pos="567"/>
          <w:tab w:val="clear" w:pos="1134"/>
          <w:tab w:val="clear" w:pos="1701"/>
          <w:tab w:val="clear" w:pos="2268"/>
          <w:tab w:val="clear" w:pos="2835"/>
        </w:tabs>
        <w:overflowPunct/>
        <w:autoSpaceDE/>
        <w:autoSpaceDN/>
        <w:snapToGrid w:val="0"/>
        <w:spacing w:after="120"/>
        <w:textAlignment w:val="auto"/>
        <w:rPr>
          <w:rFonts w:asciiTheme="minorHAnsi" w:hAnsiTheme="minorHAnsi"/>
          <w:b/>
          <w:bCs/>
          <w:szCs w:val="24"/>
          <w:lang w:val="fr-CH"/>
        </w:rPr>
      </w:pPr>
      <w:bookmarkStart w:id="24" w:name="lt_pId063"/>
      <w:r w:rsidRPr="00797A82">
        <w:rPr>
          <w:rFonts w:asciiTheme="minorHAnsi" w:hAnsiTheme="minorHAnsi"/>
          <w:b/>
          <w:bCs/>
          <w:szCs w:val="24"/>
          <w:lang w:val="fr-CH"/>
        </w:rPr>
        <w:lastRenderedPageBreak/>
        <w:t xml:space="preserve">Projet de Résolution WGPL/1 (Dubaï, 2018) – </w:t>
      </w:r>
      <w:bookmarkEnd w:id="24"/>
      <w:r w:rsidRPr="00797A82">
        <w:rPr>
          <w:b/>
          <w:bCs/>
          <w:lang w:val="fr-CH"/>
        </w:rPr>
        <w:t>Utilisation des technologies de l'information et de la communication pour réduire les disparités en matière d'inclusion financière</w:t>
      </w:r>
    </w:p>
    <w:p w:rsidR="00183ADD" w:rsidRPr="00797A82" w:rsidRDefault="00183ADD" w:rsidP="005700A8">
      <w:pPr>
        <w:tabs>
          <w:tab w:val="clear" w:pos="567"/>
          <w:tab w:val="clear" w:pos="1134"/>
          <w:tab w:val="clear" w:pos="1701"/>
          <w:tab w:val="clear" w:pos="2268"/>
          <w:tab w:val="clear" w:pos="2835"/>
        </w:tabs>
        <w:overflowPunct/>
        <w:autoSpaceDE/>
        <w:autoSpaceDN/>
        <w:snapToGrid w:val="0"/>
        <w:spacing w:after="120"/>
        <w:textAlignment w:val="auto"/>
        <w:rPr>
          <w:rFonts w:asciiTheme="minorHAnsi" w:hAnsiTheme="minorHAnsi"/>
          <w:szCs w:val="24"/>
          <w:lang w:val="fr-CH"/>
        </w:rPr>
      </w:pPr>
      <w:r w:rsidRPr="00797A82">
        <w:rPr>
          <w:lang w:val="fr-CH"/>
        </w:rPr>
        <w:t>3.2</w:t>
      </w:r>
      <w:r w:rsidRPr="00797A82">
        <w:rPr>
          <w:lang w:val="fr-CH"/>
        </w:rPr>
        <w:tab/>
      </w:r>
      <w:bookmarkStart w:id="25" w:name="lt_pId065"/>
      <w:r w:rsidRPr="00797A82">
        <w:rPr>
          <w:lang w:val="fr-CH"/>
        </w:rPr>
        <w:t>La</w:t>
      </w:r>
      <w:r w:rsidRPr="00797A82">
        <w:rPr>
          <w:rFonts w:asciiTheme="minorHAnsi" w:hAnsiTheme="minorHAnsi"/>
          <w:szCs w:val="24"/>
          <w:lang w:val="fr-CH"/>
        </w:rPr>
        <w:t xml:space="preserve"> </w:t>
      </w:r>
      <w:r w:rsidRPr="00797A82">
        <w:rPr>
          <w:rFonts w:asciiTheme="minorHAnsi" w:hAnsiTheme="minorHAnsi"/>
          <w:b/>
          <w:bCs/>
          <w:szCs w:val="24"/>
          <w:lang w:val="fr-CH"/>
        </w:rPr>
        <w:t>déléguée de la Fédération de Russie</w:t>
      </w:r>
      <w:r w:rsidRPr="00797A82">
        <w:rPr>
          <w:rFonts w:asciiTheme="minorHAnsi" w:hAnsiTheme="minorHAnsi"/>
          <w:szCs w:val="24"/>
          <w:lang w:val="fr-CH"/>
        </w:rPr>
        <w:t xml:space="preserve"> demande qu'une modification soit apportée </w:t>
      </w:r>
      <w:r w:rsidR="005700A8" w:rsidRPr="00797A82">
        <w:rPr>
          <w:rFonts w:asciiTheme="minorHAnsi" w:hAnsiTheme="minorHAnsi"/>
          <w:szCs w:val="24"/>
          <w:lang w:val="fr-CH"/>
        </w:rPr>
        <w:t>uniquement à</w:t>
      </w:r>
      <w:r w:rsidRPr="00797A82">
        <w:rPr>
          <w:rFonts w:asciiTheme="minorHAnsi" w:hAnsiTheme="minorHAnsi"/>
          <w:szCs w:val="24"/>
          <w:lang w:val="fr-CH"/>
        </w:rPr>
        <w:t xml:space="preserve"> la traduction </w:t>
      </w:r>
      <w:r w:rsidR="005700A8" w:rsidRPr="00797A82">
        <w:rPr>
          <w:rFonts w:asciiTheme="minorHAnsi" w:hAnsiTheme="minorHAnsi"/>
          <w:szCs w:val="24"/>
          <w:lang w:val="fr-CH"/>
        </w:rPr>
        <w:t xml:space="preserve">en russe </w:t>
      </w:r>
      <w:r w:rsidRPr="00797A82">
        <w:rPr>
          <w:rFonts w:asciiTheme="minorHAnsi" w:hAnsiTheme="minorHAnsi"/>
          <w:szCs w:val="24"/>
          <w:lang w:val="fr-CH"/>
        </w:rPr>
        <w:t xml:space="preserve">du membre de phrase "other groups" dans le point 4 du </w:t>
      </w:r>
      <w:r w:rsidRPr="00797A82">
        <w:rPr>
          <w:rFonts w:asciiTheme="minorHAnsi" w:hAnsiTheme="minorHAnsi"/>
          <w:i/>
          <w:iCs/>
          <w:szCs w:val="24"/>
          <w:lang w:val="fr-CH"/>
        </w:rPr>
        <w:t>charge les commissions d'études concernées du Secteur de la normalisation des télécommunications</w:t>
      </w:r>
      <w:r w:rsidRPr="00797A82">
        <w:rPr>
          <w:rFonts w:asciiTheme="minorHAnsi" w:hAnsiTheme="minorHAnsi"/>
          <w:szCs w:val="24"/>
          <w:lang w:val="fr-CH"/>
        </w:rPr>
        <w:t xml:space="preserve">, afin de </w:t>
      </w:r>
      <w:r w:rsidR="005700A8" w:rsidRPr="00797A82">
        <w:rPr>
          <w:rFonts w:asciiTheme="minorHAnsi" w:hAnsiTheme="minorHAnsi"/>
          <w:szCs w:val="24"/>
          <w:lang w:val="fr-CH"/>
        </w:rPr>
        <w:t>faire en sorte qu'elle</w:t>
      </w:r>
      <w:r w:rsidRPr="00797A82">
        <w:rPr>
          <w:rFonts w:asciiTheme="minorHAnsi" w:hAnsiTheme="minorHAnsi"/>
          <w:szCs w:val="24"/>
          <w:lang w:val="fr-CH"/>
        </w:rPr>
        <w:t xml:space="preserve"> couvre d'autres commissions d'études, comme dans les autres versions linguistiques.</w:t>
      </w:r>
    </w:p>
    <w:bookmarkEnd w:id="25"/>
    <w:p w:rsidR="00183ADD" w:rsidRPr="00797A82" w:rsidRDefault="00183ADD" w:rsidP="00183ADD">
      <w:pPr>
        <w:tabs>
          <w:tab w:val="clear" w:pos="567"/>
          <w:tab w:val="clear" w:pos="1134"/>
          <w:tab w:val="clear" w:pos="1701"/>
          <w:tab w:val="clear" w:pos="2268"/>
          <w:tab w:val="clear" w:pos="2835"/>
        </w:tabs>
        <w:overflowPunct/>
        <w:autoSpaceDE/>
        <w:autoSpaceDN/>
        <w:snapToGrid w:val="0"/>
        <w:spacing w:after="120"/>
        <w:textAlignment w:val="auto"/>
        <w:rPr>
          <w:rFonts w:asciiTheme="minorHAnsi" w:hAnsiTheme="minorHAnsi"/>
          <w:szCs w:val="24"/>
          <w:lang w:val="fr-CH"/>
        </w:rPr>
      </w:pPr>
      <w:r w:rsidRPr="00797A82">
        <w:rPr>
          <w:rFonts w:asciiTheme="minorHAnsi" w:hAnsiTheme="minorHAnsi"/>
          <w:szCs w:val="24"/>
          <w:lang w:val="fr-CH"/>
        </w:rPr>
        <w:t>3.3</w:t>
      </w:r>
      <w:r w:rsidRPr="00797A82">
        <w:rPr>
          <w:rFonts w:asciiTheme="minorHAnsi" w:hAnsiTheme="minorHAnsi"/>
          <w:szCs w:val="24"/>
          <w:lang w:val="fr-CH"/>
        </w:rPr>
        <w:tab/>
      </w:r>
      <w:bookmarkStart w:id="26" w:name="lt_pId067"/>
      <w:r w:rsidRPr="00797A82">
        <w:rPr>
          <w:lang w:val="fr-CH"/>
        </w:rPr>
        <w:t xml:space="preserve">Il en est ainsi </w:t>
      </w:r>
      <w:r w:rsidRPr="00797A82">
        <w:rPr>
          <w:b/>
          <w:bCs/>
          <w:lang w:val="fr-CH"/>
        </w:rPr>
        <w:t>décidé</w:t>
      </w:r>
      <w:r w:rsidRPr="00797A82">
        <w:rPr>
          <w:lang w:val="fr-CH"/>
        </w:rPr>
        <w:t>.</w:t>
      </w:r>
      <w:bookmarkEnd w:id="26"/>
    </w:p>
    <w:p w:rsidR="00183ADD" w:rsidRPr="00797A82" w:rsidRDefault="00183ADD" w:rsidP="00183ADD">
      <w:pPr>
        <w:tabs>
          <w:tab w:val="clear" w:pos="567"/>
          <w:tab w:val="clear" w:pos="1134"/>
          <w:tab w:val="clear" w:pos="1701"/>
          <w:tab w:val="clear" w:pos="2268"/>
          <w:tab w:val="clear" w:pos="2835"/>
        </w:tabs>
        <w:overflowPunct/>
        <w:autoSpaceDE/>
        <w:autoSpaceDN/>
        <w:snapToGrid w:val="0"/>
        <w:spacing w:after="120"/>
        <w:textAlignment w:val="auto"/>
        <w:rPr>
          <w:rFonts w:asciiTheme="minorHAnsi" w:hAnsiTheme="minorHAnsi"/>
          <w:szCs w:val="24"/>
          <w:lang w:val="fr-CH"/>
        </w:rPr>
      </w:pPr>
      <w:r w:rsidRPr="00797A82">
        <w:rPr>
          <w:rFonts w:asciiTheme="minorHAnsi" w:hAnsiTheme="minorHAnsi"/>
          <w:szCs w:val="24"/>
          <w:lang w:val="fr-CH"/>
        </w:rPr>
        <w:t>3.4</w:t>
      </w:r>
      <w:r w:rsidRPr="00797A82">
        <w:rPr>
          <w:rFonts w:asciiTheme="minorHAnsi" w:hAnsiTheme="minorHAnsi"/>
          <w:szCs w:val="24"/>
          <w:lang w:val="fr-CH"/>
        </w:rPr>
        <w:tab/>
      </w:r>
      <w:bookmarkStart w:id="27" w:name="lt_pId069"/>
      <w:r w:rsidRPr="00797A82">
        <w:rPr>
          <w:rFonts w:asciiTheme="minorHAnsi" w:hAnsiTheme="minorHAnsi"/>
          <w:szCs w:val="24"/>
          <w:lang w:val="fr-CH"/>
        </w:rPr>
        <w:t xml:space="preserve">Le projet de Résolution WGPL/1 (Dubaï, 2018), avec la modification apportée à la version russe, est </w:t>
      </w:r>
      <w:r w:rsidRPr="00797A82">
        <w:rPr>
          <w:rFonts w:asciiTheme="minorHAnsi" w:hAnsiTheme="minorHAnsi"/>
          <w:b/>
          <w:bCs/>
          <w:szCs w:val="24"/>
          <w:lang w:val="fr-CH"/>
        </w:rPr>
        <w:t>adopté</w:t>
      </w:r>
      <w:r w:rsidRPr="00797A82">
        <w:rPr>
          <w:rFonts w:asciiTheme="minorHAnsi" w:hAnsiTheme="minorHAnsi"/>
          <w:szCs w:val="24"/>
          <w:lang w:val="fr-CH"/>
        </w:rPr>
        <w:t>.</w:t>
      </w:r>
      <w:bookmarkEnd w:id="27"/>
    </w:p>
    <w:p w:rsidR="00183ADD" w:rsidRPr="00797A82" w:rsidRDefault="00183ADD" w:rsidP="00183ADD">
      <w:pPr>
        <w:tabs>
          <w:tab w:val="clear" w:pos="567"/>
          <w:tab w:val="clear" w:pos="1134"/>
          <w:tab w:val="clear" w:pos="1701"/>
          <w:tab w:val="clear" w:pos="2268"/>
          <w:tab w:val="clear" w:pos="2835"/>
        </w:tabs>
        <w:overflowPunct/>
        <w:autoSpaceDE/>
        <w:autoSpaceDN/>
        <w:snapToGrid w:val="0"/>
        <w:spacing w:after="120"/>
        <w:textAlignment w:val="auto"/>
        <w:rPr>
          <w:rFonts w:asciiTheme="minorHAnsi" w:hAnsiTheme="minorHAnsi"/>
          <w:szCs w:val="24"/>
          <w:lang w:val="fr-CH"/>
        </w:rPr>
      </w:pPr>
      <w:r w:rsidRPr="00797A82">
        <w:rPr>
          <w:rFonts w:asciiTheme="minorHAnsi" w:hAnsiTheme="minorHAnsi"/>
          <w:szCs w:val="24"/>
          <w:lang w:val="fr-CH"/>
        </w:rPr>
        <w:t>3.5</w:t>
      </w:r>
      <w:r w:rsidRPr="00797A82">
        <w:rPr>
          <w:rFonts w:asciiTheme="minorHAnsi" w:hAnsiTheme="minorHAnsi"/>
          <w:szCs w:val="24"/>
          <w:lang w:val="fr-CH"/>
        </w:rPr>
        <w:tab/>
      </w:r>
      <w:bookmarkStart w:id="28" w:name="lt_pId071"/>
      <w:r w:rsidRPr="00797A82">
        <w:rPr>
          <w:lang w:val="fr-CH"/>
        </w:rPr>
        <w:t xml:space="preserve">La septième série de textes soumis par la Commission de rédaction en première lecture (B7) (Document 128), telle que modifiée, est </w:t>
      </w:r>
      <w:r w:rsidRPr="00797A82">
        <w:rPr>
          <w:b/>
          <w:bCs/>
          <w:lang w:val="fr-CH"/>
        </w:rPr>
        <w:t>approuvée</w:t>
      </w:r>
      <w:r w:rsidRPr="00797A82">
        <w:rPr>
          <w:rFonts w:asciiTheme="minorHAnsi" w:hAnsiTheme="minorHAnsi"/>
          <w:szCs w:val="24"/>
          <w:lang w:val="fr-CH"/>
        </w:rPr>
        <w:t>.</w:t>
      </w:r>
      <w:bookmarkEnd w:id="28"/>
    </w:p>
    <w:p w:rsidR="00183ADD" w:rsidRPr="00797A82" w:rsidRDefault="00183ADD" w:rsidP="005700A8">
      <w:pPr>
        <w:pStyle w:val="Heading1"/>
        <w:rPr>
          <w:rFonts w:asciiTheme="minorHAnsi" w:hAnsiTheme="minorHAnsi"/>
          <w:sz w:val="26"/>
          <w:lang w:val="fr-CH"/>
        </w:rPr>
      </w:pPr>
      <w:r w:rsidRPr="00797A82">
        <w:rPr>
          <w:rFonts w:asciiTheme="minorHAnsi" w:hAnsiTheme="minorHAnsi"/>
          <w:sz w:val="26"/>
          <w:lang w:val="fr-CH"/>
        </w:rPr>
        <w:t>4</w:t>
      </w:r>
      <w:r w:rsidRPr="00797A82">
        <w:rPr>
          <w:rFonts w:asciiTheme="minorHAnsi" w:hAnsiTheme="minorHAnsi"/>
          <w:sz w:val="26"/>
          <w:lang w:val="fr-CH"/>
        </w:rPr>
        <w:tab/>
      </w:r>
      <w:bookmarkStart w:id="29" w:name="lt_pId073"/>
      <w:r w:rsidRPr="00797A82">
        <w:rPr>
          <w:szCs w:val="24"/>
          <w:lang w:val="fr-CH"/>
        </w:rPr>
        <w:t xml:space="preserve">Sixième </w:t>
      </w:r>
      <w:r w:rsidRPr="00797A82">
        <w:rPr>
          <w:lang w:val="fr-CH"/>
        </w:rPr>
        <w:t>série de textes soumis pa</w:t>
      </w:r>
      <w:r w:rsidR="005700A8" w:rsidRPr="00797A82">
        <w:rPr>
          <w:lang w:val="fr-CH"/>
        </w:rPr>
        <w:t xml:space="preserve">r la Commission de rédaction – seconde </w:t>
      </w:r>
      <w:r w:rsidRPr="00797A82">
        <w:rPr>
          <w:lang w:val="fr-CH"/>
        </w:rPr>
        <w:t>lecture</w:t>
      </w:r>
      <w:r w:rsidRPr="00797A82">
        <w:rPr>
          <w:rFonts w:asciiTheme="minorHAnsi" w:hAnsiTheme="minorHAnsi"/>
          <w:sz w:val="26"/>
          <w:lang w:val="fr-CH"/>
        </w:rPr>
        <w:t xml:space="preserve"> (Document </w:t>
      </w:r>
      <w:hyperlink r:id="rId19" w:history="1">
        <w:r w:rsidRPr="00797A82">
          <w:rPr>
            <w:rStyle w:val="Hyperlink"/>
            <w:rFonts w:asciiTheme="minorHAnsi" w:hAnsiTheme="minorHAnsi"/>
            <w:sz w:val="26"/>
            <w:szCs w:val="26"/>
            <w:lang w:val="fr-CH"/>
          </w:rPr>
          <w:t>127</w:t>
        </w:r>
      </w:hyperlink>
      <w:r w:rsidRPr="00797A82">
        <w:rPr>
          <w:rFonts w:asciiTheme="minorHAnsi" w:hAnsiTheme="minorHAnsi"/>
          <w:sz w:val="26"/>
          <w:lang w:val="fr-CH"/>
        </w:rPr>
        <w:t>)</w:t>
      </w:r>
      <w:bookmarkEnd w:id="29"/>
    </w:p>
    <w:p w:rsidR="00183ADD" w:rsidRPr="00797A82" w:rsidRDefault="00183ADD" w:rsidP="00E01DD6">
      <w:pPr>
        <w:tabs>
          <w:tab w:val="clear" w:pos="567"/>
          <w:tab w:val="clear" w:pos="1134"/>
          <w:tab w:val="clear" w:pos="1701"/>
          <w:tab w:val="clear" w:pos="2268"/>
          <w:tab w:val="clear" w:pos="2835"/>
        </w:tabs>
        <w:overflowPunct/>
        <w:autoSpaceDE/>
        <w:autoSpaceDN/>
        <w:snapToGrid w:val="0"/>
        <w:spacing w:after="120"/>
        <w:textAlignment w:val="auto"/>
        <w:rPr>
          <w:lang w:val="fr-CH"/>
        </w:rPr>
      </w:pPr>
      <w:r w:rsidRPr="00797A82">
        <w:rPr>
          <w:rFonts w:asciiTheme="minorHAnsi" w:hAnsiTheme="minorHAnsi"/>
          <w:szCs w:val="24"/>
          <w:lang w:val="fr-CH"/>
        </w:rPr>
        <w:t>4.1</w:t>
      </w:r>
      <w:r w:rsidRPr="00797A82">
        <w:rPr>
          <w:rFonts w:asciiTheme="minorHAnsi" w:hAnsiTheme="minorHAnsi"/>
          <w:szCs w:val="24"/>
          <w:lang w:val="fr-CH"/>
        </w:rPr>
        <w:tab/>
      </w:r>
      <w:bookmarkStart w:id="30" w:name="lt_pId075"/>
      <w:r w:rsidRPr="00797A82">
        <w:rPr>
          <w:lang w:val="fr-CH"/>
        </w:rPr>
        <w:t xml:space="preserve">A l'exception du projet de Résolution 175 (Rév. Dubaï, 2018), la sixième série de textes soumis par la Commission de rédaction (Document 127) est </w:t>
      </w:r>
      <w:r w:rsidRPr="00797A82">
        <w:rPr>
          <w:b/>
          <w:bCs/>
          <w:lang w:val="fr-CH"/>
        </w:rPr>
        <w:t>approuvée</w:t>
      </w:r>
      <w:r w:rsidRPr="00797A82">
        <w:rPr>
          <w:bCs/>
          <w:lang w:val="fr-CH"/>
        </w:rPr>
        <w:t xml:space="preserve"> en </w:t>
      </w:r>
      <w:r w:rsidR="00E01DD6">
        <w:rPr>
          <w:rFonts w:asciiTheme="minorHAnsi" w:hAnsiTheme="minorHAnsi"/>
          <w:lang w:val="fr-CH"/>
        </w:rPr>
        <w:t>seconde</w:t>
      </w:r>
      <w:r w:rsidR="00E01DD6" w:rsidRPr="00797A82">
        <w:rPr>
          <w:bCs/>
          <w:lang w:val="fr-CH"/>
        </w:rPr>
        <w:t xml:space="preserve"> </w:t>
      </w:r>
      <w:r w:rsidRPr="00797A82">
        <w:rPr>
          <w:bCs/>
          <w:lang w:val="fr-CH"/>
        </w:rPr>
        <w:t>lecture</w:t>
      </w:r>
      <w:r w:rsidRPr="00797A82">
        <w:rPr>
          <w:lang w:val="fr-CH"/>
        </w:rPr>
        <w:t>.</w:t>
      </w:r>
    </w:p>
    <w:bookmarkEnd w:id="30"/>
    <w:p w:rsidR="00183ADD" w:rsidRPr="00797A82" w:rsidRDefault="00183ADD" w:rsidP="005700A8">
      <w:pPr>
        <w:pStyle w:val="Heading1"/>
        <w:rPr>
          <w:rFonts w:asciiTheme="minorHAnsi" w:hAnsiTheme="minorHAnsi"/>
          <w:sz w:val="26"/>
          <w:lang w:val="fr-CH"/>
        </w:rPr>
      </w:pPr>
      <w:r w:rsidRPr="00797A82">
        <w:rPr>
          <w:rFonts w:asciiTheme="minorHAnsi" w:hAnsiTheme="minorHAnsi"/>
          <w:sz w:val="26"/>
          <w:lang w:val="fr-CH"/>
        </w:rPr>
        <w:t>5</w:t>
      </w:r>
      <w:r w:rsidRPr="00797A82">
        <w:rPr>
          <w:rFonts w:asciiTheme="minorHAnsi" w:hAnsiTheme="minorHAnsi"/>
          <w:sz w:val="26"/>
          <w:lang w:val="fr-CH"/>
        </w:rPr>
        <w:tab/>
      </w:r>
      <w:bookmarkStart w:id="31" w:name="lt_pId077"/>
      <w:r w:rsidRPr="00797A82">
        <w:rPr>
          <w:szCs w:val="24"/>
          <w:lang w:val="fr-CH"/>
        </w:rPr>
        <w:t xml:space="preserve">Septième </w:t>
      </w:r>
      <w:r w:rsidRPr="00797A82">
        <w:rPr>
          <w:lang w:val="fr-CH"/>
        </w:rPr>
        <w:t xml:space="preserve">série de textes soumis par la Commission de rédaction </w:t>
      </w:r>
      <w:r w:rsidR="005700A8" w:rsidRPr="00797A82">
        <w:rPr>
          <w:lang w:val="fr-CH"/>
        </w:rPr>
        <w:t xml:space="preserve">– seconde </w:t>
      </w:r>
      <w:r w:rsidRPr="00797A82">
        <w:rPr>
          <w:lang w:val="fr-CH"/>
        </w:rPr>
        <w:t>lecture</w:t>
      </w:r>
      <w:r w:rsidRPr="00797A82">
        <w:rPr>
          <w:rFonts w:asciiTheme="minorHAnsi" w:hAnsiTheme="minorHAnsi"/>
          <w:sz w:val="26"/>
          <w:lang w:val="fr-CH"/>
        </w:rPr>
        <w:t xml:space="preserve"> (Document </w:t>
      </w:r>
      <w:hyperlink r:id="rId20" w:history="1">
        <w:r w:rsidRPr="00797A82">
          <w:rPr>
            <w:rStyle w:val="Hyperlink"/>
            <w:rFonts w:asciiTheme="minorHAnsi" w:hAnsiTheme="minorHAnsi"/>
            <w:sz w:val="26"/>
            <w:szCs w:val="26"/>
            <w:lang w:val="fr-CH"/>
          </w:rPr>
          <w:t>128</w:t>
        </w:r>
      </w:hyperlink>
      <w:r w:rsidRPr="00797A82">
        <w:rPr>
          <w:rFonts w:asciiTheme="minorHAnsi" w:hAnsiTheme="minorHAnsi"/>
          <w:sz w:val="26"/>
          <w:lang w:val="fr-CH"/>
        </w:rPr>
        <w:t>)</w:t>
      </w:r>
      <w:bookmarkEnd w:id="31"/>
    </w:p>
    <w:p w:rsidR="00183ADD" w:rsidRPr="00797A82" w:rsidRDefault="00183ADD" w:rsidP="00E01DD6">
      <w:pPr>
        <w:tabs>
          <w:tab w:val="clear" w:pos="567"/>
          <w:tab w:val="clear" w:pos="1134"/>
          <w:tab w:val="clear" w:pos="1701"/>
          <w:tab w:val="clear" w:pos="2268"/>
          <w:tab w:val="clear" w:pos="2835"/>
        </w:tabs>
        <w:overflowPunct/>
        <w:autoSpaceDE/>
        <w:autoSpaceDN/>
        <w:snapToGrid w:val="0"/>
        <w:spacing w:after="120"/>
        <w:textAlignment w:val="auto"/>
        <w:rPr>
          <w:rFonts w:asciiTheme="minorHAnsi" w:hAnsiTheme="minorHAnsi"/>
          <w:szCs w:val="24"/>
          <w:lang w:val="fr-CH"/>
        </w:rPr>
      </w:pPr>
      <w:r w:rsidRPr="00797A82">
        <w:rPr>
          <w:rFonts w:asciiTheme="minorHAnsi" w:hAnsiTheme="minorHAnsi"/>
          <w:szCs w:val="24"/>
          <w:lang w:val="fr-CH"/>
        </w:rPr>
        <w:t>5.1</w:t>
      </w:r>
      <w:r w:rsidRPr="00797A82">
        <w:rPr>
          <w:rFonts w:asciiTheme="minorHAnsi" w:hAnsiTheme="minorHAnsi"/>
          <w:szCs w:val="24"/>
          <w:lang w:val="fr-CH"/>
        </w:rPr>
        <w:tab/>
      </w:r>
      <w:bookmarkStart w:id="32" w:name="lt_pId079"/>
      <w:r w:rsidRPr="00797A82">
        <w:rPr>
          <w:rFonts w:asciiTheme="minorHAnsi" w:hAnsiTheme="minorHAnsi"/>
          <w:lang w:val="fr-CH"/>
        </w:rPr>
        <w:t xml:space="preserve">La septième série de textes soumis par la Commission de rédaction (Document 128), telle que modifiée en première lecture, est </w:t>
      </w:r>
      <w:r w:rsidRPr="00797A82">
        <w:rPr>
          <w:rFonts w:asciiTheme="minorHAnsi" w:hAnsiTheme="minorHAnsi"/>
          <w:b/>
          <w:bCs/>
          <w:lang w:val="fr-CH"/>
        </w:rPr>
        <w:t>approuvée</w:t>
      </w:r>
      <w:r w:rsidRPr="00797A82">
        <w:rPr>
          <w:rFonts w:asciiTheme="minorHAnsi" w:hAnsiTheme="minorHAnsi"/>
          <w:lang w:val="fr-CH"/>
        </w:rPr>
        <w:t xml:space="preserve"> en </w:t>
      </w:r>
      <w:r w:rsidR="00E01DD6">
        <w:rPr>
          <w:rFonts w:asciiTheme="minorHAnsi" w:hAnsiTheme="minorHAnsi"/>
          <w:lang w:val="fr-CH"/>
        </w:rPr>
        <w:t>seconde</w:t>
      </w:r>
      <w:r w:rsidRPr="00797A82">
        <w:rPr>
          <w:rFonts w:asciiTheme="minorHAnsi" w:hAnsiTheme="minorHAnsi"/>
          <w:lang w:val="fr-CH"/>
        </w:rPr>
        <w:t xml:space="preserve"> lecture</w:t>
      </w:r>
      <w:r w:rsidRPr="0035005B">
        <w:rPr>
          <w:rFonts w:asciiTheme="minorHAnsi" w:hAnsiTheme="minorHAnsi"/>
          <w:lang w:val="fr-CH"/>
        </w:rPr>
        <w:t>.</w:t>
      </w:r>
    </w:p>
    <w:bookmarkEnd w:id="32"/>
    <w:p w:rsidR="00183ADD" w:rsidRPr="00797A82" w:rsidRDefault="00183ADD" w:rsidP="005700A8">
      <w:pPr>
        <w:pStyle w:val="Heading1"/>
        <w:rPr>
          <w:lang w:val="fr-CH"/>
        </w:rPr>
      </w:pPr>
      <w:r w:rsidRPr="00797A82">
        <w:rPr>
          <w:lang w:val="fr-CH"/>
        </w:rPr>
        <w:t>6</w:t>
      </w:r>
      <w:r w:rsidRPr="00797A82">
        <w:rPr>
          <w:lang w:val="fr-CH"/>
        </w:rPr>
        <w:tab/>
      </w:r>
      <w:bookmarkStart w:id="33" w:name="lt_pId081"/>
      <w:r w:rsidRPr="00797A82">
        <w:rPr>
          <w:lang w:val="fr-CH"/>
        </w:rPr>
        <w:t xml:space="preserve">Approbation des procès-verbaux (Documents </w:t>
      </w:r>
      <w:hyperlink r:id="rId21" w:history="1">
        <w:r w:rsidRPr="00797A82">
          <w:rPr>
            <w:rStyle w:val="Hyperlink"/>
            <w:rFonts w:asciiTheme="minorHAnsi" w:hAnsiTheme="minorHAnsi"/>
            <w:sz w:val="26"/>
            <w:szCs w:val="26"/>
            <w:lang w:val="fr-CH"/>
          </w:rPr>
          <w:t>102</w:t>
        </w:r>
      </w:hyperlink>
      <w:r w:rsidRPr="00797A82">
        <w:rPr>
          <w:lang w:val="fr-CH"/>
        </w:rPr>
        <w:t xml:space="preserve">, </w:t>
      </w:r>
      <w:hyperlink r:id="rId22" w:history="1">
        <w:r w:rsidRPr="00797A82">
          <w:rPr>
            <w:rStyle w:val="Hyperlink"/>
            <w:rFonts w:asciiTheme="minorHAnsi" w:hAnsiTheme="minorHAnsi"/>
            <w:sz w:val="26"/>
            <w:szCs w:val="26"/>
            <w:lang w:val="fr-CH"/>
          </w:rPr>
          <w:t>103</w:t>
        </w:r>
      </w:hyperlink>
      <w:r w:rsidRPr="00797A82">
        <w:rPr>
          <w:lang w:val="fr-CH"/>
        </w:rPr>
        <w:t xml:space="preserve"> et </w:t>
      </w:r>
      <w:hyperlink r:id="rId23" w:history="1">
        <w:r w:rsidRPr="00797A82">
          <w:rPr>
            <w:rStyle w:val="Hyperlink"/>
            <w:rFonts w:asciiTheme="minorHAnsi" w:hAnsiTheme="minorHAnsi"/>
            <w:sz w:val="26"/>
            <w:szCs w:val="26"/>
            <w:lang w:val="fr-CH"/>
          </w:rPr>
          <w:t>114</w:t>
        </w:r>
      </w:hyperlink>
      <w:r w:rsidRPr="00797A82">
        <w:rPr>
          <w:lang w:val="fr-CH"/>
        </w:rPr>
        <w:t>)</w:t>
      </w:r>
      <w:bookmarkEnd w:id="33"/>
    </w:p>
    <w:p w:rsidR="00183ADD" w:rsidRPr="00797A82" w:rsidRDefault="00183ADD" w:rsidP="00183ADD">
      <w:pPr>
        <w:tabs>
          <w:tab w:val="clear" w:pos="567"/>
          <w:tab w:val="clear" w:pos="1134"/>
          <w:tab w:val="clear" w:pos="1701"/>
          <w:tab w:val="clear" w:pos="2268"/>
          <w:tab w:val="clear" w:pos="2835"/>
        </w:tabs>
        <w:overflowPunct/>
        <w:autoSpaceDE/>
        <w:autoSpaceDN/>
        <w:snapToGrid w:val="0"/>
        <w:spacing w:after="120"/>
        <w:textAlignment w:val="auto"/>
        <w:rPr>
          <w:rFonts w:asciiTheme="minorHAnsi" w:hAnsiTheme="minorHAnsi"/>
          <w:szCs w:val="24"/>
          <w:lang w:val="fr-CH"/>
        </w:rPr>
      </w:pPr>
      <w:r w:rsidRPr="00797A82">
        <w:rPr>
          <w:rFonts w:asciiTheme="minorHAnsi" w:hAnsiTheme="minorHAnsi"/>
          <w:szCs w:val="24"/>
          <w:lang w:val="fr-CH"/>
        </w:rPr>
        <w:t>6.1</w:t>
      </w:r>
      <w:r w:rsidRPr="00797A82">
        <w:rPr>
          <w:rFonts w:asciiTheme="minorHAnsi" w:hAnsiTheme="minorHAnsi"/>
          <w:szCs w:val="24"/>
          <w:lang w:val="fr-CH"/>
        </w:rPr>
        <w:tab/>
      </w:r>
      <w:bookmarkStart w:id="34" w:name="lt_pId083"/>
      <w:r w:rsidRPr="00797A82">
        <w:rPr>
          <w:rFonts w:asciiTheme="minorHAnsi" w:hAnsiTheme="minorHAnsi"/>
          <w:szCs w:val="24"/>
          <w:lang w:val="fr-CH"/>
        </w:rPr>
        <w:t xml:space="preserve">Les procès-verbaux des huitième séance plénière (Document 102), neuvième séance plénière (Document 103) et dixième séance plénière (Document 114) sont </w:t>
      </w:r>
      <w:r w:rsidRPr="00797A82">
        <w:rPr>
          <w:rFonts w:asciiTheme="minorHAnsi" w:hAnsiTheme="minorHAnsi"/>
          <w:b/>
          <w:bCs/>
          <w:szCs w:val="24"/>
          <w:lang w:val="fr-CH"/>
        </w:rPr>
        <w:t>approuvés</w:t>
      </w:r>
      <w:r w:rsidRPr="00797A82">
        <w:rPr>
          <w:rFonts w:asciiTheme="minorHAnsi" w:hAnsiTheme="minorHAnsi"/>
          <w:szCs w:val="24"/>
          <w:lang w:val="fr-CH"/>
        </w:rPr>
        <w:t>.</w:t>
      </w:r>
      <w:bookmarkEnd w:id="34"/>
    </w:p>
    <w:p w:rsidR="00183ADD" w:rsidRPr="00797A82" w:rsidRDefault="00183ADD" w:rsidP="00183ADD">
      <w:pPr>
        <w:tabs>
          <w:tab w:val="clear" w:pos="567"/>
          <w:tab w:val="clear" w:pos="1134"/>
          <w:tab w:val="clear" w:pos="1701"/>
          <w:tab w:val="clear" w:pos="2268"/>
          <w:tab w:val="clear" w:pos="2835"/>
        </w:tabs>
        <w:overflowPunct/>
        <w:autoSpaceDE/>
        <w:autoSpaceDN/>
        <w:snapToGrid w:val="0"/>
        <w:spacing w:after="120"/>
        <w:textAlignment w:val="auto"/>
        <w:rPr>
          <w:rFonts w:asciiTheme="minorHAnsi" w:hAnsiTheme="minorHAnsi"/>
          <w:b/>
          <w:bCs/>
          <w:szCs w:val="24"/>
          <w:lang w:val="fr-CH"/>
        </w:rPr>
      </w:pPr>
      <w:bookmarkStart w:id="35" w:name="lt_pId084"/>
      <w:r w:rsidRPr="00797A82">
        <w:rPr>
          <w:b/>
          <w:bCs/>
          <w:lang w:val="fr-CH"/>
        </w:rPr>
        <w:t>La séance est levée à 10 h 00</w:t>
      </w:r>
      <w:r w:rsidRPr="00797A82">
        <w:rPr>
          <w:rFonts w:asciiTheme="minorHAnsi" w:hAnsiTheme="minorHAnsi"/>
          <w:b/>
          <w:bCs/>
          <w:szCs w:val="24"/>
          <w:lang w:val="fr-CH"/>
        </w:rPr>
        <w:t>.</w:t>
      </w:r>
      <w:bookmarkEnd w:id="35"/>
    </w:p>
    <w:p w:rsidR="00BD1614" w:rsidRPr="00797A82" w:rsidRDefault="00615114" w:rsidP="00051FE6">
      <w:pPr>
        <w:tabs>
          <w:tab w:val="clear" w:pos="567"/>
          <w:tab w:val="clear" w:pos="1134"/>
          <w:tab w:val="clear" w:pos="1701"/>
          <w:tab w:val="clear" w:pos="2268"/>
          <w:tab w:val="clear" w:pos="2835"/>
          <w:tab w:val="left" w:pos="7088"/>
        </w:tabs>
        <w:spacing w:before="840"/>
        <w:rPr>
          <w:lang w:val="fr-CH"/>
        </w:rPr>
      </w:pPr>
      <w:r w:rsidRPr="00797A82">
        <w:rPr>
          <w:lang w:val="fr-CH"/>
        </w:rPr>
        <w:t>Le Secrétaire général:</w:t>
      </w:r>
      <w:r w:rsidRPr="00797A82">
        <w:rPr>
          <w:lang w:val="fr-CH"/>
        </w:rPr>
        <w:tab/>
        <w:t>Le Président:</w:t>
      </w:r>
      <w:r w:rsidR="00FD5DFD" w:rsidRPr="00797A82">
        <w:rPr>
          <w:lang w:val="fr-CH"/>
        </w:rPr>
        <w:br/>
      </w:r>
      <w:r w:rsidRPr="00797A82">
        <w:rPr>
          <w:lang w:val="fr-CH"/>
        </w:rPr>
        <w:t>H. ZHAO</w:t>
      </w:r>
      <w:r w:rsidRPr="00797A82">
        <w:rPr>
          <w:lang w:val="fr-CH"/>
        </w:rPr>
        <w:tab/>
        <w:t>M. ALMESMAR</w:t>
      </w:r>
    </w:p>
    <w:p w:rsidR="00615114" w:rsidRPr="00797A82" w:rsidRDefault="00615114" w:rsidP="00183ADD">
      <w:pPr>
        <w:rPr>
          <w:lang w:val="fr-CH"/>
        </w:rPr>
      </w:pPr>
    </w:p>
    <w:sectPr w:rsidR="00615114" w:rsidRPr="00797A82" w:rsidSect="003A0B7D">
      <w:headerReference w:type="default" r:id="rId24"/>
      <w:footerReference w:type="default" r:id="rId25"/>
      <w:footerReference w:type="first" r:id="rId26"/>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F81" w:rsidRDefault="00F01F81">
      <w:r>
        <w:separator/>
      </w:r>
    </w:p>
  </w:endnote>
  <w:endnote w:type="continuationSeparator" w:id="0">
    <w:p w:rsidR="00F01F81" w:rsidRDefault="00F01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67B" w:rsidRDefault="00891C55" w:rsidP="005700A8">
    <w:pPr>
      <w:pStyle w:val="Footer"/>
      <w:tabs>
        <w:tab w:val="clear" w:pos="5954"/>
        <w:tab w:val="clear" w:pos="9639"/>
        <w:tab w:val="left" w:pos="7655"/>
        <w:tab w:val="right" w:pos="9498"/>
      </w:tabs>
    </w:pPr>
    <w:r>
      <w:fldChar w:fldCharType="begin"/>
    </w:r>
    <w:r>
      <w:instrText xml:space="preserve"> FILENAME \p \* MERGEFORMAT </w:instrText>
    </w:r>
    <w:r>
      <w:fldChar w:fldCharType="separate"/>
    </w:r>
    <w:r w:rsidR="00797A82">
      <w:t>P:\FRA\SG\CONF-SG\PP18\100\170F.docx</w:t>
    </w:r>
    <w:r>
      <w:fldChar w:fldCharType="end"/>
    </w:r>
    <w:r w:rsidR="00615114">
      <w:t xml:space="preserve"> (44794</w:t>
    </w:r>
    <w:r w:rsidR="005700A8">
      <w:t>4</w:t>
    </w:r>
    <w:r w:rsidR="00615114">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FB" w:rsidRDefault="000D15F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C467B" w:rsidRDefault="000C467B">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F81" w:rsidRDefault="00F01F81">
      <w:r>
        <w:t>____________________</w:t>
      </w:r>
    </w:p>
  </w:footnote>
  <w:footnote w:type="continuationSeparator" w:id="0">
    <w:p w:rsidR="00F01F81" w:rsidRDefault="00F01F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614" w:rsidRDefault="00BD1614" w:rsidP="00BD1614">
    <w:pPr>
      <w:pStyle w:val="Header"/>
    </w:pPr>
    <w:r>
      <w:fldChar w:fldCharType="begin"/>
    </w:r>
    <w:r>
      <w:instrText xml:space="preserve"> PAGE </w:instrText>
    </w:r>
    <w:r>
      <w:fldChar w:fldCharType="separate"/>
    </w:r>
    <w:r w:rsidR="00891C55">
      <w:rPr>
        <w:noProof/>
      </w:rPr>
      <w:t>3</w:t>
    </w:r>
    <w:r>
      <w:fldChar w:fldCharType="end"/>
    </w:r>
  </w:p>
  <w:p w:rsidR="00BD1614" w:rsidRDefault="00BD1614" w:rsidP="005700A8">
    <w:pPr>
      <w:pStyle w:val="Header"/>
    </w:pPr>
    <w:r>
      <w:t>PP1</w:t>
    </w:r>
    <w:r w:rsidR="001E2226">
      <w:t>8</w:t>
    </w:r>
    <w:r w:rsidR="00417658">
      <w:t>/</w:t>
    </w:r>
    <w:r w:rsidR="00615114">
      <w:t>17</w:t>
    </w:r>
    <w:r w:rsidR="005700A8">
      <w:t>0</w:t>
    </w:r>
    <w:r w:rsidR="00417658">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43A66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81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1CAD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1CB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80EC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49E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7618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EA9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DC50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0AFA8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embedSystemFont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81"/>
    <w:rsid w:val="000054D8"/>
    <w:rsid w:val="00051FE6"/>
    <w:rsid w:val="00060D74"/>
    <w:rsid w:val="00072D5C"/>
    <w:rsid w:val="0008398C"/>
    <w:rsid w:val="00084308"/>
    <w:rsid w:val="00084EA9"/>
    <w:rsid w:val="000B14B6"/>
    <w:rsid w:val="000C467B"/>
    <w:rsid w:val="000D15FB"/>
    <w:rsid w:val="000F58F7"/>
    <w:rsid w:val="001051E4"/>
    <w:rsid w:val="001354EA"/>
    <w:rsid w:val="00136FCE"/>
    <w:rsid w:val="00153BA4"/>
    <w:rsid w:val="00183ADD"/>
    <w:rsid w:val="001941AD"/>
    <w:rsid w:val="001A0682"/>
    <w:rsid w:val="001B4D8D"/>
    <w:rsid w:val="001D31B2"/>
    <w:rsid w:val="001E1B9B"/>
    <w:rsid w:val="001E2226"/>
    <w:rsid w:val="001F6233"/>
    <w:rsid w:val="002355CD"/>
    <w:rsid w:val="00270B2F"/>
    <w:rsid w:val="002818FB"/>
    <w:rsid w:val="002A0E1B"/>
    <w:rsid w:val="002C1059"/>
    <w:rsid w:val="002C2F9C"/>
    <w:rsid w:val="00322DEA"/>
    <w:rsid w:val="0035005B"/>
    <w:rsid w:val="00355FBD"/>
    <w:rsid w:val="00381461"/>
    <w:rsid w:val="003A0B7D"/>
    <w:rsid w:val="003A45C2"/>
    <w:rsid w:val="003C4BE2"/>
    <w:rsid w:val="003D147D"/>
    <w:rsid w:val="003D637A"/>
    <w:rsid w:val="00417658"/>
    <w:rsid w:val="00430015"/>
    <w:rsid w:val="004678D0"/>
    <w:rsid w:val="00482954"/>
    <w:rsid w:val="004951C0"/>
    <w:rsid w:val="00524001"/>
    <w:rsid w:val="00564B63"/>
    <w:rsid w:val="005700A8"/>
    <w:rsid w:val="00575DC7"/>
    <w:rsid w:val="005836C2"/>
    <w:rsid w:val="005A4EFD"/>
    <w:rsid w:val="005A5ABE"/>
    <w:rsid w:val="005C2ECC"/>
    <w:rsid w:val="005C6744"/>
    <w:rsid w:val="005E419E"/>
    <w:rsid w:val="005F63BD"/>
    <w:rsid w:val="00611CF1"/>
    <w:rsid w:val="00615114"/>
    <w:rsid w:val="006201D9"/>
    <w:rsid w:val="006277DB"/>
    <w:rsid w:val="00635B7B"/>
    <w:rsid w:val="00655B98"/>
    <w:rsid w:val="006710E6"/>
    <w:rsid w:val="00686973"/>
    <w:rsid w:val="006A2656"/>
    <w:rsid w:val="006A6342"/>
    <w:rsid w:val="006B6C9C"/>
    <w:rsid w:val="006C7AE3"/>
    <w:rsid w:val="006D55E8"/>
    <w:rsid w:val="006E1921"/>
    <w:rsid w:val="006F36F9"/>
    <w:rsid w:val="0070576B"/>
    <w:rsid w:val="00713335"/>
    <w:rsid w:val="00727C2F"/>
    <w:rsid w:val="00735F13"/>
    <w:rsid w:val="007717F2"/>
    <w:rsid w:val="00772E3B"/>
    <w:rsid w:val="0078134C"/>
    <w:rsid w:val="00797A82"/>
    <w:rsid w:val="007A5830"/>
    <w:rsid w:val="00801256"/>
    <w:rsid w:val="008703CB"/>
    <w:rsid w:val="00891C55"/>
    <w:rsid w:val="008B61AF"/>
    <w:rsid w:val="008B6A61"/>
    <w:rsid w:val="008C33C2"/>
    <w:rsid w:val="008C6137"/>
    <w:rsid w:val="008E2DB4"/>
    <w:rsid w:val="00901DD5"/>
    <w:rsid w:val="0090735B"/>
    <w:rsid w:val="00912D5E"/>
    <w:rsid w:val="00934340"/>
    <w:rsid w:val="00956DC7"/>
    <w:rsid w:val="00966CD3"/>
    <w:rsid w:val="00987A20"/>
    <w:rsid w:val="009A0E15"/>
    <w:rsid w:val="009D4037"/>
    <w:rsid w:val="009F0592"/>
    <w:rsid w:val="00A20E72"/>
    <w:rsid w:val="00A246DC"/>
    <w:rsid w:val="00A47BAF"/>
    <w:rsid w:val="00A542D3"/>
    <w:rsid w:val="00A5784F"/>
    <w:rsid w:val="00A624A7"/>
    <w:rsid w:val="00A8436E"/>
    <w:rsid w:val="00A95B66"/>
    <w:rsid w:val="00AE0667"/>
    <w:rsid w:val="00B41E0A"/>
    <w:rsid w:val="00B56DE0"/>
    <w:rsid w:val="00B71BD7"/>
    <w:rsid w:val="00B71F12"/>
    <w:rsid w:val="00B96B1E"/>
    <w:rsid w:val="00BB2A6F"/>
    <w:rsid w:val="00BD1614"/>
    <w:rsid w:val="00BD5DA6"/>
    <w:rsid w:val="00BF7D25"/>
    <w:rsid w:val="00C010C0"/>
    <w:rsid w:val="00C40CB5"/>
    <w:rsid w:val="00C54CE6"/>
    <w:rsid w:val="00C575E2"/>
    <w:rsid w:val="00C7368B"/>
    <w:rsid w:val="00C92746"/>
    <w:rsid w:val="00CC4DC5"/>
    <w:rsid w:val="00CE1A7C"/>
    <w:rsid w:val="00D0464B"/>
    <w:rsid w:val="00D12C74"/>
    <w:rsid w:val="00D2263F"/>
    <w:rsid w:val="00D56483"/>
    <w:rsid w:val="00D5658F"/>
    <w:rsid w:val="00D56AD6"/>
    <w:rsid w:val="00D70019"/>
    <w:rsid w:val="00D74B58"/>
    <w:rsid w:val="00D82ABE"/>
    <w:rsid w:val="00D902D4"/>
    <w:rsid w:val="00DA4ABA"/>
    <w:rsid w:val="00DA685B"/>
    <w:rsid w:val="00DA742B"/>
    <w:rsid w:val="00DF25C1"/>
    <w:rsid w:val="00DF48F7"/>
    <w:rsid w:val="00DF4964"/>
    <w:rsid w:val="00DF4D73"/>
    <w:rsid w:val="00DF79B0"/>
    <w:rsid w:val="00E01DD6"/>
    <w:rsid w:val="00E1047D"/>
    <w:rsid w:val="00E34BBF"/>
    <w:rsid w:val="00E443FA"/>
    <w:rsid w:val="00E5061A"/>
    <w:rsid w:val="00E54FCE"/>
    <w:rsid w:val="00E60DA1"/>
    <w:rsid w:val="00E93D35"/>
    <w:rsid w:val="00EA45DB"/>
    <w:rsid w:val="00ED2CD9"/>
    <w:rsid w:val="00F01F81"/>
    <w:rsid w:val="00F07DA7"/>
    <w:rsid w:val="00F564C1"/>
    <w:rsid w:val="00F77FA2"/>
    <w:rsid w:val="00F8357A"/>
    <w:rsid w:val="00FA1B77"/>
    <w:rsid w:val="00FB4B65"/>
    <w:rsid w:val="00FB5741"/>
    <w:rsid w:val="00FB74B8"/>
    <w:rsid w:val="00FC49E0"/>
    <w:rsid w:val="00FD5DFD"/>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F3C661A-543E-416D-A006-A3F29A49B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paragraph" w:styleId="ListParagraph">
    <w:name w:val="List Paragraph"/>
    <w:basedOn w:val="Normal"/>
    <w:uiPriority w:val="34"/>
    <w:qFormat/>
    <w:rsid w:val="00615114"/>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heme="minorHAnsi" w:eastAsiaTheme="minorHAnsi" w:hAnsiTheme="minorHAnsi" w:cstheme="minorBidi"/>
      <w:szCs w:val="24"/>
      <w:lang w:val="en-US"/>
    </w:rPr>
  </w:style>
  <w:style w:type="character" w:styleId="FollowedHyperlink">
    <w:name w:val="FollowedHyperlink"/>
    <w:basedOn w:val="DefaultParagraphFont"/>
    <w:semiHidden/>
    <w:unhideWhenUsed/>
    <w:rsid w:val="00FD5D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8-PP-C-0129/en" TargetMode="External"/><Relationship Id="rId13" Type="http://schemas.openxmlformats.org/officeDocument/2006/relationships/hyperlink" Target="https://www.itu.int/md/S18-PP-C-0102/en" TargetMode="External"/><Relationship Id="rId18" Type="http://schemas.openxmlformats.org/officeDocument/2006/relationships/hyperlink" Target="https://www.itu.int/md/S18-PP-C-0128/en"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itu.int/md/S18-PP-C-0102/en" TargetMode="External"/><Relationship Id="rId7" Type="http://schemas.openxmlformats.org/officeDocument/2006/relationships/image" Target="media/image1.jpeg"/><Relationship Id="rId12" Type="http://schemas.openxmlformats.org/officeDocument/2006/relationships/hyperlink" Target="https://www.itu.int/md/S18-PP-C-0128/en" TargetMode="External"/><Relationship Id="rId17" Type="http://schemas.openxmlformats.org/officeDocument/2006/relationships/hyperlink" Target="https://www.itu.int/md/S18-PP-C-0127/en"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itu.int/md/S18-PP-C-0129/en" TargetMode="External"/><Relationship Id="rId20" Type="http://schemas.openxmlformats.org/officeDocument/2006/relationships/hyperlink" Target="https://www.itu.int/md/S18-PP-C-0128/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8-PP-C-0127/en"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itu.int/md/S18-PP-C-0114/en" TargetMode="External"/><Relationship Id="rId23" Type="http://schemas.openxmlformats.org/officeDocument/2006/relationships/hyperlink" Target="https://www.itu.int/md/S18-PP-C-0114/en" TargetMode="External"/><Relationship Id="rId28" Type="http://schemas.openxmlformats.org/officeDocument/2006/relationships/theme" Target="theme/theme1.xml"/><Relationship Id="rId10" Type="http://schemas.openxmlformats.org/officeDocument/2006/relationships/hyperlink" Target="https://www.itu.int/md/S18-PP-C-0128/en" TargetMode="External"/><Relationship Id="rId19" Type="http://schemas.openxmlformats.org/officeDocument/2006/relationships/hyperlink" Target="https://www.itu.int/md/S18-PP-C-0127/en" TargetMode="External"/><Relationship Id="rId4" Type="http://schemas.openxmlformats.org/officeDocument/2006/relationships/webSettings" Target="webSettings.xml"/><Relationship Id="rId9" Type="http://schemas.openxmlformats.org/officeDocument/2006/relationships/hyperlink" Target="https://www.itu.int/md/S18-PP-C-0127/en" TargetMode="External"/><Relationship Id="rId14" Type="http://schemas.openxmlformats.org/officeDocument/2006/relationships/hyperlink" Target="https://www.itu.int/md/S18-PP-C-0103/en" TargetMode="External"/><Relationship Id="rId22" Type="http://schemas.openxmlformats.org/officeDocument/2006/relationships/hyperlink" Target="https://www.itu.int/md/S18-PP-C-0103/en"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PP18Summaryrec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PF_PP18Summaryrecord.dotx</Template>
  <TotalTime>37</TotalTime>
  <Pages>3</Pages>
  <Words>825</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
  <Company>International Telecommunication Union (ITU)</Company>
  <LinksUpToDate>false</LinksUpToDate>
  <CharactersWithSpaces>6223</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(PP-18)</dc:subject>
  <dc:creator>Gozel, Elsa</dc:creator>
  <cp:keywords/>
  <dc:description/>
  <cp:lastModifiedBy>Royer, Veronique</cp:lastModifiedBy>
  <cp:revision>9</cp:revision>
  <cp:lastPrinted>2018-12-18T09:55:00Z</cp:lastPrinted>
  <dcterms:created xsi:type="dcterms:W3CDTF">2018-12-18T09:44:00Z</dcterms:created>
  <dcterms:modified xsi:type="dcterms:W3CDTF">2018-12-18T14:40:00Z</dcterms:modified>
  <cp:category>Conference document</cp:category>
</cp:coreProperties>
</file>