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E26429">
        <w:trPr>
          <w:cantSplit/>
        </w:trPr>
        <w:tc>
          <w:tcPr>
            <w:tcW w:w="6629" w:type="dxa"/>
            <w:vAlign w:val="center"/>
          </w:tcPr>
          <w:p w:rsidR="001A16ED" w:rsidRPr="00F04067" w:rsidRDefault="001A16ED" w:rsidP="00E26429">
            <w:pPr>
              <w:spacing w:before="240" w:after="48" w:line="240" w:lineRule="atLeast"/>
              <w:rPr>
                <w:rFonts w:cstheme="minorHAnsi"/>
                <w:b/>
                <w:bCs/>
                <w:position w:val="6"/>
                <w:sz w:val="28"/>
                <w:szCs w:val="28"/>
              </w:rPr>
            </w:pPr>
            <w:bookmarkStart w:id="0" w:name="dpp"/>
            <w:bookmarkStart w:id="1" w:name="_GoBack"/>
            <w:bookmarkEnd w:id="0"/>
            <w:bookmarkEnd w:id="1"/>
            <w:r w:rsidRPr="00936F04">
              <w:rPr>
                <w:rFonts w:cs="Times"/>
                <w:b/>
                <w:position w:val="6"/>
                <w:sz w:val="30"/>
                <w:szCs w:val="30"/>
              </w:rPr>
              <w:t>Plenipotentiary Conference (PP-1</w:t>
            </w:r>
            <w:r w:rsidR="004F7925">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sidR="004F7925">
              <w:rPr>
                <w:b/>
                <w:bCs/>
                <w:position w:val="6"/>
                <w:szCs w:val="24"/>
              </w:rPr>
              <w:t>Dubai</w:t>
            </w:r>
            <w:r w:rsidRPr="00936F04">
              <w:rPr>
                <w:b/>
                <w:bCs/>
                <w:position w:val="6"/>
                <w:szCs w:val="24"/>
              </w:rPr>
              <w:t xml:space="preserve">, </w:t>
            </w:r>
            <w:r w:rsidR="004F7925">
              <w:rPr>
                <w:b/>
                <w:bCs/>
                <w:position w:val="6"/>
                <w:szCs w:val="24"/>
              </w:rPr>
              <w:t>29</w:t>
            </w:r>
            <w:r w:rsidRPr="00936F04">
              <w:rPr>
                <w:b/>
                <w:bCs/>
                <w:position w:val="6"/>
                <w:szCs w:val="24"/>
              </w:rPr>
              <w:t xml:space="preserve"> October </w:t>
            </w:r>
            <w:r>
              <w:rPr>
                <w:b/>
                <w:bCs/>
                <w:position w:val="6"/>
                <w:szCs w:val="24"/>
              </w:rPr>
              <w:t xml:space="preserve">– </w:t>
            </w:r>
            <w:r w:rsidR="004F7925">
              <w:rPr>
                <w:b/>
                <w:bCs/>
                <w:position w:val="6"/>
                <w:szCs w:val="24"/>
              </w:rPr>
              <w:t>16</w:t>
            </w:r>
            <w:r>
              <w:rPr>
                <w:b/>
                <w:bCs/>
                <w:position w:val="6"/>
                <w:szCs w:val="24"/>
              </w:rPr>
              <w:t xml:space="preserve"> November 201</w:t>
            </w:r>
            <w:r w:rsidR="004F7925">
              <w:rPr>
                <w:b/>
                <w:bCs/>
                <w:position w:val="6"/>
                <w:szCs w:val="24"/>
              </w:rPr>
              <w:t>8</w:t>
            </w:r>
          </w:p>
        </w:tc>
        <w:tc>
          <w:tcPr>
            <w:tcW w:w="3402" w:type="dxa"/>
          </w:tcPr>
          <w:p w:rsidR="001A16ED" w:rsidRPr="00D96B4B" w:rsidRDefault="001A16ED" w:rsidP="006A046E">
            <w:pPr>
              <w:spacing w:line="240" w:lineRule="atLeast"/>
              <w:rPr>
                <w:rFonts w:cstheme="minorHAnsi"/>
              </w:rPr>
            </w:pPr>
            <w:bookmarkStart w:id="2" w:name="ditulogo"/>
            <w:bookmarkEnd w:id="2"/>
            <w:r w:rsidRPr="00D96B4B">
              <w:rPr>
                <w:rFonts w:cstheme="minorHAnsi"/>
                <w:noProof/>
                <w:lang w:val="en-US" w:eastAsia="zh-CN"/>
              </w:rPr>
              <w:drawing>
                <wp:inline distT="0" distB="0" distL="0" distR="0" wp14:anchorId="49456A9F" wp14:editId="07183A52">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3"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26429" w:rsidP="002E77F4">
            <w:pPr>
              <w:pStyle w:val="Committee"/>
              <w:spacing w:after="0"/>
            </w:pPr>
            <w:bookmarkStart w:id="4" w:name="dnum" w:colFirst="1" w:colLast="1"/>
            <w:bookmarkStart w:id="5" w:name="dmeeting" w:colFirst="0" w:colLast="0"/>
            <w:bookmarkEnd w:id="3"/>
            <w:r>
              <w:t>PLENARY MEETING</w:t>
            </w:r>
          </w:p>
        </w:tc>
        <w:tc>
          <w:tcPr>
            <w:tcW w:w="3402" w:type="dxa"/>
          </w:tcPr>
          <w:p w:rsidR="001A16ED" w:rsidRPr="00F44B1A" w:rsidRDefault="00E26429" w:rsidP="002E07BF">
            <w:pPr>
              <w:tabs>
                <w:tab w:val="left" w:pos="851"/>
              </w:tabs>
              <w:spacing w:before="0"/>
              <w:rPr>
                <w:rFonts w:cstheme="minorHAnsi"/>
                <w:b/>
                <w:szCs w:val="24"/>
              </w:rPr>
            </w:pPr>
            <w:r>
              <w:rPr>
                <w:rFonts w:cstheme="minorHAnsi"/>
                <w:b/>
                <w:szCs w:val="24"/>
              </w:rPr>
              <w:t xml:space="preserve">Document </w:t>
            </w:r>
            <w:r w:rsidR="002E07BF">
              <w:rPr>
                <w:rFonts w:cstheme="minorHAnsi"/>
                <w:b/>
                <w:szCs w:val="24"/>
              </w:rPr>
              <w:t>176</w:t>
            </w:r>
            <w:r>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6" w:name="ddate" w:colFirst="1" w:colLast="1"/>
            <w:bookmarkStart w:id="7" w:name="dblank" w:colFirst="0" w:colLast="0"/>
            <w:bookmarkEnd w:id="4"/>
            <w:bookmarkEnd w:id="5"/>
          </w:p>
        </w:tc>
        <w:tc>
          <w:tcPr>
            <w:tcW w:w="3402" w:type="dxa"/>
          </w:tcPr>
          <w:p w:rsidR="001A16ED" w:rsidRPr="00D96B4B" w:rsidRDefault="002E07BF" w:rsidP="003740BC">
            <w:pPr>
              <w:spacing w:before="0"/>
              <w:rPr>
                <w:rFonts w:cstheme="minorHAnsi"/>
                <w:szCs w:val="24"/>
              </w:rPr>
            </w:pPr>
            <w:r>
              <w:rPr>
                <w:rFonts w:cstheme="minorHAnsi"/>
                <w:b/>
                <w:szCs w:val="24"/>
              </w:rPr>
              <w:t>7 December</w:t>
            </w:r>
            <w:r w:rsidR="00E26429">
              <w:rPr>
                <w:rFonts w:cstheme="minorHAnsi"/>
                <w:b/>
                <w:szCs w:val="24"/>
              </w:rPr>
              <w:t xml:space="preserve"> 2018</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8" w:name="dbluepink" w:colFirst="0" w:colLast="0"/>
            <w:bookmarkStart w:id="9" w:name="dorlang" w:colFirst="1" w:colLast="1"/>
            <w:bookmarkEnd w:id="6"/>
            <w:bookmarkEnd w:id="7"/>
          </w:p>
        </w:tc>
        <w:tc>
          <w:tcPr>
            <w:tcW w:w="3402" w:type="dxa"/>
          </w:tcPr>
          <w:p w:rsidR="001A16ED" w:rsidRPr="00D96B4B" w:rsidRDefault="00E26429" w:rsidP="003740BC">
            <w:pPr>
              <w:tabs>
                <w:tab w:val="left" w:pos="993"/>
              </w:tabs>
              <w:spacing w:before="0"/>
              <w:rPr>
                <w:rFonts w:cstheme="minorHAnsi"/>
                <w:b/>
                <w:szCs w:val="24"/>
              </w:rPr>
            </w:pPr>
            <w:r>
              <w:rPr>
                <w:rFonts w:cstheme="minorHAnsi"/>
                <w:b/>
                <w:szCs w:val="24"/>
              </w:rPr>
              <w:t>Original: English</w:t>
            </w:r>
          </w:p>
        </w:tc>
      </w:tr>
      <w:tr w:rsidR="001A16ED" w:rsidRPr="00C324A8" w:rsidTr="006A046E">
        <w:trPr>
          <w:cantSplit/>
          <w:trHeight w:val="23"/>
        </w:trPr>
        <w:tc>
          <w:tcPr>
            <w:tcW w:w="10031" w:type="dxa"/>
            <w:gridSpan w:val="2"/>
            <w:shd w:val="clear" w:color="auto" w:fill="auto"/>
          </w:tcPr>
          <w:p w:rsidR="009609D9" w:rsidRPr="00DB0816" w:rsidRDefault="009609D9" w:rsidP="009609D9">
            <w:pPr>
              <w:pStyle w:val="Title1"/>
              <w:spacing w:before="720"/>
              <w:rPr>
                <w:lang w:val="en-CA"/>
              </w:rPr>
            </w:pPr>
            <w:r w:rsidRPr="00DB0816">
              <w:rPr>
                <w:lang w:val="en-CA"/>
              </w:rPr>
              <w:t>minutes</w:t>
            </w:r>
          </w:p>
          <w:p w:rsidR="009609D9" w:rsidRPr="00DB0816" w:rsidRDefault="009609D9" w:rsidP="009609D9">
            <w:pPr>
              <w:pStyle w:val="Title1"/>
              <w:rPr>
                <w:lang w:val="en-CA"/>
              </w:rPr>
            </w:pPr>
            <w:r w:rsidRPr="00DB0816">
              <w:rPr>
                <w:lang w:val="en-CA"/>
              </w:rPr>
              <w:t>OF THE</w:t>
            </w:r>
          </w:p>
          <w:p w:rsidR="001A16ED" w:rsidRDefault="002E07BF" w:rsidP="009609D9">
            <w:pPr>
              <w:pStyle w:val="Title2"/>
              <w:spacing w:after="240"/>
            </w:pPr>
            <w:r>
              <w:rPr>
                <w:lang w:val="en-CA"/>
              </w:rPr>
              <w:t>nineteenth</w:t>
            </w:r>
            <w:r w:rsidR="009609D9" w:rsidRPr="00DB0816">
              <w:rPr>
                <w:lang w:val="en-CA"/>
              </w:rPr>
              <w:t xml:space="preserve"> PLENARY MEETING</w:t>
            </w:r>
          </w:p>
        </w:tc>
      </w:tr>
      <w:tr w:rsidR="009609D9" w:rsidRPr="00C324A8" w:rsidTr="006A046E">
        <w:trPr>
          <w:cantSplit/>
          <w:trHeight w:val="23"/>
        </w:trPr>
        <w:tc>
          <w:tcPr>
            <w:tcW w:w="10031" w:type="dxa"/>
            <w:gridSpan w:val="2"/>
            <w:shd w:val="clear" w:color="auto" w:fill="auto"/>
          </w:tcPr>
          <w:p w:rsidR="009609D9" w:rsidRPr="00DB0816" w:rsidRDefault="002E07BF" w:rsidP="009609D9">
            <w:pPr>
              <w:jc w:val="center"/>
              <w:rPr>
                <w:lang w:val="en-CA"/>
              </w:rPr>
            </w:pPr>
            <w:r w:rsidRPr="002E07BF">
              <w:rPr>
                <w:lang w:val="en-CA"/>
              </w:rPr>
              <w:t>Friday, 16 November 2018, at 1505 hours</w:t>
            </w:r>
          </w:p>
        </w:tc>
      </w:tr>
      <w:tr w:rsidR="009609D9" w:rsidRPr="00C324A8" w:rsidTr="006A046E">
        <w:trPr>
          <w:cantSplit/>
          <w:trHeight w:val="23"/>
        </w:trPr>
        <w:tc>
          <w:tcPr>
            <w:tcW w:w="10031" w:type="dxa"/>
            <w:gridSpan w:val="2"/>
            <w:shd w:val="clear" w:color="auto" w:fill="auto"/>
          </w:tcPr>
          <w:p w:rsidR="009609D9" w:rsidRPr="00DB0816" w:rsidRDefault="009609D9" w:rsidP="009609D9">
            <w:pPr>
              <w:jc w:val="center"/>
              <w:rPr>
                <w:b/>
                <w:bCs/>
                <w:lang w:val="en-CA"/>
              </w:rPr>
            </w:pPr>
            <w:r w:rsidRPr="00DB0816">
              <w:rPr>
                <w:b/>
                <w:bCs/>
                <w:lang w:val="en-CA"/>
              </w:rPr>
              <w:t xml:space="preserve">Chairman: </w:t>
            </w:r>
            <w:r w:rsidRPr="00DB0816">
              <w:rPr>
                <w:bCs/>
                <w:lang w:val="en-CA"/>
              </w:rPr>
              <w:t>Mr M</w:t>
            </w:r>
            <w:r>
              <w:rPr>
                <w:bCs/>
                <w:lang w:val="en-CA"/>
              </w:rPr>
              <w:t>ajed</w:t>
            </w:r>
            <w:r w:rsidRPr="00DB0816">
              <w:rPr>
                <w:bCs/>
                <w:lang w:val="en-CA"/>
              </w:rPr>
              <w:t xml:space="preserve"> ALMESMAR (United Arab Emirates)</w:t>
            </w:r>
          </w:p>
        </w:tc>
      </w:tr>
      <w:bookmarkEnd w:id="8"/>
      <w:bookmarkEnd w:id="9"/>
    </w:tbl>
    <w:p w:rsidR="001A16ED" w:rsidRDefault="001A16ED" w:rsidP="00AB2D04"/>
    <w:tbl>
      <w:tblPr>
        <w:tblW w:w="10031" w:type="dxa"/>
        <w:tblLayout w:type="fixed"/>
        <w:tblLook w:val="0000" w:firstRow="0" w:lastRow="0" w:firstColumn="0" w:lastColumn="0" w:noHBand="0" w:noVBand="0"/>
      </w:tblPr>
      <w:tblGrid>
        <w:gridCol w:w="534"/>
        <w:gridCol w:w="7164"/>
        <w:gridCol w:w="2333"/>
      </w:tblGrid>
      <w:tr w:rsidR="002E07BF" w:rsidRPr="003B342C" w:rsidTr="004046F3">
        <w:tc>
          <w:tcPr>
            <w:tcW w:w="534" w:type="dxa"/>
          </w:tcPr>
          <w:p w:rsidR="002E07BF" w:rsidRPr="003B342C" w:rsidRDefault="002E07BF" w:rsidP="004046F3">
            <w:pPr>
              <w:pStyle w:val="toc0"/>
              <w:rPr>
                <w:lang w:val="en-CA"/>
              </w:rPr>
            </w:pPr>
          </w:p>
        </w:tc>
        <w:tc>
          <w:tcPr>
            <w:tcW w:w="7164" w:type="dxa"/>
          </w:tcPr>
          <w:p w:rsidR="002E07BF" w:rsidRPr="003B342C" w:rsidRDefault="002E07BF" w:rsidP="004046F3">
            <w:pPr>
              <w:pStyle w:val="toc0"/>
              <w:rPr>
                <w:lang w:val="en-CA"/>
              </w:rPr>
            </w:pPr>
            <w:r w:rsidRPr="003B342C">
              <w:rPr>
                <w:lang w:val="en-CA"/>
              </w:rPr>
              <w:t>Subjects discussed</w:t>
            </w:r>
          </w:p>
        </w:tc>
        <w:tc>
          <w:tcPr>
            <w:tcW w:w="2333" w:type="dxa"/>
          </w:tcPr>
          <w:p w:rsidR="002E07BF" w:rsidRPr="003B342C" w:rsidRDefault="002E07BF" w:rsidP="004046F3">
            <w:pPr>
              <w:pStyle w:val="toc0"/>
              <w:jc w:val="center"/>
              <w:rPr>
                <w:lang w:val="en-CA"/>
              </w:rPr>
            </w:pPr>
            <w:r w:rsidRPr="003B342C">
              <w:rPr>
                <w:lang w:val="en-CA"/>
              </w:rPr>
              <w:t>Documents</w:t>
            </w:r>
          </w:p>
        </w:tc>
      </w:tr>
      <w:tr w:rsidR="002E07BF" w:rsidRPr="003B342C" w:rsidTr="004046F3">
        <w:tc>
          <w:tcPr>
            <w:tcW w:w="534" w:type="dxa"/>
          </w:tcPr>
          <w:p w:rsidR="002E07BF" w:rsidRPr="003B342C" w:rsidRDefault="002E07BF" w:rsidP="004046F3">
            <w:pPr>
              <w:ind w:left="567" w:hanging="567"/>
              <w:rPr>
                <w:lang w:val="en-CA"/>
              </w:rPr>
            </w:pPr>
            <w:r w:rsidRPr="003B342C">
              <w:rPr>
                <w:lang w:val="en-CA"/>
              </w:rPr>
              <w:t>1</w:t>
            </w:r>
          </w:p>
        </w:tc>
        <w:tc>
          <w:tcPr>
            <w:tcW w:w="7164" w:type="dxa"/>
          </w:tcPr>
          <w:p w:rsidR="002E07BF" w:rsidRPr="003B342C" w:rsidRDefault="002E07BF" w:rsidP="004046F3">
            <w:pPr>
              <w:rPr>
                <w:lang w:val="en-CA"/>
              </w:rPr>
            </w:pPr>
            <w:r w:rsidRPr="003B342C">
              <w:rPr>
                <w:lang w:val="en-CA"/>
              </w:rPr>
              <w:t>Additional declarations</w:t>
            </w:r>
          </w:p>
        </w:tc>
        <w:tc>
          <w:tcPr>
            <w:tcW w:w="2333" w:type="dxa"/>
          </w:tcPr>
          <w:p w:rsidR="002E07BF" w:rsidRPr="003B342C" w:rsidRDefault="00112763" w:rsidP="004046F3">
            <w:pPr>
              <w:jc w:val="center"/>
              <w:rPr>
                <w:lang w:val="en-CA"/>
              </w:rPr>
            </w:pPr>
            <w:hyperlink r:id="rId8" w:history="1">
              <w:r w:rsidR="002E07BF" w:rsidRPr="001A6A13">
                <w:rPr>
                  <w:rStyle w:val="Hyperlink"/>
                  <w:lang w:val="en-CA"/>
                </w:rPr>
                <w:t>168</w:t>
              </w:r>
            </w:hyperlink>
          </w:p>
        </w:tc>
      </w:tr>
      <w:tr w:rsidR="002E07BF" w:rsidRPr="003B342C" w:rsidTr="004046F3">
        <w:tc>
          <w:tcPr>
            <w:tcW w:w="534" w:type="dxa"/>
          </w:tcPr>
          <w:p w:rsidR="002E07BF" w:rsidRPr="003B342C" w:rsidRDefault="002E07BF" w:rsidP="004046F3">
            <w:pPr>
              <w:ind w:left="567" w:hanging="567"/>
              <w:rPr>
                <w:lang w:val="en-CA"/>
              </w:rPr>
            </w:pPr>
            <w:r w:rsidRPr="003B342C">
              <w:rPr>
                <w:lang w:val="en-CA"/>
              </w:rPr>
              <w:t>2</w:t>
            </w:r>
          </w:p>
        </w:tc>
        <w:tc>
          <w:tcPr>
            <w:tcW w:w="7164" w:type="dxa"/>
          </w:tcPr>
          <w:p w:rsidR="002E07BF" w:rsidRPr="003B342C" w:rsidRDefault="002E07BF" w:rsidP="004046F3">
            <w:pPr>
              <w:rPr>
                <w:lang w:val="en-CA"/>
              </w:rPr>
            </w:pPr>
            <w:r w:rsidRPr="003B342C">
              <w:rPr>
                <w:lang w:val="en-CA"/>
              </w:rPr>
              <w:t>Final Acts signing ceremony</w:t>
            </w:r>
          </w:p>
        </w:tc>
        <w:tc>
          <w:tcPr>
            <w:tcW w:w="2333" w:type="dxa"/>
          </w:tcPr>
          <w:p w:rsidR="002E07BF" w:rsidRPr="003B342C" w:rsidRDefault="002E07BF" w:rsidP="004046F3">
            <w:pPr>
              <w:jc w:val="center"/>
              <w:rPr>
                <w:lang w:val="en-CA"/>
              </w:rPr>
            </w:pPr>
            <w:r w:rsidRPr="003B342C">
              <w:rPr>
                <w:lang w:val="en-CA"/>
              </w:rPr>
              <w:t>-</w:t>
            </w:r>
          </w:p>
        </w:tc>
      </w:tr>
      <w:tr w:rsidR="002E07BF" w:rsidRPr="003B342C" w:rsidTr="004046F3">
        <w:tc>
          <w:tcPr>
            <w:tcW w:w="534" w:type="dxa"/>
          </w:tcPr>
          <w:p w:rsidR="002E07BF" w:rsidRPr="003B342C" w:rsidRDefault="002E07BF" w:rsidP="004046F3">
            <w:pPr>
              <w:ind w:left="567" w:hanging="567"/>
              <w:rPr>
                <w:lang w:val="en-CA"/>
              </w:rPr>
            </w:pPr>
            <w:r w:rsidRPr="003B342C">
              <w:rPr>
                <w:lang w:val="en-CA"/>
              </w:rPr>
              <w:t>3</w:t>
            </w:r>
          </w:p>
        </w:tc>
        <w:tc>
          <w:tcPr>
            <w:tcW w:w="7164" w:type="dxa"/>
          </w:tcPr>
          <w:p w:rsidR="002E07BF" w:rsidRPr="003B342C" w:rsidRDefault="002E07BF" w:rsidP="004046F3">
            <w:pPr>
              <w:rPr>
                <w:lang w:val="en-CA"/>
              </w:rPr>
            </w:pPr>
            <w:r w:rsidRPr="003B342C">
              <w:rPr>
                <w:lang w:val="en-CA"/>
              </w:rPr>
              <w:t>Closure of the conference</w:t>
            </w:r>
          </w:p>
        </w:tc>
        <w:tc>
          <w:tcPr>
            <w:tcW w:w="2333" w:type="dxa"/>
          </w:tcPr>
          <w:p w:rsidR="002E07BF" w:rsidRPr="003B342C" w:rsidRDefault="002E07BF" w:rsidP="004046F3">
            <w:pPr>
              <w:jc w:val="center"/>
              <w:rPr>
                <w:lang w:val="en-CA"/>
              </w:rPr>
            </w:pPr>
            <w:r w:rsidRPr="003B342C">
              <w:rPr>
                <w:lang w:val="en-CA"/>
              </w:rPr>
              <w:t>-</w:t>
            </w:r>
          </w:p>
        </w:tc>
      </w:tr>
    </w:tbl>
    <w:p w:rsidR="001A16ED" w:rsidRDefault="001A16ED" w:rsidP="00AB2D04">
      <w:r>
        <w:br w:type="page"/>
      </w:r>
    </w:p>
    <w:p w:rsidR="002E07BF" w:rsidRPr="001A6A13" w:rsidRDefault="002E07BF" w:rsidP="001A6A13">
      <w:pPr>
        <w:pStyle w:val="Heading1"/>
        <w:keepNext w:val="0"/>
        <w:keepLines w:val="0"/>
        <w:tabs>
          <w:tab w:val="clear" w:pos="567"/>
          <w:tab w:val="clear" w:pos="1134"/>
          <w:tab w:val="clear" w:pos="1701"/>
          <w:tab w:val="clear" w:pos="2268"/>
          <w:tab w:val="clear" w:pos="2835"/>
        </w:tabs>
        <w:snapToGrid w:val="0"/>
        <w:spacing w:before="120" w:after="120"/>
        <w:ind w:left="0" w:firstLine="0"/>
        <w:rPr>
          <w:sz w:val="26"/>
          <w:szCs w:val="26"/>
          <w:lang w:val="en-CA"/>
        </w:rPr>
      </w:pPr>
      <w:r w:rsidRPr="001A6A13">
        <w:rPr>
          <w:sz w:val="26"/>
          <w:szCs w:val="26"/>
          <w:lang w:val="en-CA"/>
        </w:rPr>
        <w:lastRenderedPageBreak/>
        <w:t>1</w:t>
      </w:r>
      <w:r w:rsidRPr="001A6A13">
        <w:rPr>
          <w:sz w:val="26"/>
          <w:szCs w:val="26"/>
          <w:lang w:val="en-CA"/>
        </w:rPr>
        <w:tab/>
        <w:t>Additional declarations (</w:t>
      </w:r>
      <w:hyperlink r:id="rId9" w:history="1">
        <w:r w:rsidRPr="001A6A13">
          <w:rPr>
            <w:rStyle w:val="Hyperlink"/>
            <w:sz w:val="26"/>
            <w:szCs w:val="26"/>
            <w:lang w:val="en-CA"/>
          </w:rPr>
          <w:t>Document 168</w:t>
        </w:r>
      </w:hyperlink>
      <w:r w:rsidRPr="001A6A13">
        <w:rPr>
          <w:sz w:val="26"/>
          <w:szCs w:val="26"/>
          <w:lang w:val="en-CA"/>
        </w:rPr>
        <w:t>)</w:t>
      </w:r>
    </w:p>
    <w:p w:rsidR="002E07BF" w:rsidRPr="003B342C" w:rsidRDefault="002E07BF" w:rsidP="001A6A13">
      <w:pPr>
        <w:tabs>
          <w:tab w:val="clear" w:pos="567"/>
          <w:tab w:val="clear" w:pos="1134"/>
          <w:tab w:val="clear" w:pos="1701"/>
          <w:tab w:val="clear" w:pos="2268"/>
          <w:tab w:val="clear" w:pos="2835"/>
        </w:tabs>
        <w:snapToGrid w:val="0"/>
        <w:spacing w:after="120"/>
        <w:rPr>
          <w:lang w:val="en-CA"/>
        </w:rPr>
      </w:pPr>
      <w:r w:rsidRPr="003B342C">
        <w:rPr>
          <w:lang w:val="en-CA"/>
        </w:rPr>
        <w:t>1.1</w:t>
      </w:r>
      <w:r w:rsidRPr="003B342C">
        <w:rPr>
          <w:lang w:val="en-CA"/>
        </w:rPr>
        <w:tab/>
        <w:t xml:space="preserve">The additional declarations contained in Document 168 were </w:t>
      </w:r>
      <w:r w:rsidRPr="003B342C">
        <w:rPr>
          <w:b/>
          <w:bCs/>
          <w:lang w:val="en-CA"/>
        </w:rPr>
        <w:t>noted</w:t>
      </w:r>
      <w:r w:rsidRPr="003B342C">
        <w:rPr>
          <w:lang w:val="en-CA"/>
        </w:rPr>
        <w:t>.</w:t>
      </w:r>
    </w:p>
    <w:p w:rsidR="002E07BF" w:rsidRPr="001A6A13" w:rsidRDefault="002E07BF" w:rsidP="001A6A13">
      <w:pPr>
        <w:pStyle w:val="Heading1"/>
        <w:keepNext w:val="0"/>
        <w:keepLines w:val="0"/>
        <w:tabs>
          <w:tab w:val="clear" w:pos="567"/>
          <w:tab w:val="clear" w:pos="1134"/>
          <w:tab w:val="clear" w:pos="1701"/>
          <w:tab w:val="clear" w:pos="2268"/>
          <w:tab w:val="clear" w:pos="2835"/>
        </w:tabs>
        <w:snapToGrid w:val="0"/>
        <w:spacing w:after="120"/>
        <w:ind w:left="0" w:firstLine="0"/>
        <w:rPr>
          <w:sz w:val="26"/>
          <w:szCs w:val="26"/>
          <w:lang w:val="en-CA"/>
        </w:rPr>
      </w:pPr>
      <w:r w:rsidRPr="001A6A13">
        <w:rPr>
          <w:sz w:val="26"/>
          <w:szCs w:val="26"/>
          <w:lang w:val="en-CA"/>
        </w:rPr>
        <w:t>2</w:t>
      </w:r>
      <w:r w:rsidRPr="001A6A13">
        <w:rPr>
          <w:sz w:val="26"/>
          <w:szCs w:val="26"/>
          <w:lang w:val="en-CA"/>
        </w:rPr>
        <w:tab/>
        <w:t>Final Acts signing ceremony</w:t>
      </w:r>
    </w:p>
    <w:p w:rsidR="002E07BF" w:rsidRPr="003B342C" w:rsidRDefault="002E07BF" w:rsidP="001A6A13">
      <w:pPr>
        <w:tabs>
          <w:tab w:val="clear" w:pos="567"/>
          <w:tab w:val="clear" w:pos="1134"/>
          <w:tab w:val="clear" w:pos="1701"/>
          <w:tab w:val="clear" w:pos="2268"/>
          <w:tab w:val="clear" w:pos="2835"/>
        </w:tabs>
        <w:snapToGrid w:val="0"/>
        <w:spacing w:after="120"/>
        <w:rPr>
          <w:lang w:val="en-CA"/>
        </w:rPr>
      </w:pPr>
      <w:r w:rsidRPr="003B342C">
        <w:rPr>
          <w:lang w:val="en-CA"/>
        </w:rPr>
        <w:t>2.1</w:t>
      </w:r>
      <w:r w:rsidRPr="003B342C">
        <w:rPr>
          <w:lang w:val="en-CA"/>
        </w:rPr>
        <w:tab/>
        <w:t xml:space="preserve">The </w:t>
      </w:r>
      <w:r w:rsidRPr="003B342C">
        <w:rPr>
          <w:b/>
          <w:bCs/>
          <w:lang w:val="en-CA"/>
        </w:rPr>
        <w:t xml:space="preserve">Secretary of the Plenary </w:t>
      </w:r>
      <w:r w:rsidRPr="003B342C">
        <w:rPr>
          <w:lang w:val="en-CA"/>
        </w:rPr>
        <w:t>called the roll, in French alphabetical order, of those delegations whose credentials had been found to be in order.</w:t>
      </w:r>
    </w:p>
    <w:p w:rsidR="002E07BF" w:rsidRPr="003B342C" w:rsidRDefault="002E07BF" w:rsidP="001A6A13">
      <w:pPr>
        <w:tabs>
          <w:tab w:val="clear" w:pos="567"/>
          <w:tab w:val="clear" w:pos="1134"/>
          <w:tab w:val="clear" w:pos="1701"/>
          <w:tab w:val="clear" w:pos="2268"/>
          <w:tab w:val="clear" w:pos="2835"/>
        </w:tabs>
        <w:snapToGrid w:val="0"/>
        <w:spacing w:after="120"/>
        <w:rPr>
          <w:lang w:val="en-CA"/>
        </w:rPr>
      </w:pPr>
      <w:r w:rsidRPr="003B342C">
        <w:rPr>
          <w:lang w:val="en-CA"/>
        </w:rPr>
        <w:t>2.2</w:t>
      </w:r>
      <w:r w:rsidRPr="003B342C">
        <w:rPr>
          <w:lang w:val="en-CA"/>
        </w:rPr>
        <w:tab/>
        <w:t xml:space="preserve">The Final Acts </w:t>
      </w:r>
      <w:proofErr w:type="gramStart"/>
      <w:r w:rsidRPr="003B342C">
        <w:rPr>
          <w:lang w:val="en-CA"/>
        </w:rPr>
        <w:t>were signed</w:t>
      </w:r>
      <w:proofErr w:type="gramEnd"/>
      <w:r w:rsidRPr="003B342C">
        <w:rPr>
          <w:lang w:val="en-CA"/>
        </w:rPr>
        <w:t xml:space="preserve"> by </w:t>
      </w:r>
      <w:r>
        <w:rPr>
          <w:lang w:val="en-CA"/>
        </w:rPr>
        <w:t>14</w:t>
      </w:r>
      <w:r w:rsidR="00EB2B6D">
        <w:rPr>
          <w:lang w:val="en-CA"/>
        </w:rPr>
        <w:t>5</w:t>
      </w:r>
      <w:r w:rsidRPr="003B342C">
        <w:rPr>
          <w:lang w:val="en-CA"/>
        </w:rPr>
        <w:t xml:space="preserve"> delegations</w:t>
      </w:r>
      <w:r>
        <w:rPr>
          <w:lang w:val="en-CA"/>
        </w:rPr>
        <w:t>, as follows</w:t>
      </w:r>
      <w:r w:rsidRPr="003B342C">
        <w:rPr>
          <w:lang w:val="en-CA"/>
        </w:rPr>
        <w:t>:</w:t>
      </w:r>
    </w:p>
    <w:p w:rsidR="002E07BF" w:rsidRPr="003B342C" w:rsidRDefault="002E07BF">
      <w:pPr>
        <w:tabs>
          <w:tab w:val="clear" w:pos="567"/>
          <w:tab w:val="clear" w:pos="1134"/>
          <w:tab w:val="clear" w:pos="1701"/>
          <w:tab w:val="clear" w:pos="2268"/>
          <w:tab w:val="clear" w:pos="2835"/>
        </w:tabs>
        <w:snapToGrid w:val="0"/>
        <w:spacing w:after="120"/>
        <w:rPr>
          <w:lang w:val="en-CA"/>
        </w:rPr>
      </w:pPr>
      <w:proofErr w:type="gramStart"/>
      <w:r w:rsidRPr="003B342C">
        <w:rPr>
          <w:lang w:val="en-CA"/>
        </w:rPr>
        <w:t xml:space="preserve">Albania (Republic of), Algeria (People's Democratic Republic of), Germany (Federal Republic of), </w:t>
      </w:r>
      <w:r w:rsidR="00CD617D">
        <w:t xml:space="preserve">Andorra (Principality of), </w:t>
      </w:r>
      <w:r w:rsidRPr="003B342C">
        <w:rPr>
          <w:lang w:val="en-CA"/>
        </w:rPr>
        <w:t>Angola (Republic of), Saudi Arabia (Kingdom of), Argentine Republic, Armenia (Republic of), Australia, Austria, Azerbaijani Republic, Bahamas (Commonwealth of), Bahrain (Kingdom of), Bangladesh (People's Republic of), Barbados, Belgium, Belize, Bhutan (Kingdom of), Botswana (Republic of), Brazil (Federative Republic of),</w:t>
      </w:r>
      <w:r>
        <w:rPr>
          <w:lang w:val="en-CA"/>
        </w:rPr>
        <w:t xml:space="preserve"> </w:t>
      </w:r>
      <w:r w:rsidRPr="003B342C">
        <w:rPr>
          <w:lang w:val="en-CA"/>
        </w:rPr>
        <w:t xml:space="preserve">Brunei Darussalam, Bulgaria (Republic of), Burkina Faso, </w:t>
      </w:r>
      <w:r w:rsidR="00CD617D">
        <w:t xml:space="preserve">Burundi (Republic of), </w:t>
      </w:r>
      <w:r w:rsidRPr="003B342C">
        <w:rPr>
          <w:lang w:val="en-CA"/>
        </w:rPr>
        <w:t xml:space="preserve">Cambodia (Kingdom of), Cameroon (Republic of), Canada, Central African Republic, Chile, China (People's Republic of), Cyprus (Republic of), Vatican City State, Colombia (Republic of), Korea (Republic of), Costa Rica, Côte d'Ivoire (Republic of), Croatia (Republic of), Cuba, Denmark, Dominican Republic, Egypt (Arab Republic of), El Salvador (Republic of), United Arab Emirates, Ecuador, Spain, Estonia (Republic of), Eswatini (Kingdom of), United States of America, Russian Federation, Fiji (Republic of), Finland, France, Gabonese Republic, Gambia (Republic of the), Ghana, Greece, Guatemala (Republic of), Equatorial Guinea (Republic of), Guyana, Haiti (Republic of), Hungary, India (Republic of), Indonesia (Republic of), Iran (Islamic Republic of), Iraq (Republic of), Ireland, Iceland, Israel (State of), Italy, Jamaica, Japan, Jordan (Hashemite Kingdom of), Kazakhstan (Republic of), Kenya (Republic of), Kuwait (State of), Lesotho (Kingdom of), Latvia (Republic of), </w:t>
      </w:r>
      <w:r w:rsidRPr="00914538">
        <w:rPr>
          <w:lang w:val="en-CA"/>
        </w:rPr>
        <w:t xml:space="preserve">The Former </w:t>
      </w:r>
      <w:r w:rsidRPr="003B342C">
        <w:rPr>
          <w:lang w:val="en-CA"/>
        </w:rPr>
        <w:t xml:space="preserve">Yugoslav Republic of Macedonia, Liberia (Republic of), Liechtenstein (Principality of), Lithuania (Republic of), Luxembourg, Malaysia, Malawi, Mali (Republic of), Malta, Morocco (Kingdom of), Marshall Islands (Republic of the), Mexico, Moldova (Republic of), Monaco (Principality of), Mozambique (Republic of), Namibia (Republic of), Nepal (Federal Democratic Republic of), Niger (Republic of the), Nigeria (Federal Republic of), Norway, New Zealand, Oman (Sultanate of), Uganda (Republic of), Uzbekistan (Republic of), Pakistan (Islamic Republic of), Papua New Guinea, Paraguay (Republic of), Netherlands (Kingdom of the), Peru, Philippines (Republic of the), Poland (Republic of), Portugal, Qatar (State of), Syrian Arab Republic, Kyrgyz Republic, Slovak Republic, Czech Republic, Romania, United Kingdom of Great Britain and Northern Ireland, Rwanda (Republic of), </w:t>
      </w:r>
      <w:r w:rsidR="00EB2B6D">
        <w:t xml:space="preserve">San Marino (Republic of), </w:t>
      </w:r>
      <w:r w:rsidRPr="003B342C">
        <w:rPr>
          <w:lang w:val="en-CA"/>
        </w:rPr>
        <w:t>Senegal (Republic of), Serbia (Republic of), Seychelles (Republic of), Singapore (Republic of), Slovenia (Republic of), Somalia (Federal Republic of), Sudan (Republic of the), South Sudan (Republic of), Sri Lanka (Socialist Democratic Republic of), South Africa (Republic of), Sweden, Switzerland (Confederation of), Suriname (Republic of), Tajikistan (Republic of), Tanzania (United Republic of), Chad (Republic of), Thailand, Timor-Leste (Democratic Republic of), Togolese Republic, Tunisia, Turkey, Ukraine, Uruguay (Eastern Republic of), Viet Nam (Socialist Republic of), Yemen (Republic of), Zambia (Republic of) and Zimbabwe (Republic of).</w:t>
      </w:r>
      <w:proofErr w:type="gramEnd"/>
    </w:p>
    <w:p w:rsidR="002E07BF" w:rsidRPr="001A6A13" w:rsidRDefault="002E07BF" w:rsidP="001A6A13">
      <w:pPr>
        <w:pStyle w:val="Heading1"/>
        <w:keepNext w:val="0"/>
        <w:keepLines w:val="0"/>
        <w:tabs>
          <w:tab w:val="clear" w:pos="567"/>
          <w:tab w:val="clear" w:pos="1134"/>
          <w:tab w:val="clear" w:pos="1701"/>
          <w:tab w:val="clear" w:pos="2268"/>
          <w:tab w:val="clear" w:pos="2835"/>
        </w:tabs>
        <w:snapToGrid w:val="0"/>
        <w:spacing w:before="360" w:after="120"/>
        <w:ind w:left="0" w:firstLine="0"/>
        <w:rPr>
          <w:sz w:val="26"/>
          <w:szCs w:val="26"/>
          <w:lang w:val="en-CA"/>
        </w:rPr>
      </w:pPr>
      <w:r w:rsidRPr="001A6A13">
        <w:rPr>
          <w:sz w:val="26"/>
          <w:szCs w:val="26"/>
          <w:lang w:val="en-CA"/>
        </w:rPr>
        <w:t>3</w:t>
      </w:r>
      <w:r w:rsidRPr="001A6A13">
        <w:rPr>
          <w:sz w:val="26"/>
          <w:szCs w:val="26"/>
          <w:lang w:val="en-CA"/>
        </w:rPr>
        <w:tab/>
        <w:t>Closure of the conference</w:t>
      </w:r>
    </w:p>
    <w:p w:rsidR="002E07BF" w:rsidRPr="003B342C" w:rsidRDefault="002E07BF" w:rsidP="001A6A13">
      <w:pPr>
        <w:tabs>
          <w:tab w:val="clear" w:pos="567"/>
          <w:tab w:val="clear" w:pos="1134"/>
          <w:tab w:val="clear" w:pos="1701"/>
          <w:tab w:val="clear" w:pos="2268"/>
          <w:tab w:val="clear" w:pos="2835"/>
        </w:tabs>
        <w:snapToGrid w:val="0"/>
        <w:spacing w:after="120"/>
        <w:rPr>
          <w:lang w:val="en-CA"/>
        </w:rPr>
      </w:pPr>
      <w:r w:rsidRPr="003B342C">
        <w:rPr>
          <w:lang w:val="en-CA"/>
        </w:rPr>
        <w:t>3.1</w:t>
      </w:r>
      <w:r w:rsidRPr="003B342C">
        <w:rPr>
          <w:lang w:val="en-CA"/>
        </w:rPr>
        <w:tab/>
        <w:t>The</w:t>
      </w:r>
      <w:r w:rsidRPr="003B342C">
        <w:rPr>
          <w:b/>
          <w:bCs/>
          <w:lang w:val="en-CA"/>
        </w:rPr>
        <w:t xml:space="preserve"> Director General of the Telecommunications Regulatory Authority of the United Arab Emirates</w:t>
      </w:r>
      <w:r w:rsidRPr="003B342C">
        <w:rPr>
          <w:lang w:val="en-CA"/>
        </w:rPr>
        <w:t xml:space="preserve"> delivered the address available at: </w:t>
      </w:r>
      <w:hyperlink r:id="rId10" w:history="1">
        <w:r w:rsidRPr="003B342C">
          <w:rPr>
            <w:rStyle w:val="Hyperlink"/>
            <w:lang w:val="en-CA"/>
          </w:rPr>
          <w:t>https://www.itu.int/web/pp-18/en/page/215-other-speeches</w:t>
        </w:r>
      </w:hyperlink>
      <w:r w:rsidRPr="003B342C">
        <w:rPr>
          <w:b/>
          <w:bCs/>
          <w:lang w:val="en-CA"/>
        </w:rPr>
        <w:t>.</w:t>
      </w:r>
    </w:p>
    <w:p w:rsidR="002E07BF" w:rsidRPr="003B342C" w:rsidRDefault="002E07BF" w:rsidP="001A6A13">
      <w:pPr>
        <w:tabs>
          <w:tab w:val="clear" w:pos="567"/>
          <w:tab w:val="clear" w:pos="1134"/>
          <w:tab w:val="clear" w:pos="1701"/>
          <w:tab w:val="clear" w:pos="2268"/>
          <w:tab w:val="clear" w:pos="2835"/>
        </w:tabs>
        <w:snapToGrid w:val="0"/>
        <w:spacing w:after="120"/>
        <w:rPr>
          <w:lang w:val="en-CA"/>
        </w:rPr>
      </w:pPr>
      <w:r w:rsidRPr="003B342C">
        <w:rPr>
          <w:lang w:val="en-CA"/>
        </w:rPr>
        <w:lastRenderedPageBreak/>
        <w:t>3.2</w:t>
      </w:r>
      <w:r w:rsidRPr="003B342C">
        <w:rPr>
          <w:lang w:val="en-CA"/>
        </w:rPr>
        <w:tab/>
        <w:t xml:space="preserve">The </w:t>
      </w:r>
      <w:r w:rsidRPr="003B342C">
        <w:rPr>
          <w:b/>
          <w:bCs/>
          <w:lang w:val="en-CA"/>
        </w:rPr>
        <w:t xml:space="preserve">Secretary-General </w:t>
      </w:r>
      <w:r w:rsidRPr="003B342C">
        <w:rPr>
          <w:lang w:val="en-CA"/>
        </w:rPr>
        <w:t xml:space="preserve">delivered the address available at: </w:t>
      </w:r>
      <w:r w:rsidRPr="000B6C4C">
        <w:rPr>
          <w:rStyle w:val="Hyperlink"/>
          <w:lang w:val="en-CA"/>
        </w:rPr>
        <w:t>https://www.itu.int/web/pp-18/en/page/215-other-speeches.</w:t>
      </w:r>
      <w:r>
        <w:rPr>
          <w:lang w:val="en-CA"/>
        </w:rPr>
        <w:t xml:space="preserve"> He </w:t>
      </w:r>
      <w:r w:rsidRPr="003B342C">
        <w:rPr>
          <w:lang w:val="en-CA"/>
        </w:rPr>
        <w:t xml:space="preserve">presented the Chairman with the ITU Gold Medal and a certificate in recognition of his </w:t>
      </w:r>
      <w:r>
        <w:rPr>
          <w:lang w:val="en-CA"/>
        </w:rPr>
        <w:t xml:space="preserve">outstanding </w:t>
      </w:r>
      <w:r w:rsidRPr="003B342C">
        <w:rPr>
          <w:lang w:val="en-CA"/>
        </w:rPr>
        <w:t xml:space="preserve">contribution to the </w:t>
      </w:r>
      <w:r>
        <w:rPr>
          <w:lang w:val="en-CA"/>
        </w:rPr>
        <w:t xml:space="preserve">work of the </w:t>
      </w:r>
      <w:r w:rsidRPr="003B342C">
        <w:rPr>
          <w:lang w:val="en-CA"/>
        </w:rPr>
        <w:t xml:space="preserve">Union and the excellent manner in which he had steered the conference’s work. He then presented all the committee chairmen with certificates </w:t>
      </w:r>
      <w:r>
        <w:rPr>
          <w:lang w:val="en-CA"/>
        </w:rPr>
        <w:t>in</w:t>
      </w:r>
      <w:r w:rsidRPr="003B342C">
        <w:rPr>
          <w:lang w:val="en-CA"/>
        </w:rPr>
        <w:t xml:space="preserve"> appreciation for their efforts during the conference.</w:t>
      </w:r>
    </w:p>
    <w:p w:rsidR="002E07BF" w:rsidRPr="003B342C" w:rsidRDefault="002E07BF" w:rsidP="001A6A13">
      <w:pPr>
        <w:tabs>
          <w:tab w:val="clear" w:pos="567"/>
          <w:tab w:val="clear" w:pos="1134"/>
          <w:tab w:val="clear" w:pos="1701"/>
          <w:tab w:val="clear" w:pos="2268"/>
          <w:tab w:val="clear" w:pos="2835"/>
        </w:tabs>
        <w:snapToGrid w:val="0"/>
        <w:spacing w:after="120"/>
        <w:rPr>
          <w:lang w:val="en-CA"/>
        </w:rPr>
      </w:pPr>
      <w:r w:rsidRPr="003B342C">
        <w:rPr>
          <w:lang w:val="en-CA"/>
        </w:rPr>
        <w:t>3.</w:t>
      </w:r>
      <w:r>
        <w:rPr>
          <w:lang w:val="en-CA"/>
        </w:rPr>
        <w:t>3</w:t>
      </w:r>
      <w:r w:rsidRPr="003B342C">
        <w:rPr>
          <w:lang w:val="en-CA"/>
        </w:rPr>
        <w:tab/>
        <w:t>The outgoing</w:t>
      </w:r>
      <w:r w:rsidRPr="003B342C">
        <w:rPr>
          <w:b/>
          <w:bCs/>
          <w:lang w:val="en-CA"/>
        </w:rPr>
        <w:t xml:space="preserve"> Director of </w:t>
      </w:r>
      <w:r>
        <w:rPr>
          <w:b/>
          <w:bCs/>
          <w:lang w:val="en-CA"/>
        </w:rPr>
        <w:t>BR</w:t>
      </w:r>
      <w:r w:rsidRPr="003B342C">
        <w:rPr>
          <w:lang w:val="en-CA"/>
        </w:rPr>
        <w:t xml:space="preserve"> </w:t>
      </w:r>
      <w:r>
        <w:rPr>
          <w:lang w:val="en-CA"/>
        </w:rPr>
        <w:t xml:space="preserve">delivered the address available at: </w:t>
      </w:r>
      <w:hyperlink r:id="rId11" w:history="1">
        <w:r>
          <w:rPr>
            <w:rStyle w:val="Hyperlink"/>
          </w:rPr>
          <w:t>https://www.itu.int/web/pp-18/en/speech/215</w:t>
        </w:r>
      </w:hyperlink>
      <w:r>
        <w:rPr>
          <w:lang w:val="en-CA"/>
        </w:rPr>
        <w:t>.</w:t>
      </w:r>
    </w:p>
    <w:p w:rsidR="002E07BF" w:rsidRPr="003B342C" w:rsidRDefault="002E07BF" w:rsidP="001A6A13">
      <w:pPr>
        <w:tabs>
          <w:tab w:val="clear" w:pos="567"/>
          <w:tab w:val="clear" w:pos="1134"/>
          <w:tab w:val="clear" w:pos="1701"/>
          <w:tab w:val="clear" w:pos="2268"/>
          <w:tab w:val="clear" w:pos="2835"/>
        </w:tabs>
        <w:snapToGrid w:val="0"/>
        <w:spacing w:after="120"/>
        <w:rPr>
          <w:sz w:val="22"/>
          <w:lang w:val="en-CA"/>
        </w:rPr>
      </w:pPr>
      <w:r w:rsidRPr="003B342C">
        <w:rPr>
          <w:lang w:val="en-CA"/>
        </w:rPr>
        <w:t>3.</w:t>
      </w:r>
      <w:r>
        <w:rPr>
          <w:lang w:val="en-CA"/>
        </w:rPr>
        <w:t>4</w:t>
      </w:r>
      <w:r w:rsidRPr="003B342C">
        <w:rPr>
          <w:lang w:val="en-CA"/>
        </w:rPr>
        <w:tab/>
        <w:t>The outgoing</w:t>
      </w:r>
      <w:r w:rsidRPr="003B342C">
        <w:rPr>
          <w:b/>
          <w:bCs/>
          <w:lang w:val="en-CA"/>
        </w:rPr>
        <w:t xml:space="preserve"> Director of </w:t>
      </w:r>
      <w:r>
        <w:rPr>
          <w:b/>
          <w:bCs/>
          <w:lang w:val="en-CA"/>
        </w:rPr>
        <w:t>BDT</w:t>
      </w:r>
      <w:r w:rsidRPr="003B342C">
        <w:rPr>
          <w:lang w:val="en-CA"/>
        </w:rPr>
        <w:t xml:space="preserve"> </w:t>
      </w:r>
      <w:r>
        <w:rPr>
          <w:lang w:val="en-CA"/>
        </w:rPr>
        <w:t xml:space="preserve">delivered the address available at: </w:t>
      </w:r>
      <w:hyperlink r:id="rId12" w:history="1">
        <w:r>
          <w:rPr>
            <w:rStyle w:val="Hyperlink"/>
          </w:rPr>
          <w:t>https://www.itu.int/web/pp-18/en/speech/216</w:t>
        </w:r>
      </w:hyperlink>
      <w:r>
        <w:rPr>
          <w:color w:val="1F497D"/>
        </w:rPr>
        <w:t>.</w:t>
      </w:r>
    </w:p>
    <w:p w:rsidR="002E07BF" w:rsidRPr="003B342C" w:rsidRDefault="002E07BF" w:rsidP="001A6A13">
      <w:pPr>
        <w:tabs>
          <w:tab w:val="clear" w:pos="567"/>
          <w:tab w:val="clear" w:pos="1134"/>
          <w:tab w:val="clear" w:pos="1701"/>
          <w:tab w:val="clear" w:pos="2268"/>
          <w:tab w:val="clear" w:pos="2835"/>
        </w:tabs>
        <w:snapToGrid w:val="0"/>
        <w:spacing w:after="120"/>
        <w:rPr>
          <w:lang w:val="en-CA"/>
        </w:rPr>
      </w:pPr>
      <w:r w:rsidRPr="003B342C">
        <w:rPr>
          <w:lang w:val="en-CA"/>
        </w:rPr>
        <w:t>3.</w:t>
      </w:r>
      <w:r>
        <w:rPr>
          <w:lang w:val="en-CA"/>
        </w:rPr>
        <w:t>5</w:t>
      </w:r>
      <w:r w:rsidRPr="003B342C">
        <w:rPr>
          <w:lang w:val="en-CA"/>
        </w:rPr>
        <w:tab/>
        <w:t xml:space="preserve">The </w:t>
      </w:r>
      <w:r w:rsidRPr="003B342C">
        <w:rPr>
          <w:b/>
          <w:bCs/>
          <w:lang w:val="en-CA"/>
        </w:rPr>
        <w:t>Chairman</w:t>
      </w:r>
      <w:r w:rsidRPr="003B342C">
        <w:rPr>
          <w:lang w:val="en-CA"/>
        </w:rPr>
        <w:t xml:space="preserve"> delivered the address available at: </w:t>
      </w:r>
      <w:hyperlink r:id="rId13" w:history="1">
        <w:r w:rsidRPr="003B342C">
          <w:rPr>
            <w:rStyle w:val="Hyperlink"/>
            <w:lang w:val="en-CA"/>
          </w:rPr>
          <w:t>https://www.itu.int/web/pp-18/en/page/215-other-speeches</w:t>
        </w:r>
      </w:hyperlink>
      <w:r w:rsidRPr="003B342C">
        <w:rPr>
          <w:lang w:val="en-CA"/>
        </w:rPr>
        <w:t>.</w:t>
      </w:r>
    </w:p>
    <w:p w:rsidR="002E07BF" w:rsidRPr="003B342C" w:rsidRDefault="002E07BF" w:rsidP="001A6A13">
      <w:pPr>
        <w:tabs>
          <w:tab w:val="clear" w:pos="567"/>
          <w:tab w:val="clear" w:pos="1134"/>
          <w:tab w:val="clear" w:pos="1701"/>
          <w:tab w:val="clear" w:pos="2268"/>
          <w:tab w:val="clear" w:pos="2835"/>
        </w:tabs>
        <w:snapToGrid w:val="0"/>
        <w:spacing w:after="120"/>
        <w:rPr>
          <w:lang w:val="en-CA"/>
        </w:rPr>
      </w:pPr>
      <w:r w:rsidRPr="003B342C">
        <w:rPr>
          <w:lang w:val="en-CA"/>
        </w:rPr>
        <w:t>3.</w:t>
      </w:r>
      <w:r>
        <w:rPr>
          <w:lang w:val="en-CA"/>
        </w:rPr>
        <w:t>6</w:t>
      </w:r>
      <w:r w:rsidRPr="003B342C">
        <w:rPr>
          <w:lang w:val="en-CA"/>
        </w:rPr>
        <w:tab/>
        <w:t xml:space="preserve">The </w:t>
      </w:r>
      <w:r w:rsidRPr="003B342C">
        <w:rPr>
          <w:b/>
          <w:bCs/>
          <w:lang w:val="en-CA"/>
        </w:rPr>
        <w:t>delegates of the Islamic Republic of Iran, Egypt, Kenya</w:t>
      </w:r>
      <w:r w:rsidRPr="003B342C">
        <w:rPr>
          <w:lang w:val="en-CA"/>
        </w:rPr>
        <w:t xml:space="preserve">, speaking also on behalf of the African group, the </w:t>
      </w:r>
      <w:r w:rsidRPr="003B342C">
        <w:rPr>
          <w:b/>
          <w:bCs/>
          <w:lang w:val="en-CA"/>
        </w:rPr>
        <w:t>Russian Federation</w:t>
      </w:r>
      <w:r w:rsidRPr="003B342C">
        <w:rPr>
          <w:lang w:val="en-CA"/>
        </w:rPr>
        <w:t xml:space="preserve">, speaking also on behalf of RCC, </w:t>
      </w:r>
      <w:r w:rsidRPr="003B342C">
        <w:rPr>
          <w:b/>
          <w:bCs/>
          <w:lang w:val="en-CA"/>
        </w:rPr>
        <w:t>Malaysia</w:t>
      </w:r>
      <w:r w:rsidRPr="003B342C">
        <w:rPr>
          <w:lang w:val="en-CA"/>
        </w:rPr>
        <w:t xml:space="preserve">, speaking also on behalf of APT, </w:t>
      </w:r>
      <w:r w:rsidRPr="003B342C">
        <w:rPr>
          <w:b/>
          <w:bCs/>
          <w:lang w:val="en-CA"/>
        </w:rPr>
        <w:t>Canada</w:t>
      </w:r>
      <w:r w:rsidRPr="003B342C">
        <w:rPr>
          <w:lang w:val="en-CA"/>
        </w:rPr>
        <w:t xml:space="preserve">, speaking also on behalf of CITEL, </w:t>
      </w:r>
      <w:r w:rsidRPr="003B342C">
        <w:rPr>
          <w:b/>
          <w:bCs/>
          <w:lang w:val="en-CA"/>
        </w:rPr>
        <w:t>Romania</w:t>
      </w:r>
      <w:r w:rsidRPr="003B342C">
        <w:rPr>
          <w:lang w:val="en-CA"/>
        </w:rPr>
        <w:t xml:space="preserve">, speaking also on behalf of CEPT, </w:t>
      </w:r>
      <w:r w:rsidRPr="003B342C">
        <w:rPr>
          <w:b/>
          <w:bCs/>
          <w:lang w:val="en-CA"/>
        </w:rPr>
        <w:t xml:space="preserve">Brazil, Indonesia, Saudi Arabia, Iraq, Bahrain, </w:t>
      </w:r>
      <w:r w:rsidRPr="00914538">
        <w:rPr>
          <w:b/>
          <w:lang w:val="en-CA"/>
        </w:rPr>
        <w:t>the</w:t>
      </w:r>
      <w:r w:rsidRPr="00914538">
        <w:rPr>
          <w:b/>
          <w:bCs/>
          <w:lang w:val="en-CA"/>
        </w:rPr>
        <w:t xml:space="preserve"> U</w:t>
      </w:r>
      <w:r w:rsidRPr="003B342C">
        <w:rPr>
          <w:b/>
          <w:bCs/>
          <w:lang w:val="en-CA"/>
        </w:rPr>
        <w:t xml:space="preserve">nited States, Azerbaijan </w:t>
      </w:r>
      <w:r w:rsidRPr="003B342C">
        <w:rPr>
          <w:lang w:val="en-CA"/>
        </w:rPr>
        <w:t xml:space="preserve">and </w:t>
      </w:r>
      <w:r w:rsidRPr="00914538">
        <w:rPr>
          <w:b/>
          <w:lang w:val="en-CA"/>
        </w:rPr>
        <w:t>the</w:t>
      </w:r>
      <w:r w:rsidRPr="003B342C">
        <w:rPr>
          <w:b/>
          <w:bCs/>
          <w:lang w:val="en-CA"/>
        </w:rPr>
        <w:t xml:space="preserve"> Republic of Korea</w:t>
      </w:r>
      <w:r w:rsidRPr="003B342C">
        <w:rPr>
          <w:lang w:val="en-CA"/>
        </w:rPr>
        <w:t xml:space="preserve"> expressed deep gratitude to the people and Government of the United Arab Emirates for the outstanding conference arrangements and warm welcome provided to all participants. Particular appreciation was expressed to the Chairman, who had navigated the conference through sometimes turbulent waters with patience, wisdom, flexibility and humour; to</w:t>
      </w:r>
      <w:r w:rsidRPr="003B342C">
        <w:rPr>
          <w:b/>
          <w:bCs/>
          <w:lang w:val="en-CA"/>
        </w:rPr>
        <w:t xml:space="preserve"> </w:t>
      </w:r>
      <w:r w:rsidRPr="003B342C">
        <w:rPr>
          <w:lang w:val="en-CA"/>
        </w:rPr>
        <w:t xml:space="preserve">the Director General of the Telecommunications Regulatory Authority of the United Arab Emirates; and to Mr Tariq Al Awadhi of the United Arab Emirates delegation. While it had not been possible to reach agreement on all matters, the work done on even the most contentious would serve as a basis for future progress, as all involved departed with a greater understanding of the issues at stake. Among the many achievements of the conference, </w:t>
      </w:r>
      <w:r>
        <w:rPr>
          <w:lang w:val="en-CA"/>
        </w:rPr>
        <w:t>one that particularly stood out was</w:t>
      </w:r>
      <w:r w:rsidRPr="003B342C">
        <w:rPr>
          <w:lang w:val="en-CA"/>
        </w:rPr>
        <w:t xml:space="preserve"> the election of a woman to serve as an elected official for the first time in the Union’s history. The </w:t>
      </w:r>
      <w:r>
        <w:rPr>
          <w:lang w:val="en-CA"/>
        </w:rPr>
        <w:t>r</w:t>
      </w:r>
      <w:r w:rsidRPr="003B342C">
        <w:rPr>
          <w:lang w:val="en-CA"/>
        </w:rPr>
        <w:t xml:space="preserve">esolutions and </w:t>
      </w:r>
      <w:r>
        <w:rPr>
          <w:lang w:val="en-CA"/>
        </w:rPr>
        <w:t>d</w:t>
      </w:r>
      <w:r w:rsidRPr="003B342C">
        <w:rPr>
          <w:lang w:val="en-CA"/>
        </w:rPr>
        <w:t>ecisions adopted by the conference – by consensus in every case – would cement the Union’s position at the forefront of work to develop information and communication technology, including new and emerging technologies such as over-the-top, and bridge the digital divide around the world.</w:t>
      </w:r>
    </w:p>
    <w:p w:rsidR="002E07BF" w:rsidRPr="003B342C" w:rsidRDefault="002E07BF" w:rsidP="001A6A13">
      <w:pPr>
        <w:tabs>
          <w:tab w:val="clear" w:pos="567"/>
          <w:tab w:val="clear" w:pos="1134"/>
          <w:tab w:val="clear" w:pos="1701"/>
          <w:tab w:val="clear" w:pos="2268"/>
          <w:tab w:val="clear" w:pos="2835"/>
        </w:tabs>
        <w:snapToGrid w:val="0"/>
        <w:spacing w:after="120"/>
        <w:rPr>
          <w:lang w:val="en-CA"/>
        </w:rPr>
      </w:pPr>
      <w:r w:rsidRPr="003B342C">
        <w:rPr>
          <w:lang w:val="en-CA"/>
        </w:rPr>
        <w:t>3.</w:t>
      </w:r>
      <w:r>
        <w:rPr>
          <w:lang w:val="en-CA"/>
        </w:rPr>
        <w:t>7</w:t>
      </w:r>
      <w:r w:rsidRPr="003B342C">
        <w:rPr>
          <w:lang w:val="en-CA"/>
        </w:rPr>
        <w:tab/>
        <w:t xml:space="preserve">The </w:t>
      </w:r>
      <w:r w:rsidRPr="003B342C">
        <w:rPr>
          <w:b/>
          <w:bCs/>
          <w:lang w:val="en-CA"/>
        </w:rPr>
        <w:t>delegate of the United Arab Emirates</w:t>
      </w:r>
      <w:r w:rsidRPr="003B342C">
        <w:rPr>
          <w:lang w:val="en-CA"/>
        </w:rPr>
        <w:t>, speaking on behalf of the Arab group, welcomed the outcomes of the conference, particularly in important areas such as over-the-top technologies and the adoption of strategic and financial plans for the Union for the coming years. In his national capacity, he added his thanks to all those who had ensured the smooth running of the conference, which had achieved environmental sustainability certification, and applauded the election of a woman to a senior management position for the first time.</w:t>
      </w:r>
    </w:p>
    <w:p w:rsidR="002E07BF" w:rsidRPr="003B342C" w:rsidRDefault="002E07BF" w:rsidP="001A6A13">
      <w:pPr>
        <w:tabs>
          <w:tab w:val="clear" w:pos="567"/>
          <w:tab w:val="clear" w:pos="1134"/>
          <w:tab w:val="clear" w:pos="1701"/>
          <w:tab w:val="clear" w:pos="2268"/>
          <w:tab w:val="clear" w:pos="2835"/>
        </w:tabs>
        <w:snapToGrid w:val="0"/>
        <w:spacing w:after="120"/>
        <w:rPr>
          <w:lang w:val="en-CA"/>
        </w:rPr>
      </w:pPr>
      <w:r w:rsidRPr="003B342C">
        <w:rPr>
          <w:lang w:val="en-CA"/>
        </w:rPr>
        <w:t>3.</w:t>
      </w:r>
      <w:r>
        <w:rPr>
          <w:lang w:val="en-CA"/>
        </w:rPr>
        <w:t>8</w:t>
      </w:r>
      <w:r w:rsidRPr="003B342C">
        <w:rPr>
          <w:lang w:val="en-CA"/>
        </w:rPr>
        <w:tab/>
      </w:r>
      <w:r w:rsidRPr="001A6A13">
        <w:rPr>
          <w:rFonts w:cs="Times New Roman Bold"/>
          <w:b/>
          <w:bCs/>
          <w:spacing w:val="-4"/>
          <w:lang w:val="en-CA"/>
        </w:rPr>
        <w:t>A four-minute video was shown on the main highlights of the three weeks of the conference.</w:t>
      </w:r>
    </w:p>
    <w:p w:rsidR="002E07BF" w:rsidRPr="003B342C" w:rsidRDefault="002E07BF" w:rsidP="001A6A13">
      <w:pPr>
        <w:tabs>
          <w:tab w:val="clear" w:pos="567"/>
          <w:tab w:val="clear" w:pos="1134"/>
          <w:tab w:val="clear" w:pos="1701"/>
          <w:tab w:val="clear" w:pos="2268"/>
          <w:tab w:val="clear" w:pos="2835"/>
        </w:tabs>
        <w:snapToGrid w:val="0"/>
        <w:spacing w:after="120"/>
        <w:rPr>
          <w:lang w:val="en-CA"/>
        </w:rPr>
      </w:pPr>
      <w:r w:rsidRPr="003B342C">
        <w:rPr>
          <w:lang w:val="en-CA"/>
        </w:rPr>
        <w:t>3.</w:t>
      </w:r>
      <w:r>
        <w:rPr>
          <w:lang w:val="en-CA"/>
        </w:rPr>
        <w:t>9</w:t>
      </w:r>
      <w:r w:rsidRPr="003B342C">
        <w:rPr>
          <w:lang w:val="en-CA"/>
        </w:rPr>
        <w:tab/>
        <w:t xml:space="preserve">The </w:t>
      </w:r>
      <w:r w:rsidRPr="003B342C">
        <w:rPr>
          <w:b/>
          <w:bCs/>
          <w:lang w:val="en-CA"/>
        </w:rPr>
        <w:t>Chairman</w:t>
      </w:r>
      <w:r w:rsidRPr="003B342C">
        <w:rPr>
          <w:lang w:val="en-CA"/>
        </w:rPr>
        <w:t>, thanking all the participants, declared closed the 2018 Plenipotentiary Conference of the Interna</w:t>
      </w:r>
      <w:r w:rsidR="001A6A13">
        <w:rPr>
          <w:lang w:val="en-CA"/>
        </w:rPr>
        <w:t>tional Telecommunication Union.</w:t>
      </w:r>
    </w:p>
    <w:p w:rsidR="002E07BF" w:rsidRPr="003B342C" w:rsidRDefault="002E07BF" w:rsidP="001A6A13">
      <w:pPr>
        <w:tabs>
          <w:tab w:val="clear" w:pos="567"/>
          <w:tab w:val="clear" w:pos="1134"/>
          <w:tab w:val="clear" w:pos="1701"/>
          <w:tab w:val="clear" w:pos="2268"/>
          <w:tab w:val="clear" w:pos="2835"/>
        </w:tabs>
        <w:overflowPunct/>
        <w:autoSpaceDE/>
        <w:autoSpaceDN/>
        <w:adjustRightInd/>
        <w:snapToGrid w:val="0"/>
        <w:spacing w:before="240" w:after="120"/>
        <w:textAlignment w:val="auto"/>
        <w:rPr>
          <w:b/>
          <w:lang w:val="en-CA"/>
        </w:rPr>
      </w:pPr>
      <w:r w:rsidRPr="003B342C">
        <w:rPr>
          <w:b/>
          <w:lang w:val="en-CA"/>
        </w:rPr>
        <w:t>The meeting rose at 1755 hours.</w:t>
      </w:r>
    </w:p>
    <w:p w:rsidR="002E07BF" w:rsidRPr="003B342C" w:rsidRDefault="002E07BF" w:rsidP="001A6A13">
      <w:pPr>
        <w:tabs>
          <w:tab w:val="clear" w:pos="567"/>
          <w:tab w:val="clear" w:pos="1134"/>
          <w:tab w:val="clear" w:pos="1701"/>
          <w:tab w:val="clear" w:pos="2268"/>
          <w:tab w:val="clear" w:pos="2835"/>
          <w:tab w:val="left" w:pos="6521"/>
        </w:tabs>
        <w:overflowPunct/>
        <w:autoSpaceDE/>
        <w:autoSpaceDN/>
        <w:adjustRightInd/>
        <w:snapToGrid w:val="0"/>
        <w:spacing w:before="480"/>
        <w:textAlignment w:val="auto"/>
        <w:rPr>
          <w:lang w:val="en-CA"/>
        </w:rPr>
      </w:pPr>
      <w:r w:rsidRPr="003B342C">
        <w:rPr>
          <w:lang w:val="en-CA"/>
        </w:rPr>
        <w:t>The Secretary-General:</w:t>
      </w:r>
      <w:r w:rsidRPr="003B342C">
        <w:rPr>
          <w:lang w:val="en-CA"/>
        </w:rPr>
        <w:tab/>
        <w:t>The Chairman:</w:t>
      </w:r>
    </w:p>
    <w:p w:rsidR="0008540E" w:rsidRDefault="002E07BF" w:rsidP="001A6A13">
      <w:pPr>
        <w:tabs>
          <w:tab w:val="clear" w:pos="567"/>
          <w:tab w:val="clear" w:pos="1134"/>
          <w:tab w:val="clear" w:pos="1701"/>
          <w:tab w:val="clear" w:pos="2268"/>
          <w:tab w:val="clear" w:pos="2835"/>
          <w:tab w:val="left" w:pos="6521"/>
        </w:tabs>
        <w:overflowPunct/>
        <w:autoSpaceDE/>
        <w:autoSpaceDN/>
        <w:adjustRightInd/>
        <w:snapToGrid w:val="0"/>
        <w:spacing w:before="0"/>
        <w:textAlignment w:val="auto"/>
        <w:rPr>
          <w:lang w:val="en-CA"/>
        </w:rPr>
      </w:pPr>
      <w:r w:rsidRPr="003B342C">
        <w:rPr>
          <w:lang w:val="en-CA"/>
        </w:rPr>
        <w:t>H. ZHAO</w:t>
      </w:r>
      <w:r w:rsidRPr="003B342C">
        <w:rPr>
          <w:lang w:val="en-CA"/>
        </w:rPr>
        <w:tab/>
        <w:t>M. ALMESMAR</w:t>
      </w:r>
    </w:p>
    <w:p w:rsidR="001A6A13" w:rsidRPr="0008540E" w:rsidRDefault="001A6A13" w:rsidP="001A6A13">
      <w:pPr>
        <w:tabs>
          <w:tab w:val="clear" w:pos="567"/>
          <w:tab w:val="clear" w:pos="1134"/>
          <w:tab w:val="clear" w:pos="1701"/>
          <w:tab w:val="clear" w:pos="2268"/>
          <w:tab w:val="clear" w:pos="2835"/>
          <w:tab w:val="left" w:pos="6521"/>
        </w:tabs>
        <w:overflowPunct/>
        <w:autoSpaceDE/>
        <w:autoSpaceDN/>
        <w:adjustRightInd/>
        <w:snapToGrid w:val="0"/>
        <w:jc w:val="center"/>
        <w:textAlignment w:val="auto"/>
      </w:pPr>
      <w:r>
        <w:rPr>
          <w:lang w:val="en-CA"/>
        </w:rPr>
        <w:t>______________</w:t>
      </w:r>
    </w:p>
    <w:sectPr w:rsidR="001A6A13" w:rsidRPr="0008540E" w:rsidSect="00361097">
      <w:headerReference w:type="default" r:id="rId14"/>
      <w:footerReference w:type="first" r:id="rId15"/>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BC2" w:rsidRDefault="00F94BC2">
      <w:r>
        <w:separator/>
      </w:r>
    </w:p>
  </w:endnote>
  <w:endnote w:type="continuationSeparator" w:id="0">
    <w:p w:rsidR="00F94BC2" w:rsidRDefault="00F94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p w:rsidR="00A516BB" w:rsidRDefault="00A516BB" w:rsidP="00855DAB">
    <w:pPr>
      <w:pStyle w:val="Footer"/>
      <w:tabs>
        <w:tab w:val="clear" w:pos="5954"/>
        <w:tab w:val="clear" w:pos="9639"/>
        <w:tab w:val="left" w:pos="7655"/>
        <w:tab w:val="right" w:pos="949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BC2" w:rsidRDefault="00F94BC2">
      <w:r>
        <w:t>____________________</w:t>
      </w:r>
    </w:p>
  </w:footnote>
  <w:footnote w:type="continuationSeparator" w:id="0">
    <w:p w:rsidR="00F94BC2" w:rsidRDefault="00F94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112763">
      <w:rPr>
        <w:noProof/>
      </w:rPr>
      <w:t>3</w:t>
    </w:r>
    <w:r>
      <w:fldChar w:fldCharType="end"/>
    </w:r>
  </w:p>
  <w:p w:rsidR="00CE1B90" w:rsidRDefault="00CE1B90" w:rsidP="00E26429">
    <w:pPr>
      <w:pStyle w:val="Header"/>
    </w:pPr>
    <w:r>
      <w:t>PP1</w:t>
    </w:r>
    <w:r w:rsidR="004F7925">
      <w:t>8</w:t>
    </w:r>
    <w:r w:rsidR="002E07BF">
      <w:t>/176</w:t>
    </w:r>
    <w:r w:rsidR="00E26429">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2763"/>
    <w:rsid w:val="0011489E"/>
    <w:rsid w:val="00114BA3"/>
    <w:rsid w:val="00115DEC"/>
    <w:rsid w:val="00123F09"/>
    <w:rsid w:val="00136175"/>
    <w:rsid w:val="00140FF0"/>
    <w:rsid w:val="00142F28"/>
    <w:rsid w:val="00146057"/>
    <w:rsid w:val="0016633C"/>
    <w:rsid w:val="00171990"/>
    <w:rsid w:val="00175466"/>
    <w:rsid w:val="00194A84"/>
    <w:rsid w:val="00195B70"/>
    <w:rsid w:val="001A0EEB"/>
    <w:rsid w:val="001A16ED"/>
    <w:rsid w:val="001A6A13"/>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07BF"/>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C3315"/>
    <w:rsid w:val="005E1CC3"/>
    <w:rsid w:val="005F05C8"/>
    <w:rsid w:val="00604079"/>
    <w:rsid w:val="00617BE4"/>
    <w:rsid w:val="00620233"/>
    <w:rsid w:val="006404B0"/>
    <w:rsid w:val="0066499C"/>
    <w:rsid w:val="00676E68"/>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1833"/>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09D9"/>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6038"/>
    <w:rsid w:val="00C6729F"/>
    <w:rsid w:val="00C72664"/>
    <w:rsid w:val="00C86F24"/>
    <w:rsid w:val="00CA38C9"/>
    <w:rsid w:val="00CB4984"/>
    <w:rsid w:val="00CB5DD7"/>
    <w:rsid w:val="00CB7795"/>
    <w:rsid w:val="00CB77D5"/>
    <w:rsid w:val="00CC14F0"/>
    <w:rsid w:val="00CD617D"/>
    <w:rsid w:val="00CE1B90"/>
    <w:rsid w:val="00CE3B0F"/>
    <w:rsid w:val="00CE40BB"/>
    <w:rsid w:val="00CF1C71"/>
    <w:rsid w:val="00CF510F"/>
    <w:rsid w:val="00D07696"/>
    <w:rsid w:val="00D11956"/>
    <w:rsid w:val="00D15A98"/>
    <w:rsid w:val="00D273C4"/>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26429"/>
    <w:rsid w:val="00E31D1C"/>
    <w:rsid w:val="00E32981"/>
    <w:rsid w:val="00E34312"/>
    <w:rsid w:val="00E3536D"/>
    <w:rsid w:val="00E44456"/>
    <w:rsid w:val="00E553B9"/>
    <w:rsid w:val="00E56E57"/>
    <w:rsid w:val="00E6599B"/>
    <w:rsid w:val="00E726DE"/>
    <w:rsid w:val="00E844D5"/>
    <w:rsid w:val="00E86536"/>
    <w:rsid w:val="00E871C2"/>
    <w:rsid w:val="00EA1BAA"/>
    <w:rsid w:val="00EB2B6D"/>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eading1Char">
    <w:name w:val="Heading 1 Char"/>
    <w:basedOn w:val="DefaultParagraphFont"/>
    <w:link w:val="Heading1"/>
    <w:rsid w:val="002E07BF"/>
    <w:rPr>
      <w:rFonts w:ascii="Calibri" w:hAnsi="Calibri"/>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itu.int/md/S18-PP-C-0168/en" TargetMode="External"/><Relationship Id="rId13" Type="http://schemas.openxmlformats.org/officeDocument/2006/relationships/hyperlink" Target="https://www.itu.int/web/pp-18/en/page/215-other-speech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tu.int/web/pp-18/en/speech/21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yperlink" Target="https://www.itu.int/web/pp-18/en/speech/21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tu.int/web/pp-18/en/page/215-other-speeches" TargetMode="External"/><Relationship Id="rId4" Type="http://schemas.openxmlformats.org/officeDocument/2006/relationships/webSettings" Target="webSettings.xml"/><Relationship Id="rId9" Type="http://schemas.openxmlformats.org/officeDocument/2006/relationships/hyperlink" Target="https://www.itu.int/md/S18-PP-C-0168/e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1020</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Proposals for the work of the conference</vt:lpstr>
    </vt:vector>
  </TitlesOfParts>
  <Manager/>
  <Company/>
  <LinksUpToDate>false</LinksUpToDate>
  <CharactersWithSpaces>7715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the work of the conference</dc:title>
  <dc:subject>Plenipotentiary Conference (PP-18)</dc:subject>
  <dc:creator/>
  <cp:keywords>PP-18, Plenipotentiary</cp:keywords>
  <cp:lastModifiedBy/>
  <cp:revision>1</cp:revision>
  <dcterms:created xsi:type="dcterms:W3CDTF">2018-12-17T14:58:00Z</dcterms:created>
  <dcterms:modified xsi:type="dcterms:W3CDTF">2018-12-17T14:58:00Z</dcterms:modified>
  <cp:category>Conference document</cp:category>
</cp:coreProperties>
</file>