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E558B7" w:rsidTr="00316574">
        <w:trPr>
          <w:cantSplit/>
        </w:trPr>
        <w:tc>
          <w:tcPr>
            <w:tcW w:w="6521" w:type="dxa"/>
          </w:tcPr>
          <w:p w:rsidR="00E558B7" w:rsidRPr="0056078E" w:rsidRDefault="00E558B7" w:rsidP="0056078E">
            <w:pPr>
              <w:pStyle w:val="Normal1"/>
              <w:pBdr>
                <w:top w:val="nil"/>
                <w:left w:val="nil"/>
                <w:bottom w:val="nil"/>
                <w:right w:val="nil"/>
                <w:between w:val="nil"/>
                <w:bar w:val="nil"/>
              </w:pBdr>
              <w:adjustRightInd w:val="0"/>
              <w:snapToGrid w:val="0"/>
              <w:spacing w:before="0"/>
              <w:rPr>
                <w:b/>
                <w:bCs/>
                <w:position w:val="6"/>
                <w:sz w:val="30"/>
                <w:szCs w:val="30"/>
              </w:rPr>
            </w:pPr>
            <w:r w:rsidRPr="0056078E">
              <w:rPr>
                <w:b/>
                <w:bCs/>
                <w:position w:val="6"/>
                <w:sz w:val="30"/>
                <w:szCs w:val="30"/>
              </w:rPr>
              <w:t>Council Working Group on International</w:t>
            </w:r>
            <w:r w:rsidRPr="0056078E">
              <w:rPr>
                <w:b/>
                <w:bCs/>
                <w:position w:val="6"/>
                <w:sz w:val="30"/>
                <w:szCs w:val="30"/>
              </w:rPr>
              <w:br/>
              <w:t>Internet-related Public Policy Issues</w:t>
            </w:r>
          </w:p>
          <w:p w:rsidR="00E558B7" w:rsidRPr="00D613F6" w:rsidRDefault="00E558B7" w:rsidP="0056078E">
            <w:pPr>
              <w:pStyle w:val="Normal1"/>
              <w:pBdr>
                <w:top w:val="nil"/>
                <w:left w:val="nil"/>
                <w:bottom w:val="nil"/>
                <w:right w:val="nil"/>
                <w:between w:val="nil"/>
                <w:bar w:val="nil"/>
              </w:pBdr>
              <w:spacing w:before="0"/>
              <w:rPr>
                <w:rFonts w:asciiTheme="minorHAnsi" w:hAnsiTheme="minorHAnsi"/>
                <w:b/>
                <w:position w:val="6"/>
                <w:sz w:val="26"/>
                <w:szCs w:val="26"/>
              </w:rPr>
            </w:pPr>
            <w:r w:rsidRPr="0056078E">
              <w:rPr>
                <w:b/>
                <w:lang w:val="en-US"/>
              </w:rPr>
              <w:t>Eleventh meeting – Geneva, 25-26 January 2018</w:t>
            </w:r>
          </w:p>
        </w:tc>
        <w:tc>
          <w:tcPr>
            <w:tcW w:w="3793" w:type="dxa"/>
          </w:tcPr>
          <w:p w:rsidR="00E558B7" w:rsidRPr="00D613F6" w:rsidRDefault="00E558B7" w:rsidP="00316574">
            <w:pPr>
              <w:spacing w:before="120" w:line="240" w:lineRule="atLeast"/>
            </w:pPr>
            <w:bookmarkStart w:id="0" w:name="ditulogo"/>
            <w:bookmarkEnd w:id="0"/>
            <w:r>
              <w:rPr>
                <w:noProof/>
                <w:lang w:eastAsia="zh-CN"/>
              </w:rPr>
              <w:drawing>
                <wp:inline distT="0" distB="0" distL="0" distR="0" wp14:anchorId="2158B77C" wp14:editId="6383DB7F">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E558B7" w:rsidRPr="00617BE4" w:rsidTr="00316574">
        <w:trPr>
          <w:cantSplit/>
        </w:trPr>
        <w:tc>
          <w:tcPr>
            <w:tcW w:w="6521" w:type="dxa"/>
            <w:tcBorders>
              <w:top w:val="single" w:sz="12" w:space="0" w:color="auto"/>
            </w:tcBorders>
          </w:tcPr>
          <w:p w:rsidR="00E558B7" w:rsidRPr="00D613F6" w:rsidRDefault="00E558B7" w:rsidP="00316574">
            <w:pPr>
              <w:snapToGrid w:val="0"/>
              <w:rPr>
                <w:b/>
                <w:smallCaps/>
              </w:rPr>
            </w:pPr>
          </w:p>
        </w:tc>
        <w:tc>
          <w:tcPr>
            <w:tcW w:w="3793" w:type="dxa"/>
            <w:tcBorders>
              <w:top w:val="single" w:sz="12" w:space="0" w:color="auto"/>
            </w:tcBorders>
          </w:tcPr>
          <w:p w:rsidR="00E558B7" w:rsidRPr="00D613F6" w:rsidRDefault="00E558B7" w:rsidP="00316574">
            <w:pPr>
              <w:snapToGrid w:val="0"/>
              <w:ind w:left="209"/>
              <w:rPr>
                <w:rFonts w:ascii="Verdana" w:hAnsi="Verdana"/>
              </w:rPr>
            </w:pPr>
          </w:p>
        </w:tc>
      </w:tr>
      <w:tr w:rsidR="00E558B7" w:rsidRPr="001B506B" w:rsidTr="00316574">
        <w:trPr>
          <w:cantSplit/>
          <w:trHeight w:val="23"/>
        </w:trPr>
        <w:tc>
          <w:tcPr>
            <w:tcW w:w="6521" w:type="dxa"/>
            <w:vMerge w:val="restart"/>
          </w:tcPr>
          <w:p w:rsidR="00E558B7" w:rsidRPr="00D613F6" w:rsidRDefault="00E558B7" w:rsidP="00316574">
            <w:pPr>
              <w:snapToGrid w:val="0"/>
              <w:rPr>
                <w:rFonts w:asciiTheme="minorHAnsi" w:hAnsiTheme="minorHAnsi"/>
                <w:b/>
              </w:rPr>
            </w:pPr>
            <w:bookmarkStart w:id="1" w:name="dmeeting" w:colFirst="0" w:colLast="0"/>
            <w:bookmarkStart w:id="2" w:name="dnum" w:colFirst="1" w:colLast="1"/>
          </w:p>
        </w:tc>
        <w:tc>
          <w:tcPr>
            <w:tcW w:w="3793" w:type="dxa"/>
          </w:tcPr>
          <w:p w:rsidR="00E558B7" w:rsidRPr="0056078E" w:rsidRDefault="00E558B7" w:rsidP="00316574">
            <w:pPr>
              <w:snapToGrid w:val="0"/>
              <w:ind w:left="57"/>
              <w:rPr>
                <w:rFonts w:ascii="Calibri" w:hAnsi="Calibri" w:cs="Calibri"/>
                <w:b/>
                <w:spacing w:val="-4"/>
                <w:lang w:val="de-CH"/>
              </w:rPr>
            </w:pPr>
            <w:r w:rsidRPr="0056078E">
              <w:rPr>
                <w:rFonts w:ascii="Calibri" w:hAnsi="Calibri" w:cs="Calibri"/>
                <w:b/>
                <w:spacing w:val="-4"/>
                <w:lang w:val="de-CH"/>
              </w:rPr>
              <w:t>Document CWG-Internet-11/</w:t>
            </w:r>
            <w:r w:rsidR="008D5384">
              <w:rPr>
                <w:rFonts w:ascii="Calibri" w:hAnsi="Calibri" w:cs="Calibri"/>
                <w:b/>
                <w:spacing w:val="-4"/>
                <w:lang w:val="de-CH"/>
              </w:rPr>
              <w:t>3-E</w:t>
            </w:r>
          </w:p>
        </w:tc>
      </w:tr>
      <w:tr w:rsidR="00E558B7" w:rsidRPr="00E544AC" w:rsidTr="00316574">
        <w:trPr>
          <w:cantSplit/>
          <w:trHeight w:val="23"/>
        </w:trPr>
        <w:tc>
          <w:tcPr>
            <w:tcW w:w="6521" w:type="dxa"/>
            <w:vMerge/>
          </w:tcPr>
          <w:p w:rsidR="00E558B7" w:rsidRPr="00D613F6" w:rsidRDefault="00E558B7" w:rsidP="00316574">
            <w:pPr>
              <w:snapToGrid w:val="0"/>
              <w:rPr>
                <w:rFonts w:asciiTheme="minorHAnsi" w:hAnsiTheme="minorHAnsi"/>
                <w:b/>
                <w:lang w:val="de-CH"/>
              </w:rPr>
            </w:pPr>
            <w:bookmarkStart w:id="3" w:name="ddate" w:colFirst="1" w:colLast="1"/>
            <w:bookmarkEnd w:id="1"/>
            <w:bookmarkEnd w:id="2"/>
          </w:p>
        </w:tc>
        <w:tc>
          <w:tcPr>
            <w:tcW w:w="3793" w:type="dxa"/>
          </w:tcPr>
          <w:p w:rsidR="00E558B7" w:rsidRPr="0056078E" w:rsidRDefault="008D5384" w:rsidP="00316574">
            <w:pPr>
              <w:snapToGrid w:val="0"/>
              <w:ind w:left="57"/>
              <w:rPr>
                <w:rFonts w:ascii="Calibri" w:hAnsi="Calibri" w:cs="Calibri"/>
                <w:b/>
              </w:rPr>
            </w:pPr>
            <w:r>
              <w:rPr>
                <w:rFonts w:ascii="Calibri" w:hAnsi="Calibri" w:cs="Calibri"/>
                <w:b/>
              </w:rPr>
              <w:t xml:space="preserve">28 </w:t>
            </w:r>
            <w:bookmarkStart w:id="4" w:name="_GoBack"/>
            <w:bookmarkEnd w:id="4"/>
            <w:r w:rsidR="00E558B7" w:rsidRPr="0056078E">
              <w:rPr>
                <w:rFonts w:ascii="Calibri" w:hAnsi="Calibri" w:cs="Calibri"/>
                <w:b/>
              </w:rPr>
              <w:t>December 2017</w:t>
            </w:r>
          </w:p>
        </w:tc>
      </w:tr>
      <w:tr w:rsidR="00E558B7" w:rsidRPr="00E544AC" w:rsidTr="00316574">
        <w:trPr>
          <w:cantSplit/>
          <w:trHeight w:val="80"/>
        </w:trPr>
        <w:tc>
          <w:tcPr>
            <w:tcW w:w="6521" w:type="dxa"/>
            <w:vMerge/>
          </w:tcPr>
          <w:p w:rsidR="00E558B7" w:rsidRPr="00E544AC" w:rsidRDefault="00E558B7" w:rsidP="00316574">
            <w:pPr>
              <w:snapToGrid w:val="0"/>
              <w:rPr>
                <w:rFonts w:asciiTheme="minorHAnsi" w:hAnsiTheme="minorHAnsi"/>
                <w:b/>
              </w:rPr>
            </w:pPr>
            <w:bookmarkStart w:id="5" w:name="dorlang" w:colFirst="1" w:colLast="1"/>
            <w:bookmarkEnd w:id="3"/>
          </w:p>
        </w:tc>
        <w:tc>
          <w:tcPr>
            <w:tcW w:w="3793" w:type="dxa"/>
          </w:tcPr>
          <w:p w:rsidR="00E558B7" w:rsidRPr="0056078E" w:rsidRDefault="00E558B7" w:rsidP="00316574">
            <w:pPr>
              <w:snapToGrid w:val="0"/>
              <w:ind w:left="57"/>
              <w:rPr>
                <w:rFonts w:ascii="Calibri" w:hAnsi="Calibri" w:cs="Calibri"/>
                <w:b/>
              </w:rPr>
            </w:pPr>
            <w:r w:rsidRPr="0056078E">
              <w:rPr>
                <w:rFonts w:ascii="Calibri" w:hAnsi="Calibri" w:cs="Calibri"/>
                <w:b/>
              </w:rPr>
              <w:t>English only</w:t>
            </w:r>
          </w:p>
        </w:tc>
      </w:tr>
      <w:bookmarkEnd w:id="5"/>
    </w:tbl>
    <w:p w:rsidR="00E558B7" w:rsidRDefault="00E558B7" w:rsidP="00AE235F">
      <w:pPr>
        <w:pStyle w:val="ResNo"/>
        <w:spacing w:before="360"/>
        <w:rPr>
          <w:sz w:val="24"/>
          <w:szCs w:val="24"/>
        </w:rPr>
      </w:pPr>
    </w:p>
    <w:p w:rsidR="0056078E" w:rsidRPr="00351B0C" w:rsidRDefault="0056078E" w:rsidP="0056078E">
      <w:pPr>
        <w:pStyle w:val="Source"/>
        <w:spacing w:before="600"/>
      </w:pPr>
      <w:r w:rsidRPr="00351B0C">
        <w:t>Russian Federation</w:t>
      </w:r>
    </w:p>
    <w:p w:rsidR="00FC3249" w:rsidRPr="00351B0C" w:rsidRDefault="00FC3249" w:rsidP="00FC3249">
      <w:pPr>
        <w:pStyle w:val="Title1"/>
      </w:pPr>
      <w:r w:rsidRPr="00351B0C">
        <w:t>PROPOSALS FOR FURTHER WORK ON THE OTT international PUBLIC POLICY</w:t>
      </w:r>
    </w:p>
    <w:p w:rsidR="00FC3249" w:rsidRPr="00142AC6" w:rsidRDefault="00FC3249" w:rsidP="00FC3249">
      <w:pPr>
        <w:pStyle w:val="Restitle"/>
      </w:pPr>
    </w:p>
    <w:p w:rsidR="00FC3249" w:rsidRPr="0078251F" w:rsidRDefault="00FC3249" w:rsidP="00FC3249">
      <w:pPr>
        <w:pStyle w:val="ResNo"/>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clear" w:pos="1134"/>
          <w:tab w:val="clear" w:pos="1701"/>
          <w:tab w:val="clear" w:pos="2268"/>
          <w:tab w:val="clear" w:pos="2835"/>
        </w:tabs>
        <w:overflowPunct w:val="0"/>
        <w:autoSpaceDE w:val="0"/>
        <w:autoSpaceDN w:val="0"/>
        <w:adjustRightInd w:val="0"/>
        <w:spacing w:before="360"/>
        <w:ind w:hanging="720"/>
        <w:jc w:val="both"/>
        <w:textAlignment w:val="baseline"/>
        <w:rPr>
          <w:b/>
          <w:bCs/>
          <w:caps w:val="0"/>
          <w:sz w:val="24"/>
          <w:szCs w:val="24"/>
        </w:rPr>
      </w:pPr>
      <w:r w:rsidRPr="0078251F">
        <w:rPr>
          <w:b/>
          <w:bCs/>
          <w:caps w:val="0"/>
          <w:sz w:val="24"/>
          <w:szCs w:val="24"/>
        </w:rPr>
        <w:t>Introduction</w:t>
      </w:r>
    </w:p>
    <w:p w:rsidR="007A3A9B" w:rsidRDefault="003659FE" w:rsidP="000C5116">
      <w:pPr>
        <w:spacing w:before="120"/>
        <w:ind w:firstLine="720"/>
        <w:jc w:val="both"/>
        <w:rPr>
          <w:rFonts w:ascii="Calibri" w:hAnsi="Calibri"/>
        </w:rPr>
      </w:pPr>
      <w:r w:rsidRPr="003659FE">
        <w:rPr>
          <w:rFonts w:ascii="Calibri" w:hAnsi="Calibri"/>
        </w:rPr>
        <w:t xml:space="preserve">OTTs have a significant </w:t>
      </w:r>
      <w:r>
        <w:rPr>
          <w:rFonts w:ascii="Calibri" w:hAnsi="Calibri"/>
        </w:rPr>
        <w:t>impact on the telecommunication/</w:t>
      </w:r>
      <w:r w:rsidRPr="003659FE">
        <w:rPr>
          <w:rFonts w:ascii="Calibri" w:hAnsi="Calibri"/>
        </w:rPr>
        <w:t xml:space="preserve">ICT sector at the national and international levels, as well as raise new </w:t>
      </w:r>
      <w:r>
        <w:rPr>
          <w:rFonts w:ascii="Calibri" w:hAnsi="Calibri"/>
        </w:rPr>
        <w:t xml:space="preserve">challenges </w:t>
      </w:r>
      <w:r w:rsidR="00B01172">
        <w:rPr>
          <w:rFonts w:ascii="Calibri" w:hAnsi="Calibri"/>
        </w:rPr>
        <w:t xml:space="preserve">to public policy </w:t>
      </w:r>
      <w:r>
        <w:rPr>
          <w:rFonts w:ascii="Calibri" w:hAnsi="Calibri"/>
        </w:rPr>
        <w:t>for regulators related to investment</w:t>
      </w:r>
      <w:r w:rsidR="00CA630D">
        <w:rPr>
          <w:rFonts w:ascii="Calibri" w:hAnsi="Calibri"/>
        </w:rPr>
        <w:t xml:space="preserve">, </w:t>
      </w:r>
      <w:r w:rsidR="00CA630D" w:rsidRPr="00CA630D">
        <w:rPr>
          <w:rFonts w:ascii="Calibri" w:hAnsi="Calibri"/>
        </w:rPr>
        <w:t>innovation; aspects of security, privacy, protection of personal da</w:t>
      </w:r>
      <w:r w:rsidR="00CA630D">
        <w:rPr>
          <w:rFonts w:ascii="Calibri" w:hAnsi="Calibri"/>
        </w:rPr>
        <w:t>ta and so on</w:t>
      </w:r>
      <w:r w:rsidRPr="003659FE">
        <w:rPr>
          <w:rFonts w:ascii="Calibri" w:hAnsi="Calibri"/>
        </w:rPr>
        <w:t>.</w:t>
      </w:r>
    </w:p>
    <w:p w:rsidR="00CA630D" w:rsidRPr="00CA630D" w:rsidRDefault="00CA630D" w:rsidP="000C5116">
      <w:pPr>
        <w:spacing w:before="120"/>
        <w:ind w:firstLine="720"/>
        <w:jc w:val="both"/>
        <w:rPr>
          <w:rFonts w:ascii="Calibri" w:hAnsi="Calibri"/>
        </w:rPr>
      </w:pPr>
      <w:r w:rsidRPr="00CA630D">
        <w:rPr>
          <w:rFonts w:ascii="Calibri" w:hAnsi="Calibri"/>
        </w:rPr>
        <w:t xml:space="preserve">Within the framework of the </w:t>
      </w:r>
      <w:r w:rsidR="00552685">
        <w:rPr>
          <w:rFonts w:ascii="Calibri" w:hAnsi="Calibri"/>
        </w:rPr>
        <w:t>CWG</w:t>
      </w:r>
      <w:r w:rsidRPr="00CA630D">
        <w:rPr>
          <w:rFonts w:ascii="Calibri" w:hAnsi="Calibri"/>
        </w:rPr>
        <w:t xml:space="preserve">-Internet, open online consultations were </w:t>
      </w:r>
      <w:r w:rsidR="00955D26">
        <w:rPr>
          <w:rFonts w:ascii="Calibri" w:hAnsi="Calibri"/>
        </w:rPr>
        <w:t>organized</w:t>
      </w:r>
      <w:r w:rsidRPr="00CA630D">
        <w:rPr>
          <w:rFonts w:ascii="Calibri" w:hAnsi="Calibri"/>
        </w:rPr>
        <w:t xml:space="preserve"> on the topic "Public Policy Considerations for OTT"</w:t>
      </w:r>
      <w:r w:rsidR="00063CEC" w:rsidRPr="00CA630D">
        <w:rPr>
          <w:rFonts w:ascii="Calibri" w:hAnsi="Calibri"/>
        </w:rPr>
        <w:t xml:space="preserve">, </w:t>
      </w:r>
      <w:r w:rsidR="00063CEC">
        <w:rPr>
          <w:rFonts w:ascii="Calibri" w:hAnsi="Calibri"/>
        </w:rPr>
        <w:t>as</w:t>
      </w:r>
      <w:r w:rsidR="00955D26" w:rsidRPr="00CA630D">
        <w:rPr>
          <w:rFonts w:ascii="Calibri" w:hAnsi="Calibri"/>
        </w:rPr>
        <w:t xml:space="preserve"> well as </w:t>
      </w:r>
      <w:r w:rsidR="003F78EA" w:rsidRPr="003F78EA">
        <w:rPr>
          <w:rFonts w:ascii="Calibri" w:hAnsi="Calibri"/>
        </w:rPr>
        <w:t xml:space="preserve">Physical Open Consultation Meeting </w:t>
      </w:r>
      <w:r w:rsidR="00955D26" w:rsidRPr="00CA630D">
        <w:rPr>
          <w:rFonts w:ascii="Calibri" w:hAnsi="Calibri"/>
        </w:rPr>
        <w:t>held on September 18, 2017</w:t>
      </w:r>
      <w:r w:rsidR="00955D26">
        <w:rPr>
          <w:rFonts w:ascii="Calibri" w:hAnsi="Calibri"/>
        </w:rPr>
        <w:t>. T</w:t>
      </w:r>
      <w:r w:rsidRPr="00CA630D">
        <w:rPr>
          <w:rFonts w:ascii="Calibri" w:hAnsi="Calibri"/>
        </w:rPr>
        <w:t xml:space="preserve">he largest </w:t>
      </w:r>
      <w:r w:rsidR="00955D26">
        <w:rPr>
          <w:rFonts w:ascii="Calibri" w:hAnsi="Calibri"/>
        </w:rPr>
        <w:t>number</w:t>
      </w:r>
      <w:r w:rsidR="00955D26" w:rsidRPr="00CA630D">
        <w:rPr>
          <w:rFonts w:ascii="Calibri" w:hAnsi="Calibri"/>
        </w:rPr>
        <w:t xml:space="preserve"> of submissions related of OTT issues w</w:t>
      </w:r>
      <w:r w:rsidR="00955D26">
        <w:rPr>
          <w:rFonts w:ascii="Calibri" w:hAnsi="Calibri"/>
        </w:rPr>
        <w:t xml:space="preserve">as presented </w:t>
      </w:r>
      <w:r w:rsidR="00955D26" w:rsidRPr="00955D26">
        <w:rPr>
          <w:rFonts w:ascii="Calibri" w:hAnsi="Calibri"/>
        </w:rPr>
        <w:t>for the whole track of open consultations.</w:t>
      </w:r>
    </w:p>
    <w:p w:rsidR="00CA630D" w:rsidRPr="00CA630D" w:rsidRDefault="00CA630D" w:rsidP="000C5116">
      <w:pPr>
        <w:spacing w:before="120"/>
        <w:ind w:firstLine="720"/>
        <w:jc w:val="both"/>
        <w:rPr>
          <w:rFonts w:ascii="Calibri" w:hAnsi="Calibri"/>
        </w:rPr>
      </w:pPr>
      <w:r w:rsidRPr="00CA630D">
        <w:rPr>
          <w:rFonts w:ascii="Calibri" w:hAnsi="Calibri"/>
        </w:rPr>
        <w:t xml:space="preserve">As a result of these activities, it can be concluded that there is a high level of interest in this </w:t>
      </w:r>
      <w:r w:rsidR="00955D26">
        <w:rPr>
          <w:rFonts w:ascii="Calibri" w:hAnsi="Calibri"/>
        </w:rPr>
        <w:t>area</w:t>
      </w:r>
      <w:r w:rsidRPr="00CA630D">
        <w:rPr>
          <w:rFonts w:ascii="Calibri" w:hAnsi="Calibri"/>
        </w:rPr>
        <w:t xml:space="preserve"> by all stakeholders in many countries.</w:t>
      </w:r>
    </w:p>
    <w:p w:rsidR="00CA630D" w:rsidRDefault="00CA630D" w:rsidP="000C5116">
      <w:pPr>
        <w:spacing w:before="120"/>
        <w:ind w:firstLine="720"/>
        <w:jc w:val="both"/>
        <w:rPr>
          <w:rFonts w:ascii="Calibri" w:hAnsi="Calibri"/>
        </w:rPr>
      </w:pPr>
      <w:r w:rsidRPr="00CA630D">
        <w:rPr>
          <w:rFonts w:ascii="Calibri" w:hAnsi="Calibri"/>
        </w:rPr>
        <w:t xml:space="preserve">Aspects of the </w:t>
      </w:r>
      <w:r w:rsidR="00063CEC" w:rsidRPr="00CA630D">
        <w:rPr>
          <w:rFonts w:ascii="Calibri" w:hAnsi="Calibri"/>
        </w:rPr>
        <w:t>OTT services development</w:t>
      </w:r>
      <w:r w:rsidR="00063CEC">
        <w:rPr>
          <w:rFonts w:ascii="Calibri" w:hAnsi="Calibri"/>
        </w:rPr>
        <w:t xml:space="preserve"> </w:t>
      </w:r>
      <w:r w:rsidR="00063CEC" w:rsidRPr="00CA630D">
        <w:rPr>
          <w:rFonts w:ascii="Calibri" w:hAnsi="Calibri"/>
        </w:rPr>
        <w:t>in</w:t>
      </w:r>
      <w:r w:rsidRPr="00CA630D">
        <w:rPr>
          <w:rFonts w:ascii="Calibri" w:hAnsi="Calibri"/>
        </w:rPr>
        <w:t xml:space="preserve"> the context of the global </w:t>
      </w:r>
      <w:r w:rsidR="00063CEC">
        <w:rPr>
          <w:rFonts w:ascii="Calibri" w:hAnsi="Calibri"/>
        </w:rPr>
        <w:t xml:space="preserve">digital </w:t>
      </w:r>
      <w:r w:rsidRPr="00CA630D">
        <w:rPr>
          <w:rFonts w:ascii="Calibri" w:hAnsi="Calibri"/>
        </w:rPr>
        <w:t>world are in line with international public policy issues related to the Internet.</w:t>
      </w:r>
    </w:p>
    <w:p w:rsidR="00933863" w:rsidRPr="004D796D" w:rsidRDefault="00933863" w:rsidP="00622458">
      <w:pPr>
        <w:ind w:firstLine="720"/>
        <w:jc w:val="both"/>
        <w:rPr>
          <w:rFonts w:ascii="Calibri" w:hAnsi="Calibri"/>
        </w:rPr>
      </w:pPr>
    </w:p>
    <w:p w:rsidR="00063CEC" w:rsidRPr="00ED06BE" w:rsidRDefault="00063CEC" w:rsidP="00ED06BE">
      <w:pPr>
        <w:pStyle w:val="ResNo"/>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clear" w:pos="1134"/>
          <w:tab w:val="clear" w:pos="1701"/>
          <w:tab w:val="clear" w:pos="2268"/>
          <w:tab w:val="clear" w:pos="2835"/>
        </w:tabs>
        <w:overflowPunct w:val="0"/>
        <w:autoSpaceDE w:val="0"/>
        <w:autoSpaceDN w:val="0"/>
        <w:adjustRightInd w:val="0"/>
        <w:spacing w:before="360"/>
        <w:ind w:hanging="720"/>
        <w:jc w:val="both"/>
        <w:textAlignment w:val="baseline"/>
        <w:rPr>
          <w:b/>
          <w:bCs/>
          <w:caps w:val="0"/>
          <w:sz w:val="24"/>
          <w:szCs w:val="24"/>
        </w:rPr>
      </w:pPr>
      <w:r w:rsidRPr="00ED06BE">
        <w:rPr>
          <w:b/>
          <w:bCs/>
          <w:caps w:val="0"/>
          <w:sz w:val="24"/>
          <w:szCs w:val="24"/>
        </w:rPr>
        <w:t>Proposals</w:t>
      </w:r>
    </w:p>
    <w:p w:rsidR="00F66FE8" w:rsidRDefault="00F66FE8" w:rsidP="000C5116">
      <w:pPr>
        <w:pStyle w:val="Body"/>
        <w:ind w:firstLine="720"/>
        <w:jc w:val="both"/>
      </w:pPr>
      <w:r>
        <w:t xml:space="preserve">In view of the foregoing, the Russian Federation considers that it’s important to continue </w:t>
      </w:r>
      <w:r w:rsidR="004A0B20">
        <w:t xml:space="preserve">in the ITU work related to </w:t>
      </w:r>
      <w:r>
        <w:t>OTT</w:t>
      </w:r>
      <w:r w:rsidR="004A0B20">
        <w:t>s</w:t>
      </w:r>
      <w:r>
        <w:t>.</w:t>
      </w:r>
    </w:p>
    <w:p w:rsidR="00F66FE8" w:rsidRDefault="004A0B20" w:rsidP="000C5116">
      <w:pPr>
        <w:pStyle w:val="Body"/>
        <w:tabs>
          <w:tab w:val="clear" w:pos="567"/>
          <w:tab w:val="clear" w:pos="1134"/>
          <w:tab w:val="clear" w:pos="1701"/>
          <w:tab w:val="clear" w:pos="2268"/>
          <w:tab w:val="clear" w:pos="2835"/>
        </w:tabs>
        <w:ind w:firstLine="720"/>
        <w:jc w:val="both"/>
      </w:pPr>
      <w:r>
        <w:t>Draft proposals</w:t>
      </w:r>
      <w:r w:rsidR="00F66FE8">
        <w:t xml:space="preserve"> for upcoming ITU Plenipotentiary Conference of 2018, </w:t>
      </w:r>
      <w:r w:rsidR="0028627B">
        <w:t xml:space="preserve">which </w:t>
      </w:r>
      <w:r>
        <w:t>are</w:t>
      </w:r>
      <w:r w:rsidR="004D796D">
        <w:t xml:space="preserve"> being</w:t>
      </w:r>
      <w:r w:rsidR="0028627B">
        <w:t xml:space="preserve"> </w:t>
      </w:r>
      <w:r w:rsidR="00F66FE8">
        <w:t xml:space="preserve">discussed </w:t>
      </w:r>
      <w:r w:rsidR="004D796D">
        <w:t xml:space="preserve">within </w:t>
      </w:r>
      <w:r>
        <w:t xml:space="preserve">the </w:t>
      </w:r>
      <w:r w:rsidR="00ED06BE">
        <w:t>Regional Commonwealth in the field of Communications (RCC)</w:t>
      </w:r>
      <w:r>
        <w:t xml:space="preserve"> is presented to the members of CWG-Internet for information.</w:t>
      </w:r>
    </w:p>
    <w:p w:rsidR="00723FCE" w:rsidRPr="004D796D" w:rsidRDefault="00723FCE">
      <w:pPr>
        <w:rPr>
          <w:rFonts w:ascii="Calibri" w:eastAsia="Calibri" w:hAnsi="Calibri" w:cs="Calibri"/>
          <w:caps/>
          <w:color w:val="000000"/>
          <w:u w:color="000000"/>
        </w:rPr>
      </w:pPr>
      <w:r w:rsidRPr="004D796D">
        <w:br w:type="page"/>
      </w:r>
    </w:p>
    <w:p w:rsidR="00ED06BE" w:rsidRPr="00723FCE" w:rsidRDefault="00ED06BE" w:rsidP="00ED06BE">
      <w:pPr>
        <w:pStyle w:val="ResNo"/>
        <w:spacing w:before="360"/>
        <w:outlineLvl w:val="0"/>
        <w:rPr>
          <w:sz w:val="24"/>
          <w:szCs w:val="24"/>
        </w:rPr>
      </w:pPr>
      <w:r w:rsidRPr="00723FCE">
        <w:rPr>
          <w:sz w:val="24"/>
          <w:szCs w:val="24"/>
        </w:rPr>
        <w:lastRenderedPageBreak/>
        <w:t>ANNEX</w:t>
      </w:r>
    </w:p>
    <w:p w:rsidR="004D796D" w:rsidRPr="00723FCE" w:rsidRDefault="004D796D" w:rsidP="004D796D">
      <w:pPr>
        <w:pStyle w:val="Restitle"/>
        <w:jc w:val="left"/>
      </w:pPr>
      <w:r>
        <w:t>ADD</w:t>
      </w:r>
    </w:p>
    <w:p w:rsidR="00411EA1" w:rsidRPr="00723FCE" w:rsidRDefault="00ED06BE" w:rsidP="004D796D">
      <w:pPr>
        <w:pStyle w:val="ResNo"/>
        <w:spacing w:before="120"/>
        <w:outlineLvl w:val="0"/>
        <w:rPr>
          <w:sz w:val="24"/>
          <w:szCs w:val="24"/>
        </w:rPr>
      </w:pPr>
      <w:r w:rsidRPr="00723FCE">
        <w:rPr>
          <w:sz w:val="24"/>
          <w:szCs w:val="24"/>
        </w:rPr>
        <w:t xml:space="preserve">DRAFT </w:t>
      </w:r>
      <w:r w:rsidR="00723FCE">
        <w:rPr>
          <w:sz w:val="24"/>
          <w:szCs w:val="24"/>
        </w:rPr>
        <w:t>NEW</w:t>
      </w:r>
      <w:r w:rsidRPr="00723FCE">
        <w:rPr>
          <w:sz w:val="24"/>
          <w:szCs w:val="24"/>
        </w:rPr>
        <w:t xml:space="preserve"> RESOLUTION</w:t>
      </w:r>
    </w:p>
    <w:p w:rsidR="00515336" w:rsidRPr="00723FCE" w:rsidRDefault="00723FCE" w:rsidP="004D796D">
      <w:pPr>
        <w:pStyle w:val="ResNo"/>
        <w:spacing w:before="120"/>
        <w:outlineLvl w:val="0"/>
        <w:rPr>
          <w:sz w:val="24"/>
          <w:szCs w:val="24"/>
        </w:rPr>
      </w:pPr>
      <w:r w:rsidRPr="00723FCE">
        <w:rPr>
          <w:sz w:val="24"/>
          <w:szCs w:val="24"/>
        </w:rPr>
        <w:t>RESOLUTION</w:t>
      </w:r>
      <w:r w:rsidR="00A437BD" w:rsidRPr="00723FCE">
        <w:rPr>
          <w:sz w:val="24"/>
          <w:szCs w:val="24"/>
        </w:rPr>
        <w:t xml:space="preserve"> </w:t>
      </w:r>
      <w:r w:rsidR="00411EA1">
        <w:rPr>
          <w:sz w:val="24"/>
          <w:szCs w:val="24"/>
          <w:lang w:val="ru-RU"/>
        </w:rPr>
        <w:t>ххх</w:t>
      </w:r>
      <w:r w:rsidR="00411EA1" w:rsidRPr="00723FCE">
        <w:rPr>
          <w:sz w:val="24"/>
          <w:szCs w:val="24"/>
        </w:rPr>
        <w:t xml:space="preserve"> (</w:t>
      </w:r>
      <w:r>
        <w:rPr>
          <w:sz w:val="24"/>
          <w:szCs w:val="24"/>
        </w:rPr>
        <w:t>DUBAI</w:t>
      </w:r>
      <w:r w:rsidRPr="00723FCE">
        <w:rPr>
          <w:sz w:val="24"/>
          <w:szCs w:val="24"/>
        </w:rPr>
        <w:t>, 2018</w:t>
      </w:r>
      <w:r w:rsidR="00411EA1" w:rsidRPr="00723FCE">
        <w:rPr>
          <w:sz w:val="24"/>
          <w:szCs w:val="24"/>
        </w:rPr>
        <w:t>)</w:t>
      </w:r>
    </w:p>
    <w:p w:rsidR="00723FCE" w:rsidRDefault="00723FCE" w:rsidP="004D796D">
      <w:pPr>
        <w:pStyle w:val="Restitle"/>
        <w:spacing w:before="120" w:after="120"/>
      </w:pPr>
      <w:r>
        <w:t>International public policy issues related to OTTs</w:t>
      </w:r>
    </w:p>
    <w:p w:rsidR="00515336" w:rsidRPr="00723FCE" w:rsidRDefault="00723FCE">
      <w:pPr>
        <w:pStyle w:val="Normalaftertitle"/>
      </w:pPr>
      <w:r>
        <w:t xml:space="preserve">ITU Plenipotentiary Conference of </w:t>
      </w:r>
      <w:proofErr w:type="gramStart"/>
      <w:r>
        <w:t>2018</w:t>
      </w:r>
      <w:r w:rsidRPr="00723FCE">
        <w:t xml:space="preserve"> </w:t>
      </w:r>
      <w:r w:rsidR="00242B5D">
        <w:t xml:space="preserve"> </w:t>
      </w:r>
      <w:r w:rsidR="0087606B" w:rsidRPr="00723FCE">
        <w:t>(</w:t>
      </w:r>
      <w:proofErr w:type="gramEnd"/>
      <w:r>
        <w:t>Dubai, 2018)</w:t>
      </w:r>
    </w:p>
    <w:p w:rsidR="00723FCE" w:rsidRDefault="00723FCE" w:rsidP="00723FCE">
      <w:pPr>
        <w:pStyle w:val="Call"/>
      </w:pPr>
      <w:proofErr w:type="gramStart"/>
      <w:r>
        <w:rPr>
          <w:rFonts w:eastAsia="Arial Unicode MS"/>
        </w:rPr>
        <w:t>recalling</w:t>
      </w:r>
      <w:proofErr w:type="gramEnd"/>
    </w:p>
    <w:p w:rsidR="00723FCE" w:rsidRDefault="00723FCE" w:rsidP="00723FCE">
      <w:pPr>
        <w:pStyle w:val="Body"/>
      </w:pPr>
      <w:r>
        <w:t>a)</w:t>
      </w:r>
      <w:r>
        <w:tab/>
      </w:r>
      <w:proofErr w:type="gramStart"/>
      <w:r>
        <w:t>outcomes</w:t>
      </w:r>
      <w:proofErr w:type="gramEnd"/>
      <w:r>
        <w:t xml:space="preserve"> </w:t>
      </w:r>
      <w:r w:rsidR="004A0B20">
        <w:t>of</w:t>
      </w:r>
      <w:r>
        <w:t xml:space="preserve"> the World Summit on the Information Society (WSIS) and WSIS+10 High Level Event final documents;</w:t>
      </w:r>
    </w:p>
    <w:p w:rsidR="00723FCE" w:rsidRDefault="00723FCE" w:rsidP="00723FCE">
      <w:pPr>
        <w:pStyle w:val="Body"/>
      </w:pPr>
      <w:r>
        <w:t>b)</w:t>
      </w:r>
      <w:r>
        <w:tab/>
        <w:t xml:space="preserve">ITU Internet-related activities that are performed </w:t>
      </w:r>
      <w:r w:rsidR="004A0B20">
        <w:t>according to</w:t>
      </w:r>
      <w:r>
        <w:t xml:space="preserve"> </w:t>
      </w:r>
      <w:r w:rsidR="004A0B20">
        <w:t>ITU</w:t>
      </w:r>
      <w:r>
        <w:t xml:space="preserve"> mandate;</w:t>
      </w:r>
    </w:p>
    <w:p w:rsidR="00723FCE" w:rsidRDefault="00723FCE" w:rsidP="00723FCE">
      <w:pPr>
        <w:pStyle w:val="Body"/>
      </w:pPr>
      <w:r>
        <w:rPr>
          <w:lang w:val="ru-RU"/>
        </w:rPr>
        <w:t>с</w:t>
      </w:r>
      <w:r>
        <w:t>)</w:t>
      </w:r>
      <w:r>
        <w:tab/>
        <w:t xml:space="preserve">all </w:t>
      </w:r>
      <w:r w:rsidR="004A0B20">
        <w:t xml:space="preserve">relevant </w:t>
      </w:r>
      <w:r>
        <w:t>ITU Resolutions,</w:t>
      </w:r>
    </w:p>
    <w:p w:rsidR="00723FCE" w:rsidRPr="004D796D" w:rsidRDefault="00723FCE" w:rsidP="00723FCE">
      <w:pPr>
        <w:pStyle w:val="Call"/>
      </w:pPr>
      <w:proofErr w:type="gramStart"/>
      <w:r>
        <w:t>recognizing</w:t>
      </w:r>
      <w:proofErr w:type="gramEnd"/>
    </w:p>
    <w:p w:rsidR="00C17081" w:rsidRDefault="00FF343F" w:rsidP="004A0B20">
      <w:pPr>
        <w:pStyle w:val="Body"/>
        <w:tabs>
          <w:tab w:val="clear" w:pos="1134"/>
          <w:tab w:val="clear" w:pos="1701"/>
          <w:tab w:val="clear" w:pos="2268"/>
          <w:tab w:val="clear" w:pos="2835"/>
        </w:tabs>
        <w:rPr>
          <w:bdr w:val="none" w:sz="0" w:space="0" w:color="auto" w:frame="1"/>
        </w:rPr>
      </w:pPr>
      <w:r>
        <w:t>a</w:t>
      </w:r>
      <w:r w:rsidR="004A0B20">
        <w:t>)</w:t>
      </w:r>
      <w:r w:rsidR="004A0B20">
        <w:tab/>
      </w:r>
      <w:r w:rsidR="00C17081">
        <w:rPr>
          <w:bdr w:val="none" w:sz="0" w:space="0" w:color="auto" w:frame="1"/>
        </w:rPr>
        <w:t>that</w:t>
      </w:r>
      <w:r w:rsidR="00C17081" w:rsidRPr="00C17081">
        <w:rPr>
          <w:bdr w:val="none" w:sz="0" w:space="0" w:color="auto" w:frame="1"/>
        </w:rPr>
        <w:t xml:space="preserve"> </w:t>
      </w:r>
      <w:r w:rsidR="00C17081">
        <w:rPr>
          <w:bdr w:val="none" w:sz="0" w:space="0" w:color="auto" w:frame="1"/>
        </w:rPr>
        <w:t>OTT</w:t>
      </w:r>
      <w:r w:rsidR="00C17081" w:rsidRPr="00C17081">
        <w:rPr>
          <w:bdr w:val="none" w:sz="0" w:space="0" w:color="auto" w:frame="1"/>
        </w:rPr>
        <w:t xml:space="preserve"> </w:t>
      </w:r>
      <w:r w:rsidR="00C17081">
        <w:rPr>
          <w:bdr w:val="none" w:sz="0" w:space="0" w:color="auto" w:frame="1"/>
        </w:rPr>
        <w:t>services</w:t>
      </w:r>
      <w:r w:rsidR="00C17081" w:rsidRPr="00C17081">
        <w:rPr>
          <w:bdr w:val="none" w:sz="0" w:space="0" w:color="auto" w:frame="1"/>
        </w:rPr>
        <w:t xml:space="preserve"> </w:t>
      </w:r>
      <w:r w:rsidR="00C17081">
        <w:rPr>
          <w:bdr w:val="none" w:sz="0" w:space="0" w:color="auto" w:frame="1"/>
        </w:rPr>
        <w:t>have</w:t>
      </w:r>
      <w:r w:rsidR="00C17081" w:rsidRPr="00C17081">
        <w:rPr>
          <w:bdr w:val="none" w:sz="0" w:space="0" w:color="auto" w:frame="1"/>
        </w:rPr>
        <w:t xml:space="preserve"> </w:t>
      </w:r>
      <w:r w:rsidR="00C17081">
        <w:rPr>
          <w:bdr w:val="none" w:sz="0" w:space="0" w:color="auto" w:frame="1"/>
        </w:rPr>
        <w:t>significant</w:t>
      </w:r>
      <w:r w:rsidR="00C17081" w:rsidRPr="00C17081">
        <w:rPr>
          <w:bdr w:val="none" w:sz="0" w:space="0" w:color="auto" w:frame="1"/>
        </w:rPr>
        <w:t xml:space="preserve"> </w:t>
      </w:r>
      <w:r w:rsidR="00C17081">
        <w:rPr>
          <w:bdr w:val="none" w:sz="0" w:space="0" w:color="auto" w:frame="1"/>
        </w:rPr>
        <w:t>impact</w:t>
      </w:r>
      <w:r w:rsidR="00C17081" w:rsidRPr="00C17081">
        <w:rPr>
          <w:bdr w:val="none" w:sz="0" w:space="0" w:color="auto" w:frame="1"/>
        </w:rPr>
        <w:t xml:space="preserve"> </w:t>
      </w:r>
      <w:r w:rsidR="00C17081">
        <w:rPr>
          <w:bdr w:val="none" w:sz="0" w:space="0" w:color="auto" w:frame="1"/>
        </w:rPr>
        <w:t>on</w:t>
      </w:r>
      <w:r w:rsidR="00C17081" w:rsidRPr="00C17081">
        <w:rPr>
          <w:bdr w:val="none" w:sz="0" w:space="0" w:color="auto" w:frame="1"/>
        </w:rPr>
        <w:t xml:space="preserve"> </w:t>
      </w:r>
      <w:r w:rsidR="00C17081">
        <w:rPr>
          <w:bdr w:val="none" w:sz="0" w:space="0" w:color="auto" w:frame="1"/>
        </w:rPr>
        <w:t>national</w:t>
      </w:r>
      <w:r w:rsidR="00C17081" w:rsidRPr="00C17081">
        <w:rPr>
          <w:bdr w:val="none" w:sz="0" w:space="0" w:color="auto" w:frame="1"/>
        </w:rPr>
        <w:t xml:space="preserve"> </w:t>
      </w:r>
      <w:r w:rsidR="00C17081">
        <w:rPr>
          <w:bdr w:val="none" w:sz="0" w:space="0" w:color="auto" w:frame="1"/>
        </w:rPr>
        <w:t>and</w:t>
      </w:r>
      <w:r w:rsidR="00C17081" w:rsidRPr="00C17081">
        <w:rPr>
          <w:bdr w:val="none" w:sz="0" w:space="0" w:color="auto" w:frame="1"/>
        </w:rPr>
        <w:t xml:space="preserve"> </w:t>
      </w:r>
      <w:r w:rsidR="00C17081">
        <w:rPr>
          <w:bdr w:val="none" w:sz="0" w:space="0" w:color="auto" w:frame="1"/>
        </w:rPr>
        <w:t>international</w:t>
      </w:r>
      <w:r w:rsidR="00C17081" w:rsidRPr="00C17081">
        <w:rPr>
          <w:bdr w:val="none" w:sz="0" w:space="0" w:color="auto" w:frame="1"/>
        </w:rPr>
        <w:t xml:space="preserve"> </w:t>
      </w:r>
      <w:r w:rsidR="00C17081">
        <w:rPr>
          <w:bdr w:val="none" w:sz="0" w:space="0" w:color="auto" w:frame="1"/>
        </w:rPr>
        <w:t>telecommunication</w:t>
      </w:r>
      <w:r w:rsidR="004A0B20">
        <w:rPr>
          <w:bdr w:val="none" w:sz="0" w:space="0" w:color="auto" w:frame="1"/>
        </w:rPr>
        <w:t>/ICT</w:t>
      </w:r>
      <w:r w:rsidR="00C17081">
        <w:rPr>
          <w:bdr w:val="none" w:sz="0" w:space="0" w:color="auto" w:frame="1"/>
        </w:rPr>
        <w:t>s</w:t>
      </w:r>
      <w:r w:rsidR="00C17081" w:rsidRPr="00C17081">
        <w:rPr>
          <w:bdr w:val="none" w:sz="0" w:space="0" w:color="auto" w:frame="1"/>
        </w:rPr>
        <w:t xml:space="preserve">, </w:t>
      </w:r>
      <w:r w:rsidR="00C17081">
        <w:rPr>
          <w:bdr w:val="none" w:sz="0" w:space="0" w:color="auto" w:frame="1"/>
        </w:rPr>
        <w:t>and</w:t>
      </w:r>
      <w:r w:rsidR="00C17081" w:rsidRPr="00C17081">
        <w:rPr>
          <w:bdr w:val="none" w:sz="0" w:space="0" w:color="auto" w:frame="1"/>
        </w:rPr>
        <w:t xml:space="preserve"> </w:t>
      </w:r>
      <w:r w:rsidR="00C17081">
        <w:rPr>
          <w:bdr w:val="none" w:sz="0" w:space="0" w:color="auto" w:frame="1"/>
        </w:rPr>
        <w:t>public</w:t>
      </w:r>
      <w:r w:rsidR="00C17081" w:rsidRPr="00C17081">
        <w:rPr>
          <w:bdr w:val="none" w:sz="0" w:space="0" w:color="auto" w:frame="1"/>
        </w:rPr>
        <w:t xml:space="preserve"> </w:t>
      </w:r>
      <w:r w:rsidR="00C17081">
        <w:rPr>
          <w:bdr w:val="none" w:sz="0" w:space="0" w:color="auto" w:frame="1"/>
        </w:rPr>
        <w:t>policy</w:t>
      </w:r>
      <w:r w:rsidR="00C17081" w:rsidRPr="00C17081">
        <w:rPr>
          <w:bdr w:val="none" w:sz="0" w:space="0" w:color="auto" w:frame="1"/>
        </w:rPr>
        <w:t xml:space="preserve"> </w:t>
      </w:r>
      <w:r w:rsidR="00C17081">
        <w:rPr>
          <w:bdr w:val="none" w:sz="0" w:space="0" w:color="auto" w:frame="1"/>
        </w:rPr>
        <w:t>considerations</w:t>
      </w:r>
      <w:r w:rsidR="00C17081" w:rsidRPr="00C17081">
        <w:rPr>
          <w:bdr w:val="none" w:sz="0" w:space="0" w:color="auto" w:frame="1"/>
        </w:rPr>
        <w:t xml:space="preserve"> </w:t>
      </w:r>
      <w:r w:rsidR="00C17081">
        <w:rPr>
          <w:bdr w:val="none" w:sz="0" w:space="0" w:color="auto" w:frame="1"/>
        </w:rPr>
        <w:t>related</w:t>
      </w:r>
      <w:r w:rsidR="00C17081" w:rsidRPr="00C17081">
        <w:rPr>
          <w:bdr w:val="none" w:sz="0" w:space="0" w:color="auto" w:frame="1"/>
        </w:rPr>
        <w:t xml:space="preserve"> </w:t>
      </w:r>
      <w:r w:rsidR="00C17081">
        <w:rPr>
          <w:bdr w:val="none" w:sz="0" w:space="0" w:color="auto" w:frame="1"/>
        </w:rPr>
        <w:t>to</w:t>
      </w:r>
      <w:r w:rsidR="00C17081" w:rsidRPr="00C17081">
        <w:rPr>
          <w:bdr w:val="none" w:sz="0" w:space="0" w:color="auto" w:frame="1"/>
        </w:rPr>
        <w:t xml:space="preserve"> </w:t>
      </w:r>
      <w:r w:rsidR="00C17081">
        <w:rPr>
          <w:bdr w:val="none" w:sz="0" w:space="0" w:color="auto" w:frame="1"/>
        </w:rPr>
        <w:t>OTT</w:t>
      </w:r>
      <w:r w:rsidR="00C17081" w:rsidRPr="00C17081">
        <w:rPr>
          <w:bdr w:val="none" w:sz="0" w:space="0" w:color="auto" w:frame="1"/>
        </w:rPr>
        <w:t xml:space="preserve"> </w:t>
      </w:r>
      <w:r w:rsidR="00C17081">
        <w:rPr>
          <w:bdr w:val="none" w:sz="0" w:space="0" w:color="auto" w:frame="1"/>
        </w:rPr>
        <w:t>should</w:t>
      </w:r>
      <w:r w:rsidR="00C17081" w:rsidRPr="00C17081">
        <w:rPr>
          <w:bdr w:val="none" w:sz="0" w:space="0" w:color="auto" w:frame="1"/>
        </w:rPr>
        <w:t xml:space="preserve"> </w:t>
      </w:r>
      <w:r w:rsidR="00C17081">
        <w:rPr>
          <w:bdr w:val="none" w:sz="0" w:space="0" w:color="auto" w:frame="1"/>
        </w:rPr>
        <w:t>be</w:t>
      </w:r>
      <w:r w:rsidR="00C17081" w:rsidRPr="00C17081">
        <w:rPr>
          <w:bdr w:val="none" w:sz="0" w:space="0" w:color="auto" w:frame="1"/>
        </w:rPr>
        <w:t xml:space="preserve"> </w:t>
      </w:r>
      <w:r w:rsidR="00C17081">
        <w:rPr>
          <w:bdr w:val="none" w:sz="0" w:space="0" w:color="auto" w:frame="1"/>
        </w:rPr>
        <w:t>considered</w:t>
      </w:r>
      <w:r w:rsidR="00C17081" w:rsidRPr="00C17081">
        <w:rPr>
          <w:bdr w:val="none" w:sz="0" w:space="0" w:color="auto" w:frame="1"/>
        </w:rPr>
        <w:t xml:space="preserve"> </w:t>
      </w:r>
      <w:r w:rsidR="00C17081">
        <w:rPr>
          <w:bdr w:val="none" w:sz="0" w:space="0" w:color="auto" w:frame="1"/>
        </w:rPr>
        <w:t>as</w:t>
      </w:r>
      <w:r w:rsidR="00C17081" w:rsidRPr="00C17081">
        <w:rPr>
          <w:bdr w:val="none" w:sz="0" w:space="0" w:color="auto" w:frame="1"/>
        </w:rPr>
        <w:t xml:space="preserve"> </w:t>
      </w:r>
      <w:r w:rsidR="00C17081">
        <w:rPr>
          <w:bdr w:val="none" w:sz="0" w:space="0" w:color="auto" w:frame="1"/>
        </w:rPr>
        <w:t>a</w:t>
      </w:r>
      <w:r w:rsidR="00C17081" w:rsidRPr="00C17081">
        <w:rPr>
          <w:bdr w:val="none" w:sz="0" w:space="0" w:color="auto" w:frame="1"/>
        </w:rPr>
        <w:t xml:space="preserve"> </w:t>
      </w:r>
      <w:r w:rsidR="00C17081">
        <w:rPr>
          <w:bdr w:val="none" w:sz="0" w:space="0" w:color="auto" w:frame="1"/>
        </w:rPr>
        <w:t>matter</w:t>
      </w:r>
      <w:r w:rsidR="00C17081" w:rsidRPr="00C17081">
        <w:rPr>
          <w:bdr w:val="none" w:sz="0" w:space="0" w:color="auto" w:frame="1"/>
        </w:rPr>
        <w:t xml:space="preserve"> </w:t>
      </w:r>
      <w:r w:rsidR="00C17081">
        <w:rPr>
          <w:bdr w:val="none" w:sz="0" w:space="0" w:color="auto" w:frame="1"/>
        </w:rPr>
        <w:t>of</w:t>
      </w:r>
      <w:r w:rsidR="00C17081" w:rsidRPr="00C17081">
        <w:rPr>
          <w:bdr w:val="none" w:sz="0" w:space="0" w:color="auto" w:frame="1"/>
        </w:rPr>
        <w:t xml:space="preserve"> </w:t>
      </w:r>
      <w:r w:rsidR="00C17081">
        <w:rPr>
          <w:bdr w:val="none" w:sz="0" w:space="0" w:color="auto" w:frame="1"/>
        </w:rPr>
        <w:t>priority</w:t>
      </w:r>
      <w:r w:rsidR="00C17081" w:rsidRPr="00C17081">
        <w:rPr>
          <w:bdr w:val="none" w:sz="0" w:space="0" w:color="auto" w:frame="1"/>
        </w:rPr>
        <w:t xml:space="preserve">, </w:t>
      </w:r>
      <w:r w:rsidR="00C17081">
        <w:rPr>
          <w:bdr w:val="none" w:sz="0" w:space="0" w:color="auto" w:frame="1"/>
        </w:rPr>
        <w:t>including</w:t>
      </w:r>
      <w:r w:rsidR="00C17081" w:rsidRPr="00C17081">
        <w:rPr>
          <w:bdr w:val="none" w:sz="0" w:space="0" w:color="auto" w:frame="1"/>
        </w:rPr>
        <w:t xml:space="preserve"> </w:t>
      </w:r>
      <w:r w:rsidR="004A0B20">
        <w:rPr>
          <w:bdr w:val="none" w:sz="0" w:space="0" w:color="auto" w:frame="1"/>
        </w:rPr>
        <w:t>aspects of</w:t>
      </w:r>
      <w:r w:rsidR="00C17081" w:rsidRPr="00C17081">
        <w:rPr>
          <w:bdr w:val="none" w:sz="0" w:space="0" w:color="auto" w:frame="1"/>
        </w:rPr>
        <w:t xml:space="preserve"> </w:t>
      </w:r>
      <w:r w:rsidR="00C17081">
        <w:rPr>
          <w:bdr w:val="none" w:sz="0" w:space="0" w:color="auto" w:frame="1"/>
        </w:rPr>
        <w:t>security</w:t>
      </w:r>
      <w:r w:rsidR="00C17081" w:rsidRPr="00C17081">
        <w:rPr>
          <w:bdr w:val="none" w:sz="0" w:space="0" w:color="auto" w:frame="1"/>
        </w:rPr>
        <w:t xml:space="preserve">, </w:t>
      </w:r>
      <w:r w:rsidR="00C17081">
        <w:rPr>
          <w:rStyle w:val="shorttext"/>
          <w:lang w:val="en"/>
        </w:rPr>
        <w:t>confidentiality</w:t>
      </w:r>
      <w:r w:rsidR="00C17081" w:rsidRPr="00C17081">
        <w:rPr>
          <w:bdr w:val="none" w:sz="0" w:space="0" w:color="auto" w:frame="1"/>
        </w:rPr>
        <w:t xml:space="preserve"> </w:t>
      </w:r>
      <w:r w:rsidR="00C17081">
        <w:rPr>
          <w:bdr w:val="none" w:sz="0" w:space="0" w:color="auto" w:frame="1"/>
        </w:rPr>
        <w:t>and</w:t>
      </w:r>
      <w:r w:rsidR="00C17081" w:rsidRPr="00C17081">
        <w:rPr>
          <w:bdr w:val="none" w:sz="0" w:space="0" w:color="auto" w:frame="1"/>
        </w:rPr>
        <w:t xml:space="preserve"> </w:t>
      </w:r>
      <w:r w:rsidR="00C17081">
        <w:rPr>
          <w:bdr w:val="none" w:sz="0" w:space="0" w:color="auto" w:frame="1"/>
        </w:rPr>
        <w:t>personal data protection</w:t>
      </w:r>
      <w:r w:rsidR="00C17081" w:rsidRPr="00C17081">
        <w:rPr>
          <w:bdr w:val="none" w:sz="0" w:space="0" w:color="auto" w:frame="1"/>
        </w:rPr>
        <w:t>;</w:t>
      </w:r>
    </w:p>
    <w:p w:rsidR="00935576" w:rsidRDefault="00935576" w:rsidP="00935576">
      <w:pPr>
        <w:pStyle w:val="Body"/>
      </w:pPr>
      <w:r>
        <w:t>b)</w:t>
      </w:r>
      <w:r>
        <w:tab/>
      </w:r>
      <w:proofErr w:type="gramStart"/>
      <w:r>
        <w:t>that</w:t>
      </w:r>
      <w:proofErr w:type="gramEnd"/>
      <w:r>
        <w:t xml:space="preserve"> expansion of OTT services sets new objectives for the </w:t>
      </w:r>
      <w:r w:rsidRPr="00BB53A7">
        <w:t>regulation</w:t>
      </w:r>
      <w:r>
        <w:t xml:space="preserve"> of the telecommunication</w:t>
      </w:r>
      <w:r w:rsidR="004A0B20">
        <w:t>/ICT</w:t>
      </w:r>
      <w:r>
        <w:t>s industry, which should be aimed at stimulating investment and innovations;</w:t>
      </w:r>
    </w:p>
    <w:p w:rsidR="00935576" w:rsidRDefault="00935576" w:rsidP="00935576">
      <w:pPr>
        <w:pStyle w:val="Body"/>
      </w:pPr>
      <w:r>
        <w:t>с)</w:t>
      </w:r>
      <w:r>
        <w:tab/>
      </w:r>
      <w:proofErr w:type="gramStart"/>
      <w:r>
        <w:t>that</w:t>
      </w:r>
      <w:proofErr w:type="gramEnd"/>
      <w:r>
        <w:t xml:space="preserve"> </w:t>
      </w:r>
      <w:r w:rsidRPr="00BB53A7">
        <w:t>regulation</w:t>
      </w:r>
      <w:r>
        <w:t xml:space="preserve"> of cross-border OTT services requires collaboration and coordination of Member States and all stakeholders at the international level;</w:t>
      </w:r>
    </w:p>
    <w:p w:rsidR="00935576" w:rsidRDefault="00935576" w:rsidP="00935576">
      <w:pPr>
        <w:pStyle w:val="Body"/>
      </w:pPr>
      <w:r>
        <w:t>d)</w:t>
      </w:r>
      <w:r>
        <w:tab/>
      </w:r>
      <w:proofErr w:type="gramStart"/>
      <w:r>
        <w:t>that</w:t>
      </w:r>
      <w:proofErr w:type="gramEnd"/>
      <w:r>
        <w:t xml:space="preserve"> it is necessary to address both policy and regulatory issues of such services, as well as the economic implications of OTTs, and considerations relating to quality of service,</w:t>
      </w:r>
    </w:p>
    <w:p w:rsidR="00935576" w:rsidRDefault="00935576" w:rsidP="00935576">
      <w:pPr>
        <w:pStyle w:val="Call"/>
      </w:pPr>
      <w:proofErr w:type="gramStart"/>
      <w:r>
        <w:t>considering</w:t>
      </w:r>
      <w:proofErr w:type="gramEnd"/>
    </w:p>
    <w:p w:rsidR="00935576" w:rsidRDefault="00935576" w:rsidP="00935576">
      <w:pPr>
        <w:pStyle w:val="Body"/>
      </w:pPr>
      <w:r>
        <w:rPr>
          <w:lang w:val="ru-RU"/>
        </w:rPr>
        <w:t>а</w:t>
      </w:r>
      <w:r>
        <w:t>)</w:t>
      </w:r>
      <w:r>
        <w:tab/>
        <w:t>studies by SG</w:t>
      </w:r>
      <w:r w:rsidR="00C55C96">
        <w:t> </w:t>
      </w:r>
      <w:r>
        <w:t>3 and SG</w:t>
      </w:r>
      <w:r w:rsidR="00C55C96">
        <w:t> </w:t>
      </w:r>
      <w:r>
        <w:t>17 of ITU-T;</w:t>
      </w:r>
    </w:p>
    <w:p w:rsidR="00797DED" w:rsidRPr="000327EA" w:rsidRDefault="00935576" w:rsidP="00FF5A93">
      <w:pPr>
        <w:pStyle w:val="Body"/>
      </w:pPr>
      <w:r>
        <w:t>b)</w:t>
      </w:r>
      <w:r>
        <w:tab/>
        <w:t>studies by SG</w:t>
      </w:r>
      <w:r w:rsidR="00C55C96">
        <w:t> </w:t>
      </w:r>
      <w:r w:rsidR="00C22329">
        <w:t xml:space="preserve">1 of ITU-D, </w:t>
      </w:r>
      <w:r w:rsidR="00C22329" w:rsidRPr="00C22329">
        <w:t xml:space="preserve">in particular, Final Report on Question 1/1 for the ITU-D Study Period 2014-2017 </w:t>
      </w:r>
      <w:r w:rsidR="004D796D">
        <w:t>“</w:t>
      </w:r>
      <w:r w:rsidR="00C22329" w:rsidRPr="00C22329">
        <w:t>Policy, regulatory and technical aspects of the transition from existing networks to broadband networks in developing countries, including next-generation networks, mobile services, OTT services and IPv6 implementation</w:t>
      </w:r>
      <w:r w:rsidR="004D796D">
        <w:t>”</w:t>
      </w:r>
      <w:r w:rsidR="00C22329" w:rsidRPr="00C22329">
        <w:t xml:space="preserve">, endorsed by the World Telecommunication Development Conference 2017 (WTDC-17), and Question </w:t>
      </w:r>
      <w:r w:rsidR="00C55C96">
        <w:t>3</w:t>
      </w:r>
      <w:r w:rsidR="00C22329" w:rsidRPr="00C22329">
        <w:t xml:space="preserve">/1 </w:t>
      </w:r>
      <w:r w:rsidR="0029710E">
        <w:t>in</w:t>
      </w:r>
      <w:r w:rsidR="00C22329" w:rsidRPr="00C22329">
        <w:t xml:space="preserve"> the ITU-D Study Period 2018-2021 </w:t>
      </w:r>
      <w:r w:rsidR="004D796D">
        <w:t>“</w:t>
      </w:r>
      <w:r w:rsidR="00C55C96" w:rsidRPr="00C55C96">
        <w:t>Emerging technologies, including cloud computing, m-services, and OTTs: Challenges and opportunities, economic and policy impact for developing countries</w:t>
      </w:r>
      <w:r w:rsidR="004D796D">
        <w:t>”</w:t>
      </w:r>
      <w:r w:rsidR="00797DED" w:rsidRPr="000327EA">
        <w:t>;</w:t>
      </w:r>
    </w:p>
    <w:p w:rsidR="00797DED" w:rsidRPr="003F78EA" w:rsidRDefault="00797DED" w:rsidP="00FF5A93">
      <w:pPr>
        <w:pStyle w:val="Body"/>
      </w:pPr>
      <w:r>
        <w:rPr>
          <w:lang w:val="ru-RU"/>
        </w:rPr>
        <w:t>с</w:t>
      </w:r>
      <w:r w:rsidRPr="003F78EA">
        <w:t>)</w:t>
      </w:r>
      <w:r w:rsidRPr="003F78EA">
        <w:tab/>
      </w:r>
      <w:r w:rsidR="00935576" w:rsidRPr="003F78EA">
        <w:t xml:space="preserve">inputs of stakeholders received during open consultations </w:t>
      </w:r>
      <w:r w:rsidR="003F78EA" w:rsidRPr="00CA630D">
        <w:t>"Public Policy Considerations for OTT"</w:t>
      </w:r>
      <w:r w:rsidR="003F78EA">
        <w:t xml:space="preserve"> </w:t>
      </w:r>
      <w:r w:rsidR="00935576" w:rsidRPr="003F78EA">
        <w:t xml:space="preserve">held by the CWG-Internet </w:t>
      </w:r>
      <w:r w:rsidR="003F78EA">
        <w:t>and</w:t>
      </w:r>
      <w:r w:rsidR="003F78EA" w:rsidRPr="003F78EA">
        <w:t xml:space="preserve"> </w:t>
      </w:r>
      <w:r w:rsidR="00141CD0">
        <w:t xml:space="preserve">to the </w:t>
      </w:r>
      <w:r w:rsidR="003F78EA">
        <w:t xml:space="preserve">Physical Open Consultation Meeting </w:t>
      </w:r>
      <w:r w:rsidR="009F1B39" w:rsidRPr="003F78EA">
        <w:t xml:space="preserve"> </w:t>
      </w:r>
      <w:r w:rsidR="003F78EA">
        <w:t>held on September 18</w:t>
      </w:r>
      <w:r w:rsidR="0029710E">
        <w:t>, 2017</w:t>
      </w:r>
      <w:r w:rsidR="000E0F56">
        <w:rPr>
          <w:rStyle w:val="FootnoteReference"/>
          <w:lang w:val="ru-RU"/>
        </w:rPr>
        <w:footnoteReference w:id="1"/>
      </w:r>
      <w:r w:rsidR="00321CAE">
        <w:t>,</w:t>
      </w:r>
    </w:p>
    <w:p w:rsidR="00321CAE" w:rsidRDefault="00321CAE" w:rsidP="00321CAE">
      <w:pPr>
        <w:pStyle w:val="Call"/>
      </w:pPr>
      <w:proofErr w:type="gramStart"/>
      <w:r>
        <w:t>noting</w:t>
      </w:r>
      <w:proofErr w:type="gramEnd"/>
    </w:p>
    <w:p w:rsidR="00321CAE" w:rsidRDefault="00321CAE" w:rsidP="00242B5D">
      <w:pPr>
        <w:pStyle w:val="Body"/>
      </w:pPr>
      <w:r>
        <w:t>that some stakeholders support the need to continue discussions and studies on key issues of OTT services regulation, such as accessibility, consumer rights, licensing, infrastructure development,</w:t>
      </w:r>
    </w:p>
    <w:p w:rsidR="00C05ACC" w:rsidRDefault="00C05ACC" w:rsidP="00C05ACC">
      <w:pPr>
        <w:pStyle w:val="Call"/>
      </w:pPr>
      <w:proofErr w:type="gramStart"/>
      <w:r>
        <w:t>resolves</w:t>
      </w:r>
      <w:proofErr w:type="gramEnd"/>
    </w:p>
    <w:p w:rsidR="00C05ACC" w:rsidRDefault="00C05ACC" w:rsidP="00C05ACC">
      <w:pPr>
        <w:pStyle w:val="Body"/>
      </w:pPr>
      <w:proofErr w:type="gramStart"/>
      <w:r>
        <w:t>to</w:t>
      </w:r>
      <w:proofErr w:type="gramEnd"/>
      <w:r>
        <w:t xml:space="preserve"> continue studies on international public policy related to OTTs, including key issues of OTT services regulation, as well as technical and economic aspects,</w:t>
      </w:r>
    </w:p>
    <w:p w:rsidR="00C05ACC" w:rsidRDefault="00C05ACC" w:rsidP="00C05ACC">
      <w:pPr>
        <w:pStyle w:val="Call"/>
      </w:pPr>
      <w:proofErr w:type="gramStart"/>
      <w:r>
        <w:t>instructs</w:t>
      </w:r>
      <w:proofErr w:type="gramEnd"/>
      <w:r>
        <w:t xml:space="preserve"> ITU-T Study Group 3</w:t>
      </w:r>
    </w:p>
    <w:p w:rsidR="00C05ACC" w:rsidRDefault="00C05ACC" w:rsidP="00C05ACC">
      <w:pPr>
        <w:pStyle w:val="Body"/>
      </w:pPr>
      <w:r>
        <w:t>1</w:t>
      </w:r>
      <w:r>
        <w:tab/>
        <w:t>to continue studies on OTT within Q9/3, including protection of OTT services consumers, economic impact of convergence of technologies and services, and the role of regulators;</w:t>
      </w:r>
    </w:p>
    <w:p w:rsidR="00C05ACC" w:rsidRDefault="00C05ACC" w:rsidP="00C05ACC">
      <w:pPr>
        <w:pStyle w:val="Body"/>
      </w:pPr>
      <w:r>
        <w:t>2</w:t>
      </w:r>
      <w:r>
        <w:tab/>
        <w:t>to submit to the CWG-Internet considerations related to OTT services that require development of relevant public polic</w:t>
      </w:r>
      <w:r w:rsidR="002A1BD8">
        <w:t>i</w:t>
      </w:r>
      <w:r>
        <w:t>es, particularly:</w:t>
      </w:r>
    </w:p>
    <w:p w:rsidR="00C05ACC" w:rsidRDefault="00C05ACC" w:rsidP="00141CD0">
      <w:pPr>
        <w:pStyle w:val="Body"/>
        <w:tabs>
          <w:tab w:val="clear" w:pos="567"/>
          <w:tab w:val="clear" w:pos="1134"/>
          <w:tab w:val="clear" w:pos="1701"/>
          <w:tab w:val="clear" w:pos="2268"/>
          <w:tab w:val="clear" w:pos="2835"/>
          <w:tab w:val="left" w:pos="993"/>
        </w:tabs>
        <w:ind w:left="567"/>
        <w:rPr>
          <w:rFonts w:eastAsia="Times New Roman"/>
          <w:lang w:eastAsia="ru-RU"/>
        </w:rPr>
      </w:pPr>
      <w:r>
        <w:rPr>
          <w:rFonts w:eastAsia="Times New Roman"/>
          <w:lang w:eastAsia="ru-RU"/>
        </w:rPr>
        <w:t>-</w:t>
      </w:r>
      <w:r>
        <w:rPr>
          <w:rFonts w:eastAsia="Times New Roman"/>
          <w:lang w:eastAsia="ru-RU"/>
        </w:rPr>
        <w:tab/>
      </w:r>
      <w:proofErr w:type="gramStart"/>
      <w:r>
        <w:rPr>
          <w:rFonts w:eastAsia="Times New Roman"/>
          <w:lang w:eastAsia="ru-RU"/>
        </w:rPr>
        <w:t>on</w:t>
      </w:r>
      <w:proofErr w:type="gramEnd"/>
      <w:r>
        <w:rPr>
          <w:rFonts w:eastAsia="Times New Roman"/>
          <w:lang w:eastAsia="ru-RU"/>
        </w:rPr>
        <w:t xml:space="preserve"> the applicability of </w:t>
      </w:r>
      <w:r w:rsidR="00BB53A7" w:rsidRPr="00BB53A7">
        <w:rPr>
          <w:rFonts w:eastAsia="Times New Roman"/>
          <w:lang w:eastAsia="ru-RU"/>
        </w:rPr>
        <w:t xml:space="preserve">legacy public policies </w:t>
      </w:r>
      <w:r>
        <w:rPr>
          <w:rFonts w:eastAsia="Times New Roman"/>
          <w:lang w:eastAsia="ru-RU"/>
        </w:rPr>
        <w:t>on telecommunications to OTT services and, in general a possibility of its application to innovative services,</w:t>
      </w:r>
    </w:p>
    <w:p w:rsidR="00C05ACC" w:rsidRDefault="00C05ACC" w:rsidP="00141CD0">
      <w:pPr>
        <w:pStyle w:val="Body"/>
        <w:tabs>
          <w:tab w:val="clear" w:pos="567"/>
          <w:tab w:val="clear" w:pos="1134"/>
          <w:tab w:val="clear" w:pos="1701"/>
          <w:tab w:val="clear" w:pos="2268"/>
          <w:tab w:val="clear" w:pos="2835"/>
          <w:tab w:val="left" w:pos="993"/>
        </w:tabs>
        <w:ind w:left="567"/>
        <w:rPr>
          <w:rFonts w:eastAsia="Times New Roman"/>
          <w:lang w:eastAsia="ru-RU"/>
        </w:rPr>
      </w:pPr>
      <w:r>
        <w:rPr>
          <w:rFonts w:eastAsia="Times New Roman"/>
          <w:lang w:eastAsia="ru-RU"/>
        </w:rPr>
        <w:t>-</w:t>
      </w:r>
      <w:r>
        <w:rPr>
          <w:rFonts w:eastAsia="Times New Roman"/>
          <w:lang w:eastAsia="ru-RU"/>
        </w:rPr>
        <w:tab/>
      </w:r>
      <w:proofErr w:type="gramStart"/>
      <w:r>
        <w:rPr>
          <w:rFonts w:eastAsia="Times New Roman"/>
          <w:lang w:eastAsia="ru-RU"/>
        </w:rPr>
        <w:t>on</w:t>
      </w:r>
      <w:proofErr w:type="gramEnd"/>
      <w:r>
        <w:rPr>
          <w:rFonts w:eastAsia="Times New Roman"/>
          <w:lang w:eastAsia="ru-RU"/>
        </w:rPr>
        <w:t xml:space="preserve"> the development of new or modification of existing regulation for similar services from traditional telecom operators and OTT providers,</w:t>
      </w:r>
    </w:p>
    <w:p w:rsidR="00C05ACC" w:rsidRDefault="00C05ACC" w:rsidP="00141CD0">
      <w:pPr>
        <w:pStyle w:val="Body"/>
        <w:tabs>
          <w:tab w:val="clear" w:pos="567"/>
          <w:tab w:val="clear" w:pos="1134"/>
          <w:tab w:val="clear" w:pos="1701"/>
          <w:tab w:val="clear" w:pos="2268"/>
          <w:tab w:val="clear" w:pos="2835"/>
          <w:tab w:val="left" w:pos="993"/>
        </w:tabs>
        <w:ind w:left="567"/>
        <w:rPr>
          <w:rFonts w:cs="Times New Roman"/>
        </w:rPr>
      </w:pPr>
      <w:r>
        <w:rPr>
          <w:rFonts w:eastAsia="Times New Roman"/>
          <w:lang w:eastAsia="ru-RU"/>
        </w:rPr>
        <w:t>-</w:t>
      </w:r>
      <w:r>
        <w:rPr>
          <w:rFonts w:eastAsia="Times New Roman"/>
          <w:lang w:eastAsia="ru-RU"/>
        </w:rPr>
        <w:tab/>
      </w:r>
      <w:proofErr w:type="gramStart"/>
      <w:r>
        <w:rPr>
          <w:rFonts w:eastAsia="Times New Roman"/>
          <w:lang w:eastAsia="ru-RU"/>
        </w:rPr>
        <w:t>on</w:t>
      </w:r>
      <w:proofErr w:type="gramEnd"/>
      <w:r>
        <w:rPr>
          <w:rFonts w:eastAsia="Times New Roman"/>
          <w:lang w:eastAsia="ru-RU"/>
        </w:rPr>
        <w:t xml:space="preserve"> the defining of required and sufficient level of regulation for OTT services to provide protection of user interests and </w:t>
      </w:r>
      <w:r>
        <w:t>fostering competition</w:t>
      </w:r>
      <w:r>
        <w:rPr>
          <w:rFonts w:cs="Times New Roman"/>
        </w:rPr>
        <w:t>,</w:t>
      </w:r>
    </w:p>
    <w:p w:rsidR="00C05ACC" w:rsidRDefault="00C05ACC" w:rsidP="00C05ACC">
      <w:pPr>
        <w:pStyle w:val="Body"/>
        <w:tabs>
          <w:tab w:val="clear" w:pos="567"/>
          <w:tab w:val="left" w:pos="708"/>
        </w:tabs>
        <w:rPr>
          <w:rFonts w:cs="Times New Roman"/>
        </w:rPr>
      </w:pPr>
      <w:proofErr w:type="gramStart"/>
      <w:r>
        <w:rPr>
          <w:rFonts w:eastAsia="Times New Roman"/>
          <w:lang w:eastAsia="ru-RU"/>
        </w:rPr>
        <w:t>and</w:t>
      </w:r>
      <w:proofErr w:type="gramEnd"/>
      <w:r>
        <w:rPr>
          <w:rFonts w:eastAsia="Times New Roman"/>
          <w:lang w:eastAsia="ru-RU"/>
        </w:rPr>
        <w:t xml:space="preserve"> generally on any issues that require </w:t>
      </w:r>
      <w:r>
        <w:rPr>
          <w:rFonts w:cs="Times New Roman"/>
        </w:rPr>
        <w:t>development of relevant public polic</w:t>
      </w:r>
      <w:r w:rsidR="002A1BD8">
        <w:rPr>
          <w:rFonts w:cs="Times New Roman"/>
        </w:rPr>
        <w:t>i</w:t>
      </w:r>
      <w:r>
        <w:rPr>
          <w:rFonts w:cs="Times New Roman"/>
        </w:rPr>
        <w:t>es</w:t>
      </w:r>
      <w:r>
        <w:rPr>
          <w:rFonts w:eastAsia="Times New Roman"/>
          <w:lang w:eastAsia="ru-RU"/>
        </w:rPr>
        <w:t>, according to opinions from SGs participants</w:t>
      </w:r>
      <w:r>
        <w:rPr>
          <w:rFonts w:cs="Times New Roman"/>
        </w:rPr>
        <w:t>,</w:t>
      </w:r>
    </w:p>
    <w:p w:rsidR="00AF1389" w:rsidRDefault="00AF1389" w:rsidP="00AF1389">
      <w:pPr>
        <w:pStyle w:val="Call"/>
      </w:pPr>
      <w:proofErr w:type="gramStart"/>
      <w:r>
        <w:t>instructs</w:t>
      </w:r>
      <w:proofErr w:type="gramEnd"/>
      <w:r>
        <w:t xml:space="preserve"> ITU-T Study Group 17</w:t>
      </w:r>
    </w:p>
    <w:p w:rsidR="00AF1389" w:rsidRDefault="00AF1389" w:rsidP="00AF1389">
      <w:pPr>
        <w:pStyle w:val="Body"/>
      </w:pPr>
      <w:r>
        <w:t>1</w:t>
      </w:r>
      <w:r>
        <w:tab/>
        <w:t>to continue studies, including, inter alia, within Q5/17 on countering spam, Q10/17 on authentication and other issues relevant to OTT;</w:t>
      </w:r>
    </w:p>
    <w:p w:rsidR="00AF1389" w:rsidRDefault="00AF1389" w:rsidP="00AF1389">
      <w:pPr>
        <w:pStyle w:val="Body"/>
        <w:rPr>
          <w:rFonts w:cs="Times New Roman"/>
        </w:rPr>
      </w:pPr>
      <w:r>
        <w:t>2</w:t>
      </w:r>
      <w:r>
        <w:tab/>
        <w:t>to submit to the CWG-Internet considerations related to OTT services that require</w:t>
      </w:r>
      <w:r>
        <w:rPr>
          <w:rFonts w:cs="Times New Roman"/>
        </w:rPr>
        <w:t xml:space="preserve"> development of relevant public polic</w:t>
      </w:r>
      <w:r w:rsidR="002A1BD8">
        <w:rPr>
          <w:rFonts w:cs="Times New Roman"/>
        </w:rPr>
        <w:t>y issues</w:t>
      </w:r>
      <w:r>
        <w:rPr>
          <w:rFonts w:cs="Times New Roman"/>
        </w:rPr>
        <w:t>, particularly:</w:t>
      </w:r>
    </w:p>
    <w:p w:rsidR="00AF1389" w:rsidRDefault="00141CD0" w:rsidP="00141CD0">
      <w:pPr>
        <w:pStyle w:val="Body"/>
        <w:tabs>
          <w:tab w:val="clear" w:pos="567"/>
          <w:tab w:val="clear" w:pos="1134"/>
          <w:tab w:val="clear" w:pos="1701"/>
          <w:tab w:val="clear" w:pos="2268"/>
          <w:tab w:val="clear" w:pos="2835"/>
          <w:tab w:val="left" w:pos="993"/>
        </w:tabs>
        <w:ind w:left="567"/>
        <w:rPr>
          <w:rFonts w:eastAsia="Times New Roman"/>
          <w:lang w:eastAsia="ru-RU"/>
        </w:rPr>
      </w:pPr>
      <w:r>
        <w:rPr>
          <w:rFonts w:eastAsia="Times New Roman"/>
          <w:lang w:eastAsia="ru-RU"/>
        </w:rPr>
        <w:t>-</w:t>
      </w:r>
      <w:r>
        <w:rPr>
          <w:rFonts w:eastAsia="Times New Roman"/>
          <w:lang w:eastAsia="ru-RU"/>
        </w:rPr>
        <w:tab/>
      </w:r>
      <w:proofErr w:type="gramStart"/>
      <w:r>
        <w:rPr>
          <w:rFonts w:eastAsia="Times New Roman"/>
          <w:lang w:eastAsia="ru-RU"/>
        </w:rPr>
        <w:t>on</w:t>
      </w:r>
      <w:proofErr w:type="gramEnd"/>
      <w:r>
        <w:rPr>
          <w:rFonts w:eastAsia="Times New Roman"/>
          <w:lang w:eastAsia="ru-RU"/>
        </w:rPr>
        <w:t xml:space="preserve"> personal data protection,</w:t>
      </w:r>
    </w:p>
    <w:p w:rsidR="00AF1389" w:rsidRDefault="00AF1389" w:rsidP="00141CD0">
      <w:pPr>
        <w:pStyle w:val="Body"/>
        <w:tabs>
          <w:tab w:val="clear" w:pos="567"/>
          <w:tab w:val="clear" w:pos="1134"/>
          <w:tab w:val="clear" w:pos="1701"/>
          <w:tab w:val="clear" w:pos="2268"/>
          <w:tab w:val="clear" w:pos="2835"/>
          <w:tab w:val="left" w:pos="993"/>
        </w:tabs>
        <w:ind w:left="567"/>
        <w:rPr>
          <w:rFonts w:eastAsia="Times New Roman"/>
          <w:lang w:eastAsia="ru-RU"/>
        </w:rPr>
      </w:pPr>
      <w:r>
        <w:rPr>
          <w:rFonts w:eastAsia="Times New Roman"/>
          <w:lang w:eastAsia="ru-RU"/>
        </w:rPr>
        <w:t>-</w:t>
      </w:r>
      <w:r>
        <w:rPr>
          <w:rFonts w:eastAsia="Times New Roman"/>
          <w:lang w:eastAsia="ru-RU"/>
        </w:rPr>
        <w:tab/>
      </w:r>
      <w:proofErr w:type="gramStart"/>
      <w:r>
        <w:rPr>
          <w:rFonts w:eastAsia="Times New Roman"/>
          <w:lang w:eastAsia="ru-RU"/>
        </w:rPr>
        <w:t>on</w:t>
      </w:r>
      <w:proofErr w:type="gramEnd"/>
      <w:r>
        <w:rPr>
          <w:rFonts w:eastAsia="Times New Roman"/>
          <w:lang w:eastAsia="ru-RU"/>
        </w:rPr>
        <w:t xml:space="preserve"> authentication in OTT messaging services</w:t>
      </w:r>
      <w:r w:rsidR="00141CD0">
        <w:rPr>
          <w:rFonts w:eastAsia="Times New Roman"/>
          <w:lang w:eastAsia="ru-RU"/>
        </w:rPr>
        <w:t>,</w:t>
      </w:r>
    </w:p>
    <w:p w:rsidR="00AF1389" w:rsidRDefault="00AF1389" w:rsidP="00141CD0">
      <w:pPr>
        <w:pStyle w:val="Body"/>
        <w:tabs>
          <w:tab w:val="clear" w:pos="567"/>
          <w:tab w:val="clear" w:pos="1134"/>
          <w:tab w:val="clear" w:pos="1701"/>
          <w:tab w:val="clear" w:pos="2268"/>
          <w:tab w:val="clear" w:pos="2835"/>
          <w:tab w:val="left" w:pos="993"/>
        </w:tabs>
        <w:ind w:left="567"/>
      </w:pPr>
      <w:r>
        <w:rPr>
          <w:rFonts w:eastAsia="Times New Roman"/>
          <w:lang w:eastAsia="ru-RU"/>
        </w:rPr>
        <w:t>-</w:t>
      </w:r>
      <w:r>
        <w:rPr>
          <w:rFonts w:eastAsia="Times New Roman"/>
          <w:lang w:eastAsia="ru-RU"/>
        </w:rPr>
        <w:tab/>
      </w:r>
      <w:proofErr w:type="gramStart"/>
      <w:r>
        <w:rPr>
          <w:rFonts w:eastAsia="Times New Roman"/>
          <w:lang w:eastAsia="ru-RU"/>
        </w:rPr>
        <w:t>on</w:t>
      </w:r>
      <w:proofErr w:type="gramEnd"/>
      <w:r>
        <w:rPr>
          <w:rFonts w:eastAsia="Times New Roman"/>
          <w:lang w:eastAsia="ru-RU"/>
        </w:rPr>
        <w:t xml:space="preserve"> technical analysis of possible measures and implementation mechanisms required for the protection of users rights, because new technological features of OTT services create an unique operational environment (for example, involvement of a large number of providers into service value chain and end-to-end </w:t>
      </w:r>
      <w:r>
        <w:t>encryption),</w:t>
      </w:r>
    </w:p>
    <w:p w:rsidR="009E5B8A" w:rsidRPr="00AF1389" w:rsidRDefault="00AF1389" w:rsidP="00AF1389">
      <w:pPr>
        <w:pStyle w:val="Body"/>
        <w:tabs>
          <w:tab w:val="clear" w:pos="567"/>
          <w:tab w:val="left" w:pos="708"/>
        </w:tabs>
        <w:rPr>
          <w:rFonts w:cs="Times New Roman"/>
        </w:rPr>
      </w:pPr>
      <w:proofErr w:type="gramStart"/>
      <w:r>
        <w:rPr>
          <w:rFonts w:eastAsia="Times New Roman"/>
          <w:lang w:eastAsia="ru-RU"/>
        </w:rPr>
        <w:t>and</w:t>
      </w:r>
      <w:proofErr w:type="gramEnd"/>
      <w:r>
        <w:rPr>
          <w:rFonts w:eastAsia="Times New Roman"/>
          <w:lang w:eastAsia="ru-RU"/>
        </w:rPr>
        <w:t xml:space="preserve"> generally on any issues that require </w:t>
      </w:r>
      <w:r>
        <w:rPr>
          <w:rFonts w:cs="Times New Roman"/>
        </w:rPr>
        <w:t>develo</w:t>
      </w:r>
      <w:r w:rsidR="002A1BD8">
        <w:rPr>
          <w:rFonts w:cs="Times New Roman"/>
        </w:rPr>
        <w:t>pment of relevant public policy</w:t>
      </w:r>
      <w:r>
        <w:rPr>
          <w:rFonts w:eastAsia="Times New Roman"/>
          <w:lang w:eastAsia="ru-RU"/>
        </w:rPr>
        <w:t>, according to opinions from SGs participants</w:t>
      </w:r>
      <w:r>
        <w:rPr>
          <w:rFonts w:cs="Times New Roman"/>
        </w:rPr>
        <w:t>,</w:t>
      </w:r>
    </w:p>
    <w:p w:rsidR="003A3783" w:rsidRDefault="003A3783" w:rsidP="003A3783">
      <w:pPr>
        <w:pStyle w:val="Call"/>
      </w:pPr>
      <w:proofErr w:type="gramStart"/>
      <w:r>
        <w:t>instructs</w:t>
      </w:r>
      <w:proofErr w:type="gramEnd"/>
      <w:r>
        <w:t xml:space="preserve"> ITU-D Study Group 1</w:t>
      </w:r>
    </w:p>
    <w:p w:rsidR="003A3783" w:rsidRDefault="003A3783" w:rsidP="003A3783">
      <w:pPr>
        <w:pStyle w:val="Body"/>
        <w:tabs>
          <w:tab w:val="clear" w:pos="567"/>
          <w:tab w:val="left" w:pos="708"/>
        </w:tabs>
      </w:pPr>
      <w:r>
        <w:t>1</w:t>
      </w:r>
      <w:r>
        <w:tab/>
        <w:t xml:space="preserve">to submit to CWG-Internet considerations related to OTT services that require regulation, based on the studies performed within </w:t>
      </w:r>
      <w:r>
        <w:rPr>
          <w:rFonts w:cs="Times New Roman"/>
        </w:rPr>
        <w:t xml:space="preserve">Question 1/1 "Policy, regulatory and technical aspects of the migration from existing networks to broadband networks in developing countries, including next-generation networks, mobile services, OTT services and the implementation </w:t>
      </w:r>
      <w:proofErr w:type="gramStart"/>
      <w:r>
        <w:rPr>
          <w:rFonts w:cs="Times New Roman"/>
        </w:rPr>
        <w:t>of  IPv6</w:t>
      </w:r>
      <w:proofErr w:type="gramEnd"/>
      <w:r>
        <w:rPr>
          <w:rFonts w:cs="Times New Roman"/>
        </w:rPr>
        <w:t>", in particular:</w:t>
      </w:r>
    </w:p>
    <w:p w:rsidR="003A3783" w:rsidRDefault="003A3783" w:rsidP="00141CD0">
      <w:pPr>
        <w:pStyle w:val="Body"/>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clear" w:pos="1134"/>
          <w:tab w:val="clear" w:pos="1701"/>
          <w:tab w:val="clear" w:pos="2268"/>
          <w:tab w:val="clear" w:pos="2835"/>
          <w:tab w:val="left" w:pos="993"/>
        </w:tabs>
        <w:ind w:left="567" w:firstLine="0"/>
      </w:pPr>
      <w:r>
        <w:t xml:space="preserve">on the identification policy </w:t>
      </w:r>
      <w:r>
        <w:rPr>
          <w:rStyle w:val="shorttext"/>
          <w:lang w:val="en"/>
        </w:rPr>
        <w:t>tools</w:t>
      </w:r>
      <w:r>
        <w:t xml:space="preserve"> to facilitate the availability to consumers at the local and national levels of OTT services and applications,</w:t>
      </w:r>
    </w:p>
    <w:p w:rsidR="003A3783" w:rsidRDefault="003A3783" w:rsidP="00141CD0">
      <w:pPr>
        <w:pStyle w:val="Body"/>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clear" w:pos="1134"/>
          <w:tab w:val="clear" w:pos="1701"/>
          <w:tab w:val="clear" w:pos="2268"/>
          <w:tab w:val="clear" w:pos="2835"/>
          <w:tab w:val="left" w:pos="993"/>
        </w:tabs>
        <w:ind w:left="567" w:firstLine="0"/>
      </w:pPr>
      <w:r>
        <w:t>on identification of cooperation arrangements with OTT providers, that have been used or may be used to meet growing demand and other changes in the market,</w:t>
      </w:r>
    </w:p>
    <w:p w:rsidR="003A3783" w:rsidRDefault="003A3783" w:rsidP="00141CD0">
      <w:pPr>
        <w:pStyle w:val="Body"/>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clear" w:pos="1134"/>
          <w:tab w:val="clear" w:pos="1701"/>
          <w:tab w:val="clear" w:pos="2268"/>
          <w:tab w:val="clear" w:pos="2835"/>
          <w:tab w:val="left" w:pos="993"/>
        </w:tabs>
        <w:ind w:left="567" w:firstLine="0"/>
      </w:pPr>
      <w:r>
        <w:t xml:space="preserve">on identification of </w:t>
      </w:r>
      <w:r>
        <w:rPr>
          <w:rFonts w:cs="Times New Roman"/>
        </w:rPr>
        <w:t>methodology</w:t>
      </w:r>
      <w:r w:rsidR="002A1BD8">
        <w:t xml:space="preserve"> and policy issues,</w:t>
      </w:r>
      <w:r>
        <w:t xml:space="preserve"> which facilitate investments into OTT services and applications, </w:t>
      </w:r>
    </w:p>
    <w:p w:rsidR="003A3783" w:rsidRDefault="003A3783" w:rsidP="00141CD0">
      <w:pPr>
        <w:pStyle w:val="Body"/>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clear" w:pos="1134"/>
          <w:tab w:val="clear" w:pos="1701"/>
          <w:tab w:val="clear" w:pos="2268"/>
          <w:tab w:val="clear" w:pos="2835"/>
          <w:tab w:val="left" w:pos="993"/>
        </w:tabs>
        <w:ind w:left="567" w:firstLine="0"/>
      </w:pPr>
      <w:r>
        <w:t>on evaluation the challenges and preparation overview of best practices and guidelines regarding legal frameworks concerning OTTs,</w:t>
      </w:r>
    </w:p>
    <w:p w:rsidR="003A3783" w:rsidRDefault="003A3783" w:rsidP="00141CD0">
      <w:pPr>
        <w:pStyle w:val="Body"/>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clear" w:pos="1134"/>
          <w:tab w:val="clear" w:pos="1701"/>
          <w:tab w:val="clear" w:pos="2268"/>
          <w:tab w:val="clear" w:pos="2835"/>
          <w:tab w:val="left" w:pos="993"/>
        </w:tabs>
        <w:ind w:left="567" w:firstLine="0"/>
      </w:pPr>
      <w:r>
        <w:t xml:space="preserve">on regulation and measures to support competition in the field of OTTs, </w:t>
      </w:r>
    </w:p>
    <w:p w:rsidR="003A3783" w:rsidRDefault="003A3783" w:rsidP="003A3783">
      <w:pPr>
        <w:pStyle w:val="Body"/>
        <w:tabs>
          <w:tab w:val="clear" w:pos="567"/>
          <w:tab w:val="left" w:pos="708"/>
        </w:tabs>
      </w:pPr>
      <w:proofErr w:type="gramStart"/>
      <w:r>
        <w:rPr>
          <w:rFonts w:eastAsia="Times New Roman"/>
          <w:lang w:eastAsia="ru-RU"/>
        </w:rPr>
        <w:t>and</w:t>
      </w:r>
      <w:proofErr w:type="gramEnd"/>
      <w:r>
        <w:rPr>
          <w:rFonts w:eastAsia="Times New Roman"/>
          <w:lang w:eastAsia="ru-RU"/>
        </w:rPr>
        <w:t xml:space="preserve"> generally on any issues that require </w:t>
      </w:r>
      <w:r w:rsidR="00BB53A7">
        <w:rPr>
          <w:bdr w:val="none" w:sz="0" w:space="0" w:color="auto" w:frame="1"/>
        </w:rPr>
        <w:t>public</w:t>
      </w:r>
      <w:r w:rsidR="00BB53A7" w:rsidRPr="00C17081">
        <w:rPr>
          <w:bdr w:val="none" w:sz="0" w:space="0" w:color="auto" w:frame="1"/>
        </w:rPr>
        <w:t xml:space="preserve"> </w:t>
      </w:r>
      <w:r w:rsidR="002A1BD8">
        <w:rPr>
          <w:bdr w:val="none" w:sz="0" w:space="0" w:color="auto" w:frame="1"/>
        </w:rPr>
        <w:t>policy</w:t>
      </w:r>
      <w:r w:rsidR="00BB53A7" w:rsidRPr="00C17081">
        <w:rPr>
          <w:bdr w:val="none" w:sz="0" w:space="0" w:color="auto" w:frame="1"/>
        </w:rPr>
        <w:t xml:space="preserve"> </w:t>
      </w:r>
      <w:r w:rsidR="00BB53A7">
        <w:rPr>
          <w:bdr w:val="none" w:sz="0" w:space="0" w:color="auto" w:frame="1"/>
        </w:rPr>
        <w:t>considerations</w:t>
      </w:r>
      <w:r w:rsidR="00BB53A7" w:rsidRPr="00C17081">
        <w:rPr>
          <w:bdr w:val="none" w:sz="0" w:space="0" w:color="auto" w:frame="1"/>
        </w:rPr>
        <w:t xml:space="preserve"> </w:t>
      </w:r>
      <w:r w:rsidR="00BB53A7">
        <w:rPr>
          <w:bdr w:val="none" w:sz="0" w:space="0" w:color="auto" w:frame="1"/>
        </w:rPr>
        <w:t>related</w:t>
      </w:r>
      <w:r w:rsidR="00BB53A7" w:rsidRPr="00C17081">
        <w:rPr>
          <w:bdr w:val="none" w:sz="0" w:space="0" w:color="auto" w:frame="1"/>
        </w:rPr>
        <w:t xml:space="preserve"> </w:t>
      </w:r>
      <w:r w:rsidR="00BB53A7">
        <w:rPr>
          <w:bdr w:val="none" w:sz="0" w:space="0" w:color="auto" w:frame="1"/>
        </w:rPr>
        <w:t>to</w:t>
      </w:r>
      <w:r w:rsidR="00BB53A7" w:rsidRPr="00C17081">
        <w:rPr>
          <w:bdr w:val="none" w:sz="0" w:space="0" w:color="auto" w:frame="1"/>
        </w:rPr>
        <w:t xml:space="preserve"> </w:t>
      </w:r>
      <w:r w:rsidR="00BB53A7">
        <w:rPr>
          <w:bdr w:val="none" w:sz="0" w:space="0" w:color="auto" w:frame="1"/>
        </w:rPr>
        <w:t>OTT</w:t>
      </w:r>
      <w:r>
        <w:rPr>
          <w:rFonts w:eastAsia="Times New Roman"/>
          <w:lang w:eastAsia="ru-RU"/>
        </w:rPr>
        <w:t>, according to opinions from SGs participants,</w:t>
      </w:r>
    </w:p>
    <w:p w:rsidR="006A703C" w:rsidRDefault="006A703C" w:rsidP="006A703C">
      <w:pPr>
        <w:pStyle w:val="Call"/>
      </w:pPr>
      <w:proofErr w:type="gramStart"/>
      <w:r>
        <w:t>instructs</w:t>
      </w:r>
      <w:proofErr w:type="gramEnd"/>
      <w:r>
        <w:t xml:space="preserve"> CWG-Internet</w:t>
      </w:r>
    </w:p>
    <w:p w:rsidR="006A703C" w:rsidRDefault="006A703C" w:rsidP="006A703C">
      <w:pPr>
        <w:pStyle w:val="Body"/>
        <w:tabs>
          <w:tab w:val="clear" w:pos="1134"/>
        </w:tabs>
        <w:rPr>
          <w:rFonts w:cs="Times New Roman"/>
          <w:bCs/>
        </w:rPr>
      </w:pPr>
      <w:r>
        <w:rPr>
          <w:rFonts w:cs="Times New Roman"/>
          <w:bCs/>
        </w:rPr>
        <w:t>1</w:t>
      </w:r>
      <w:r>
        <w:rPr>
          <w:rFonts w:cs="Times New Roman"/>
          <w:bCs/>
        </w:rPr>
        <w:tab/>
        <w:t xml:space="preserve">to perform analysis of </w:t>
      </w:r>
      <w:r w:rsidR="00BB53A7">
        <w:rPr>
          <w:bdr w:val="none" w:sz="0" w:space="0" w:color="auto" w:frame="1"/>
        </w:rPr>
        <w:t>public</w:t>
      </w:r>
      <w:r w:rsidR="00BB53A7" w:rsidRPr="00C17081">
        <w:rPr>
          <w:bdr w:val="none" w:sz="0" w:space="0" w:color="auto" w:frame="1"/>
        </w:rPr>
        <w:t xml:space="preserve"> </w:t>
      </w:r>
      <w:r w:rsidR="002A1BD8">
        <w:rPr>
          <w:bdr w:val="none" w:sz="0" w:space="0" w:color="auto" w:frame="1"/>
        </w:rPr>
        <w:t>policy</w:t>
      </w:r>
      <w:r w:rsidR="00BB53A7" w:rsidRPr="00C17081">
        <w:rPr>
          <w:bdr w:val="none" w:sz="0" w:space="0" w:color="auto" w:frame="1"/>
        </w:rPr>
        <w:t xml:space="preserve"> </w:t>
      </w:r>
      <w:r w:rsidR="00BB53A7">
        <w:rPr>
          <w:bdr w:val="none" w:sz="0" w:space="0" w:color="auto" w:frame="1"/>
        </w:rPr>
        <w:t>considerations</w:t>
      </w:r>
      <w:r w:rsidR="00BB53A7" w:rsidRPr="00C17081">
        <w:rPr>
          <w:bdr w:val="none" w:sz="0" w:space="0" w:color="auto" w:frame="1"/>
        </w:rPr>
        <w:t xml:space="preserve"> </w:t>
      </w:r>
      <w:r w:rsidR="00BB53A7">
        <w:rPr>
          <w:bdr w:val="none" w:sz="0" w:space="0" w:color="auto" w:frame="1"/>
        </w:rPr>
        <w:t>related</w:t>
      </w:r>
      <w:r w:rsidR="00BB53A7" w:rsidRPr="00C17081">
        <w:rPr>
          <w:bdr w:val="none" w:sz="0" w:space="0" w:color="auto" w:frame="1"/>
        </w:rPr>
        <w:t xml:space="preserve"> </w:t>
      </w:r>
      <w:r w:rsidR="00BB53A7">
        <w:rPr>
          <w:bdr w:val="none" w:sz="0" w:space="0" w:color="auto" w:frame="1"/>
        </w:rPr>
        <w:t>to</w:t>
      </w:r>
      <w:r w:rsidR="00BB53A7" w:rsidRPr="00C17081">
        <w:rPr>
          <w:bdr w:val="none" w:sz="0" w:space="0" w:color="auto" w:frame="1"/>
        </w:rPr>
        <w:t xml:space="preserve"> </w:t>
      </w:r>
      <w:r w:rsidR="00BB53A7">
        <w:rPr>
          <w:bdr w:val="none" w:sz="0" w:space="0" w:color="auto" w:frame="1"/>
        </w:rPr>
        <w:t>OTT</w:t>
      </w:r>
      <w:r w:rsidR="00BB53A7" w:rsidRPr="00C17081">
        <w:rPr>
          <w:bdr w:val="none" w:sz="0" w:space="0" w:color="auto" w:frame="1"/>
        </w:rPr>
        <w:t xml:space="preserve"> </w:t>
      </w:r>
      <w:r>
        <w:rPr>
          <w:rFonts w:cs="Times New Roman"/>
          <w:bCs/>
        </w:rPr>
        <w:t xml:space="preserve">and to formulate proposals for the ITU Council with regard to possible aspects of the development </w:t>
      </w:r>
      <w:r w:rsidR="002A1BD8">
        <w:rPr>
          <w:rFonts w:cs="Times New Roman"/>
          <w:bCs/>
        </w:rPr>
        <w:t>of international public policy issues</w:t>
      </w:r>
      <w:r>
        <w:rPr>
          <w:rFonts w:cs="Times New Roman"/>
          <w:bCs/>
        </w:rPr>
        <w:t xml:space="preserve"> on regulating OTTs both nationally and internationally, on the basis of information from ITU-T and ITU-D SGs, contributions from Member States and open consultation materials, particularly;</w:t>
      </w:r>
    </w:p>
    <w:p w:rsidR="006A703C" w:rsidRDefault="006A703C" w:rsidP="00141CD0">
      <w:pPr>
        <w:pStyle w:val="Body"/>
        <w:tabs>
          <w:tab w:val="clear" w:pos="567"/>
          <w:tab w:val="clear" w:pos="1134"/>
          <w:tab w:val="clear" w:pos="1701"/>
          <w:tab w:val="clear" w:pos="2268"/>
          <w:tab w:val="clear" w:pos="2835"/>
          <w:tab w:val="left" w:pos="993"/>
        </w:tabs>
        <w:ind w:left="567"/>
        <w:rPr>
          <w:rFonts w:eastAsia="Times New Roman"/>
          <w:lang w:eastAsia="ru-RU"/>
        </w:rPr>
      </w:pPr>
      <w:r>
        <w:rPr>
          <w:rFonts w:eastAsia="Times New Roman"/>
          <w:lang w:eastAsia="ru-RU"/>
        </w:rPr>
        <w:t>-</w:t>
      </w:r>
      <w:r>
        <w:rPr>
          <w:rFonts w:eastAsia="Times New Roman"/>
          <w:lang w:eastAsia="ru-RU"/>
        </w:rPr>
        <w:tab/>
      </w:r>
      <w:proofErr w:type="gramStart"/>
      <w:r>
        <w:rPr>
          <w:rFonts w:eastAsia="Times New Roman"/>
          <w:lang w:eastAsia="ru-RU"/>
        </w:rPr>
        <w:t>on</w:t>
      </w:r>
      <w:proofErr w:type="gramEnd"/>
      <w:r>
        <w:rPr>
          <w:rFonts w:eastAsia="Times New Roman"/>
          <w:lang w:eastAsia="ru-RU"/>
        </w:rPr>
        <w:t xml:space="preserve"> the applicability of </w:t>
      </w:r>
      <w:r w:rsidR="00BB53A7" w:rsidRPr="00BB53A7">
        <w:rPr>
          <w:rFonts w:eastAsia="Times New Roman"/>
          <w:lang w:eastAsia="ru-RU"/>
        </w:rPr>
        <w:t xml:space="preserve">legacy public policies </w:t>
      </w:r>
      <w:r>
        <w:rPr>
          <w:rFonts w:eastAsia="Times New Roman"/>
          <w:lang w:eastAsia="ru-RU"/>
        </w:rPr>
        <w:t>on telecommunications to OTT services and, in general, a possibility of its application to innovative services,</w:t>
      </w:r>
    </w:p>
    <w:p w:rsidR="006A703C" w:rsidRDefault="006A703C" w:rsidP="00141CD0">
      <w:pPr>
        <w:pStyle w:val="Body"/>
        <w:tabs>
          <w:tab w:val="clear" w:pos="567"/>
          <w:tab w:val="clear" w:pos="1134"/>
          <w:tab w:val="clear" w:pos="1701"/>
          <w:tab w:val="clear" w:pos="2268"/>
          <w:tab w:val="clear" w:pos="2835"/>
          <w:tab w:val="left" w:pos="993"/>
        </w:tabs>
        <w:ind w:left="567"/>
        <w:rPr>
          <w:rFonts w:eastAsia="Times New Roman"/>
          <w:lang w:eastAsia="ru-RU"/>
        </w:rPr>
      </w:pPr>
      <w:r>
        <w:rPr>
          <w:rFonts w:eastAsia="Times New Roman"/>
          <w:lang w:eastAsia="ru-RU"/>
        </w:rPr>
        <w:t>-</w:t>
      </w:r>
      <w:r>
        <w:rPr>
          <w:rFonts w:eastAsia="Times New Roman"/>
          <w:lang w:eastAsia="ru-RU"/>
        </w:rPr>
        <w:tab/>
      </w:r>
      <w:proofErr w:type="gramStart"/>
      <w:r>
        <w:rPr>
          <w:rFonts w:eastAsia="Times New Roman"/>
          <w:lang w:eastAsia="ru-RU"/>
        </w:rPr>
        <w:t>on</w:t>
      </w:r>
      <w:proofErr w:type="gramEnd"/>
      <w:r>
        <w:rPr>
          <w:rFonts w:eastAsia="Times New Roman"/>
          <w:lang w:eastAsia="ru-RU"/>
        </w:rPr>
        <w:t xml:space="preserve"> the development of new or modification of existing regulation for similar services from traditional communication operators and OTT providers,</w:t>
      </w:r>
    </w:p>
    <w:p w:rsidR="006A703C" w:rsidRDefault="006A703C" w:rsidP="00141CD0">
      <w:pPr>
        <w:pStyle w:val="Body"/>
        <w:tabs>
          <w:tab w:val="clear" w:pos="1134"/>
          <w:tab w:val="clear" w:pos="1701"/>
          <w:tab w:val="clear" w:pos="2268"/>
          <w:tab w:val="clear" w:pos="2835"/>
          <w:tab w:val="left" w:pos="993"/>
        </w:tabs>
        <w:ind w:left="567"/>
      </w:pPr>
      <w:r>
        <w:rPr>
          <w:rFonts w:eastAsia="Times New Roman"/>
          <w:lang w:eastAsia="ru-RU"/>
        </w:rPr>
        <w:t>-</w:t>
      </w:r>
      <w:r>
        <w:rPr>
          <w:rFonts w:eastAsia="Times New Roman"/>
          <w:lang w:eastAsia="ru-RU"/>
        </w:rPr>
        <w:tab/>
        <w:t xml:space="preserve">on defining a required and sufficient level of regulation for OTT services to provide protection of user interests as well as support for </w:t>
      </w:r>
      <w:r>
        <w:t>competitive environment,</w:t>
      </w:r>
    </w:p>
    <w:p w:rsidR="006A703C" w:rsidRDefault="006A703C" w:rsidP="00141CD0">
      <w:pPr>
        <w:pStyle w:val="Body"/>
        <w:tabs>
          <w:tab w:val="clear" w:pos="567"/>
          <w:tab w:val="clear" w:pos="1134"/>
          <w:tab w:val="clear" w:pos="1701"/>
          <w:tab w:val="clear" w:pos="2268"/>
          <w:tab w:val="clear" w:pos="2835"/>
          <w:tab w:val="left" w:pos="993"/>
        </w:tabs>
        <w:ind w:left="567"/>
        <w:rPr>
          <w:rFonts w:eastAsia="Times New Roman"/>
          <w:lang w:eastAsia="ru-RU"/>
        </w:rPr>
      </w:pPr>
      <w:r>
        <w:rPr>
          <w:rFonts w:eastAsia="Times New Roman"/>
          <w:lang w:eastAsia="ru-RU"/>
        </w:rPr>
        <w:t>-</w:t>
      </w:r>
      <w:r>
        <w:rPr>
          <w:rFonts w:eastAsia="Times New Roman"/>
          <w:lang w:eastAsia="ru-RU"/>
        </w:rPr>
        <w:tab/>
      </w:r>
      <w:proofErr w:type="gramStart"/>
      <w:r>
        <w:rPr>
          <w:rFonts w:eastAsia="Times New Roman"/>
          <w:lang w:eastAsia="ru-RU"/>
        </w:rPr>
        <w:t>on</w:t>
      </w:r>
      <w:proofErr w:type="gramEnd"/>
      <w:r>
        <w:rPr>
          <w:rFonts w:eastAsia="Times New Roman"/>
          <w:lang w:eastAsia="ru-RU"/>
        </w:rPr>
        <w:t xml:space="preserve"> personal data protection, </w:t>
      </w:r>
    </w:p>
    <w:p w:rsidR="006A703C" w:rsidRDefault="006A703C" w:rsidP="00141CD0">
      <w:pPr>
        <w:pStyle w:val="Body"/>
        <w:tabs>
          <w:tab w:val="clear" w:pos="567"/>
          <w:tab w:val="clear" w:pos="1134"/>
          <w:tab w:val="clear" w:pos="1701"/>
          <w:tab w:val="clear" w:pos="2268"/>
          <w:tab w:val="clear" w:pos="2835"/>
          <w:tab w:val="left" w:pos="993"/>
        </w:tabs>
        <w:ind w:left="567"/>
        <w:rPr>
          <w:rFonts w:eastAsia="Times New Roman"/>
          <w:lang w:eastAsia="ru-RU"/>
        </w:rPr>
      </w:pPr>
      <w:r>
        <w:rPr>
          <w:rFonts w:eastAsia="Times New Roman"/>
          <w:lang w:eastAsia="ru-RU"/>
        </w:rPr>
        <w:t>-</w:t>
      </w:r>
      <w:r>
        <w:rPr>
          <w:rFonts w:eastAsia="Times New Roman"/>
          <w:lang w:eastAsia="ru-RU"/>
        </w:rPr>
        <w:tab/>
      </w:r>
      <w:proofErr w:type="gramStart"/>
      <w:r>
        <w:rPr>
          <w:rFonts w:eastAsia="Times New Roman"/>
          <w:lang w:eastAsia="ru-RU"/>
        </w:rPr>
        <w:t>on</w:t>
      </w:r>
      <w:proofErr w:type="gramEnd"/>
      <w:r>
        <w:rPr>
          <w:rFonts w:eastAsia="Times New Roman"/>
          <w:lang w:eastAsia="ru-RU"/>
        </w:rPr>
        <w:t xml:space="preserve"> authentication in OTT messaging services ,</w:t>
      </w:r>
    </w:p>
    <w:p w:rsidR="006A703C" w:rsidRDefault="006A703C" w:rsidP="00141CD0">
      <w:pPr>
        <w:pStyle w:val="Body"/>
        <w:tabs>
          <w:tab w:val="clear" w:pos="567"/>
          <w:tab w:val="clear" w:pos="1134"/>
          <w:tab w:val="clear" w:pos="1701"/>
          <w:tab w:val="clear" w:pos="2268"/>
          <w:tab w:val="clear" w:pos="2835"/>
          <w:tab w:val="left" w:pos="993"/>
        </w:tabs>
        <w:ind w:left="567"/>
        <w:rPr>
          <w:rFonts w:eastAsia="Times New Roman"/>
          <w:lang w:eastAsia="ru-RU"/>
        </w:rPr>
      </w:pPr>
      <w:r>
        <w:rPr>
          <w:rFonts w:cs="Times New Roman"/>
        </w:rPr>
        <w:t>-</w:t>
      </w:r>
      <w:r>
        <w:rPr>
          <w:rFonts w:cs="Times New Roman"/>
        </w:rPr>
        <w:tab/>
      </w:r>
      <w:proofErr w:type="gramStart"/>
      <w:r>
        <w:rPr>
          <w:rFonts w:cs="Times New Roman"/>
        </w:rPr>
        <w:t>on</w:t>
      </w:r>
      <w:proofErr w:type="gramEnd"/>
      <w:r>
        <w:rPr>
          <w:rFonts w:cs="Times New Roman"/>
        </w:rPr>
        <w:t xml:space="preserve"> the implementa</w:t>
      </w:r>
      <w:r w:rsidR="002A1BD8">
        <w:rPr>
          <w:rFonts w:cs="Times New Roman"/>
        </w:rPr>
        <w:t>tion of methodology and policy issues,</w:t>
      </w:r>
      <w:r>
        <w:rPr>
          <w:rFonts w:cs="Times New Roman"/>
        </w:rPr>
        <w:t xml:space="preserve"> which </w:t>
      </w:r>
      <w:r>
        <w:rPr>
          <w:rFonts w:eastAsia="Times New Roman"/>
          <w:lang w:eastAsia="ru-RU"/>
        </w:rPr>
        <w:t>encourage investment into OTT services and applications,</w:t>
      </w:r>
    </w:p>
    <w:p w:rsidR="006A703C" w:rsidRDefault="006A703C" w:rsidP="00141CD0">
      <w:pPr>
        <w:pStyle w:val="Body"/>
        <w:tabs>
          <w:tab w:val="clear" w:pos="1134"/>
          <w:tab w:val="clear" w:pos="1701"/>
          <w:tab w:val="clear" w:pos="2268"/>
          <w:tab w:val="clear" w:pos="2835"/>
          <w:tab w:val="left" w:pos="993"/>
        </w:tabs>
        <w:ind w:left="567"/>
        <w:rPr>
          <w:rFonts w:eastAsia="Times New Roman"/>
          <w:lang w:eastAsia="ru-RU"/>
        </w:rPr>
      </w:pPr>
      <w:r>
        <w:rPr>
          <w:rFonts w:cs="Times New Roman"/>
        </w:rPr>
        <w:t>-</w:t>
      </w:r>
      <w:r>
        <w:rPr>
          <w:rFonts w:cs="Times New Roman"/>
        </w:rPr>
        <w:tab/>
      </w:r>
      <w:proofErr w:type="gramStart"/>
      <w:r>
        <w:rPr>
          <w:rFonts w:cs="Times New Roman"/>
        </w:rPr>
        <w:t>on</w:t>
      </w:r>
      <w:proofErr w:type="gramEnd"/>
      <w:r>
        <w:rPr>
          <w:rFonts w:cs="Times New Roman"/>
        </w:rPr>
        <w:t xml:space="preserve"> facilitation of accessibility of competitive OTT services and applications,</w:t>
      </w:r>
    </w:p>
    <w:p w:rsidR="006A703C" w:rsidRDefault="006A703C" w:rsidP="00141CD0">
      <w:pPr>
        <w:pStyle w:val="Body"/>
        <w:tabs>
          <w:tab w:val="clear" w:pos="1134"/>
          <w:tab w:val="clear" w:pos="1701"/>
          <w:tab w:val="clear" w:pos="2268"/>
          <w:tab w:val="clear" w:pos="2835"/>
          <w:tab w:val="left" w:pos="993"/>
        </w:tabs>
        <w:ind w:left="567"/>
        <w:rPr>
          <w:rFonts w:cs="Times New Roman"/>
          <w:bCs/>
        </w:rPr>
      </w:pPr>
      <w:r>
        <w:rPr>
          <w:rFonts w:eastAsia="Times New Roman"/>
          <w:lang w:eastAsia="ru-RU"/>
        </w:rPr>
        <w:t>-</w:t>
      </w:r>
      <w:r>
        <w:rPr>
          <w:rFonts w:eastAsia="Times New Roman"/>
          <w:lang w:eastAsia="ru-RU"/>
        </w:rPr>
        <w:tab/>
      </w:r>
      <w:proofErr w:type="gramStart"/>
      <w:r>
        <w:rPr>
          <w:rFonts w:eastAsia="Times New Roman"/>
          <w:lang w:eastAsia="ru-RU"/>
        </w:rPr>
        <w:t>on</w:t>
      </w:r>
      <w:proofErr w:type="gramEnd"/>
      <w:r>
        <w:rPr>
          <w:rFonts w:eastAsia="Times New Roman"/>
          <w:lang w:eastAsia="ru-RU"/>
        </w:rPr>
        <w:t xml:space="preserve"> </w:t>
      </w:r>
      <w:r>
        <w:rPr>
          <w:rFonts w:cs="Times New Roman"/>
        </w:rPr>
        <w:t>regulation and support of competition in the field of OTT,</w:t>
      </w:r>
    </w:p>
    <w:p w:rsidR="006A703C" w:rsidRDefault="006A703C" w:rsidP="00141CD0">
      <w:pPr>
        <w:pStyle w:val="Body"/>
        <w:tabs>
          <w:tab w:val="clear" w:pos="1134"/>
          <w:tab w:val="clear" w:pos="1701"/>
          <w:tab w:val="clear" w:pos="2268"/>
          <w:tab w:val="clear" w:pos="2835"/>
          <w:tab w:val="left" w:pos="993"/>
        </w:tabs>
        <w:ind w:left="567"/>
        <w:rPr>
          <w:rFonts w:eastAsia="Times New Roman"/>
          <w:lang w:eastAsia="ru-RU"/>
        </w:rPr>
      </w:pPr>
      <w:r>
        <w:rPr>
          <w:rFonts w:eastAsia="Times New Roman"/>
          <w:lang w:eastAsia="ru-RU"/>
        </w:rPr>
        <w:t>-</w:t>
      </w:r>
      <w:r>
        <w:rPr>
          <w:rFonts w:eastAsia="Times New Roman"/>
          <w:lang w:eastAsia="ru-RU"/>
        </w:rPr>
        <w:tab/>
        <w:t xml:space="preserve">on feasibility of possible measures and implementation mechanisms based on the analysis of results from corresponding SGs, needed to protect users’ interests, because new technological features of OTT services create </w:t>
      </w:r>
      <w:r w:rsidR="000837DE" w:rsidRPr="000837DE">
        <w:rPr>
          <w:rFonts w:eastAsia="Times New Roman"/>
          <w:lang w:eastAsia="ru-RU"/>
        </w:rPr>
        <w:t xml:space="preserve">sophisticated </w:t>
      </w:r>
      <w:r>
        <w:rPr>
          <w:rFonts w:eastAsia="Times New Roman"/>
          <w:lang w:eastAsia="ru-RU"/>
        </w:rPr>
        <w:t xml:space="preserve">operational environment (involvement of </w:t>
      </w:r>
      <w:r w:rsidR="00B67053" w:rsidRPr="00B67053">
        <w:rPr>
          <w:rFonts w:eastAsia="Times New Roman"/>
          <w:lang w:eastAsia="ru-RU"/>
        </w:rPr>
        <w:t>a number of</w:t>
      </w:r>
      <w:r>
        <w:rPr>
          <w:rFonts w:eastAsia="Times New Roman"/>
          <w:lang w:eastAsia="ru-RU"/>
        </w:rPr>
        <w:t xml:space="preserve"> companies into service value chain, application of end-to-end </w:t>
      </w:r>
      <w:r>
        <w:t>encryption),</w:t>
      </w:r>
    </w:p>
    <w:p w:rsidR="006A703C" w:rsidRDefault="006A703C" w:rsidP="006A703C">
      <w:pPr>
        <w:pStyle w:val="Body"/>
        <w:rPr>
          <w:rFonts w:eastAsia="Times New Roman"/>
          <w:lang w:eastAsia="ru-RU"/>
        </w:rPr>
      </w:pPr>
      <w:proofErr w:type="gramStart"/>
      <w:r>
        <w:rPr>
          <w:rFonts w:eastAsia="Times New Roman"/>
          <w:lang w:eastAsia="ru-RU"/>
        </w:rPr>
        <w:t>and</w:t>
      </w:r>
      <w:proofErr w:type="gramEnd"/>
      <w:r>
        <w:rPr>
          <w:rFonts w:eastAsia="Times New Roman"/>
          <w:lang w:eastAsia="ru-RU"/>
        </w:rPr>
        <w:t xml:space="preserve"> on the other issues related to ОТТ, that require </w:t>
      </w:r>
      <w:r w:rsidRPr="00BB53A7">
        <w:rPr>
          <w:rFonts w:eastAsia="Times New Roman"/>
          <w:lang w:eastAsia="ru-RU"/>
        </w:rPr>
        <w:t>regulation</w:t>
      </w:r>
      <w:r>
        <w:rPr>
          <w:rFonts w:eastAsia="Times New Roman"/>
          <w:lang w:eastAsia="ru-RU"/>
        </w:rPr>
        <w:t>, according to opinions from CWG-Internet participants;</w:t>
      </w:r>
    </w:p>
    <w:p w:rsidR="006A703C" w:rsidRDefault="006A703C" w:rsidP="006A703C">
      <w:pPr>
        <w:pStyle w:val="Body"/>
        <w:tabs>
          <w:tab w:val="clear" w:pos="1134"/>
        </w:tabs>
        <w:rPr>
          <w:rFonts w:cs="Times New Roman"/>
          <w:bCs/>
        </w:rPr>
      </w:pPr>
      <w:r>
        <w:rPr>
          <w:rFonts w:cs="Times New Roman"/>
          <w:bCs/>
        </w:rPr>
        <w:t>2</w:t>
      </w:r>
      <w:r>
        <w:rPr>
          <w:rFonts w:cs="Times New Roman"/>
          <w:bCs/>
        </w:rPr>
        <w:tab/>
        <w:t xml:space="preserve">to </w:t>
      </w:r>
      <w:r w:rsidR="004D796D">
        <w:rPr>
          <w:rFonts w:cs="Times New Roman"/>
          <w:bCs/>
        </w:rPr>
        <w:t xml:space="preserve">report annually to the </w:t>
      </w:r>
      <w:r>
        <w:rPr>
          <w:rFonts w:cs="Times New Roman"/>
          <w:bCs/>
        </w:rPr>
        <w:t xml:space="preserve">Council </w:t>
      </w:r>
      <w:r w:rsidR="004D796D">
        <w:rPr>
          <w:rFonts w:cs="Times New Roman"/>
          <w:bCs/>
        </w:rPr>
        <w:t xml:space="preserve">on the activities undertaken on these subjects and submit proposals as appropriate for </w:t>
      </w:r>
      <w:r>
        <w:rPr>
          <w:rFonts w:cs="Times New Roman"/>
          <w:bCs/>
        </w:rPr>
        <w:t xml:space="preserve">further </w:t>
      </w:r>
      <w:r w:rsidR="004D796D">
        <w:rPr>
          <w:rFonts w:cs="Times New Roman"/>
          <w:bCs/>
        </w:rPr>
        <w:t>decision</w:t>
      </w:r>
      <w:r>
        <w:rPr>
          <w:rFonts w:cs="Times New Roman"/>
          <w:bCs/>
        </w:rPr>
        <w:t>;</w:t>
      </w:r>
    </w:p>
    <w:p w:rsidR="006A703C" w:rsidRDefault="006A703C" w:rsidP="006A703C">
      <w:pPr>
        <w:pStyle w:val="Body"/>
        <w:tabs>
          <w:tab w:val="clear" w:pos="1134"/>
        </w:tabs>
      </w:pPr>
      <w:r>
        <w:rPr>
          <w:rFonts w:cs="Times New Roman"/>
          <w:bCs/>
          <w:lang w:val="en-GB"/>
        </w:rPr>
        <w:t>3</w:t>
      </w:r>
      <w:r>
        <w:rPr>
          <w:rFonts w:cs="Times New Roman"/>
          <w:bCs/>
          <w:lang w:val="en-GB"/>
        </w:rPr>
        <w:tab/>
        <w:t>to assist ITU Member</w:t>
      </w:r>
      <w:r>
        <w:rPr>
          <w:rFonts w:cs="Times New Roman"/>
          <w:bCs/>
        </w:rPr>
        <w:t>-</w:t>
      </w:r>
      <w:r>
        <w:rPr>
          <w:rFonts w:cs="Times New Roman"/>
          <w:bCs/>
          <w:lang w:val="en-GB"/>
        </w:rPr>
        <w:t>States</w:t>
      </w:r>
      <w:r>
        <w:rPr>
          <w:rFonts w:cs="Times New Roman"/>
          <w:bCs/>
        </w:rPr>
        <w:t xml:space="preserve"> on the issues of the </w:t>
      </w:r>
      <w:r>
        <w:rPr>
          <w:rFonts w:cs="Times New Roman"/>
          <w:bCs/>
          <w:lang w:val="en-GB"/>
        </w:rPr>
        <w:t xml:space="preserve">development of public policy related to </w:t>
      </w:r>
      <w:r>
        <w:rPr>
          <w:rFonts w:cs="Times New Roman"/>
          <w:bCs/>
          <w:lang w:val="ru-RU"/>
        </w:rPr>
        <w:t>ОТТ</w:t>
      </w:r>
      <w:r>
        <w:rPr>
          <w:rFonts w:cs="Times New Roman"/>
          <w:bCs/>
        </w:rPr>
        <w:t>,</w:t>
      </w:r>
    </w:p>
    <w:p w:rsidR="006A703C" w:rsidRDefault="006A703C" w:rsidP="006A703C">
      <w:pPr>
        <w:pStyle w:val="Call"/>
      </w:pPr>
      <w:proofErr w:type="gramStart"/>
      <w:r>
        <w:t>instructs</w:t>
      </w:r>
      <w:proofErr w:type="gramEnd"/>
      <w:r>
        <w:t xml:space="preserve"> the Directors of Telecommunication Standardization and Development Bureaus</w:t>
      </w:r>
    </w:p>
    <w:p w:rsidR="006A703C" w:rsidRDefault="006A703C" w:rsidP="006A703C">
      <w:pPr>
        <w:pStyle w:val="Body"/>
      </w:pPr>
      <w:proofErr w:type="gramStart"/>
      <w:r>
        <w:t>to</w:t>
      </w:r>
      <w:proofErr w:type="gramEnd"/>
      <w:r>
        <w:t xml:space="preserve"> collaborate</w:t>
      </w:r>
      <w:r w:rsidR="00141CD0">
        <w:t xml:space="preserve"> closely</w:t>
      </w:r>
      <w:r>
        <w:t xml:space="preserve"> with the CWG-Internet and provide information on the matters of this Resolution,</w:t>
      </w:r>
    </w:p>
    <w:p w:rsidR="006A703C" w:rsidRDefault="006A703C" w:rsidP="006A703C">
      <w:pPr>
        <w:pStyle w:val="Call"/>
      </w:pPr>
      <w:proofErr w:type="gramStart"/>
      <w:r>
        <w:t>invites</w:t>
      </w:r>
      <w:proofErr w:type="gramEnd"/>
      <w:r>
        <w:t xml:space="preserve"> Member States and Sector Members</w:t>
      </w:r>
    </w:p>
    <w:p w:rsidR="00405C3A" w:rsidRPr="006A703C" w:rsidRDefault="006A703C" w:rsidP="00405C3A">
      <w:pPr>
        <w:pStyle w:val="Body"/>
      </w:pPr>
      <w:proofErr w:type="gramStart"/>
      <w:r>
        <w:t>to</w:t>
      </w:r>
      <w:proofErr w:type="gramEnd"/>
      <w:r>
        <w:t xml:space="preserve"> contribute to the above activities and take active part in the implementation of this Resolution.</w:t>
      </w:r>
    </w:p>
    <w:sectPr w:rsidR="00405C3A" w:rsidRPr="006A703C" w:rsidSect="000C5116">
      <w:headerReference w:type="default" r:id="rId9"/>
      <w:pgSz w:w="11900" w:h="16840" w:code="9"/>
      <w:pgMar w:top="1134" w:right="1134" w:bottom="1134" w:left="1134" w:header="28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3A2" w:rsidRDefault="00A673A2">
      <w:r>
        <w:separator/>
      </w:r>
    </w:p>
  </w:endnote>
  <w:endnote w:type="continuationSeparator" w:id="0">
    <w:p w:rsidR="00A673A2" w:rsidRDefault="00A6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3A2" w:rsidRDefault="00A673A2">
      <w:r>
        <w:separator/>
      </w:r>
    </w:p>
  </w:footnote>
  <w:footnote w:type="continuationSeparator" w:id="0">
    <w:p w:rsidR="00A673A2" w:rsidRDefault="00A673A2">
      <w:r>
        <w:continuationSeparator/>
      </w:r>
    </w:p>
  </w:footnote>
  <w:footnote w:id="1">
    <w:p w:rsidR="000E0F56" w:rsidRPr="00247738" w:rsidRDefault="000E0F56">
      <w:pPr>
        <w:pStyle w:val="FootnoteText"/>
        <w:rPr>
          <w:lang w:val="ru-RU"/>
        </w:rPr>
      </w:pPr>
      <w:r>
        <w:rPr>
          <w:rStyle w:val="FootnoteReference"/>
        </w:rPr>
        <w:footnoteRef/>
      </w:r>
      <w:r>
        <w:t xml:space="preserve"> </w:t>
      </w:r>
      <w:r w:rsidR="007B6473" w:rsidRPr="007B6473">
        <w:t>https://www.itu.int/en/council/cwg-internet/Pages/consultation-june2017.aspx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116" w:rsidRPr="000C5116" w:rsidRDefault="000C5116" w:rsidP="000C5116">
    <w:pPr>
      <w:pStyle w:val="Header"/>
      <w:jc w:val="center"/>
      <w:rPr>
        <w:rFonts w:ascii="Calibri" w:hAnsi="Calibri"/>
      </w:rPr>
    </w:pPr>
    <w:r w:rsidRPr="000C5116">
      <w:rPr>
        <w:rFonts w:ascii="Calibri" w:hAnsi="Calibri"/>
      </w:rPr>
      <w:fldChar w:fldCharType="begin"/>
    </w:r>
    <w:r w:rsidRPr="000C5116">
      <w:rPr>
        <w:rFonts w:ascii="Calibri" w:hAnsi="Calibri"/>
      </w:rPr>
      <w:instrText xml:space="preserve"> PAGE   \* MERGEFORMAT </w:instrText>
    </w:r>
    <w:r w:rsidRPr="000C5116">
      <w:rPr>
        <w:rFonts w:ascii="Calibri" w:hAnsi="Calibri"/>
      </w:rPr>
      <w:fldChar w:fldCharType="separate"/>
    </w:r>
    <w:r w:rsidR="008D5384">
      <w:rPr>
        <w:rFonts w:ascii="Calibri" w:hAnsi="Calibri"/>
        <w:noProof/>
      </w:rPr>
      <w:t>4</w:t>
    </w:r>
    <w:r w:rsidRPr="000C5116">
      <w:rPr>
        <w:rFonts w:ascii="Calibri" w:hAnsi="Calibri"/>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149F8"/>
    <w:multiLevelType w:val="hybridMultilevel"/>
    <w:tmpl w:val="28828F06"/>
    <w:lvl w:ilvl="0" w:tplc="83F60988">
      <w:start w:val="1"/>
      <w:numFmt w:val="lowerLetter"/>
      <w:lvlText w:val="%1)"/>
      <w:lvlJc w:val="left"/>
      <w:pPr>
        <w:ind w:left="930" w:hanging="57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DD045F"/>
    <w:multiLevelType w:val="hybridMultilevel"/>
    <w:tmpl w:val="397C92D6"/>
    <w:lvl w:ilvl="0" w:tplc="FF48254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A960CB"/>
    <w:multiLevelType w:val="hybridMultilevel"/>
    <w:tmpl w:val="143A5D0A"/>
    <w:lvl w:ilvl="0" w:tplc="83F60988">
      <w:start w:val="1"/>
      <w:numFmt w:val="lowerLetter"/>
      <w:lvlText w:val="%1)"/>
      <w:lvlJc w:val="left"/>
      <w:pPr>
        <w:ind w:left="930" w:hanging="57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D45EBC"/>
    <w:multiLevelType w:val="hybridMultilevel"/>
    <w:tmpl w:val="0A163BE4"/>
    <w:lvl w:ilvl="0" w:tplc="107CAE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71437D"/>
    <w:multiLevelType w:val="hybridMultilevel"/>
    <w:tmpl w:val="D43A7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275D08"/>
    <w:multiLevelType w:val="hybridMultilevel"/>
    <w:tmpl w:val="178E0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ED2114"/>
    <w:multiLevelType w:val="hybridMultilevel"/>
    <w:tmpl w:val="D0E09DD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7F3E99"/>
    <w:multiLevelType w:val="hybridMultilevel"/>
    <w:tmpl w:val="53FA01B8"/>
    <w:lvl w:ilvl="0" w:tplc="8BA4BAD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42238F3"/>
    <w:multiLevelType w:val="hybridMultilevel"/>
    <w:tmpl w:val="A968A916"/>
    <w:lvl w:ilvl="0" w:tplc="6D28F440">
      <w:start w:val="1"/>
      <w:numFmt w:val="bullet"/>
      <w:lvlText w:val=""/>
      <w:lvlJc w:val="left"/>
      <w:pPr>
        <w:ind w:left="720" w:hanging="360"/>
      </w:pPr>
      <w:rPr>
        <w:rFonts w:ascii="Symbol" w:hAnsi="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67F20159"/>
    <w:multiLevelType w:val="hybridMultilevel"/>
    <w:tmpl w:val="4014C42C"/>
    <w:lvl w:ilvl="0" w:tplc="2910A0A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D0130A"/>
    <w:multiLevelType w:val="hybridMultilevel"/>
    <w:tmpl w:val="B0C61B50"/>
    <w:lvl w:ilvl="0" w:tplc="BD46A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5"/>
  </w:num>
  <w:num w:numId="5">
    <w:abstractNumId w:val="4"/>
  </w:num>
  <w:num w:numId="6">
    <w:abstractNumId w:val="3"/>
  </w:num>
  <w:num w:numId="7">
    <w:abstractNumId w:val="0"/>
  </w:num>
  <w:num w:numId="8">
    <w:abstractNumId w:val="2"/>
  </w:num>
  <w:num w:numId="9">
    <w:abstractNumId w:val="6"/>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LQwMzCzMDMzMTUxtjRR0lEKTi0uzszPAykwrgUArKXraCwAAAA="/>
  </w:docVars>
  <w:rsids>
    <w:rsidRoot w:val="00515336"/>
    <w:rsid w:val="000018DC"/>
    <w:rsid w:val="00021881"/>
    <w:rsid w:val="000227A8"/>
    <w:rsid w:val="00022A67"/>
    <w:rsid w:val="000327EA"/>
    <w:rsid w:val="00047FB0"/>
    <w:rsid w:val="000563CA"/>
    <w:rsid w:val="00057941"/>
    <w:rsid w:val="00063CEC"/>
    <w:rsid w:val="0007080C"/>
    <w:rsid w:val="000710CD"/>
    <w:rsid w:val="0008363F"/>
    <w:rsid w:val="000837DE"/>
    <w:rsid w:val="000935ED"/>
    <w:rsid w:val="00097769"/>
    <w:rsid w:val="000B4E29"/>
    <w:rsid w:val="000B50DF"/>
    <w:rsid w:val="000B6FE2"/>
    <w:rsid w:val="000C3A02"/>
    <w:rsid w:val="000C5116"/>
    <w:rsid w:val="000E0F56"/>
    <w:rsid w:val="000E6B8B"/>
    <w:rsid w:val="000F0B9C"/>
    <w:rsid w:val="00107786"/>
    <w:rsid w:val="001178FB"/>
    <w:rsid w:val="00134C3B"/>
    <w:rsid w:val="00141CCD"/>
    <w:rsid w:val="00141CD0"/>
    <w:rsid w:val="00142AC6"/>
    <w:rsid w:val="00145D1C"/>
    <w:rsid w:val="00161DA5"/>
    <w:rsid w:val="001622C9"/>
    <w:rsid w:val="00174AA7"/>
    <w:rsid w:val="00190666"/>
    <w:rsid w:val="001929B9"/>
    <w:rsid w:val="001B06A8"/>
    <w:rsid w:val="001F1469"/>
    <w:rsid w:val="00225A65"/>
    <w:rsid w:val="00230007"/>
    <w:rsid w:val="00242B5D"/>
    <w:rsid w:val="00247738"/>
    <w:rsid w:val="002633C9"/>
    <w:rsid w:val="0028627B"/>
    <w:rsid w:val="00286D5A"/>
    <w:rsid w:val="00287C2E"/>
    <w:rsid w:val="0029710E"/>
    <w:rsid w:val="002A1BD8"/>
    <w:rsid w:val="002B10CF"/>
    <w:rsid w:val="002C095A"/>
    <w:rsid w:val="002D08F0"/>
    <w:rsid w:val="002D73B9"/>
    <w:rsid w:val="002E1CFC"/>
    <w:rsid w:val="002F4404"/>
    <w:rsid w:val="00321CAE"/>
    <w:rsid w:val="00357090"/>
    <w:rsid w:val="003659FE"/>
    <w:rsid w:val="00380A90"/>
    <w:rsid w:val="00394E9E"/>
    <w:rsid w:val="003A3783"/>
    <w:rsid w:val="003A7403"/>
    <w:rsid w:val="003C7F80"/>
    <w:rsid w:val="003D7FDB"/>
    <w:rsid w:val="003E198C"/>
    <w:rsid w:val="003F78EA"/>
    <w:rsid w:val="00401DE9"/>
    <w:rsid w:val="004058B1"/>
    <w:rsid w:val="00405C3A"/>
    <w:rsid w:val="004067CD"/>
    <w:rsid w:val="00411EA1"/>
    <w:rsid w:val="00421001"/>
    <w:rsid w:val="00421B18"/>
    <w:rsid w:val="00422881"/>
    <w:rsid w:val="004341F0"/>
    <w:rsid w:val="004418E2"/>
    <w:rsid w:val="00452BED"/>
    <w:rsid w:val="0045486C"/>
    <w:rsid w:val="004577F4"/>
    <w:rsid w:val="00460039"/>
    <w:rsid w:val="00486C20"/>
    <w:rsid w:val="004A0B20"/>
    <w:rsid w:val="004A1655"/>
    <w:rsid w:val="004A313D"/>
    <w:rsid w:val="004A4016"/>
    <w:rsid w:val="004B5FFB"/>
    <w:rsid w:val="004D796D"/>
    <w:rsid w:val="004E05B9"/>
    <w:rsid w:val="004F35E6"/>
    <w:rsid w:val="00501DCD"/>
    <w:rsid w:val="00515336"/>
    <w:rsid w:val="005210DC"/>
    <w:rsid w:val="005477AB"/>
    <w:rsid w:val="00552685"/>
    <w:rsid w:val="0055742F"/>
    <w:rsid w:val="0056078E"/>
    <w:rsid w:val="005676FD"/>
    <w:rsid w:val="005A292F"/>
    <w:rsid w:val="005A77A2"/>
    <w:rsid w:val="005A7882"/>
    <w:rsid w:val="005B4130"/>
    <w:rsid w:val="005B6938"/>
    <w:rsid w:val="005C352F"/>
    <w:rsid w:val="005E1048"/>
    <w:rsid w:val="005F3D09"/>
    <w:rsid w:val="006112A2"/>
    <w:rsid w:val="00622458"/>
    <w:rsid w:val="006420C3"/>
    <w:rsid w:val="00643684"/>
    <w:rsid w:val="00647A69"/>
    <w:rsid w:val="00653986"/>
    <w:rsid w:val="0066380D"/>
    <w:rsid w:val="00674F3D"/>
    <w:rsid w:val="0068669B"/>
    <w:rsid w:val="006A6050"/>
    <w:rsid w:val="006A703C"/>
    <w:rsid w:val="006A7C96"/>
    <w:rsid w:val="006C1131"/>
    <w:rsid w:val="006C204A"/>
    <w:rsid w:val="006E317B"/>
    <w:rsid w:val="006E59D1"/>
    <w:rsid w:val="006F5F95"/>
    <w:rsid w:val="006F758A"/>
    <w:rsid w:val="00701BD4"/>
    <w:rsid w:val="00710D1E"/>
    <w:rsid w:val="00712548"/>
    <w:rsid w:val="00723FCE"/>
    <w:rsid w:val="007257F7"/>
    <w:rsid w:val="007436D9"/>
    <w:rsid w:val="007721C0"/>
    <w:rsid w:val="0079747C"/>
    <w:rsid w:val="00797DED"/>
    <w:rsid w:val="007A3A9B"/>
    <w:rsid w:val="007B6473"/>
    <w:rsid w:val="007F359F"/>
    <w:rsid w:val="008266A3"/>
    <w:rsid w:val="00837CF6"/>
    <w:rsid w:val="00851067"/>
    <w:rsid w:val="00875C19"/>
    <w:rsid w:val="0087606B"/>
    <w:rsid w:val="00881678"/>
    <w:rsid w:val="008850B4"/>
    <w:rsid w:val="00896F8B"/>
    <w:rsid w:val="008B2512"/>
    <w:rsid w:val="008C0A91"/>
    <w:rsid w:val="008C2527"/>
    <w:rsid w:val="008C2B90"/>
    <w:rsid w:val="008C3A7D"/>
    <w:rsid w:val="008D1B3F"/>
    <w:rsid w:val="008D5384"/>
    <w:rsid w:val="008E4FCF"/>
    <w:rsid w:val="008F7D90"/>
    <w:rsid w:val="00933863"/>
    <w:rsid w:val="0093546C"/>
    <w:rsid w:val="00935576"/>
    <w:rsid w:val="009417EC"/>
    <w:rsid w:val="00943B57"/>
    <w:rsid w:val="00944EFB"/>
    <w:rsid w:val="00953660"/>
    <w:rsid w:val="00955D26"/>
    <w:rsid w:val="009605E6"/>
    <w:rsid w:val="009660F7"/>
    <w:rsid w:val="0096740B"/>
    <w:rsid w:val="009809D7"/>
    <w:rsid w:val="00996EFC"/>
    <w:rsid w:val="009A2144"/>
    <w:rsid w:val="009A29E0"/>
    <w:rsid w:val="009A4E57"/>
    <w:rsid w:val="009B6187"/>
    <w:rsid w:val="009B7815"/>
    <w:rsid w:val="009D4942"/>
    <w:rsid w:val="009E5B8A"/>
    <w:rsid w:val="009F1B39"/>
    <w:rsid w:val="00A00CB1"/>
    <w:rsid w:val="00A127CB"/>
    <w:rsid w:val="00A21311"/>
    <w:rsid w:val="00A21721"/>
    <w:rsid w:val="00A22348"/>
    <w:rsid w:val="00A31412"/>
    <w:rsid w:val="00A41FC6"/>
    <w:rsid w:val="00A437BD"/>
    <w:rsid w:val="00A6735C"/>
    <w:rsid w:val="00A673A2"/>
    <w:rsid w:val="00A676E0"/>
    <w:rsid w:val="00AC4C2E"/>
    <w:rsid w:val="00AD0FE0"/>
    <w:rsid w:val="00AE235F"/>
    <w:rsid w:val="00AF1389"/>
    <w:rsid w:val="00AF39CF"/>
    <w:rsid w:val="00AF4152"/>
    <w:rsid w:val="00B008B2"/>
    <w:rsid w:val="00B01172"/>
    <w:rsid w:val="00B029FF"/>
    <w:rsid w:val="00B2377E"/>
    <w:rsid w:val="00B26A7A"/>
    <w:rsid w:val="00B438EA"/>
    <w:rsid w:val="00B5253D"/>
    <w:rsid w:val="00B52649"/>
    <w:rsid w:val="00B60B34"/>
    <w:rsid w:val="00B67053"/>
    <w:rsid w:val="00B769D7"/>
    <w:rsid w:val="00B90AD7"/>
    <w:rsid w:val="00B9531C"/>
    <w:rsid w:val="00BA300B"/>
    <w:rsid w:val="00BB53A7"/>
    <w:rsid w:val="00BB65A5"/>
    <w:rsid w:val="00BD1A2B"/>
    <w:rsid w:val="00BD67D2"/>
    <w:rsid w:val="00BF2DF4"/>
    <w:rsid w:val="00C05ACC"/>
    <w:rsid w:val="00C147B4"/>
    <w:rsid w:val="00C17081"/>
    <w:rsid w:val="00C2002A"/>
    <w:rsid w:val="00C22329"/>
    <w:rsid w:val="00C23379"/>
    <w:rsid w:val="00C50E48"/>
    <w:rsid w:val="00C55C96"/>
    <w:rsid w:val="00C654EA"/>
    <w:rsid w:val="00C70B38"/>
    <w:rsid w:val="00C82535"/>
    <w:rsid w:val="00C8636B"/>
    <w:rsid w:val="00CA630D"/>
    <w:rsid w:val="00CB5F3F"/>
    <w:rsid w:val="00CC6D89"/>
    <w:rsid w:val="00CF1D8D"/>
    <w:rsid w:val="00D0591F"/>
    <w:rsid w:val="00D1228B"/>
    <w:rsid w:val="00D166A7"/>
    <w:rsid w:val="00D3165C"/>
    <w:rsid w:val="00D47024"/>
    <w:rsid w:val="00D5086B"/>
    <w:rsid w:val="00DC23D6"/>
    <w:rsid w:val="00DC6765"/>
    <w:rsid w:val="00DD0C06"/>
    <w:rsid w:val="00E03EEC"/>
    <w:rsid w:val="00E205D2"/>
    <w:rsid w:val="00E21809"/>
    <w:rsid w:val="00E451B8"/>
    <w:rsid w:val="00E558B7"/>
    <w:rsid w:val="00E62D01"/>
    <w:rsid w:val="00E66CCC"/>
    <w:rsid w:val="00E679D0"/>
    <w:rsid w:val="00E70D32"/>
    <w:rsid w:val="00E766C8"/>
    <w:rsid w:val="00E85309"/>
    <w:rsid w:val="00EA1E1A"/>
    <w:rsid w:val="00EC0F3A"/>
    <w:rsid w:val="00ED06BE"/>
    <w:rsid w:val="00EE15A4"/>
    <w:rsid w:val="00F1257F"/>
    <w:rsid w:val="00F129CE"/>
    <w:rsid w:val="00F148AE"/>
    <w:rsid w:val="00F2427C"/>
    <w:rsid w:val="00F271E0"/>
    <w:rsid w:val="00F44041"/>
    <w:rsid w:val="00F517B7"/>
    <w:rsid w:val="00F603A8"/>
    <w:rsid w:val="00F60D50"/>
    <w:rsid w:val="00F66FE8"/>
    <w:rsid w:val="00F72063"/>
    <w:rsid w:val="00F907AD"/>
    <w:rsid w:val="00F96E3A"/>
    <w:rsid w:val="00FA5136"/>
    <w:rsid w:val="00FB2BAE"/>
    <w:rsid w:val="00FC3249"/>
    <w:rsid w:val="00FC48D7"/>
    <w:rsid w:val="00FD62B6"/>
    <w:rsid w:val="00FE39B9"/>
    <w:rsid w:val="00FF343F"/>
    <w:rsid w:val="00FF5A9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959036-37BD-4459-A8C9-B2D85528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ResNo">
    <w:name w:val="Res_No"/>
    <w:next w:val="Restitle"/>
    <w:pPr>
      <w:tabs>
        <w:tab w:val="left" w:pos="567"/>
        <w:tab w:val="left" w:pos="1134"/>
        <w:tab w:val="left" w:pos="1701"/>
        <w:tab w:val="left" w:pos="2268"/>
        <w:tab w:val="left" w:pos="2835"/>
      </w:tabs>
      <w:spacing w:before="720"/>
      <w:jc w:val="center"/>
    </w:pPr>
    <w:rPr>
      <w:rFonts w:ascii="Calibri" w:eastAsia="Calibri" w:hAnsi="Calibri" w:cs="Calibri"/>
      <w:caps/>
      <w:color w:val="000000"/>
      <w:sz w:val="28"/>
      <w:szCs w:val="28"/>
      <w:u w:color="000000"/>
    </w:rPr>
  </w:style>
  <w:style w:type="paragraph" w:customStyle="1" w:styleId="Restitle">
    <w:name w:val="Res_title"/>
    <w:next w:val="Body"/>
    <w:pPr>
      <w:tabs>
        <w:tab w:val="left" w:pos="567"/>
        <w:tab w:val="left" w:pos="1134"/>
        <w:tab w:val="left" w:pos="1701"/>
        <w:tab w:val="left" w:pos="2268"/>
        <w:tab w:val="left" w:pos="2835"/>
      </w:tabs>
      <w:spacing w:before="240" w:after="240"/>
      <w:jc w:val="center"/>
    </w:pPr>
    <w:rPr>
      <w:rFonts w:ascii="Calibri" w:eastAsia="Calibri" w:hAnsi="Calibri" w:cs="Calibri"/>
      <w:b/>
      <w:bCs/>
      <w:color w:val="000000"/>
      <w:sz w:val="28"/>
      <w:szCs w:val="28"/>
      <w:u w:color="000000"/>
    </w:rPr>
  </w:style>
  <w:style w:type="paragraph" w:customStyle="1" w:styleId="Body">
    <w:name w:val="Body"/>
    <w:pP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rPr>
  </w:style>
  <w:style w:type="paragraph" w:customStyle="1" w:styleId="Normalaftertitle">
    <w:name w:val="Normal after title"/>
    <w:next w:val="Body"/>
    <w:pPr>
      <w:tabs>
        <w:tab w:val="left" w:pos="567"/>
        <w:tab w:val="left" w:pos="1134"/>
        <w:tab w:val="left" w:pos="1701"/>
        <w:tab w:val="left" w:pos="2268"/>
        <w:tab w:val="left" w:pos="2835"/>
      </w:tabs>
      <w:spacing w:before="240"/>
    </w:pPr>
    <w:rPr>
      <w:rFonts w:ascii="Calibri" w:eastAsia="Calibri" w:hAnsi="Calibri" w:cs="Calibri"/>
      <w:color w:val="000000"/>
      <w:sz w:val="24"/>
      <w:szCs w:val="24"/>
      <w:u w:color="000000"/>
    </w:rPr>
  </w:style>
  <w:style w:type="paragraph" w:customStyle="1" w:styleId="Call">
    <w:name w:val="Call"/>
    <w:next w:val="Body"/>
    <w:pPr>
      <w:keepNext/>
      <w:keepLines/>
      <w:tabs>
        <w:tab w:val="left" w:pos="567"/>
      </w:tabs>
      <w:spacing w:before="160"/>
      <w:ind w:left="567"/>
    </w:pPr>
    <w:rPr>
      <w:rFonts w:ascii="Calibri" w:eastAsia="Calibri" w:hAnsi="Calibri" w:cs="Calibri"/>
      <w:i/>
      <w:iCs/>
      <w:color w:val="000000"/>
      <w:sz w:val="24"/>
      <w:szCs w:val="24"/>
      <w:u w:color="000000"/>
    </w:rPr>
  </w:style>
  <w:style w:type="paragraph" w:styleId="Header">
    <w:name w:val="header"/>
    <w:basedOn w:val="Normal"/>
    <w:link w:val="HeaderChar"/>
    <w:uiPriority w:val="99"/>
    <w:unhideWhenUsed/>
    <w:rsid w:val="005C352F"/>
    <w:pPr>
      <w:tabs>
        <w:tab w:val="center" w:pos="4153"/>
        <w:tab w:val="right" w:pos="8306"/>
      </w:tabs>
    </w:pPr>
  </w:style>
  <w:style w:type="character" w:customStyle="1" w:styleId="HeaderChar">
    <w:name w:val="Header Char"/>
    <w:basedOn w:val="DefaultParagraphFont"/>
    <w:link w:val="Header"/>
    <w:uiPriority w:val="99"/>
    <w:rsid w:val="005C352F"/>
    <w:rPr>
      <w:sz w:val="24"/>
      <w:szCs w:val="24"/>
    </w:rPr>
  </w:style>
  <w:style w:type="paragraph" w:styleId="Footer">
    <w:name w:val="footer"/>
    <w:basedOn w:val="Normal"/>
    <w:link w:val="FooterChar"/>
    <w:uiPriority w:val="99"/>
    <w:unhideWhenUsed/>
    <w:rsid w:val="005C352F"/>
    <w:pPr>
      <w:tabs>
        <w:tab w:val="center" w:pos="4153"/>
        <w:tab w:val="right" w:pos="8306"/>
      </w:tabs>
    </w:pPr>
  </w:style>
  <w:style w:type="character" w:customStyle="1" w:styleId="FooterChar">
    <w:name w:val="Footer Char"/>
    <w:basedOn w:val="DefaultParagraphFont"/>
    <w:link w:val="Footer"/>
    <w:uiPriority w:val="99"/>
    <w:rsid w:val="005C352F"/>
    <w:rPr>
      <w:sz w:val="24"/>
      <w:szCs w:val="24"/>
    </w:rPr>
  </w:style>
  <w:style w:type="paragraph" w:styleId="FootnoteText">
    <w:name w:val="footnote text"/>
    <w:basedOn w:val="Normal"/>
    <w:link w:val="FootnoteTextChar"/>
    <w:uiPriority w:val="99"/>
    <w:semiHidden/>
    <w:unhideWhenUsed/>
    <w:rsid w:val="00E66CCC"/>
    <w:rPr>
      <w:sz w:val="20"/>
      <w:szCs w:val="20"/>
    </w:rPr>
  </w:style>
  <w:style w:type="character" w:customStyle="1" w:styleId="FootnoteTextChar">
    <w:name w:val="Footnote Text Char"/>
    <w:basedOn w:val="DefaultParagraphFont"/>
    <w:link w:val="FootnoteText"/>
    <w:uiPriority w:val="99"/>
    <w:semiHidden/>
    <w:rsid w:val="00E66CCC"/>
  </w:style>
  <w:style w:type="character" w:styleId="FootnoteReference">
    <w:name w:val="footnote reference"/>
    <w:basedOn w:val="DefaultParagraphFont"/>
    <w:uiPriority w:val="99"/>
    <w:semiHidden/>
    <w:unhideWhenUsed/>
    <w:rsid w:val="00E66CCC"/>
    <w:rPr>
      <w:vertAlign w:val="superscript"/>
    </w:rPr>
  </w:style>
  <w:style w:type="paragraph" w:styleId="BalloonText">
    <w:name w:val="Balloon Text"/>
    <w:basedOn w:val="Normal"/>
    <w:link w:val="BalloonTextChar"/>
    <w:uiPriority w:val="99"/>
    <w:semiHidden/>
    <w:unhideWhenUsed/>
    <w:rsid w:val="00E21809"/>
    <w:rPr>
      <w:rFonts w:ascii="Tahoma" w:hAnsi="Tahoma" w:cs="Tahoma"/>
      <w:sz w:val="16"/>
      <w:szCs w:val="16"/>
    </w:rPr>
  </w:style>
  <w:style w:type="character" w:customStyle="1" w:styleId="BalloonTextChar">
    <w:name w:val="Balloon Text Char"/>
    <w:basedOn w:val="DefaultParagraphFont"/>
    <w:link w:val="BalloonText"/>
    <w:uiPriority w:val="99"/>
    <w:semiHidden/>
    <w:rsid w:val="00E21809"/>
    <w:rPr>
      <w:rFonts w:ascii="Tahoma" w:hAnsi="Tahoma" w:cs="Tahoma"/>
      <w:sz w:val="16"/>
      <w:szCs w:val="16"/>
    </w:rPr>
  </w:style>
  <w:style w:type="paragraph" w:customStyle="1" w:styleId="Normal1">
    <w:name w:val="Normal1"/>
    <w:rsid w:val="00DC676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 w:val="left" w:pos="2268"/>
        <w:tab w:val="left" w:pos="2835"/>
      </w:tabs>
      <w:spacing w:before="120"/>
    </w:pPr>
    <w:rPr>
      <w:rFonts w:ascii="Calibri" w:eastAsia="Calibri" w:hAnsi="Calibri" w:cs="Calibri"/>
      <w:color w:val="000000"/>
      <w:sz w:val="24"/>
      <w:szCs w:val="24"/>
      <w:bdr w:val="none" w:sz="0" w:space="0" w:color="auto"/>
      <w:lang w:val="en-GB"/>
    </w:rPr>
  </w:style>
  <w:style w:type="paragraph" w:styleId="ListParagraph">
    <w:name w:val="List Paragraph"/>
    <w:basedOn w:val="Normal"/>
    <w:link w:val="ListParagraphChar"/>
    <w:uiPriority w:val="99"/>
    <w:qFormat/>
    <w:rsid w:val="00E8530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ru-RU"/>
    </w:rPr>
  </w:style>
  <w:style w:type="character" w:customStyle="1" w:styleId="ms-rtefontsize-2">
    <w:name w:val="ms-rtefontsize-2"/>
    <w:basedOn w:val="DefaultParagraphFont"/>
    <w:rsid w:val="00E85309"/>
  </w:style>
  <w:style w:type="character" w:styleId="CommentReference">
    <w:name w:val="annotation reference"/>
    <w:basedOn w:val="DefaultParagraphFont"/>
    <w:uiPriority w:val="99"/>
    <w:semiHidden/>
    <w:unhideWhenUsed/>
    <w:rsid w:val="00097769"/>
    <w:rPr>
      <w:sz w:val="16"/>
      <w:szCs w:val="16"/>
    </w:rPr>
  </w:style>
  <w:style w:type="paragraph" w:styleId="CommentText">
    <w:name w:val="annotation text"/>
    <w:basedOn w:val="Normal"/>
    <w:link w:val="CommentTextChar"/>
    <w:uiPriority w:val="99"/>
    <w:semiHidden/>
    <w:unhideWhenUsed/>
    <w:rsid w:val="00097769"/>
    <w:rPr>
      <w:sz w:val="20"/>
      <w:szCs w:val="20"/>
    </w:rPr>
  </w:style>
  <w:style w:type="character" w:customStyle="1" w:styleId="CommentTextChar">
    <w:name w:val="Comment Text Char"/>
    <w:basedOn w:val="DefaultParagraphFont"/>
    <w:link w:val="CommentText"/>
    <w:uiPriority w:val="99"/>
    <w:semiHidden/>
    <w:rsid w:val="00097769"/>
  </w:style>
  <w:style w:type="paragraph" w:styleId="CommentSubject">
    <w:name w:val="annotation subject"/>
    <w:basedOn w:val="CommentText"/>
    <w:next w:val="CommentText"/>
    <w:link w:val="CommentSubjectChar"/>
    <w:uiPriority w:val="99"/>
    <w:semiHidden/>
    <w:unhideWhenUsed/>
    <w:rsid w:val="00097769"/>
    <w:rPr>
      <w:b/>
      <w:bCs/>
    </w:rPr>
  </w:style>
  <w:style w:type="character" w:customStyle="1" w:styleId="CommentSubjectChar">
    <w:name w:val="Comment Subject Char"/>
    <w:basedOn w:val="CommentTextChar"/>
    <w:link w:val="CommentSubject"/>
    <w:uiPriority w:val="99"/>
    <w:semiHidden/>
    <w:rsid w:val="00097769"/>
    <w:rPr>
      <w:b/>
      <w:bCs/>
    </w:rPr>
  </w:style>
  <w:style w:type="paragraph" w:styleId="Revision">
    <w:name w:val="Revision"/>
    <w:hidden/>
    <w:uiPriority w:val="99"/>
    <w:semiHidden/>
    <w:rsid w:val="0009776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DocumentMap">
    <w:name w:val="Document Map"/>
    <w:basedOn w:val="Normal"/>
    <w:link w:val="DocumentMapChar"/>
    <w:uiPriority w:val="99"/>
    <w:semiHidden/>
    <w:unhideWhenUsed/>
    <w:rsid w:val="000563CA"/>
    <w:rPr>
      <w:rFonts w:ascii="Tahoma" w:hAnsi="Tahoma" w:cs="Tahoma"/>
      <w:sz w:val="16"/>
      <w:szCs w:val="16"/>
    </w:rPr>
  </w:style>
  <w:style w:type="character" w:customStyle="1" w:styleId="DocumentMapChar">
    <w:name w:val="Document Map Char"/>
    <w:basedOn w:val="DefaultParagraphFont"/>
    <w:link w:val="DocumentMap"/>
    <w:uiPriority w:val="99"/>
    <w:semiHidden/>
    <w:rsid w:val="000563CA"/>
    <w:rPr>
      <w:rFonts w:ascii="Tahoma" w:hAnsi="Tahoma" w:cs="Tahoma"/>
      <w:sz w:val="16"/>
      <w:szCs w:val="16"/>
    </w:rPr>
  </w:style>
  <w:style w:type="character" w:customStyle="1" w:styleId="ListParagraphChar">
    <w:name w:val="List Paragraph Char"/>
    <w:link w:val="ListParagraph"/>
    <w:uiPriority w:val="99"/>
    <w:locked/>
    <w:rsid w:val="00AF39CF"/>
    <w:rPr>
      <w:rFonts w:asciiTheme="minorHAnsi" w:eastAsiaTheme="minorHAnsi" w:hAnsiTheme="minorHAnsi" w:cstheme="minorBidi"/>
      <w:sz w:val="22"/>
      <w:szCs w:val="22"/>
      <w:bdr w:val="none" w:sz="0" w:space="0" w:color="auto"/>
      <w:lang w:val="ru-RU"/>
    </w:rPr>
  </w:style>
  <w:style w:type="paragraph" w:customStyle="1" w:styleId="Source">
    <w:name w:val="Source"/>
    <w:basedOn w:val="Normal"/>
    <w:next w:val="Normal"/>
    <w:autoRedefine/>
    <w:rsid w:val="0056078E"/>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 w:val="left" w:pos="2268"/>
        <w:tab w:val="left" w:pos="2835"/>
      </w:tabs>
      <w:overflowPunct w:val="0"/>
      <w:autoSpaceDE w:val="0"/>
      <w:autoSpaceDN w:val="0"/>
      <w:adjustRightInd w:val="0"/>
      <w:spacing w:before="840"/>
      <w:jc w:val="center"/>
      <w:textAlignment w:val="baseline"/>
    </w:pPr>
    <w:rPr>
      <w:rFonts w:ascii="Calibri" w:eastAsia="Times New Roman" w:hAnsi="Calibri"/>
      <w:b/>
      <w:sz w:val="28"/>
      <w:szCs w:val="20"/>
      <w:bdr w:val="none" w:sz="0" w:space="0" w:color="auto"/>
      <w:lang w:val="en-GB"/>
    </w:rPr>
  </w:style>
  <w:style w:type="paragraph" w:customStyle="1" w:styleId="Title1">
    <w:name w:val="Title 1"/>
    <w:basedOn w:val="Source"/>
    <w:next w:val="Normal"/>
    <w:rsid w:val="00FC3249"/>
    <w:pPr>
      <w:spacing w:before="240"/>
    </w:pPr>
    <w:rPr>
      <w:b w:val="0"/>
      <w:caps/>
    </w:rPr>
  </w:style>
  <w:style w:type="character" w:customStyle="1" w:styleId="shorttext">
    <w:name w:val="short_text"/>
    <w:basedOn w:val="DefaultParagraphFont"/>
    <w:rsid w:val="00955D26"/>
  </w:style>
  <w:style w:type="paragraph" w:customStyle="1" w:styleId="AnnexNo">
    <w:name w:val="Annex_No"/>
    <w:basedOn w:val="Normal"/>
    <w:next w:val="Normal"/>
    <w:rsid w:val="00ED06BE"/>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 w:val="left" w:pos="2268"/>
        <w:tab w:val="left" w:pos="2835"/>
      </w:tabs>
      <w:overflowPunct w:val="0"/>
      <w:autoSpaceDE w:val="0"/>
      <w:autoSpaceDN w:val="0"/>
      <w:adjustRightInd w:val="0"/>
      <w:spacing w:before="720"/>
      <w:jc w:val="center"/>
    </w:pPr>
    <w:rPr>
      <w:rFonts w:ascii="Calibri" w:eastAsia="Times New Roman" w:hAnsi="Calibri"/>
      <w:caps/>
      <w:sz w:val="28"/>
      <w:szCs w:val="20"/>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2047">
      <w:bodyDiv w:val="1"/>
      <w:marLeft w:val="0"/>
      <w:marRight w:val="0"/>
      <w:marTop w:val="0"/>
      <w:marBottom w:val="0"/>
      <w:divBdr>
        <w:top w:val="none" w:sz="0" w:space="0" w:color="auto"/>
        <w:left w:val="none" w:sz="0" w:space="0" w:color="auto"/>
        <w:bottom w:val="none" w:sz="0" w:space="0" w:color="auto"/>
        <w:right w:val="none" w:sz="0" w:space="0" w:color="auto"/>
      </w:divBdr>
    </w:div>
    <w:div w:id="80025256">
      <w:bodyDiv w:val="1"/>
      <w:marLeft w:val="0"/>
      <w:marRight w:val="0"/>
      <w:marTop w:val="0"/>
      <w:marBottom w:val="0"/>
      <w:divBdr>
        <w:top w:val="none" w:sz="0" w:space="0" w:color="auto"/>
        <w:left w:val="none" w:sz="0" w:space="0" w:color="auto"/>
        <w:bottom w:val="none" w:sz="0" w:space="0" w:color="auto"/>
        <w:right w:val="none" w:sz="0" w:space="0" w:color="auto"/>
      </w:divBdr>
    </w:div>
    <w:div w:id="114452592">
      <w:bodyDiv w:val="1"/>
      <w:marLeft w:val="0"/>
      <w:marRight w:val="0"/>
      <w:marTop w:val="0"/>
      <w:marBottom w:val="0"/>
      <w:divBdr>
        <w:top w:val="none" w:sz="0" w:space="0" w:color="auto"/>
        <w:left w:val="none" w:sz="0" w:space="0" w:color="auto"/>
        <w:bottom w:val="none" w:sz="0" w:space="0" w:color="auto"/>
        <w:right w:val="none" w:sz="0" w:space="0" w:color="auto"/>
      </w:divBdr>
    </w:div>
    <w:div w:id="213468529">
      <w:bodyDiv w:val="1"/>
      <w:marLeft w:val="0"/>
      <w:marRight w:val="0"/>
      <w:marTop w:val="0"/>
      <w:marBottom w:val="0"/>
      <w:divBdr>
        <w:top w:val="none" w:sz="0" w:space="0" w:color="auto"/>
        <w:left w:val="none" w:sz="0" w:space="0" w:color="auto"/>
        <w:bottom w:val="none" w:sz="0" w:space="0" w:color="auto"/>
        <w:right w:val="none" w:sz="0" w:space="0" w:color="auto"/>
      </w:divBdr>
    </w:div>
    <w:div w:id="286469667">
      <w:bodyDiv w:val="1"/>
      <w:marLeft w:val="0"/>
      <w:marRight w:val="0"/>
      <w:marTop w:val="0"/>
      <w:marBottom w:val="0"/>
      <w:divBdr>
        <w:top w:val="none" w:sz="0" w:space="0" w:color="auto"/>
        <w:left w:val="none" w:sz="0" w:space="0" w:color="auto"/>
        <w:bottom w:val="none" w:sz="0" w:space="0" w:color="auto"/>
        <w:right w:val="none" w:sz="0" w:space="0" w:color="auto"/>
      </w:divBdr>
    </w:div>
    <w:div w:id="657029207">
      <w:bodyDiv w:val="1"/>
      <w:marLeft w:val="0"/>
      <w:marRight w:val="0"/>
      <w:marTop w:val="0"/>
      <w:marBottom w:val="0"/>
      <w:divBdr>
        <w:top w:val="none" w:sz="0" w:space="0" w:color="auto"/>
        <w:left w:val="none" w:sz="0" w:space="0" w:color="auto"/>
        <w:bottom w:val="none" w:sz="0" w:space="0" w:color="auto"/>
        <w:right w:val="none" w:sz="0" w:space="0" w:color="auto"/>
      </w:divBdr>
    </w:div>
    <w:div w:id="660934905">
      <w:bodyDiv w:val="1"/>
      <w:marLeft w:val="0"/>
      <w:marRight w:val="0"/>
      <w:marTop w:val="0"/>
      <w:marBottom w:val="0"/>
      <w:divBdr>
        <w:top w:val="none" w:sz="0" w:space="0" w:color="auto"/>
        <w:left w:val="none" w:sz="0" w:space="0" w:color="auto"/>
        <w:bottom w:val="none" w:sz="0" w:space="0" w:color="auto"/>
        <w:right w:val="none" w:sz="0" w:space="0" w:color="auto"/>
      </w:divBdr>
    </w:div>
    <w:div w:id="752973194">
      <w:bodyDiv w:val="1"/>
      <w:marLeft w:val="0"/>
      <w:marRight w:val="0"/>
      <w:marTop w:val="0"/>
      <w:marBottom w:val="0"/>
      <w:divBdr>
        <w:top w:val="none" w:sz="0" w:space="0" w:color="auto"/>
        <w:left w:val="none" w:sz="0" w:space="0" w:color="auto"/>
        <w:bottom w:val="none" w:sz="0" w:space="0" w:color="auto"/>
        <w:right w:val="none" w:sz="0" w:space="0" w:color="auto"/>
      </w:divBdr>
    </w:div>
    <w:div w:id="946429431">
      <w:bodyDiv w:val="1"/>
      <w:marLeft w:val="0"/>
      <w:marRight w:val="0"/>
      <w:marTop w:val="0"/>
      <w:marBottom w:val="0"/>
      <w:divBdr>
        <w:top w:val="none" w:sz="0" w:space="0" w:color="auto"/>
        <w:left w:val="none" w:sz="0" w:space="0" w:color="auto"/>
        <w:bottom w:val="none" w:sz="0" w:space="0" w:color="auto"/>
        <w:right w:val="none" w:sz="0" w:space="0" w:color="auto"/>
      </w:divBdr>
    </w:div>
    <w:div w:id="986861927">
      <w:bodyDiv w:val="1"/>
      <w:marLeft w:val="0"/>
      <w:marRight w:val="0"/>
      <w:marTop w:val="0"/>
      <w:marBottom w:val="0"/>
      <w:divBdr>
        <w:top w:val="none" w:sz="0" w:space="0" w:color="auto"/>
        <w:left w:val="none" w:sz="0" w:space="0" w:color="auto"/>
        <w:bottom w:val="none" w:sz="0" w:space="0" w:color="auto"/>
        <w:right w:val="none" w:sz="0" w:space="0" w:color="auto"/>
      </w:divBdr>
    </w:div>
    <w:div w:id="1124271877">
      <w:bodyDiv w:val="1"/>
      <w:marLeft w:val="0"/>
      <w:marRight w:val="0"/>
      <w:marTop w:val="0"/>
      <w:marBottom w:val="0"/>
      <w:divBdr>
        <w:top w:val="none" w:sz="0" w:space="0" w:color="auto"/>
        <w:left w:val="none" w:sz="0" w:space="0" w:color="auto"/>
        <w:bottom w:val="none" w:sz="0" w:space="0" w:color="auto"/>
        <w:right w:val="none" w:sz="0" w:space="0" w:color="auto"/>
      </w:divBdr>
    </w:div>
    <w:div w:id="1227032883">
      <w:bodyDiv w:val="1"/>
      <w:marLeft w:val="0"/>
      <w:marRight w:val="0"/>
      <w:marTop w:val="0"/>
      <w:marBottom w:val="0"/>
      <w:divBdr>
        <w:top w:val="none" w:sz="0" w:space="0" w:color="auto"/>
        <w:left w:val="none" w:sz="0" w:space="0" w:color="auto"/>
        <w:bottom w:val="none" w:sz="0" w:space="0" w:color="auto"/>
        <w:right w:val="none" w:sz="0" w:space="0" w:color="auto"/>
      </w:divBdr>
    </w:div>
    <w:div w:id="1421105059">
      <w:bodyDiv w:val="1"/>
      <w:marLeft w:val="0"/>
      <w:marRight w:val="0"/>
      <w:marTop w:val="0"/>
      <w:marBottom w:val="0"/>
      <w:divBdr>
        <w:top w:val="none" w:sz="0" w:space="0" w:color="auto"/>
        <w:left w:val="none" w:sz="0" w:space="0" w:color="auto"/>
        <w:bottom w:val="none" w:sz="0" w:space="0" w:color="auto"/>
        <w:right w:val="none" w:sz="0" w:space="0" w:color="auto"/>
      </w:divBdr>
    </w:div>
    <w:div w:id="2020085597">
      <w:bodyDiv w:val="1"/>
      <w:marLeft w:val="0"/>
      <w:marRight w:val="0"/>
      <w:marTop w:val="0"/>
      <w:marBottom w:val="0"/>
      <w:divBdr>
        <w:top w:val="none" w:sz="0" w:space="0" w:color="auto"/>
        <w:left w:val="none" w:sz="0" w:space="0" w:color="auto"/>
        <w:bottom w:val="none" w:sz="0" w:space="0" w:color="auto"/>
        <w:right w:val="none" w:sz="0" w:space="0" w:color="auto"/>
      </w:divBdr>
    </w:div>
    <w:div w:id="2141266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23AB3-2C67-409D-9549-63A092F8E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1377</Words>
  <Characters>7850</Characters>
  <Application>Microsoft Office Word</Application>
  <DocSecurity>0</DocSecurity>
  <Lines>65</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ФГУП НИИР</Company>
  <LinksUpToDate>false</LinksUpToDate>
  <CharactersWithSpaces>9209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Russian Federation</dc:title>
  <dc:creator>Мочу Наталья Вячеславовна</dc:creator>
  <cp:lastModifiedBy>Janin</cp:lastModifiedBy>
  <cp:revision>15</cp:revision>
  <cp:lastPrinted>2017-11-16T07:40:00Z</cp:lastPrinted>
  <dcterms:created xsi:type="dcterms:W3CDTF">2017-12-28T12:58:00Z</dcterms:created>
  <dcterms:modified xsi:type="dcterms:W3CDTF">2018-01-03T09:23:00Z</dcterms:modified>
</cp:coreProperties>
</file>